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Start w:id="1" w:name="_MON_1804162786"/>
    <w:bookmarkEnd w:id="1"/>
    <w:p w14:paraId="3C6CCF66" w14:textId="7F946B73" w:rsidR="00BF32E9" w:rsidRPr="005D36DC" w:rsidRDefault="009E7767" w:rsidP="00BF32E9">
      <w:pPr>
        <w:jc w:val="both"/>
        <w:rPr>
          <w:rFonts w:ascii="Arial" w:hAnsi="Arial" w:cs="Arial"/>
          <w:b/>
          <w:bCs/>
        </w:rPr>
      </w:pPr>
      <w:r w:rsidRPr="00762EAA">
        <w:rPr>
          <w:rFonts w:ascii="Arial" w:hAnsi="Arial" w:cs="Arial"/>
          <w:b/>
          <w:bCs/>
        </w:rPr>
        <w:object w:dxaOrig="9026" w:dyaOrig="13838" w14:anchorId="0868D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51.5pt;height:692pt" o:ole="">
            <v:imagedata r:id="rId7" o:title=""/>
          </v:shape>
          <o:OLEObject Type="Embed" ProgID="Word.Document.12" ShapeID="_x0000_i1038" DrawAspect="Content" ObjectID="_1804165952" r:id="rId8">
            <o:FieldCodes>\s</o:FieldCodes>
          </o:OLEObject>
        </w:object>
      </w:r>
      <w:bookmarkEnd w:id="0"/>
      <w:r w:rsidR="00F96618" w:rsidRPr="005D36DC">
        <w:rPr>
          <w:rFonts w:ascii="Arial" w:hAnsi="Arial" w:cs="Arial"/>
          <w:b/>
          <w:bCs/>
        </w:rPr>
        <w:t>ABSTRACT</w:t>
      </w:r>
    </w:p>
    <w:p w14:paraId="52E8AAD0" w14:textId="77777777" w:rsidR="005D36DC" w:rsidRPr="005D36DC" w:rsidRDefault="005D36DC" w:rsidP="005D36DC">
      <w:pPr>
        <w:jc w:val="both"/>
        <w:rPr>
          <w:rFonts w:ascii="Arial" w:hAnsi="Arial" w:cs="Arial"/>
        </w:rPr>
      </w:pPr>
      <w:r w:rsidRPr="005D36DC">
        <w:rPr>
          <w:rFonts w:ascii="Arial" w:hAnsi="Arial" w:cs="Arial"/>
          <w:b/>
          <w:bCs/>
        </w:rPr>
        <w:t>Aim:</w:t>
      </w:r>
      <w:r w:rsidRPr="005D36DC">
        <w:rPr>
          <w:rFonts w:ascii="Arial" w:hAnsi="Arial" w:cs="Arial"/>
        </w:rPr>
        <w:t xml:space="preserve"> </w:t>
      </w:r>
      <w:r w:rsidR="00BF32E9" w:rsidRPr="005D36DC">
        <w:rPr>
          <w:rFonts w:ascii="Arial" w:hAnsi="Arial" w:cs="Arial"/>
        </w:rPr>
        <w:t xml:space="preserve">Powdery mildew, incited by </w:t>
      </w:r>
      <w:r w:rsidR="00BF32E9" w:rsidRPr="005D36DC">
        <w:rPr>
          <w:rFonts w:ascii="Arial" w:hAnsi="Arial" w:cs="Arial"/>
          <w:i/>
          <w:iCs/>
        </w:rPr>
        <w:t xml:space="preserve">Erysiphe </w:t>
      </w:r>
      <w:proofErr w:type="spellStart"/>
      <w:r w:rsidR="00BF32E9" w:rsidRPr="005D36DC">
        <w:rPr>
          <w:rFonts w:ascii="Arial" w:hAnsi="Arial" w:cs="Arial"/>
          <w:i/>
          <w:iCs/>
        </w:rPr>
        <w:t>polygoni</w:t>
      </w:r>
      <w:proofErr w:type="spellEnd"/>
      <w:r w:rsidR="00BF32E9" w:rsidRPr="005D36DC">
        <w:rPr>
          <w:rFonts w:ascii="Arial" w:hAnsi="Arial" w:cs="Arial"/>
        </w:rPr>
        <w:t xml:space="preserve"> D.C, is a prominent foliar disease of </w:t>
      </w:r>
      <w:proofErr w:type="spellStart"/>
      <w:r w:rsidR="00BF32E9" w:rsidRPr="005D36DC">
        <w:rPr>
          <w:rFonts w:ascii="Arial" w:hAnsi="Arial" w:cs="Arial"/>
        </w:rPr>
        <w:t>blackgram</w:t>
      </w:r>
      <w:proofErr w:type="spellEnd"/>
      <w:r w:rsidR="00BF32E9" w:rsidRPr="005D36DC">
        <w:rPr>
          <w:rFonts w:ascii="Arial" w:hAnsi="Arial" w:cs="Arial"/>
        </w:rPr>
        <w:t xml:space="preserve"> (</w:t>
      </w:r>
      <w:r w:rsidR="00BF32E9" w:rsidRPr="005D36DC">
        <w:rPr>
          <w:rFonts w:ascii="Arial" w:hAnsi="Arial" w:cs="Arial"/>
          <w:i/>
          <w:iCs/>
        </w:rPr>
        <w:t>Vigna mungo</w:t>
      </w:r>
      <w:r w:rsidR="00BF32E9" w:rsidRPr="005D36DC">
        <w:rPr>
          <w:rFonts w:ascii="Arial" w:hAnsi="Arial" w:cs="Arial"/>
        </w:rPr>
        <w:t xml:space="preserve"> L.) that adversely impacts all developmental stages, culminating in premature defoliation and yield losses reaching up to 70%. The disease initiates as subtle, white powdery flecks on the abaxial surface of lower leaves subsequently proliferating into dense mycelial colonies that envelop aerial plant parts, persisting until physiological maturity. Despite its economic significance, the epidemiology of this pathogen under varying environmental conditions remains inadequately explored. The present investigation aimed to dissect the influence of environmental factors on conidial germination of </w:t>
      </w:r>
      <w:r w:rsidR="00BF32E9" w:rsidRPr="005D36DC">
        <w:rPr>
          <w:rFonts w:ascii="Arial" w:hAnsi="Arial" w:cs="Arial"/>
          <w:i/>
          <w:iCs/>
        </w:rPr>
        <w:t xml:space="preserve">E. </w:t>
      </w:r>
      <w:proofErr w:type="spellStart"/>
      <w:r w:rsidR="00BF32E9" w:rsidRPr="005D36DC">
        <w:rPr>
          <w:rFonts w:ascii="Arial" w:hAnsi="Arial" w:cs="Arial"/>
          <w:i/>
          <w:iCs/>
        </w:rPr>
        <w:t>polygoni</w:t>
      </w:r>
      <w:proofErr w:type="spellEnd"/>
      <w:r w:rsidR="00BF32E9" w:rsidRPr="005D36DC">
        <w:rPr>
          <w:rFonts w:ascii="Arial" w:hAnsi="Arial" w:cs="Arial"/>
        </w:rPr>
        <w:t xml:space="preserve"> under controlled </w:t>
      </w:r>
      <w:r w:rsidR="00BF32E9" w:rsidRPr="005D36DC">
        <w:rPr>
          <w:rFonts w:ascii="Arial" w:hAnsi="Arial" w:cs="Arial"/>
          <w:i/>
          <w:iCs/>
        </w:rPr>
        <w:t>in vitro</w:t>
      </w:r>
      <w:r w:rsidR="00BF32E9" w:rsidRPr="005D36DC">
        <w:rPr>
          <w:rFonts w:ascii="Arial" w:hAnsi="Arial" w:cs="Arial"/>
        </w:rPr>
        <w:t xml:space="preserve"> conditions. </w:t>
      </w:r>
    </w:p>
    <w:p w14:paraId="58DF1563" w14:textId="7F9CD31D" w:rsidR="005D36DC" w:rsidRPr="005D36DC" w:rsidRDefault="005D36DC" w:rsidP="005D36DC">
      <w:pPr>
        <w:jc w:val="both"/>
        <w:rPr>
          <w:rFonts w:ascii="Arial" w:hAnsi="Arial" w:cs="Arial"/>
        </w:rPr>
      </w:pPr>
      <w:r w:rsidRPr="005D36DC">
        <w:rPr>
          <w:rFonts w:ascii="Arial" w:hAnsi="Arial" w:cs="Arial"/>
          <w:b/>
          <w:bCs/>
        </w:rPr>
        <w:t>Methodology:</w:t>
      </w:r>
      <w:r w:rsidRPr="005D36DC">
        <w:rPr>
          <w:rFonts w:ascii="Arial" w:hAnsi="Arial" w:cs="Arial"/>
        </w:rPr>
        <w:t xml:space="preserve"> </w:t>
      </w:r>
      <w:r w:rsidR="00BF32E9" w:rsidRPr="005D36DC">
        <w:rPr>
          <w:rFonts w:ascii="Arial" w:hAnsi="Arial" w:cs="Arial"/>
        </w:rPr>
        <w:t>A spectrum of carbon sources, temperature regimes and relative humidity (RH) levels were evaluated</w:t>
      </w:r>
      <w:r w:rsidRPr="005D36DC">
        <w:rPr>
          <w:rFonts w:ascii="Arial" w:hAnsi="Arial" w:cs="Arial"/>
        </w:rPr>
        <w:t xml:space="preserve"> under </w:t>
      </w:r>
      <w:r w:rsidRPr="005D36DC">
        <w:rPr>
          <w:rFonts w:ascii="Arial" w:hAnsi="Arial" w:cs="Arial"/>
          <w:i/>
          <w:iCs/>
        </w:rPr>
        <w:t>invitro</w:t>
      </w:r>
      <w:r w:rsidRPr="005D36DC">
        <w:rPr>
          <w:rFonts w:ascii="Arial" w:hAnsi="Arial" w:cs="Arial"/>
        </w:rPr>
        <w:t xml:space="preserve"> conditions at RARS, Lam,</w:t>
      </w:r>
      <w:r>
        <w:rPr>
          <w:rFonts w:ascii="Arial" w:hAnsi="Arial" w:cs="Arial"/>
        </w:rPr>
        <w:t xml:space="preserve"> </w:t>
      </w:r>
      <w:r w:rsidRPr="005D36DC">
        <w:rPr>
          <w:rFonts w:ascii="Arial" w:hAnsi="Arial" w:cs="Arial"/>
        </w:rPr>
        <w:t>Guntur during December, 2024.</w:t>
      </w:r>
    </w:p>
    <w:p w14:paraId="42329F1F" w14:textId="77777777" w:rsidR="005D36DC" w:rsidRPr="005D36DC" w:rsidRDefault="005D36DC" w:rsidP="005D36DC">
      <w:pPr>
        <w:jc w:val="both"/>
        <w:rPr>
          <w:rFonts w:ascii="Arial" w:hAnsi="Arial" w:cs="Arial"/>
        </w:rPr>
      </w:pPr>
      <w:r w:rsidRPr="005D36DC">
        <w:rPr>
          <w:rFonts w:ascii="Arial" w:hAnsi="Arial" w:cs="Arial"/>
          <w:b/>
          <w:bCs/>
        </w:rPr>
        <w:t>Results:</w:t>
      </w:r>
      <w:r w:rsidR="00BF32E9" w:rsidRPr="005D36DC">
        <w:rPr>
          <w:rFonts w:ascii="Arial" w:hAnsi="Arial" w:cs="Arial"/>
        </w:rPr>
        <w:t xml:space="preserve"> Among carbon substrates, 2.0% dextrose demonstrated the highest conidial germination rate (77.33%), markedly surpassing other treatments. This was trailed by glucose (72.67% at 1.5%) and sucrose (72.00% at 1.5% and 70.67% at 2.0%) whereas sterile water yielded the lowest germination (51.33%). Temperature analysis revealed optimal germination (6</w:t>
      </w:r>
      <w:r w:rsidR="00602CA0" w:rsidRPr="005D36DC">
        <w:rPr>
          <w:rFonts w:ascii="Arial" w:hAnsi="Arial" w:cs="Arial"/>
        </w:rPr>
        <w:t>4.67</w:t>
      </w:r>
      <w:r w:rsidR="00BF32E9" w:rsidRPr="005D36DC">
        <w:rPr>
          <w:rFonts w:ascii="Arial" w:hAnsi="Arial" w:cs="Arial"/>
        </w:rPr>
        <w:t>%) at 2</w:t>
      </w:r>
      <w:r w:rsidR="00602CA0" w:rsidRPr="005D36DC">
        <w:rPr>
          <w:rFonts w:ascii="Arial" w:hAnsi="Arial" w:cs="Arial"/>
        </w:rPr>
        <w:t>4</w:t>
      </w:r>
      <w:r w:rsidR="00BF32E9" w:rsidRPr="005D36DC">
        <w:rPr>
          <w:rFonts w:ascii="Arial" w:hAnsi="Arial" w:cs="Arial"/>
        </w:rPr>
        <w:t>°C with significant inhibition at lower extremes—</w:t>
      </w:r>
      <w:r w:rsidR="00602CA0" w:rsidRPr="005D36DC">
        <w:rPr>
          <w:rFonts w:ascii="Arial" w:hAnsi="Arial" w:cs="Arial"/>
        </w:rPr>
        <w:t>1</w:t>
      </w:r>
      <w:r w:rsidR="00BF32E9" w:rsidRPr="005D36DC">
        <w:rPr>
          <w:rFonts w:ascii="Arial" w:hAnsi="Arial" w:cs="Arial"/>
        </w:rPr>
        <w:t>5°C (</w:t>
      </w:r>
      <w:r w:rsidR="00602CA0" w:rsidRPr="005D36DC">
        <w:rPr>
          <w:rFonts w:ascii="Arial" w:hAnsi="Arial" w:cs="Arial"/>
        </w:rPr>
        <w:t>37.67</w:t>
      </w:r>
      <w:r w:rsidR="00BF32E9" w:rsidRPr="005D36DC">
        <w:rPr>
          <w:rFonts w:ascii="Arial" w:hAnsi="Arial" w:cs="Arial"/>
        </w:rPr>
        <w:t>%) and 1</w:t>
      </w:r>
      <w:r w:rsidR="00602CA0" w:rsidRPr="005D36DC">
        <w:rPr>
          <w:rFonts w:ascii="Arial" w:hAnsi="Arial" w:cs="Arial"/>
        </w:rPr>
        <w:t>8</w:t>
      </w:r>
      <w:r w:rsidR="00BF32E9" w:rsidRPr="005D36DC">
        <w:rPr>
          <w:rFonts w:ascii="Arial" w:hAnsi="Arial" w:cs="Arial"/>
        </w:rPr>
        <w:t>°C (</w:t>
      </w:r>
      <w:r w:rsidR="00602CA0" w:rsidRPr="005D36DC">
        <w:rPr>
          <w:rFonts w:ascii="Arial" w:hAnsi="Arial" w:cs="Arial"/>
        </w:rPr>
        <w:t>40.67</w:t>
      </w:r>
      <w:r w:rsidR="00BF32E9" w:rsidRPr="005D36DC">
        <w:rPr>
          <w:rFonts w:ascii="Arial" w:hAnsi="Arial" w:cs="Arial"/>
        </w:rPr>
        <w:t xml:space="preserve">%). Humidity trials underscored 80% RH as the most conducive, achieving 78.33% germination whereas 50% RH exhibited a suppressive effect with germination plummeting to 36.33%. </w:t>
      </w:r>
    </w:p>
    <w:p w14:paraId="6576D145" w14:textId="760035D8" w:rsidR="00BF32E9" w:rsidRPr="005D36DC" w:rsidRDefault="005D36DC" w:rsidP="005D36DC">
      <w:pPr>
        <w:jc w:val="both"/>
        <w:rPr>
          <w:rFonts w:ascii="Arial" w:hAnsi="Arial" w:cs="Arial"/>
        </w:rPr>
      </w:pPr>
      <w:r w:rsidRPr="005D36DC">
        <w:rPr>
          <w:rFonts w:ascii="Arial" w:hAnsi="Arial" w:cs="Arial"/>
          <w:b/>
          <w:bCs/>
        </w:rPr>
        <w:t>Conclusion:</w:t>
      </w:r>
      <w:r w:rsidRPr="005D36DC">
        <w:rPr>
          <w:rFonts w:ascii="Arial" w:hAnsi="Arial" w:cs="Arial"/>
        </w:rPr>
        <w:t xml:space="preserve"> </w:t>
      </w:r>
      <w:r w:rsidR="00BF32E9" w:rsidRPr="005D36DC">
        <w:rPr>
          <w:rFonts w:ascii="Arial" w:hAnsi="Arial" w:cs="Arial"/>
        </w:rPr>
        <w:t xml:space="preserve">This study underscores the intricate interplay of environmental parameters in regulating the infective potential of </w:t>
      </w:r>
      <w:r w:rsidR="00BF32E9" w:rsidRPr="005D36DC">
        <w:rPr>
          <w:rFonts w:ascii="Arial" w:hAnsi="Arial" w:cs="Arial"/>
          <w:i/>
          <w:iCs/>
        </w:rPr>
        <w:t xml:space="preserve">E. </w:t>
      </w:r>
      <w:proofErr w:type="spellStart"/>
      <w:r w:rsidR="00BF32E9" w:rsidRPr="005D36DC">
        <w:rPr>
          <w:rFonts w:ascii="Arial" w:hAnsi="Arial" w:cs="Arial"/>
          <w:i/>
          <w:iCs/>
        </w:rPr>
        <w:t>polygoni</w:t>
      </w:r>
      <w:proofErr w:type="spellEnd"/>
      <w:r w:rsidR="00BF32E9" w:rsidRPr="005D36DC">
        <w:rPr>
          <w:rFonts w:ascii="Arial" w:hAnsi="Arial" w:cs="Arial"/>
        </w:rPr>
        <w:t xml:space="preserve">. </w:t>
      </w:r>
    </w:p>
    <w:p w14:paraId="7CEFA956" w14:textId="590A4207" w:rsidR="00C620AF" w:rsidRPr="005D36DC" w:rsidRDefault="00C620AF" w:rsidP="00C620AF">
      <w:pPr>
        <w:jc w:val="both"/>
        <w:rPr>
          <w:rFonts w:ascii="Arial" w:hAnsi="Arial" w:cs="Arial"/>
        </w:rPr>
      </w:pPr>
      <w:r w:rsidRPr="005D36DC">
        <w:rPr>
          <w:rFonts w:ascii="Arial" w:hAnsi="Arial" w:cs="Arial"/>
          <w:b/>
          <w:bCs/>
        </w:rPr>
        <w:t>Keywords:</w:t>
      </w:r>
      <w:r w:rsidRPr="005D36DC">
        <w:rPr>
          <w:rFonts w:ascii="Arial" w:hAnsi="Arial" w:cs="Arial"/>
        </w:rPr>
        <w:t xml:space="preserve"> </w:t>
      </w:r>
      <w:r w:rsidRPr="005D36DC">
        <w:rPr>
          <w:rFonts w:ascii="Arial" w:hAnsi="Arial" w:cs="Arial"/>
          <w:i/>
          <w:iCs/>
        </w:rPr>
        <w:t xml:space="preserve">Erysiphe </w:t>
      </w:r>
      <w:proofErr w:type="spellStart"/>
      <w:r w:rsidRPr="005D36DC">
        <w:rPr>
          <w:rFonts w:ascii="Arial" w:hAnsi="Arial" w:cs="Arial"/>
          <w:i/>
          <w:iCs/>
        </w:rPr>
        <w:t>polygoni</w:t>
      </w:r>
      <w:proofErr w:type="spellEnd"/>
      <w:r w:rsidRPr="005D36DC">
        <w:rPr>
          <w:rFonts w:ascii="Arial" w:hAnsi="Arial" w:cs="Arial"/>
        </w:rPr>
        <w:t>,</w:t>
      </w:r>
      <w:r w:rsidR="00B67A32" w:rsidRPr="005D36DC">
        <w:rPr>
          <w:rFonts w:ascii="Arial" w:hAnsi="Arial" w:cs="Arial"/>
        </w:rPr>
        <w:t xml:space="preserve"> Premature defoliation, Epidemiology, Conidia, </w:t>
      </w:r>
      <w:r w:rsidR="00A20203" w:rsidRPr="005D36DC">
        <w:rPr>
          <w:rFonts w:ascii="Arial" w:hAnsi="Arial" w:cs="Arial"/>
        </w:rPr>
        <w:t>Environment</w:t>
      </w:r>
    </w:p>
    <w:p w14:paraId="21564B47" w14:textId="72CAD701" w:rsidR="00A20203" w:rsidRPr="00617173" w:rsidRDefault="005D36DC" w:rsidP="00617173">
      <w:pPr>
        <w:pStyle w:val="ListParagraph"/>
        <w:numPr>
          <w:ilvl w:val="0"/>
          <w:numId w:val="2"/>
        </w:numPr>
        <w:jc w:val="both"/>
        <w:rPr>
          <w:rFonts w:ascii="Arial" w:eastAsia="Times New Roman" w:hAnsi="Arial" w:cs="Arial"/>
          <w:kern w:val="0"/>
          <w:lang w:eastAsia="en-IN"/>
          <w14:ligatures w14:val="none"/>
        </w:rPr>
      </w:pPr>
      <w:r w:rsidRPr="00617173">
        <w:rPr>
          <w:rFonts w:ascii="Arial" w:hAnsi="Arial" w:cs="Arial"/>
          <w:b/>
          <w:bCs/>
        </w:rPr>
        <w:t>INTRODUCTION</w:t>
      </w:r>
      <w:r w:rsidRPr="00617173">
        <w:rPr>
          <w:rFonts w:ascii="Arial" w:eastAsia="Times New Roman" w:hAnsi="Arial" w:cs="Arial"/>
          <w:kern w:val="0"/>
          <w:lang w:eastAsia="en-IN"/>
          <w14:ligatures w14:val="none"/>
        </w:rPr>
        <w:t xml:space="preserve"> </w:t>
      </w:r>
    </w:p>
    <w:p w14:paraId="4C08F36C" w14:textId="55FBAE87" w:rsidR="00A20203" w:rsidRPr="005D36DC" w:rsidRDefault="00A20203" w:rsidP="00436A5C">
      <w:pPr>
        <w:ind w:firstLine="720"/>
        <w:jc w:val="both"/>
        <w:rPr>
          <w:rFonts w:ascii="Arial" w:hAnsi="Arial" w:cs="Arial"/>
          <w:sz w:val="20"/>
          <w:szCs w:val="20"/>
        </w:rPr>
      </w:pPr>
      <w:proofErr w:type="spellStart"/>
      <w:r w:rsidRPr="005D36DC">
        <w:rPr>
          <w:rFonts w:ascii="Arial" w:hAnsi="Arial" w:cs="Arial"/>
          <w:sz w:val="20"/>
          <w:szCs w:val="20"/>
        </w:rPr>
        <w:t>Blackgram</w:t>
      </w:r>
      <w:proofErr w:type="spellEnd"/>
      <w:r w:rsidRPr="005D36DC">
        <w:rPr>
          <w:rFonts w:ascii="Arial" w:hAnsi="Arial" w:cs="Arial"/>
          <w:sz w:val="20"/>
          <w:szCs w:val="20"/>
        </w:rPr>
        <w:t>, a nutritionally enriched pulse crop, is prized for its high phosphoric acid content and adaptability to diverse cropping systems</w:t>
      </w:r>
      <w:r w:rsidR="008D7D91">
        <w:rPr>
          <w:rFonts w:ascii="Arial" w:hAnsi="Arial" w:cs="Arial"/>
          <w:sz w:val="20"/>
          <w:szCs w:val="20"/>
        </w:rPr>
        <w:t xml:space="preserve"> </w:t>
      </w:r>
      <w:r w:rsidR="008D7D91" w:rsidRPr="008D7D91">
        <w:rPr>
          <w:rFonts w:ascii="Arial" w:hAnsi="Arial" w:cs="Arial"/>
          <w:sz w:val="20"/>
          <w:szCs w:val="20"/>
          <w:highlight w:val="yellow"/>
        </w:rPr>
        <w:t>(Nitin, 2023)</w:t>
      </w:r>
      <w:r w:rsidRPr="008D7D91">
        <w:rPr>
          <w:rFonts w:ascii="Arial" w:hAnsi="Arial" w:cs="Arial"/>
          <w:sz w:val="20"/>
          <w:szCs w:val="20"/>
          <w:highlight w:val="yellow"/>
        </w:rPr>
        <w:t>.</w:t>
      </w:r>
      <w:r w:rsidRPr="005D36DC">
        <w:rPr>
          <w:rFonts w:ascii="Arial" w:hAnsi="Arial" w:cs="Arial"/>
          <w:sz w:val="20"/>
          <w:szCs w:val="20"/>
        </w:rPr>
        <w:t xml:space="preserve"> </w:t>
      </w:r>
      <w:r w:rsidR="00436A5C" w:rsidRPr="00436A5C">
        <w:rPr>
          <w:rFonts w:ascii="Arial" w:hAnsi="Arial" w:cs="Arial"/>
          <w:sz w:val="20"/>
          <w:szCs w:val="20"/>
          <w:highlight w:val="yellow"/>
        </w:rPr>
        <w:t xml:space="preserve">is a nutrient-dense pulse with a rich nutritional profile, making it a valuable dietary component, especially for vegetarians and vegans. Per 100 g, it provides 24% protein, 64 IU vitamin A, 0.41 mg thiamine (B1), 0.37 mg riboflavin (B2), 2.0 mg niacin, 7.5 mg vitamin C, 206 mg choline, 144 µg biotin, 90 µg folic acid, 3.5 mg pantothenic acid (B5), and 0.19 mg vitamin K (Nitin, 2023). Additionally, it is rich in soluble and insoluble dietary </w:t>
      </w:r>
      <w:proofErr w:type="spellStart"/>
      <w:r w:rsidR="00436A5C" w:rsidRPr="00436A5C">
        <w:rPr>
          <w:rFonts w:ascii="Arial" w:hAnsi="Arial" w:cs="Arial"/>
          <w:sz w:val="20"/>
          <w:szCs w:val="20"/>
          <w:highlight w:val="yellow"/>
        </w:rPr>
        <w:t>fibers</w:t>
      </w:r>
      <w:proofErr w:type="spellEnd"/>
      <w:r w:rsidR="00436A5C" w:rsidRPr="00436A5C">
        <w:rPr>
          <w:rFonts w:ascii="Arial" w:hAnsi="Arial" w:cs="Arial"/>
          <w:sz w:val="20"/>
          <w:szCs w:val="20"/>
          <w:highlight w:val="yellow"/>
        </w:rPr>
        <w:t>, promoting digestive health, preventing constipation, and reducing cholesterol levels, which support cardiovascular health. Beyond its nutritional benefits, black gram enhances soil fertility through symbiotic nitrogen fixation with Rhizobium in root nodules, acting as a natural biofertilizer. It also serves as nutritious dairy feed, green manure, and helps stabilize soil, reducing erosion (Swaminathan et al., 2023).</w:t>
      </w:r>
      <w:r w:rsidR="00436A5C">
        <w:rPr>
          <w:rFonts w:ascii="Arial" w:hAnsi="Arial" w:cs="Arial"/>
          <w:sz w:val="20"/>
          <w:szCs w:val="20"/>
        </w:rPr>
        <w:t xml:space="preserve"> </w:t>
      </w:r>
      <w:r w:rsidRPr="005D36DC">
        <w:rPr>
          <w:rFonts w:ascii="Arial" w:hAnsi="Arial" w:cs="Arial"/>
          <w:sz w:val="20"/>
          <w:szCs w:val="20"/>
        </w:rPr>
        <w:t xml:space="preserve">However, its productivity is severely constrained by biotic stresses, particularly powdery mildew caused by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xml:space="preserve"> DC, the most destructive foliar pathogen of this crop</w:t>
      </w:r>
      <w:r w:rsidR="00D03087">
        <w:rPr>
          <w:rFonts w:ascii="Arial" w:hAnsi="Arial" w:cs="Arial"/>
          <w:sz w:val="20"/>
          <w:szCs w:val="20"/>
        </w:rPr>
        <w:t xml:space="preserve"> </w:t>
      </w:r>
      <w:r w:rsidR="00D03087" w:rsidRPr="00D03087">
        <w:rPr>
          <w:rFonts w:ascii="Arial" w:hAnsi="Arial" w:cs="Arial"/>
          <w:sz w:val="20"/>
          <w:szCs w:val="20"/>
          <w:highlight w:val="yellow"/>
        </w:rPr>
        <w:t xml:space="preserve">(Meena </w:t>
      </w:r>
      <w:r w:rsidR="00D03087" w:rsidRPr="00D03087">
        <w:rPr>
          <w:rFonts w:ascii="Arial" w:hAnsi="Arial" w:cs="Arial"/>
          <w:i/>
          <w:iCs/>
          <w:sz w:val="20"/>
          <w:szCs w:val="20"/>
          <w:highlight w:val="yellow"/>
        </w:rPr>
        <w:t>et al.,</w:t>
      </w:r>
      <w:r w:rsidR="00D03087" w:rsidRPr="00D03087">
        <w:rPr>
          <w:rFonts w:ascii="Arial" w:hAnsi="Arial" w:cs="Arial"/>
          <w:sz w:val="20"/>
          <w:szCs w:val="20"/>
          <w:highlight w:val="yellow"/>
        </w:rPr>
        <w:t xml:space="preserve"> 2015)</w:t>
      </w:r>
      <w:r w:rsidRPr="00D03087">
        <w:rPr>
          <w:rFonts w:ascii="Arial" w:hAnsi="Arial" w:cs="Arial"/>
          <w:sz w:val="20"/>
          <w:szCs w:val="20"/>
          <w:highlight w:val="yellow"/>
        </w:rPr>
        <w:t>.</w:t>
      </w:r>
      <w:r w:rsidRPr="005D36DC">
        <w:rPr>
          <w:rFonts w:ascii="Arial" w:hAnsi="Arial" w:cs="Arial"/>
          <w:sz w:val="20"/>
          <w:szCs w:val="20"/>
        </w:rPr>
        <w:t xml:space="preserve"> The disease predominantly impacts aerial plant parts, impairing photosynthetic efficiency and inducing physiological disturbances, culminating in yield reductions ranging from 20–40% annually (</w:t>
      </w:r>
      <w:proofErr w:type="spellStart"/>
      <w:r w:rsidR="00B10EFD" w:rsidRPr="005D36DC">
        <w:rPr>
          <w:rFonts w:ascii="Arial" w:hAnsi="Arial" w:cs="Arial"/>
          <w:sz w:val="20"/>
          <w:szCs w:val="20"/>
        </w:rPr>
        <w:t>Chennaveeresh</w:t>
      </w:r>
      <w:proofErr w:type="spellEnd"/>
      <w:r w:rsidR="00B10EFD" w:rsidRPr="005D36DC">
        <w:rPr>
          <w:rFonts w:ascii="Arial" w:hAnsi="Arial" w:cs="Arial"/>
          <w:sz w:val="20"/>
          <w:szCs w:val="20"/>
        </w:rPr>
        <w:t xml:space="preserve"> </w:t>
      </w:r>
      <w:r w:rsidR="001B5B90" w:rsidRPr="005D36DC">
        <w:rPr>
          <w:rFonts w:ascii="Arial" w:hAnsi="Arial" w:cs="Arial"/>
          <w:sz w:val="20"/>
          <w:szCs w:val="20"/>
        </w:rPr>
        <w:t>and Kulkarni</w:t>
      </w:r>
      <w:r w:rsidR="00B10EFD" w:rsidRPr="005D36DC">
        <w:rPr>
          <w:rFonts w:ascii="Arial" w:hAnsi="Arial" w:cs="Arial"/>
          <w:sz w:val="20"/>
          <w:szCs w:val="20"/>
        </w:rPr>
        <w:t xml:space="preserve"> 2017</w:t>
      </w:r>
      <w:r w:rsidRPr="005D36DC">
        <w:rPr>
          <w:rFonts w:ascii="Arial" w:hAnsi="Arial" w:cs="Arial"/>
          <w:sz w:val="20"/>
          <w:szCs w:val="20"/>
        </w:rPr>
        <w:t xml:space="preserve">). Powdery mildew is most prevalent during the flowering and pod formation stages (35–40 days post-sowing) in the </w:t>
      </w:r>
      <w:r w:rsidR="00ED488D" w:rsidRPr="005D36DC">
        <w:rPr>
          <w:rFonts w:ascii="Arial" w:hAnsi="Arial" w:cs="Arial"/>
          <w:i/>
          <w:iCs/>
          <w:sz w:val="20"/>
          <w:szCs w:val="20"/>
        </w:rPr>
        <w:t>Rabi</w:t>
      </w:r>
      <w:r w:rsidRPr="005D36DC">
        <w:rPr>
          <w:rFonts w:ascii="Arial" w:hAnsi="Arial" w:cs="Arial"/>
          <w:sz w:val="20"/>
          <w:szCs w:val="20"/>
        </w:rPr>
        <w:t xml:space="preserve"> season, thriving under moderate temperatures (20–25°C) and elevated relative humidity (80–90%) (</w:t>
      </w:r>
      <w:r w:rsidR="00B10EFD" w:rsidRPr="005D36DC">
        <w:rPr>
          <w:rFonts w:ascii="Arial" w:hAnsi="Arial" w:cs="Arial"/>
          <w:sz w:val="20"/>
          <w:szCs w:val="20"/>
        </w:rPr>
        <w:t xml:space="preserve">Mishra </w:t>
      </w:r>
      <w:r w:rsidR="00B10EFD" w:rsidRPr="005D36DC">
        <w:rPr>
          <w:rFonts w:ascii="Arial" w:hAnsi="Arial" w:cs="Arial"/>
          <w:i/>
          <w:iCs/>
          <w:sz w:val="20"/>
          <w:szCs w:val="20"/>
        </w:rPr>
        <w:t>et al.,</w:t>
      </w:r>
      <w:r w:rsidR="00B10EFD" w:rsidRPr="005D36DC">
        <w:rPr>
          <w:rFonts w:ascii="Arial" w:hAnsi="Arial" w:cs="Arial"/>
          <w:sz w:val="20"/>
          <w:szCs w:val="20"/>
        </w:rPr>
        <w:t xml:space="preserve"> 2017</w:t>
      </w:r>
      <w:r w:rsidRPr="005D36DC">
        <w:rPr>
          <w:rFonts w:ascii="Arial" w:hAnsi="Arial" w:cs="Arial"/>
          <w:sz w:val="20"/>
          <w:szCs w:val="20"/>
        </w:rPr>
        <w:t xml:space="preserve">). The initial infection manifests as white, powdery patches on leaves and other photosynthetic tissues which expand into circular lesions leading to tissue desiccation, distortion and premature leaf loss. Advanced stages of infection accelerate plant senescence, significantly reducing the crop's yield potential. The </w:t>
      </w:r>
      <w:proofErr w:type="spellStart"/>
      <w:r w:rsidRPr="005D36DC">
        <w:rPr>
          <w:rFonts w:ascii="Arial" w:hAnsi="Arial" w:cs="Arial"/>
          <w:sz w:val="20"/>
          <w:szCs w:val="20"/>
        </w:rPr>
        <w:t>ectophytic</w:t>
      </w:r>
      <w:proofErr w:type="spellEnd"/>
      <w:r w:rsidRPr="005D36DC">
        <w:rPr>
          <w:rFonts w:ascii="Arial" w:hAnsi="Arial" w:cs="Arial"/>
          <w:sz w:val="20"/>
          <w:szCs w:val="20"/>
        </w:rPr>
        <w:t xml:space="preserve"> fungus forms specialized haustoria within epidermal cells and produces conidiophores on leaf surfaces</w:t>
      </w:r>
      <w:r w:rsidR="00ED488D" w:rsidRPr="005D36DC">
        <w:rPr>
          <w:rFonts w:ascii="Arial" w:hAnsi="Arial" w:cs="Arial"/>
          <w:sz w:val="20"/>
          <w:szCs w:val="20"/>
        </w:rPr>
        <w:t xml:space="preserve"> </w:t>
      </w:r>
      <w:r w:rsidRPr="005D36DC">
        <w:rPr>
          <w:rFonts w:ascii="Arial" w:hAnsi="Arial" w:cs="Arial"/>
          <w:sz w:val="20"/>
          <w:szCs w:val="20"/>
        </w:rPr>
        <w:t>which bear hyaline, single-celled conidia in chains (</w:t>
      </w:r>
      <w:proofErr w:type="spellStart"/>
      <w:r w:rsidRPr="005D36DC">
        <w:rPr>
          <w:rFonts w:ascii="Arial" w:hAnsi="Arial" w:cs="Arial"/>
          <w:sz w:val="20"/>
          <w:szCs w:val="20"/>
        </w:rPr>
        <w:t>Seethapathy</w:t>
      </w:r>
      <w:proofErr w:type="spellEnd"/>
      <w:r w:rsidRPr="005D36DC">
        <w:rPr>
          <w:rFonts w:ascii="Arial" w:hAnsi="Arial" w:cs="Arial"/>
          <w:sz w:val="20"/>
          <w:szCs w:val="20"/>
        </w:rPr>
        <w:t xml:space="preserve">, 2016). Morphologically, primary conidia are lanceolate and apically pointed, while secondary conidia are ellipsoid to cylindrical with rounded or truncate apices. At maturity, </w:t>
      </w:r>
      <w:proofErr w:type="spellStart"/>
      <w:r w:rsidRPr="005D36DC">
        <w:rPr>
          <w:rFonts w:ascii="Arial" w:hAnsi="Arial" w:cs="Arial"/>
          <w:sz w:val="20"/>
          <w:szCs w:val="20"/>
        </w:rPr>
        <w:t>cleistothecia</w:t>
      </w:r>
      <w:proofErr w:type="spellEnd"/>
      <w:r w:rsidRPr="005D36DC">
        <w:rPr>
          <w:rFonts w:ascii="Arial" w:hAnsi="Arial" w:cs="Arial"/>
          <w:sz w:val="20"/>
          <w:szCs w:val="20"/>
        </w:rPr>
        <w:t xml:space="preserve"> develop, releasing asci that contain ascospores which disseminate and initiate subsequent infections (</w:t>
      </w:r>
      <w:proofErr w:type="spellStart"/>
      <w:r w:rsidRPr="005D36DC">
        <w:rPr>
          <w:rFonts w:ascii="Arial" w:hAnsi="Arial" w:cs="Arial"/>
          <w:sz w:val="20"/>
          <w:szCs w:val="20"/>
        </w:rPr>
        <w:t>Seethapathy</w:t>
      </w:r>
      <w:proofErr w:type="spellEnd"/>
      <w:r w:rsidRPr="005D36DC">
        <w:rPr>
          <w:rFonts w:ascii="Arial" w:hAnsi="Arial" w:cs="Arial"/>
          <w:sz w:val="20"/>
          <w:szCs w:val="20"/>
        </w:rPr>
        <w:t>, 2016).</w:t>
      </w:r>
      <w:r w:rsidR="00981A7B" w:rsidRPr="00981A7B">
        <w:t xml:space="preserve"> </w:t>
      </w:r>
      <w:r w:rsidR="00981A7B" w:rsidRPr="00981A7B">
        <w:rPr>
          <w:rFonts w:ascii="Arial" w:hAnsi="Arial" w:cs="Arial"/>
          <w:sz w:val="20"/>
          <w:szCs w:val="20"/>
          <w:highlight w:val="yellow"/>
        </w:rPr>
        <w:t xml:space="preserve">The impact of powdery mildew on black gram cultivation is </w:t>
      </w:r>
      <w:r w:rsidR="00981A7B" w:rsidRPr="00981A7B">
        <w:rPr>
          <w:rFonts w:ascii="Arial" w:hAnsi="Arial" w:cs="Arial"/>
          <w:sz w:val="20"/>
          <w:szCs w:val="20"/>
          <w:highlight w:val="yellow"/>
        </w:rPr>
        <w:lastRenderedPageBreak/>
        <w:t>influenced by several factors, including the choice of cultivar, the plant's developmental stage and environmental conditions such as humidity and temperature. The disease’s global significance is underscored by its widespread occurrence in major black gram-growing regions, particularly the Indian subcontinent and Southeast Asia where it poses a persistent threat to production (Butler, 1918).</w:t>
      </w:r>
      <w:r w:rsidRPr="005D36DC">
        <w:rPr>
          <w:rFonts w:ascii="Arial" w:hAnsi="Arial" w:cs="Arial"/>
          <w:sz w:val="20"/>
          <w:szCs w:val="20"/>
        </w:rPr>
        <w:t xml:space="preserve"> </w:t>
      </w:r>
      <w:proofErr w:type="spellStart"/>
      <w:r w:rsidRPr="005D36DC">
        <w:rPr>
          <w:rFonts w:ascii="Arial" w:hAnsi="Arial" w:cs="Arial"/>
          <w:sz w:val="20"/>
          <w:szCs w:val="20"/>
        </w:rPr>
        <w:t>Analyzing</w:t>
      </w:r>
      <w:proofErr w:type="spellEnd"/>
      <w:r w:rsidRPr="005D36DC">
        <w:rPr>
          <w:rFonts w:ascii="Arial" w:hAnsi="Arial" w:cs="Arial"/>
          <w:sz w:val="20"/>
          <w:szCs w:val="20"/>
        </w:rPr>
        <w:t xml:space="preserve"> the epidemiology of powdery mildew in the context of environmental parameters allows for the quantification of relationships between independent climatic factors and disease progression enabling the formulation of predictive autoregressive models. Investigating the pathogen's response to climate variables such as relative humidity and temperature fluctuations provides invaluable insights into its epidemiological dynamics under future climate scenarios. These findings lay the groundwork for precise disease forecasting and the development of site-specific, adaptive management strategies aimed at minimizing crop losses. </w:t>
      </w:r>
    </w:p>
    <w:p w14:paraId="1AEEF73E" w14:textId="3EA74D42" w:rsidR="000754FA" w:rsidRDefault="005D36DC" w:rsidP="00617173">
      <w:pPr>
        <w:pStyle w:val="ListParagraph"/>
        <w:numPr>
          <w:ilvl w:val="0"/>
          <w:numId w:val="2"/>
        </w:numPr>
        <w:jc w:val="both"/>
        <w:rPr>
          <w:rFonts w:ascii="Arial" w:hAnsi="Arial" w:cs="Arial"/>
          <w:b/>
          <w:bCs/>
        </w:rPr>
      </w:pPr>
      <w:r w:rsidRPr="00617173">
        <w:rPr>
          <w:rFonts w:ascii="Arial" w:hAnsi="Arial" w:cs="Arial"/>
          <w:b/>
          <w:bCs/>
        </w:rPr>
        <w:t>MATERIAL AND METHODS</w:t>
      </w:r>
    </w:p>
    <w:p w14:paraId="55E07CB7" w14:textId="5D980FB0" w:rsidR="00981A7B" w:rsidRPr="00981A7B" w:rsidRDefault="00981A7B" w:rsidP="00981A7B">
      <w:pPr>
        <w:jc w:val="both"/>
        <w:rPr>
          <w:rFonts w:ascii="Arial" w:hAnsi="Arial" w:cs="Arial"/>
          <w:b/>
          <w:bCs/>
        </w:rPr>
      </w:pPr>
      <w:r>
        <w:rPr>
          <w:rFonts w:ascii="Arial" w:hAnsi="Arial" w:cs="Arial"/>
          <w:b/>
          <w:bCs/>
        </w:rPr>
        <w:t>COLLECTION AND PREPARATION OF INOCULUM</w:t>
      </w:r>
    </w:p>
    <w:p w14:paraId="7C045320" w14:textId="5568A09B" w:rsidR="000754FA" w:rsidRPr="005D36DC" w:rsidRDefault="00981A7B" w:rsidP="000754FA">
      <w:pPr>
        <w:ind w:firstLine="720"/>
        <w:jc w:val="both"/>
        <w:rPr>
          <w:rFonts w:ascii="Arial" w:hAnsi="Arial" w:cs="Arial"/>
          <w:sz w:val="20"/>
          <w:szCs w:val="20"/>
        </w:rPr>
      </w:pPr>
      <w:r w:rsidRPr="00981A7B">
        <w:rPr>
          <w:rFonts w:ascii="Arial" w:hAnsi="Arial" w:cs="Arial"/>
          <w:sz w:val="20"/>
          <w:szCs w:val="20"/>
          <w:highlight w:val="yellow"/>
        </w:rPr>
        <w:t xml:space="preserve">The inoculum of </w:t>
      </w:r>
      <w:r w:rsidRPr="00981A7B">
        <w:rPr>
          <w:rFonts w:ascii="Arial" w:hAnsi="Arial" w:cs="Arial"/>
          <w:i/>
          <w:iCs/>
          <w:sz w:val="20"/>
          <w:szCs w:val="20"/>
          <w:highlight w:val="yellow"/>
        </w:rPr>
        <w:t xml:space="preserve">Erysiphe </w:t>
      </w:r>
      <w:proofErr w:type="spellStart"/>
      <w:r w:rsidRPr="00981A7B">
        <w:rPr>
          <w:rFonts w:ascii="Arial" w:hAnsi="Arial" w:cs="Arial"/>
          <w:i/>
          <w:iCs/>
          <w:sz w:val="20"/>
          <w:szCs w:val="20"/>
          <w:highlight w:val="yellow"/>
        </w:rPr>
        <w:t>polygoni</w:t>
      </w:r>
      <w:proofErr w:type="spellEnd"/>
      <w:r w:rsidRPr="00981A7B">
        <w:rPr>
          <w:rFonts w:ascii="Arial" w:hAnsi="Arial" w:cs="Arial"/>
          <w:sz w:val="20"/>
          <w:szCs w:val="20"/>
          <w:highlight w:val="yellow"/>
        </w:rPr>
        <w:t xml:space="preserve"> was collected early in the morning from </w:t>
      </w:r>
      <w:proofErr w:type="spellStart"/>
      <w:r w:rsidRPr="00981A7B">
        <w:rPr>
          <w:rFonts w:ascii="Arial" w:hAnsi="Arial" w:cs="Arial"/>
          <w:sz w:val="20"/>
          <w:szCs w:val="20"/>
          <w:highlight w:val="yellow"/>
        </w:rPr>
        <w:t>blackgram</w:t>
      </w:r>
      <w:proofErr w:type="spellEnd"/>
      <w:r w:rsidRPr="00981A7B">
        <w:rPr>
          <w:rFonts w:ascii="Arial" w:hAnsi="Arial" w:cs="Arial"/>
          <w:sz w:val="20"/>
          <w:szCs w:val="20"/>
          <w:highlight w:val="yellow"/>
        </w:rPr>
        <w:t xml:space="preserve"> (</w:t>
      </w:r>
      <w:r w:rsidRPr="00981A7B">
        <w:rPr>
          <w:rFonts w:ascii="Arial" w:hAnsi="Arial" w:cs="Arial"/>
          <w:i/>
          <w:iCs/>
          <w:sz w:val="20"/>
          <w:szCs w:val="20"/>
          <w:highlight w:val="yellow"/>
        </w:rPr>
        <w:t>Vigna mungo</w:t>
      </w:r>
      <w:r w:rsidRPr="00981A7B">
        <w:rPr>
          <w:rFonts w:ascii="Arial" w:hAnsi="Arial" w:cs="Arial"/>
          <w:sz w:val="20"/>
          <w:szCs w:val="20"/>
          <w:highlight w:val="yellow"/>
        </w:rPr>
        <w:t>) plants exhibiting characteristic powdery mildew symptoms, with leaves showing distinct fungal colonies on the abaxial surface. These conidia were gently removed using a sterile cotton pad and a camel’s hairbrush and immediately transferred into a freshly prepared buffer solution (pH 7.0) using double-distilled water to maintain their viability. The resulting suspension was thoroughly agitated to ensure uniform dispersion and then adjusted to a concentration of 5000 conidia</w:t>
      </w:r>
      <w:r>
        <w:rPr>
          <w:rFonts w:ascii="Arial" w:hAnsi="Arial" w:cs="Arial"/>
          <w:sz w:val="20"/>
          <w:szCs w:val="20"/>
          <w:highlight w:val="yellow"/>
        </w:rPr>
        <w:t>/</w:t>
      </w:r>
      <w:r w:rsidRPr="00981A7B">
        <w:rPr>
          <w:rFonts w:ascii="Arial" w:hAnsi="Arial" w:cs="Arial"/>
          <w:sz w:val="20"/>
          <w:szCs w:val="20"/>
          <w:highlight w:val="yellow"/>
        </w:rPr>
        <w:t>m</w:t>
      </w:r>
      <w:r>
        <w:rPr>
          <w:rFonts w:ascii="Arial" w:hAnsi="Arial" w:cs="Arial"/>
          <w:sz w:val="20"/>
          <w:szCs w:val="20"/>
          <w:highlight w:val="yellow"/>
        </w:rPr>
        <w:t>l</w:t>
      </w:r>
      <w:r w:rsidRPr="00981A7B">
        <w:rPr>
          <w:rFonts w:ascii="Arial" w:hAnsi="Arial" w:cs="Arial"/>
          <w:sz w:val="20"/>
          <w:szCs w:val="20"/>
          <w:highlight w:val="yellow"/>
        </w:rPr>
        <w:t xml:space="preserve"> using a </w:t>
      </w:r>
      <w:proofErr w:type="spellStart"/>
      <w:r w:rsidRPr="00981A7B">
        <w:rPr>
          <w:rFonts w:ascii="Arial" w:hAnsi="Arial" w:cs="Arial"/>
          <w:sz w:val="20"/>
          <w:szCs w:val="20"/>
          <w:highlight w:val="yellow"/>
        </w:rPr>
        <w:t>hemocytometer</w:t>
      </w:r>
      <w:proofErr w:type="spellEnd"/>
      <w:r w:rsidRPr="00981A7B">
        <w:rPr>
          <w:rFonts w:ascii="Arial" w:hAnsi="Arial" w:cs="Arial"/>
          <w:sz w:val="20"/>
          <w:szCs w:val="20"/>
          <w:highlight w:val="yellow"/>
        </w:rPr>
        <w:t>, ensuring a standardized inoculum for subsequent experiments. Finally, the conidial suspension was incubated under controlled conditions for 24 hours to promote optimal germination, thereby preparing it for artificial inoculation and further disease progression studies</w:t>
      </w:r>
      <w:r w:rsidRPr="00981A7B">
        <w:rPr>
          <w:rFonts w:ascii="Arial" w:hAnsi="Arial" w:cs="Arial"/>
          <w:sz w:val="20"/>
          <w:szCs w:val="20"/>
        </w:rPr>
        <w:t>.</w:t>
      </w:r>
      <w:r w:rsidR="00A370F9" w:rsidRPr="005D36DC">
        <w:rPr>
          <w:rFonts w:ascii="Arial" w:hAnsi="Arial" w:cs="Arial"/>
          <w:sz w:val="20"/>
          <w:szCs w:val="20"/>
        </w:rPr>
        <w:t xml:space="preserve"> (Kumawat </w:t>
      </w:r>
      <w:r w:rsidR="00A370F9" w:rsidRPr="005D36DC">
        <w:rPr>
          <w:rFonts w:ascii="Arial" w:hAnsi="Arial" w:cs="Arial"/>
          <w:i/>
          <w:iCs/>
          <w:sz w:val="20"/>
          <w:szCs w:val="20"/>
        </w:rPr>
        <w:t>et al</w:t>
      </w:r>
      <w:r w:rsidR="00A370F9" w:rsidRPr="005D36DC">
        <w:rPr>
          <w:rFonts w:ascii="Arial" w:hAnsi="Arial" w:cs="Arial"/>
          <w:sz w:val="20"/>
          <w:szCs w:val="20"/>
        </w:rPr>
        <w:t>., 2016)</w:t>
      </w:r>
      <w:r w:rsidR="000754FA" w:rsidRPr="005D36DC">
        <w:rPr>
          <w:rFonts w:ascii="Arial" w:hAnsi="Arial" w:cs="Arial"/>
          <w:sz w:val="20"/>
          <w:szCs w:val="20"/>
        </w:rPr>
        <w:t>.</w:t>
      </w:r>
    </w:p>
    <w:p w14:paraId="172CA77A" w14:textId="1DCCC8D3" w:rsidR="00ED1A41" w:rsidRPr="005D36DC" w:rsidRDefault="00617173" w:rsidP="00ED1A41">
      <w:pPr>
        <w:jc w:val="both"/>
        <w:rPr>
          <w:rFonts w:ascii="Arial" w:hAnsi="Arial" w:cs="Arial"/>
          <w:b/>
          <w:bCs/>
        </w:rPr>
      </w:pPr>
      <w:r>
        <w:rPr>
          <w:rFonts w:ascii="Arial" w:hAnsi="Arial" w:cs="Arial"/>
          <w:b/>
          <w:bCs/>
        </w:rPr>
        <w:t xml:space="preserve">2.1 </w:t>
      </w:r>
      <w:r w:rsidR="005D36DC" w:rsidRPr="005D36DC">
        <w:rPr>
          <w:rFonts w:ascii="Arial" w:hAnsi="Arial" w:cs="Arial"/>
          <w:b/>
          <w:bCs/>
        </w:rPr>
        <w:t xml:space="preserve">EFFECT OF DIFFERENT CONCENTRATIONS OF SUGAR ON CONIDIAL GERMINATION </w:t>
      </w:r>
    </w:p>
    <w:p w14:paraId="3002E7D4" w14:textId="5B6FCFF7" w:rsidR="00ED1A41" w:rsidRPr="005D36DC" w:rsidRDefault="00ED1A41" w:rsidP="00ED488D">
      <w:pPr>
        <w:ind w:firstLine="720"/>
        <w:jc w:val="both"/>
        <w:rPr>
          <w:rFonts w:ascii="Arial" w:hAnsi="Arial" w:cs="Arial"/>
          <w:sz w:val="20"/>
          <w:szCs w:val="20"/>
        </w:rPr>
      </w:pPr>
      <w:r w:rsidRPr="005D36DC">
        <w:rPr>
          <w:rFonts w:ascii="Arial" w:hAnsi="Arial" w:cs="Arial"/>
          <w:sz w:val="20"/>
          <w:szCs w:val="20"/>
        </w:rPr>
        <w:t xml:space="preserve">Conidial suspensions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xml:space="preserve"> were prepared in sterilized distilled water, while sucrose and dextrose solutions were formulated at concentrations of 0.5%, 1.0%, 1.5% and 2.0% by dissolving the requisite quantities of sugar in 100 m</w:t>
      </w:r>
      <w:r w:rsidR="000B7BB2" w:rsidRPr="005D36DC">
        <w:rPr>
          <w:rFonts w:ascii="Arial" w:hAnsi="Arial" w:cs="Arial"/>
          <w:sz w:val="20"/>
          <w:szCs w:val="20"/>
        </w:rPr>
        <w:t>l</w:t>
      </w:r>
      <w:r w:rsidRPr="005D36DC">
        <w:rPr>
          <w:rFonts w:ascii="Arial" w:hAnsi="Arial" w:cs="Arial"/>
          <w:sz w:val="20"/>
          <w:szCs w:val="20"/>
        </w:rPr>
        <w:t xml:space="preserve"> of distilled water. Distilled water and tap water without sugar served as controls. Sterilized three-depression cavity slides were used with two drops of conidial suspension (</w:t>
      </w:r>
      <w:r w:rsidR="00C737D3" w:rsidRPr="005D36DC">
        <w:rPr>
          <w:rFonts w:ascii="Arial" w:hAnsi="Arial" w:cs="Arial"/>
          <w:sz w:val="20"/>
          <w:szCs w:val="20"/>
        </w:rPr>
        <w:t>5</w:t>
      </w:r>
      <w:r w:rsidRPr="005D36DC">
        <w:rPr>
          <w:rFonts w:ascii="Arial" w:hAnsi="Arial" w:cs="Arial"/>
          <w:sz w:val="20"/>
          <w:szCs w:val="20"/>
        </w:rPr>
        <w:t xml:space="preserve"> × 10³ conidia/mL) placed per cavity for each sugar concentration. Three replicates were maintained for each treatment. The inoculated slides were incubated at 24°C for 24 hours. Observations on conidial germination were recorded after 24 hours examining 100 conidia per replication. The percentage of conidial germination was calculated using the formula provided below.</w:t>
      </w:r>
    </w:p>
    <w:p w14:paraId="1297E40A" w14:textId="77777777" w:rsidR="009245B8" w:rsidRPr="005D36DC" w:rsidRDefault="00ED1A41" w:rsidP="00602CA0">
      <w:pPr>
        <w:jc w:val="both"/>
        <w:rPr>
          <w:rFonts w:ascii="Arial" w:eastAsiaTheme="minorEastAsia" w:hAnsi="Arial" w:cs="Arial"/>
          <w:sz w:val="20"/>
          <w:szCs w:val="20"/>
        </w:rPr>
      </w:pPr>
      <w:r w:rsidRPr="005D36DC">
        <w:rPr>
          <w:rFonts w:ascii="Arial" w:hAnsi="Arial" w:cs="Arial"/>
          <w:sz w:val="20"/>
          <w:szCs w:val="20"/>
        </w:rPr>
        <w:t xml:space="preserve">                                                    PG =  </w:t>
      </w:r>
      <m:oMath>
        <m:f>
          <m:fPr>
            <m:ctrlPr>
              <w:rPr>
                <w:rFonts w:ascii="Cambria Math" w:hAnsi="Cambria Math" w:cs="Arial"/>
                <w:i/>
                <w:sz w:val="20"/>
                <w:szCs w:val="20"/>
              </w:rPr>
            </m:ctrlPr>
          </m:fPr>
          <m:num>
            <m:r>
              <w:rPr>
                <w:rFonts w:ascii="Cambria Math" w:hAnsi="Cambria Math" w:cs="Arial"/>
                <w:sz w:val="20"/>
                <w:szCs w:val="20"/>
              </w:rPr>
              <m:t>A</m:t>
            </m:r>
          </m:num>
          <m:den>
            <m:r>
              <w:rPr>
                <w:rFonts w:ascii="Cambria Math" w:hAnsi="Cambria Math" w:cs="Arial"/>
                <w:sz w:val="20"/>
                <w:szCs w:val="20"/>
              </w:rPr>
              <m:t>B</m:t>
            </m:r>
          </m:den>
        </m:f>
        <m:r>
          <w:rPr>
            <w:rFonts w:ascii="Cambria Math" w:hAnsi="Cambria Math" w:cs="Arial"/>
            <w:sz w:val="20"/>
            <w:szCs w:val="20"/>
          </w:rPr>
          <m:t>*100</m:t>
        </m:r>
      </m:oMath>
    </w:p>
    <w:p w14:paraId="1B2FD9AC" w14:textId="11DE2757" w:rsidR="00ED1A41" w:rsidRPr="005D36DC" w:rsidRDefault="00ED1A41" w:rsidP="00602CA0">
      <w:pPr>
        <w:jc w:val="both"/>
        <w:rPr>
          <w:rFonts w:ascii="Arial" w:eastAsiaTheme="minorEastAsia" w:hAnsi="Arial" w:cs="Arial"/>
          <w:sz w:val="20"/>
          <w:szCs w:val="20"/>
        </w:rPr>
      </w:pPr>
      <w:r w:rsidRPr="005D36DC">
        <w:rPr>
          <w:rFonts w:ascii="Arial" w:eastAsiaTheme="minorEastAsia" w:hAnsi="Arial" w:cs="Arial"/>
          <w:sz w:val="20"/>
          <w:szCs w:val="20"/>
        </w:rPr>
        <w:t>Where,</w:t>
      </w:r>
    </w:p>
    <w:p w14:paraId="0AAE7217" w14:textId="0D6CE890" w:rsidR="00ED1A41" w:rsidRPr="005D36DC" w:rsidRDefault="00ED1A41" w:rsidP="00602CA0">
      <w:pPr>
        <w:jc w:val="both"/>
        <w:rPr>
          <w:rFonts w:ascii="Arial" w:eastAsiaTheme="minorEastAsia" w:hAnsi="Arial" w:cs="Arial"/>
          <w:sz w:val="20"/>
          <w:szCs w:val="20"/>
        </w:rPr>
      </w:pPr>
      <w:r w:rsidRPr="005D36DC">
        <w:rPr>
          <w:rFonts w:ascii="Arial" w:eastAsiaTheme="minorEastAsia" w:hAnsi="Arial" w:cs="Arial"/>
          <w:sz w:val="20"/>
          <w:szCs w:val="20"/>
        </w:rPr>
        <w:t>PG = Per cent germination, A = Number of conidia germinated, B = Total number of conidia examined</w:t>
      </w:r>
    </w:p>
    <w:p w14:paraId="5A394920" w14:textId="33F949EA" w:rsidR="00602CA0" w:rsidRPr="005D36DC" w:rsidRDefault="00617173" w:rsidP="00602CA0">
      <w:pPr>
        <w:jc w:val="both"/>
        <w:rPr>
          <w:rFonts w:ascii="Arial" w:eastAsiaTheme="minorEastAsia" w:hAnsi="Arial" w:cs="Arial"/>
        </w:rPr>
      </w:pPr>
      <w:r>
        <w:rPr>
          <w:rFonts w:ascii="Arial" w:hAnsi="Arial" w:cs="Arial"/>
          <w:b/>
          <w:bCs/>
        </w:rPr>
        <w:t xml:space="preserve">2.2 </w:t>
      </w:r>
      <w:r w:rsidR="005D36DC" w:rsidRPr="005D36DC">
        <w:rPr>
          <w:rFonts w:ascii="Arial" w:hAnsi="Arial" w:cs="Arial"/>
          <w:b/>
          <w:bCs/>
        </w:rPr>
        <w:t>EFFECT OF TEMPERATURE ON CONIDIAL GERMINATION</w:t>
      </w:r>
    </w:p>
    <w:p w14:paraId="7361C51A" w14:textId="62D66F07" w:rsidR="00602CA0" w:rsidRPr="005D36DC" w:rsidRDefault="00602CA0" w:rsidP="00602CA0">
      <w:pPr>
        <w:ind w:firstLine="720"/>
        <w:jc w:val="both"/>
        <w:rPr>
          <w:rFonts w:ascii="Arial" w:hAnsi="Arial" w:cs="Arial"/>
          <w:sz w:val="20"/>
          <w:szCs w:val="20"/>
        </w:rPr>
      </w:pPr>
      <w:r w:rsidRPr="005D36DC">
        <w:rPr>
          <w:rFonts w:ascii="Arial" w:hAnsi="Arial" w:cs="Arial"/>
          <w:sz w:val="20"/>
          <w:szCs w:val="20"/>
        </w:rPr>
        <w:t>The influence of temperature on conidial germination was evaluated by placing a drop of conidial suspension on sterilized cavity slides which were supported on glass rods inside Petri dishes. To maintain optimal moisture levels both halves of the Petri dishes were lined with sterilized filter paper sprayed with sterile water. Cavity slides were utilized instead of flat slides to prevent desiccation of the droplets</w:t>
      </w:r>
      <w:r w:rsidR="00C00793">
        <w:rPr>
          <w:rFonts w:ascii="Arial" w:hAnsi="Arial" w:cs="Arial"/>
          <w:sz w:val="20"/>
          <w:szCs w:val="20"/>
        </w:rPr>
        <w:t xml:space="preserve"> </w:t>
      </w:r>
      <w:r w:rsidR="00C00793" w:rsidRPr="00C00793">
        <w:rPr>
          <w:rFonts w:ascii="Arial" w:hAnsi="Arial" w:cs="Arial"/>
          <w:sz w:val="20"/>
          <w:szCs w:val="20"/>
          <w:highlight w:val="yellow"/>
        </w:rPr>
        <w:t>(Prakash and Saharan, 1999).</w:t>
      </w:r>
      <w:r w:rsidR="00C00793">
        <w:rPr>
          <w:rFonts w:ascii="Arial" w:hAnsi="Arial" w:cs="Arial"/>
          <w:sz w:val="20"/>
          <w:szCs w:val="20"/>
        </w:rPr>
        <w:t xml:space="preserve"> </w:t>
      </w:r>
      <w:r w:rsidRPr="005D36DC">
        <w:rPr>
          <w:rFonts w:ascii="Arial" w:hAnsi="Arial" w:cs="Arial"/>
          <w:sz w:val="20"/>
          <w:szCs w:val="20"/>
        </w:rPr>
        <w:t xml:space="preserve">The experimental protocol adhered to the standards outlined by the Committee on Standardization of Fungicide Tests of the American </w:t>
      </w:r>
      <w:proofErr w:type="spellStart"/>
      <w:r w:rsidRPr="005D36DC">
        <w:rPr>
          <w:rFonts w:ascii="Arial" w:hAnsi="Arial" w:cs="Arial"/>
          <w:sz w:val="20"/>
          <w:szCs w:val="20"/>
        </w:rPr>
        <w:t>Phytopathological</w:t>
      </w:r>
      <w:proofErr w:type="spellEnd"/>
      <w:r w:rsidRPr="005D36DC">
        <w:rPr>
          <w:rFonts w:ascii="Arial" w:hAnsi="Arial" w:cs="Arial"/>
          <w:sz w:val="20"/>
          <w:szCs w:val="20"/>
        </w:rPr>
        <w:t xml:space="preserve"> Society (1943). The conidial suspension, containing approximately 20 conidia per microscopic field under 10×10 magnification was incubated at five temperature levels: 15°C, 18°C, 21°C, 24°C</w:t>
      </w:r>
      <w:r w:rsidR="0059450F" w:rsidRPr="005D36DC">
        <w:rPr>
          <w:rFonts w:ascii="Arial" w:hAnsi="Arial" w:cs="Arial"/>
          <w:sz w:val="20"/>
          <w:szCs w:val="20"/>
        </w:rPr>
        <w:t>, 27°C</w:t>
      </w:r>
      <w:r w:rsidRPr="005D36DC">
        <w:rPr>
          <w:rFonts w:ascii="Arial" w:hAnsi="Arial" w:cs="Arial"/>
          <w:sz w:val="20"/>
          <w:szCs w:val="20"/>
        </w:rPr>
        <w:t xml:space="preserve"> and </w:t>
      </w:r>
      <w:r w:rsidR="0059450F" w:rsidRPr="005D36DC">
        <w:rPr>
          <w:rFonts w:ascii="Arial" w:hAnsi="Arial" w:cs="Arial"/>
          <w:sz w:val="20"/>
          <w:szCs w:val="20"/>
        </w:rPr>
        <w:t>30</w:t>
      </w:r>
      <w:r w:rsidRPr="005D36DC">
        <w:rPr>
          <w:rFonts w:ascii="Arial" w:hAnsi="Arial" w:cs="Arial"/>
          <w:sz w:val="20"/>
          <w:szCs w:val="20"/>
        </w:rPr>
        <w:t>°C using a digital B.O.D. incubator.</w:t>
      </w:r>
      <w:r w:rsidR="0059450F" w:rsidRPr="005D36DC">
        <w:rPr>
          <w:rFonts w:ascii="Arial" w:hAnsi="Arial" w:cs="Arial"/>
          <w:sz w:val="20"/>
          <w:szCs w:val="20"/>
        </w:rPr>
        <w:t xml:space="preserve"> </w:t>
      </w:r>
      <w:r w:rsidRPr="005D36DC">
        <w:rPr>
          <w:rFonts w:ascii="Arial" w:hAnsi="Arial" w:cs="Arial"/>
          <w:sz w:val="20"/>
          <w:szCs w:val="20"/>
        </w:rPr>
        <w:t xml:space="preserve">Three replicates were maintained for each temperature treatment. After 24 hours of incubation, the slides were removed, and a drop of lactophenol was immediately applied to arrest further conidial germination. </w:t>
      </w:r>
      <w:r w:rsidR="00A370F9" w:rsidRPr="005D36DC">
        <w:rPr>
          <w:rFonts w:ascii="Arial" w:hAnsi="Arial" w:cs="Arial"/>
          <w:sz w:val="20"/>
          <w:szCs w:val="20"/>
        </w:rPr>
        <w:t xml:space="preserve">The per cent germination was recorded as </w:t>
      </w:r>
      <w:r w:rsidR="00C737D3" w:rsidRPr="005D36DC">
        <w:rPr>
          <w:rFonts w:ascii="Arial" w:hAnsi="Arial" w:cs="Arial"/>
          <w:sz w:val="20"/>
          <w:szCs w:val="20"/>
        </w:rPr>
        <w:t>mentioned</w:t>
      </w:r>
      <w:r w:rsidR="00A370F9" w:rsidRPr="005D36DC">
        <w:rPr>
          <w:rFonts w:ascii="Arial" w:hAnsi="Arial" w:cs="Arial"/>
          <w:sz w:val="20"/>
          <w:szCs w:val="20"/>
        </w:rPr>
        <w:t xml:space="preserve"> in above</w:t>
      </w:r>
      <w:r w:rsidR="00617173">
        <w:rPr>
          <w:rFonts w:ascii="Arial" w:hAnsi="Arial" w:cs="Arial"/>
          <w:sz w:val="20"/>
          <w:szCs w:val="20"/>
        </w:rPr>
        <w:t xml:space="preserve"> 2.1</w:t>
      </w:r>
      <w:r w:rsidR="00A370F9" w:rsidRPr="005D36DC">
        <w:rPr>
          <w:rFonts w:ascii="Arial" w:hAnsi="Arial" w:cs="Arial"/>
          <w:sz w:val="20"/>
          <w:szCs w:val="20"/>
        </w:rPr>
        <w:t>.</w:t>
      </w:r>
    </w:p>
    <w:p w14:paraId="5C628237" w14:textId="595C22D4" w:rsidR="00602CA0" w:rsidRPr="005D36DC" w:rsidRDefault="00617173" w:rsidP="00602CA0">
      <w:pPr>
        <w:jc w:val="both"/>
        <w:rPr>
          <w:rFonts w:ascii="Arial" w:hAnsi="Arial" w:cs="Arial"/>
          <w:b/>
          <w:bCs/>
        </w:rPr>
      </w:pPr>
      <w:r>
        <w:rPr>
          <w:rFonts w:ascii="Arial" w:hAnsi="Arial" w:cs="Arial"/>
          <w:b/>
          <w:bCs/>
        </w:rPr>
        <w:lastRenderedPageBreak/>
        <w:t xml:space="preserve">2.3 </w:t>
      </w:r>
      <w:r w:rsidR="005D36DC" w:rsidRPr="005D36DC">
        <w:rPr>
          <w:rFonts w:ascii="Arial" w:hAnsi="Arial" w:cs="Arial"/>
          <w:b/>
          <w:bCs/>
        </w:rPr>
        <w:t>EFFECT OF RELATIVE HUMIDITY ON CONIDIAL GERMINATION</w:t>
      </w:r>
    </w:p>
    <w:p w14:paraId="6F189899" w14:textId="559D67F0" w:rsidR="005D36DC" w:rsidRPr="00981A7B" w:rsidRDefault="00602CA0" w:rsidP="00981A7B">
      <w:pPr>
        <w:ind w:firstLine="720"/>
        <w:jc w:val="both"/>
        <w:rPr>
          <w:rFonts w:ascii="Arial" w:hAnsi="Arial" w:cs="Arial"/>
        </w:rPr>
      </w:pPr>
      <w:r w:rsidRPr="005D36DC">
        <w:rPr>
          <w:rFonts w:ascii="Arial" w:hAnsi="Arial" w:cs="Arial"/>
          <w:sz w:val="20"/>
          <w:szCs w:val="20"/>
        </w:rPr>
        <w:t xml:space="preserve">The impact of relative humidity (RH) on the germination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xml:space="preserve"> conidia was evaluated using the previously described method for inoculum preparation. </w:t>
      </w:r>
      <w:r w:rsidR="0059450F" w:rsidRPr="005D36DC">
        <w:rPr>
          <w:rFonts w:ascii="Arial" w:hAnsi="Arial" w:cs="Arial"/>
          <w:sz w:val="20"/>
          <w:szCs w:val="20"/>
        </w:rPr>
        <w:t>Six</w:t>
      </w:r>
      <w:r w:rsidRPr="005D36DC">
        <w:rPr>
          <w:rFonts w:ascii="Arial" w:hAnsi="Arial" w:cs="Arial"/>
          <w:sz w:val="20"/>
          <w:szCs w:val="20"/>
        </w:rPr>
        <w:t xml:space="preserve"> distinct RH levels—</w:t>
      </w:r>
      <w:r w:rsidR="0059450F" w:rsidRPr="005D36DC">
        <w:rPr>
          <w:rFonts w:ascii="Arial" w:hAnsi="Arial" w:cs="Arial"/>
          <w:sz w:val="20"/>
          <w:szCs w:val="20"/>
        </w:rPr>
        <w:t xml:space="preserve"> 50%, </w:t>
      </w:r>
      <w:r w:rsidRPr="005D36DC">
        <w:rPr>
          <w:rFonts w:ascii="Arial" w:hAnsi="Arial" w:cs="Arial"/>
          <w:sz w:val="20"/>
          <w:szCs w:val="20"/>
        </w:rPr>
        <w:t xml:space="preserve">60%, 70%, 80%, 90% and 100%—were established within desiccators by varying the proportions of </w:t>
      </w:r>
      <w:r w:rsidR="0059450F" w:rsidRPr="005D36DC">
        <w:rPr>
          <w:rFonts w:ascii="Arial" w:hAnsi="Arial" w:cs="Arial"/>
          <w:sz w:val="20"/>
          <w:szCs w:val="20"/>
        </w:rPr>
        <w:t>glycerol</w:t>
      </w:r>
      <w:r w:rsidRPr="005D36DC">
        <w:rPr>
          <w:rFonts w:ascii="Arial" w:hAnsi="Arial" w:cs="Arial"/>
          <w:sz w:val="20"/>
          <w:szCs w:val="20"/>
        </w:rPr>
        <w:t xml:space="preserve"> and sterilized double-distilled water following the method recommended by</w:t>
      </w:r>
      <w:r w:rsidR="0059450F" w:rsidRPr="005D36DC">
        <w:rPr>
          <w:rFonts w:ascii="Arial" w:hAnsi="Arial" w:cs="Arial"/>
          <w:sz w:val="20"/>
          <w:szCs w:val="20"/>
        </w:rPr>
        <w:t xml:space="preserve"> </w:t>
      </w:r>
      <w:proofErr w:type="spellStart"/>
      <w:r w:rsidR="0059450F" w:rsidRPr="005D36DC">
        <w:rPr>
          <w:rFonts w:ascii="Arial" w:hAnsi="Arial" w:cs="Arial"/>
          <w:sz w:val="20"/>
          <w:szCs w:val="20"/>
        </w:rPr>
        <w:t>Marcoli</w:t>
      </w:r>
      <w:proofErr w:type="spellEnd"/>
      <w:r w:rsidR="0059450F" w:rsidRPr="005D36DC">
        <w:rPr>
          <w:rFonts w:ascii="Arial" w:hAnsi="Arial" w:cs="Arial"/>
          <w:sz w:val="20"/>
          <w:szCs w:val="20"/>
        </w:rPr>
        <w:t xml:space="preserve"> and Peter, 2005.</w:t>
      </w:r>
      <w:r w:rsidR="00C76A99" w:rsidRPr="005D36DC">
        <w:rPr>
          <w:rFonts w:ascii="Arial" w:hAnsi="Arial" w:cs="Arial"/>
          <w:sz w:val="20"/>
          <w:szCs w:val="20"/>
        </w:rPr>
        <w:t xml:space="preserve"> The desiccators were then incubated in an incubator at 24°C for 24 hours. The per cent germination was recorded as </w:t>
      </w:r>
      <w:r w:rsidR="00C737D3" w:rsidRPr="005D36DC">
        <w:rPr>
          <w:rFonts w:ascii="Arial" w:hAnsi="Arial" w:cs="Arial"/>
          <w:sz w:val="20"/>
          <w:szCs w:val="20"/>
        </w:rPr>
        <w:t>mentioned</w:t>
      </w:r>
      <w:r w:rsidR="00C76A99" w:rsidRPr="005D36DC">
        <w:rPr>
          <w:rFonts w:ascii="Arial" w:hAnsi="Arial" w:cs="Arial"/>
          <w:sz w:val="20"/>
          <w:szCs w:val="20"/>
        </w:rPr>
        <w:t xml:space="preserve"> in above</w:t>
      </w:r>
      <w:r w:rsidR="00617173">
        <w:rPr>
          <w:rFonts w:ascii="Arial" w:hAnsi="Arial" w:cs="Arial"/>
          <w:sz w:val="20"/>
          <w:szCs w:val="20"/>
        </w:rPr>
        <w:t xml:space="preserve"> 2.1</w:t>
      </w:r>
      <w:r w:rsidR="00C76A99" w:rsidRPr="005D36DC">
        <w:rPr>
          <w:rFonts w:ascii="Arial" w:hAnsi="Arial" w:cs="Arial"/>
        </w:rPr>
        <w:t>.</w:t>
      </w:r>
    </w:p>
    <w:p w14:paraId="52D7EA75" w14:textId="2843CC68" w:rsidR="002A7039" w:rsidRPr="00617173" w:rsidRDefault="002A7039" w:rsidP="00617173">
      <w:pPr>
        <w:pStyle w:val="ListParagraph"/>
        <w:numPr>
          <w:ilvl w:val="0"/>
          <w:numId w:val="2"/>
        </w:numPr>
        <w:jc w:val="both"/>
        <w:rPr>
          <w:rFonts w:ascii="Arial" w:hAnsi="Arial" w:cs="Arial"/>
          <w:b/>
          <w:bCs/>
        </w:rPr>
      </w:pPr>
      <w:r w:rsidRPr="00617173">
        <w:rPr>
          <w:rFonts w:ascii="Arial" w:hAnsi="Arial" w:cs="Arial"/>
          <w:b/>
          <w:bCs/>
        </w:rPr>
        <w:t>RESULTS</w:t>
      </w:r>
      <w:r w:rsidR="000D7F4F" w:rsidRPr="00617173">
        <w:rPr>
          <w:rFonts w:ascii="Arial" w:hAnsi="Arial" w:cs="Arial"/>
          <w:b/>
          <w:bCs/>
        </w:rPr>
        <w:t xml:space="preserve"> AND DISCUSSION</w:t>
      </w:r>
    </w:p>
    <w:p w14:paraId="1CA59F9D" w14:textId="16112EC8" w:rsidR="005F40F9" w:rsidRPr="005D36DC" w:rsidRDefault="00617173" w:rsidP="005F40F9">
      <w:pPr>
        <w:jc w:val="both"/>
        <w:rPr>
          <w:rFonts w:ascii="Arial" w:hAnsi="Arial" w:cs="Arial"/>
          <w:b/>
          <w:bCs/>
        </w:rPr>
      </w:pPr>
      <w:r>
        <w:rPr>
          <w:rFonts w:ascii="Arial" w:hAnsi="Arial" w:cs="Arial"/>
          <w:b/>
          <w:bCs/>
        </w:rPr>
        <w:t xml:space="preserve">3.1 </w:t>
      </w:r>
      <w:r w:rsidRPr="005D36DC">
        <w:rPr>
          <w:rFonts w:ascii="Arial" w:hAnsi="Arial" w:cs="Arial"/>
          <w:b/>
          <w:bCs/>
        </w:rPr>
        <w:t xml:space="preserve">EFFECT OF DIFFERENT CONCENTRATIONS OF SUGAR ON CONIDIAL GERMINATION </w:t>
      </w:r>
    </w:p>
    <w:p w14:paraId="661979DE" w14:textId="6341F044" w:rsidR="000D7F4F" w:rsidRPr="005D36DC" w:rsidRDefault="000D7F4F" w:rsidP="009245B8">
      <w:pPr>
        <w:ind w:firstLine="720"/>
        <w:jc w:val="both"/>
        <w:rPr>
          <w:rFonts w:ascii="Arial" w:hAnsi="Arial" w:cs="Arial"/>
        </w:rPr>
      </w:pPr>
      <w:r w:rsidRPr="005D36DC">
        <w:rPr>
          <w:rFonts w:ascii="Arial" w:hAnsi="Arial" w:cs="Arial"/>
          <w:sz w:val="20"/>
          <w:szCs w:val="20"/>
        </w:rPr>
        <w:t>The study investigates the influence of varying sugar concentrations on the germination of fungal conidia with a focus on dextrose and sucrose. The findings reveal a statistically significant impact of sugar solutions on conidial germination rates. The highest germination rate (77.33%) was observed in a 2% dextrose solution which demonstrated significant superiority over other media. This was followed by 1.5% dextrose and 1.5% sucrose solutions which recorded germination rates of 72.67% and 72.00% respectively. Control treatments, including tap water, sterile water and distilled water exhibited comparatively lower germination rates of 57.33%, 51.33% and 56.67%, respectively. Among the sugar solutions tested, the lowest germination rate (58.08%) was associated with 0.5% sucrose</w:t>
      </w:r>
      <w:r w:rsidR="00250DF6" w:rsidRPr="005D36DC">
        <w:rPr>
          <w:rFonts w:ascii="Arial" w:hAnsi="Arial" w:cs="Arial"/>
          <w:sz w:val="20"/>
          <w:szCs w:val="20"/>
        </w:rPr>
        <w:t xml:space="preserve"> (Table 1</w:t>
      </w:r>
      <w:r w:rsidR="00856B42" w:rsidRPr="005D36DC">
        <w:rPr>
          <w:rFonts w:ascii="Arial" w:hAnsi="Arial" w:cs="Arial"/>
          <w:sz w:val="20"/>
          <w:szCs w:val="20"/>
        </w:rPr>
        <w:t xml:space="preserve"> and Fig 1</w:t>
      </w:r>
      <w:r w:rsidR="00250DF6" w:rsidRPr="005D36DC">
        <w:rPr>
          <w:rFonts w:ascii="Arial" w:hAnsi="Arial" w:cs="Arial"/>
          <w:sz w:val="20"/>
          <w:szCs w:val="20"/>
        </w:rPr>
        <w:t>)</w:t>
      </w:r>
      <w:r w:rsidRPr="005D36DC">
        <w:rPr>
          <w:rFonts w:ascii="Arial" w:hAnsi="Arial" w:cs="Arial"/>
          <w:sz w:val="20"/>
          <w:szCs w:val="20"/>
        </w:rPr>
        <w:t>.</w:t>
      </w:r>
      <w:r w:rsidR="009245B8" w:rsidRPr="005D36DC">
        <w:rPr>
          <w:rFonts w:ascii="Arial" w:hAnsi="Arial" w:cs="Arial"/>
          <w:sz w:val="20"/>
          <w:szCs w:val="20"/>
        </w:rPr>
        <w:t xml:space="preserve"> </w:t>
      </w:r>
      <w:r w:rsidRPr="005D36DC">
        <w:rPr>
          <w:rFonts w:ascii="Arial" w:hAnsi="Arial" w:cs="Arial"/>
          <w:sz w:val="20"/>
          <w:szCs w:val="20"/>
        </w:rPr>
        <w:t xml:space="preserve">These findings underscore the critical role of carbon sources in fungal physiology, particularly the ability of higher sugar concentrations, such as 2% dextrose, to enhance conidial germination. Conversely, reduced sugar concentrations or water-based treatments result in significantly lower germination rates. This study provides valuable insights into fungal growth dynamics under varying nutritional conditions and highlights the potential implications of carbon source optimization in fungal biology. The findings were in accordance with Jyothi </w:t>
      </w:r>
      <w:r w:rsidRPr="005D36DC">
        <w:rPr>
          <w:rFonts w:ascii="Arial" w:hAnsi="Arial" w:cs="Arial"/>
          <w:i/>
          <w:iCs/>
          <w:sz w:val="20"/>
          <w:szCs w:val="20"/>
        </w:rPr>
        <w:t>et al.</w:t>
      </w:r>
      <w:r w:rsidRPr="005D36DC">
        <w:rPr>
          <w:rFonts w:ascii="Arial" w:hAnsi="Arial" w:cs="Arial"/>
          <w:sz w:val="20"/>
          <w:szCs w:val="20"/>
        </w:rPr>
        <w:t xml:space="preserve"> 2014 who reported that </w:t>
      </w:r>
      <w:r w:rsidR="000740AD" w:rsidRPr="005D36DC">
        <w:rPr>
          <w:rFonts w:ascii="Arial" w:hAnsi="Arial" w:cs="Arial"/>
          <w:sz w:val="20"/>
          <w:szCs w:val="20"/>
        </w:rPr>
        <w:t>m</w:t>
      </w:r>
      <w:r w:rsidRPr="005D36DC">
        <w:rPr>
          <w:rFonts w:ascii="Arial" w:hAnsi="Arial" w:cs="Arial"/>
          <w:sz w:val="20"/>
          <w:szCs w:val="20"/>
        </w:rPr>
        <w:t>aximum germination of conidia was observed at 2.0 per cent dextrose solution (75.50%) at 24h after incubation. Very poor germination was recorded in sterile water compared to tap water. Similarly</w:t>
      </w:r>
      <w:r w:rsidR="005F40F9" w:rsidRPr="005D36DC">
        <w:rPr>
          <w:rFonts w:ascii="Arial" w:hAnsi="Arial" w:cs="Arial"/>
          <w:sz w:val="20"/>
          <w:szCs w:val="20"/>
        </w:rPr>
        <w:t xml:space="preserve">, </w:t>
      </w:r>
      <w:r w:rsidRPr="005D36DC">
        <w:rPr>
          <w:rFonts w:ascii="Arial" w:hAnsi="Arial" w:cs="Arial"/>
          <w:sz w:val="20"/>
          <w:szCs w:val="20"/>
        </w:rPr>
        <w:t xml:space="preserve">Ashwini </w:t>
      </w:r>
      <w:r w:rsidRPr="005D36DC">
        <w:rPr>
          <w:rFonts w:ascii="Arial" w:hAnsi="Arial" w:cs="Arial"/>
          <w:i/>
          <w:iCs/>
          <w:sz w:val="20"/>
          <w:szCs w:val="20"/>
        </w:rPr>
        <w:t>et al.,</w:t>
      </w:r>
      <w:r w:rsidRPr="005D36DC">
        <w:rPr>
          <w:rFonts w:ascii="Arial" w:hAnsi="Arial" w:cs="Arial"/>
          <w:sz w:val="20"/>
          <w:szCs w:val="20"/>
        </w:rPr>
        <w:t xml:space="preserve"> 2021 reported that After 24 hours of incubation, maximum conidial germination (84.64%) was observed in 1.5 per cent glucose solution which differed significantly with remaining treatments followed by glucose (79.15%) at 2 per cent concentration. Least conidial germination was noticed in distilled water (64.28%).</w:t>
      </w:r>
    </w:p>
    <w:p w14:paraId="28F738CE" w14:textId="7AF2EAF9" w:rsidR="005F40F9" w:rsidRPr="005D36DC" w:rsidRDefault="00617173" w:rsidP="005F40F9">
      <w:pPr>
        <w:jc w:val="both"/>
        <w:rPr>
          <w:rFonts w:ascii="Arial" w:hAnsi="Arial" w:cs="Arial"/>
          <w:b/>
          <w:bCs/>
        </w:rPr>
      </w:pPr>
      <w:r>
        <w:rPr>
          <w:rFonts w:ascii="Arial" w:hAnsi="Arial" w:cs="Arial"/>
          <w:b/>
          <w:bCs/>
        </w:rPr>
        <w:t xml:space="preserve">3.2 </w:t>
      </w:r>
      <w:r w:rsidRPr="005D36DC">
        <w:rPr>
          <w:rFonts w:ascii="Arial" w:hAnsi="Arial" w:cs="Arial"/>
          <w:b/>
          <w:bCs/>
        </w:rPr>
        <w:t>EFFECT OF TEMPERATURE ON CONIDIAL GERMINATION</w:t>
      </w:r>
    </w:p>
    <w:p w14:paraId="3A98CE42" w14:textId="35C46A95" w:rsidR="00A80F5F" w:rsidRPr="005D36DC" w:rsidRDefault="00A80F5F" w:rsidP="000B7BB2">
      <w:pPr>
        <w:ind w:firstLine="720"/>
        <w:jc w:val="both"/>
        <w:rPr>
          <w:rFonts w:ascii="Arial" w:hAnsi="Arial" w:cs="Arial"/>
          <w:sz w:val="20"/>
          <w:szCs w:val="20"/>
        </w:rPr>
      </w:pPr>
      <w:r w:rsidRPr="005D36DC">
        <w:rPr>
          <w:rFonts w:ascii="Arial" w:hAnsi="Arial" w:cs="Arial"/>
          <w:sz w:val="20"/>
          <w:szCs w:val="20"/>
        </w:rPr>
        <w:t xml:space="preserve">The conidial germination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xml:space="preserve"> was significantly influenced by atmospheric temperature, as evident from the data presented in [Table</w:t>
      </w:r>
      <w:r w:rsidR="000B7BB2" w:rsidRPr="005D36DC">
        <w:rPr>
          <w:rFonts w:ascii="Arial" w:hAnsi="Arial" w:cs="Arial"/>
          <w:sz w:val="20"/>
          <w:szCs w:val="20"/>
        </w:rPr>
        <w:t xml:space="preserve"> 2 and </w:t>
      </w:r>
      <w:r w:rsidRPr="005D36DC">
        <w:rPr>
          <w:rFonts w:ascii="Arial" w:hAnsi="Arial" w:cs="Arial"/>
          <w:sz w:val="20"/>
          <w:szCs w:val="20"/>
        </w:rPr>
        <w:t>Fig-</w:t>
      </w:r>
      <w:r w:rsidR="000B7BB2" w:rsidRPr="005D36DC">
        <w:rPr>
          <w:rFonts w:ascii="Arial" w:hAnsi="Arial" w:cs="Arial"/>
          <w:sz w:val="20"/>
          <w:szCs w:val="20"/>
        </w:rPr>
        <w:t>2</w:t>
      </w:r>
      <w:r w:rsidRPr="005D36DC">
        <w:rPr>
          <w:rFonts w:ascii="Arial" w:hAnsi="Arial" w:cs="Arial"/>
          <w:sz w:val="20"/>
          <w:szCs w:val="20"/>
        </w:rPr>
        <w:t>]. The highest conidial germination rate (64.67%) was observed at 2</w:t>
      </w:r>
      <w:r w:rsidR="000B7BB2" w:rsidRPr="005D36DC">
        <w:rPr>
          <w:rFonts w:ascii="Arial" w:hAnsi="Arial" w:cs="Arial"/>
          <w:sz w:val="20"/>
          <w:szCs w:val="20"/>
        </w:rPr>
        <w:t>4</w:t>
      </w:r>
      <w:r w:rsidRPr="005D36DC">
        <w:rPr>
          <w:rFonts w:ascii="Arial" w:hAnsi="Arial" w:cs="Arial"/>
          <w:sz w:val="20"/>
          <w:szCs w:val="20"/>
        </w:rPr>
        <w:t xml:space="preserve">°C, which differed significantly from the germination rates recorded at other temperature levels. This was followed by germination rates of 57.33% at 21°C and 49.33% at 27°C. The lowest germination rate (37.67%) was recorded at 15°C. Interestingly, 24°C was identified as the optimum temperature for maximal conidial germination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as temperatures both below and above this threshold caused a significant reduction in germination</w:t>
      </w:r>
      <w:r w:rsidR="000B7BB2" w:rsidRPr="005D36DC">
        <w:rPr>
          <w:rFonts w:ascii="Arial" w:hAnsi="Arial" w:cs="Arial"/>
          <w:sz w:val="20"/>
          <w:szCs w:val="20"/>
        </w:rPr>
        <w:t xml:space="preserve">. </w:t>
      </w:r>
      <w:r w:rsidRPr="005D36DC">
        <w:rPr>
          <w:rFonts w:ascii="Arial" w:hAnsi="Arial" w:cs="Arial"/>
          <w:sz w:val="20"/>
          <w:szCs w:val="20"/>
        </w:rPr>
        <w:t xml:space="preserve">These findings align with the results reported by Kumawat </w:t>
      </w:r>
      <w:r w:rsidRPr="005D36DC">
        <w:rPr>
          <w:rFonts w:ascii="Arial" w:hAnsi="Arial" w:cs="Arial"/>
          <w:i/>
          <w:iCs/>
          <w:sz w:val="20"/>
          <w:szCs w:val="20"/>
        </w:rPr>
        <w:t>et al</w:t>
      </w:r>
      <w:r w:rsidRPr="005D36DC">
        <w:rPr>
          <w:rFonts w:ascii="Arial" w:hAnsi="Arial" w:cs="Arial"/>
          <w:sz w:val="20"/>
          <w:szCs w:val="20"/>
        </w:rPr>
        <w:t xml:space="preserve">. (2016), who observed maximum conidial germination at 24°C. Similarly, Ashwini </w:t>
      </w:r>
      <w:r w:rsidRPr="005D36DC">
        <w:rPr>
          <w:rFonts w:ascii="Arial" w:hAnsi="Arial" w:cs="Arial"/>
          <w:i/>
          <w:iCs/>
          <w:sz w:val="20"/>
          <w:szCs w:val="20"/>
        </w:rPr>
        <w:t>et al.</w:t>
      </w:r>
      <w:r w:rsidRPr="005D36DC">
        <w:rPr>
          <w:rFonts w:ascii="Arial" w:hAnsi="Arial" w:cs="Arial"/>
          <w:sz w:val="20"/>
          <w:szCs w:val="20"/>
        </w:rPr>
        <w:t xml:space="preserve"> (2021) documented a peak germination rate of 58.12% at 25°C, which significantly differed from germination rates at other temperatures. Poor germination rates of 8.28% and 20.23% were recorded at lower temperatures of 5°C and 10°C, respectively.</w:t>
      </w:r>
      <w:r w:rsidR="000B7BB2" w:rsidRPr="005D36DC">
        <w:rPr>
          <w:rFonts w:ascii="Arial" w:hAnsi="Arial" w:cs="Arial"/>
          <w:sz w:val="20"/>
          <w:szCs w:val="20"/>
        </w:rPr>
        <w:t xml:space="preserve"> </w:t>
      </w:r>
      <w:r w:rsidRPr="005D36DC">
        <w:rPr>
          <w:rFonts w:ascii="Arial" w:hAnsi="Arial" w:cs="Arial"/>
          <w:sz w:val="20"/>
          <w:szCs w:val="20"/>
        </w:rPr>
        <w:t xml:space="preserve">This study underscores the pivotal role of temperature as a key abiotic factor affecting the distribution, growth and reproductive capacity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Understanding the temperature-dependent dynamics of conidial germination provides critical insights into fungal ecology and its potential management under varying climatic conditions.</w:t>
      </w:r>
    </w:p>
    <w:p w14:paraId="43FE68CE" w14:textId="20C48F0A" w:rsidR="00A80F5F" w:rsidRPr="005D36DC" w:rsidRDefault="00617173" w:rsidP="00A80F5F">
      <w:pPr>
        <w:jc w:val="both"/>
        <w:rPr>
          <w:rFonts w:ascii="Arial" w:hAnsi="Arial" w:cs="Arial"/>
          <w:b/>
          <w:bCs/>
        </w:rPr>
      </w:pPr>
      <w:r>
        <w:rPr>
          <w:rFonts w:ascii="Arial" w:hAnsi="Arial" w:cs="Arial"/>
          <w:b/>
          <w:bCs/>
        </w:rPr>
        <w:t xml:space="preserve">3.3 </w:t>
      </w:r>
      <w:r w:rsidRPr="005D36DC">
        <w:rPr>
          <w:rFonts w:ascii="Arial" w:hAnsi="Arial" w:cs="Arial"/>
          <w:b/>
          <w:bCs/>
        </w:rPr>
        <w:t>EFFECT OF RELATIVE HUMIDITY ON CONIDIAL GERMINATION</w:t>
      </w:r>
    </w:p>
    <w:p w14:paraId="05F07905" w14:textId="4ACED582" w:rsidR="00AA48D1" w:rsidRPr="005D36DC" w:rsidRDefault="00CC4C8D" w:rsidP="00AE1603">
      <w:pPr>
        <w:ind w:firstLine="720"/>
        <w:jc w:val="both"/>
        <w:rPr>
          <w:rFonts w:ascii="Arial" w:hAnsi="Arial" w:cs="Arial"/>
          <w:sz w:val="20"/>
          <w:szCs w:val="20"/>
        </w:rPr>
      </w:pPr>
      <w:r w:rsidRPr="005D36DC">
        <w:rPr>
          <w:rFonts w:ascii="Arial" w:hAnsi="Arial" w:cs="Arial"/>
          <w:sz w:val="20"/>
          <w:szCs w:val="20"/>
        </w:rPr>
        <w:t xml:space="preserve">The present study investigated the impact of relative humidity (RH) on conidial germination under controlled conditions at 24°C. The results demonstrated that conidial germination was significantly influenced by RH levels. The maximum germination rate, 78.33% was observed at 80% </w:t>
      </w:r>
      <w:r w:rsidRPr="005D36DC">
        <w:rPr>
          <w:rFonts w:ascii="Arial" w:hAnsi="Arial" w:cs="Arial"/>
          <w:sz w:val="20"/>
          <w:szCs w:val="20"/>
        </w:rPr>
        <w:lastRenderedPageBreak/>
        <w:t>RH which was statistically superior to all other treatments. The second highest germination rate, 68.33% was recorded at 70% RH followed by 55.00% at 90% RH and 46.67% at 100% RH. These levels varied significantly among themselves. The lowest germination rate, 36.33% occurred at 50% RH</w:t>
      </w:r>
      <w:r w:rsidR="00250DF6" w:rsidRPr="005D36DC">
        <w:rPr>
          <w:rFonts w:ascii="Arial" w:hAnsi="Arial" w:cs="Arial"/>
          <w:sz w:val="20"/>
          <w:szCs w:val="20"/>
        </w:rPr>
        <w:t xml:space="preserve"> (Table 3</w:t>
      </w:r>
      <w:r w:rsidR="00856B42" w:rsidRPr="005D36DC">
        <w:rPr>
          <w:rFonts w:ascii="Arial" w:hAnsi="Arial" w:cs="Arial"/>
          <w:sz w:val="20"/>
          <w:szCs w:val="20"/>
        </w:rPr>
        <w:t xml:space="preserve"> and Fig 3</w:t>
      </w:r>
      <w:r w:rsidR="00250DF6" w:rsidRPr="005D36DC">
        <w:rPr>
          <w:rFonts w:ascii="Arial" w:hAnsi="Arial" w:cs="Arial"/>
          <w:sz w:val="20"/>
          <w:szCs w:val="20"/>
        </w:rPr>
        <w:t>)</w:t>
      </w:r>
      <w:r w:rsidRPr="005D36DC">
        <w:rPr>
          <w:rFonts w:ascii="Arial" w:hAnsi="Arial" w:cs="Arial"/>
          <w:sz w:val="20"/>
          <w:szCs w:val="20"/>
        </w:rPr>
        <w:t xml:space="preserve">. These findings align with the observations of Jyothi </w:t>
      </w:r>
      <w:r w:rsidRPr="005D36DC">
        <w:rPr>
          <w:rFonts w:ascii="Arial" w:hAnsi="Arial" w:cs="Arial"/>
          <w:i/>
          <w:iCs/>
          <w:sz w:val="20"/>
          <w:szCs w:val="20"/>
        </w:rPr>
        <w:t>et al.</w:t>
      </w:r>
      <w:r w:rsidRPr="005D36DC">
        <w:rPr>
          <w:rFonts w:ascii="Arial" w:hAnsi="Arial" w:cs="Arial"/>
          <w:sz w:val="20"/>
          <w:szCs w:val="20"/>
        </w:rPr>
        <w:t xml:space="preserve"> (2014), who reported optimal conidial germination of 70.50% at 80% RH, and Vikas and </w:t>
      </w:r>
      <w:proofErr w:type="spellStart"/>
      <w:r w:rsidRPr="005D36DC">
        <w:rPr>
          <w:rFonts w:ascii="Arial" w:hAnsi="Arial" w:cs="Arial"/>
          <w:sz w:val="20"/>
          <w:szCs w:val="20"/>
        </w:rPr>
        <w:t>Ratnoo</w:t>
      </w:r>
      <w:proofErr w:type="spellEnd"/>
      <w:r w:rsidRPr="005D36DC">
        <w:rPr>
          <w:rFonts w:ascii="Arial" w:hAnsi="Arial" w:cs="Arial"/>
          <w:sz w:val="20"/>
          <w:szCs w:val="20"/>
        </w:rPr>
        <w:t xml:space="preserve"> (2011) who found that RH levels between 60% and 80% were conducive for conidial germination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xml:space="preserve"> on fenugreek. The study emphasizes the critical role of relative humidity in facilitating conidial germination which is essential for fungal infection and disease progression. It highlights that 80% RH is optimal for maximum germination providing insights into how environmental conditions influence pathogen activity</w:t>
      </w:r>
      <w:r w:rsidRPr="005D36DC">
        <w:rPr>
          <w:rFonts w:ascii="Arial" w:hAnsi="Arial" w:cs="Arial"/>
        </w:rPr>
        <w:t xml:space="preserve">. This knowledge can </w:t>
      </w:r>
      <w:r w:rsidRPr="005D36DC">
        <w:rPr>
          <w:rFonts w:ascii="Arial" w:hAnsi="Arial" w:cs="Arial"/>
          <w:sz w:val="20"/>
          <w:szCs w:val="20"/>
        </w:rPr>
        <w:t>be leveraged to develop targeted strategies for managing fungal diseases under varying climatic conditions.</w:t>
      </w:r>
    </w:p>
    <w:p w14:paraId="62D78384" w14:textId="50DD154C" w:rsidR="00F96618" w:rsidRPr="00617173" w:rsidRDefault="005D36DC" w:rsidP="00617173">
      <w:pPr>
        <w:pStyle w:val="ListParagraph"/>
        <w:numPr>
          <w:ilvl w:val="0"/>
          <w:numId w:val="2"/>
        </w:numPr>
        <w:jc w:val="both"/>
        <w:rPr>
          <w:rFonts w:ascii="Arial" w:hAnsi="Arial" w:cs="Arial"/>
          <w:b/>
          <w:bCs/>
        </w:rPr>
      </w:pPr>
      <w:r w:rsidRPr="00617173">
        <w:rPr>
          <w:rFonts w:ascii="Arial" w:hAnsi="Arial" w:cs="Arial"/>
          <w:b/>
          <w:bCs/>
        </w:rPr>
        <w:t>CONCLUSION</w:t>
      </w:r>
    </w:p>
    <w:p w14:paraId="00DD5977" w14:textId="77777777" w:rsidR="00F96618" w:rsidRPr="00F96618" w:rsidRDefault="00F96618" w:rsidP="00F96618">
      <w:pPr>
        <w:ind w:firstLine="720"/>
        <w:jc w:val="both"/>
        <w:rPr>
          <w:rFonts w:ascii="Arial" w:hAnsi="Arial" w:cs="Arial"/>
          <w:sz w:val="20"/>
          <w:szCs w:val="20"/>
        </w:rPr>
      </w:pPr>
      <w:r w:rsidRPr="00F96618">
        <w:rPr>
          <w:rFonts w:ascii="Arial" w:hAnsi="Arial" w:cs="Arial"/>
          <w:sz w:val="20"/>
          <w:szCs w:val="20"/>
        </w:rPr>
        <w:t>The study elucidates the critical influence of nutritional and environmental factors on conidial germination. Carbon sources play a pivotal role with sugar concentrations significantly affecting fungal physiology. Temperature is identified as a key abiotic factor, regulating growth and reproduction within specific thresholds. Relative humidity further modulates germination dynamics, reflecting its importance in disease establishment and progression. These findings provide valuable insights into fungal ecology and offer potential applications in disease management. By understanding these interactions, strategies can be developed to mitigate fungal infections under varying climatic and environmental conditions.</w:t>
      </w:r>
    </w:p>
    <w:p w14:paraId="46BDDD08" w14:textId="77777777" w:rsidR="00F96618" w:rsidRPr="00F96618" w:rsidRDefault="00F96618" w:rsidP="00F96618">
      <w:pPr>
        <w:jc w:val="both"/>
        <w:rPr>
          <w:rFonts w:ascii="Arial" w:hAnsi="Arial" w:cs="Arial"/>
          <w:b/>
          <w:bCs/>
        </w:rPr>
      </w:pPr>
      <w:r w:rsidRPr="00F96618">
        <w:rPr>
          <w:rFonts w:ascii="Arial" w:hAnsi="Arial" w:cs="Arial"/>
          <w:b/>
          <w:bCs/>
        </w:rPr>
        <w:t xml:space="preserve">ACKNOWLEDGEMENT </w:t>
      </w:r>
    </w:p>
    <w:p w14:paraId="7CD55B96" w14:textId="77777777" w:rsidR="00F96618" w:rsidRPr="00F96618" w:rsidRDefault="00F96618" w:rsidP="00F96618">
      <w:pPr>
        <w:ind w:firstLine="720"/>
        <w:jc w:val="both"/>
        <w:rPr>
          <w:rFonts w:ascii="Arial" w:hAnsi="Arial" w:cs="Arial"/>
          <w:sz w:val="20"/>
          <w:szCs w:val="20"/>
        </w:rPr>
      </w:pPr>
      <w:r w:rsidRPr="00F96618">
        <w:rPr>
          <w:rFonts w:ascii="Arial" w:hAnsi="Arial" w:cs="Arial"/>
          <w:sz w:val="20"/>
          <w:szCs w:val="20"/>
        </w:rPr>
        <w:t xml:space="preserve">The study was conducted as part of the Ph.D. research program at RARS, Lam, ANGRAU. The authors express their sincere gratitude to the advisory committee for their invaluable guidance and support throughout the research work. Special Thanks to Manjula </w:t>
      </w:r>
      <w:proofErr w:type="spellStart"/>
      <w:r w:rsidRPr="00F96618">
        <w:rPr>
          <w:rFonts w:ascii="Arial" w:hAnsi="Arial" w:cs="Arial"/>
          <w:sz w:val="20"/>
          <w:szCs w:val="20"/>
        </w:rPr>
        <w:t>Ramappa</w:t>
      </w:r>
      <w:proofErr w:type="spellEnd"/>
      <w:r w:rsidRPr="00F96618">
        <w:rPr>
          <w:rFonts w:ascii="Arial" w:hAnsi="Arial" w:cs="Arial"/>
          <w:sz w:val="20"/>
          <w:szCs w:val="20"/>
        </w:rPr>
        <w:t xml:space="preserve"> for guiding me during the publication of the research article.</w:t>
      </w:r>
    </w:p>
    <w:p w14:paraId="294FF29A" w14:textId="6AEB095A" w:rsidR="00F96618" w:rsidRPr="00F96618" w:rsidRDefault="005D36DC" w:rsidP="00F96618">
      <w:pPr>
        <w:jc w:val="both"/>
        <w:rPr>
          <w:rFonts w:ascii="Arial" w:hAnsi="Arial" w:cs="Arial"/>
          <w:b/>
          <w:bCs/>
          <w:lang w:val="en-US"/>
        </w:rPr>
      </w:pPr>
      <w:r w:rsidRPr="00F96618">
        <w:rPr>
          <w:rFonts w:ascii="Arial" w:hAnsi="Arial" w:cs="Arial"/>
          <w:b/>
          <w:bCs/>
          <w:lang w:val="en-US"/>
        </w:rPr>
        <w:t>AUTHORS’ CONTRIBUTIONS</w:t>
      </w:r>
    </w:p>
    <w:p w14:paraId="7BEF3002" w14:textId="4B3AE582" w:rsidR="00AE1603" w:rsidRPr="005D36DC" w:rsidRDefault="00F96618" w:rsidP="00F96618">
      <w:pPr>
        <w:ind w:firstLine="720"/>
        <w:jc w:val="both"/>
        <w:rPr>
          <w:rFonts w:ascii="Arial" w:hAnsi="Arial" w:cs="Arial"/>
          <w:b/>
          <w:bCs/>
          <w:sz w:val="20"/>
          <w:szCs w:val="20"/>
          <w:lang w:val="en-US"/>
        </w:rPr>
      </w:pPr>
      <w:r w:rsidRPr="00F96618">
        <w:rPr>
          <w:rFonts w:ascii="Arial" w:hAnsi="Arial" w:cs="Arial"/>
          <w:sz w:val="20"/>
          <w:szCs w:val="20"/>
        </w:rPr>
        <w:t xml:space="preserve">Vasanthi. V authored experimental design, executed statistical analyses, data tabulation, interpretation, and manuscript drafting. Kishore Varma P contributed to the conceptualization of experiments, ideation, and manuscript revisions. Throughout the data collection phases, </w:t>
      </w:r>
      <w:proofErr w:type="spellStart"/>
      <w:r w:rsidRPr="00F96618">
        <w:rPr>
          <w:rFonts w:ascii="Arial" w:hAnsi="Arial" w:cs="Arial"/>
          <w:sz w:val="20"/>
          <w:szCs w:val="20"/>
        </w:rPr>
        <w:t>Pushparajyam</w:t>
      </w:r>
      <w:proofErr w:type="spellEnd"/>
      <w:r w:rsidRPr="00F96618">
        <w:rPr>
          <w:rFonts w:ascii="Arial" w:hAnsi="Arial" w:cs="Arial"/>
          <w:sz w:val="20"/>
          <w:szCs w:val="20"/>
        </w:rPr>
        <w:t xml:space="preserve">. B, Vasanthi. J and Manjula </w:t>
      </w:r>
      <w:proofErr w:type="spellStart"/>
      <w:r w:rsidRPr="00F96618">
        <w:rPr>
          <w:rFonts w:ascii="Arial" w:hAnsi="Arial" w:cs="Arial"/>
          <w:sz w:val="20"/>
          <w:szCs w:val="20"/>
        </w:rPr>
        <w:t>Ramappa</w:t>
      </w:r>
      <w:proofErr w:type="spellEnd"/>
      <w:r w:rsidRPr="00F96618">
        <w:rPr>
          <w:rFonts w:ascii="Arial" w:hAnsi="Arial" w:cs="Arial"/>
          <w:sz w:val="20"/>
          <w:szCs w:val="20"/>
        </w:rPr>
        <w:t xml:space="preserve"> helped with the experiment’s execution and logistical support</w:t>
      </w:r>
      <w:r w:rsidRPr="00F96618">
        <w:rPr>
          <w:rFonts w:ascii="Arial" w:hAnsi="Arial" w:cs="Arial"/>
          <w:b/>
          <w:bCs/>
          <w:sz w:val="20"/>
          <w:szCs w:val="20"/>
          <w:lang w:val="en-US"/>
        </w:rPr>
        <w:t>.</w:t>
      </w:r>
    </w:p>
    <w:p w14:paraId="39045C24" w14:textId="77777777" w:rsidR="00617173" w:rsidRDefault="00617173" w:rsidP="009245B8">
      <w:pPr>
        <w:spacing w:after="0" w:line="240" w:lineRule="auto"/>
        <w:jc w:val="both"/>
        <w:rPr>
          <w:rFonts w:ascii="Arial" w:hAnsi="Arial" w:cs="Arial"/>
          <w:b/>
          <w:bCs/>
        </w:rPr>
      </w:pPr>
    </w:p>
    <w:p w14:paraId="435D4D93" w14:textId="77777777" w:rsidR="00617173" w:rsidRDefault="00617173" w:rsidP="009245B8">
      <w:pPr>
        <w:spacing w:after="0" w:line="240" w:lineRule="auto"/>
        <w:jc w:val="both"/>
        <w:rPr>
          <w:rFonts w:ascii="Arial" w:hAnsi="Arial" w:cs="Arial"/>
          <w:b/>
          <w:bCs/>
        </w:rPr>
      </w:pPr>
    </w:p>
    <w:p w14:paraId="5B5F63EC" w14:textId="77777777" w:rsidR="00617173" w:rsidRDefault="00617173" w:rsidP="009245B8">
      <w:pPr>
        <w:spacing w:after="0" w:line="240" w:lineRule="auto"/>
        <w:jc w:val="both"/>
        <w:rPr>
          <w:rFonts w:ascii="Arial" w:hAnsi="Arial" w:cs="Arial"/>
          <w:b/>
          <w:bCs/>
        </w:rPr>
      </w:pPr>
    </w:p>
    <w:p w14:paraId="2B060C7D" w14:textId="77777777" w:rsidR="00617173" w:rsidRDefault="00617173" w:rsidP="009245B8">
      <w:pPr>
        <w:spacing w:after="0" w:line="240" w:lineRule="auto"/>
        <w:jc w:val="both"/>
        <w:rPr>
          <w:rFonts w:ascii="Arial" w:hAnsi="Arial" w:cs="Arial"/>
          <w:b/>
          <w:bCs/>
        </w:rPr>
      </w:pPr>
    </w:p>
    <w:p w14:paraId="57630044" w14:textId="77777777" w:rsidR="00617173" w:rsidRDefault="00617173" w:rsidP="009245B8">
      <w:pPr>
        <w:spacing w:after="0" w:line="240" w:lineRule="auto"/>
        <w:jc w:val="both"/>
        <w:rPr>
          <w:rFonts w:ascii="Arial" w:hAnsi="Arial" w:cs="Arial"/>
          <w:b/>
          <w:bCs/>
        </w:rPr>
      </w:pPr>
    </w:p>
    <w:p w14:paraId="150FE1A2" w14:textId="77777777" w:rsidR="00617173" w:rsidRDefault="00617173" w:rsidP="009245B8">
      <w:pPr>
        <w:spacing w:after="0" w:line="240" w:lineRule="auto"/>
        <w:jc w:val="both"/>
        <w:rPr>
          <w:rFonts w:ascii="Arial" w:hAnsi="Arial" w:cs="Arial"/>
          <w:b/>
          <w:bCs/>
        </w:rPr>
      </w:pPr>
    </w:p>
    <w:p w14:paraId="161664BE" w14:textId="77777777" w:rsidR="00617173" w:rsidRDefault="00617173" w:rsidP="009245B8">
      <w:pPr>
        <w:spacing w:after="0" w:line="240" w:lineRule="auto"/>
        <w:jc w:val="both"/>
        <w:rPr>
          <w:rFonts w:ascii="Arial" w:hAnsi="Arial" w:cs="Arial"/>
          <w:b/>
          <w:bCs/>
        </w:rPr>
      </w:pPr>
    </w:p>
    <w:p w14:paraId="129DADD0" w14:textId="77777777" w:rsidR="00617173" w:rsidRDefault="00617173" w:rsidP="009245B8">
      <w:pPr>
        <w:spacing w:after="0" w:line="240" w:lineRule="auto"/>
        <w:jc w:val="both"/>
        <w:rPr>
          <w:rFonts w:ascii="Arial" w:hAnsi="Arial" w:cs="Arial"/>
          <w:b/>
          <w:bCs/>
        </w:rPr>
      </w:pPr>
    </w:p>
    <w:p w14:paraId="15173AE5" w14:textId="77777777" w:rsidR="00617173" w:rsidRDefault="00617173" w:rsidP="009245B8">
      <w:pPr>
        <w:spacing w:after="0" w:line="240" w:lineRule="auto"/>
        <w:jc w:val="both"/>
        <w:rPr>
          <w:rFonts w:ascii="Arial" w:hAnsi="Arial" w:cs="Arial"/>
          <w:b/>
          <w:bCs/>
        </w:rPr>
      </w:pPr>
    </w:p>
    <w:p w14:paraId="143846EC" w14:textId="24D026EA" w:rsidR="00250DF6" w:rsidRPr="005D36DC" w:rsidRDefault="003D347B" w:rsidP="009245B8">
      <w:pPr>
        <w:spacing w:after="0" w:line="240" w:lineRule="auto"/>
        <w:jc w:val="both"/>
        <w:rPr>
          <w:rFonts w:ascii="Arial" w:hAnsi="Arial" w:cs="Arial"/>
          <w:b/>
          <w:bCs/>
        </w:rPr>
      </w:pPr>
      <w:r w:rsidRPr="005D36DC">
        <w:rPr>
          <w:rFonts w:ascii="Arial" w:hAnsi="Arial" w:cs="Arial"/>
          <w:b/>
          <w:bCs/>
        </w:rPr>
        <w:t>Table 1: Optimization of Sugar Solution Concentrations for Conidial Germination</w:t>
      </w:r>
      <w:r w:rsidR="00250DF6" w:rsidRPr="005D36DC">
        <w:rPr>
          <w:rFonts w:ascii="Arial" w:hAnsi="Arial" w:cs="Arial"/>
          <w:b/>
          <w:bCs/>
        </w:rPr>
        <w:t xml:space="preserve"> of</w:t>
      </w:r>
    </w:p>
    <w:p w14:paraId="2292317E" w14:textId="64846735" w:rsidR="00AE1603" w:rsidRDefault="00250DF6" w:rsidP="00F96618">
      <w:pPr>
        <w:spacing w:after="0" w:line="240" w:lineRule="auto"/>
        <w:rPr>
          <w:rFonts w:ascii="Arial" w:hAnsi="Arial" w:cs="Arial"/>
          <w:b/>
          <w:bCs/>
        </w:rPr>
      </w:pPr>
      <w:r w:rsidRPr="005D36DC">
        <w:rPr>
          <w:rFonts w:ascii="Arial" w:hAnsi="Arial" w:cs="Arial"/>
          <w:b/>
          <w:bCs/>
          <w:i/>
          <w:iCs/>
        </w:rPr>
        <w:t xml:space="preserve">               Erysiphe </w:t>
      </w:r>
      <w:proofErr w:type="spellStart"/>
      <w:r w:rsidRPr="005D36DC">
        <w:rPr>
          <w:rFonts w:ascii="Arial" w:hAnsi="Arial" w:cs="Arial"/>
          <w:b/>
          <w:bCs/>
          <w:i/>
          <w:iCs/>
        </w:rPr>
        <w:t>polygoni</w:t>
      </w:r>
      <w:proofErr w:type="spellEnd"/>
      <w:r w:rsidRPr="005D36DC">
        <w:rPr>
          <w:rFonts w:ascii="Arial" w:hAnsi="Arial" w:cs="Arial"/>
          <w:b/>
          <w:bCs/>
        </w:rPr>
        <w:t xml:space="preserve"> DC</w:t>
      </w:r>
    </w:p>
    <w:p w14:paraId="3A53D6BA" w14:textId="77777777" w:rsidR="00617173" w:rsidRPr="005D36DC" w:rsidRDefault="00617173" w:rsidP="00F96618">
      <w:pPr>
        <w:spacing w:after="0" w:line="240" w:lineRule="auto"/>
        <w:rPr>
          <w:rFonts w:ascii="Arial" w:hAnsi="Arial" w:cs="Arial"/>
          <w:b/>
          <w:bCs/>
        </w:rPr>
      </w:pPr>
    </w:p>
    <w:tbl>
      <w:tblPr>
        <w:tblStyle w:val="PlainTable2"/>
        <w:tblpPr w:leftFromText="180" w:rightFromText="180" w:vertAnchor="page" w:horzAnchor="margin" w:tblpXSpec="center" w:tblpY="2233"/>
        <w:tblW w:w="0" w:type="auto"/>
        <w:tblLook w:val="04A0" w:firstRow="1" w:lastRow="0" w:firstColumn="1" w:lastColumn="0" w:noHBand="0" w:noVBand="1"/>
      </w:tblPr>
      <w:tblGrid>
        <w:gridCol w:w="704"/>
        <w:gridCol w:w="1676"/>
        <w:gridCol w:w="2435"/>
        <w:gridCol w:w="2977"/>
      </w:tblGrid>
      <w:tr w:rsidR="00617173" w:rsidRPr="003E6732" w14:paraId="69FC384C" w14:textId="77777777" w:rsidTr="0061717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627C38A9" w14:textId="77777777" w:rsidR="00617173" w:rsidRPr="003E6732" w:rsidRDefault="00617173" w:rsidP="00617173">
            <w:pPr>
              <w:spacing w:after="160"/>
              <w:jc w:val="center"/>
              <w:rPr>
                <w:rFonts w:ascii="Times New Roman" w:hAnsi="Times New Roman" w:cs="Times New Roman"/>
                <w:b w:val="0"/>
                <w:bCs w:val="0"/>
                <w:sz w:val="24"/>
                <w:szCs w:val="24"/>
              </w:rPr>
            </w:pPr>
            <w:r w:rsidRPr="003E6732">
              <w:rPr>
                <w:rFonts w:ascii="Times New Roman" w:hAnsi="Times New Roman" w:cs="Times New Roman"/>
                <w:sz w:val="24"/>
                <w:szCs w:val="24"/>
              </w:rPr>
              <w:lastRenderedPageBreak/>
              <w:t>S.no</w:t>
            </w:r>
          </w:p>
        </w:tc>
        <w:tc>
          <w:tcPr>
            <w:tcW w:w="1676" w:type="dxa"/>
            <w:noWrap/>
            <w:hideMark/>
          </w:tcPr>
          <w:p w14:paraId="5296A3BB" w14:textId="77777777" w:rsidR="00617173" w:rsidRPr="003E6732" w:rsidRDefault="00617173" w:rsidP="00617173">
            <w:pPr>
              <w:spacing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E6732">
              <w:rPr>
                <w:rFonts w:ascii="Times New Roman" w:hAnsi="Times New Roman" w:cs="Times New Roman"/>
                <w:sz w:val="24"/>
                <w:szCs w:val="24"/>
              </w:rPr>
              <w:t>Treatment</w:t>
            </w:r>
          </w:p>
        </w:tc>
        <w:tc>
          <w:tcPr>
            <w:tcW w:w="2435" w:type="dxa"/>
            <w:noWrap/>
            <w:hideMark/>
          </w:tcPr>
          <w:p w14:paraId="78140BD4" w14:textId="77777777" w:rsidR="00617173" w:rsidRPr="003E6732" w:rsidRDefault="00617173" w:rsidP="00617173">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E6732">
              <w:rPr>
                <w:rFonts w:ascii="Times New Roman" w:hAnsi="Times New Roman" w:cs="Times New Roman"/>
                <w:sz w:val="24"/>
                <w:szCs w:val="24"/>
              </w:rPr>
              <w:t>Concentration</w:t>
            </w:r>
            <w:r>
              <w:rPr>
                <w:rFonts w:ascii="Times New Roman" w:hAnsi="Times New Roman" w:cs="Times New Roman"/>
                <w:sz w:val="24"/>
                <w:szCs w:val="24"/>
              </w:rPr>
              <w:t xml:space="preserve"> </w:t>
            </w:r>
            <w:r w:rsidRPr="003E6732">
              <w:rPr>
                <w:rFonts w:ascii="Times New Roman" w:hAnsi="Times New Roman" w:cs="Times New Roman"/>
                <w:sz w:val="24"/>
                <w:szCs w:val="24"/>
              </w:rPr>
              <w:t>(%)</w:t>
            </w:r>
          </w:p>
        </w:tc>
        <w:tc>
          <w:tcPr>
            <w:tcW w:w="2977" w:type="dxa"/>
            <w:noWrap/>
            <w:hideMark/>
          </w:tcPr>
          <w:p w14:paraId="3416CE7C" w14:textId="77777777" w:rsidR="00617173" w:rsidRPr="003E6732" w:rsidRDefault="00617173" w:rsidP="00617173">
            <w:pPr>
              <w:spacing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E6732">
              <w:rPr>
                <w:rFonts w:ascii="Times New Roman" w:hAnsi="Times New Roman" w:cs="Times New Roman"/>
                <w:sz w:val="24"/>
                <w:szCs w:val="24"/>
              </w:rPr>
              <w:t>Conidia Germination (%)</w:t>
            </w:r>
          </w:p>
        </w:tc>
      </w:tr>
      <w:tr w:rsidR="00617173" w:rsidRPr="003E6732" w14:paraId="30AC86E0"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0C089FDE"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w:t>
            </w:r>
          </w:p>
        </w:tc>
        <w:tc>
          <w:tcPr>
            <w:tcW w:w="1676" w:type="dxa"/>
            <w:noWrap/>
            <w:hideMark/>
          </w:tcPr>
          <w:p w14:paraId="41E9BC79"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Sterile Water</w:t>
            </w:r>
          </w:p>
        </w:tc>
        <w:tc>
          <w:tcPr>
            <w:tcW w:w="2435" w:type="dxa"/>
            <w:noWrap/>
            <w:hideMark/>
          </w:tcPr>
          <w:p w14:paraId="3EF049F8"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w:t>
            </w:r>
          </w:p>
        </w:tc>
        <w:tc>
          <w:tcPr>
            <w:tcW w:w="2977" w:type="dxa"/>
            <w:noWrap/>
            <w:hideMark/>
          </w:tcPr>
          <w:p w14:paraId="23528B08"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51.33(45.79)</w:t>
            </w:r>
            <w:r w:rsidRPr="003E6732">
              <w:rPr>
                <w:rFonts w:ascii="Times New Roman" w:hAnsi="Times New Roman" w:cs="Times New Roman"/>
                <w:sz w:val="24"/>
                <w:szCs w:val="24"/>
                <w:vertAlign w:val="superscript"/>
              </w:rPr>
              <w:t>f</w:t>
            </w:r>
          </w:p>
        </w:tc>
      </w:tr>
      <w:tr w:rsidR="00617173" w:rsidRPr="003E6732" w14:paraId="3C977BC8"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65BF1876"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2</w:t>
            </w:r>
          </w:p>
        </w:tc>
        <w:tc>
          <w:tcPr>
            <w:tcW w:w="1676" w:type="dxa"/>
            <w:noWrap/>
            <w:hideMark/>
          </w:tcPr>
          <w:p w14:paraId="6F1A65F1"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Distilled Water</w:t>
            </w:r>
          </w:p>
        </w:tc>
        <w:tc>
          <w:tcPr>
            <w:tcW w:w="2435" w:type="dxa"/>
            <w:noWrap/>
            <w:hideMark/>
          </w:tcPr>
          <w:p w14:paraId="62C5D126"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w:t>
            </w:r>
          </w:p>
        </w:tc>
        <w:tc>
          <w:tcPr>
            <w:tcW w:w="2977" w:type="dxa"/>
            <w:noWrap/>
            <w:hideMark/>
          </w:tcPr>
          <w:p w14:paraId="59F58FB8"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56.67(48.86)</w:t>
            </w:r>
            <w:r w:rsidRPr="003E6732">
              <w:rPr>
                <w:rFonts w:ascii="Times New Roman" w:hAnsi="Times New Roman" w:cs="Times New Roman"/>
                <w:sz w:val="24"/>
                <w:szCs w:val="24"/>
                <w:vertAlign w:val="superscript"/>
              </w:rPr>
              <w:t>e</w:t>
            </w:r>
          </w:p>
        </w:tc>
      </w:tr>
      <w:tr w:rsidR="00617173" w:rsidRPr="003E6732" w14:paraId="258226F0"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1A747DC0"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3</w:t>
            </w:r>
          </w:p>
        </w:tc>
        <w:tc>
          <w:tcPr>
            <w:tcW w:w="1676" w:type="dxa"/>
            <w:noWrap/>
            <w:hideMark/>
          </w:tcPr>
          <w:p w14:paraId="0208FD47"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Tap water</w:t>
            </w:r>
          </w:p>
        </w:tc>
        <w:tc>
          <w:tcPr>
            <w:tcW w:w="2435" w:type="dxa"/>
            <w:noWrap/>
            <w:hideMark/>
          </w:tcPr>
          <w:p w14:paraId="2DE94E0F"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w:t>
            </w:r>
          </w:p>
        </w:tc>
        <w:tc>
          <w:tcPr>
            <w:tcW w:w="2977" w:type="dxa"/>
            <w:noWrap/>
            <w:hideMark/>
          </w:tcPr>
          <w:p w14:paraId="6A6450F1"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57.33(49.24)</w:t>
            </w:r>
            <w:r w:rsidRPr="003E6732">
              <w:rPr>
                <w:rFonts w:ascii="Times New Roman" w:hAnsi="Times New Roman" w:cs="Times New Roman"/>
                <w:sz w:val="24"/>
                <w:szCs w:val="24"/>
                <w:vertAlign w:val="superscript"/>
              </w:rPr>
              <w:t>e</w:t>
            </w:r>
          </w:p>
        </w:tc>
      </w:tr>
      <w:tr w:rsidR="00617173" w:rsidRPr="003E6732" w14:paraId="0E4E4433"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0D1C828F"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4</w:t>
            </w:r>
          </w:p>
        </w:tc>
        <w:tc>
          <w:tcPr>
            <w:tcW w:w="1676" w:type="dxa"/>
            <w:noWrap/>
            <w:hideMark/>
          </w:tcPr>
          <w:p w14:paraId="19C9525C"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Dextrose</w:t>
            </w:r>
          </w:p>
        </w:tc>
        <w:tc>
          <w:tcPr>
            <w:tcW w:w="2435" w:type="dxa"/>
            <w:noWrap/>
            <w:hideMark/>
          </w:tcPr>
          <w:p w14:paraId="5B6965EB"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0.5</w:t>
            </w:r>
          </w:p>
        </w:tc>
        <w:tc>
          <w:tcPr>
            <w:tcW w:w="2977" w:type="dxa"/>
            <w:noWrap/>
            <w:hideMark/>
          </w:tcPr>
          <w:p w14:paraId="7577C1AF"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60.00(50.79)</w:t>
            </w:r>
            <w:proofErr w:type="spellStart"/>
            <w:r w:rsidRPr="003E6732">
              <w:rPr>
                <w:rFonts w:ascii="Times New Roman" w:hAnsi="Times New Roman" w:cs="Times New Roman"/>
                <w:sz w:val="24"/>
                <w:szCs w:val="24"/>
                <w:vertAlign w:val="superscript"/>
              </w:rPr>
              <w:t>cde</w:t>
            </w:r>
            <w:proofErr w:type="spellEnd"/>
          </w:p>
        </w:tc>
      </w:tr>
      <w:tr w:rsidR="00617173" w:rsidRPr="003E6732" w14:paraId="65FB4996"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6B9B021C"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5</w:t>
            </w:r>
          </w:p>
        </w:tc>
        <w:tc>
          <w:tcPr>
            <w:tcW w:w="1676" w:type="dxa"/>
            <w:noWrap/>
            <w:hideMark/>
          </w:tcPr>
          <w:p w14:paraId="34ACE51B"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Dextrose</w:t>
            </w:r>
          </w:p>
        </w:tc>
        <w:tc>
          <w:tcPr>
            <w:tcW w:w="2435" w:type="dxa"/>
            <w:noWrap/>
            <w:hideMark/>
          </w:tcPr>
          <w:p w14:paraId="67DE1D3D"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1</w:t>
            </w:r>
          </w:p>
        </w:tc>
        <w:tc>
          <w:tcPr>
            <w:tcW w:w="2977" w:type="dxa"/>
            <w:noWrap/>
            <w:hideMark/>
          </w:tcPr>
          <w:p w14:paraId="4F14A498"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63.67(52.96)</w:t>
            </w:r>
            <w:r w:rsidRPr="003E6732">
              <w:rPr>
                <w:rFonts w:ascii="Times New Roman" w:hAnsi="Times New Roman" w:cs="Times New Roman"/>
                <w:sz w:val="24"/>
                <w:szCs w:val="24"/>
                <w:vertAlign w:val="superscript"/>
              </w:rPr>
              <w:t>c</w:t>
            </w:r>
          </w:p>
        </w:tc>
      </w:tr>
      <w:tr w:rsidR="00617173" w:rsidRPr="003E6732" w14:paraId="0CCF1E26"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7442EEAF"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6</w:t>
            </w:r>
          </w:p>
        </w:tc>
        <w:tc>
          <w:tcPr>
            <w:tcW w:w="1676" w:type="dxa"/>
            <w:noWrap/>
            <w:hideMark/>
          </w:tcPr>
          <w:p w14:paraId="46CB9EB1"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Dextrose</w:t>
            </w:r>
          </w:p>
        </w:tc>
        <w:tc>
          <w:tcPr>
            <w:tcW w:w="2435" w:type="dxa"/>
            <w:noWrap/>
            <w:hideMark/>
          </w:tcPr>
          <w:p w14:paraId="0C93D488"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1.5</w:t>
            </w:r>
          </w:p>
        </w:tc>
        <w:tc>
          <w:tcPr>
            <w:tcW w:w="2977" w:type="dxa"/>
            <w:noWrap/>
            <w:hideMark/>
          </w:tcPr>
          <w:p w14:paraId="1E4D0BEC"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72.67(58.51)</w:t>
            </w:r>
            <w:r w:rsidRPr="003E6732">
              <w:rPr>
                <w:rFonts w:ascii="Times New Roman" w:hAnsi="Times New Roman" w:cs="Times New Roman"/>
                <w:sz w:val="24"/>
                <w:szCs w:val="24"/>
                <w:vertAlign w:val="superscript"/>
              </w:rPr>
              <w:t>b</w:t>
            </w:r>
          </w:p>
        </w:tc>
      </w:tr>
      <w:tr w:rsidR="00617173" w:rsidRPr="003E6732" w14:paraId="1FAF77BF"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00C4613D"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7</w:t>
            </w:r>
          </w:p>
        </w:tc>
        <w:tc>
          <w:tcPr>
            <w:tcW w:w="1676" w:type="dxa"/>
            <w:noWrap/>
            <w:hideMark/>
          </w:tcPr>
          <w:p w14:paraId="08D314F0"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Dextrose</w:t>
            </w:r>
          </w:p>
        </w:tc>
        <w:tc>
          <w:tcPr>
            <w:tcW w:w="2435" w:type="dxa"/>
            <w:noWrap/>
            <w:hideMark/>
          </w:tcPr>
          <w:p w14:paraId="24D7025F"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2</w:t>
            </w:r>
          </w:p>
        </w:tc>
        <w:tc>
          <w:tcPr>
            <w:tcW w:w="2977" w:type="dxa"/>
            <w:noWrap/>
            <w:hideMark/>
          </w:tcPr>
          <w:p w14:paraId="6782CAEB"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77.33(61.60)</w:t>
            </w:r>
            <w:r w:rsidRPr="003E6732">
              <w:rPr>
                <w:rFonts w:ascii="Times New Roman" w:hAnsi="Times New Roman" w:cs="Times New Roman"/>
                <w:sz w:val="24"/>
                <w:szCs w:val="24"/>
                <w:vertAlign w:val="superscript"/>
              </w:rPr>
              <w:t>a</w:t>
            </w:r>
          </w:p>
        </w:tc>
      </w:tr>
      <w:tr w:rsidR="00617173" w:rsidRPr="003E6732" w14:paraId="28F3AA27"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2991986E"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8</w:t>
            </w:r>
          </w:p>
        </w:tc>
        <w:tc>
          <w:tcPr>
            <w:tcW w:w="1676" w:type="dxa"/>
            <w:noWrap/>
            <w:hideMark/>
          </w:tcPr>
          <w:p w14:paraId="519176B9"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Sucrose</w:t>
            </w:r>
          </w:p>
        </w:tc>
        <w:tc>
          <w:tcPr>
            <w:tcW w:w="2435" w:type="dxa"/>
            <w:noWrap/>
            <w:hideMark/>
          </w:tcPr>
          <w:p w14:paraId="54846AFA"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0.5</w:t>
            </w:r>
          </w:p>
        </w:tc>
        <w:tc>
          <w:tcPr>
            <w:tcW w:w="2977" w:type="dxa"/>
            <w:noWrap/>
            <w:hideMark/>
          </w:tcPr>
          <w:p w14:paraId="7708D581"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58.67(50.02)</w:t>
            </w:r>
            <w:r w:rsidRPr="003E6732">
              <w:rPr>
                <w:rFonts w:ascii="Times New Roman" w:hAnsi="Times New Roman" w:cs="Times New Roman"/>
                <w:sz w:val="24"/>
                <w:szCs w:val="24"/>
                <w:vertAlign w:val="superscript"/>
              </w:rPr>
              <w:t>de</w:t>
            </w:r>
          </w:p>
        </w:tc>
      </w:tr>
      <w:tr w:rsidR="00617173" w:rsidRPr="003E6732" w14:paraId="59BA709E"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26D3706A"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9</w:t>
            </w:r>
          </w:p>
        </w:tc>
        <w:tc>
          <w:tcPr>
            <w:tcW w:w="1676" w:type="dxa"/>
            <w:noWrap/>
            <w:hideMark/>
          </w:tcPr>
          <w:p w14:paraId="188C489C"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Sucrose</w:t>
            </w:r>
          </w:p>
        </w:tc>
        <w:tc>
          <w:tcPr>
            <w:tcW w:w="2435" w:type="dxa"/>
            <w:noWrap/>
            <w:hideMark/>
          </w:tcPr>
          <w:p w14:paraId="58CA41B1"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1</w:t>
            </w:r>
          </w:p>
        </w:tc>
        <w:tc>
          <w:tcPr>
            <w:tcW w:w="2977" w:type="dxa"/>
            <w:noWrap/>
            <w:hideMark/>
          </w:tcPr>
          <w:p w14:paraId="624705E8"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62.00(51.97)</w:t>
            </w:r>
            <w:r w:rsidRPr="003E6732">
              <w:rPr>
                <w:rFonts w:ascii="Times New Roman" w:hAnsi="Times New Roman" w:cs="Times New Roman"/>
                <w:sz w:val="24"/>
                <w:szCs w:val="24"/>
                <w:vertAlign w:val="superscript"/>
              </w:rPr>
              <w:t>cd</w:t>
            </w:r>
          </w:p>
        </w:tc>
      </w:tr>
      <w:tr w:rsidR="00617173" w:rsidRPr="003E6732" w14:paraId="669ED2D5"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607F4758"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10</w:t>
            </w:r>
          </w:p>
        </w:tc>
        <w:tc>
          <w:tcPr>
            <w:tcW w:w="1676" w:type="dxa"/>
            <w:noWrap/>
            <w:hideMark/>
          </w:tcPr>
          <w:p w14:paraId="0DE0F508"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Sucrose</w:t>
            </w:r>
          </w:p>
        </w:tc>
        <w:tc>
          <w:tcPr>
            <w:tcW w:w="2435" w:type="dxa"/>
            <w:noWrap/>
            <w:hideMark/>
          </w:tcPr>
          <w:p w14:paraId="0A24E344"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1.5</w:t>
            </w:r>
          </w:p>
        </w:tc>
        <w:tc>
          <w:tcPr>
            <w:tcW w:w="2977" w:type="dxa"/>
            <w:noWrap/>
            <w:hideMark/>
          </w:tcPr>
          <w:p w14:paraId="442F5363"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72.00(58.08)</w:t>
            </w:r>
            <w:r w:rsidRPr="003E6732">
              <w:rPr>
                <w:rFonts w:ascii="Times New Roman" w:hAnsi="Times New Roman" w:cs="Times New Roman"/>
                <w:sz w:val="24"/>
                <w:szCs w:val="24"/>
                <w:vertAlign w:val="superscript"/>
              </w:rPr>
              <w:t>b</w:t>
            </w:r>
          </w:p>
        </w:tc>
      </w:tr>
      <w:tr w:rsidR="00617173" w:rsidRPr="003E6732" w14:paraId="55003FD3"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760B155C"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11</w:t>
            </w:r>
          </w:p>
        </w:tc>
        <w:tc>
          <w:tcPr>
            <w:tcW w:w="1676" w:type="dxa"/>
            <w:noWrap/>
            <w:hideMark/>
          </w:tcPr>
          <w:p w14:paraId="223F5E6A"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Sucrose</w:t>
            </w:r>
          </w:p>
        </w:tc>
        <w:tc>
          <w:tcPr>
            <w:tcW w:w="2435" w:type="dxa"/>
            <w:noWrap/>
            <w:hideMark/>
          </w:tcPr>
          <w:p w14:paraId="7415C2E0"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2</w:t>
            </w:r>
          </w:p>
        </w:tc>
        <w:tc>
          <w:tcPr>
            <w:tcW w:w="2977" w:type="dxa"/>
            <w:noWrap/>
            <w:hideMark/>
          </w:tcPr>
          <w:p w14:paraId="01E1F853"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70.67(57.24)</w:t>
            </w:r>
            <w:r w:rsidRPr="003E6732">
              <w:rPr>
                <w:rFonts w:ascii="Times New Roman" w:hAnsi="Times New Roman" w:cs="Times New Roman"/>
                <w:sz w:val="24"/>
                <w:szCs w:val="24"/>
                <w:vertAlign w:val="superscript"/>
              </w:rPr>
              <w:t>b</w:t>
            </w:r>
          </w:p>
        </w:tc>
      </w:tr>
      <w:tr w:rsidR="00617173" w:rsidRPr="003E6732" w14:paraId="6DAE4190"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tcPr>
          <w:p w14:paraId="059D59ED"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12</w:t>
            </w:r>
          </w:p>
        </w:tc>
        <w:tc>
          <w:tcPr>
            <w:tcW w:w="1676" w:type="dxa"/>
            <w:noWrap/>
          </w:tcPr>
          <w:p w14:paraId="008F7C2B"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3E6732">
              <w:rPr>
                <w:rFonts w:ascii="Times New Roman" w:hAnsi="Times New Roman" w:cs="Times New Roman"/>
                <w:sz w:val="24"/>
                <w:szCs w:val="24"/>
              </w:rPr>
              <w:t>SEm</w:t>
            </w:r>
            <w:proofErr w:type="spellEnd"/>
            <w:r w:rsidRPr="003E6732">
              <w:rPr>
                <w:rFonts w:ascii="Times New Roman" w:hAnsi="Times New Roman" w:cs="Times New Roman"/>
                <w:sz w:val="24"/>
                <w:szCs w:val="24"/>
              </w:rPr>
              <w:t xml:space="preserve"> ±</w:t>
            </w:r>
          </w:p>
        </w:tc>
        <w:tc>
          <w:tcPr>
            <w:tcW w:w="2435" w:type="dxa"/>
            <w:noWrap/>
          </w:tcPr>
          <w:p w14:paraId="1B9B3166"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977" w:type="dxa"/>
            <w:noWrap/>
          </w:tcPr>
          <w:p w14:paraId="2BC2DD3D"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0.87</w:t>
            </w:r>
          </w:p>
        </w:tc>
      </w:tr>
      <w:tr w:rsidR="00617173" w:rsidRPr="003E6732" w14:paraId="6687E576"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tcPr>
          <w:p w14:paraId="5116360C"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13</w:t>
            </w:r>
          </w:p>
        </w:tc>
        <w:tc>
          <w:tcPr>
            <w:tcW w:w="1676" w:type="dxa"/>
            <w:noWrap/>
          </w:tcPr>
          <w:p w14:paraId="5C244ED6"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CD (P≤ 0.05)</w:t>
            </w:r>
          </w:p>
        </w:tc>
        <w:tc>
          <w:tcPr>
            <w:tcW w:w="2435" w:type="dxa"/>
            <w:noWrap/>
          </w:tcPr>
          <w:p w14:paraId="77F157D5"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977" w:type="dxa"/>
            <w:noWrap/>
          </w:tcPr>
          <w:p w14:paraId="00C37C65"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2.55</w:t>
            </w:r>
          </w:p>
        </w:tc>
      </w:tr>
      <w:tr w:rsidR="00617173" w:rsidRPr="003E6732" w14:paraId="21A959B9"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tcPr>
          <w:p w14:paraId="067AD79C"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14</w:t>
            </w:r>
          </w:p>
        </w:tc>
        <w:tc>
          <w:tcPr>
            <w:tcW w:w="1676" w:type="dxa"/>
            <w:noWrap/>
          </w:tcPr>
          <w:p w14:paraId="31AE1E4A"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3E6732">
              <w:rPr>
                <w:rFonts w:ascii="Times New Roman" w:hAnsi="Times New Roman" w:cs="Times New Roman"/>
                <w:sz w:val="24"/>
                <w:szCs w:val="24"/>
              </w:rPr>
              <w:t>CV(</w:t>
            </w:r>
            <w:proofErr w:type="gramEnd"/>
            <w:r w:rsidRPr="003E6732">
              <w:rPr>
                <w:rFonts w:ascii="Times New Roman" w:hAnsi="Times New Roman" w:cs="Times New Roman"/>
                <w:sz w:val="24"/>
                <w:szCs w:val="24"/>
              </w:rPr>
              <w:t>%)</w:t>
            </w:r>
          </w:p>
        </w:tc>
        <w:tc>
          <w:tcPr>
            <w:tcW w:w="2435" w:type="dxa"/>
            <w:noWrap/>
          </w:tcPr>
          <w:p w14:paraId="7FCCD392"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977" w:type="dxa"/>
            <w:noWrap/>
          </w:tcPr>
          <w:p w14:paraId="6FDD8E4F"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2.84</w:t>
            </w:r>
          </w:p>
        </w:tc>
      </w:tr>
    </w:tbl>
    <w:p w14:paraId="0F860873" w14:textId="77777777" w:rsidR="00F96618" w:rsidRPr="005D36DC" w:rsidRDefault="00F96618" w:rsidP="00F96618">
      <w:pPr>
        <w:spacing w:after="0" w:line="240" w:lineRule="auto"/>
        <w:rPr>
          <w:rFonts w:ascii="Arial" w:hAnsi="Arial" w:cs="Arial"/>
          <w:b/>
          <w:bCs/>
        </w:rPr>
      </w:pPr>
    </w:p>
    <w:p w14:paraId="55F3C30E" w14:textId="5E62D6AA" w:rsidR="00617173" w:rsidRDefault="00617173" w:rsidP="00250DF6">
      <w:pPr>
        <w:rPr>
          <w:rFonts w:ascii="Arial" w:hAnsi="Arial" w:cs="Arial"/>
          <w:b/>
          <w:bCs/>
        </w:rPr>
      </w:pPr>
    </w:p>
    <w:p w14:paraId="18CE304C" w14:textId="77777777" w:rsidR="00617173" w:rsidRDefault="00617173" w:rsidP="00250DF6">
      <w:pPr>
        <w:rPr>
          <w:rFonts w:ascii="Arial" w:hAnsi="Arial" w:cs="Arial"/>
          <w:b/>
          <w:bCs/>
        </w:rPr>
      </w:pPr>
    </w:p>
    <w:p w14:paraId="32B72550" w14:textId="77777777" w:rsidR="00617173" w:rsidRDefault="00250DF6" w:rsidP="00250DF6">
      <w:pPr>
        <w:rPr>
          <w:rFonts w:ascii="Arial" w:hAnsi="Arial" w:cs="Arial"/>
          <w:b/>
          <w:bCs/>
        </w:rPr>
      </w:pPr>
      <w:r w:rsidRPr="005D36DC">
        <w:rPr>
          <w:rFonts w:ascii="Arial" w:hAnsi="Arial" w:cs="Arial"/>
          <w:b/>
          <w:bCs/>
        </w:rPr>
        <w:t xml:space="preserve"> </w:t>
      </w:r>
    </w:p>
    <w:p w14:paraId="436CF93D" w14:textId="77777777" w:rsidR="00617173" w:rsidRDefault="00617173" w:rsidP="00250DF6">
      <w:pPr>
        <w:rPr>
          <w:rFonts w:ascii="Arial" w:hAnsi="Arial" w:cs="Arial"/>
          <w:b/>
          <w:bCs/>
        </w:rPr>
      </w:pPr>
    </w:p>
    <w:p w14:paraId="63B4DB0E" w14:textId="77777777" w:rsidR="00617173" w:rsidRDefault="00617173" w:rsidP="00250DF6">
      <w:pPr>
        <w:rPr>
          <w:rFonts w:ascii="Arial" w:hAnsi="Arial" w:cs="Arial"/>
          <w:b/>
          <w:bCs/>
        </w:rPr>
      </w:pPr>
    </w:p>
    <w:p w14:paraId="4ADC401F" w14:textId="77777777" w:rsidR="00617173" w:rsidRDefault="00617173" w:rsidP="00250DF6">
      <w:pPr>
        <w:rPr>
          <w:rFonts w:ascii="Arial" w:hAnsi="Arial" w:cs="Arial"/>
          <w:b/>
          <w:bCs/>
        </w:rPr>
      </w:pPr>
    </w:p>
    <w:p w14:paraId="2B4EBBCD" w14:textId="77777777" w:rsidR="00617173" w:rsidRDefault="00617173" w:rsidP="00250DF6">
      <w:pPr>
        <w:rPr>
          <w:rFonts w:ascii="Arial" w:hAnsi="Arial" w:cs="Arial"/>
          <w:b/>
          <w:bCs/>
        </w:rPr>
      </w:pPr>
    </w:p>
    <w:p w14:paraId="13F21458" w14:textId="77777777" w:rsidR="00617173" w:rsidRDefault="00617173" w:rsidP="00250DF6">
      <w:pPr>
        <w:rPr>
          <w:rFonts w:ascii="Arial" w:hAnsi="Arial" w:cs="Arial"/>
          <w:b/>
          <w:bCs/>
        </w:rPr>
      </w:pPr>
    </w:p>
    <w:p w14:paraId="1D2EE27F" w14:textId="77777777" w:rsidR="00617173" w:rsidRDefault="00617173" w:rsidP="00250DF6">
      <w:pPr>
        <w:rPr>
          <w:rFonts w:ascii="Arial" w:hAnsi="Arial" w:cs="Arial"/>
          <w:b/>
          <w:bCs/>
        </w:rPr>
      </w:pPr>
    </w:p>
    <w:p w14:paraId="52B75B72" w14:textId="77777777" w:rsidR="00617173" w:rsidRDefault="00617173" w:rsidP="00250DF6">
      <w:pPr>
        <w:rPr>
          <w:rFonts w:ascii="Arial" w:hAnsi="Arial" w:cs="Arial"/>
          <w:b/>
          <w:bCs/>
        </w:rPr>
      </w:pPr>
    </w:p>
    <w:p w14:paraId="1ABB5F1E" w14:textId="77777777" w:rsidR="00617173" w:rsidRDefault="00617173" w:rsidP="00250DF6">
      <w:pPr>
        <w:rPr>
          <w:rFonts w:ascii="Arial" w:hAnsi="Arial" w:cs="Arial"/>
          <w:b/>
          <w:bCs/>
        </w:rPr>
      </w:pPr>
    </w:p>
    <w:p w14:paraId="3205C36A" w14:textId="77777777" w:rsidR="00617173" w:rsidRDefault="00617173" w:rsidP="00250DF6">
      <w:pPr>
        <w:rPr>
          <w:rFonts w:ascii="Arial" w:hAnsi="Arial" w:cs="Arial"/>
          <w:b/>
          <w:bCs/>
        </w:rPr>
      </w:pPr>
    </w:p>
    <w:p w14:paraId="5633951B" w14:textId="77777777" w:rsidR="00617173" w:rsidRDefault="00617173" w:rsidP="00250DF6">
      <w:pPr>
        <w:rPr>
          <w:rFonts w:ascii="Arial" w:hAnsi="Arial" w:cs="Arial"/>
          <w:b/>
          <w:bCs/>
        </w:rPr>
      </w:pPr>
    </w:p>
    <w:p w14:paraId="6151D9C4" w14:textId="77777777" w:rsidR="00617173" w:rsidRDefault="00617173" w:rsidP="00250DF6">
      <w:pPr>
        <w:rPr>
          <w:rFonts w:ascii="Arial" w:hAnsi="Arial" w:cs="Arial"/>
          <w:b/>
          <w:bCs/>
        </w:rPr>
      </w:pPr>
    </w:p>
    <w:p w14:paraId="001C1694" w14:textId="77777777" w:rsidR="00617173" w:rsidRDefault="00617173" w:rsidP="00250DF6">
      <w:pPr>
        <w:rPr>
          <w:rFonts w:ascii="Arial" w:hAnsi="Arial" w:cs="Arial"/>
          <w:b/>
          <w:bCs/>
        </w:rPr>
      </w:pPr>
    </w:p>
    <w:p w14:paraId="50724680" w14:textId="712AC807" w:rsidR="00617173" w:rsidRPr="00617173" w:rsidRDefault="00617173" w:rsidP="00250DF6">
      <w:pPr>
        <w:rPr>
          <w:rFonts w:ascii="Arial" w:hAnsi="Arial" w:cs="Arial"/>
        </w:rPr>
      </w:pPr>
      <w:r w:rsidRPr="00617173">
        <w:rPr>
          <w:rFonts w:ascii="Arial" w:hAnsi="Arial" w:cs="Arial"/>
        </w:rPr>
        <w:t xml:space="preserve">     Figure in the parenthesis are Arc sin transformed values</w:t>
      </w:r>
    </w:p>
    <w:p w14:paraId="2CA41CA3" w14:textId="77777777" w:rsidR="00617173" w:rsidRDefault="00617173" w:rsidP="00250DF6">
      <w:pPr>
        <w:rPr>
          <w:rFonts w:ascii="Arial" w:hAnsi="Arial" w:cs="Arial"/>
          <w:b/>
          <w:bCs/>
        </w:rPr>
      </w:pPr>
    </w:p>
    <w:p w14:paraId="40EF1C2B" w14:textId="59BC90A4" w:rsidR="00250DF6" w:rsidRPr="005D36DC" w:rsidRDefault="00250DF6" w:rsidP="00250DF6">
      <w:pPr>
        <w:rPr>
          <w:rFonts w:ascii="Arial" w:hAnsi="Arial" w:cs="Arial"/>
          <w:b/>
          <w:bCs/>
          <w:i/>
          <w:iCs/>
        </w:rPr>
      </w:pPr>
      <w:r w:rsidRPr="005D36DC">
        <w:rPr>
          <w:rFonts w:ascii="Arial" w:hAnsi="Arial" w:cs="Arial"/>
          <w:b/>
          <w:bCs/>
        </w:rPr>
        <w:t xml:space="preserve">Table 2: Effect of temperature on conidial germination of </w:t>
      </w:r>
      <w:r w:rsidRPr="005D36DC">
        <w:rPr>
          <w:rFonts w:ascii="Arial" w:hAnsi="Arial" w:cs="Arial"/>
          <w:b/>
          <w:bCs/>
          <w:i/>
          <w:iCs/>
        </w:rPr>
        <w:t xml:space="preserve">Erysiphe </w:t>
      </w:r>
      <w:proofErr w:type="spellStart"/>
      <w:r w:rsidRPr="005D36DC">
        <w:rPr>
          <w:rFonts w:ascii="Arial" w:hAnsi="Arial" w:cs="Arial"/>
          <w:b/>
          <w:bCs/>
          <w:i/>
          <w:iCs/>
        </w:rPr>
        <w:t>polygoni</w:t>
      </w:r>
      <w:proofErr w:type="spellEnd"/>
      <w:r w:rsidRPr="005D36DC">
        <w:rPr>
          <w:rFonts w:ascii="Arial" w:hAnsi="Arial" w:cs="Arial"/>
          <w:b/>
          <w:bCs/>
          <w:i/>
          <w:iCs/>
        </w:rPr>
        <w:t xml:space="preserve"> </w:t>
      </w:r>
      <w:r w:rsidRPr="005D36DC">
        <w:rPr>
          <w:rFonts w:ascii="Arial" w:hAnsi="Arial" w:cs="Arial"/>
          <w:b/>
          <w:bCs/>
        </w:rPr>
        <w:t>DC</w:t>
      </w:r>
    </w:p>
    <w:tbl>
      <w:tblPr>
        <w:tblStyle w:val="PlainTable2"/>
        <w:tblpPr w:leftFromText="180" w:rightFromText="180" w:vertAnchor="text" w:horzAnchor="margin" w:tblpXSpec="center" w:tblpY="11"/>
        <w:tblW w:w="0" w:type="auto"/>
        <w:tblLook w:val="04A0" w:firstRow="1" w:lastRow="0" w:firstColumn="1" w:lastColumn="0" w:noHBand="0" w:noVBand="1"/>
      </w:tblPr>
      <w:tblGrid>
        <w:gridCol w:w="960"/>
        <w:gridCol w:w="1980"/>
        <w:gridCol w:w="3009"/>
      </w:tblGrid>
      <w:tr w:rsidR="00BF5ECC" w:rsidRPr="005D36DC" w14:paraId="480FFCE0" w14:textId="77777777" w:rsidTr="00AA48D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14C37C3F" w14:textId="77777777" w:rsidR="00BF5ECC" w:rsidRPr="005D36DC" w:rsidRDefault="00BF5ECC" w:rsidP="00AA48D1">
            <w:pPr>
              <w:spacing w:after="160" w:line="259" w:lineRule="auto"/>
              <w:jc w:val="center"/>
              <w:rPr>
                <w:rFonts w:ascii="Arial" w:hAnsi="Arial" w:cs="Arial"/>
              </w:rPr>
            </w:pPr>
            <w:r w:rsidRPr="005D36DC">
              <w:rPr>
                <w:rFonts w:ascii="Arial" w:hAnsi="Arial" w:cs="Arial"/>
              </w:rPr>
              <w:t>Sno.</w:t>
            </w:r>
          </w:p>
        </w:tc>
        <w:tc>
          <w:tcPr>
            <w:tcW w:w="1980" w:type="dxa"/>
            <w:noWrap/>
            <w:vAlign w:val="center"/>
            <w:hideMark/>
          </w:tcPr>
          <w:p w14:paraId="2A822AE5" w14:textId="77777777" w:rsidR="00BF5ECC" w:rsidRPr="005D36DC" w:rsidRDefault="00BF5ECC" w:rsidP="00AA48D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Temperature</w:t>
            </w:r>
          </w:p>
        </w:tc>
        <w:tc>
          <w:tcPr>
            <w:tcW w:w="3009" w:type="dxa"/>
            <w:noWrap/>
            <w:vAlign w:val="center"/>
            <w:hideMark/>
          </w:tcPr>
          <w:p w14:paraId="5EB45AE5" w14:textId="77777777" w:rsidR="00BF5ECC" w:rsidRPr="005D36DC" w:rsidRDefault="00BF5ECC" w:rsidP="00AA48D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Conidia Germination (%)</w:t>
            </w:r>
          </w:p>
        </w:tc>
      </w:tr>
      <w:tr w:rsidR="00BF5ECC" w:rsidRPr="005D36DC" w14:paraId="3D3B860D"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864F69E" w14:textId="77777777" w:rsidR="00BF5ECC" w:rsidRPr="005D36DC" w:rsidRDefault="00BF5ECC" w:rsidP="00AA48D1">
            <w:pPr>
              <w:spacing w:after="160" w:line="259" w:lineRule="auto"/>
              <w:jc w:val="center"/>
              <w:rPr>
                <w:rFonts w:ascii="Arial" w:hAnsi="Arial" w:cs="Arial"/>
              </w:rPr>
            </w:pPr>
            <w:r w:rsidRPr="005D36DC">
              <w:rPr>
                <w:rFonts w:ascii="Arial" w:hAnsi="Arial" w:cs="Arial"/>
              </w:rPr>
              <w:t>1</w:t>
            </w:r>
          </w:p>
        </w:tc>
        <w:tc>
          <w:tcPr>
            <w:tcW w:w="1980" w:type="dxa"/>
            <w:noWrap/>
            <w:vAlign w:val="center"/>
            <w:hideMark/>
          </w:tcPr>
          <w:p w14:paraId="4455CBB0"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T1 (15˚C)</w:t>
            </w:r>
          </w:p>
        </w:tc>
        <w:tc>
          <w:tcPr>
            <w:tcW w:w="3009" w:type="dxa"/>
            <w:noWrap/>
            <w:vAlign w:val="center"/>
            <w:hideMark/>
          </w:tcPr>
          <w:p w14:paraId="2A73F2EF"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37.67(37.88)</w:t>
            </w:r>
            <w:r w:rsidRPr="005D36DC">
              <w:rPr>
                <w:rFonts w:ascii="Arial" w:hAnsi="Arial" w:cs="Arial"/>
                <w:vertAlign w:val="superscript"/>
              </w:rPr>
              <w:t>e</w:t>
            </w:r>
          </w:p>
        </w:tc>
      </w:tr>
      <w:tr w:rsidR="00BF5ECC" w:rsidRPr="005D36DC" w14:paraId="64850688" w14:textId="77777777" w:rsidTr="00AA48D1">
        <w:trPr>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F9288A6" w14:textId="77777777" w:rsidR="00BF5ECC" w:rsidRPr="005D36DC" w:rsidRDefault="00BF5ECC" w:rsidP="00AA48D1">
            <w:pPr>
              <w:spacing w:after="160" w:line="259" w:lineRule="auto"/>
              <w:jc w:val="center"/>
              <w:rPr>
                <w:rFonts w:ascii="Arial" w:hAnsi="Arial" w:cs="Arial"/>
              </w:rPr>
            </w:pPr>
            <w:r w:rsidRPr="005D36DC">
              <w:rPr>
                <w:rFonts w:ascii="Arial" w:hAnsi="Arial" w:cs="Arial"/>
              </w:rPr>
              <w:t>2</w:t>
            </w:r>
          </w:p>
        </w:tc>
        <w:tc>
          <w:tcPr>
            <w:tcW w:w="1980" w:type="dxa"/>
            <w:noWrap/>
            <w:vAlign w:val="center"/>
            <w:hideMark/>
          </w:tcPr>
          <w:p w14:paraId="23911FAC"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T2 (18˚C)</w:t>
            </w:r>
          </w:p>
        </w:tc>
        <w:tc>
          <w:tcPr>
            <w:tcW w:w="3009" w:type="dxa"/>
            <w:noWrap/>
            <w:vAlign w:val="center"/>
            <w:hideMark/>
          </w:tcPr>
          <w:p w14:paraId="1178DB62"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40.67(39.64)</w:t>
            </w:r>
            <w:r w:rsidRPr="005D36DC">
              <w:rPr>
                <w:rFonts w:ascii="Arial" w:hAnsi="Arial" w:cs="Arial"/>
                <w:vertAlign w:val="superscript"/>
              </w:rPr>
              <w:t>de</w:t>
            </w:r>
          </w:p>
        </w:tc>
      </w:tr>
      <w:tr w:rsidR="00BF5ECC" w:rsidRPr="005D36DC" w14:paraId="6C49A8C3"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E5877A1" w14:textId="77777777" w:rsidR="00BF5ECC" w:rsidRPr="005D36DC" w:rsidRDefault="00BF5ECC" w:rsidP="00AA48D1">
            <w:pPr>
              <w:spacing w:after="160" w:line="259" w:lineRule="auto"/>
              <w:jc w:val="center"/>
              <w:rPr>
                <w:rFonts w:ascii="Arial" w:hAnsi="Arial" w:cs="Arial"/>
              </w:rPr>
            </w:pPr>
            <w:r w:rsidRPr="005D36DC">
              <w:rPr>
                <w:rFonts w:ascii="Arial" w:hAnsi="Arial" w:cs="Arial"/>
              </w:rPr>
              <w:t>3</w:t>
            </w:r>
          </w:p>
        </w:tc>
        <w:tc>
          <w:tcPr>
            <w:tcW w:w="1980" w:type="dxa"/>
            <w:noWrap/>
            <w:vAlign w:val="center"/>
            <w:hideMark/>
          </w:tcPr>
          <w:p w14:paraId="02F24EBB"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T3 (21˚C)</w:t>
            </w:r>
          </w:p>
        </w:tc>
        <w:tc>
          <w:tcPr>
            <w:tcW w:w="3009" w:type="dxa"/>
            <w:noWrap/>
            <w:vAlign w:val="center"/>
            <w:hideMark/>
          </w:tcPr>
          <w:p w14:paraId="24C31D59"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57.33(49.24)</w:t>
            </w:r>
            <w:r w:rsidRPr="005D36DC">
              <w:rPr>
                <w:rFonts w:ascii="Arial" w:hAnsi="Arial" w:cs="Arial"/>
                <w:vertAlign w:val="superscript"/>
              </w:rPr>
              <w:t>b</w:t>
            </w:r>
          </w:p>
        </w:tc>
      </w:tr>
      <w:tr w:rsidR="00BF5ECC" w:rsidRPr="005D36DC" w14:paraId="32FDF3FE" w14:textId="77777777" w:rsidTr="00AA48D1">
        <w:trPr>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60DC31FB" w14:textId="77777777" w:rsidR="00BF5ECC" w:rsidRPr="005D36DC" w:rsidRDefault="00BF5ECC" w:rsidP="00AA48D1">
            <w:pPr>
              <w:spacing w:after="160" w:line="259" w:lineRule="auto"/>
              <w:jc w:val="center"/>
              <w:rPr>
                <w:rFonts w:ascii="Arial" w:hAnsi="Arial" w:cs="Arial"/>
              </w:rPr>
            </w:pPr>
            <w:r w:rsidRPr="005D36DC">
              <w:rPr>
                <w:rFonts w:ascii="Arial" w:hAnsi="Arial" w:cs="Arial"/>
              </w:rPr>
              <w:t>4</w:t>
            </w:r>
          </w:p>
        </w:tc>
        <w:tc>
          <w:tcPr>
            <w:tcW w:w="1980" w:type="dxa"/>
            <w:noWrap/>
            <w:vAlign w:val="center"/>
            <w:hideMark/>
          </w:tcPr>
          <w:p w14:paraId="7A764ECF"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T4 (24˚C)</w:t>
            </w:r>
          </w:p>
        </w:tc>
        <w:tc>
          <w:tcPr>
            <w:tcW w:w="3009" w:type="dxa"/>
            <w:noWrap/>
            <w:vAlign w:val="center"/>
            <w:hideMark/>
          </w:tcPr>
          <w:p w14:paraId="27BA593B"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64.67(53.56)</w:t>
            </w:r>
            <w:r w:rsidRPr="005D36DC">
              <w:rPr>
                <w:rFonts w:ascii="Arial" w:hAnsi="Arial" w:cs="Arial"/>
                <w:vertAlign w:val="superscript"/>
              </w:rPr>
              <w:t>a</w:t>
            </w:r>
          </w:p>
        </w:tc>
      </w:tr>
      <w:tr w:rsidR="00BF5ECC" w:rsidRPr="005D36DC" w14:paraId="20B051D0"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3861CA8" w14:textId="77777777" w:rsidR="00BF5ECC" w:rsidRPr="005D36DC" w:rsidRDefault="00BF5ECC" w:rsidP="00AA48D1">
            <w:pPr>
              <w:spacing w:after="160" w:line="259" w:lineRule="auto"/>
              <w:jc w:val="center"/>
              <w:rPr>
                <w:rFonts w:ascii="Arial" w:hAnsi="Arial" w:cs="Arial"/>
              </w:rPr>
            </w:pPr>
            <w:r w:rsidRPr="005D36DC">
              <w:rPr>
                <w:rFonts w:ascii="Arial" w:hAnsi="Arial" w:cs="Arial"/>
              </w:rPr>
              <w:t>5</w:t>
            </w:r>
          </w:p>
        </w:tc>
        <w:tc>
          <w:tcPr>
            <w:tcW w:w="1980" w:type="dxa"/>
            <w:noWrap/>
            <w:vAlign w:val="center"/>
            <w:hideMark/>
          </w:tcPr>
          <w:p w14:paraId="5B063A83"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T5 (27˚C)</w:t>
            </w:r>
          </w:p>
        </w:tc>
        <w:tc>
          <w:tcPr>
            <w:tcW w:w="3009" w:type="dxa"/>
            <w:noWrap/>
            <w:vAlign w:val="center"/>
            <w:hideMark/>
          </w:tcPr>
          <w:p w14:paraId="18FF997F"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49.33(44.64)</w:t>
            </w:r>
            <w:r w:rsidRPr="005D36DC">
              <w:rPr>
                <w:rFonts w:ascii="Arial" w:hAnsi="Arial" w:cs="Arial"/>
                <w:vertAlign w:val="superscript"/>
              </w:rPr>
              <w:t>c</w:t>
            </w:r>
          </w:p>
        </w:tc>
      </w:tr>
      <w:tr w:rsidR="00BF5ECC" w:rsidRPr="005D36DC" w14:paraId="44E2BFC7" w14:textId="77777777" w:rsidTr="00AA48D1">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73F66A4" w14:textId="77777777" w:rsidR="00BF5ECC" w:rsidRPr="005D36DC" w:rsidRDefault="00BF5ECC" w:rsidP="00AA48D1">
            <w:pPr>
              <w:spacing w:after="160" w:line="259" w:lineRule="auto"/>
              <w:jc w:val="center"/>
              <w:rPr>
                <w:rFonts w:ascii="Arial" w:hAnsi="Arial" w:cs="Arial"/>
              </w:rPr>
            </w:pPr>
            <w:r w:rsidRPr="005D36DC">
              <w:rPr>
                <w:rFonts w:ascii="Arial" w:hAnsi="Arial" w:cs="Arial"/>
              </w:rPr>
              <w:t>6</w:t>
            </w:r>
          </w:p>
        </w:tc>
        <w:tc>
          <w:tcPr>
            <w:tcW w:w="1980" w:type="dxa"/>
            <w:noWrap/>
            <w:vAlign w:val="center"/>
            <w:hideMark/>
          </w:tcPr>
          <w:p w14:paraId="46515F65"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T6 (30˚C)</w:t>
            </w:r>
          </w:p>
        </w:tc>
        <w:tc>
          <w:tcPr>
            <w:tcW w:w="3009" w:type="dxa"/>
            <w:noWrap/>
            <w:vAlign w:val="center"/>
            <w:hideMark/>
          </w:tcPr>
          <w:p w14:paraId="3AC579E9"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44.00(41.58)</w:t>
            </w:r>
            <w:r w:rsidRPr="005D36DC">
              <w:rPr>
                <w:rFonts w:ascii="Arial" w:hAnsi="Arial" w:cs="Arial"/>
                <w:vertAlign w:val="superscript"/>
              </w:rPr>
              <w:t>d</w:t>
            </w:r>
          </w:p>
        </w:tc>
      </w:tr>
      <w:tr w:rsidR="00BF5ECC" w:rsidRPr="005D36DC" w14:paraId="50554BED" w14:textId="77777777" w:rsidTr="00AA48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49E410DB" w14:textId="77777777" w:rsidR="00BF5ECC" w:rsidRPr="005D36DC" w:rsidRDefault="00BF5ECC" w:rsidP="00AA48D1">
            <w:pPr>
              <w:spacing w:after="160" w:line="259" w:lineRule="auto"/>
              <w:jc w:val="center"/>
              <w:rPr>
                <w:rFonts w:ascii="Arial" w:hAnsi="Arial" w:cs="Arial"/>
              </w:rPr>
            </w:pPr>
            <w:r w:rsidRPr="005D36DC">
              <w:rPr>
                <w:rFonts w:ascii="Arial" w:hAnsi="Arial" w:cs="Arial"/>
              </w:rPr>
              <w:t>7</w:t>
            </w:r>
          </w:p>
        </w:tc>
        <w:tc>
          <w:tcPr>
            <w:tcW w:w="1980" w:type="dxa"/>
            <w:noWrap/>
            <w:vAlign w:val="center"/>
            <w:hideMark/>
          </w:tcPr>
          <w:p w14:paraId="4D677A0C"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spellStart"/>
            <w:r w:rsidRPr="005D36DC">
              <w:rPr>
                <w:rFonts w:ascii="Arial" w:hAnsi="Arial" w:cs="Arial"/>
                <w:b/>
                <w:bCs/>
              </w:rPr>
              <w:t>SEm</w:t>
            </w:r>
            <w:proofErr w:type="spellEnd"/>
            <w:r w:rsidRPr="005D36DC">
              <w:rPr>
                <w:rFonts w:ascii="Arial" w:hAnsi="Arial" w:cs="Arial"/>
                <w:b/>
                <w:bCs/>
              </w:rPr>
              <w:t xml:space="preserve"> ±</w:t>
            </w:r>
          </w:p>
        </w:tc>
        <w:tc>
          <w:tcPr>
            <w:tcW w:w="3009" w:type="dxa"/>
            <w:noWrap/>
            <w:vAlign w:val="center"/>
            <w:hideMark/>
          </w:tcPr>
          <w:p w14:paraId="15C20C0F"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0.94</w:t>
            </w:r>
          </w:p>
        </w:tc>
      </w:tr>
      <w:tr w:rsidR="00BF5ECC" w:rsidRPr="005D36DC" w14:paraId="0BBC524D" w14:textId="77777777" w:rsidTr="00AA48D1">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734EB0F1" w14:textId="77777777" w:rsidR="00BF5ECC" w:rsidRPr="005D36DC" w:rsidRDefault="00BF5ECC" w:rsidP="00AA48D1">
            <w:pPr>
              <w:spacing w:after="160" w:line="259" w:lineRule="auto"/>
              <w:jc w:val="center"/>
              <w:rPr>
                <w:rFonts w:ascii="Arial" w:hAnsi="Arial" w:cs="Arial"/>
              </w:rPr>
            </w:pPr>
            <w:r w:rsidRPr="005D36DC">
              <w:rPr>
                <w:rFonts w:ascii="Arial" w:hAnsi="Arial" w:cs="Arial"/>
              </w:rPr>
              <w:t>8</w:t>
            </w:r>
          </w:p>
        </w:tc>
        <w:tc>
          <w:tcPr>
            <w:tcW w:w="1980" w:type="dxa"/>
            <w:noWrap/>
            <w:vAlign w:val="center"/>
            <w:hideMark/>
          </w:tcPr>
          <w:p w14:paraId="2CE6F255"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D36DC">
              <w:rPr>
                <w:rFonts w:ascii="Arial" w:hAnsi="Arial" w:cs="Arial"/>
                <w:b/>
                <w:bCs/>
              </w:rPr>
              <w:t>CD (P≤ 0.05)</w:t>
            </w:r>
          </w:p>
        </w:tc>
        <w:tc>
          <w:tcPr>
            <w:tcW w:w="3009" w:type="dxa"/>
            <w:noWrap/>
            <w:vAlign w:val="center"/>
            <w:hideMark/>
          </w:tcPr>
          <w:p w14:paraId="32EB6632"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2.77</w:t>
            </w:r>
          </w:p>
        </w:tc>
      </w:tr>
      <w:tr w:rsidR="00BF5ECC" w:rsidRPr="005D36DC" w14:paraId="0B90BA8C" w14:textId="77777777" w:rsidTr="00AA48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2AE080C" w14:textId="77777777" w:rsidR="00BF5ECC" w:rsidRPr="005D36DC" w:rsidRDefault="00BF5ECC" w:rsidP="00AA48D1">
            <w:pPr>
              <w:spacing w:after="160" w:line="259" w:lineRule="auto"/>
              <w:jc w:val="center"/>
              <w:rPr>
                <w:rFonts w:ascii="Arial" w:hAnsi="Arial" w:cs="Arial"/>
              </w:rPr>
            </w:pPr>
            <w:r w:rsidRPr="005D36DC">
              <w:rPr>
                <w:rFonts w:ascii="Arial" w:hAnsi="Arial" w:cs="Arial"/>
              </w:rPr>
              <w:t>9</w:t>
            </w:r>
          </w:p>
        </w:tc>
        <w:tc>
          <w:tcPr>
            <w:tcW w:w="1980" w:type="dxa"/>
            <w:noWrap/>
            <w:vAlign w:val="center"/>
            <w:hideMark/>
          </w:tcPr>
          <w:p w14:paraId="79779769"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gramStart"/>
            <w:r w:rsidRPr="005D36DC">
              <w:rPr>
                <w:rFonts w:ascii="Arial" w:hAnsi="Arial" w:cs="Arial"/>
                <w:b/>
                <w:bCs/>
              </w:rPr>
              <w:t>CV(</w:t>
            </w:r>
            <w:proofErr w:type="gramEnd"/>
            <w:r w:rsidRPr="005D36DC">
              <w:rPr>
                <w:rFonts w:ascii="Arial" w:hAnsi="Arial" w:cs="Arial"/>
                <w:b/>
                <w:bCs/>
              </w:rPr>
              <w:t>%)</w:t>
            </w:r>
          </w:p>
        </w:tc>
        <w:tc>
          <w:tcPr>
            <w:tcW w:w="3009" w:type="dxa"/>
            <w:noWrap/>
            <w:vAlign w:val="center"/>
            <w:hideMark/>
          </w:tcPr>
          <w:p w14:paraId="7BF89C4A"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3.70</w:t>
            </w:r>
          </w:p>
        </w:tc>
      </w:tr>
    </w:tbl>
    <w:p w14:paraId="30187E6E" w14:textId="77777777" w:rsidR="00250DF6" w:rsidRPr="005D36DC" w:rsidRDefault="00250DF6" w:rsidP="00250DF6">
      <w:pPr>
        <w:rPr>
          <w:rFonts w:ascii="Arial" w:hAnsi="Arial" w:cs="Arial"/>
        </w:rPr>
      </w:pPr>
    </w:p>
    <w:p w14:paraId="2A96AF7C" w14:textId="77777777" w:rsidR="00BF5ECC" w:rsidRPr="005D36DC" w:rsidRDefault="00BF5ECC" w:rsidP="00250DF6">
      <w:pPr>
        <w:rPr>
          <w:rFonts w:ascii="Arial" w:hAnsi="Arial" w:cs="Arial"/>
          <w:b/>
          <w:bCs/>
        </w:rPr>
      </w:pPr>
    </w:p>
    <w:p w14:paraId="5D6DD5CB" w14:textId="77777777" w:rsidR="00BF5ECC" w:rsidRPr="005D36DC" w:rsidRDefault="00BF5ECC" w:rsidP="00250DF6">
      <w:pPr>
        <w:rPr>
          <w:rFonts w:ascii="Arial" w:hAnsi="Arial" w:cs="Arial"/>
          <w:b/>
          <w:bCs/>
        </w:rPr>
      </w:pPr>
    </w:p>
    <w:p w14:paraId="4714666F" w14:textId="77777777" w:rsidR="00BF5ECC" w:rsidRPr="005D36DC" w:rsidRDefault="00BF5ECC" w:rsidP="00250DF6">
      <w:pPr>
        <w:rPr>
          <w:rFonts w:ascii="Arial" w:hAnsi="Arial" w:cs="Arial"/>
          <w:b/>
          <w:bCs/>
        </w:rPr>
      </w:pPr>
    </w:p>
    <w:p w14:paraId="4D9FFDA3" w14:textId="77777777" w:rsidR="00BF5ECC" w:rsidRPr="005D36DC" w:rsidRDefault="00BF5ECC" w:rsidP="00250DF6">
      <w:pPr>
        <w:rPr>
          <w:rFonts w:ascii="Arial" w:hAnsi="Arial" w:cs="Arial"/>
          <w:b/>
          <w:bCs/>
        </w:rPr>
      </w:pPr>
    </w:p>
    <w:p w14:paraId="530BE073" w14:textId="77777777" w:rsidR="00BF5ECC" w:rsidRPr="005D36DC" w:rsidRDefault="00BF5ECC" w:rsidP="00250DF6">
      <w:pPr>
        <w:rPr>
          <w:rFonts w:ascii="Arial" w:hAnsi="Arial" w:cs="Arial"/>
          <w:b/>
          <w:bCs/>
        </w:rPr>
      </w:pPr>
    </w:p>
    <w:p w14:paraId="033F52F5" w14:textId="77777777" w:rsidR="00BF5ECC" w:rsidRPr="005D36DC" w:rsidRDefault="00BF5ECC" w:rsidP="00250DF6">
      <w:pPr>
        <w:rPr>
          <w:rFonts w:ascii="Arial" w:hAnsi="Arial" w:cs="Arial"/>
          <w:b/>
          <w:bCs/>
        </w:rPr>
      </w:pPr>
    </w:p>
    <w:p w14:paraId="4A2D3A16" w14:textId="77777777" w:rsidR="00BF5ECC" w:rsidRPr="005D36DC" w:rsidRDefault="00BF5ECC" w:rsidP="00250DF6">
      <w:pPr>
        <w:rPr>
          <w:rFonts w:ascii="Arial" w:hAnsi="Arial" w:cs="Arial"/>
          <w:b/>
          <w:bCs/>
        </w:rPr>
      </w:pPr>
    </w:p>
    <w:p w14:paraId="3AC3303C" w14:textId="77777777" w:rsidR="00BF5ECC" w:rsidRPr="005D36DC" w:rsidRDefault="00BF5ECC" w:rsidP="00250DF6">
      <w:pPr>
        <w:rPr>
          <w:rFonts w:ascii="Arial" w:hAnsi="Arial" w:cs="Arial"/>
          <w:b/>
          <w:bCs/>
        </w:rPr>
      </w:pPr>
    </w:p>
    <w:p w14:paraId="62B03544" w14:textId="77777777" w:rsidR="00617173" w:rsidRDefault="00617173" w:rsidP="00BF5ECC">
      <w:pPr>
        <w:rPr>
          <w:rFonts w:ascii="Arial" w:hAnsi="Arial" w:cs="Arial"/>
          <w:b/>
          <w:bCs/>
        </w:rPr>
      </w:pPr>
    </w:p>
    <w:p w14:paraId="01EEC631" w14:textId="77777777" w:rsidR="00617173" w:rsidRDefault="00617173" w:rsidP="00BF5ECC">
      <w:pPr>
        <w:rPr>
          <w:rFonts w:ascii="Arial" w:hAnsi="Arial" w:cs="Arial"/>
          <w:b/>
          <w:bCs/>
        </w:rPr>
      </w:pPr>
    </w:p>
    <w:p w14:paraId="7B05DAE0" w14:textId="1CF87009" w:rsidR="00BF5ECC" w:rsidRPr="005D36DC" w:rsidRDefault="00BF5ECC" w:rsidP="00BF5ECC">
      <w:pPr>
        <w:rPr>
          <w:rFonts w:ascii="Arial" w:hAnsi="Arial" w:cs="Arial"/>
        </w:rPr>
      </w:pPr>
      <w:r w:rsidRPr="005D36DC">
        <w:rPr>
          <w:rFonts w:ascii="Arial" w:hAnsi="Arial" w:cs="Arial"/>
        </w:rPr>
        <w:t>Figure in the parenthesis are Arc sin transformed values</w:t>
      </w:r>
    </w:p>
    <w:p w14:paraId="3DAA7C76" w14:textId="77777777" w:rsidR="00BF5ECC" w:rsidRPr="005D36DC" w:rsidRDefault="00BF5ECC" w:rsidP="00250DF6">
      <w:pPr>
        <w:rPr>
          <w:rFonts w:ascii="Arial" w:hAnsi="Arial" w:cs="Arial"/>
          <w:b/>
          <w:bCs/>
        </w:rPr>
      </w:pPr>
    </w:p>
    <w:p w14:paraId="73DA54D5" w14:textId="6386990D" w:rsidR="003D347B" w:rsidRPr="005D36DC" w:rsidRDefault="003D347B" w:rsidP="009245B8">
      <w:pPr>
        <w:ind w:left="851" w:hanging="851"/>
        <w:rPr>
          <w:rFonts w:ascii="Arial" w:hAnsi="Arial" w:cs="Arial"/>
          <w:b/>
          <w:bCs/>
        </w:rPr>
      </w:pPr>
      <w:r w:rsidRPr="005D36DC">
        <w:rPr>
          <w:rFonts w:ascii="Arial" w:hAnsi="Arial" w:cs="Arial"/>
          <w:b/>
          <w:bCs/>
        </w:rPr>
        <w:lastRenderedPageBreak/>
        <w:t xml:space="preserve">Table </w:t>
      </w:r>
      <w:r w:rsidR="00250DF6" w:rsidRPr="005D36DC">
        <w:rPr>
          <w:rFonts w:ascii="Arial" w:hAnsi="Arial" w:cs="Arial"/>
          <w:b/>
          <w:bCs/>
        </w:rPr>
        <w:t>3</w:t>
      </w:r>
      <w:r w:rsidRPr="005D36DC">
        <w:rPr>
          <w:rFonts w:ascii="Arial" w:hAnsi="Arial" w:cs="Arial"/>
          <w:b/>
          <w:bCs/>
        </w:rPr>
        <w:t xml:space="preserve">: Role of Relative Humidity in Regulating Conidial Germination of </w:t>
      </w:r>
      <w:r w:rsidRPr="005D36DC">
        <w:rPr>
          <w:rFonts w:ascii="Arial" w:hAnsi="Arial" w:cs="Arial"/>
          <w:b/>
          <w:bCs/>
          <w:i/>
          <w:iCs/>
        </w:rPr>
        <w:t xml:space="preserve">Erysiphe </w:t>
      </w:r>
      <w:r w:rsidR="00250DF6" w:rsidRPr="005D36DC">
        <w:rPr>
          <w:rFonts w:ascii="Arial" w:hAnsi="Arial" w:cs="Arial"/>
          <w:b/>
          <w:bCs/>
          <w:i/>
          <w:iCs/>
        </w:rPr>
        <w:t xml:space="preserve">   </w:t>
      </w:r>
      <w:proofErr w:type="spellStart"/>
      <w:r w:rsidRPr="005D36DC">
        <w:rPr>
          <w:rFonts w:ascii="Arial" w:hAnsi="Arial" w:cs="Arial"/>
          <w:b/>
          <w:bCs/>
          <w:i/>
          <w:iCs/>
        </w:rPr>
        <w:t>polygoni</w:t>
      </w:r>
      <w:proofErr w:type="spellEnd"/>
      <w:r w:rsidRPr="005D36DC">
        <w:rPr>
          <w:rFonts w:ascii="Arial" w:hAnsi="Arial" w:cs="Arial"/>
          <w:b/>
          <w:bCs/>
        </w:rPr>
        <w:t xml:space="preserve"> DC</w:t>
      </w:r>
      <w:r w:rsidR="00250DF6" w:rsidRPr="005D36DC">
        <w:rPr>
          <w:rFonts w:ascii="Arial" w:hAnsi="Arial" w:cs="Arial"/>
          <w:b/>
          <w:bCs/>
        </w:rPr>
        <w:t xml:space="preserve"> </w:t>
      </w:r>
    </w:p>
    <w:tbl>
      <w:tblPr>
        <w:tblStyle w:val="PlainTable2"/>
        <w:tblpPr w:leftFromText="180" w:rightFromText="180" w:vertAnchor="text" w:horzAnchor="margin" w:tblpXSpec="center" w:tblpY="86"/>
        <w:tblW w:w="0" w:type="auto"/>
        <w:tblLook w:val="04A0" w:firstRow="1" w:lastRow="0" w:firstColumn="1" w:lastColumn="0" w:noHBand="0" w:noVBand="1"/>
      </w:tblPr>
      <w:tblGrid>
        <w:gridCol w:w="960"/>
        <w:gridCol w:w="2887"/>
        <w:gridCol w:w="2835"/>
      </w:tblGrid>
      <w:tr w:rsidR="00250DF6" w:rsidRPr="005D36DC" w14:paraId="6626F74A" w14:textId="77777777" w:rsidTr="00AA48D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4D2F781" w14:textId="77777777" w:rsidR="00250DF6" w:rsidRPr="005D36DC" w:rsidRDefault="00250DF6" w:rsidP="00AA48D1">
            <w:pPr>
              <w:spacing w:line="360" w:lineRule="auto"/>
              <w:jc w:val="center"/>
              <w:rPr>
                <w:rFonts w:ascii="Arial" w:hAnsi="Arial" w:cs="Arial"/>
                <w:b w:val="0"/>
                <w:bCs w:val="0"/>
              </w:rPr>
            </w:pPr>
            <w:r w:rsidRPr="005D36DC">
              <w:rPr>
                <w:rFonts w:ascii="Arial" w:hAnsi="Arial" w:cs="Arial"/>
              </w:rPr>
              <w:t>Sno.</w:t>
            </w:r>
          </w:p>
        </w:tc>
        <w:tc>
          <w:tcPr>
            <w:tcW w:w="2887" w:type="dxa"/>
            <w:noWrap/>
            <w:vAlign w:val="center"/>
            <w:hideMark/>
          </w:tcPr>
          <w:p w14:paraId="3C6DFB76" w14:textId="77777777" w:rsidR="00250DF6" w:rsidRPr="005D36DC" w:rsidRDefault="00250DF6" w:rsidP="00AA48D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D36DC">
              <w:rPr>
                <w:rFonts w:ascii="Arial" w:hAnsi="Arial" w:cs="Arial"/>
              </w:rPr>
              <w:t>Relative Humidity (%)</w:t>
            </w:r>
          </w:p>
        </w:tc>
        <w:tc>
          <w:tcPr>
            <w:tcW w:w="2835" w:type="dxa"/>
            <w:noWrap/>
            <w:vAlign w:val="center"/>
            <w:hideMark/>
          </w:tcPr>
          <w:p w14:paraId="6254B169" w14:textId="77777777" w:rsidR="00250DF6" w:rsidRPr="005D36DC" w:rsidRDefault="00250DF6" w:rsidP="00AA48D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D36DC">
              <w:rPr>
                <w:rFonts w:ascii="Arial" w:hAnsi="Arial" w:cs="Arial"/>
              </w:rPr>
              <w:t>Conidia germination (%)</w:t>
            </w:r>
          </w:p>
        </w:tc>
      </w:tr>
      <w:tr w:rsidR="00250DF6" w:rsidRPr="005D36DC" w14:paraId="2D2AFF6E"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7FE9AC2B" w14:textId="77777777" w:rsidR="00250DF6" w:rsidRPr="005D36DC" w:rsidRDefault="00250DF6" w:rsidP="00AA48D1">
            <w:pPr>
              <w:spacing w:line="360" w:lineRule="auto"/>
              <w:jc w:val="center"/>
              <w:rPr>
                <w:rFonts w:ascii="Arial" w:hAnsi="Arial" w:cs="Arial"/>
              </w:rPr>
            </w:pPr>
            <w:r w:rsidRPr="005D36DC">
              <w:rPr>
                <w:rFonts w:ascii="Arial" w:hAnsi="Arial" w:cs="Arial"/>
              </w:rPr>
              <w:t>1</w:t>
            </w:r>
          </w:p>
        </w:tc>
        <w:tc>
          <w:tcPr>
            <w:tcW w:w="2887" w:type="dxa"/>
            <w:noWrap/>
            <w:vAlign w:val="center"/>
            <w:hideMark/>
          </w:tcPr>
          <w:p w14:paraId="427EE91A"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50</w:t>
            </w:r>
          </w:p>
        </w:tc>
        <w:tc>
          <w:tcPr>
            <w:tcW w:w="2835" w:type="dxa"/>
            <w:noWrap/>
            <w:vAlign w:val="center"/>
            <w:hideMark/>
          </w:tcPr>
          <w:p w14:paraId="19C17179"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36.33(37.09)</w:t>
            </w:r>
            <w:r w:rsidRPr="005D36DC">
              <w:rPr>
                <w:rFonts w:ascii="Arial" w:hAnsi="Arial" w:cs="Arial"/>
                <w:vertAlign w:val="superscript"/>
              </w:rPr>
              <w:t>e</w:t>
            </w:r>
          </w:p>
        </w:tc>
      </w:tr>
      <w:tr w:rsidR="00250DF6" w:rsidRPr="005D36DC" w14:paraId="33F7681F" w14:textId="77777777" w:rsidTr="00AA48D1">
        <w:trPr>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6595FBF2" w14:textId="77777777" w:rsidR="00250DF6" w:rsidRPr="005D36DC" w:rsidRDefault="00250DF6" w:rsidP="00AA48D1">
            <w:pPr>
              <w:spacing w:line="360" w:lineRule="auto"/>
              <w:jc w:val="center"/>
              <w:rPr>
                <w:rFonts w:ascii="Arial" w:hAnsi="Arial" w:cs="Arial"/>
              </w:rPr>
            </w:pPr>
            <w:r w:rsidRPr="005D36DC">
              <w:rPr>
                <w:rFonts w:ascii="Arial" w:hAnsi="Arial" w:cs="Arial"/>
              </w:rPr>
              <w:t>2</w:t>
            </w:r>
          </w:p>
        </w:tc>
        <w:tc>
          <w:tcPr>
            <w:tcW w:w="2887" w:type="dxa"/>
            <w:noWrap/>
            <w:vAlign w:val="center"/>
            <w:hideMark/>
          </w:tcPr>
          <w:p w14:paraId="45EF5CB6"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60</w:t>
            </w:r>
          </w:p>
        </w:tc>
        <w:tc>
          <w:tcPr>
            <w:tcW w:w="2835" w:type="dxa"/>
            <w:noWrap/>
            <w:vAlign w:val="center"/>
            <w:hideMark/>
          </w:tcPr>
          <w:p w14:paraId="0AC49E3E"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40.67(39.64)</w:t>
            </w:r>
            <w:r w:rsidRPr="005D36DC">
              <w:rPr>
                <w:rFonts w:ascii="Arial" w:hAnsi="Arial" w:cs="Arial"/>
                <w:vertAlign w:val="superscript"/>
              </w:rPr>
              <w:t>de</w:t>
            </w:r>
          </w:p>
        </w:tc>
      </w:tr>
      <w:tr w:rsidR="00250DF6" w:rsidRPr="005D36DC" w14:paraId="031737FF"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35623E8F" w14:textId="77777777" w:rsidR="00250DF6" w:rsidRPr="005D36DC" w:rsidRDefault="00250DF6" w:rsidP="00AA48D1">
            <w:pPr>
              <w:spacing w:line="360" w:lineRule="auto"/>
              <w:jc w:val="center"/>
              <w:rPr>
                <w:rFonts w:ascii="Arial" w:hAnsi="Arial" w:cs="Arial"/>
              </w:rPr>
            </w:pPr>
            <w:r w:rsidRPr="005D36DC">
              <w:rPr>
                <w:rFonts w:ascii="Arial" w:hAnsi="Arial" w:cs="Arial"/>
              </w:rPr>
              <w:t>3</w:t>
            </w:r>
          </w:p>
        </w:tc>
        <w:tc>
          <w:tcPr>
            <w:tcW w:w="2887" w:type="dxa"/>
            <w:noWrap/>
            <w:vAlign w:val="center"/>
            <w:hideMark/>
          </w:tcPr>
          <w:p w14:paraId="1506D0DD"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70</w:t>
            </w:r>
          </w:p>
        </w:tc>
        <w:tc>
          <w:tcPr>
            <w:tcW w:w="2835" w:type="dxa"/>
            <w:noWrap/>
            <w:vAlign w:val="center"/>
            <w:hideMark/>
          </w:tcPr>
          <w:p w14:paraId="41876AC1"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68.33(55.78)</w:t>
            </w:r>
            <w:r w:rsidRPr="005D36DC">
              <w:rPr>
                <w:rFonts w:ascii="Arial" w:hAnsi="Arial" w:cs="Arial"/>
                <w:vertAlign w:val="superscript"/>
              </w:rPr>
              <w:t>b</w:t>
            </w:r>
          </w:p>
        </w:tc>
      </w:tr>
      <w:tr w:rsidR="00250DF6" w:rsidRPr="005D36DC" w14:paraId="5C687F9A" w14:textId="77777777" w:rsidTr="00AA48D1">
        <w:trPr>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CCBE8DC" w14:textId="77777777" w:rsidR="00250DF6" w:rsidRPr="005D36DC" w:rsidRDefault="00250DF6" w:rsidP="00AA48D1">
            <w:pPr>
              <w:spacing w:line="360" w:lineRule="auto"/>
              <w:jc w:val="center"/>
              <w:rPr>
                <w:rFonts w:ascii="Arial" w:hAnsi="Arial" w:cs="Arial"/>
              </w:rPr>
            </w:pPr>
            <w:r w:rsidRPr="005D36DC">
              <w:rPr>
                <w:rFonts w:ascii="Arial" w:hAnsi="Arial" w:cs="Arial"/>
              </w:rPr>
              <w:t>4</w:t>
            </w:r>
          </w:p>
        </w:tc>
        <w:tc>
          <w:tcPr>
            <w:tcW w:w="2887" w:type="dxa"/>
            <w:noWrap/>
            <w:vAlign w:val="center"/>
            <w:hideMark/>
          </w:tcPr>
          <w:p w14:paraId="25B114BF"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80</w:t>
            </w:r>
          </w:p>
        </w:tc>
        <w:tc>
          <w:tcPr>
            <w:tcW w:w="2835" w:type="dxa"/>
            <w:noWrap/>
            <w:vAlign w:val="center"/>
            <w:hideMark/>
          </w:tcPr>
          <w:p w14:paraId="15759F2F"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78.33(62.29)</w:t>
            </w:r>
            <w:r w:rsidRPr="005D36DC">
              <w:rPr>
                <w:rFonts w:ascii="Arial" w:hAnsi="Arial" w:cs="Arial"/>
                <w:vertAlign w:val="superscript"/>
              </w:rPr>
              <w:t>a</w:t>
            </w:r>
          </w:p>
        </w:tc>
      </w:tr>
      <w:tr w:rsidR="00250DF6" w:rsidRPr="005D36DC" w14:paraId="218FEE38"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FF41342" w14:textId="77777777" w:rsidR="00250DF6" w:rsidRPr="005D36DC" w:rsidRDefault="00250DF6" w:rsidP="00AA48D1">
            <w:pPr>
              <w:spacing w:line="360" w:lineRule="auto"/>
              <w:jc w:val="center"/>
              <w:rPr>
                <w:rFonts w:ascii="Arial" w:hAnsi="Arial" w:cs="Arial"/>
              </w:rPr>
            </w:pPr>
            <w:r w:rsidRPr="005D36DC">
              <w:rPr>
                <w:rFonts w:ascii="Arial" w:hAnsi="Arial" w:cs="Arial"/>
              </w:rPr>
              <w:t>5</w:t>
            </w:r>
          </w:p>
        </w:tc>
        <w:tc>
          <w:tcPr>
            <w:tcW w:w="2887" w:type="dxa"/>
            <w:noWrap/>
            <w:vAlign w:val="center"/>
            <w:hideMark/>
          </w:tcPr>
          <w:p w14:paraId="41939C6D"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90</w:t>
            </w:r>
          </w:p>
        </w:tc>
        <w:tc>
          <w:tcPr>
            <w:tcW w:w="2835" w:type="dxa"/>
            <w:noWrap/>
            <w:vAlign w:val="center"/>
            <w:hideMark/>
          </w:tcPr>
          <w:p w14:paraId="56E4C615"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55.00(47.89)</w:t>
            </w:r>
            <w:r w:rsidRPr="005D36DC">
              <w:rPr>
                <w:rFonts w:ascii="Arial" w:hAnsi="Arial" w:cs="Arial"/>
                <w:vertAlign w:val="superscript"/>
              </w:rPr>
              <w:t>c</w:t>
            </w:r>
          </w:p>
        </w:tc>
      </w:tr>
      <w:tr w:rsidR="00250DF6" w:rsidRPr="005D36DC" w14:paraId="5CA8DF5B" w14:textId="77777777" w:rsidTr="00AA48D1">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9B2A4F9" w14:textId="77777777" w:rsidR="00250DF6" w:rsidRPr="005D36DC" w:rsidRDefault="00250DF6" w:rsidP="00AA48D1">
            <w:pPr>
              <w:spacing w:line="360" w:lineRule="auto"/>
              <w:jc w:val="center"/>
              <w:rPr>
                <w:rFonts w:ascii="Arial" w:hAnsi="Arial" w:cs="Arial"/>
              </w:rPr>
            </w:pPr>
            <w:r w:rsidRPr="005D36DC">
              <w:rPr>
                <w:rFonts w:ascii="Arial" w:hAnsi="Arial" w:cs="Arial"/>
              </w:rPr>
              <w:t>6</w:t>
            </w:r>
          </w:p>
        </w:tc>
        <w:tc>
          <w:tcPr>
            <w:tcW w:w="2887" w:type="dxa"/>
            <w:noWrap/>
            <w:vAlign w:val="center"/>
            <w:hideMark/>
          </w:tcPr>
          <w:p w14:paraId="456FBB00"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100</w:t>
            </w:r>
          </w:p>
        </w:tc>
        <w:tc>
          <w:tcPr>
            <w:tcW w:w="2835" w:type="dxa"/>
            <w:noWrap/>
            <w:vAlign w:val="center"/>
            <w:hideMark/>
          </w:tcPr>
          <w:p w14:paraId="6A65C0F8"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46.67(43.11)</w:t>
            </w:r>
            <w:r w:rsidRPr="005D36DC">
              <w:rPr>
                <w:rFonts w:ascii="Arial" w:hAnsi="Arial" w:cs="Arial"/>
                <w:vertAlign w:val="superscript"/>
              </w:rPr>
              <w:t>d</w:t>
            </w:r>
          </w:p>
        </w:tc>
      </w:tr>
      <w:tr w:rsidR="00250DF6" w:rsidRPr="005D36DC" w14:paraId="044556E0" w14:textId="77777777" w:rsidTr="00AA48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58D8A29" w14:textId="77777777" w:rsidR="00250DF6" w:rsidRPr="005D36DC" w:rsidRDefault="00250DF6" w:rsidP="00AA48D1">
            <w:pPr>
              <w:spacing w:line="360" w:lineRule="auto"/>
              <w:jc w:val="center"/>
              <w:rPr>
                <w:rFonts w:ascii="Arial" w:hAnsi="Arial" w:cs="Arial"/>
              </w:rPr>
            </w:pPr>
            <w:r w:rsidRPr="005D36DC">
              <w:rPr>
                <w:rFonts w:ascii="Arial" w:hAnsi="Arial" w:cs="Arial"/>
              </w:rPr>
              <w:t>7</w:t>
            </w:r>
          </w:p>
        </w:tc>
        <w:tc>
          <w:tcPr>
            <w:tcW w:w="2887" w:type="dxa"/>
            <w:noWrap/>
            <w:vAlign w:val="center"/>
            <w:hideMark/>
          </w:tcPr>
          <w:p w14:paraId="31FA3A83"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spellStart"/>
            <w:r w:rsidRPr="005D36DC">
              <w:rPr>
                <w:rFonts w:ascii="Arial" w:hAnsi="Arial" w:cs="Arial"/>
                <w:b/>
                <w:bCs/>
              </w:rPr>
              <w:t>SEm</w:t>
            </w:r>
            <w:proofErr w:type="spellEnd"/>
            <w:r w:rsidRPr="005D36DC">
              <w:rPr>
                <w:rFonts w:ascii="Arial" w:hAnsi="Arial" w:cs="Arial"/>
                <w:b/>
                <w:bCs/>
              </w:rPr>
              <w:t xml:space="preserve"> ±</w:t>
            </w:r>
          </w:p>
        </w:tc>
        <w:tc>
          <w:tcPr>
            <w:tcW w:w="2835" w:type="dxa"/>
            <w:noWrap/>
            <w:vAlign w:val="center"/>
            <w:hideMark/>
          </w:tcPr>
          <w:p w14:paraId="67A3717B"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1.39</w:t>
            </w:r>
          </w:p>
        </w:tc>
      </w:tr>
      <w:tr w:rsidR="00250DF6" w:rsidRPr="005D36DC" w14:paraId="7D6A0F9B" w14:textId="77777777" w:rsidTr="00AA48D1">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73228505" w14:textId="77777777" w:rsidR="00250DF6" w:rsidRPr="005D36DC" w:rsidRDefault="00250DF6" w:rsidP="00AA48D1">
            <w:pPr>
              <w:spacing w:line="360" w:lineRule="auto"/>
              <w:jc w:val="center"/>
              <w:rPr>
                <w:rFonts w:ascii="Arial" w:hAnsi="Arial" w:cs="Arial"/>
              </w:rPr>
            </w:pPr>
            <w:r w:rsidRPr="005D36DC">
              <w:rPr>
                <w:rFonts w:ascii="Arial" w:hAnsi="Arial" w:cs="Arial"/>
              </w:rPr>
              <w:t>8</w:t>
            </w:r>
          </w:p>
        </w:tc>
        <w:tc>
          <w:tcPr>
            <w:tcW w:w="2887" w:type="dxa"/>
            <w:noWrap/>
            <w:vAlign w:val="center"/>
            <w:hideMark/>
          </w:tcPr>
          <w:p w14:paraId="0E56131F"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D36DC">
              <w:rPr>
                <w:rFonts w:ascii="Arial" w:hAnsi="Arial" w:cs="Arial"/>
                <w:b/>
                <w:bCs/>
              </w:rPr>
              <w:t>CD (P≤ 0.05)</w:t>
            </w:r>
          </w:p>
        </w:tc>
        <w:tc>
          <w:tcPr>
            <w:tcW w:w="2835" w:type="dxa"/>
            <w:noWrap/>
            <w:vAlign w:val="center"/>
            <w:hideMark/>
          </w:tcPr>
          <w:p w14:paraId="17283AF2"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4.09</w:t>
            </w:r>
          </w:p>
        </w:tc>
      </w:tr>
      <w:tr w:rsidR="00250DF6" w:rsidRPr="005D36DC" w14:paraId="009972DC" w14:textId="77777777" w:rsidTr="00AA48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68E5A844" w14:textId="77777777" w:rsidR="00250DF6" w:rsidRPr="005D36DC" w:rsidRDefault="00250DF6" w:rsidP="00AA48D1">
            <w:pPr>
              <w:spacing w:line="360" w:lineRule="auto"/>
              <w:jc w:val="center"/>
              <w:rPr>
                <w:rFonts w:ascii="Arial" w:hAnsi="Arial" w:cs="Arial"/>
              </w:rPr>
            </w:pPr>
            <w:r w:rsidRPr="005D36DC">
              <w:rPr>
                <w:rFonts w:ascii="Arial" w:hAnsi="Arial" w:cs="Arial"/>
              </w:rPr>
              <w:t>9</w:t>
            </w:r>
          </w:p>
        </w:tc>
        <w:tc>
          <w:tcPr>
            <w:tcW w:w="2887" w:type="dxa"/>
            <w:noWrap/>
            <w:vAlign w:val="center"/>
            <w:hideMark/>
          </w:tcPr>
          <w:p w14:paraId="4D751564"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gramStart"/>
            <w:r w:rsidRPr="005D36DC">
              <w:rPr>
                <w:rFonts w:ascii="Arial" w:hAnsi="Arial" w:cs="Arial"/>
                <w:b/>
                <w:bCs/>
              </w:rPr>
              <w:t>CV(</w:t>
            </w:r>
            <w:proofErr w:type="gramEnd"/>
            <w:r w:rsidRPr="005D36DC">
              <w:rPr>
                <w:rFonts w:ascii="Arial" w:hAnsi="Arial" w:cs="Arial"/>
                <w:b/>
                <w:bCs/>
              </w:rPr>
              <w:t>%)</w:t>
            </w:r>
          </w:p>
        </w:tc>
        <w:tc>
          <w:tcPr>
            <w:tcW w:w="2835" w:type="dxa"/>
            <w:noWrap/>
            <w:vAlign w:val="center"/>
            <w:hideMark/>
          </w:tcPr>
          <w:p w14:paraId="1FC26B41"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5.08</w:t>
            </w:r>
          </w:p>
        </w:tc>
      </w:tr>
    </w:tbl>
    <w:p w14:paraId="214A8EE2" w14:textId="77777777" w:rsidR="003D347B" w:rsidRPr="005D36DC" w:rsidRDefault="003D347B" w:rsidP="003D347B">
      <w:pPr>
        <w:rPr>
          <w:rFonts w:ascii="Arial" w:hAnsi="Arial" w:cs="Arial"/>
          <w:b/>
          <w:bCs/>
        </w:rPr>
      </w:pPr>
    </w:p>
    <w:p w14:paraId="6D305FDB" w14:textId="77777777" w:rsidR="003D347B" w:rsidRPr="005D36DC" w:rsidRDefault="003D347B" w:rsidP="003D347B">
      <w:pPr>
        <w:rPr>
          <w:rFonts w:ascii="Arial" w:hAnsi="Arial" w:cs="Arial"/>
        </w:rPr>
      </w:pPr>
    </w:p>
    <w:p w14:paraId="7A37CE9A" w14:textId="77777777" w:rsidR="00250DF6" w:rsidRPr="005D36DC" w:rsidRDefault="00250DF6" w:rsidP="003D347B">
      <w:pPr>
        <w:rPr>
          <w:rFonts w:ascii="Arial" w:hAnsi="Arial" w:cs="Arial"/>
          <w:b/>
          <w:bCs/>
        </w:rPr>
      </w:pPr>
    </w:p>
    <w:p w14:paraId="2E6B35C6" w14:textId="77777777" w:rsidR="00250DF6" w:rsidRPr="005D36DC" w:rsidRDefault="00250DF6" w:rsidP="003D347B">
      <w:pPr>
        <w:rPr>
          <w:rFonts w:ascii="Arial" w:hAnsi="Arial" w:cs="Arial"/>
          <w:b/>
          <w:bCs/>
        </w:rPr>
      </w:pPr>
    </w:p>
    <w:p w14:paraId="6D0720F8" w14:textId="77777777" w:rsidR="00250DF6" w:rsidRPr="005D36DC" w:rsidRDefault="00250DF6" w:rsidP="003D347B">
      <w:pPr>
        <w:rPr>
          <w:rFonts w:ascii="Arial" w:hAnsi="Arial" w:cs="Arial"/>
          <w:b/>
          <w:bCs/>
        </w:rPr>
      </w:pPr>
    </w:p>
    <w:p w14:paraId="121E5734" w14:textId="77777777" w:rsidR="00250DF6" w:rsidRPr="005D36DC" w:rsidRDefault="00250DF6" w:rsidP="003D347B">
      <w:pPr>
        <w:rPr>
          <w:rFonts w:ascii="Arial" w:hAnsi="Arial" w:cs="Arial"/>
          <w:b/>
          <w:bCs/>
        </w:rPr>
      </w:pPr>
    </w:p>
    <w:p w14:paraId="085789D7" w14:textId="77777777" w:rsidR="00250DF6" w:rsidRPr="005D36DC" w:rsidRDefault="00250DF6" w:rsidP="003D347B">
      <w:pPr>
        <w:rPr>
          <w:rFonts w:ascii="Arial" w:hAnsi="Arial" w:cs="Arial"/>
          <w:b/>
          <w:bCs/>
        </w:rPr>
      </w:pPr>
    </w:p>
    <w:p w14:paraId="0BAFE94A" w14:textId="77777777" w:rsidR="00250DF6" w:rsidRPr="005D36DC" w:rsidRDefault="00250DF6" w:rsidP="003D347B">
      <w:pPr>
        <w:rPr>
          <w:rFonts w:ascii="Arial" w:hAnsi="Arial" w:cs="Arial"/>
          <w:b/>
          <w:bCs/>
        </w:rPr>
      </w:pPr>
    </w:p>
    <w:p w14:paraId="5CBA2B38" w14:textId="77777777" w:rsidR="00250DF6" w:rsidRPr="005D36DC" w:rsidRDefault="00250DF6" w:rsidP="003D347B">
      <w:pPr>
        <w:rPr>
          <w:rFonts w:ascii="Arial" w:hAnsi="Arial" w:cs="Arial"/>
          <w:b/>
          <w:bCs/>
        </w:rPr>
      </w:pPr>
    </w:p>
    <w:p w14:paraId="4376F1D2" w14:textId="77777777" w:rsidR="00C737D3" w:rsidRPr="005D36DC" w:rsidRDefault="00C737D3" w:rsidP="00C737D3">
      <w:pPr>
        <w:rPr>
          <w:rFonts w:ascii="Arial" w:hAnsi="Arial" w:cs="Arial"/>
          <w:b/>
          <w:bCs/>
        </w:rPr>
      </w:pPr>
    </w:p>
    <w:p w14:paraId="48EA112F" w14:textId="43F5B03D" w:rsidR="00BF5ECC" w:rsidRPr="005D36DC" w:rsidRDefault="00BF5ECC" w:rsidP="00C737D3">
      <w:pPr>
        <w:rPr>
          <w:rFonts w:ascii="Arial" w:hAnsi="Arial" w:cs="Arial"/>
        </w:rPr>
      </w:pPr>
      <w:r w:rsidRPr="005D36DC">
        <w:rPr>
          <w:rFonts w:ascii="Arial" w:hAnsi="Arial" w:cs="Arial"/>
        </w:rPr>
        <w:t>Figure in the parenthesis are Arc sin transformed values</w:t>
      </w:r>
    </w:p>
    <w:p w14:paraId="58F4BC16" w14:textId="77777777" w:rsidR="00B7060D" w:rsidRPr="005D36DC" w:rsidRDefault="00B7060D" w:rsidP="003D347B">
      <w:pPr>
        <w:rPr>
          <w:rFonts w:ascii="Arial" w:hAnsi="Arial" w:cs="Arial"/>
          <w:b/>
          <w:bCs/>
        </w:rPr>
      </w:pPr>
    </w:p>
    <w:p w14:paraId="175CD386" w14:textId="1CD4515E" w:rsidR="00B7060D" w:rsidRPr="005D36DC" w:rsidRDefault="00B7060D" w:rsidP="003D347B">
      <w:pPr>
        <w:rPr>
          <w:rFonts w:ascii="Arial" w:hAnsi="Arial" w:cs="Arial"/>
          <w:b/>
          <w:bCs/>
        </w:rPr>
      </w:pPr>
      <w:r w:rsidRPr="005D36DC">
        <w:rPr>
          <w:rFonts w:ascii="Arial" w:hAnsi="Arial" w:cs="Arial"/>
          <w:noProof/>
          <w:lang w:val="en-US"/>
        </w:rPr>
        <w:drawing>
          <wp:inline distT="0" distB="0" distL="0" distR="0" wp14:anchorId="184255F2" wp14:editId="6A7F4618">
            <wp:extent cx="5731510" cy="3253105"/>
            <wp:effectExtent l="0" t="0" r="2540" b="4445"/>
            <wp:docPr id="2038097441" name="Chart 1">
              <a:extLst xmlns:a="http://schemas.openxmlformats.org/drawingml/2006/main">
                <a:ext uri="{FF2B5EF4-FFF2-40B4-BE49-F238E27FC236}">
                  <a16:creationId xmlns:a16="http://schemas.microsoft.com/office/drawing/2014/main" id="{642BD965-5B7D-15D2-E97E-8BFA45252B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0CB2C4" w14:textId="77777777" w:rsidR="00B7060D" w:rsidRPr="005D36DC" w:rsidRDefault="00B7060D" w:rsidP="00B7060D">
      <w:pPr>
        <w:spacing w:after="0"/>
        <w:rPr>
          <w:rFonts w:ascii="Arial" w:hAnsi="Arial" w:cs="Arial"/>
          <w:b/>
          <w:bCs/>
        </w:rPr>
      </w:pPr>
      <w:r w:rsidRPr="005D36DC">
        <w:rPr>
          <w:rFonts w:ascii="Arial" w:hAnsi="Arial" w:cs="Arial"/>
          <w:b/>
          <w:bCs/>
        </w:rPr>
        <w:t>Fig 1: Optimization of Sugar Solution Concentrations for Conidial Germination of</w:t>
      </w:r>
    </w:p>
    <w:p w14:paraId="5032D927" w14:textId="0D9486C3" w:rsidR="00B7060D" w:rsidRPr="005D36DC" w:rsidRDefault="00B7060D" w:rsidP="00B7060D">
      <w:pPr>
        <w:spacing w:after="0"/>
        <w:rPr>
          <w:rFonts w:ascii="Arial" w:hAnsi="Arial" w:cs="Arial"/>
          <w:b/>
          <w:bCs/>
        </w:rPr>
      </w:pPr>
      <w:r w:rsidRPr="005D36DC">
        <w:rPr>
          <w:rFonts w:ascii="Arial" w:hAnsi="Arial" w:cs="Arial"/>
          <w:b/>
          <w:bCs/>
          <w:i/>
          <w:iCs/>
        </w:rPr>
        <w:t xml:space="preserve">           Erysiphe </w:t>
      </w:r>
      <w:proofErr w:type="spellStart"/>
      <w:r w:rsidRPr="005D36DC">
        <w:rPr>
          <w:rFonts w:ascii="Arial" w:hAnsi="Arial" w:cs="Arial"/>
          <w:b/>
          <w:bCs/>
          <w:i/>
          <w:iCs/>
        </w:rPr>
        <w:t>polygoni</w:t>
      </w:r>
      <w:proofErr w:type="spellEnd"/>
      <w:r w:rsidRPr="005D36DC">
        <w:rPr>
          <w:rFonts w:ascii="Arial" w:hAnsi="Arial" w:cs="Arial"/>
          <w:b/>
          <w:bCs/>
        </w:rPr>
        <w:t xml:space="preserve"> DC</w:t>
      </w:r>
    </w:p>
    <w:p w14:paraId="1FCC9F40" w14:textId="49C17FBD" w:rsidR="00B7060D" w:rsidRPr="005D36DC" w:rsidRDefault="00B7060D" w:rsidP="003D347B">
      <w:pPr>
        <w:rPr>
          <w:rFonts w:ascii="Arial" w:hAnsi="Arial" w:cs="Arial"/>
          <w:b/>
          <w:bCs/>
        </w:rPr>
      </w:pPr>
    </w:p>
    <w:p w14:paraId="6E8DE49B" w14:textId="77777777" w:rsidR="00B7060D" w:rsidRPr="005D36DC" w:rsidRDefault="00B7060D" w:rsidP="003D347B">
      <w:pPr>
        <w:rPr>
          <w:rFonts w:ascii="Arial" w:hAnsi="Arial" w:cs="Arial"/>
          <w:b/>
          <w:bCs/>
        </w:rPr>
      </w:pPr>
    </w:p>
    <w:p w14:paraId="0111FB3E" w14:textId="77777777" w:rsidR="00B7060D" w:rsidRPr="005D36DC" w:rsidRDefault="00B7060D" w:rsidP="003D347B">
      <w:pPr>
        <w:rPr>
          <w:rFonts w:ascii="Arial" w:hAnsi="Arial" w:cs="Arial"/>
          <w:b/>
          <w:bCs/>
        </w:rPr>
      </w:pPr>
    </w:p>
    <w:p w14:paraId="17B54FFA" w14:textId="77777777" w:rsidR="00B7060D" w:rsidRPr="005D36DC" w:rsidRDefault="00B7060D" w:rsidP="003D347B">
      <w:pPr>
        <w:rPr>
          <w:rFonts w:ascii="Arial" w:hAnsi="Arial" w:cs="Arial"/>
          <w:b/>
          <w:bCs/>
        </w:rPr>
      </w:pPr>
    </w:p>
    <w:p w14:paraId="5C36806F" w14:textId="2561FBAA" w:rsidR="00B7060D" w:rsidRPr="005D36DC" w:rsidRDefault="00856B42" w:rsidP="00856B42">
      <w:pPr>
        <w:jc w:val="center"/>
        <w:rPr>
          <w:rFonts w:ascii="Arial" w:hAnsi="Arial" w:cs="Arial"/>
          <w:b/>
          <w:bCs/>
        </w:rPr>
      </w:pPr>
      <w:r w:rsidRPr="005D36DC">
        <w:rPr>
          <w:rFonts w:ascii="Arial" w:hAnsi="Arial" w:cs="Arial"/>
          <w:noProof/>
          <w:lang w:val="en-US"/>
        </w:rPr>
        <w:lastRenderedPageBreak/>
        <w:drawing>
          <wp:inline distT="0" distB="0" distL="0" distR="0" wp14:anchorId="3B0078DB" wp14:editId="1C294A12">
            <wp:extent cx="4572000" cy="2743200"/>
            <wp:effectExtent l="0" t="0" r="0" b="0"/>
            <wp:docPr id="1188945580" name="Chart 1">
              <a:extLst xmlns:a="http://schemas.openxmlformats.org/drawingml/2006/main">
                <a:ext uri="{FF2B5EF4-FFF2-40B4-BE49-F238E27FC236}">
                  <a16:creationId xmlns:a16="http://schemas.microsoft.com/office/drawing/2014/main" id="{57116F04-2945-A658-C47E-9BE94980CE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6AEB5D" w14:textId="569A6854" w:rsidR="00856B42" w:rsidRPr="005D36DC" w:rsidRDefault="00856B42" w:rsidP="00856B42">
      <w:pPr>
        <w:jc w:val="center"/>
        <w:rPr>
          <w:rFonts w:ascii="Arial" w:hAnsi="Arial" w:cs="Arial"/>
          <w:b/>
          <w:bCs/>
        </w:rPr>
      </w:pPr>
      <w:r w:rsidRPr="005D36DC">
        <w:rPr>
          <w:rFonts w:ascii="Arial" w:hAnsi="Arial" w:cs="Arial"/>
          <w:b/>
          <w:bCs/>
        </w:rPr>
        <w:t xml:space="preserve">Fig 2: Effect of temperature on conidial germination of </w:t>
      </w:r>
      <w:r w:rsidRPr="005D36DC">
        <w:rPr>
          <w:rFonts w:ascii="Arial" w:hAnsi="Arial" w:cs="Arial"/>
          <w:b/>
          <w:bCs/>
          <w:i/>
          <w:iCs/>
        </w:rPr>
        <w:t xml:space="preserve">Erysiphe </w:t>
      </w:r>
      <w:proofErr w:type="spellStart"/>
      <w:r w:rsidRPr="005D36DC">
        <w:rPr>
          <w:rFonts w:ascii="Arial" w:hAnsi="Arial" w:cs="Arial"/>
          <w:b/>
          <w:bCs/>
          <w:i/>
          <w:iCs/>
        </w:rPr>
        <w:t>polygoni</w:t>
      </w:r>
      <w:proofErr w:type="spellEnd"/>
      <w:r w:rsidRPr="005D36DC">
        <w:rPr>
          <w:rFonts w:ascii="Arial" w:hAnsi="Arial" w:cs="Arial"/>
          <w:b/>
          <w:bCs/>
          <w:i/>
          <w:iCs/>
        </w:rPr>
        <w:t xml:space="preserve"> </w:t>
      </w:r>
      <w:r w:rsidRPr="005D36DC">
        <w:rPr>
          <w:rFonts w:ascii="Arial" w:hAnsi="Arial" w:cs="Arial"/>
          <w:b/>
          <w:bCs/>
        </w:rPr>
        <w:t>DC</w:t>
      </w:r>
    </w:p>
    <w:p w14:paraId="49EB4C9B" w14:textId="77777777" w:rsidR="00856B42" w:rsidRPr="005D36DC" w:rsidRDefault="00856B42" w:rsidP="00856B42">
      <w:pPr>
        <w:jc w:val="center"/>
        <w:rPr>
          <w:rFonts w:ascii="Arial" w:hAnsi="Arial" w:cs="Arial"/>
          <w:b/>
          <w:bCs/>
        </w:rPr>
      </w:pPr>
    </w:p>
    <w:p w14:paraId="0BEFC909" w14:textId="77777777" w:rsidR="009245B8" w:rsidRPr="005D36DC" w:rsidRDefault="009245B8" w:rsidP="00856B42">
      <w:pPr>
        <w:jc w:val="center"/>
        <w:rPr>
          <w:rFonts w:ascii="Arial" w:hAnsi="Arial" w:cs="Arial"/>
          <w:b/>
          <w:bCs/>
        </w:rPr>
      </w:pPr>
    </w:p>
    <w:p w14:paraId="3C94480E" w14:textId="44A79DA1" w:rsidR="00856B42" w:rsidRPr="005D36DC" w:rsidRDefault="00856B42" w:rsidP="00856B42">
      <w:pPr>
        <w:jc w:val="center"/>
        <w:rPr>
          <w:rFonts w:ascii="Arial" w:hAnsi="Arial" w:cs="Arial"/>
          <w:b/>
          <w:bCs/>
        </w:rPr>
      </w:pPr>
      <w:r w:rsidRPr="005D36DC">
        <w:rPr>
          <w:rFonts w:ascii="Arial" w:hAnsi="Arial" w:cs="Arial"/>
          <w:noProof/>
          <w:lang w:val="en-US"/>
        </w:rPr>
        <w:drawing>
          <wp:inline distT="0" distB="0" distL="0" distR="0" wp14:anchorId="6D56FD55" wp14:editId="3D418989">
            <wp:extent cx="4572000" cy="2743200"/>
            <wp:effectExtent l="0" t="0" r="0" b="0"/>
            <wp:docPr id="1084137789" name="Chart 1">
              <a:extLst xmlns:a="http://schemas.openxmlformats.org/drawingml/2006/main">
                <a:ext uri="{FF2B5EF4-FFF2-40B4-BE49-F238E27FC236}">
                  <a16:creationId xmlns:a16="http://schemas.microsoft.com/office/drawing/2014/main" id="{B86FFD0A-FAC4-54CD-7606-567DAE18BD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A5A096" w14:textId="4F2BBA71" w:rsidR="00856B42" w:rsidRPr="005D36DC" w:rsidRDefault="00856B42" w:rsidP="00856B42">
      <w:pPr>
        <w:jc w:val="center"/>
        <w:rPr>
          <w:rFonts w:ascii="Arial" w:hAnsi="Arial" w:cs="Arial"/>
          <w:b/>
          <w:bCs/>
        </w:rPr>
      </w:pPr>
      <w:r w:rsidRPr="005D36DC">
        <w:rPr>
          <w:rFonts w:ascii="Arial" w:hAnsi="Arial" w:cs="Arial"/>
          <w:b/>
          <w:bCs/>
        </w:rPr>
        <w:t>Fig 3: Effect of Relative Humidity on Conidial Germination</w:t>
      </w:r>
    </w:p>
    <w:p w14:paraId="25F84CB4" w14:textId="77777777" w:rsidR="00A673A2" w:rsidRPr="004C1B64" w:rsidRDefault="00A673A2" w:rsidP="00A673A2">
      <w:pPr>
        <w:rPr>
          <w:b/>
          <w:bCs/>
          <w:highlight w:val="yellow"/>
        </w:rPr>
      </w:pPr>
      <w:r w:rsidRPr="004C1B64">
        <w:rPr>
          <w:b/>
          <w:bCs/>
          <w:highlight w:val="yellow"/>
        </w:rPr>
        <w:t>Disclaimer (Artificial intelligence)</w:t>
      </w:r>
    </w:p>
    <w:p w14:paraId="41A3566E" w14:textId="77777777" w:rsidR="00A673A2" w:rsidRPr="004C1B64" w:rsidRDefault="00A673A2" w:rsidP="00A673A2">
      <w:pPr>
        <w:rPr>
          <w:highlight w:val="yellow"/>
        </w:rPr>
      </w:pPr>
      <w:r w:rsidRPr="004C1B64">
        <w:rPr>
          <w:highlight w:val="yellow"/>
        </w:rPr>
        <w:t xml:space="preserve">Option 1: </w:t>
      </w:r>
    </w:p>
    <w:p w14:paraId="323786EA" w14:textId="77777777" w:rsidR="00A673A2" w:rsidRPr="004C1B64" w:rsidRDefault="00A673A2" w:rsidP="00A673A2">
      <w:pPr>
        <w:rPr>
          <w:highlight w:val="yellow"/>
        </w:rPr>
      </w:pPr>
      <w:r w:rsidRPr="004C1B64">
        <w:rPr>
          <w:highlight w:val="yellow"/>
        </w:rPr>
        <w:t xml:space="preserve">Author(s) hereby declare that NO generative AI technologies such as Large Language Models (ChatGPT, COPILOT, etc) and text-to-image generators have been used during writing or editing of manuscripts. </w:t>
      </w:r>
    </w:p>
    <w:p w14:paraId="173F8764" w14:textId="77777777" w:rsidR="00A673A2" w:rsidRPr="004C1B64" w:rsidRDefault="00A673A2" w:rsidP="00A673A2">
      <w:pPr>
        <w:rPr>
          <w:highlight w:val="yellow"/>
        </w:rPr>
      </w:pPr>
      <w:r w:rsidRPr="004C1B64">
        <w:rPr>
          <w:highlight w:val="yellow"/>
        </w:rPr>
        <w:t xml:space="preserve">Option 2: </w:t>
      </w:r>
    </w:p>
    <w:p w14:paraId="7B39CCA2" w14:textId="77777777" w:rsidR="00A673A2" w:rsidRPr="004C1B64" w:rsidRDefault="00A673A2" w:rsidP="00A673A2">
      <w:pPr>
        <w:rPr>
          <w:highlight w:val="yellow"/>
        </w:rPr>
      </w:pPr>
      <w:r w:rsidRPr="004C1B64">
        <w:rPr>
          <w:highlight w:val="yellow"/>
        </w:rPr>
        <w:t xml:space="preserve">Author(s) hereby declare that generative AI technologies such as Large Language Models, etc have been used during writing or editing of manuscripts. This explanation will include the name, version, </w:t>
      </w:r>
      <w:r w:rsidRPr="004C1B64">
        <w:rPr>
          <w:highlight w:val="yellow"/>
        </w:rPr>
        <w:lastRenderedPageBreak/>
        <w:t>model, and source of the generative AI technology and as well as all input prompts provided to the generative AI technology</w:t>
      </w:r>
    </w:p>
    <w:p w14:paraId="736C63BA" w14:textId="77777777" w:rsidR="00A673A2" w:rsidRPr="004C1B64" w:rsidRDefault="00A673A2" w:rsidP="00A673A2">
      <w:pPr>
        <w:rPr>
          <w:highlight w:val="yellow"/>
        </w:rPr>
      </w:pPr>
      <w:r w:rsidRPr="004C1B64">
        <w:rPr>
          <w:highlight w:val="yellow"/>
        </w:rPr>
        <w:t>Details of the AI usage are given below:</w:t>
      </w:r>
    </w:p>
    <w:p w14:paraId="203AC099" w14:textId="77777777" w:rsidR="00A673A2" w:rsidRPr="004C1B64" w:rsidRDefault="00A673A2" w:rsidP="00A673A2">
      <w:pPr>
        <w:rPr>
          <w:highlight w:val="yellow"/>
        </w:rPr>
      </w:pPr>
      <w:r w:rsidRPr="004C1B64">
        <w:rPr>
          <w:highlight w:val="yellow"/>
        </w:rPr>
        <w:t>1.</w:t>
      </w:r>
    </w:p>
    <w:p w14:paraId="08FB61F6" w14:textId="77777777" w:rsidR="00A673A2" w:rsidRPr="004C1B64" w:rsidRDefault="00A673A2" w:rsidP="00A673A2">
      <w:pPr>
        <w:rPr>
          <w:highlight w:val="yellow"/>
        </w:rPr>
      </w:pPr>
      <w:r w:rsidRPr="004C1B64">
        <w:rPr>
          <w:highlight w:val="yellow"/>
        </w:rPr>
        <w:t>2.</w:t>
      </w:r>
    </w:p>
    <w:p w14:paraId="2EE9CC92" w14:textId="77777777" w:rsidR="00A673A2" w:rsidRPr="00D047BB" w:rsidRDefault="00A673A2" w:rsidP="00A673A2">
      <w:r w:rsidRPr="004C1B64">
        <w:rPr>
          <w:highlight w:val="yellow"/>
        </w:rPr>
        <w:t>3.</w:t>
      </w:r>
    </w:p>
    <w:p w14:paraId="7AD2FDED" w14:textId="77777777" w:rsidR="00B7060D" w:rsidRPr="005D36DC" w:rsidRDefault="00B7060D" w:rsidP="003D347B">
      <w:pPr>
        <w:rPr>
          <w:rFonts w:ascii="Arial" w:hAnsi="Arial" w:cs="Arial"/>
          <w:b/>
          <w:bCs/>
        </w:rPr>
      </w:pPr>
    </w:p>
    <w:p w14:paraId="502497D2" w14:textId="3C30D014" w:rsidR="00250DF6" w:rsidRPr="005D36DC" w:rsidRDefault="001B5B90" w:rsidP="003D347B">
      <w:pPr>
        <w:rPr>
          <w:rFonts w:ascii="Arial" w:hAnsi="Arial" w:cs="Arial"/>
          <w:b/>
          <w:bCs/>
        </w:rPr>
      </w:pPr>
      <w:r w:rsidRPr="005D36DC">
        <w:rPr>
          <w:rFonts w:ascii="Arial" w:hAnsi="Arial" w:cs="Arial"/>
          <w:b/>
          <w:bCs/>
        </w:rPr>
        <w:t>REFERENCES</w:t>
      </w:r>
    </w:p>
    <w:p w14:paraId="144DD260" w14:textId="77777777" w:rsidR="00981A7B" w:rsidRDefault="00250DF6" w:rsidP="00A370F9">
      <w:pPr>
        <w:ind w:left="720" w:hanging="720"/>
        <w:jc w:val="both"/>
        <w:rPr>
          <w:rFonts w:ascii="Arial" w:hAnsi="Arial" w:cs="Arial"/>
          <w:shd w:val="clear" w:color="auto" w:fill="FFFFFF"/>
        </w:rPr>
      </w:pPr>
      <w:r w:rsidRPr="005D36DC">
        <w:rPr>
          <w:rFonts w:ascii="Arial" w:hAnsi="Arial" w:cs="Arial"/>
          <w:shd w:val="clear" w:color="auto" w:fill="FFFFFF"/>
        </w:rPr>
        <w:t>Ashwini R. 2023. Epidemiology and Management of Powdery mildew of okra caused</w:t>
      </w:r>
      <w:r w:rsidRPr="005D36DC">
        <w:rPr>
          <w:rFonts w:ascii="Arial" w:hAnsi="Arial" w:cs="Arial"/>
          <w:i/>
          <w:iCs/>
          <w:shd w:val="clear" w:color="auto" w:fill="FFFFFF"/>
        </w:rPr>
        <w:t xml:space="preserve"> </w:t>
      </w:r>
      <w:r w:rsidRPr="005D36DC">
        <w:rPr>
          <w:rFonts w:ascii="Arial" w:hAnsi="Arial" w:cs="Arial"/>
          <w:shd w:val="clear" w:color="auto" w:fill="FFFFFF"/>
        </w:rPr>
        <w:t>by</w:t>
      </w:r>
      <w:r w:rsidRPr="005D36DC">
        <w:rPr>
          <w:rFonts w:ascii="Arial" w:hAnsi="Arial" w:cs="Arial"/>
          <w:i/>
          <w:iCs/>
          <w:shd w:val="clear" w:color="auto" w:fill="FFFFFF"/>
        </w:rPr>
        <w:t xml:space="preserve"> Erysiphe </w:t>
      </w:r>
      <w:proofErr w:type="spellStart"/>
      <w:r w:rsidRPr="005D36DC">
        <w:rPr>
          <w:rFonts w:ascii="Arial" w:hAnsi="Arial" w:cs="Arial"/>
          <w:i/>
          <w:iCs/>
          <w:shd w:val="clear" w:color="auto" w:fill="FFFFFF"/>
        </w:rPr>
        <w:t>cichoracearum</w:t>
      </w:r>
      <w:proofErr w:type="spellEnd"/>
      <w:r w:rsidRPr="005D36DC">
        <w:rPr>
          <w:rFonts w:ascii="Arial" w:hAnsi="Arial" w:cs="Arial"/>
          <w:i/>
          <w:iCs/>
          <w:shd w:val="clear" w:color="auto" w:fill="FFFFFF"/>
        </w:rPr>
        <w:t xml:space="preserve"> DC</w:t>
      </w:r>
      <w:r w:rsidRPr="005D36DC">
        <w:rPr>
          <w:rFonts w:ascii="Arial" w:hAnsi="Arial" w:cs="Arial"/>
          <w:shd w:val="clear" w:color="auto" w:fill="FFFFFF"/>
        </w:rPr>
        <w:t xml:space="preserve"> (Doctoral dissertation). </w:t>
      </w:r>
      <w:proofErr w:type="gramStart"/>
      <w:r w:rsidRPr="005D36DC">
        <w:rPr>
          <w:rFonts w:ascii="Arial" w:hAnsi="Arial" w:cs="Arial"/>
          <w:i/>
          <w:iCs/>
          <w:shd w:val="clear" w:color="auto" w:fill="FFFFFF"/>
        </w:rPr>
        <w:t>M.Sc.(</w:t>
      </w:r>
      <w:proofErr w:type="gramEnd"/>
      <w:r w:rsidRPr="005D36DC">
        <w:rPr>
          <w:rFonts w:ascii="Arial" w:hAnsi="Arial" w:cs="Arial"/>
          <w:i/>
          <w:iCs/>
          <w:shd w:val="clear" w:color="auto" w:fill="FFFFFF"/>
        </w:rPr>
        <w:t>Ag)Thesis</w:t>
      </w:r>
      <w:r w:rsidRPr="005D36DC">
        <w:rPr>
          <w:rFonts w:ascii="Arial" w:hAnsi="Arial" w:cs="Arial"/>
          <w:shd w:val="clear" w:color="auto" w:fill="FFFFFF"/>
        </w:rPr>
        <w:t>, University of Agricultural Sciences, Raichur, India.</w:t>
      </w:r>
    </w:p>
    <w:p w14:paraId="26E1317A" w14:textId="18E30E62" w:rsidR="00250DF6" w:rsidRPr="00981A7B" w:rsidRDefault="00981A7B" w:rsidP="00981A7B">
      <w:pPr>
        <w:ind w:left="720" w:hanging="720"/>
        <w:jc w:val="both"/>
        <w:rPr>
          <w:rFonts w:ascii="Times New Roman" w:hAnsi="Times New Roman" w:cs="Times New Roman"/>
          <w:sz w:val="24"/>
          <w:szCs w:val="24"/>
        </w:rPr>
      </w:pPr>
      <w:r w:rsidRPr="005326B5">
        <w:rPr>
          <w:rFonts w:ascii="Times New Roman" w:hAnsi="Times New Roman" w:cs="Times New Roman"/>
          <w:sz w:val="24"/>
          <w:szCs w:val="24"/>
        </w:rPr>
        <w:t>Butler, E. J. 1918. Fungi and diseases in plants. Thacker Spink and Co. Calcutta, 547</w:t>
      </w:r>
      <w:r w:rsidR="00250DF6" w:rsidRPr="005D36DC">
        <w:rPr>
          <w:rFonts w:ascii="Arial" w:hAnsi="Arial" w:cs="Arial"/>
          <w:shd w:val="clear" w:color="auto" w:fill="FFFFFF"/>
        </w:rPr>
        <w:t xml:space="preserve"> </w:t>
      </w:r>
    </w:p>
    <w:p w14:paraId="2833D529" w14:textId="58FFCAF5" w:rsidR="00250DF6" w:rsidRPr="005D36DC" w:rsidRDefault="00250DF6" w:rsidP="009245B8">
      <w:pPr>
        <w:ind w:left="720" w:hanging="720"/>
        <w:rPr>
          <w:rFonts w:ascii="Arial" w:hAnsi="Arial" w:cs="Arial"/>
        </w:rPr>
      </w:pPr>
      <w:proofErr w:type="spellStart"/>
      <w:r w:rsidRPr="005D36DC">
        <w:rPr>
          <w:rFonts w:ascii="Arial" w:hAnsi="Arial" w:cs="Arial"/>
        </w:rPr>
        <w:t>Channaveeresh</w:t>
      </w:r>
      <w:proofErr w:type="spellEnd"/>
      <w:r w:rsidR="00453319" w:rsidRPr="005D36DC">
        <w:rPr>
          <w:rFonts w:ascii="Arial" w:hAnsi="Arial" w:cs="Arial"/>
        </w:rPr>
        <w:t xml:space="preserve"> </w:t>
      </w:r>
      <w:r w:rsidRPr="005D36DC">
        <w:rPr>
          <w:rFonts w:ascii="Arial" w:hAnsi="Arial" w:cs="Arial"/>
        </w:rPr>
        <w:t>TS and Kulkarni S. 2017. Survey for the powdery mildew of black gram [</w:t>
      </w:r>
      <w:r w:rsidRPr="005D36DC">
        <w:rPr>
          <w:rFonts w:ascii="Arial" w:hAnsi="Arial" w:cs="Arial"/>
          <w:i/>
          <w:iCs/>
        </w:rPr>
        <w:t>Vigna mungo</w:t>
      </w:r>
      <w:r w:rsidRPr="005D36DC">
        <w:rPr>
          <w:rFonts w:ascii="Arial" w:hAnsi="Arial" w:cs="Arial"/>
        </w:rPr>
        <w:t xml:space="preserve"> (L.) Hepper] in parts of Northern Karnataka, India. </w:t>
      </w:r>
      <w:r w:rsidRPr="005D36DC">
        <w:rPr>
          <w:rFonts w:ascii="Arial" w:hAnsi="Arial" w:cs="Arial"/>
          <w:i/>
          <w:iCs/>
        </w:rPr>
        <w:t xml:space="preserve">International Journal of Bioassays. </w:t>
      </w:r>
      <w:r w:rsidRPr="005D36DC">
        <w:rPr>
          <w:rFonts w:ascii="Arial" w:hAnsi="Arial" w:cs="Arial"/>
        </w:rPr>
        <w:t>5309-5312.</w:t>
      </w:r>
    </w:p>
    <w:p w14:paraId="67855671" w14:textId="77777777" w:rsidR="00250DF6" w:rsidRPr="005D36DC" w:rsidRDefault="00250DF6" w:rsidP="00F24B73">
      <w:pPr>
        <w:ind w:left="720" w:hanging="720"/>
        <w:jc w:val="both"/>
        <w:rPr>
          <w:rFonts w:ascii="Arial" w:hAnsi="Arial" w:cs="Arial"/>
        </w:rPr>
      </w:pPr>
      <w:r w:rsidRPr="005D36DC">
        <w:rPr>
          <w:rFonts w:ascii="Arial" w:hAnsi="Arial" w:cs="Arial"/>
        </w:rPr>
        <w:t xml:space="preserve">Committee on Standardization of Fungicide Tests, 1943. </w:t>
      </w:r>
      <w:r w:rsidRPr="005D36DC">
        <w:rPr>
          <w:rFonts w:ascii="Arial" w:hAnsi="Arial" w:cs="Arial"/>
          <w:i/>
          <w:iCs/>
        </w:rPr>
        <w:t>Report of the Committee on Standardization of Fungicide Tests</w:t>
      </w:r>
      <w:r w:rsidRPr="005D36DC">
        <w:rPr>
          <w:rFonts w:ascii="Arial" w:hAnsi="Arial" w:cs="Arial"/>
        </w:rPr>
        <w:t xml:space="preserve">. </w:t>
      </w:r>
      <w:r w:rsidRPr="005D36DC">
        <w:rPr>
          <w:rFonts w:ascii="Arial" w:hAnsi="Arial" w:cs="Arial"/>
          <w:i/>
          <w:iCs/>
        </w:rPr>
        <w:t xml:space="preserve">American </w:t>
      </w:r>
      <w:proofErr w:type="spellStart"/>
      <w:r w:rsidRPr="005D36DC">
        <w:rPr>
          <w:rFonts w:ascii="Arial" w:hAnsi="Arial" w:cs="Arial"/>
          <w:i/>
          <w:iCs/>
        </w:rPr>
        <w:t>Phytopathological</w:t>
      </w:r>
      <w:proofErr w:type="spellEnd"/>
      <w:r w:rsidRPr="005D36DC">
        <w:rPr>
          <w:rFonts w:ascii="Arial" w:hAnsi="Arial" w:cs="Arial"/>
          <w:i/>
          <w:iCs/>
        </w:rPr>
        <w:t xml:space="preserve"> Society</w:t>
      </w:r>
      <w:r w:rsidRPr="005D36DC">
        <w:rPr>
          <w:rFonts w:ascii="Arial" w:hAnsi="Arial" w:cs="Arial"/>
        </w:rPr>
        <w:t>.</w:t>
      </w:r>
    </w:p>
    <w:p w14:paraId="01521102" w14:textId="5166BA82" w:rsidR="00250DF6" w:rsidRPr="005D36DC" w:rsidRDefault="00250DF6" w:rsidP="00F24B73">
      <w:pPr>
        <w:ind w:left="720" w:hanging="720"/>
        <w:jc w:val="both"/>
        <w:rPr>
          <w:rFonts w:ascii="Arial" w:hAnsi="Arial" w:cs="Arial"/>
        </w:rPr>
      </w:pPr>
      <w:proofErr w:type="spellStart"/>
      <w:r w:rsidRPr="005D36DC">
        <w:rPr>
          <w:rFonts w:ascii="Arial" w:hAnsi="Arial" w:cs="Arial"/>
        </w:rPr>
        <w:t>Divya</w:t>
      </w:r>
      <w:proofErr w:type="spellEnd"/>
      <w:r w:rsidRPr="005D36DC">
        <w:rPr>
          <w:rFonts w:ascii="Arial" w:hAnsi="Arial" w:cs="Arial"/>
        </w:rPr>
        <w:t xml:space="preserve"> JU, </w:t>
      </w:r>
      <w:proofErr w:type="spellStart"/>
      <w:r w:rsidRPr="005D36DC">
        <w:rPr>
          <w:rFonts w:ascii="Arial" w:hAnsi="Arial" w:cs="Arial"/>
        </w:rPr>
        <w:t>Hundekar</w:t>
      </w:r>
      <w:proofErr w:type="spellEnd"/>
      <w:r w:rsidRPr="005D36DC">
        <w:rPr>
          <w:rFonts w:ascii="Arial" w:hAnsi="Arial" w:cs="Arial"/>
        </w:rPr>
        <w:t xml:space="preserve"> AR, </w:t>
      </w:r>
      <w:proofErr w:type="spellStart"/>
      <w:r w:rsidRPr="005D36DC">
        <w:rPr>
          <w:rFonts w:ascii="Arial" w:hAnsi="Arial" w:cs="Arial"/>
        </w:rPr>
        <w:t>Lingaraju</w:t>
      </w:r>
      <w:proofErr w:type="spellEnd"/>
      <w:r w:rsidRPr="005D36DC">
        <w:rPr>
          <w:rFonts w:ascii="Arial" w:hAnsi="Arial" w:cs="Arial"/>
        </w:rPr>
        <w:t xml:space="preserve"> S and </w:t>
      </w:r>
      <w:proofErr w:type="spellStart"/>
      <w:r w:rsidRPr="005D36DC">
        <w:rPr>
          <w:rFonts w:ascii="Arial" w:hAnsi="Arial" w:cs="Arial"/>
        </w:rPr>
        <w:t>Matiwade</w:t>
      </w:r>
      <w:proofErr w:type="spellEnd"/>
      <w:r w:rsidRPr="005D36DC">
        <w:rPr>
          <w:rFonts w:ascii="Arial" w:hAnsi="Arial" w:cs="Arial"/>
        </w:rPr>
        <w:t xml:space="preserve"> VPS. 2015</w:t>
      </w:r>
      <w:r w:rsidR="00D83676" w:rsidRPr="005D36DC">
        <w:rPr>
          <w:rFonts w:ascii="Arial" w:hAnsi="Arial" w:cs="Arial"/>
        </w:rPr>
        <w:t>.</w:t>
      </w:r>
      <w:r w:rsidRPr="005D36DC">
        <w:rPr>
          <w:rFonts w:ascii="Arial" w:hAnsi="Arial" w:cs="Arial"/>
        </w:rPr>
        <w:t xml:space="preserve"> Epidemiological aspects responsible for the conidial germination of </w:t>
      </w:r>
      <w:r w:rsidRPr="005D36DC">
        <w:rPr>
          <w:rFonts w:ascii="Arial" w:hAnsi="Arial" w:cs="Arial"/>
          <w:i/>
          <w:iCs/>
        </w:rPr>
        <w:t xml:space="preserve">Erysiphe </w:t>
      </w:r>
      <w:proofErr w:type="spellStart"/>
      <w:r w:rsidRPr="005D36DC">
        <w:rPr>
          <w:rFonts w:ascii="Arial" w:hAnsi="Arial" w:cs="Arial"/>
          <w:i/>
          <w:iCs/>
        </w:rPr>
        <w:t>polygoni</w:t>
      </w:r>
      <w:proofErr w:type="spellEnd"/>
      <w:r w:rsidRPr="005D36DC">
        <w:rPr>
          <w:rFonts w:ascii="Arial" w:hAnsi="Arial" w:cs="Arial"/>
        </w:rPr>
        <w:t xml:space="preserve"> on green gram. </w:t>
      </w:r>
      <w:r w:rsidRPr="005D36DC">
        <w:rPr>
          <w:rFonts w:ascii="Arial" w:hAnsi="Arial" w:cs="Arial"/>
          <w:i/>
          <w:iCs/>
        </w:rPr>
        <w:t>Journal of Progressive Agriculture</w:t>
      </w:r>
      <w:r w:rsidRPr="005D36DC">
        <w:rPr>
          <w:rFonts w:ascii="Arial" w:hAnsi="Arial" w:cs="Arial"/>
        </w:rPr>
        <w:t>. 5(2): 37-41.</w:t>
      </w:r>
    </w:p>
    <w:p w14:paraId="4463390B" w14:textId="3869ED04" w:rsidR="00250DF6" w:rsidRPr="005D36DC" w:rsidRDefault="00250DF6" w:rsidP="0062135B">
      <w:pPr>
        <w:pStyle w:val="NormalWeb"/>
        <w:ind w:left="720" w:hanging="720"/>
        <w:jc w:val="both"/>
        <w:rPr>
          <w:rFonts w:ascii="Arial" w:hAnsi="Arial" w:cs="Arial"/>
          <w:sz w:val="22"/>
          <w:szCs w:val="22"/>
        </w:rPr>
      </w:pPr>
      <w:r w:rsidRPr="005D36DC">
        <w:rPr>
          <w:rFonts w:ascii="Arial" w:hAnsi="Arial" w:cs="Arial"/>
          <w:sz w:val="22"/>
          <w:szCs w:val="22"/>
        </w:rPr>
        <w:t>Kumawat R, Shekhawat KS and Kumawat K</w:t>
      </w:r>
      <w:r w:rsidR="00D83676" w:rsidRPr="005D36DC">
        <w:rPr>
          <w:rFonts w:ascii="Arial" w:hAnsi="Arial" w:cs="Arial"/>
          <w:sz w:val="22"/>
          <w:szCs w:val="22"/>
        </w:rPr>
        <w:t>.</w:t>
      </w:r>
      <w:r w:rsidRPr="005D36DC">
        <w:rPr>
          <w:rFonts w:ascii="Arial" w:hAnsi="Arial" w:cs="Arial"/>
          <w:sz w:val="22"/>
          <w:szCs w:val="22"/>
        </w:rPr>
        <w:t xml:space="preserve"> 2016. Factors affecting conidial germination of </w:t>
      </w:r>
      <w:r w:rsidRPr="005D36DC">
        <w:rPr>
          <w:rFonts w:ascii="Arial" w:hAnsi="Arial" w:cs="Arial"/>
          <w:i/>
          <w:iCs/>
          <w:sz w:val="22"/>
          <w:szCs w:val="22"/>
        </w:rPr>
        <w:t xml:space="preserve">Erysiphe </w:t>
      </w:r>
      <w:proofErr w:type="spellStart"/>
      <w:r w:rsidRPr="005D36DC">
        <w:rPr>
          <w:rFonts w:ascii="Arial" w:hAnsi="Arial" w:cs="Arial"/>
          <w:i/>
          <w:iCs/>
          <w:sz w:val="22"/>
          <w:szCs w:val="22"/>
        </w:rPr>
        <w:t>polygoni</w:t>
      </w:r>
      <w:proofErr w:type="spellEnd"/>
      <w:r w:rsidRPr="005D36DC">
        <w:rPr>
          <w:rFonts w:ascii="Arial" w:hAnsi="Arial" w:cs="Arial"/>
          <w:sz w:val="22"/>
          <w:szCs w:val="22"/>
        </w:rPr>
        <w:t xml:space="preserve"> causing powdery mildew of fenugreek (</w:t>
      </w:r>
      <w:proofErr w:type="spellStart"/>
      <w:r w:rsidRPr="005D36DC">
        <w:rPr>
          <w:rFonts w:ascii="Arial" w:hAnsi="Arial" w:cs="Arial"/>
          <w:i/>
          <w:iCs/>
          <w:sz w:val="22"/>
          <w:szCs w:val="22"/>
        </w:rPr>
        <w:t>Trigonella</w:t>
      </w:r>
      <w:proofErr w:type="spellEnd"/>
      <w:r w:rsidRPr="005D36DC">
        <w:rPr>
          <w:rFonts w:ascii="Arial" w:hAnsi="Arial" w:cs="Arial"/>
          <w:i/>
          <w:iCs/>
          <w:sz w:val="22"/>
          <w:szCs w:val="22"/>
        </w:rPr>
        <w:t xml:space="preserve"> </w:t>
      </w:r>
      <w:proofErr w:type="spellStart"/>
      <w:r w:rsidRPr="005D36DC">
        <w:rPr>
          <w:rFonts w:ascii="Arial" w:hAnsi="Arial" w:cs="Arial"/>
          <w:i/>
          <w:iCs/>
          <w:sz w:val="22"/>
          <w:szCs w:val="22"/>
        </w:rPr>
        <w:t>foenum</w:t>
      </w:r>
      <w:proofErr w:type="spellEnd"/>
      <w:r w:rsidRPr="005D36DC">
        <w:rPr>
          <w:rFonts w:ascii="Arial" w:hAnsi="Arial" w:cs="Arial"/>
          <w:i/>
          <w:iCs/>
          <w:sz w:val="22"/>
          <w:szCs w:val="22"/>
        </w:rPr>
        <w:t>-graecum</w:t>
      </w:r>
      <w:r w:rsidRPr="005D36DC">
        <w:rPr>
          <w:rFonts w:ascii="Arial" w:hAnsi="Arial" w:cs="Arial"/>
          <w:sz w:val="22"/>
          <w:szCs w:val="22"/>
        </w:rPr>
        <w:t xml:space="preserve"> L.)</w:t>
      </w:r>
      <w:r w:rsidRPr="005D36DC">
        <w:rPr>
          <w:rFonts w:ascii="Arial" w:hAnsi="Arial" w:cs="Arial"/>
          <w:i/>
          <w:iCs/>
          <w:sz w:val="22"/>
          <w:szCs w:val="22"/>
        </w:rPr>
        <w:t>.</w:t>
      </w:r>
      <w:r w:rsidRPr="005D36DC">
        <w:rPr>
          <w:rFonts w:ascii="Arial" w:hAnsi="Arial" w:cs="Arial"/>
          <w:sz w:val="22"/>
          <w:szCs w:val="22"/>
        </w:rPr>
        <w:t xml:space="preserve"> </w:t>
      </w:r>
      <w:r w:rsidRPr="005D36DC">
        <w:rPr>
          <w:rFonts w:ascii="Arial" w:hAnsi="Arial" w:cs="Arial"/>
          <w:i/>
          <w:iCs/>
          <w:sz w:val="22"/>
          <w:szCs w:val="22"/>
        </w:rPr>
        <w:t>International Journal of Agriculture Sciences</w:t>
      </w:r>
      <w:r w:rsidR="00D83676" w:rsidRPr="005D36DC">
        <w:rPr>
          <w:rFonts w:ascii="Arial" w:hAnsi="Arial" w:cs="Arial"/>
          <w:i/>
          <w:iCs/>
          <w:sz w:val="22"/>
          <w:szCs w:val="22"/>
        </w:rPr>
        <w:t>.</w:t>
      </w:r>
      <w:r w:rsidRPr="005D36DC">
        <w:rPr>
          <w:rFonts w:ascii="Arial" w:hAnsi="Arial" w:cs="Arial"/>
          <w:sz w:val="22"/>
          <w:szCs w:val="22"/>
        </w:rPr>
        <w:t xml:space="preserve"> 8(14): 1232–1235.</w:t>
      </w:r>
    </w:p>
    <w:p w14:paraId="2D902122" w14:textId="3E791EB5" w:rsidR="00250DF6" w:rsidRDefault="00250DF6" w:rsidP="0062135B">
      <w:pPr>
        <w:pStyle w:val="NormalWeb"/>
        <w:ind w:left="720" w:hanging="720"/>
        <w:jc w:val="both"/>
        <w:rPr>
          <w:rFonts w:ascii="Arial" w:hAnsi="Arial" w:cs="Arial"/>
          <w:sz w:val="22"/>
          <w:szCs w:val="22"/>
        </w:rPr>
      </w:pPr>
      <w:proofErr w:type="spellStart"/>
      <w:r w:rsidRPr="005D36DC">
        <w:rPr>
          <w:rFonts w:ascii="Arial" w:hAnsi="Arial" w:cs="Arial"/>
          <w:sz w:val="22"/>
          <w:szCs w:val="22"/>
        </w:rPr>
        <w:t>Marcoli</w:t>
      </w:r>
      <w:proofErr w:type="spellEnd"/>
      <w:r w:rsidRPr="005D36DC">
        <w:rPr>
          <w:rFonts w:ascii="Arial" w:hAnsi="Arial" w:cs="Arial"/>
          <w:sz w:val="22"/>
          <w:szCs w:val="22"/>
        </w:rPr>
        <w:t xml:space="preserve"> P</w:t>
      </w:r>
      <w:r w:rsidR="00D83676" w:rsidRPr="005D36DC">
        <w:rPr>
          <w:rFonts w:ascii="Arial" w:hAnsi="Arial" w:cs="Arial"/>
          <w:sz w:val="22"/>
          <w:szCs w:val="22"/>
        </w:rPr>
        <w:t xml:space="preserve"> and</w:t>
      </w:r>
      <w:r w:rsidRPr="005D36DC">
        <w:rPr>
          <w:rFonts w:ascii="Arial" w:hAnsi="Arial" w:cs="Arial"/>
          <w:sz w:val="22"/>
          <w:szCs w:val="22"/>
        </w:rPr>
        <w:t xml:space="preserve"> Peter H. 2005. Influence of relative humidity on fungal spore germination: A method for establishing controlled RH levels using glycerol-water solutions. </w:t>
      </w:r>
      <w:r w:rsidRPr="005D36DC">
        <w:rPr>
          <w:rFonts w:ascii="Arial" w:hAnsi="Arial" w:cs="Arial"/>
          <w:i/>
          <w:iCs/>
          <w:sz w:val="22"/>
          <w:szCs w:val="22"/>
        </w:rPr>
        <w:t>Journal of Mycological Research</w:t>
      </w:r>
      <w:r w:rsidR="00D83676" w:rsidRPr="005D36DC">
        <w:rPr>
          <w:rFonts w:ascii="Arial" w:hAnsi="Arial" w:cs="Arial"/>
          <w:sz w:val="22"/>
          <w:szCs w:val="22"/>
        </w:rPr>
        <w:t>.</w:t>
      </w:r>
      <w:r w:rsidRPr="005D36DC">
        <w:rPr>
          <w:rFonts w:ascii="Arial" w:hAnsi="Arial" w:cs="Arial"/>
          <w:sz w:val="22"/>
          <w:szCs w:val="22"/>
        </w:rPr>
        <w:t xml:space="preserve"> 109(3)</w:t>
      </w:r>
      <w:r w:rsidR="00D83676" w:rsidRPr="005D36DC">
        <w:rPr>
          <w:rFonts w:ascii="Arial" w:hAnsi="Arial" w:cs="Arial"/>
          <w:sz w:val="22"/>
          <w:szCs w:val="22"/>
        </w:rPr>
        <w:t xml:space="preserve">: </w:t>
      </w:r>
      <w:r w:rsidRPr="005D36DC">
        <w:rPr>
          <w:rFonts w:ascii="Arial" w:hAnsi="Arial" w:cs="Arial"/>
          <w:sz w:val="22"/>
          <w:szCs w:val="22"/>
        </w:rPr>
        <w:t>345-350.</w:t>
      </w:r>
    </w:p>
    <w:p w14:paraId="229AB587" w14:textId="4F9B4777" w:rsidR="00D03087" w:rsidRPr="005D36DC" w:rsidRDefault="00D03087" w:rsidP="0062135B">
      <w:pPr>
        <w:pStyle w:val="NormalWeb"/>
        <w:ind w:left="720" w:hanging="720"/>
        <w:jc w:val="both"/>
        <w:rPr>
          <w:rFonts w:ascii="Arial" w:hAnsi="Arial" w:cs="Arial"/>
          <w:sz w:val="22"/>
          <w:szCs w:val="22"/>
        </w:rPr>
      </w:pPr>
      <w:r w:rsidRPr="00D03087">
        <w:rPr>
          <w:rFonts w:ascii="Arial" w:hAnsi="Arial" w:cs="Arial"/>
          <w:sz w:val="22"/>
          <w:szCs w:val="22"/>
        </w:rPr>
        <w:t>Meena, N. K., Zacharia, S., &amp; Patil, N. B. (2016). Management of green gram powdery mildew (</w:t>
      </w:r>
      <w:r w:rsidRPr="00D03087">
        <w:rPr>
          <w:rFonts w:ascii="Arial" w:hAnsi="Arial" w:cs="Arial"/>
          <w:i/>
          <w:iCs/>
          <w:sz w:val="22"/>
          <w:szCs w:val="22"/>
        </w:rPr>
        <w:t xml:space="preserve">Erysiphe </w:t>
      </w:r>
      <w:proofErr w:type="spellStart"/>
      <w:r w:rsidRPr="00D03087">
        <w:rPr>
          <w:rFonts w:ascii="Arial" w:hAnsi="Arial" w:cs="Arial"/>
          <w:i/>
          <w:iCs/>
          <w:sz w:val="22"/>
          <w:szCs w:val="22"/>
        </w:rPr>
        <w:t>polygoni</w:t>
      </w:r>
      <w:proofErr w:type="spellEnd"/>
      <w:r w:rsidRPr="00D03087">
        <w:rPr>
          <w:rFonts w:ascii="Arial" w:hAnsi="Arial" w:cs="Arial"/>
          <w:sz w:val="22"/>
          <w:szCs w:val="22"/>
        </w:rPr>
        <w:t xml:space="preserve"> DC.) by foliar spray of fungicides and </w:t>
      </w:r>
      <w:r w:rsidRPr="00D03087">
        <w:rPr>
          <w:rFonts w:ascii="Arial" w:hAnsi="Arial" w:cs="Arial"/>
          <w:i/>
          <w:iCs/>
          <w:sz w:val="22"/>
          <w:szCs w:val="22"/>
        </w:rPr>
        <w:t>Trichoderma</w:t>
      </w:r>
      <w:r w:rsidRPr="00D03087">
        <w:rPr>
          <w:rFonts w:ascii="Arial" w:hAnsi="Arial" w:cs="Arial"/>
          <w:sz w:val="22"/>
          <w:szCs w:val="22"/>
        </w:rPr>
        <w:t xml:space="preserve"> spp. </w:t>
      </w:r>
      <w:r w:rsidRPr="00D03087">
        <w:rPr>
          <w:rFonts w:ascii="Arial" w:hAnsi="Arial" w:cs="Arial"/>
          <w:i/>
          <w:iCs/>
          <w:sz w:val="22"/>
          <w:szCs w:val="22"/>
        </w:rPr>
        <w:t>Eco</w:t>
      </w:r>
      <w:r>
        <w:rPr>
          <w:rFonts w:ascii="Arial" w:hAnsi="Arial" w:cs="Arial"/>
          <w:i/>
          <w:iCs/>
          <w:sz w:val="22"/>
          <w:szCs w:val="22"/>
        </w:rPr>
        <w:t>logy</w:t>
      </w:r>
      <w:r w:rsidRPr="00D03087">
        <w:rPr>
          <w:rFonts w:ascii="Arial" w:hAnsi="Arial" w:cs="Arial"/>
          <w:i/>
          <w:iCs/>
          <w:sz w:val="22"/>
          <w:szCs w:val="22"/>
        </w:rPr>
        <w:t xml:space="preserve"> Env</w:t>
      </w:r>
      <w:r>
        <w:rPr>
          <w:rFonts w:ascii="Arial" w:hAnsi="Arial" w:cs="Arial"/>
          <w:i/>
          <w:iCs/>
          <w:sz w:val="22"/>
          <w:szCs w:val="22"/>
        </w:rPr>
        <w:t>ironment</w:t>
      </w:r>
      <w:r w:rsidRPr="00D03087">
        <w:rPr>
          <w:rFonts w:ascii="Arial" w:hAnsi="Arial" w:cs="Arial"/>
          <w:i/>
          <w:iCs/>
          <w:sz w:val="22"/>
          <w:szCs w:val="22"/>
        </w:rPr>
        <w:t xml:space="preserve"> </w:t>
      </w:r>
      <w:r>
        <w:rPr>
          <w:rFonts w:ascii="Arial" w:hAnsi="Arial" w:cs="Arial"/>
          <w:i/>
          <w:iCs/>
          <w:sz w:val="22"/>
          <w:szCs w:val="22"/>
        </w:rPr>
        <w:t>and</w:t>
      </w:r>
      <w:r w:rsidRPr="00D03087">
        <w:rPr>
          <w:rFonts w:ascii="Arial" w:hAnsi="Arial" w:cs="Arial"/>
          <w:i/>
          <w:iCs/>
          <w:sz w:val="22"/>
          <w:szCs w:val="22"/>
        </w:rPr>
        <w:t xml:space="preserve"> Cons</w:t>
      </w:r>
      <w:r>
        <w:rPr>
          <w:rFonts w:ascii="Arial" w:hAnsi="Arial" w:cs="Arial"/>
          <w:i/>
          <w:iCs/>
          <w:sz w:val="22"/>
          <w:szCs w:val="22"/>
        </w:rPr>
        <w:t>ervation.</w:t>
      </w:r>
      <w:r w:rsidRPr="00D03087">
        <w:rPr>
          <w:rFonts w:ascii="Arial" w:hAnsi="Arial" w:cs="Arial"/>
          <w:sz w:val="22"/>
          <w:szCs w:val="22"/>
        </w:rPr>
        <w:t xml:space="preserve"> </w:t>
      </w:r>
      <w:r w:rsidRPr="00D03087">
        <w:rPr>
          <w:rFonts w:ascii="Arial" w:hAnsi="Arial" w:cs="Arial"/>
          <w:b/>
          <w:bCs/>
          <w:sz w:val="22"/>
          <w:szCs w:val="22"/>
        </w:rPr>
        <w:t>22</w:t>
      </w:r>
      <w:r>
        <w:rPr>
          <w:rFonts w:ascii="Arial" w:hAnsi="Arial" w:cs="Arial"/>
          <w:sz w:val="22"/>
          <w:szCs w:val="22"/>
        </w:rPr>
        <w:t xml:space="preserve">: </w:t>
      </w:r>
      <w:r w:rsidRPr="00D03087">
        <w:rPr>
          <w:rFonts w:ascii="Arial" w:hAnsi="Arial" w:cs="Arial"/>
          <w:sz w:val="22"/>
          <w:szCs w:val="22"/>
        </w:rPr>
        <w:t>S251–S255.</w:t>
      </w:r>
    </w:p>
    <w:p w14:paraId="0D53D4E5" w14:textId="78A9288E" w:rsidR="00250DF6" w:rsidRDefault="00250DF6" w:rsidP="00F24B73">
      <w:pPr>
        <w:ind w:left="720" w:hanging="720"/>
        <w:jc w:val="both"/>
        <w:rPr>
          <w:rFonts w:ascii="Arial" w:hAnsi="Arial" w:cs="Arial"/>
          <w:color w:val="222222"/>
          <w:shd w:val="clear" w:color="auto" w:fill="FFFFFF"/>
        </w:rPr>
      </w:pPr>
      <w:r w:rsidRPr="005D36DC">
        <w:rPr>
          <w:rFonts w:ascii="Arial" w:hAnsi="Arial" w:cs="Arial"/>
          <w:color w:val="222222"/>
          <w:shd w:val="clear" w:color="auto" w:fill="FFFFFF"/>
        </w:rPr>
        <w:t>Mishra V,</w:t>
      </w:r>
      <w:r w:rsidR="00453319" w:rsidRPr="005D36DC">
        <w:rPr>
          <w:rFonts w:ascii="Arial" w:hAnsi="Arial" w:cs="Arial"/>
          <w:color w:val="222222"/>
          <w:shd w:val="clear" w:color="auto" w:fill="FFFFFF"/>
        </w:rPr>
        <w:t xml:space="preserve"> </w:t>
      </w:r>
      <w:r w:rsidRPr="005D36DC">
        <w:rPr>
          <w:rFonts w:ascii="Arial" w:hAnsi="Arial" w:cs="Arial"/>
          <w:color w:val="222222"/>
          <w:shd w:val="clear" w:color="auto" w:fill="FFFFFF"/>
        </w:rPr>
        <w:t>Lal A</w:t>
      </w:r>
      <w:r w:rsidR="00D83676" w:rsidRPr="005D36DC">
        <w:rPr>
          <w:rFonts w:ascii="Arial" w:hAnsi="Arial" w:cs="Arial"/>
          <w:color w:val="222222"/>
          <w:shd w:val="clear" w:color="auto" w:fill="FFFFFF"/>
        </w:rPr>
        <w:t xml:space="preserve"> </w:t>
      </w:r>
      <w:proofErr w:type="spellStart"/>
      <w:r w:rsidRPr="005D36DC">
        <w:rPr>
          <w:rFonts w:ascii="Arial" w:hAnsi="Arial" w:cs="Arial"/>
          <w:color w:val="222222"/>
          <w:shd w:val="clear" w:color="auto" w:fill="FFFFFF"/>
        </w:rPr>
        <w:t>A</w:t>
      </w:r>
      <w:proofErr w:type="spellEnd"/>
      <w:r w:rsidRPr="005D36DC">
        <w:rPr>
          <w:rFonts w:ascii="Arial" w:hAnsi="Arial" w:cs="Arial"/>
          <w:color w:val="222222"/>
          <w:shd w:val="clear" w:color="auto" w:fill="FFFFFF"/>
        </w:rPr>
        <w:t xml:space="preserve"> and Simon S. 2017. Efficacy of botanicals and bio-agents against powdery mildew disease of garden pea (</w:t>
      </w:r>
      <w:r w:rsidRPr="005D36DC">
        <w:rPr>
          <w:rFonts w:ascii="Arial" w:hAnsi="Arial" w:cs="Arial"/>
          <w:i/>
          <w:iCs/>
          <w:color w:val="222222"/>
          <w:shd w:val="clear" w:color="auto" w:fill="FFFFFF"/>
        </w:rPr>
        <w:t>Pisum sativum</w:t>
      </w:r>
      <w:r w:rsidRPr="005D36DC">
        <w:rPr>
          <w:rFonts w:ascii="Arial" w:hAnsi="Arial" w:cs="Arial"/>
          <w:color w:val="222222"/>
          <w:shd w:val="clear" w:color="auto" w:fill="FFFFFF"/>
        </w:rPr>
        <w:t xml:space="preserve"> L.). </w:t>
      </w:r>
      <w:r w:rsidRPr="005D36DC">
        <w:rPr>
          <w:rFonts w:ascii="Arial" w:hAnsi="Arial" w:cs="Arial"/>
          <w:i/>
          <w:iCs/>
          <w:color w:val="222222"/>
          <w:shd w:val="clear" w:color="auto" w:fill="FFFFFF"/>
        </w:rPr>
        <w:t>Journal of Pharmacognosy and Phytochemistry</w:t>
      </w:r>
      <w:r w:rsidR="00D83676" w:rsidRPr="005D36DC">
        <w:rPr>
          <w:rFonts w:ascii="Arial" w:hAnsi="Arial" w:cs="Arial"/>
          <w:color w:val="222222"/>
          <w:shd w:val="clear" w:color="auto" w:fill="FFFFFF"/>
        </w:rPr>
        <w:t>.</w:t>
      </w:r>
      <w:r w:rsidRPr="005D36DC">
        <w:rPr>
          <w:rFonts w:ascii="Arial" w:hAnsi="Arial" w:cs="Arial"/>
          <w:color w:val="222222"/>
          <w:shd w:val="clear" w:color="auto" w:fill="FFFFFF"/>
        </w:rPr>
        <w:t> 6(4): 1125-1126.</w:t>
      </w:r>
    </w:p>
    <w:p w14:paraId="5A9AE237" w14:textId="783433CB" w:rsidR="008D7D91" w:rsidRDefault="008D7D91" w:rsidP="008D7D91">
      <w:pPr>
        <w:ind w:left="720" w:hanging="720"/>
        <w:jc w:val="both"/>
        <w:rPr>
          <w:rFonts w:ascii="Times New Roman" w:hAnsi="Times New Roman" w:cs="Times New Roman"/>
          <w:sz w:val="24"/>
          <w:szCs w:val="24"/>
        </w:rPr>
      </w:pPr>
      <w:r w:rsidRPr="005326B5">
        <w:rPr>
          <w:rFonts w:ascii="Times New Roman" w:hAnsi="Times New Roman" w:cs="Times New Roman"/>
          <w:sz w:val="24"/>
          <w:szCs w:val="24"/>
        </w:rPr>
        <w:t xml:space="preserve">Nitin Rex Sancho, A. 2023. Unveiling the Potential of Black Gram: A Nutrient-Rich Pulse for Sustainable Agriculture. </w:t>
      </w:r>
      <w:proofErr w:type="spellStart"/>
      <w:r w:rsidRPr="005326B5">
        <w:rPr>
          <w:rFonts w:ascii="Times New Roman" w:hAnsi="Times New Roman" w:cs="Times New Roman"/>
          <w:i/>
          <w:iCs/>
          <w:sz w:val="24"/>
          <w:szCs w:val="24"/>
        </w:rPr>
        <w:t>Biotica</w:t>
      </w:r>
      <w:proofErr w:type="spellEnd"/>
      <w:r w:rsidRPr="005326B5">
        <w:rPr>
          <w:rFonts w:ascii="Times New Roman" w:hAnsi="Times New Roman" w:cs="Times New Roman"/>
          <w:i/>
          <w:iCs/>
          <w:sz w:val="24"/>
          <w:szCs w:val="24"/>
        </w:rPr>
        <w:t xml:space="preserve"> Research Today</w:t>
      </w:r>
      <w:r w:rsidRPr="005326B5">
        <w:rPr>
          <w:rFonts w:ascii="Times New Roman" w:hAnsi="Times New Roman" w:cs="Times New Roman"/>
          <w:sz w:val="24"/>
          <w:szCs w:val="24"/>
        </w:rPr>
        <w:t>, 5(9): 683-685.</w:t>
      </w:r>
    </w:p>
    <w:p w14:paraId="5773B278" w14:textId="2294328B" w:rsidR="00C00793" w:rsidRPr="008D7D91" w:rsidRDefault="00C00793" w:rsidP="008D7D91">
      <w:pPr>
        <w:ind w:left="720" w:hanging="720"/>
        <w:jc w:val="both"/>
        <w:rPr>
          <w:rFonts w:ascii="Times New Roman" w:hAnsi="Times New Roman" w:cs="Times New Roman"/>
          <w:sz w:val="24"/>
          <w:szCs w:val="24"/>
        </w:rPr>
      </w:pPr>
      <w:r w:rsidRPr="00C00793">
        <w:rPr>
          <w:rFonts w:ascii="Times New Roman" w:hAnsi="Times New Roman" w:cs="Times New Roman"/>
          <w:sz w:val="24"/>
          <w:szCs w:val="24"/>
        </w:rPr>
        <w:t>Prakash S and Saharan G.S. 1999</w:t>
      </w:r>
      <w:r>
        <w:rPr>
          <w:rFonts w:ascii="Times New Roman" w:hAnsi="Times New Roman" w:cs="Times New Roman"/>
          <w:sz w:val="24"/>
          <w:szCs w:val="24"/>
        </w:rPr>
        <w:t>.</w:t>
      </w:r>
      <w:r w:rsidRPr="00C00793">
        <w:rPr>
          <w:rFonts w:ascii="Times New Roman" w:hAnsi="Times New Roman" w:cs="Times New Roman"/>
          <w:sz w:val="24"/>
          <w:szCs w:val="24"/>
        </w:rPr>
        <w:t xml:space="preserve"> Journal of Mycology and Pant Pathology</w:t>
      </w:r>
      <w:r>
        <w:rPr>
          <w:rFonts w:ascii="Times New Roman" w:hAnsi="Times New Roman" w:cs="Times New Roman"/>
          <w:sz w:val="24"/>
          <w:szCs w:val="24"/>
        </w:rPr>
        <w:t>.</w:t>
      </w:r>
      <w:r w:rsidRPr="00C00793">
        <w:rPr>
          <w:rFonts w:ascii="Times New Roman" w:hAnsi="Times New Roman" w:cs="Times New Roman"/>
          <w:sz w:val="24"/>
          <w:szCs w:val="24"/>
        </w:rPr>
        <w:t xml:space="preserve"> 29 (3)</w:t>
      </w:r>
      <w:r>
        <w:rPr>
          <w:rFonts w:ascii="Times New Roman" w:hAnsi="Times New Roman" w:cs="Times New Roman"/>
          <w:sz w:val="24"/>
          <w:szCs w:val="24"/>
        </w:rPr>
        <w:t>:</w:t>
      </w:r>
      <w:r w:rsidRPr="00C00793">
        <w:rPr>
          <w:rFonts w:ascii="Times New Roman" w:hAnsi="Times New Roman" w:cs="Times New Roman"/>
          <w:sz w:val="24"/>
          <w:szCs w:val="24"/>
        </w:rPr>
        <w:t xml:space="preserve"> 383-384.</w:t>
      </w:r>
    </w:p>
    <w:p w14:paraId="641B09DD" w14:textId="44C5F086" w:rsidR="00250DF6" w:rsidRDefault="00250DF6" w:rsidP="00F24B73">
      <w:pPr>
        <w:ind w:left="720" w:hanging="720"/>
        <w:jc w:val="both"/>
        <w:rPr>
          <w:rFonts w:ascii="Arial" w:hAnsi="Arial" w:cs="Arial"/>
          <w:i/>
          <w:iCs/>
        </w:rPr>
      </w:pPr>
      <w:proofErr w:type="spellStart"/>
      <w:r w:rsidRPr="005D36DC">
        <w:rPr>
          <w:rFonts w:ascii="Arial" w:hAnsi="Arial" w:cs="Arial"/>
        </w:rPr>
        <w:t>Seethapathy</w:t>
      </w:r>
      <w:proofErr w:type="spellEnd"/>
      <w:r w:rsidRPr="005D36DC">
        <w:rPr>
          <w:rFonts w:ascii="Arial" w:hAnsi="Arial" w:cs="Arial"/>
        </w:rPr>
        <w:t xml:space="preserve"> P. 2016. Powdery mildew of </w:t>
      </w:r>
      <w:proofErr w:type="spellStart"/>
      <w:r w:rsidRPr="005D36DC">
        <w:rPr>
          <w:rFonts w:ascii="Arial" w:hAnsi="Arial" w:cs="Arial"/>
        </w:rPr>
        <w:t>blackgram</w:t>
      </w:r>
      <w:proofErr w:type="spellEnd"/>
      <w:r w:rsidRPr="005D36DC">
        <w:rPr>
          <w:rFonts w:ascii="Arial" w:hAnsi="Arial" w:cs="Arial"/>
        </w:rPr>
        <w:t xml:space="preserve">. </w:t>
      </w:r>
      <w:r w:rsidRPr="005D36DC">
        <w:rPr>
          <w:rFonts w:ascii="Arial" w:hAnsi="Arial" w:cs="Arial"/>
          <w:i/>
          <w:iCs/>
        </w:rPr>
        <w:t xml:space="preserve">American </w:t>
      </w:r>
      <w:proofErr w:type="spellStart"/>
      <w:r w:rsidRPr="005D36DC">
        <w:rPr>
          <w:rFonts w:ascii="Arial" w:hAnsi="Arial" w:cs="Arial"/>
          <w:i/>
          <w:iCs/>
        </w:rPr>
        <w:t>Phytopathological</w:t>
      </w:r>
      <w:proofErr w:type="spellEnd"/>
      <w:r w:rsidRPr="005D36DC">
        <w:rPr>
          <w:rFonts w:ascii="Arial" w:hAnsi="Arial" w:cs="Arial"/>
          <w:i/>
          <w:iCs/>
        </w:rPr>
        <w:t xml:space="preserve"> Society.</w:t>
      </w:r>
    </w:p>
    <w:p w14:paraId="5FC0D480" w14:textId="5CCBB1CE" w:rsidR="00436A5C" w:rsidRPr="005326B5" w:rsidRDefault="00436A5C" w:rsidP="00436A5C">
      <w:pPr>
        <w:ind w:left="720" w:hanging="720"/>
        <w:jc w:val="both"/>
        <w:rPr>
          <w:rFonts w:ascii="Times New Roman" w:hAnsi="Times New Roman" w:cs="Times New Roman"/>
          <w:sz w:val="24"/>
          <w:szCs w:val="24"/>
        </w:rPr>
      </w:pPr>
      <w:r w:rsidRPr="005326B5">
        <w:rPr>
          <w:rFonts w:ascii="Times New Roman" w:hAnsi="Times New Roman" w:cs="Times New Roman"/>
          <w:sz w:val="24"/>
          <w:szCs w:val="24"/>
        </w:rPr>
        <w:t xml:space="preserve">Swaminathan C, Surya R, Subramanian E, Arunachalam P, 2023. Challenges in pulses productivity and agronomic </w:t>
      </w:r>
      <w:proofErr w:type="spellStart"/>
      <w:r w:rsidRPr="005326B5">
        <w:rPr>
          <w:rFonts w:ascii="Times New Roman" w:hAnsi="Times New Roman" w:cs="Times New Roman"/>
          <w:sz w:val="24"/>
          <w:szCs w:val="24"/>
        </w:rPr>
        <w:t>opportunites</w:t>
      </w:r>
      <w:proofErr w:type="spellEnd"/>
      <w:r w:rsidRPr="005326B5">
        <w:rPr>
          <w:rFonts w:ascii="Times New Roman" w:hAnsi="Times New Roman" w:cs="Times New Roman"/>
          <w:sz w:val="24"/>
          <w:szCs w:val="24"/>
        </w:rPr>
        <w:t xml:space="preserve"> for enhancing growth and yield in Black gram [</w:t>
      </w:r>
      <w:r w:rsidRPr="005326B5">
        <w:rPr>
          <w:rFonts w:ascii="Times New Roman" w:hAnsi="Times New Roman" w:cs="Times New Roman"/>
          <w:i/>
          <w:iCs/>
          <w:sz w:val="24"/>
          <w:szCs w:val="24"/>
        </w:rPr>
        <w:t>Vigna mungo</w:t>
      </w:r>
      <w:r w:rsidRPr="005326B5">
        <w:rPr>
          <w:rFonts w:ascii="Times New Roman" w:hAnsi="Times New Roman" w:cs="Times New Roman"/>
          <w:sz w:val="24"/>
          <w:szCs w:val="24"/>
        </w:rPr>
        <w:t xml:space="preserve"> (L.)  Hepper]:  A review. </w:t>
      </w:r>
      <w:r w:rsidRPr="005326B5">
        <w:rPr>
          <w:rFonts w:ascii="Times New Roman" w:hAnsi="Times New Roman" w:cs="Times New Roman"/>
          <w:i/>
          <w:iCs/>
          <w:sz w:val="24"/>
          <w:szCs w:val="24"/>
        </w:rPr>
        <w:t>Legume Research</w:t>
      </w:r>
      <w:r w:rsidRPr="005326B5">
        <w:rPr>
          <w:rFonts w:ascii="Times New Roman" w:hAnsi="Times New Roman" w:cs="Times New Roman"/>
          <w:sz w:val="24"/>
          <w:szCs w:val="24"/>
        </w:rPr>
        <w:t xml:space="preserve"> 46(1): 1-9.</w:t>
      </w:r>
    </w:p>
    <w:p w14:paraId="7C5657B8" w14:textId="1A0EEB0D" w:rsidR="00250DF6" w:rsidRPr="005D36DC" w:rsidRDefault="00250DF6" w:rsidP="00436A5C">
      <w:pPr>
        <w:jc w:val="both"/>
        <w:rPr>
          <w:rFonts w:ascii="Arial" w:hAnsi="Arial" w:cs="Arial"/>
          <w:shd w:val="clear" w:color="auto" w:fill="FFFFFF"/>
        </w:rPr>
      </w:pPr>
      <w:r w:rsidRPr="005D36DC">
        <w:rPr>
          <w:rFonts w:ascii="Arial" w:hAnsi="Arial" w:cs="Arial"/>
          <w:shd w:val="clear" w:color="auto" w:fill="FFFFFF"/>
        </w:rPr>
        <w:lastRenderedPageBreak/>
        <w:t xml:space="preserve">Vikas and </w:t>
      </w:r>
      <w:proofErr w:type="spellStart"/>
      <w:r w:rsidRPr="005D36DC">
        <w:rPr>
          <w:rFonts w:ascii="Arial" w:hAnsi="Arial" w:cs="Arial"/>
          <w:shd w:val="clear" w:color="auto" w:fill="FFFFFF"/>
        </w:rPr>
        <w:t>Ratnoo</w:t>
      </w:r>
      <w:proofErr w:type="spellEnd"/>
      <w:r w:rsidRPr="005D36DC">
        <w:rPr>
          <w:rFonts w:ascii="Arial" w:hAnsi="Arial" w:cs="Arial"/>
          <w:shd w:val="clear" w:color="auto" w:fill="FFFFFF"/>
        </w:rPr>
        <w:t xml:space="preserve"> R.S. 2011</w:t>
      </w:r>
      <w:r w:rsidR="00D83676" w:rsidRPr="005D36DC">
        <w:rPr>
          <w:rFonts w:ascii="Arial" w:hAnsi="Arial" w:cs="Arial"/>
          <w:shd w:val="clear" w:color="auto" w:fill="FFFFFF"/>
        </w:rPr>
        <w:t>.</w:t>
      </w:r>
      <w:r w:rsidRPr="005D36DC">
        <w:rPr>
          <w:rFonts w:ascii="Arial" w:hAnsi="Arial" w:cs="Arial"/>
          <w:shd w:val="clear" w:color="auto" w:fill="FFFFFF"/>
        </w:rPr>
        <w:t xml:space="preserve"> </w:t>
      </w:r>
      <w:r w:rsidRPr="005D36DC">
        <w:rPr>
          <w:rFonts w:ascii="Arial" w:hAnsi="Arial" w:cs="Arial"/>
          <w:i/>
          <w:iCs/>
          <w:shd w:val="clear" w:color="auto" w:fill="FFFFFF"/>
        </w:rPr>
        <w:t>Journal of Plant Disease Sciences</w:t>
      </w:r>
      <w:r w:rsidR="00D83676" w:rsidRPr="005D36DC">
        <w:rPr>
          <w:rFonts w:ascii="Arial" w:hAnsi="Arial" w:cs="Arial"/>
          <w:shd w:val="clear" w:color="auto" w:fill="FFFFFF"/>
        </w:rPr>
        <w:t>.</w:t>
      </w:r>
      <w:r w:rsidRPr="005D36DC">
        <w:rPr>
          <w:rFonts w:ascii="Arial" w:hAnsi="Arial" w:cs="Arial"/>
          <w:shd w:val="clear" w:color="auto" w:fill="FFFFFF"/>
        </w:rPr>
        <w:t xml:space="preserve"> 6(1)</w:t>
      </w:r>
      <w:r w:rsidR="00D83676" w:rsidRPr="005D36DC">
        <w:rPr>
          <w:rFonts w:ascii="Arial" w:hAnsi="Arial" w:cs="Arial"/>
          <w:shd w:val="clear" w:color="auto" w:fill="FFFFFF"/>
        </w:rPr>
        <w:t xml:space="preserve">: </w:t>
      </w:r>
      <w:r w:rsidRPr="005D36DC">
        <w:rPr>
          <w:rFonts w:ascii="Arial" w:hAnsi="Arial" w:cs="Arial"/>
          <w:shd w:val="clear" w:color="auto" w:fill="FFFFFF"/>
        </w:rPr>
        <w:t>65- 67.</w:t>
      </w:r>
    </w:p>
    <w:sectPr w:rsidR="00250DF6" w:rsidRPr="005D36DC" w:rsidSect="00617173">
      <w:footerReference w:type="default" r:id="rId12"/>
      <w:pgSz w:w="11906" w:h="16838"/>
      <w:pgMar w:top="1440" w:right="1440" w:bottom="1440" w:left="1440"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05EA6" w14:textId="77777777" w:rsidR="00DB6F84" w:rsidRDefault="00DB6F84" w:rsidP="00F96618">
      <w:pPr>
        <w:spacing w:after="0" w:line="240" w:lineRule="auto"/>
      </w:pPr>
      <w:r>
        <w:separator/>
      </w:r>
    </w:p>
  </w:endnote>
  <w:endnote w:type="continuationSeparator" w:id="0">
    <w:p w14:paraId="6C19310B" w14:textId="77777777" w:rsidR="00DB6F84" w:rsidRDefault="00DB6F84" w:rsidP="00F9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EEBB" w14:textId="05CDB45D" w:rsidR="00F96618" w:rsidRPr="00F96618" w:rsidRDefault="00F96618" w:rsidP="00F96618">
    <w:pPr>
      <w:pStyle w:val="Footer"/>
      <w:rPr>
        <w:b/>
        <w:bCs/>
      </w:rPr>
    </w:pPr>
  </w:p>
  <w:p w14:paraId="4BC4D6DD" w14:textId="77777777" w:rsidR="00F96618" w:rsidRDefault="00F96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2BC3A" w14:textId="77777777" w:rsidR="00DB6F84" w:rsidRDefault="00DB6F84" w:rsidP="00F96618">
      <w:pPr>
        <w:spacing w:after="0" w:line="240" w:lineRule="auto"/>
      </w:pPr>
      <w:r>
        <w:separator/>
      </w:r>
    </w:p>
  </w:footnote>
  <w:footnote w:type="continuationSeparator" w:id="0">
    <w:p w14:paraId="6F15D28E" w14:textId="77777777" w:rsidR="00DB6F84" w:rsidRDefault="00DB6F84" w:rsidP="00F96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62C54"/>
    <w:multiLevelType w:val="hybridMultilevel"/>
    <w:tmpl w:val="724E956C"/>
    <w:lvl w:ilvl="0" w:tplc="54DE5642">
      <w:start w:val="1"/>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C401D6A"/>
    <w:multiLevelType w:val="hybridMultilevel"/>
    <w:tmpl w:val="282EF378"/>
    <w:lvl w:ilvl="0" w:tplc="67D6E7D2">
      <w:start w:val="1"/>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11D"/>
    <w:rsid w:val="000740AD"/>
    <w:rsid w:val="000754FA"/>
    <w:rsid w:val="0008196C"/>
    <w:rsid w:val="000B7BB2"/>
    <w:rsid w:val="000D7F4F"/>
    <w:rsid w:val="000E1D25"/>
    <w:rsid w:val="000F34B9"/>
    <w:rsid w:val="001B5B90"/>
    <w:rsid w:val="001B6C16"/>
    <w:rsid w:val="001D4B2F"/>
    <w:rsid w:val="00250DF6"/>
    <w:rsid w:val="0025636E"/>
    <w:rsid w:val="002A7039"/>
    <w:rsid w:val="00301203"/>
    <w:rsid w:val="00365F20"/>
    <w:rsid w:val="003860A4"/>
    <w:rsid w:val="003D347B"/>
    <w:rsid w:val="00431EE4"/>
    <w:rsid w:val="00436A5C"/>
    <w:rsid w:val="00453319"/>
    <w:rsid w:val="004A7F66"/>
    <w:rsid w:val="004B553E"/>
    <w:rsid w:val="0059450F"/>
    <w:rsid w:val="005A0C03"/>
    <w:rsid w:val="005D36DC"/>
    <w:rsid w:val="005E42B6"/>
    <w:rsid w:val="005F40F9"/>
    <w:rsid w:val="00602CA0"/>
    <w:rsid w:val="00617173"/>
    <w:rsid w:val="0062135B"/>
    <w:rsid w:val="00733BF8"/>
    <w:rsid w:val="007538AE"/>
    <w:rsid w:val="00762EAA"/>
    <w:rsid w:val="007F4A45"/>
    <w:rsid w:val="00856B42"/>
    <w:rsid w:val="00883141"/>
    <w:rsid w:val="00895761"/>
    <w:rsid w:val="008D7D91"/>
    <w:rsid w:val="008E211D"/>
    <w:rsid w:val="00902075"/>
    <w:rsid w:val="009245B8"/>
    <w:rsid w:val="00962A50"/>
    <w:rsid w:val="00981A7B"/>
    <w:rsid w:val="00983568"/>
    <w:rsid w:val="009E7767"/>
    <w:rsid w:val="009F2D31"/>
    <w:rsid w:val="00A20203"/>
    <w:rsid w:val="00A370F9"/>
    <w:rsid w:val="00A673A2"/>
    <w:rsid w:val="00A80F5F"/>
    <w:rsid w:val="00AA3DAE"/>
    <w:rsid w:val="00AA48D1"/>
    <w:rsid w:val="00AB065E"/>
    <w:rsid w:val="00AE1603"/>
    <w:rsid w:val="00B10EFD"/>
    <w:rsid w:val="00B53A3F"/>
    <w:rsid w:val="00B64643"/>
    <w:rsid w:val="00B67A32"/>
    <w:rsid w:val="00B7060D"/>
    <w:rsid w:val="00BF32E9"/>
    <w:rsid w:val="00BF5ECC"/>
    <w:rsid w:val="00C00793"/>
    <w:rsid w:val="00C620AF"/>
    <w:rsid w:val="00C737D3"/>
    <w:rsid w:val="00C76A99"/>
    <w:rsid w:val="00CC4C8D"/>
    <w:rsid w:val="00D03087"/>
    <w:rsid w:val="00D05E81"/>
    <w:rsid w:val="00D4072C"/>
    <w:rsid w:val="00D83676"/>
    <w:rsid w:val="00DB6F84"/>
    <w:rsid w:val="00E177C8"/>
    <w:rsid w:val="00E43754"/>
    <w:rsid w:val="00ED1A41"/>
    <w:rsid w:val="00ED488D"/>
    <w:rsid w:val="00F24B73"/>
    <w:rsid w:val="00F82B0D"/>
    <w:rsid w:val="00F966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F45693"/>
  <w15:chartTrackingRefBased/>
  <w15:docId w15:val="{95F5C7BE-8FD0-4F9D-AC07-223BCDE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203"/>
    <w:rPr>
      <w:rFonts w:ascii="Times New Roman" w:hAnsi="Times New Roman" w:cs="Times New Roman"/>
      <w:sz w:val="24"/>
      <w:szCs w:val="24"/>
    </w:rPr>
  </w:style>
  <w:style w:type="character" w:styleId="PlaceholderText">
    <w:name w:val="Placeholder Text"/>
    <w:basedOn w:val="DefaultParagraphFont"/>
    <w:uiPriority w:val="99"/>
    <w:semiHidden/>
    <w:rsid w:val="00ED1A41"/>
    <w:rPr>
      <w:color w:val="666666"/>
    </w:rPr>
  </w:style>
  <w:style w:type="table" w:styleId="TableGrid">
    <w:name w:val="Table Grid"/>
    <w:basedOn w:val="TableNormal"/>
    <w:uiPriority w:val="59"/>
    <w:rsid w:val="003D3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B7B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B7B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96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18"/>
  </w:style>
  <w:style w:type="paragraph" w:styleId="Footer">
    <w:name w:val="footer"/>
    <w:basedOn w:val="Normal"/>
    <w:link w:val="FooterChar"/>
    <w:uiPriority w:val="99"/>
    <w:unhideWhenUsed/>
    <w:rsid w:val="00F96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18"/>
  </w:style>
  <w:style w:type="character" w:styleId="Hyperlink">
    <w:name w:val="Hyperlink"/>
    <w:basedOn w:val="DefaultParagraphFont"/>
    <w:uiPriority w:val="99"/>
    <w:unhideWhenUsed/>
    <w:rsid w:val="00F96618"/>
    <w:rPr>
      <w:color w:val="0563C1" w:themeColor="hyperlink"/>
      <w:u w:val="single"/>
    </w:rPr>
  </w:style>
  <w:style w:type="character" w:customStyle="1" w:styleId="UnresolvedMention1">
    <w:name w:val="Unresolved Mention1"/>
    <w:basedOn w:val="DefaultParagraphFont"/>
    <w:uiPriority w:val="99"/>
    <w:semiHidden/>
    <w:unhideWhenUsed/>
    <w:rsid w:val="00F96618"/>
    <w:rPr>
      <w:color w:val="605E5C"/>
      <w:shd w:val="clear" w:color="auto" w:fill="E1DFDD"/>
    </w:rPr>
  </w:style>
  <w:style w:type="paragraph" w:styleId="ListParagraph">
    <w:name w:val="List Paragraph"/>
    <w:basedOn w:val="Normal"/>
    <w:uiPriority w:val="34"/>
    <w:qFormat/>
    <w:rsid w:val="005D36DC"/>
    <w:pPr>
      <w:ind w:left="720"/>
      <w:contextualSpacing/>
    </w:pPr>
  </w:style>
  <w:style w:type="character" w:styleId="LineNumber">
    <w:name w:val="line number"/>
    <w:basedOn w:val="DefaultParagraphFont"/>
    <w:uiPriority w:val="99"/>
    <w:semiHidden/>
    <w:unhideWhenUsed/>
    <w:rsid w:val="00617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932080">
      <w:bodyDiv w:val="1"/>
      <w:marLeft w:val="0"/>
      <w:marRight w:val="0"/>
      <w:marTop w:val="0"/>
      <w:marBottom w:val="0"/>
      <w:divBdr>
        <w:top w:val="none" w:sz="0" w:space="0" w:color="auto"/>
        <w:left w:val="none" w:sz="0" w:space="0" w:color="auto"/>
        <w:bottom w:val="none" w:sz="0" w:space="0" w:color="auto"/>
        <w:right w:val="none" w:sz="0" w:space="0" w:color="auto"/>
      </w:divBdr>
    </w:div>
    <w:div w:id="626273821">
      <w:bodyDiv w:val="1"/>
      <w:marLeft w:val="0"/>
      <w:marRight w:val="0"/>
      <w:marTop w:val="0"/>
      <w:marBottom w:val="0"/>
      <w:divBdr>
        <w:top w:val="none" w:sz="0" w:space="0" w:color="auto"/>
        <w:left w:val="none" w:sz="0" w:space="0" w:color="auto"/>
        <w:bottom w:val="none" w:sz="0" w:space="0" w:color="auto"/>
        <w:right w:val="none" w:sz="0" w:space="0" w:color="auto"/>
      </w:divBdr>
    </w:div>
    <w:div w:id="643703621">
      <w:bodyDiv w:val="1"/>
      <w:marLeft w:val="0"/>
      <w:marRight w:val="0"/>
      <w:marTop w:val="0"/>
      <w:marBottom w:val="0"/>
      <w:divBdr>
        <w:top w:val="none" w:sz="0" w:space="0" w:color="auto"/>
        <w:left w:val="none" w:sz="0" w:space="0" w:color="auto"/>
        <w:bottom w:val="none" w:sz="0" w:space="0" w:color="auto"/>
        <w:right w:val="none" w:sz="0" w:space="0" w:color="auto"/>
      </w:divBdr>
    </w:div>
    <w:div w:id="804154030">
      <w:bodyDiv w:val="1"/>
      <w:marLeft w:val="0"/>
      <w:marRight w:val="0"/>
      <w:marTop w:val="0"/>
      <w:marBottom w:val="0"/>
      <w:divBdr>
        <w:top w:val="none" w:sz="0" w:space="0" w:color="auto"/>
        <w:left w:val="none" w:sz="0" w:space="0" w:color="auto"/>
        <w:bottom w:val="none" w:sz="0" w:space="0" w:color="auto"/>
        <w:right w:val="none" w:sz="0" w:space="0" w:color="auto"/>
      </w:divBdr>
    </w:div>
    <w:div w:id="836577137">
      <w:bodyDiv w:val="1"/>
      <w:marLeft w:val="0"/>
      <w:marRight w:val="0"/>
      <w:marTop w:val="0"/>
      <w:marBottom w:val="0"/>
      <w:divBdr>
        <w:top w:val="none" w:sz="0" w:space="0" w:color="auto"/>
        <w:left w:val="none" w:sz="0" w:space="0" w:color="auto"/>
        <w:bottom w:val="none" w:sz="0" w:space="0" w:color="auto"/>
        <w:right w:val="none" w:sz="0" w:space="0" w:color="auto"/>
      </w:divBdr>
    </w:div>
    <w:div w:id="877543542">
      <w:bodyDiv w:val="1"/>
      <w:marLeft w:val="0"/>
      <w:marRight w:val="0"/>
      <w:marTop w:val="0"/>
      <w:marBottom w:val="0"/>
      <w:divBdr>
        <w:top w:val="none" w:sz="0" w:space="0" w:color="auto"/>
        <w:left w:val="none" w:sz="0" w:space="0" w:color="auto"/>
        <w:bottom w:val="none" w:sz="0" w:space="0" w:color="auto"/>
        <w:right w:val="none" w:sz="0" w:space="0" w:color="auto"/>
      </w:divBdr>
      <w:divsChild>
        <w:div w:id="934745584">
          <w:marLeft w:val="0"/>
          <w:marRight w:val="0"/>
          <w:marTop w:val="0"/>
          <w:marBottom w:val="0"/>
          <w:divBdr>
            <w:top w:val="none" w:sz="0" w:space="0" w:color="auto"/>
            <w:left w:val="none" w:sz="0" w:space="0" w:color="auto"/>
            <w:bottom w:val="none" w:sz="0" w:space="0" w:color="auto"/>
            <w:right w:val="none" w:sz="0" w:space="0" w:color="auto"/>
          </w:divBdr>
          <w:divsChild>
            <w:div w:id="1907446871">
              <w:marLeft w:val="0"/>
              <w:marRight w:val="0"/>
              <w:marTop w:val="0"/>
              <w:marBottom w:val="0"/>
              <w:divBdr>
                <w:top w:val="none" w:sz="0" w:space="0" w:color="auto"/>
                <w:left w:val="none" w:sz="0" w:space="0" w:color="auto"/>
                <w:bottom w:val="none" w:sz="0" w:space="0" w:color="auto"/>
                <w:right w:val="none" w:sz="0" w:space="0" w:color="auto"/>
              </w:divBdr>
              <w:divsChild>
                <w:div w:id="1371026952">
                  <w:marLeft w:val="0"/>
                  <w:marRight w:val="0"/>
                  <w:marTop w:val="0"/>
                  <w:marBottom w:val="0"/>
                  <w:divBdr>
                    <w:top w:val="none" w:sz="0" w:space="0" w:color="auto"/>
                    <w:left w:val="none" w:sz="0" w:space="0" w:color="auto"/>
                    <w:bottom w:val="none" w:sz="0" w:space="0" w:color="auto"/>
                    <w:right w:val="none" w:sz="0" w:space="0" w:color="auto"/>
                  </w:divBdr>
                  <w:divsChild>
                    <w:div w:id="1036000957">
                      <w:marLeft w:val="0"/>
                      <w:marRight w:val="0"/>
                      <w:marTop w:val="0"/>
                      <w:marBottom w:val="0"/>
                      <w:divBdr>
                        <w:top w:val="none" w:sz="0" w:space="0" w:color="auto"/>
                        <w:left w:val="none" w:sz="0" w:space="0" w:color="auto"/>
                        <w:bottom w:val="none" w:sz="0" w:space="0" w:color="auto"/>
                        <w:right w:val="none" w:sz="0" w:space="0" w:color="auto"/>
                      </w:divBdr>
                      <w:divsChild>
                        <w:div w:id="809370252">
                          <w:marLeft w:val="0"/>
                          <w:marRight w:val="0"/>
                          <w:marTop w:val="0"/>
                          <w:marBottom w:val="0"/>
                          <w:divBdr>
                            <w:top w:val="none" w:sz="0" w:space="0" w:color="auto"/>
                            <w:left w:val="none" w:sz="0" w:space="0" w:color="auto"/>
                            <w:bottom w:val="none" w:sz="0" w:space="0" w:color="auto"/>
                            <w:right w:val="none" w:sz="0" w:space="0" w:color="auto"/>
                          </w:divBdr>
                          <w:divsChild>
                            <w:div w:id="1153330962">
                              <w:marLeft w:val="0"/>
                              <w:marRight w:val="0"/>
                              <w:marTop w:val="0"/>
                              <w:marBottom w:val="0"/>
                              <w:divBdr>
                                <w:top w:val="none" w:sz="0" w:space="0" w:color="auto"/>
                                <w:left w:val="none" w:sz="0" w:space="0" w:color="auto"/>
                                <w:bottom w:val="none" w:sz="0" w:space="0" w:color="auto"/>
                                <w:right w:val="none" w:sz="0" w:space="0" w:color="auto"/>
                              </w:divBdr>
                              <w:divsChild>
                                <w:div w:id="674304720">
                                  <w:marLeft w:val="0"/>
                                  <w:marRight w:val="0"/>
                                  <w:marTop w:val="0"/>
                                  <w:marBottom w:val="0"/>
                                  <w:divBdr>
                                    <w:top w:val="none" w:sz="0" w:space="0" w:color="auto"/>
                                    <w:left w:val="none" w:sz="0" w:space="0" w:color="auto"/>
                                    <w:bottom w:val="none" w:sz="0" w:space="0" w:color="auto"/>
                                    <w:right w:val="none" w:sz="0" w:space="0" w:color="auto"/>
                                  </w:divBdr>
                                  <w:divsChild>
                                    <w:div w:id="20735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157157">
      <w:bodyDiv w:val="1"/>
      <w:marLeft w:val="0"/>
      <w:marRight w:val="0"/>
      <w:marTop w:val="0"/>
      <w:marBottom w:val="0"/>
      <w:divBdr>
        <w:top w:val="none" w:sz="0" w:space="0" w:color="auto"/>
        <w:left w:val="none" w:sz="0" w:space="0" w:color="auto"/>
        <w:bottom w:val="none" w:sz="0" w:space="0" w:color="auto"/>
        <w:right w:val="none" w:sz="0" w:space="0" w:color="auto"/>
      </w:divBdr>
    </w:div>
    <w:div w:id="1016541889">
      <w:bodyDiv w:val="1"/>
      <w:marLeft w:val="0"/>
      <w:marRight w:val="0"/>
      <w:marTop w:val="0"/>
      <w:marBottom w:val="0"/>
      <w:divBdr>
        <w:top w:val="none" w:sz="0" w:space="0" w:color="auto"/>
        <w:left w:val="none" w:sz="0" w:space="0" w:color="auto"/>
        <w:bottom w:val="none" w:sz="0" w:space="0" w:color="auto"/>
        <w:right w:val="none" w:sz="0" w:space="0" w:color="auto"/>
      </w:divBdr>
      <w:divsChild>
        <w:div w:id="289634137">
          <w:marLeft w:val="0"/>
          <w:marRight w:val="0"/>
          <w:marTop w:val="0"/>
          <w:marBottom w:val="0"/>
          <w:divBdr>
            <w:top w:val="none" w:sz="0" w:space="0" w:color="auto"/>
            <w:left w:val="none" w:sz="0" w:space="0" w:color="auto"/>
            <w:bottom w:val="none" w:sz="0" w:space="0" w:color="auto"/>
            <w:right w:val="none" w:sz="0" w:space="0" w:color="auto"/>
          </w:divBdr>
          <w:divsChild>
            <w:div w:id="353657193">
              <w:marLeft w:val="0"/>
              <w:marRight w:val="0"/>
              <w:marTop w:val="0"/>
              <w:marBottom w:val="0"/>
              <w:divBdr>
                <w:top w:val="none" w:sz="0" w:space="0" w:color="auto"/>
                <w:left w:val="none" w:sz="0" w:space="0" w:color="auto"/>
                <w:bottom w:val="none" w:sz="0" w:space="0" w:color="auto"/>
                <w:right w:val="none" w:sz="0" w:space="0" w:color="auto"/>
              </w:divBdr>
              <w:divsChild>
                <w:div w:id="1854148493">
                  <w:marLeft w:val="0"/>
                  <w:marRight w:val="0"/>
                  <w:marTop w:val="0"/>
                  <w:marBottom w:val="0"/>
                  <w:divBdr>
                    <w:top w:val="none" w:sz="0" w:space="0" w:color="auto"/>
                    <w:left w:val="none" w:sz="0" w:space="0" w:color="auto"/>
                    <w:bottom w:val="none" w:sz="0" w:space="0" w:color="auto"/>
                    <w:right w:val="none" w:sz="0" w:space="0" w:color="auto"/>
                  </w:divBdr>
                  <w:divsChild>
                    <w:div w:id="174539920">
                      <w:marLeft w:val="0"/>
                      <w:marRight w:val="0"/>
                      <w:marTop w:val="0"/>
                      <w:marBottom w:val="0"/>
                      <w:divBdr>
                        <w:top w:val="none" w:sz="0" w:space="0" w:color="auto"/>
                        <w:left w:val="none" w:sz="0" w:space="0" w:color="auto"/>
                        <w:bottom w:val="none" w:sz="0" w:space="0" w:color="auto"/>
                        <w:right w:val="none" w:sz="0" w:space="0" w:color="auto"/>
                      </w:divBdr>
                      <w:divsChild>
                        <w:div w:id="1782458274">
                          <w:marLeft w:val="0"/>
                          <w:marRight w:val="0"/>
                          <w:marTop w:val="0"/>
                          <w:marBottom w:val="0"/>
                          <w:divBdr>
                            <w:top w:val="none" w:sz="0" w:space="0" w:color="auto"/>
                            <w:left w:val="none" w:sz="0" w:space="0" w:color="auto"/>
                            <w:bottom w:val="none" w:sz="0" w:space="0" w:color="auto"/>
                            <w:right w:val="none" w:sz="0" w:space="0" w:color="auto"/>
                          </w:divBdr>
                          <w:divsChild>
                            <w:div w:id="1129543551">
                              <w:marLeft w:val="0"/>
                              <w:marRight w:val="0"/>
                              <w:marTop w:val="0"/>
                              <w:marBottom w:val="0"/>
                              <w:divBdr>
                                <w:top w:val="none" w:sz="0" w:space="0" w:color="auto"/>
                                <w:left w:val="none" w:sz="0" w:space="0" w:color="auto"/>
                                <w:bottom w:val="none" w:sz="0" w:space="0" w:color="auto"/>
                                <w:right w:val="none" w:sz="0" w:space="0" w:color="auto"/>
                              </w:divBdr>
                              <w:divsChild>
                                <w:div w:id="930048906">
                                  <w:marLeft w:val="0"/>
                                  <w:marRight w:val="0"/>
                                  <w:marTop w:val="0"/>
                                  <w:marBottom w:val="0"/>
                                  <w:divBdr>
                                    <w:top w:val="none" w:sz="0" w:space="0" w:color="auto"/>
                                    <w:left w:val="none" w:sz="0" w:space="0" w:color="auto"/>
                                    <w:bottom w:val="none" w:sz="0" w:space="0" w:color="auto"/>
                                    <w:right w:val="none" w:sz="0" w:space="0" w:color="auto"/>
                                  </w:divBdr>
                                  <w:divsChild>
                                    <w:div w:id="16753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097121">
      <w:bodyDiv w:val="1"/>
      <w:marLeft w:val="0"/>
      <w:marRight w:val="0"/>
      <w:marTop w:val="0"/>
      <w:marBottom w:val="0"/>
      <w:divBdr>
        <w:top w:val="none" w:sz="0" w:space="0" w:color="auto"/>
        <w:left w:val="none" w:sz="0" w:space="0" w:color="auto"/>
        <w:bottom w:val="none" w:sz="0" w:space="0" w:color="auto"/>
        <w:right w:val="none" w:sz="0" w:space="0" w:color="auto"/>
      </w:divBdr>
    </w:div>
    <w:div w:id="1134717429">
      <w:bodyDiv w:val="1"/>
      <w:marLeft w:val="0"/>
      <w:marRight w:val="0"/>
      <w:marTop w:val="0"/>
      <w:marBottom w:val="0"/>
      <w:divBdr>
        <w:top w:val="none" w:sz="0" w:space="0" w:color="auto"/>
        <w:left w:val="none" w:sz="0" w:space="0" w:color="auto"/>
        <w:bottom w:val="none" w:sz="0" w:space="0" w:color="auto"/>
        <w:right w:val="none" w:sz="0" w:space="0" w:color="auto"/>
      </w:divBdr>
    </w:div>
    <w:div w:id="1210458414">
      <w:bodyDiv w:val="1"/>
      <w:marLeft w:val="0"/>
      <w:marRight w:val="0"/>
      <w:marTop w:val="0"/>
      <w:marBottom w:val="0"/>
      <w:divBdr>
        <w:top w:val="none" w:sz="0" w:space="0" w:color="auto"/>
        <w:left w:val="none" w:sz="0" w:space="0" w:color="auto"/>
        <w:bottom w:val="none" w:sz="0" w:space="0" w:color="auto"/>
        <w:right w:val="none" w:sz="0" w:space="0" w:color="auto"/>
      </w:divBdr>
    </w:div>
    <w:div w:id="1222062982">
      <w:bodyDiv w:val="1"/>
      <w:marLeft w:val="0"/>
      <w:marRight w:val="0"/>
      <w:marTop w:val="0"/>
      <w:marBottom w:val="0"/>
      <w:divBdr>
        <w:top w:val="none" w:sz="0" w:space="0" w:color="auto"/>
        <w:left w:val="none" w:sz="0" w:space="0" w:color="auto"/>
        <w:bottom w:val="none" w:sz="0" w:space="0" w:color="auto"/>
        <w:right w:val="none" w:sz="0" w:space="0" w:color="auto"/>
      </w:divBdr>
    </w:div>
    <w:div w:id="1275988048">
      <w:bodyDiv w:val="1"/>
      <w:marLeft w:val="0"/>
      <w:marRight w:val="0"/>
      <w:marTop w:val="0"/>
      <w:marBottom w:val="0"/>
      <w:divBdr>
        <w:top w:val="none" w:sz="0" w:space="0" w:color="auto"/>
        <w:left w:val="none" w:sz="0" w:space="0" w:color="auto"/>
        <w:bottom w:val="none" w:sz="0" w:space="0" w:color="auto"/>
        <w:right w:val="none" w:sz="0" w:space="0" w:color="auto"/>
      </w:divBdr>
    </w:div>
    <w:div w:id="1442191013">
      <w:bodyDiv w:val="1"/>
      <w:marLeft w:val="0"/>
      <w:marRight w:val="0"/>
      <w:marTop w:val="0"/>
      <w:marBottom w:val="0"/>
      <w:divBdr>
        <w:top w:val="none" w:sz="0" w:space="0" w:color="auto"/>
        <w:left w:val="none" w:sz="0" w:space="0" w:color="auto"/>
        <w:bottom w:val="none" w:sz="0" w:space="0" w:color="auto"/>
        <w:right w:val="none" w:sz="0" w:space="0" w:color="auto"/>
      </w:divBdr>
    </w:div>
    <w:div w:id="1540779119">
      <w:bodyDiv w:val="1"/>
      <w:marLeft w:val="0"/>
      <w:marRight w:val="0"/>
      <w:marTop w:val="0"/>
      <w:marBottom w:val="0"/>
      <w:divBdr>
        <w:top w:val="none" w:sz="0" w:space="0" w:color="auto"/>
        <w:left w:val="none" w:sz="0" w:space="0" w:color="auto"/>
        <w:bottom w:val="none" w:sz="0" w:space="0" w:color="auto"/>
        <w:right w:val="none" w:sz="0" w:space="0" w:color="auto"/>
      </w:divBdr>
    </w:div>
    <w:div w:id="1744453689">
      <w:bodyDiv w:val="1"/>
      <w:marLeft w:val="0"/>
      <w:marRight w:val="0"/>
      <w:marTop w:val="0"/>
      <w:marBottom w:val="0"/>
      <w:divBdr>
        <w:top w:val="none" w:sz="0" w:space="0" w:color="auto"/>
        <w:left w:val="none" w:sz="0" w:space="0" w:color="auto"/>
        <w:bottom w:val="none" w:sz="0" w:space="0" w:color="auto"/>
        <w:right w:val="none" w:sz="0" w:space="0" w:color="auto"/>
      </w:divBdr>
    </w:div>
    <w:div w:id="1923828345">
      <w:bodyDiv w:val="1"/>
      <w:marLeft w:val="0"/>
      <w:marRight w:val="0"/>
      <w:marTop w:val="0"/>
      <w:marBottom w:val="0"/>
      <w:divBdr>
        <w:top w:val="none" w:sz="0" w:space="0" w:color="auto"/>
        <w:left w:val="none" w:sz="0" w:space="0" w:color="auto"/>
        <w:bottom w:val="none" w:sz="0" w:space="0" w:color="auto"/>
        <w:right w:val="none" w:sz="0" w:space="0" w:color="auto"/>
      </w:divBdr>
    </w:div>
    <w:div w:id="1936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asanthi\Downloads\conidia%20germ%20at%20diff%20con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asanthi\Downloads\conidia%20germ%20at%20diff%20con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asanthi\Downloads\conidia%20germ%20at%20diff%20conc.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spPr>
            <a:solidFill>
              <a:schemeClr val="accent6"/>
            </a:solidFill>
            <a:ln>
              <a:noFill/>
            </a:ln>
            <a:effectLst/>
          </c:spPr>
          <c:invertIfNegative val="0"/>
          <c:cat>
            <c:strRef>
              <c:f>Sheet1!$Z$119:$Z$129</c:f>
              <c:strCache>
                <c:ptCount val="11"/>
                <c:pt idx="0">
                  <c:v>Sterile Water</c:v>
                </c:pt>
                <c:pt idx="1">
                  <c:v>Distilled Water</c:v>
                </c:pt>
                <c:pt idx="2">
                  <c:v>Tap water</c:v>
                </c:pt>
                <c:pt idx="3">
                  <c:v>Dextrose (0.5)</c:v>
                </c:pt>
                <c:pt idx="4">
                  <c:v>Dextrose (1.0)</c:v>
                </c:pt>
                <c:pt idx="5">
                  <c:v>Dextrose (1.5)</c:v>
                </c:pt>
                <c:pt idx="6">
                  <c:v>Dextrose (2.0)</c:v>
                </c:pt>
                <c:pt idx="7">
                  <c:v>Sucrose (0.5)</c:v>
                </c:pt>
                <c:pt idx="8">
                  <c:v>Sucrose (1.0)</c:v>
                </c:pt>
                <c:pt idx="9">
                  <c:v>Sucrose (1.5)</c:v>
                </c:pt>
                <c:pt idx="10">
                  <c:v>Sucrose (2.0)</c:v>
                </c:pt>
              </c:strCache>
            </c:strRef>
          </c:cat>
          <c:val>
            <c:numRef>
              <c:f>Sheet1!$AA$119:$AA$129</c:f>
              <c:numCache>
                <c:formatCode>0.00</c:formatCode>
                <c:ptCount val="11"/>
                <c:pt idx="0">
                  <c:v>51.333333333333336</c:v>
                </c:pt>
                <c:pt idx="1">
                  <c:v>56.666666666666664</c:v>
                </c:pt>
                <c:pt idx="2">
                  <c:v>57.333333333333336</c:v>
                </c:pt>
                <c:pt idx="3">
                  <c:v>60</c:v>
                </c:pt>
                <c:pt idx="4">
                  <c:v>63.666666666666664</c:v>
                </c:pt>
                <c:pt idx="5">
                  <c:v>72.666666666666671</c:v>
                </c:pt>
                <c:pt idx="6">
                  <c:v>77.333333333333329</c:v>
                </c:pt>
                <c:pt idx="7">
                  <c:v>58.666666666666664</c:v>
                </c:pt>
                <c:pt idx="8">
                  <c:v>62</c:v>
                </c:pt>
                <c:pt idx="9">
                  <c:v>72</c:v>
                </c:pt>
                <c:pt idx="10">
                  <c:v>70.666666666666671</c:v>
                </c:pt>
              </c:numCache>
            </c:numRef>
          </c:val>
          <c:extLst>
            <c:ext xmlns:c16="http://schemas.microsoft.com/office/drawing/2014/chart" uri="{C3380CC4-5D6E-409C-BE32-E72D297353CC}">
              <c16:uniqueId val="{00000000-1956-4CA0-A6A3-CC17A2CCAAFB}"/>
            </c:ext>
          </c:extLst>
        </c:ser>
        <c:dLbls>
          <c:showLegendKey val="0"/>
          <c:showVal val="0"/>
          <c:showCatName val="0"/>
          <c:showSerName val="0"/>
          <c:showPercent val="0"/>
          <c:showBubbleSize val="0"/>
        </c:dLbls>
        <c:gapWidth val="219"/>
        <c:overlap val="-27"/>
        <c:axId val="1981082927"/>
        <c:axId val="1981084847"/>
      </c:barChart>
      <c:catAx>
        <c:axId val="1981082927"/>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Media</a:t>
                </a:r>
              </a:p>
            </c:rich>
          </c:tx>
          <c:layout>
            <c:manualLayout>
              <c:xMode val="edge"/>
              <c:yMode val="edge"/>
              <c:x val="0.43572945427276139"/>
              <c:y val="0.91000708721478463"/>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1084847"/>
        <c:crosses val="autoZero"/>
        <c:auto val="1"/>
        <c:lblAlgn val="ctr"/>
        <c:lblOffset val="100"/>
        <c:noMultiLvlLbl val="0"/>
      </c:catAx>
      <c:valAx>
        <c:axId val="19810848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Conidia</a:t>
                </a:r>
                <a:r>
                  <a:rPr lang="en-IN" b="1" baseline="0">
                    <a:solidFill>
                      <a:sysClr val="windowText" lastClr="000000"/>
                    </a:solidFill>
                    <a:latin typeface="Times New Roman" panose="02020603050405020304" pitchFamily="18" charset="0"/>
                    <a:cs typeface="Times New Roman" panose="02020603050405020304" pitchFamily="18" charset="0"/>
                  </a:rPr>
                  <a:t> Germination (%)</a:t>
                </a:r>
                <a:endParaRPr lang="en-IN"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2987012987012988E-2"/>
              <c:y val="0.2076199571163444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1082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lineChart>
        <c:grouping val="standard"/>
        <c:varyColors val="0"/>
        <c:ser>
          <c:idx val="0"/>
          <c:order val="0"/>
          <c:spPr>
            <a:ln w="28575" cap="rnd">
              <a:solidFill>
                <a:schemeClr val="accent4"/>
              </a:solidFill>
              <a:round/>
            </a:ln>
            <a:effectLst/>
          </c:spPr>
          <c:marker>
            <c:symbol val="none"/>
          </c:marker>
          <c:cat>
            <c:strRef>
              <c:f>Sheet1!$V$162:$V$167</c:f>
              <c:strCache>
                <c:ptCount val="6"/>
                <c:pt idx="0">
                  <c:v>15˚C</c:v>
                </c:pt>
                <c:pt idx="1">
                  <c:v>18˚C</c:v>
                </c:pt>
                <c:pt idx="2">
                  <c:v>21˚C</c:v>
                </c:pt>
                <c:pt idx="3">
                  <c:v>24˚C</c:v>
                </c:pt>
                <c:pt idx="4">
                  <c:v>27˚C</c:v>
                </c:pt>
                <c:pt idx="5">
                  <c:v>30˚C</c:v>
                </c:pt>
              </c:strCache>
            </c:strRef>
          </c:cat>
          <c:val>
            <c:numRef>
              <c:f>Sheet1!$W$162:$W$167</c:f>
              <c:numCache>
                <c:formatCode>0.00</c:formatCode>
                <c:ptCount val="6"/>
                <c:pt idx="0">
                  <c:v>37.666666666666664</c:v>
                </c:pt>
                <c:pt idx="1">
                  <c:v>40.666666666666664</c:v>
                </c:pt>
                <c:pt idx="2">
                  <c:v>57.333333333333336</c:v>
                </c:pt>
                <c:pt idx="3">
                  <c:v>64.666666666666671</c:v>
                </c:pt>
                <c:pt idx="4">
                  <c:v>49.333333333333336</c:v>
                </c:pt>
                <c:pt idx="5">
                  <c:v>44</c:v>
                </c:pt>
              </c:numCache>
            </c:numRef>
          </c:val>
          <c:smooth val="0"/>
          <c:extLst>
            <c:ext xmlns:c16="http://schemas.microsoft.com/office/drawing/2014/chart" uri="{C3380CC4-5D6E-409C-BE32-E72D297353CC}">
              <c16:uniqueId val="{00000000-C0B9-4C80-A1EA-27B5F063E34C}"/>
            </c:ext>
          </c:extLst>
        </c:ser>
        <c:dLbls>
          <c:showLegendKey val="0"/>
          <c:showVal val="0"/>
          <c:showCatName val="0"/>
          <c:showSerName val="0"/>
          <c:showPercent val="0"/>
          <c:showBubbleSize val="0"/>
        </c:dLbls>
        <c:smooth val="0"/>
        <c:axId val="2040426847"/>
        <c:axId val="2040427807"/>
      </c:lineChart>
      <c:catAx>
        <c:axId val="2040426847"/>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 Temperaturre</a:t>
                </a:r>
              </a:p>
            </c:rich>
          </c:tx>
          <c:layout>
            <c:manualLayout>
              <c:xMode val="edge"/>
              <c:yMode val="edge"/>
              <c:x val="0.4212766841644795"/>
              <c:y val="0.8971988918051909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40427807"/>
        <c:crosses val="autoZero"/>
        <c:auto val="1"/>
        <c:lblAlgn val="ctr"/>
        <c:lblOffset val="100"/>
        <c:noMultiLvlLbl val="0"/>
      </c:catAx>
      <c:valAx>
        <c:axId val="20404278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Conidia</a:t>
                </a:r>
                <a:r>
                  <a:rPr lang="en-IN" b="1" baseline="0">
                    <a:solidFill>
                      <a:sysClr val="windowText" lastClr="000000"/>
                    </a:solidFill>
                    <a:latin typeface="Times New Roman" panose="02020603050405020304" pitchFamily="18" charset="0"/>
                    <a:cs typeface="Times New Roman" panose="02020603050405020304" pitchFamily="18" charset="0"/>
                  </a:rPr>
                  <a:t> Germination (%)</a:t>
                </a:r>
                <a:endParaRPr lang="en-IN"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9444444444444445E-2"/>
              <c:y val="0.2133486439195100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404268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spPr>
            <a:solidFill>
              <a:schemeClr val="accent3"/>
            </a:solidFill>
            <a:ln>
              <a:noFill/>
            </a:ln>
            <a:effectLst/>
          </c:spPr>
          <c:invertIfNegative val="0"/>
          <c:cat>
            <c:numRef>
              <c:f>Sheet1!$AI$100:$AI$105</c:f>
              <c:numCache>
                <c:formatCode>General</c:formatCode>
                <c:ptCount val="6"/>
                <c:pt idx="0">
                  <c:v>50</c:v>
                </c:pt>
                <c:pt idx="1">
                  <c:v>60</c:v>
                </c:pt>
                <c:pt idx="2">
                  <c:v>70</c:v>
                </c:pt>
                <c:pt idx="3">
                  <c:v>80</c:v>
                </c:pt>
                <c:pt idx="4">
                  <c:v>90</c:v>
                </c:pt>
                <c:pt idx="5">
                  <c:v>100</c:v>
                </c:pt>
              </c:numCache>
            </c:numRef>
          </c:cat>
          <c:val>
            <c:numRef>
              <c:f>Sheet1!$AJ$100:$AJ$105</c:f>
              <c:numCache>
                <c:formatCode>0.00</c:formatCode>
                <c:ptCount val="6"/>
                <c:pt idx="0">
                  <c:v>36.333333333333336</c:v>
                </c:pt>
                <c:pt idx="1">
                  <c:v>40.666666666666664</c:v>
                </c:pt>
                <c:pt idx="2">
                  <c:v>68.333333333333329</c:v>
                </c:pt>
                <c:pt idx="3">
                  <c:v>78.333333333333329</c:v>
                </c:pt>
                <c:pt idx="4">
                  <c:v>55</c:v>
                </c:pt>
                <c:pt idx="5">
                  <c:v>46.666666666666664</c:v>
                </c:pt>
              </c:numCache>
            </c:numRef>
          </c:val>
          <c:extLst>
            <c:ext xmlns:c16="http://schemas.microsoft.com/office/drawing/2014/chart" uri="{C3380CC4-5D6E-409C-BE32-E72D297353CC}">
              <c16:uniqueId val="{00000000-6E5C-424B-B946-0C6E64DF737B}"/>
            </c:ext>
          </c:extLst>
        </c:ser>
        <c:dLbls>
          <c:showLegendKey val="0"/>
          <c:showVal val="0"/>
          <c:showCatName val="0"/>
          <c:showSerName val="0"/>
          <c:showPercent val="0"/>
          <c:showBubbleSize val="0"/>
        </c:dLbls>
        <c:gapWidth val="182"/>
        <c:axId val="1981694671"/>
        <c:axId val="1981693711"/>
      </c:barChart>
      <c:catAx>
        <c:axId val="1981694671"/>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Conidia Germination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1693711"/>
        <c:crosses val="autoZero"/>
        <c:auto val="1"/>
        <c:lblAlgn val="ctr"/>
        <c:lblOffset val="100"/>
        <c:noMultiLvlLbl val="0"/>
      </c:catAx>
      <c:valAx>
        <c:axId val="198169371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000" b="1">
                    <a:solidFill>
                      <a:sysClr val="windowText" lastClr="000000"/>
                    </a:solidFill>
                    <a:latin typeface="Times New Roman" panose="02020603050405020304" pitchFamily="18" charset="0"/>
                    <a:cs typeface="Times New Roman" panose="02020603050405020304" pitchFamily="18" charset="0"/>
                  </a:rPr>
                  <a:t>Relative</a:t>
                </a:r>
                <a:r>
                  <a:rPr lang="en-IN" sz="1000" b="1" baseline="0">
                    <a:solidFill>
                      <a:sysClr val="windowText" lastClr="000000"/>
                    </a:solidFill>
                    <a:latin typeface="Times New Roman" panose="02020603050405020304" pitchFamily="18" charset="0"/>
                    <a:cs typeface="Times New Roman" panose="02020603050405020304" pitchFamily="18" charset="0"/>
                  </a:rPr>
                  <a:t> Humidity (%)</a:t>
                </a:r>
                <a:endParaRPr lang="en-IN" sz="10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16946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10</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Vasanthi Vanapalli</dc:creator>
  <cp:keywords/>
  <dc:description/>
  <cp:lastModifiedBy>SDI PC New 16</cp:lastModifiedBy>
  <cp:revision>27</cp:revision>
  <dcterms:created xsi:type="dcterms:W3CDTF">2024-11-23T03:57:00Z</dcterms:created>
  <dcterms:modified xsi:type="dcterms:W3CDTF">2025-03-22T10:56:00Z</dcterms:modified>
</cp:coreProperties>
</file>