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D887C" w14:textId="165BAEA5" w:rsidR="00754C9A" w:rsidRPr="002D1B1E" w:rsidRDefault="002D1B1E" w:rsidP="00441B6F">
      <w:pPr>
        <w:pStyle w:val="Title"/>
        <w:spacing w:after="0"/>
        <w:jc w:val="both"/>
        <w:rPr>
          <w:rFonts w:ascii="Arial" w:hAnsi="Arial" w:cs="Arial"/>
          <w:i/>
          <w:iCs/>
          <w:u w:val="single"/>
        </w:rPr>
      </w:pPr>
      <w:r w:rsidRPr="002D1B1E">
        <w:rPr>
          <w:rFonts w:ascii="Arial" w:hAnsi="Arial" w:cs="Arial"/>
          <w:i/>
          <w:iCs/>
          <w:u w:val="single"/>
        </w:rPr>
        <w:t>Original Research Article</w:t>
      </w:r>
    </w:p>
    <w:p w14:paraId="234A1CD4" w14:textId="77777777" w:rsidR="0014051C" w:rsidRDefault="0014051C" w:rsidP="00737E73">
      <w:pPr>
        <w:pStyle w:val="Author"/>
        <w:spacing w:line="240" w:lineRule="auto"/>
        <w:rPr>
          <w:rFonts w:ascii="Arial" w:hAnsi="Arial" w:cs="Arial"/>
          <w:bCs/>
          <w:iCs/>
          <w:kern w:val="28"/>
          <w:sz w:val="36"/>
        </w:rPr>
      </w:pPr>
    </w:p>
    <w:p w14:paraId="58B9C188" w14:textId="07AD8109" w:rsidR="00163BC4" w:rsidRPr="00163BC4" w:rsidRDefault="00B63DFD" w:rsidP="00B63DFD">
      <w:pPr>
        <w:pStyle w:val="Author"/>
        <w:spacing w:line="240" w:lineRule="auto"/>
        <w:rPr>
          <w:rFonts w:ascii="Arial" w:hAnsi="Arial" w:cs="Arial"/>
          <w:bCs/>
          <w:iCs/>
          <w:kern w:val="28"/>
          <w:sz w:val="36"/>
        </w:rPr>
      </w:pPr>
      <w:r w:rsidRPr="00B63DFD">
        <w:rPr>
          <w:rFonts w:ascii="Arial" w:hAnsi="Arial" w:cs="Arial"/>
          <w:bCs/>
          <w:iCs/>
          <w:kern w:val="28"/>
          <w:sz w:val="36"/>
          <w:highlight w:val="yellow"/>
        </w:rPr>
        <w:t xml:space="preserve">Effects of </w:t>
      </w:r>
      <w:proofErr w:type="spellStart"/>
      <w:r w:rsidRPr="00B63DFD">
        <w:rPr>
          <w:rFonts w:ascii="Arial" w:hAnsi="Arial" w:cs="Arial"/>
          <w:bCs/>
          <w:iCs/>
          <w:kern w:val="28"/>
          <w:sz w:val="36"/>
          <w:highlight w:val="yellow"/>
        </w:rPr>
        <w:t>Biostimulants</w:t>
      </w:r>
      <w:proofErr w:type="spellEnd"/>
      <w:r w:rsidRPr="00B63DFD">
        <w:rPr>
          <w:rFonts w:ascii="Arial" w:hAnsi="Arial" w:cs="Arial"/>
          <w:bCs/>
          <w:iCs/>
          <w:kern w:val="28"/>
          <w:sz w:val="36"/>
          <w:highlight w:val="yellow"/>
        </w:rPr>
        <w:t xml:space="preserve"> on Growth and Biochemical Composition of</w:t>
      </w:r>
      <w:r w:rsidR="00C200C9" w:rsidRPr="00B63DFD">
        <w:rPr>
          <w:rFonts w:ascii="Arial" w:hAnsi="Arial" w:cs="Arial"/>
          <w:bCs/>
          <w:iCs/>
          <w:kern w:val="28"/>
          <w:sz w:val="36"/>
          <w:highlight w:val="yellow"/>
        </w:rPr>
        <w:t xml:space="preserve"> </w:t>
      </w:r>
      <w:r w:rsidR="00C200C9" w:rsidRPr="00B63DFD">
        <w:rPr>
          <w:rFonts w:ascii="Arial" w:hAnsi="Arial" w:cs="Arial"/>
          <w:bCs/>
          <w:i/>
          <w:iCs/>
          <w:kern w:val="28"/>
          <w:sz w:val="36"/>
          <w:highlight w:val="yellow"/>
        </w:rPr>
        <w:t>Amaranthus dubius</w:t>
      </w:r>
    </w:p>
    <w:p w14:paraId="694258FE" w14:textId="77777777" w:rsidR="00A258C3" w:rsidRPr="00790ADA" w:rsidRDefault="00A258C3" w:rsidP="00B63DFD">
      <w:pPr>
        <w:pStyle w:val="Author"/>
        <w:spacing w:line="240" w:lineRule="auto"/>
        <w:rPr>
          <w:rFonts w:ascii="Arial" w:hAnsi="Arial" w:cs="Arial"/>
          <w:sz w:val="36"/>
        </w:rPr>
      </w:pPr>
    </w:p>
    <w:p w14:paraId="1AB99CCF" w14:textId="77777777" w:rsidR="002C57D2" w:rsidRPr="00FB3A86" w:rsidRDefault="002C57D2" w:rsidP="00441B6F">
      <w:pPr>
        <w:pStyle w:val="Affiliation"/>
        <w:spacing w:after="0" w:line="240" w:lineRule="auto"/>
        <w:jc w:val="both"/>
        <w:rPr>
          <w:rFonts w:ascii="Arial" w:hAnsi="Arial" w:cs="Arial"/>
        </w:rPr>
      </w:pPr>
    </w:p>
    <w:p w14:paraId="5DC16606" w14:textId="14BFC777" w:rsidR="00B01FCD" w:rsidRPr="00FB3A86" w:rsidRDefault="00534899" w:rsidP="00441B6F">
      <w:pPr>
        <w:pStyle w:val="Copyright"/>
        <w:spacing w:after="0" w:line="240" w:lineRule="auto"/>
        <w:jc w:val="both"/>
        <w:rPr>
          <w:rFonts w:ascii="Arial" w:hAnsi="Arial" w:cs="Arial"/>
        </w:rPr>
        <w:sectPr w:rsidR="00B01FCD" w:rsidRPr="00FB3A86" w:rsidSect="001237D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FDFC1F9" wp14:editId="72ADE890">
                <wp:extent cx="5303520" cy="635"/>
                <wp:effectExtent l="13335" t="17145" r="17145" b="11430"/>
                <wp:docPr id="117547198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2F774D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F73D031" w14:textId="1880B846"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906C3B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7889106" w14:textId="77777777" w:rsidTr="001E44FE">
        <w:tc>
          <w:tcPr>
            <w:tcW w:w="9576" w:type="dxa"/>
            <w:shd w:val="clear" w:color="auto" w:fill="F2F2F2"/>
          </w:tcPr>
          <w:p w14:paraId="2C7AA13E" w14:textId="673FFCEF" w:rsidR="00505F06" w:rsidRPr="005047F1" w:rsidRDefault="00C200C9" w:rsidP="005047F1">
            <w:pPr>
              <w:pStyle w:val="Body"/>
              <w:spacing w:after="0"/>
              <w:rPr>
                <w:rFonts w:ascii="Arial" w:hAnsi="Arial" w:cs="Arial"/>
                <w:bCs/>
              </w:rPr>
            </w:pPr>
            <w:r w:rsidRPr="00477AB9">
              <w:rPr>
                <w:rFonts w:ascii="Arial" w:eastAsia="Calibri" w:hAnsi="Arial" w:cs="Arial"/>
                <w:szCs w:val="22"/>
                <w:lang w:val="en-GB"/>
              </w:rPr>
              <w:t>The study aimed to</w:t>
            </w:r>
            <w:r w:rsidR="00151FF1" w:rsidRPr="00477AB9">
              <w:rPr>
                <w:rFonts w:ascii="Arial" w:eastAsia="Calibri" w:hAnsi="Arial" w:cs="Arial"/>
                <w:szCs w:val="22"/>
                <w:lang w:val="en-GB"/>
              </w:rPr>
              <w:t xml:space="preserve"> evaluate the effects of different </w:t>
            </w:r>
            <w:proofErr w:type="spellStart"/>
            <w:r w:rsidR="00151FF1" w:rsidRPr="00477AB9">
              <w:rPr>
                <w:rFonts w:ascii="Arial" w:eastAsia="Calibri" w:hAnsi="Arial" w:cs="Arial"/>
                <w:szCs w:val="22"/>
                <w:lang w:val="en-GB"/>
              </w:rPr>
              <w:t>biostimulants</w:t>
            </w:r>
            <w:proofErr w:type="spellEnd"/>
            <w:r w:rsidR="00151FF1" w:rsidRPr="00477AB9">
              <w:rPr>
                <w:rFonts w:ascii="Arial" w:eastAsia="Calibri" w:hAnsi="Arial" w:cs="Arial"/>
                <w:szCs w:val="22"/>
                <w:lang w:val="en-GB"/>
              </w:rPr>
              <w:t xml:space="preserve"> on the growth, yield, biochemical properties, and economic viability of </w:t>
            </w:r>
            <w:r w:rsidR="00151FF1" w:rsidRPr="00477AB9">
              <w:rPr>
                <w:rFonts w:ascii="Arial" w:eastAsia="Calibri" w:hAnsi="Arial" w:cs="Arial"/>
                <w:i/>
                <w:iCs/>
                <w:szCs w:val="22"/>
                <w:lang w:val="en-GB"/>
              </w:rPr>
              <w:t>Amaranthus dubius</w:t>
            </w:r>
            <w:r w:rsidRPr="00477AB9">
              <w:rPr>
                <w:rFonts w:ascii="Arial" w:eastAsia="Calibri" w:hAnsi="Arial" w:cs="Arial"/>
                <w:szCs w:val="22"/>
                <w:lang w:val="en-GB"/>
              </w:rPr>
              <w:t xml:space="preserve"> </w:t>
            </w:r>
            <w:r w:rsidR="00151FF1" w:rsidRPr="00477AB9">
              <w:rPr>
                <w:rFonts w:ascii="Arial" w:eastAsia="Calibri" w:hAnsi="Arial" w:cs="Arial"/>
                <w:szCs w:val="22"/>
                <w:lang w:val="en-GB"/>
              </w:rPr>
              <w:t xml:space="preserve">and </w:t>
            </w:r>
            <w:r w:rsidRPr="00477AB9">
              <w:rPr>
                <w:rFonts w:ascii="Arial" w:eastAsia="Calibri" w:hAnsi="Arial" w:cs="Arial"/>
                <w:szCs w:val="22"/>
                <w:lang w:val="en-GB"/>
              </w:rPr>
              <w:t xml:space="preserve">identify the most effective </w:t>
            </w:r>
            <w:proofErr w:type="spellStart"/>
            <w:r w:rsidRPr="00477AB9">
              <w:rPr>
                <w:rFonts w:ascii="Arial" w:eastAsia="Calibri" w:hAnsi="Arial" w:cs="Arial"/>
                <w:szCs w:val="22"/>
                <w:lang w:val="en-GB"/>
              </w:rPr>
              <w:t>biostimulant</w:t>
            </w:r>
            <w:proofErr w:type="spellEnd"/>
            <w:r w:rsidRPr="00477AB9">
              <w:rPr>
                <w:rFonts w:ascii="Arial" w:eastAsia="Calibri" w:hAnsi="Arial" w:cs="Arial"/>
                <w:szCs w:val="22"/>
                <w:lang w:val="en-GB"/>
              </w:rPr>
              <w:t xml:space="preserve"> </w:t>
            </w:r>
            <w:r w:rsidR="00B64E36" w:rsidRPr="00477AB9">
              <w:rPr>
                <w:rFonts w:ascii="Arial" w:eastAsia="Calibri" w:hAnsi="Arial" w:cs="Arial"/>
                <w:szCs w:val="22"/>
                <w:lang w:val="en-GB"/>
              </w:rPr>
              <w:t xml:space="preserve">or </w:t>
            </w:r>
            <w:r w:rsidRPr="00477AB9">
              <w:rPr>
                <w:rFonts w:ascii="Arial" w:eastAsia="Calibri" w:hAnsi="Arial" w:cs="Arial"/>
                <w:szCs w:val="22"/>
                <w:lang w:val="en-GB"/>
              </w:rPr>
              <w:t xml:space="preserve">combinations for improving crop performance and profitability while providing an eco-friendly alternative to traditional </w:t>
            </w:r>
            <w:proofErr w:type="spellStart"/>
            <w:r w:rsidRPr="00477AB9">
              <w:rPr>
                <w:rFonts w:ascii="Arial" w:eastAsia="Calibri" w:hAnsi="Arial" w:cs="Arial"/>
                <w:szCs w:val="22"/>
                <w:lang w:val="en-GB"/>
              </w:rPr>
              <w:t>practices.The</w:t>
            </w:r>
            <w:proofErr w:type="spellEnd"/>
            <w:r w:rsidRPr="00477AB9">
              <w:rPr>
                <w:rFonts w:ascii="Arial" w:eastAsia="Calibri" w:hAnsi="Arial" w:cs="Arial"/>
                <w:szCs w:val="22"/>
                <w:lang w:val="en-GB"/>
              </w:rPr>
              <w:t xml:space="preserve"> experiment was arranged in a randomized block design over two seasons with 11 treatments involving single or combined applications of Moringa leaf extract (MLE), seaweed extract, salicylic acid (SA), and humic acid (HA).</w:t>
            </w:r>
            <w:r w:rsidR="00355432" w:rsidRPr="00477AB9">
              <w:rPr>
                <w:rFonts w:ascii="Arial" w:eastAsia="Calibri" w:hAnsi="Arial" w:cs="Arial"/>
                <w:szCs w:val="22"/>
                <w:lang w:val="en-GB"/>
              </w:rPr>
              <w:t xml:space="preserve"> </w:t>
            </w:r>
            <w:r w:rsidR="005047F1" w:rsidRPr="00965B45">
              <w:rPr>
                <w:rFonts w:ascii="Arial" w:hAnsi="Arial" w:cs="Arial"/>
                <w:bCs/>
              </w:rPr>
              <w:t>The statistical evaluation of the datasets used one-factor analysis utilizing OPSTAT software obtaining relevant results at a 5% significance level against values of F-</w:t>
            </w:r>
            <w:r w:rsidR="005047F1" w:rsidRPr="00965B45">
              <w:rPr>
                <w:rFonts w:ascii="Arial" w:hAnsi="Arial" w:cs="Arial"/>
                <w:bCs/>
              </w:rPr>
              <w:t>test.</w:t>
            </w:r>
            <w:r w:rsidR="005047F1" w:rsidRPr="001A40DD">
              <w:rPr>
                <w:rFonts w:ascii="Arial" w:eastAsia="Calibri" w:hAnsi="Arial" w:cs="Arial"/>
                <w:szCs w:val="22"/>
                <w:highlight w:val="yellow"/>
                <w:lang w:val="en-GB"/>
              </w:rPr>
              <w:t xml:space="preserve"> Key</w:t>
            </w:r>
            <w:r w:rsidR="00CE62F9" w:rsidRPr="001A40DD">
              <w:rPr>
                <w:rFonts w:ascii="Arial" w:eastAsia="Calibri" w:hAnsi="Arial" w:cs="Arial"/>
                <w:szCs w:val="22"/>
                <w:highlight w:val="yellow"/>
                <w:lang w:val="en-GB"/>
              </w:rPr>
              <w:t xml:space="preserve"> results revealed that T3 (SWE 6%) and T8 (HA 0.4%) were the most cost-effective treatments, with benefit-cost ratios (B:C) of 2.44 and </w:t>
            </w:r>
            <w:r w:rsidR="00CE62F9" w:rsidRPr="00BC1E71">
              <w:rPr>
                <w:rFonts w:ascii="Arial" w:eastAsia="Calibri" w:hAnsi="Arial" w:cs="Arial"/>
                <w:szCs w:val="22"/>
                <w:highlight w:val="yellow"/>
                <w:lang w:val="en-GB"/>
              </w:rPr>
              <w:t>2.30,</w:t>
            </w:r>
            <w:r w:rsidR="00CE62F9" w:rsidRPr="001A40DD">
              <w:rPr>
                <w:rFonts w:ascii="Arial" w:eastAsia="Calibri" w:hAnsi="Arial" w:cs="Arial"/>
                <w:szCs w:val="22"/>
                <w:highlight w:val="yellow"/>
                <w:lang w:val="en-GB"/>
              </w:rPr>
              <w:t xml:space="preserve"> respectively, driven by high yields (163.73 kg/5 cents and 155.23 kg/5 cents) and moderate input costs. While T11 (combined MLE 3% + SWE 8% + SA 200 ppm + HA 0.4%) exhibited superior biochemical performance—highest chlorophyll </w:t>
            </w:r>
            <w:r w:rsidR="00CE62F9" w:rsidRPr="001A40DD">
              <w:rPr>
                <w:rFonts w:ascii="Arial" w:eastAsia="Calibri" w:hAnsi="Arial" w:cs="Arial"/>
                <w:i/>
                <w:iCs/>
                <w:szCs w:val="22"/>
                <w:highlight w:val="yellow"/>
                <w:lang w:val="en-GB"/>
              </w:rPr>
              <w:t xml:space="preserve">a </w:t>
            </w:r>
            <w:r w:rsidR="00CE62F9" w:rsidRPr="001A40DD">
              <w:rPr>
                <w:rFonts w:ascii="Arial" w:eastAsia="Calibri" w:hAnsi="Arial" w:cs="Arial"/>
                <w:szCs w:val="22"/>
                <w:highlight w:val="yellow"/>
                <w:lang w:val="en-GB"/>
              </w:rPr>
              <w:t>(3.173 mg/g), total chlorophyll (3.387 mg/g), carotenoids (1.391 mg/g), and leaf/stem ratio (1.07)—its B:C ratio (1.35) was suboptimal due to high costs. T10 (combined MLE 2% + SWE 6% + SA 100 ppm + HA 0.2%) showed balanced performance, with a B:C ratio of 1.88 and significant yield (147.66 kg/5 cents).</w:t>
            </w:r>
            <w:r w:rsidR="00CE62F9" w:rsidRPr="00BC1E71">
              <w:rPr>
                <w:rFonts w:ascii="Arial" w:eastAsia="Calibri" w:hAnsi="Arial" w:cs="Arial"/>
                <w:szCs w:val="22"/>
                <w:highlight w:val="yellow"/>
                <w:lang w:val="en-GB"/>
              </w:rPr>
              <w:t xml:space="preserve"> </w:t>
            </w:r>
            <w:r w:rsidR="00CE62F9" w:rsidRPr="001A40DD">
              <w:rPr>
                <w:rFonts w:ascii="Arial" w:eastAsia="Calibri" w:hAnsi="Arial" w:cs="Arial"/>
                <w:szCs w:val="22"/>
                <w:highlight w:val="yellow"/>
                <w:lang w:val="en-GB"/>
              </w:rPr>
              <w:t>Physiological parameters highlighted T10 and T11 as top performers in membrane stability (42.63% and 47.60%, respectively) and oxalic acid reduction (0.0218 mg/g in T10). Growth metrics identified T3 and T7 (HA 0.2%) as leaders in leaf area (62.03 mm²) and root length (9.23 cm). Statistical analysis grouped treatments</w:t>
            </w:r>
            <w:r w:rsidR="00477AB9" w:rsidRPr="00BC1E71">
              <w:rPr>
                <w:rFonts w:ascii="Arial" w:eastAsia="Calibri" w:hAnsi="Arial" w:cs="Arial"/>
                <w:szCs w:val="22"/>
                <w:highlight w:val="yellow"/>
                <w:lang w:val="en-GB"/>
              </w:rPr>
              <w:t xml:space="preserve"> </w:t>
            </w:r>
            <w:r w:rsidR="00CE62F9" w:rsidRPr="001A40DD">
              <w:rPr>
                <w:rFonts w:ascii="Arial" w:eastAsia="Calibri" w:hAnsi="Arial" w:cs="Arial"/>
                <w:szCs w:val="22"/>
                <w:highlight w:val="yellow"/>
                <w:lang w:val="en-GB"/>
              </w:rPr>
              <w:t xml:space="preserve">into distinct economic and biochemical efficacy tiers, with T3 and T8 outperforming others in profitability. The study underscores the potential of SWE 6% and HA 0.4% as economical </w:t>
            </w:r>
            <w:proofErr w:type="spellStart"/>
            <w:r w:rsidR="00CE62F9" w:rsidRPr="001A40DD">
              <w:rPr>
                <w:rFonts w:ascii="Arial" w:eastAsia="Calibri" w:hAnsi="Arial" w:cs="Arial"/>
                <w:szCs w:val="22"/>
                <w:highlight w:val="yellow"/>
                <w:lang w:val="en-GB"/>
              </w:rPr>
              <w:t>biostimulants</w:t>
            </w:r>
            <w:proofErr w:type="spellEnd"/>
            <w:r w:rsidR="00CE62F9" w:rsidRPr="001A40DD">
              <w:rPr>
                <w:rFonts w:ascii="Arial" w:eastAsia="Calibri" w:hAnsi="Arial" w:cs="Arial"/>
                <w:szCs w:val="22"/>
                <w:highlight w:val="yellow"/>
                <w:lang w:val="en-GB"/>
              </w:rPr>
              <w:t xml:space="preserve"> for enhancing </w:t>
            </w:r>
            <w:r w:rsidR="00CE62F9" w:rsidRPr="001A40DD">
              <w:rPr>
                <w:rFonts w:ascii="Arial" w:eastAsia="Calibri" w:hAnsi="Arial" w:cs="Arial"/>
                <w:i/>
                <w:iCs/>
                <w:szCs w:val="22"/>
                <w:highlight w:val="yellow"/>
                <w:lang w:val="en-GB"/>
              </w:rPr>
              <w:t xml:space="preserve">Amaranthus dubius </w:t>
            </w:r>
            <w:r w:rsidR="005047F1" w:rsidRPr="005047F1">
              <w:rPr>
                <w:rFonts w:ascii="Arial" w:eastAsia="Calibri" w:hAnsi="Arial" w:cs="Arial"/>
                <w:szCs w:val="22"/>
                <w:highlight w:val="yellow"/>
                <w:lang w:val="en-GB"/>
              </w:rPr>
              <w:t xml:space="preserve">growth, yield, and </w:t>
            </w:r>
            <w:r w:rsidR="00CE62F9" w:rsidRPr="001A40DD">
              <w:rPr>
                <w:rFonts w:ascii="Arial" w:eastAsia="Calibri" w:hAnsi="Arial" w:cs="Arial"/>
                <w:szCs w:val="22"/>
                <w:highlight w:val="yellow"/>
                <w:lang w:val="en-GB"/>
              </w:rPr>
              <w:t>productivity</w:t>
            </w:r>
            <w:r w:rsidR="005047F1" w:rsidRPr="005047F1">
              <w:rPr>
                <w:rFonts w:ascii="Arial" w:eastAsia="Calibri" w:hAnsi="Arial" w:cs="Arial"/>
                <w:szCs w:val="22"/>
                <w:lang w:val="en-GB"/>
              </w:rPr>
              <w:t>.</w:t>
            </w:r>
          </w:p>
        </w:tc>
      </w:tr>
    </w:tbl>
    <w:p w14:paraId="4D309AA6" w14:textId="77777777" w:rsidR="00636EB2" w:rsidRDefault="00636EB2" w:rsidP="00441B6F">
      <w:pPr>
        <w:pStyle w:val="Body"/>
        <w:spacing w:after="0"/>
        <w:rPr>
          <w:rFonts w:ascii="Arial" w:hAnsi="Arial" w:cs="Arial"/>
          <w:i/>
        </w:rPr>
      </w:pPr>
    </w:p>
    <w:p w14:paraId="685E45B0" w14:textId="75E3EDFD" w:rsidR="0024282C" w:rsidRPr="00333944" w:rsidRDefault="00A24E7E" w:rsidP="00333944">
      <w:pPr>
        <w:pStyle w:val="Body"/>
        <w:rPr>
          <w:rFonts w:ascii="Arial" w:hAnsi="Arial" w:cs="Arial"/>
          <w:b/>
          <w:bCs/>
          <w:i/>
          <w:lang w:val="en-GB"/>
        </w:rPr>
      </w:pPr>
      <w:r>
        <w:rPr>
          <w:rFonts w:ascii="Arial" w:hAnsi="Arial" w:cs="Arial"/>
          <w:i/>
        </w:rPr>
        <w:t xml:space="preserve">Keywords: </w:t>
      </w:r>
      <w:proofErr w:type="spellStart"/>
      <w:r w:rsidR="008C1194" w:rsidRPr="008C1194">
        <w:rPr>
          <w:rFonts w:ascii="Arial" w:hAnsi="Arial" w:cs="Arial"/>
          <w:i/>
        </w:rPr>
        <w:t>Biostimulant</w:t>
      </w:r>
      <w:proofErr w:type="spellEnd"/>
      <w:r w:rsidR="008C1194" w:rsidRPr="008C1194">
        <w:rPr>
          <w:rFonts w:ascii="Arial" w:hAnsi="Arial" w:cs="Arial"/>
          <w:i/>
        </w:rPr>
        <w:t xml:space="preserve">. </w:t>
      </w:r>
      <w:r w:rsidR="008C1194" w:rsidRPr="008C1194">
        <w:rPr>
          <w:rFonts w:ascii="Arial" w:hAnsi="Arial" w:cs="Arial"/>
          <w:i/>
          <w:iCs/>
          <w:lang w:val="en-GB"/>
        </w:rPr>
        <w:t xml:space="preserve">Amaranthus dubius. </w:t>
      </w:r>
      <w:r w:rsidR="008C1194" w:rsidRPr="008C1194">
        <w:rPr>
          <w:rFonts w:ascii="Arial" w:hAnsi="Arial" w:cs="Arial"/>
          <w:i/>
          <w:lang w:val="en-GB"/>
        </w:rPr>
        <w:t xml:space="preserve">Moringa leaf extract. Seaweed extract. </w:t>
      </w:r>
      <w:r w:rsidR="008C1194" w:rsidRPr="008C1194">
        <w:rPr>
          <w:rFonts w:ascii="Arial" w:hAnsi="Arial" w:cs="Arial"/>
          <w:i/>
          <w:iCs/>
          <w:lang w:val="en-GB"/>
        </w:rPr>
        <w:t>Ascophyllum nodosum</w:t>
      </w:r>
      <w:r w:rsidR="008C1194" w:rsidRPr="008C1194">
        <w:rPr>
          <w:rFonts w:ascii="Arial" w:hAnsi="Arial" w:cs="Arial"/>
          <w:i/>
          <w:lang w:val="en-GB"/>
        </w:rPr>
        <w:t>. Salicylic acid. Humic acid</w:t>
      </w:r>
    </w:p>
    <w:p w14:paraId="03A463CE" w14:textId="77777777" w:rsidR="00505F06" w:rsidRPr="00A24E7E" w:rsidRDefault="00505F06" w:rsidP="00441B6F">
      <w:pPr>
        <w:pStyle w:val="Body"/>
        <w:spacing w:after="0"/>
        <w:rPr>
          <w:rFonts w:ascii="Arial" w:hAnsi="Arial" w:cs="Arial"/>
          <w:i/>
        </w:rPr>
      </w:pPr>
    </w:p>
    <w:p w14:paraId="54959AC5" w14:textId="5390123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A5F559B" w14:textId="77777777" w:rsidR="00790ADA" w:rsidRPr="00FB3A86" w:rsidRDefault="00790ADA" w:rsidP="00441B6F">
      <w:pPr>
        <w:pStyle w:val="AbstHead"/>
        <w:spacing w:after="0"/>
        <w:jc w:val="both"/>
        <w:rPr>
          <w:rFonts w:ascii="Arial" w:hAnsi="Arial" w:cs="Arial"/>
        </w:rPr>
      </w:pPr>
    </w:p>
    <w:p w14:paraId="2787407C" w14:textId="5D1E3F70" w:rsidR="008C1194" w:rsidRDefault="008C1194" w:rsidP="008C1194">
      <w:pPr>
        <w:pStyle w:val="Body"/>
        <w:spacing w:after="0"/>
        <w:rPr>
          <w:rFonts w:ascii="Arial" w:hAnsi="Arial" w:cs="Arial"/>
        </w:rPr>
      </w:pPr>
      <w:r w:rsidRPr="008C1194">
        <w:rPr>
          <w:rFonts w:ascii="Arial" w:hAnsi="Arial" w:cs="Arial"/>
        </w:rPr>
        <w:t xml:space="preserve">In Tamil Nadu and Kerala, </w:t>
      </w:r>
      <w:r w:rsidRPr="008C1194">
        <w:rPr>
          <w:rFonts w:ascii="Arial" w:hAnsi="Arial" w:cs="Arial"/>
          <w:i/>
          <w:iCs/>
        </w:rPr>
        <w:t>Amaranthus dubius</w:t>
      </w:r>
      <w:r w:rsidRPr="008C1194">
        <w:rPr>
          <w:rFonts w:ascii="Arial" w:hAnsi="Arial" w:cs="Arial"/>
        </w:rPr>
        <w:t xml:space="preserve"> is the principal green leafy vegetable. It is cultivated as a grain crop, for leafy green (Hoidal et al., 2019), and for ornamentation (</w:t>
      </w:r>
      <w:proofErr w:type="spellStart"/>
      <w:r w:rsidRPr="008C1194">
        <w:rPr>
          <w:rFonts w:ascii="Arial" w:hAnsi="Arial" w:cs="Arial"/>
        </w:rPr>
        <w:t>Artemyeva</w:t>
      </w:r>
      <w:proofErr w:type="spellEnd"/>
      <w:r w:rsidRPr="008C1194">
        <w:rPr>
          <w:rFonts w:ascii="Arial" w:hAnsi="Arial" w:cs="Arial"/>
        </w:rPr>
        <w:t>, 2021; Ruth 2021). Since the growth cycle is short, responsive to fertilizers, the yield is high (Bang et al., 2021), easy to grow (Ruth et al., 2021), and adaptable to different conditions (Hoang et al., 2019), farmers want to cultivate Amaranthus; however, the crop is short-lived and gets damage and wilts quickly because of short shelf life (</w:t>
      </w:r>
      <w:proofErr w:type="spellStart"/>
      <w:r w:rsidRPr="008C1194">
        <w:rPr>
          <w:rFonts w:ascii="Arial" w:hAnsi="Arial" w:cs="Arial"/>
        </w:rPr>
        <w:t>Nighita</w:t>
      </w:r>
      <w:proofErr w:type="spellEnd"/>
      <w:r w:rsidRPr="008C1194">
        <w:rPr>
          <w:rFonts w:ascii="Arial" w:hAnsi="Arial" w:cs="Arial"/>
        </w:rPr>
        <w:t xml:space="preserve"> &amp; Mathew, 2019) and vulnerability to pests (Seni, 2018). Vegetable farmers are increasingly applied plant </w:t>
      </w:r>
      <w:proofErr w:type="spellStart"/>
      <w:r w:rsidRPr="008C1194">
        <w:rPr>
          <w:rFonts w:ascii="Arial" w:hAnsi="Arial" w:cs="Arial"/>
        </w:rPr>
        <w:lastRenderedPageBreak/>
        <w:t>biostimulants</w:t>
      </w:r>
      <w:proofErr w:type="spellEnd"/>
      <w:r w:rsidRPr="008C1194">
        <w:rPr>
          <w:rFonts w:ascii="Arial" w:hAnsi="Arial" w:cs="Arial"/>
        </w:rPr>
        <w:t xml:space="preserve"> to increase crop productivity, nutritional efficiency, quality, stress resistance, and environmental safety.</w:t>
      </w:r>
    </w:p>
    <w:p w14:paraId="0241D91A" w14:textId="77777777" w:rsidR="008C1194" w:rsidRPr="008C1194" w:rsidRDefault="008C1194" w:rsidP="008C1194">
      <w:pPr>
        <w:pStyle w:val="Body"/>
        <w:spacing w:after="0"/>
        <w:rPr>
          <w:rFonts w:ascii="Arial" w:hAnsi="Arial" w:cs="Arial"/>
        </w:rPr>
      </w:pPr>
    </w:p>
    <w:p w14:paraId="0AC1A4ED" w14:textId="77777777" w:rsidR="008C1194" w:rsidRDefault="008C1194" w:rsidP="008C1194">
      <w:pPr>
        <w:pStyle w:val="Body"/>
        <w:spacing w:after="0"/>
        <w:rPr>
          <w:rFonts w:ascii="Arial" w:hAnsi="Arial" w:cs="Arial"/>
        </w:rPr>
      </w:pPr>
      <w:proofErr w:type="spellStart"/>
      <w:r w:rsidRPr="008C1194">
        <w:rPr>
          <w:rFonts w:ascii="Arial" w:hAnsi="Arial" w:cs="Arial"/>
        </w:rPr>
        <w:t>Biostimulants</w:t>
      </w:r>
      <w:proofErr w:type="spellEnd"/>
      <w:r w:rsidRPr="008C1194">
        <w:rPr>
          <w:rFonts w:ascii="Arial" w:hAnsi="Arial" w:cs="Arial"/>
        </w:rPr>
        <w:t xml:space="preserve"> are of biological origin and are large groups of biochemical compounds or microorganisms that can stimulate the biological processes to improve nutrient uptake, tolerance to stress factors, yield quality and environmental health. Some of these might reduce the deleterious effects of chemical fertilizers (Calvo et al., 2014; </w:t>
      </w:r>
      <w:proofErr w:type="spellStart"/>
      <w:r w:rsidRPr="008C1194">
        <w:rPr>
          <w:rFonts w:ascii="Arial" w:hAnsi="Arial" w:cs="Arial"/>
        </w:rPr>
        <w:t>Posmyk</w:t>
      </w:r>
      <w:proofErr w:type="spellEnd"/>
      <w:r w:rsidRPr="008C1194">
        <w:rPr>
          <w:rFonts w:ascii="Arial" w:hAnsi="Arial" w:cs="Arial"/>
        </w:rPr>
        <w:t xml:space="preserve"> and </w:t>
      </w:r>
      <w:proofErr w:type="spellStart"/>
      <w:r w:rsidRPr="008C1194">
        <w:rPr>
          <w:rFonts w:ascii="Arial" w:hAnsi="Arial" w:cs="Arial"/>
        </w:rPr>
        <w:t>Szafranska</w:t>
      </w:r>
      <w:proofErr w:type="spellEnd"/>
      <w:r w:rsidRPr="008C1194">
        <w:rPr>
          <w:rFonts w:ascii="Arial" w:hAnsi="Arial" w:cs="Arial"/>
        </w:rPr>
        <w:t xml:space="preserve">, 2016; Van </w:t>
      </w:r>
      <w:proofErr w:type="spellStart"/>
      <w:r w:rsidRPr="008C1194">
        <w:rPr>
          <w:rFonts w:ascii="Arial" w:hAnsi="Arial" w:cs="Arial"/>
        </w:rPr>
        <w:t>Oosten</w:t>
      </w:r>
      <w:proofErr w:type="spellEnd"/>
      <w:r w:rsidRPr="008C1194">
        <w:rPr>
          <w:rFonts w:ascii="Arial" w:hAnsi="Arial" w:cs="Arial"/>
        </w:rPr>
        <w:t xml:space="preserve"> et al., 2017). This mainly includes increasing applications in agriculture and more controlled agricultural settings to promote yield and quality of crops for vegetables, thereby contributing to agriculture that is based on sustainability.</w:t>
      </w:r>
    </w:p>
    <w:p w14:paraId="20FACFC3" w14:textId="77777777" w:rsidR="008C1194" w:rsidRPr="008C1194" w:rsidRDefault="008C1194" w:rsidP="008C1194">
      <w:pPr>
        <w:pStyle w:val="Body"/>
        <w:spacing w:after="0"/>
        <w:rPr>
          <w:rFonts w:ascii="Arial" w:hAnsi="Arial" w:cs="Arial"/>
        </w:rPr>
      </w:pPr>
    </w:p>
    <w:p w14:paraId="41E0BD56" w14:textId="17EA3659" w:rsidR="008C1194" w:rsidRPr="006867EB" w:rsidRDefault="008C1194" w:rsidP="008C1194">
      <w:pPr>
        <w:pStyle w:val="Body"/>
        <w:spacing w:after="0"/>
        <w:rPr>
          <w:rFonts w:ascii="Arial" w:hAnsi="Arial" w:cs="Arial"/>
          <w:highlight w:val="yellow"/>
        </w:rPr>
      </w:pPr>
      <w:r w:rsidRPr="006867EB">
        <w:rPr>
          <w:rFonts w:ascii="Arial" w:hAnsi="Arial" w:cs="Arial"/>
          <w:highlight w:val="yellow"/>
          <w:lang w:val="en-GB"/>
        </w:rPr>
        <w:t xml:space="preserve">Moringa Leaf Extract (MLE) is one of the most promising </w:t>
      </w:r>
      <w:proofErr w:type="spellStart"/>
      <w:r w:rsidRPr="006867EB">
        <w:rPr>
          <w:rFonts w:ascii="Arial" w:hAnsi="Arial" w:cs="Arial"/>
          <w:highlight w:val="yellow"/>
          <w:lang w:val="en-GB"/>
        </w:rPr>
        <w:t>biostimulants</w:t>
      </w:r>
      <w:proofErr w:type="spellEnd"/>
      <w:r w:rsidRPr="006867EB">
        <w:rPr>
          <w:rFonts w:ascii="Arial" w:hAnsi="Arial" w:cs="Arial"/>
          <w:highlight w:val="yellow"/>
          <w:lang w:val="en-GB"/>
        </w:rPr>
        <w:t xml:space="preserve">, which is found in nutrient-rich, phytohormone-dense, and bioactive </w:t>
      </w:r>
      <w:r w:rsidRPr="006867EB">
        <w:rPr>
          <w:rFonts w:ascii="Arial" w:hAnsi="Arial" w:cs="Arial"/>
          <w:i/>
          <w:iCs/>
          <w:highlight w:val="yellow"/>
          <w:lang w:val="en-GB"/>
        </w:rPr>
        <w:t>Moringa oleifera</w:t>
      </w:r>
      <w:r w:rsidRPr="006867EB">
        <w:rPr>
          <w:rFonts w:ascii="Arial" w:hAnsi="Arial" w:cs="Arial"/>
          <w:highlight w:val="yellow"/>
          <w:lang w:val="en-GB"/>
        </w:rPr>
        <w:t xml:space="preserve"> leaves, enhancing growth and increasing tolerance to stress and improving crop yield and quality (</w:t>
      </w:r>
      <w:proofErr w:type="spellStart"/>
      <w:r w:rsidRPr="006867EB">
        <w:rPr>
          <w:rFonts w:ascii="Arial" w:hAnsi="Arial" w:cs="Arial"/>
          <w:highlight w:val="yellow"/>
          <w:lang w:val="en-GB"/>
        </w:rPr>
        <w:t>Yuniati</w:t>
      </w:r>
      <w:proofErr w:type="spellEnd"/>
      <w:r w:rsidRPr="006867EB">
        <w:rPr>
          <w:rFonts w:ascii="Arial" w:hAnsi="Arial" w:cs="Arial"/>
          <w:highlight w:val="yellow"/>
          <w:lang w:val="en-GB"/>
        </w:rPr>
        <w:t xml:space="preserve"> et al., 2023). MLE has been shown to enhance seed germination, increase root growth, and stimulate plant </w:t>
      </w:r>
      <w:proofErr w:type="spellStart"/>
      <w:r w:rsidRPr="006867EB">
        <w:rPr>
          <w:rFonts w:ascii="Arial" w:hAnsi="Arial" w:cs="Arial"/>
          <w:highlight w:val="yellow"/>
          <w:lang w:val="en-GB"/>
        </w:rPr>
        <w:t>vigor</w:t>
      </w:r>
      <w:proofErr w:type="spellEnd"/>
      <w:r w:rsidRPr="006867EB">
        <w:rPr>
          <w:rFonts w:ascii="Arial" w:hAnsi="Arial" w:cs="Arial"/>
          <w:highlight w:val="yellow"/>
          <w:lang w:val="en-GB"/>
        </w:rPr>
        <w:t xml:space="preserve"> under normal and stress conditions (Khan et al., 2022; </w:t>
      </w:r>
      <w:proofErr w:type="spellStart"/>
      <w:r w:rsidRPr="006867EB">
        <w:rPr>
          <w:rFonts w:ascii="Arial" w:hAnsi="Arial" w:cs="Arial"/>
          <w:highlight w:val="yellow"/>
          <w:lang w:val="en-GB"/>
        </w:rPr>
        <w:t>Yuniati</w:t>
      </w:r>
      <w:proofErr w:type="spellEnd"/>
      <w:r w:rsidRPr="006867EB">
        <w:rPr>
          <w:rFonts w:ascii="Arial" w:hAnsi="Arial" w:cs="Arial"/>
          <w:highlight w:val="yellow"/>
          <w:lang w:val="en-GB"/>
        </w:rPr>
        <w:t xml:space="preserve"> et al., 2023). </w:t>
      </w:r>
      <w:r w:rsidR="00246EF9" w:rsidRPr="006867EB">
        <w:rPr>
          <w:rFonts w:ascii="Arial" w:hAnsi="Arial" w:cs="Arial"/>
          <w:highlight w:val="yellow"/>
          <w:lang w:val="en-GB"/>
        </w:rPr>
        <w:t>A</w:t>
      </w:r>
      <w:r w:rsidRPr="006867EB">
        <w:rPr>
          <w:rFonts w:ascii="Arial" w:hAnsi="Arial" w:cs="Arial"/>
          <w:highlight w:val="yellow"/>
          <w:lang w:val="en-GB"/>
        </w:rPr>
        <w:t>pplication of MLE could be an eco-friendly alternative to synthetic fertilizers (</w:t>
      </w:r>
      <w:proofErr w:type="spellStart"/>
      <w:r w:rsidRPr="006867EB">
        <w:rPr>
          <w:rFonts w:ascii="Arial" w:hAnsi="Arial" w:cs="Arial"/>
          <w:highlight w:val="yellow"/>
          <w:lang w:val="en-GB"/>
        </w:rPr>
        <w:t>Mashamaite</w:t>
      </w:r>
      <w:proofErr w:type="spellEnd"/>
      <w:r w:rsidRPr="006867EB">
        <w:rPr>
          <w:rFonts w:ascii="Arial" w:hAnsi="Arial" w:cs="Arial"/>
          <w:highlight w:val="yellow"/>
          <w:lang w:val="en-GB"/>
        </w:rPr>
        <w:t xml:space="preserve"> et al., 2022). </w:t>
      </w:r>
    </w:p>
    <w:p w14:paraId="071B6AB9" w14:textId="77777777" w:rsidR="008C1194" w:rsidRPr="006867EB" w:rsidRDefault="008C1194" w:rsidP="008C1194">
      <w:pPr>
        <w:pStyle w:val="Body"/>
        <w:spacing w:after="0"/>
        <w:rPr>
          <w:rFonts w:ascii="Arial" w:hAnsi="Arial" w:cs="Arial"/>
          <w:highlight w:val="yellow"/>
          <w:lang w:val="en-GB"/>
        </w:rPr>
      </w:pPr>
    </w:p>
    <w:p w14:paraId="65CC70A5" w14:textId="7588224A" w:rsidR="008C1194" w:rsidRPr="006867EB" w:rsidRDefault="008C1194" w:rsidP="008C1194">
      <w:pPr>
        <w:pStyle w:val="Body"/>
        <w:spacing w:after="0"/>
        <w:rPr>
          <w:rFonts w:ascii="Arial" w:hAnsi="Arial" w:cs="Arial"/>
          <w:highlight w:val="yellow"/>
        </w:rPr>
      </w:pPr>
      <w:r w:rsidRPr="006867EB">
        <w:rPr>
          <w:rFonts w:ascii="Arial" w:hAnsi="Arial" w:cs="Arial"/>
          <w:highlight w:val="yellow"/>
        </w:rPr>
        <w:t xml:space="preserve">Seaweed extract of </w:t>
      </w:r>
      <w:r w:rsidRPr="006867EB">
        <w:rPr>
          <w:rFonts w:ascii="Arial" w:hAnsi="Arial" w:cs="Arial"/>
          <w:i/>
          <w:iCs/>
          <w:highlight w:val="yellow"/>
        </w:rPr>
        <w:t>Ascophyllum nodosum</w:t>
      </w:r>
      <w:r w:rsidRPr="006867EB">
        <w:rPr>
          <w:rFonts w:ascii="Arial" w:hAnsi="Arial" w:cs="Arial"/>
          <w:highlight w:val="yellow"/>
        </w:rPr>
        <w:t xml:space="preserve">, a brown alga, enhances plant growth, root development, and tolerance against drought, salinity, and pathogen stresses. Rich in </w:t>
      </w:r>
      <w:proofErr w:type="spellStart"/>
      <w:r w:rsidRPr="006867EB">
        <w:rPr>
          <w:rFonts w:ascii="Arial" w:hAnsi="Arial" w:cs="Arial"/>
          <w:highlight w:val="yellow"/>
        </w:rPr>
        <w:t>cytokinins</w:t>
      </w:r>
      <w:proofErr w:type="spellEnd"/>
      <w:r w:rsidRPr="006867EB">
        <w:rPr>
          <w:rFonts w:ascii="Arial" w:hAnsi="Arial" w:cs="Arial"/>
          <w:highlight w:val="yellow"/>
        </w:rPr>
        <w:t xml:space="preserve"> and auxins that stimulate plant growth regulators, this enhances nutrient uptake and improves yield (Ali et al., 2019). The bio-stimulant being a natural alternative to synthetic fertilizers ensures healthier crops (Kumari et al., 2023).</w:t>
      </w:r>
      <w:r w:rsidRPr="006867EB">
        <w:rPr>
          <w:rFonts w:ascii="Arial" w:hAnsi="Arial" w:cs="Arial"/>
          <w:i/>
          <w:iCs/>
          <w:highlight w:val="yellow"/>
        </w:rPr>
        <w:t xml:space="preserve"> </w:t>
      </w:r>
    </w:p>
    <w:p w14:paraId="060EFE5D" w14:textId="77777777" w:rsidR="008C1194" w:rsidRPr="006867EB" w:rsidRDefault="008C1194" w:rsidP="008C1194">
      <w:pPr>
        <w:pStyle w:val="Body"/>
        <w:spacing w:after="0"/>
        <w:rPr>
          <w:rFonts w:ascii="Arial" w:hAnsi="Arial" w:cs="Arial"/>
          <w:highlight w:val="yellow"/>
        </w:rPr>
      </w:pPr>
    </w:p>
    <w:p w14:paraId="6F0A5310" w14:textId="3D29FDA0" w:rsidR="008C1194" w:rsidRPr="006867EB" w:rsidRDefault="008C1194" w:rsidP="008C1194">
      <w:pPr>
        <w:pStyle w:val="Body"/>
        <w:spacing w:after="0"/>
        <w:rPr>
          <w:rFonts w:ascii="Arial" w:hAnsi="Arial" w:cs="Arial"/>
          <w:highlight w:val="yellow"/>
        </w:rPr>
      </w:pPr>
      <w:r w:rsidRPr="006867EB">
        <w:rPr>
          <w:rFonts w:ascii="Arial" w:hAnsi="Arial" w:cs="Arial"/>
          <w:highlight w:val="yellow"/>
        </w:rPr>
        <w:t xml:space="preserve">Salicylic Acid (SA) is an essential signaling molecule in plants which confers increased tolerance towards several biotic and abiotic stresses, thereby enabling a plant to thrive and grow more in challenging environmental conditions (Jayakannan et al., 2015; </w:t>
      </w:r>
      <w:proofErr w:type="spellStart"/>
      <w:r w:rsidRPr="006867EB">
        <w:rPr>
          <w:rFonts w:ascii="Arial" w:hAnsi="Arial" w:cs="Arial"/>
          <w:highlight w:val="yellow"/>
          <w:lang w:val="en-GB"/>
        </w:rPr>
        <w:t>Emamverdian</w:t>
      </w:r>
      <w:proofErr w:type="spellEnd"/>
      <w:r w:rsidRPr="006867EB">
        <w:rPr>
          <w:rFonts w:ascii="Arial" w:hAnsi="Arial" w:cs="Arial"/>
          <w:highlight w:val="yellow"/>
          <w:lang w:val="en-GB"/>
        </w:rPr>
        <w:t xml:space="preserve"> et al., 2020</w:t>
      </w:r>
      <w:r w:rsidRPr="006867EB">
        <w:rPr>
          <w:rFonts w:ascii="Arial" w:hAnsi="Arial" w:cs="Arial"/>
          <w:highlight w:val="yellow"/>
        </w:rPr>
        <w:t xml:space="preserve">). It increases salt tolerance in barley (Fayez &amp; </w:t>
      </w:r>
      <w:proofErr w:type="spellStart"/>
      <w:r w:rsidRPr="006867EB">
        <w:rPr>
          <w:rFonts w:ascii="Arial" w:hAnsi="Arial" w:cs="Arial"/>
          <w:highlight w:val="yellow"/>
        </w:rPr>
        <w:t>Bazaid</w:t>
      </w:r>
      <w:proofErr w:type="spellEnd"/>
      <w:r w:rsidRPr="006867EB">
        <w:rPr>
          <w:rFonts w:ascii="Arial" w:hAnsi="Arial" w:cs="Arial"/>
          <w:highlight w:val="yellow"/>
        </w:rPr>
        <w:t xml:space="preserve">, 2014) and drought tolerance in faba beans (Abdelaal, 2015). It increases the growth, yield, and quality of vegetables. It increases the available nutrients and their uptake for garden thyme </w:t>
      </w:r>
      <w:r w:rsidR="006867EB" w:rsidRPr="006867EB">
        <w:rPr>
          <w:rFonts w:ascii="Arial" w:hAnsi="Arial" w:cs="Arial"/>
          <w:highlight w:val="yellow"/>
        </w:rPr>
        <w:t>(</w:t>
      </w:r>
      <w:r w:rsidRPr="006867EB">
        <w:rPr>
          <w:rFonts w:ascii="Arial" w:hAnsi="Arial" w:cs="Arial"/>
          <w:highlight w:val="yellow"/>
        </w:rPr>
        <w:t>Haghighi et al.</w:t>
      </w:r>
      <w:r w:rsidR="006867EB" w:rsidRPr="006867EB">
        <w:rPr>
          <w:rFonts w:ascii="Arial" w:hAnsi="Arial" w:cs="Arial"/>
          <w:highlight w:val="yellow"/>
        </w:rPr>
        <w:t xml:space="preserve">, </w:t>
      </w:r>
      <w:r w:rsidRPr="006867EB">
        <w:rPr>
          <w:rFonts w:ascii="Arial" w:hAnsi="Arial" w:cs="Arial"/>
          <w:highlight w:val="yellow"/>
        </w:rPr>
        <w:t xml:space="preserve">2014). </w:t>
      </w:r>
    </w:p>
    <w:p w14:paraId="5EF641F6" w14:textId="77777777" w:rsidR="008C1194" w:rsidRPr="006867EB" w:rsidRDefault="008C1194" w:rsidP="008C1194">
      <w:pPr>
        <w:pStyle w:val="Body"/>
        <w:spacing w:after="0"/>
        <w:rPr>
          <w:rFonts w:ascii="Arial" w:hAnsi="Arial" w:cs="Arial"/>
          <w:highlight w:val="yellow"/>
        </w:rPr>
      </w:pPr>
    </w:p>
    <w:p w14:paraId="7A2186F1" w14:textId="50EECCF7" w:rsidR="008C1194" w:rsidRDefault="008C1194" w:rsidP="008C1194">
      <w:pPr>
        <w:pStyle w:val="Body"/>
        <w:spacing w:after="0"/>
        <w:rPr>
          <w:rFonts w:ascii="Arial" w:hAnsi="Arial" w:cs="Arial"/>
          <w:lang w:val="en-GB"/>
        </w:rPr>
      </w:pPr>
      <w:r w:rsidRPr="006867EB">
        <w:rPr>
          <w:rFonts w:ascii="Arial" w:hAnsi="Arial" w:cs="Arial"/>
          <w:highlight w:val="yellow"/>
          <w:lang w:val="en-GB"/>
        </w:rPr>
        <w:t>Humic acid (HA) is an organic substance resulting from the degradation of plant and animal residues,</w:t>
      </w:r>
      <w:r w:rsidRPr="006867EB">
        <w:rPr>
          <w:rFonts w:ascii="Arial" w:hAnsi="Arial" w:cs="Arial"/>
          <w:highlight w:val="yellow"/>
          <w:lang w:val="en-GB"/>
        </w:rPr>
        <w:t> </w:t>
      </w:r>
      <w:r w:rsidRPr="006867EB">
        <w:rPr>
          <w:rFonts w:ascii="Arial" w:hAnsi="Arial" w:cs="Arial"/>
          <w:highlight w:val="yellow"/>
          <w:lang w:val="en-GB"/>
        </w:rPr>
        <w:t xml:space="preserve">which has been acknowledged as a powerful </w:t>
      </w:r>
      <w:proofErr w:type="spellStart"/>
      <w:r w:rsidRPr="006867EB">
        <w:rPr>
          <w:rFonts w:ascii="Arial" w:hAnsi="Arial" w:cs="Arial"/>
          <w:highlight w:val="yellow"/>
          <w:lang w:val="en-GB"/>
        </w:rPr>
        <w:t>biostimulant</w:t>
      </w:r>
      <w:proofErr w:type="spellEnd"/>
      <w:r w:rsidRPr="006867EB">
        <w:rPr>
          <w:rFonts w:ascii="Arial" w:hAnsi="Arial" w:cs="Arial"/>
          <w:highlight w:val="yellow"/>
          <w:lang w:val="en-GB"/>
        </w:rPr>
        <w:t xml:space="preserve"> in agriculture. It has been naturally beneficial</w:t>
      </w:r>
      <w:r w:rsidRPr="006867EB">
        <w:rPr>
          <w:rFonts w:ascii="Arial" w:hAnsi="Arial" w:cs="Arial"/>
          <w:highlight w:val="yellow"/>
          <w:lang w:val="en-GB"/>
        </w:rPr>
        <w:t> </w:t>
      </w:r>
      <w:r w:rsidRPr="006867EB">
        <w:rPr>
          <w:rFonts w:ascii="Arial" w:hAnsi="Arial" w:cs="Arial"/>
          <w:highlight w:val="yellow"/>
          <w:lang w:val="en-GB"/>
        </w:rPr>
        <w:t>in promoting plant growth, nutrient absorption, and yield enhancement, as well as in pollution tolerance of various crop species.</w:t>
      </w:r>
      <w:r w:rsidRPr="008C1194">
        <w:rPr>
          <w:rFonts w:ascii="Arial" w:hAnsi="Arial" w:cs="Arial"/>
          <w:lang w:val="en-GB"/>
        </w:rPr>
        <w:t xml:space="preserve"> </w:t>
      </w:r>
    </w:p>
    <w:p w14:paraId="5E6348BE" w14:textId="77777777" w:rsidR="00B64E36" w:rsidRDefault="00B64E36" w:rsidP="008C1194">
      <w:pPr>
        <w:pStyle w:val="Body"/>
        <w:spacing w:after="0"/>
        <w:rPr>
          <w:rFonts w:ascii="Arial" w:hAnsi="Arial" w:cs="Arial"/>
          <w:lang w:val="en-GB"/>
        </w:rPr>
      </w:pPr>
    </w:p>
    <w:p w14:paraId="1958B647" w14:textId="325F94EE" w:rsidR="00B64E36" w:rsidRDefault="00B64E36" w:rsidP="008C1194">
      <w:pPr>
        <w:pStyle w:val="Body"/>
        <w:spacing w:after="0"/>
        <w:rPr>
          <w:rFonts w:ascii="Arial" w:hAnsi="Arial" w:cs="Arial"/>
          <w:lang w:val="en-GB"/>
        </w:rPr>
      </w:pPr>
      <w:r w:rsidRPr="00460DB0">
        <w:rPr>
          <w:rFonts w:ascii="Times New Roman" w:hAnsi="Times New Roman"/>
          <w:noProof/>
          <w:lang w:val="en-GB"/>
        </w:rPr>
        <w:lastRenderedPageBreak/>
        <w:drawing>
          <wp:inline distT="0" distB="0" distL="0" distR="0" wp14:anchorId="17E149A7" wp14:editId="24F75F17">
            <wp:extent cx="6044752" cy="2600325"/>
            <wp:effectExtent l="57150" t="57150" r="108585" b="104775"/>
            <wp:docPr id="12458718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71850" name="Picture 12458718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54279" cy="260442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10BB94" w14:textId="1DFFB210" w:rsidR="00B64E36" w:rsidRPr="00037420" w:rsidRDefault="00B64E36" w:rsidP="008C1194">
      <w:pPr>
        <w:pStyle w:val="Body"/>
        <w:spacing w:after="0"/>
        <w:rPr>
          <w:rFonts w:ascii="Arial" w:hAnsi="Arial" w:cs="Arial"/>
          <w:b/>
          <w:bCs/>
          <w:lang w:val="en-GB"/>
        </w:rPr>
      </w:pPr>
      <w:r w:rsidRPr="00037420">
        <w:rPr>
          <w:rFonts w:ascii="Arial" w:hAnsi="Arial" w:cs="Arial"/>
          <w:b/>
          <w:bCs/>
          <w:lang w:val="en-GB"/>
        </w:rPr>
        <w:t xml:space="preserve">Fig.1 </w:t>
      </w:r>
      <w:r w:rsidRPr="00037420">
        <w:rPr>
          <w:rFonts w:ascii="Arial" w:hAnsi="Arial" w:cs="Arial"/>
          <w:b/>
          <w:bCs/>
        </w:rPr>
        <w:t xml:space="preserve">Schematic representation of treatments applied to </w:t>
      </w:r>
      <w:r w:rsidRPr="00037420">
        <w:rPr>
          <w:rFonts w:ascii="Arial" w:hAnsi="Arial" w:cs="Arial"/>
          <w:b/>
          <w:bCs/>
          <w:i/>
          <w:iCs/>
        </w:rPr>
        <w:t>Amaranthus dubius</w:t>
      </w:r>
      <w:r w:rsidRPr="00037420">
        <w:rPr>
          <w:rFonts w:ascii="Arial" w:hAnsi="Arial" w:cs="Arial"/>
          <w:b/>
          <w:bCs/>
        </w:rPr>
        <w:t xml:space="preserve"> (Co-1). The study involved the application of Moringa leaf extract (at 2% and 3%), Seaweed extract (at 6% and 8%), Salicylic acid (at 100 ppm and 200 ppm), and Humic acid (at 0.2% and 0.4%).</w:t>
      </w:r>
    </w:p>
    <w:p w14:paraId="4CE80677" w14:textId="77777777" w:rsidR="008C1194" w:rsidRDefault="008C1194" w:rsidP="008C1194">
      <w:pPr>
        <w:pStyle w:val="Body"/>
        <w:spacing w:after="0"/>
        <w:rPr>
          <w:rFonts w:ascii="Arial" w:hAnsi="Arial" w:cs="Arial"/>
          <w:lang w:val="en-GB"/>
        </w:rPr>
      </w:pPr>
    </w:p>
    <w:p w14:paraId="66B5CE5E" w14:textId="77777777" w:rsidR="008C1194" w:rsidRPr="008C1194" w:rsidRDefault="008C1194" w:rsidP="008C1194">
      <w:pPr>
        <w:pStyle w:val="Body"/>
        <w:spacing w:after="0"/>
        <w:rPr>
          <w:rFonts w:ascii="Arial" w:hAnsi="Arial" w:cs="Arial"/>
        </w:rPr>
      </w:pPr>
      <w:r w:rsidRPr="008C1194">
        <w:rPr>
          <w:rFonts w:ascii="Arial" w:hAnsi="Arial" w:cs="Arial"/>
        </w:rPr>
        <w:t>The impact of Moringa leaf extract, SA, humic acid, and seaweed extract and also their interactivity (Fig.1) on Amaranthus plant growth, yield, biochemical contents, and shelf life is discussed in the present study.</w:t>
      </w:r>
    </w:p>
    <w:p w14:paraId="0615B946" w14:textId="77777777" w:rsidR="00790ADA" w:rsidRPr="00FB3A86" w:rsidRDefault="00790ADA" w:rsidP="00441B6F">
      <w:pPr>
        <w:pStyle w:val="Body"/>
        <w:spacing w:after="0"/>
        <w:rPr>
          <w:rFonts w:ascii="Arial" w:hAnsi="Arial" w:cs="Arial"/>
        </w:rPr>
      </w:pPr>
    </w:p>
    <w:p w14:paraId="4BD3E048" w14:textId="193BAC34" w:rsidR="00965B45" w:rsidRDefault="00902823" w:rsidP="00333944">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4456EE60" w14:textId="77777777" w:rsidR="00333944" w:rsidRDefault="00333944" w:rsidP="00333944">
      <w:pPr>
        <w:pStyle w:val="AbstHead"/>
        <w:spacing w:after="0"/>
        <w:jc w:val="both"/>
        <w:rPr>
          <w:rFonts w:ascii="Arial" w:hAnsi="Arial" w:cs="Arial"/>
        </w:rPr>
      </w:pPr>
    </w:p>
    <w:p w14:paraId="6229EC27" w14:textId="2B80F5F4" w:rsidR="00965B45" w:rsidRDefault="00036D93" w:rsidP="00965B45">
      <w:pPr>
        <w:pStyle w:val="Body"/>
        <w:spacing w:after="0"/>
        <w:rPr>
          <w:rFonts w:ascii="Arial" w:hAnsi="Arial" w:cs="Arial"/>
          <w:bCs/>
          <w:iCs/>
        </w:rPr>
      </w:pPr>
      <w:r w:rsidRPr="00036D93">
        <w:rPr>
          <w:rFonts w:ascii="Arial" w:hAnsi="Arial" w:cs="Arial"/>
          <w:highlight w:val="yellow"/>
        </w:rPr>
        <w:t xml:space="preserve">Field experiments were conducted during two distinct seasons under shade net house conditions at </w:t>
      </w:r>
      <w:proofErr w:type="spellStart"/>
      <w:r w:rsidRPr="00036D93">
        <w:rPr>
          <w:rFonts w:ascii="Arial" w:hAnsi="Arial" w:cs="Arial"/>
          <w:highlight w:val="yellow"/>
        </w:rPr>
        <w:t>Chozhapandi</w:t>
      </w:r>
      <w:proofErr w:type="spellEnd"/>
      <w:r w:rsidRPr="00036D93">
        <w:rPr>
          <w:rFonts w:ascii="Arial" w:hAnsi="Arial" w:cs="Arial"/>
          <w:highlight w:val="yellow"/>
        </w:rPr>
        <w:t xml:space="preserve">, </w:t>
      </w:r>
      <w:proofErr w:type="spellStart"/>
      <w:r w:rsidRPr="00036D93">
        <w:rPr>
          <w:rFonts w:ascii="Arial" w:hAnsi="Arial" w:cs="Arial"/>
          <w:highlight w:val="yellow"/>
        </w:rPr>
        <w:t>Mannargudi</w:t>
      </w:r>
      <w:proofErr w:type="spellEnd"/>
      <w:r w:rsidRPr="00036D93">
        <w:rPr>
          <w:rFonts w:ascii="Arial" w:hAnsi="Arial" w:cs="Arial"/>
          <w:highlight w:val="yellow"/>
        </w:rPr>
        <w:t xml:space="preserve"> district, Tamil Nadu (latitude 10°36′22.7″N, longitude 79°29′02.0″E; 29 meters above mean sea level) from October to November 2021 and March to April 2022, following a randomized block design (RBD) with three replications.</w:t>
      </w:r>
      <w:r w:rsidRPr="00036D93">
        <w:rPr>
          <w:rFonts w:ascii="Arial" w:hAnsi="Arial" w:cs="Arial"/>
        </w:rPr>
        <w:t xml:space="preserve"> </w:t>
      </w:r>
      <w:r w:rsidR="00965B45" w:rsidRPr="00965B45">
        <w:rPr>
          <w:rFonts w:ascii="Arial" w:hAnsi="Arial" w:cs="Arial"/>
        </w:rPr>
        <w:t xml:space="preserve">The treatment details used in field experiments are: </w:t>
      </w:r>
      <w:r w:rsidR="00965B45" w:rsidRPr="00965B45">
        <w:rPr>
          <w:rFonts w:ascii="Arial" w:hAnsi="Arial" w:cs="Arial"/>
          <w:bCs/>
          <w:iCs/>
        </w:rPr>
        <w:t>T1-Moringa leaf extract @ 2%; T2-Moringa leaf extract @ 3%; T3-Seaweed extract @ 6%; T4-Seaweed extract @ 8%; T5-Salicylic acid @ 100ppm; T6-Salicylic acid @ 200ppm; T7-Humic acid @ 0.2%; T8-Humic acid @ 0.4%; T9-Control; T10- Combination (T1+T3+T5+T7); T11- Combination (T2+T4+T6+T8).</w:t>
      </w:r>
    </w:p>
    <w:p w14:paraId="2AA22FB0" w14:textId="77777777" w:rsidR="00965B45" w:rsidRPr="00965B45" w:rsidRDefault="00965B45" w:rsidP="00965B45">
      <w:pPr>
        <w:pStyle w:val="Body"/>
        <w:spacing w:after="0"/>
        <w:rPr>
          <w:rFonts w:ascii="Arial" w:hAnsi="Arial" w:cs="Arial"/>
          <w:bCs/>
          <w:iCs/>
        </w:rPr>
      </w:pPr>
    </w:p>
    <w:p w14:paraId="7D558156" w14:textId="77777777" w:rsidR="00965B45" w:rsidRPr="00965B45" w:rsidRDefault="00965B45" w:rsidP="00965B45">
      <w:pPr>
        <w:pStyle w:val="Body"/>
        <w:spacing w:after="0"/>
        <w:rPr>
          <w:rFonts w:ascii="Arial" w:hAnsi="Arial" w:cs="Arial"/>
          <w:bCs/>
          <w:iCs/>
        </w:rPr>
      </w:pPr>
      <w:proofErr w:type="spellStart"/>
      <w:r w:rsidRPr="00965B45">
        <w:rPr>
          <w:rFonts w:ascii="Arial" w:hAnsi="Arial" w:cs="Arial"/>
          <w:bCs/>
          <w:iCs/>
        </w:rPr>
        <w:t>Biostimulant</w:t>
      </w:r>
      <w:proofErr w:type="spellEnd"/>
      <w:r w:rsidRPr="00965B45">
        <w:rPr>
          <w:rFonts w:ascii="Arial" w:hAnsi="Arial" w:cs="Arial"/>
          <w:bCs/>
          <w:iCs/>
        </w:rPr>
        <w:t xml:space="preserve"> concentrations selected were based on potential efficacy shown in previous studies in enhancing plant growth, yield and biochemical properties. The phytohormone content present in Moringa leaf extract (MLE) at 2% and 3% has been proved effective in improving growth parameters in crops like cabbage and peas (Hoque, 2020; </w:t>
      </w:r>
      <w:proofErr w:type="spellStart"/>
      <w:r w:rsidRPr="00965B45">
        <w:rPr>
          <w:rFonts w:ascii="Arial" w:hAnsi="Arial" w:cs="Arial"/>
          <w:bCs/>
          <w:iCs/>
        </w:rPr>
        <w:t>Merwad</w:t>
      </w:r>
      <w:proofErr w:type="spellEnd"/>
      <w:r w:rsidRPr="00965B45">
        <w:rPr>
          <w:rFonts w:ascii="Arial" w:hAnsi="Arial" w:cs="Arial"/>
          <w:bCs/>
          <w:iCs/>
        </w:rPr>
        <w:t xml:space="preserve">, 2017). Auxins and </w:t>
      </w:r>
      <w:proofErr w:type="spellStart"/>
      <w:r w:rsidRPr="00965B45">
        <w:rPr>
          <w:rFonts w:ascii="Arial" w:hAnsi="Arial" w:cs="Arial"/>
          <w:bCs/>
          <w:iCs/>
        </w:rPr>
        <w:t>cytokinins</w:t>
      </w:r>
      <w:proofErr w:type="spellEnd"/>
      <w:r w:rsidRPr="00965B45">
        <w:rPr>
          <w:rFonts w:ascii="Arial" w:hAnsi="Arial" w:cs="Arial"/>
          <w:bCs/>
          <w:iCs/>
        </w:rPr>
        <w:t xml:space="preserve"> in seaweed extract at 6% and 8% enhance stress tolerance and yield in tomatoes and strawberries (Ali et al., 2019; Bajpai et al., 2019). Chlorophyll content and stress tolerance improvement in faba beans and soybeans is found from SA at 100 ppm and 200 ppm (Abdelaal, 2015; Kuchlan &amp; Kuchlan, 2021). At concentrations of 0.2 and 0.4%, humic acid significantly increases root growth and nutrient uptake by leafy vegetables such as spinach (</w:t>
      </w:r>
      <w:proofErr w:type="spellStart"/>
      <w:r w:rsidRPr="00965B45">
        <w:rPr>
          <w:rFonts w:ascii="Arial" w:hAnsi="Arial" w:cs="Arial"/>
          <w:bCs/>
          <w:iCs/>
        </w:rPr>
        <w:t>Shuqin</w:t>
      </w:r>
      <w:proofErr w:type="spellEnd"/>
      <w:r w:rsidRPr="00965B45">
        <w:rPr>
          <w:rFonts w:ascii="Arial" w:hAnsi="Arial" w:cs="Arial"/>
          <w:bCs/>
          <w:iCs/>
        </w:rPr>
        <w:t xml:space="preserve">, 2008; Dunoyer et al., 2022). At the same time, combination treatments that exploit synergistic effects of these </w:t>
      </w:r>
      <w:proofErr w:type="spellStart"/>
      <w:r w:rsidRPr="00965B45">
        <w:rPr>
          <w:rFonts w:ascii="Arial" w:hAnsi="Arial" w:cs="Arial"/>
          <w:bCs/>
          <w:iCs/>
        </w:rPr>
        <w:t>biostimulants</w:t>
      </w:r>
      <w:proofErr w:type="spellEnd"/>
      <w:r w:rsidRPr="00965B45">
        <w:rPr>
          <w:rFonts w:ascii="Arial" w:hAnsi="Arial" w:cs="Arial"/>
          <w:bCs/>
          <w:iCs/>
        </w:rPr>
        <w:t xml:space="preserve"> for maximum plant performance and minimal risks of phytotoxicity (Toscano et al., 2021).</w:t>
      </w:r>
    </w:p>
    <w:p w14:paraId="1CFC284C" w14:textId="77777777" w:rsidR="00790ADA" w:rsidRPr="00FB3A86" w:rsidRDefault="00790ADA" w:rsidP="00441B6F">
      <w:pPr>
        <w:pStyle w:val="Body"/>
        <w:spacing w:after="0"/>
        <w:rPr>
          <w:rFonts w:ascii="Arial" w:hAnsi="Arial" w:cs="Arial"/>
        </w:rPr>
      </w:pPr>
    </w:p>
    <w:p w14:paraId="3C04CAFC" w14:textId="68937C7B" w:rsidR="00965B45" w:rsidRPr="00965B45" w:rsidRDefault="00AA74E0" w:rsidP="00965B45">
      <w:pPr>
        <w:pStyle w:val="Body"/>
        <w:rPr>
          <w:rFonts w:ascii="Arial" w:hAnsi="Arial" w:cs="Arial"/>
          <w:b/>
          <w:bCs/>
          <w:caps/>
          <w:sz w:val="22"/>
        </w:rPr>
      </w:pPr>
      <w:r w:rsidRPr="00C30A0F">
        <w:rPr>
          <w:rFonts w:ascii="Arial" w:hAnsi="Arial" w:cs="Arial"/>
          <w:b/>
          <w:caps/>
          <w:sz w:val="22"/>
        </w:rPr>
        <w:t xml:space="preserve">2.1 </w:t>
      </w:r>
      <w:r w:rsidR="00B64E36">
        <w:rPr>
          <w:rFonts w:ascii="Arial" w:hAnsi="Arial" w:cs="Arial"/>
          <w:b/>
          <w:bCs/>
          <w:sz w:val="22"/>
        </w:rPr>
        <w:t>Seed</w:t>
      </w:r>
      <w:r w:rsidR="00B64E36" w:rsidRPr="00965B45">
        <w:rPr>
          <w:rFonts w:ascii="Arial" w:hAnsi="Arial" w:cs="Arial"/>
          <w:b/>
          <w:bCs/>
          <w:sz w:val="22"/>
        </w:rPr>
        <w:t xml:space="preserve"> material and </w:t>
      </w:r>
      <w:proofErr w:type="spellStart"/>
      <w:r w:rsidR="00B64E36" w:rsidRPr="00965B45">
        <w:rPr>
          <w:rFonts w:ascii="Arial" w:hAnsi="Arial" w:cs="Arial"/>
          <w:b/>
          <w:bCs/>
          <w:sz w:val="22"/>
        </w:rPr>
        <w:t>biostimulants</w:t>
      </w:r>
      <w:proofErr w:type="spellEnd"/>
      <w:r w:rsidR="00B64E36" w:rsidRPr="00965B45">
        <w:rPr>
          <w:rFonts w:ascii="Arial" w:hAnsi="Arial" w:cs="Arial"/>
          <w:b/>
          <w:bCs/>
          <w:sz w:val="22"/>
        </w:rPr>
        <w:t xml:space="preserve"> </w:t>
      </w:r>
    </w:p>
    <w:p w14:paraId="16C4D593" w14:textId="754E251D" w:rsidR="00965B45" w:rsidRDefault="00965B45" w:rsidP="00965B45">
      <w:pPr>
        <w:pStyle w:val="Body"/>
        <w:spacing w:after="0"/>
        <w:rPr>
          <w:rFonts w:ascii="Arial" w:hAnsi="Arial" w:cs="Arial"/>
          <w:bCs/>
          <w:lang w:val="en-GB"/>
        </w:rPr>
      </w:pPr>
      <w:bookmarkStart w:id="0" w:name="_Hlk188136860"/>
      <w:r w:rsidRPr="00965B45">
        <w:rPr>
          <w:rFonts w:ascii="Arial" w:hAnsi="Arial" w:cs="Arial"/>
          <w:bCs/>
          <w:lang w:val="en-GB"/>
        </w:rPr>
        <w:lastRenderedPageBreak/>
        <w:t xml:space="preserve">Amaranthus seed was of the CO1 (TNAU) variety (D. </w:t>
      </w:r>
      <w:proofErr w:type="spellStart"/>
      <w:r w:rsidRPr="00965B45">
        <w:rPr>
          <w:rFonts w:ascii="Arial" w:hAnsi="Arial" w:cs="Arial"/>
          <w:bCs/>
          <w:lang w:val="en-GB"/>
        </w:rPr>
        <w:t>Thilokchand</w:t>
      </w:r>
      <w:proofErr w:type="spellEnd"/>
      <w:r w:rsidRPr="00965B45">
        <w:rPr>
          <w:rFonts w:ascii="Arial" w:hAnsi="Arial" w:cs="Arial"/>
          <w:bCs/>
          <w:lang w:val="en-GB"/>
        </w:rPr>
        <w:t xml:space="preserve"> Seeds, Chennai), Seaweed extract BIO VITA (PI Industries, India), and Salicylic acid (Sisco Research Laboratories </w:t>
      </w:r>
      <w:proofErr w:type="spellStart"/>
      <w:r w:rsidRPr="00965B45">
        <w:rPr>
          <w:rFonts w:ascii="Arial" w:hAnsi="Arial" w:cs="Arial"/>
          <w:bCs/>
          <w:lang w:val="en-GB"/>
        </w:rPr>
        <w:t>Pvt.</w:t>
      </w:r>
      <w:proofErr w:type="spellEnd"/>
      <w:r w:rsidRPr="00965B45">
        <w:rPr>
          <w:rFonts w:ascii="Arial" w:hAnsi="Arial" w:cs="Arial"/>
          <w:bCs/>
          <w:lang w:val="en-GB"/>
        </w:rPr>
        <w:t xml:space="preserve"> Ltd., India), and </w:t>
      </w:r>
      <w:proofErr w:type="spellStart"/>
      <w:r w:rsidRPr="00965B45">
        <w:rPr>
          <w:rFonts w:ascii="Arial" w:hAnsi="Arial" w:cs="Arial"/>
          <w:bCs/>
          <w:lang w:val="en-GB"/>
        </w:rPr>
        <w:t>Humicil</w:t>
      </w:r>
      <w:proofErr w:type="spellEnd"/>
      <w:r w:rsidRPr="00965B45">
        <w:rPr>
          <w:rFonts w:ascii="Arial" w:hAnsi="Arial" w:cs="Arial"/>
          <w:bCs/>
          <w:lang w:val="en-GB"/>
        </w:rPr>
        <w:t xml:space="preserve"> (Corteva Agrisciences, India) were used in the study. Additionally, Moringa Leaf Extract (MLE) was prepared in laboratory</w:t>
      </w:r>
      <w:r w:rsidR="00B64E36">
        <w:rPr>
          <w:rFonts w:ascii="Arial" w:hAnsi="Arial" w:cs="Arial"/>
          <w:bCs/>
          <w:lang w:val="en-GB"/>
        </w:rPr>
        <w:t xml:space="preserve"> </w:t>
      </w:r>
      <w:r w:rsidR="00B64E36" w:rsidRPr="00B64E36">
        <w:rPr>
          <w:rFonts w:ascii="Arial" w:hAnsi="Arial" w:cs="Arial"/>
          <w:bCs/>
          <w:lang w:val="en-GB"/>
        </w:rPr>
        <w:t>(Fig.2)</w:t>
      </w:r>
      <w:r w:rsidRPr="00965B45">
        <w:rPr>
          <w:rFonts w:ascii="Arial" w:hAnsi="Arial" w:cs="Arial"/>
          <w:bCs/>
          <w:lang w:val="en-GB"/>
        </w:rPr>
        <w:t xml:space="preserve"> by dehydrating and grinding Moringa leaves and soft parts and mixing with distilled water. This mixture was autoclaved at 121 °C, 15 psi for 20 min, filtered and cooled to 4 °C, was centrifuged and the supernatant was collected as 100% MLE, as per Rama Rao (1990) and Yasmeen (2011) method. The extract was diluted in distilled water to 2% and 3% concentrations. The application of field foliar sprays including all the </w:t>
      </w:r>
      <w:proofErr w:type="spellStart"/>
      <w:r w:rsidRPr="00965B45">
        <w:rPr>
          <w:rFonts w:ascii="Arial" w:hAnsi="Arial" w:cs="Arial"/>
          <w:bCs/>
          <w:lang w:val="en-GB"/>
        </w:rPr>
        <w:t>biostimulants</w:t>
      </w:r>
      <w:proofErr w:type="spellEnd"/>
      <w:r w:rsidRPr="00965B45">
        <w:rPr>
          <w:rFonts w:ascii="Arial" w:hAnsi="Arial" w:cs="Arial"/>
          <w:bCs/>
          <w:lang w:val="en-GB"/>
        </w:rPr>
        <w:t xml:space="preserve"> was performed on the 7th and 14th days after seeding.</w:t>
      </w:r>
    </w:p>
    <w:p w14:paraId="65670256" w14:textId="77777777" w:rsidR="00B64E36" w:rsidRDefault="00B64E36" w:rsidP="00965B45">
      <w:pPr>
        <w:pStyle w:val="Body"/>
        <w:spacing w:after="0"/>
        <w:rPr>
          <w:rFonts w:ascii="Arial" w:hAnsi="Arial" w:cs="Arial"/>
          <w:bCs/>
          <w:lang w:val="en-GB"/>
        </w:rPr>
      </w:pPr>
    </w:p>
    <w:p w14:paraId="309C51D3" w14:textId="58329573" w:rsidR="00B64E36" w:rsidRDefault="009C0BEA" w:rsidP="00B64E36">
      <w:pPr>
        <w:pStyle w:val="Body"/>
        <w:spacing w:after="0"/>
        <w:jc w:val="center"/>
        <w:rPr>
          <w:rFonts w:ascii="Arial" w:hAnsi="Arial" w:cs="Arial"/>
          <w:bCs/>
          <w:lang w:val="en-GB"/>
        </w:rPr>
      </w:pPr>
      <w:r>
        <w:rPr>
          <w:rFonts w:ascii="Arial" w:hAnsi="Arial" w:cs="Arial"/>
          <w:bCs/>
          <w:noProof/>
          <w:lang w:val="en-GB"/>
        </w:rPr>
        <w:drawing>
          <wp:inline distT="0" distB="0" distL="0" distR="0" wp14:anchorId="279C4D19" wp14:editId="67918F02">
            <wp:extent cx="5212080" cy="2707005"/>
            <wp:effectExtent l="76200" t="76200" r="140970" b="131445"/>
            <wp:docPr id="12477821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82199" name="Picture 12477821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2707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188B2B" w14:textId="2AFC630B" w:rsidR="00965B45" w:rsidRPr="00037420" w:rsidRDefault="00037420" w:rsidP="00965B45">
      <w:pPr>
        <w:pStyle w:val="Body"/>
        <w:spacing w:after="0"/>
        <w:rPr>
          <w:rFonts w:ascii="Arial" w:hAnsi="Arial" w:cs="Arial"/>
          <w:b/>
          <w:bCs/>
        </w:rPr>
      </w:pPr>
      <w:r w:rsidRPr="00037420">
        <w:rPr>
          <w:rFonts w:ascii="Arial" w:hAnsi="Arial" w:cs="Arial"/>
          <w:b/>
          <w:bCs/>
        </w:rPr>
        <w:t>Fig. 2 Illustration of the preparation of Moringa Leaf Extract (MLE) and dilution to desired concentration</w:t>
      </w:r>
    </w:p>
    <w:p w14:paraId="4F508823" w14:textId="77777777" w:rsidR="00965B45" w:rsidRDefault="00965B45" w:rsidP="00965B45">
      <w:pPr>
        <w:pStyle w:val="Body"/>
        <w:spacing w:after="0"/>
        <w:rPr>
          <w:rFonts w:ascii="Arial" w:hAnsi="Arial" w:cs="Arial"/>
          <w:bCs/>
          <w:lang w:val="en-GB"/>
        </w:rPr>
      </w:pPr>
    </w:p>
    <w:p w14:paraId="393C2A53" w14:textId="02FC8379" w:rsidR="00965B45" w:rsidRDefault="00965B45" w:rsidP="00965B45">
      <w:pPr>
        <w:pStyle w:val="Body"/>
        <w:spacing w:after="0"/>
        <w:rPr>
          <w:rFonts w:ascii="Arial" w:hAnsi="Arial" w:cs="Arial"/>
          <w:b/>
          <w:bCs/>
          <w:sz w:val="22"/>
          <w:szCs w:val="22"/>
        </w:rPr>
      </w:pPr>
      <w:r w:rsidRPr="00965B45">
        <w:rPr>
          <w:rFonts w:ascii="Arial" w:hAnsi="Arial" w:cs="Arial"/>
          <w:b/>
          <w:bCs/>
          <w:sz w:val="22"/>
          <w:szCs w:val="22"/>
        </w:rPr>
        <w:t xml:space="preserve">2.2 </w:t>
      </w:r>
      <w:r w:rsidR="00B64E36">
        <w:rPr>
          <w:rFonts w:ascii="Arial" w:hAnsi="Arial" w:cs="Arial"/>
          <w:b/>
          <w:bCs/>
          <w:sz w:val="22"/>
          <w:szCs w:val="22"/>
        </w:rPr>
        <w:t>O</w:t>
      </w:r>
      <w:r w:rsidR="00B64E36" w:rsidRPr="00965B45">
        <w:rPr>
          <w:rFonts w:ascii="Arial" w:hAnsi="Arial" w:cs="Arial"/>
          <w:b/>
          <w:bCs/>
          <w:sz w:val="22"/>
          <w:szCs w:val="22"/>
        </w:rPr>
        <w:t>bservations</w:t>
      </w:r>
    </w:p>
    <w:p w14:paraId="18C8AF53" w14:textId="77777777" w:rsidR="00965B45" w:rsidRPr="00965B45" w:rsidRDefault="00965B45" w:rsidP="00965B45">
      <w:pPr>
        <w:pStyle w:val="Body"/>
        <w:spacing w:after="0"/>
        <w:rPr>
          <w:rFonts w:ascii="Arial" w:hAnsi="Arial" w:cs="Arial"/>
          <w:b/>
          <w:bCs/>
          <w:sz w:val="22"/>
          <w:szCs w:val="22"/>
        </w:rPr>
      </w:pPr>
    </w:p>
    <w:p w14:paraId="54307EA7" w14:textId="0EED6388" w:rsidR="00965B45" w:rsidRPr="00965B45" w:rsidRDefault="00321B75" w:rsidP="00965B45">
      <w:pPr>
        <w:pStyle w:val="Body"/>
        <w:spacing w:after="0"/>
        <w:rPr>
          <w:rFonts w:ascii="Arial" w:hAnsi="Arial" w:cs="Arial"/>
          <w:b/>
          <w:bCs/>
        </w:rPr>
      </w:pPr>
      <w:bookmarkStart w:id="1" w:name="_Hlk192077694"/>
      <w:r w:rsidRPr="00321B75">
        <w:rPr>
          <w:rFonts w:ascii="Arial" w:hAnsi="Arial" w:cs="Arial"/>
          <w:b/>
          <w:u w:val="single"/>
        </w:rPr>
        <w:t>2.</w:t>
      </w:r>
      <w:r>
        <w:rPr>
          <w:rFonts w:ascii="Arial" w:hAnsi="Arial" w:cs="Arial"/>
          <w:b/>
          <w:u w:val="single"/>
        </w:rPr>
        <w:t>2</w:t>
      </w:r>
      <w:r w:rsidRPr="00321B75">
        <w:rPr>
          <w:rFonts w:ascii="Arial" w:hAnsi="Arial" w:cs="Arial"/>
          <w:b/>
          <w:u w:val="single"/>
        </w:rPr>
        <w:t xml:space="preserve">.1 </w:t>
      </w:r>
      <w:bookmarkEnd w:id="1"/>
      <w:r w:rsidR="00965B45" w:rsidRPr="00321B75">
        <w:rPr>
          <w:rFonts w:ascii="Arial" w:hAnsi="Arial" w:cs="Arial"/>
          <w:b/>
          <w:u w:val="single"/>
        </w:rPr>
        <w:t>Growth and yield parameters:</w:t>
      </w:r>
      <w:r w:rsidR="00965B45" w:rsidRPr="00965B45">
        <w:rPr>
          <w:rFonts w:ascii="Arial" w:hAnsi="Arial" w:cs="Arial"/>
          <w:b/>
          <w:bCs/>
        </w:rPr>
        <w:t xml:space="preserve"> </w:t>
      </w:r>
      <w:r w:rsidR="00965B45" w:rsidRPr="00965B45">
        <w:rPr>
          <w:rFonts w:ascii="Arial" w:hAnsi="Arial" w:cs="Arial"/>
          <w:bCs/>
        </w:rPr>
        <w:t>Plant height (cm), number of leaves per plant, leaf area (cm</w:t>
      </w:r>
      <w:r w:rsidR="00965B45" w:rsidRPr="00965B45">
        <w:rPr>
          <w:rFonts w:ascii="Arial" w:hAnsi="Arial" w:cs="Arial"/>
          <w:bCs/>
          <w:vertAlign w:val="superscript"/>
        </w:rPr>
        <w:t>2</w:t>
      </w:r>
      <w:r w:rsidR="00965B45" w:rsidRPr="00965B45">
        <w:rPr>
          <w:rFonts w:ascii="Arial" w:hAnsi="Arial" w:cs="Arial"/>
          <w:bCs/>
        </w:rPr>
        <w:t>), number of branches per plant, root length (cm), stem girth (cm), leaf/stem ratio, fresh weight of leaves per plant (g/plant), and yield per plot (g) were measured.</w:t>
      </w:r>
    </w:p>
    <w:p w14:paraId="23DA62D1" w14:textId="77777777" w:rsidR="00321B75" w:rsidRDefault="00321B75" w:rsidP="00965B45">
      <w:pPr>
        <w:pStyle w:val="Body"/>
        <w:spacing w:after="0"/>
        <w:rPr>
          <w:rFonts w:ascii="Arial" w:hAnsi="Arial" w:cs="Arial"/>
          <w:bCs/>
        </w:rPr>
      </w:pPr>
    </w:p>
    <w:p w14:paraId="6377B7F7" w14:textId="3BC25061" w:rsidR="00965B45" w:rsidRPr="00C27A22" w:rsidRDefault="00C27A22" w:rsidP="00965B45">
      <w:pPr>
        <w:pStyle w:val="Body"/>
        <w:spacing w:after="0"/>
        <w:rPr>
          <w:rFonts w:ascii="Arial" w:hAnsi="Arial" w:cs="Arial"/>
          <w:b/>
          <w:u w:val="single"/>
        </w:rPr>
      </w:pPr>
      <w:r w:rsidRPr="00C27A22">
        <w:rPr>
          <w:rFonts w:ascii="Arial" w:hAnsi="Arial" w:cs="Arial"/>
          <w:b/>
          <w:u w:val="single"/>
        </w:rPr>
        <w:t>2.2.2 Physiological</w:t>
      </w:r>
      <w:r w:rsidR="00965B45" w:rsidRPr="00C27A22">
        <w:rPr>
          <w:rFonts w:ascii="Arial" w:hAnsi="Arial" w:cs="Arial"/>
          <w:b/>
          <w:u w:val="single"/>
        </w:rPr>
        <w:t xml:space="preserve"> parameters</w:t>
      </w:r>
    </w:p>
    <w:p w14:paraId="430E8D15" w14:textId="77777777" w:rsidR="00965B45" w:rsidRPr="00965B45" w:rsidRDefault="00965B45" w:rsidP="00965B45">
      <w:pPr>
        <w:pStyle w:val="Body"/>
        <w:spacing w:after="0"/>
        <w:rPr>
          <w:rFonts w:ascii="Arial" w:hAnsi="Arial" w:cs="Arial"/>
          <w:bCs/>
        </w:rPr>
      </w:pPr>
    </w:p>
    <w:p w14:paraId="02D95CC5" w14:textId="226BE24C" w:rsidR="00965B45" w:rsidRDefault="00C27A22" w:rsidP="00965B45">
      <w:pPr>
        <w:pStyle w:val="Body"/>
        <w:spacing w:after="0"/>
        <w:rPr>
          <w:rFonts w:ascii="Arial" w:hAnsi="Arial" w:cs="Arial"/>
          <w:bCs/>
          <w:lang w:val="en-GB"/>
        </w:rPr>
      </w:pPr>
      <w:r w:rsidRPr="00C27A22">
        <w:rPr>
          <w:rFonts w:ascii="Arial" w:hAnsi="Arial" w:cs="Arial"/>
          <w:bCs/>
          <w:i/>
          <w:iCs/>
        </w:rPr>
        <w:t xml:space="preserve">2.2.2.1 </w:t>
      </w:r>
      <w:r w:rsidR="00965B45" w:rsidRPr="00C27A22">
        <w:rPr>
          <w:rFonts w:ascii="Arial" w:hAnsi="Arial" w:cs="Arial"/>
          <w:bCs/>
          <w:i/>
          <w:iCs/>
        </w:rPr>
        <w:t>Relative water content (%):</w:t>
      </w:r>
      <w:r w:rsidR="00965B45" w:rsidRPr="00965B45">
        <w:rPr>
          <w:rFonts w:ascii="Arial" w:hAnsi="Arial" w:cs="Arial"/>
          <w:b/>
          <w:bCs/>
        </w:rPr>
        <w:t xml:space="preserve"> </w:t>
      </w:r>
      <w:r w:rsidR="00965B45" w:rsidRPr="00965B45">
        <w:rPr>
          <w:rFonts w:ascii="Arial" w:hAnsi="Arial" w:cs="Arial"/>
          <w:bCs/>
          <w:lang w:val="en-GB"/>
        </w:rPr>
        <w:t>The leaves, shoots, and roots were washed and weighed immediately after harvest (Fresh Weight- FW). The plants were dried in a hot air oven at 80°C for 24 h to find out dry weight (Dry Weight- DW). Relative water content was calculated from weights obtained as described by Barr (1962).</w:t>
      </w:r>
    </w:p>
    <w:p w14:paraId="1F9876C0" w14:textId="77777777" w:rsidR="00965B45" w:rsidRPr="00965B45" w:rsidRDefault="00965B45" w:rsidP="00965B45">
      <w:pPr>
        <w:pStyle w:val="Body"/>
        <w:spacing w:after="0"/>
        <w:rPr>
          <w:rFonts w:ascii="Arial" w:hAnsi="Arial" w:cs="Arial"/>
          <w:bCs/>
        </w:rPr>
      </w:pPr>
    </w:p>
    <w:p w14:paraId="67C8A377" w14:textId="17F64DC9" w:rsidR="00965B45" w:rsidRPr="00965B45" w:rsidRDefault="00965B45" w:rsidP="00965B45">
      <w:pPr>
        <w:pStyle w:val="Body"/>
        <w:spacing w:after="0"/>
        <w:rPr>
          <w:rFonts w:ascii="Arial" w:hAnsi="Arial" w:cs="Arial"/>
          <w:bCs/>
        </w:rPr>
      </w:pPr>
      <m:oMathPara>
        <m:oMath>
          <m:r>
            <m:rPr>
              <m:sty m:val="p"/>
            </m:rPr>
            <w:rPr>
              <w:rFonts w:ascii="Cambria Math" w:hAnsi="Cambria Math" w:cs="Arial"/>
            </w:rPr>
            <m:t xml:space="preserve">Water Content </m:t>
          </m:r>
          <m:d>
            <m:dPr>
              <m:ctrlPr>
                <w:rPr>
                  <w:rFonts w:ascii="Cambria Math" w:hAnsi="Cambria Math" w:cs="Arial"/>
                  <w:bCs/>
                  <w:iCs/>
                </w:rPr>
              </m:ctrlPr>
            </m:dPr>
            <m:e>
              <m:r>
                <m:rPr>
                  <m:sty m:val="p"/>
                </m:rPr>
                <w:rPr>
                  <w:rFonts w:ascii="Cambria Math" w:hAnsi="Cambria Math" w:cs="Arial"/>
                </w:rPr>
                <m:t>WC</m:t>
              </m:r>
            </m:e>
          </m:d>
          <m:r>
            <w:rPr>
              <w:rFonts w:ascii="Cambria Math" w:hAnsi="Cambria Math" w:cs="Arial"/>
            </w:rPr>
            <m:t>=</m:t>
          </m:r>
          <m:d>
            <m:dPr>
              <m:ctrlPr>
                <w:rPr>
                  <w:rFonts w:ascii="Cambria Math" w:hAnsi="Cambria Math" w:cs="Arial"/>
                  <w:bCs/>
                </w:rPr>
              </m:ctrlPr>
            </m:dPr>
            <m:e>
              <m:f>
                <m:fPr>
                  <m:ctrlPr>
                    <w:rPr>
                      <w:rFonts w:ascii="Cambria Math" w:hAnsi="Cambria Math" w:cs="Arial"/>
                      <w:bCs/>
                    </w:rPr>
                  </m:ctrlPr>
                </m:fPr>
                <m:num>
                  <m:r>
                    <m:rPr>
                      <m:nor/>
                    </m:rPr>
                    <w:rPr>
                      <w:rFonts w:ascii="Arial" w:hAnsi="Arial" w:cs="Arial"/>
                      <w:bCs/>
                    </w:rPr>
                    <m:t>FW</m:t>
                  </m:r>
                  <m:r>
                    <w:rPr>
                      <w:rFonts w:ascii="Cambria Math" w:hAnsi="Cambria Math" w:cs="Arial"/>
                    </w:rPr>
                    <m:t>-</m:t>
                  </m:r>
                  <m:r>
                    <m:rPr>
                      <m:nor/>
                    </m:rPr>
                    <w:rPr>
                      <w:rFonts w:ascii="Arial" w:hAnsi="Arial" w:cs="Arial"/>
                      <w:bCs/>
                    </w:rPr>
                    <m:t>DW</m:t>
                  </m:r>
                  <m:ctrlPr>
                    <w:rPr>
                      <w:rFonts w:ascii="Cambria Math" w:hAnsi="Cambria Math" w:cs="Arial"/>
                      <w:bCs/>
                      <w:i/>
                    </w:rPr>
                  </m:ctrlPr>
                </m:num>
                <m:den>
                  <m:r>
                    <m:rPr>
                      <m:nor/>
                    </m:rPr>
                    <w:rPr>
                      <w:rFonts w:ascii="Arial" w:hAnsi="Arial" w:cs="Arial"/>
                      <w:bCs/>
                    </w:rPr>
                    <m:t>FW</m:t>
                  </m:r>
                  <m:ctrlPr>
                    <w:rPr>
                      <w:rFonts w:ascii="Cambria Math" w:hAnsi="Cambria Math" w:cs="Arial"/>
                      <w:bCs/>
                      <w:i/>
                    </w:rPr>
                  </m:ctrlPr>
                </m:den>
              </m:f>
              <m:ctrlPr>
                <w:rPr>
                  <w:rFonts w:ascii="Cambria Math" w:hAnsi="Cambria Math" w:cs="Arial"/>
                  <w:bCs/>
                  <w:i/>
                </w:rPr>
              </m:ctrlPr>
            </m:e>
          </m:d>
          <m:r>
            <m:rPr>
              <m:sty m:val="p"/>
            </m:rPr>
            <w:rPr>
              <w:rFonts w:ascii="Cambria Math" w:hAnsi="Cambria Math" w:cs="Arial"/>
            </w:rPr>
            <m:t>×</m:t>
          </m:r>
          <m:r>
            <w:rPr>
              <w:rFonts w:ascii="Cambria Math" w:hAnsi="Cambria Math" w:cs="Arial"/>
            </w:rPr>
            <m:t>100</m:t>
          </m:r>
        </m:oMath>
      </m:oMathPara>
    </w:p>
    <w:p w14:paraId="2DF9A81E" w14:textId="77777777" w:rsidR="00965B45" w:rsidRPr="00965B45" w:rsidRDefault="00965B45" w:rsidP="00965B45">
      <w:pPr>
        <w:pStyle w:val="Body"/>
        <w:spacing w:after="0"/>
        <w:rPr>
          <w:rFonts w:ascii="Arial" w:hAnsi="Arial" w:cs="Arial"/>
          <w:bCs/>
        </w:rPr>
      </w:pPr>
    </w:p>
    <w:p w14:paraId="17340B64" w14:textId="5C555CC8" w:rsidR="00965B45" w:rsidRDefault="00C27A22" w:rsidP="00965B45">
      <w:pPr>
        <w:pStyle w:val="Body"/>
        <w:spacing w:after="0"/>
        <w:rPr>
          <w:rFonts w:ascii="Arial" w:hAnsi="Arial" w:cs="Arial"/>
          <w:bCs/>
        </w:rPr>
      </w:pPr>
      <w:r w:rsidRPr="00C27A22">
        <w:rPr>
          <w:rFonts w:ascii="Arial" w:hAnsi="Arial" w:cs="Arial"/>
          <w:bCs/>
          <w:i/>
          <w:iCs/>
        </w:rPr>
        <w:t xml:space="preserve">2.2.2.2 </w:t>
      </w:r>
      <w:r w:rsidR="00965B45" w:rsidRPr="00C27A22">
        <w:rPr>
          <w:rFonts w:ascii="Arial" w:hAnsi="Arial" w:cs="Arial"/>
          <w:bCs/>
          <w:i/>
          <w:iCs/>
        </w:rPr>
        <w:t>Physiological loss in weight (PLW):</w:t>
      </w:r>
      <w:r w:rsidR="00965B45" w:rsidRPr="00965B45">
        <w:rPr>
          <w:rFonts w:ascii="Arial" w:hAnsi="Arial" w:cs="Arial"/>
          <w:b/>
          <w:bCs/>
        </w:rPr>
        <w:t xml:space="preserve"> </w:t>
      </w:r>
      <w:r w:rsidR="00965B45" w:rsidRPr="00965B45">
        <w:rPr>
          <w:rFonts w:ascii="Arial" w:hAnsi="Arial" w:cs="Arial"/>
          <w:bCs/>
        </w:rPr>
        <w:t>The weight of the plants lost cumulatively was recorded and expressed as percentage physiological loss of weight (Srivastava and Tandon, 1968). PLW was measured on days 2, 4, and 8 of storage for all treatments.</w:t>
      </w:r>
    </w:p>
    <w:p w14:paraId="57D6C016" w14:textId="77777777" w:rsidR="00965B45" w:rsidRPr="00965B45" w:rsidRDefault="00965B45" w:rsidP="00965B45">
      <w:pPr>
        <w:pStyle w:val="Body"/>
        <w:spacing w:after="0"/>
        <w:rPr>
          <w:rFonts w:ascii="Arial" w:hAnsi="Arial" w:cs="Arial"/>
          <w:b/>
          <w:bCs/>
        </w:rPr>
      </w:pPr>
    </w:p>
    <w:p w14:paraId="42A5A8CF" w14:textId="61E1A991" w:rsidR="00965B45" w:rsidRPr="00965B45" w:rsidRDefault="00965B45" w:rsidP="00965B45">
      <w:pPr>
        <w:pStyle w:val="Body"/>
        <w:spacing w:after="0"/>
        <w:rPr>
          <w:rFonts w:ascii="Arial" w:hAnsi="Arial" w:cs="Arial"/>
          <w:bCs/>
        </w:rPr>
      </w:pPr>
      <m:oMathPara>
        <m:oMath>
          <m:r>
            <m:rPr>
              <m:nor/>
            </m:rPr>
            <w:rPr>
              <w:rFonts w:ascii="Arial" w:hAnsi="Arial" w:cs="Arial"/>
              <w:bCs/>
            </w:rPr>
            <m:t>Physiological Loss in Weight (PLW)</m:t>
          </m:r>
          <m:r>
            <w:rPr>
              <w:rFonts w:ascii="Cambria Math" w:hAnsi="Cambria Math" w:cs="Arial"/>
            </w:rPr>
            <m:t>=</m:t>
          </m:r>
          <m:d>
            <m:dPr>
              <m:ctrlPr>
                <w:rPr>
                  <w:rFonts w:ascii="Cambria Math" w:hAnsi="Cambria Math" w:cs="Arial"/>
                  <w:bCs/>
                </w:rPr>
              </m:ctrlPr>
            </m:dPr>
            <m:e>
              <m:f>
                <m:fPr>
                  <m:ctrlPr>
                    <w:rPr>
                      <w:rFonts w:ascii="Cambria Math" w:hAnsi="Cambria Math" w:cs="Arial"/>
                      <w:bCs/>
                    </w:rPr>
                  </m:ctrlPr>
                </m:fPr>
                <m:num>
                  <m:sSub>
                    <m:sSubPr>
                      <m:ctrlPr>
                        <w:rPr>
                          <w:rFonts w:ascii="Cambria Math" w:hAnsi="Cambria Math" w:cs="Arial"/>
                          <w:bCs/>
                          <w:i/>
                        </w:rPr>
                      </m:ctrlPr>
                    </m:sSubPr>
                    <m:e>
                      <m:r>
                        <w:rPr>
                          <w:rFonts w:ascii="Cambria Math" w:hAnsi="Cambria Math" w:cs="Arial"/>
                        </w:rPr>
                        <m:t>P</m:t>
                      </m:r>
                    </m:e>
                    <m:sub>
                      <m:r>
                        <w:rPr>
                          <w:rFonts w:ascii="Cambria Math" w:hAnsi="Cambria Math" w:cs="Arial"/>
                        </w:rPr>
                        <m:t>0</m:t>
                      </m:r>
                    </m:sub>
                  </m:sSub>
                  <m:r>
                    <w:rPr>
                      <w:rFonts w:ascii="Cambria Math" w:hAnsi="Cambria Math" w:cs="Arial"/>
                    </w:rPr>
                    <m:t>-</m:t>
                  </m:r>
                  <m:sSub>
                    <m:sSubPr>
                      <m:ctrlPr>
                        <w:rPr>
                          <w:rFonts w:ascii="Cambria Math" w:hAnsi="Cambria Math" w:cs="Arial"/>
                          <w:bCs/>
                          <w:i/>
                        </w:rPr>
                      </m:ctrlPr>
                    </m:sSubPr>
                    <m:e>
                      <m:r>
                        <w:rPr>
                          <w:rFonts w:ascii="Cambria Math" w:hAnsi="Cambria Math" w:cs="Arial"/>
                        </w:rPr>
                        <m:t>P</m:t>
                      </m:r>
                    </m:e>
                    <m:sub>
                      <m:r>
                        <w:rPr>
                          <w:rFonts w:ascii="Cambria Math" w:hAnsi="Cambria Math" w:cs="Arial"/>
                        </w:rPr>
                        <m:t>1</m:t>
                      </m:r>
                    </m:sub>
                  </m:sSub>
                  <m:ctrlPr>
                    <w:rPr>
                      <w:rFonts w:ascii="Cambria Math" w:hAnsi="Cambria Math" w:cs="Arial"/>
                      <w:bCs/>
                      <w:i/>
                    </w:rPr>
                  </m:ctrlPr>
                </m:num>
                <m:den>
                  <m:sSub>
                    <m:sSubPr>
                      <m:ctrlPr>
                        <w:rPr>
                          <w:rFonts w:ascii="Cambria Math" w:hAnsi="Cambria Math" w:cs="Arial"/>
                          <w:bCs/>
                          <w:i/>
                        </w:rPr>
                      </m:ctrlPr>
                    </m:sSubPr>
                    <m:e>
                      <m:r>
                        <w:rPr>
                          <w:rFonts w:ascii="Cambria Math" w:hAnsi="Cambria Math" w:cs="Arial"/>
                        </w:rPr>
                        <m:t>P</m:t>
                      </m:r>
                    </m:e>
                    <m:sub>
                      <m:r>
                        <w:rPr>
                          <w:rFonts w:ascii="Cambria Math" w:hAnsi="Cambria Math" w:cs="Arial"/>
                        </w:rPr>
                        <m:t>0</m:t>
                      </m:r>
                    </m:sub>
                  </m:sSub>
                  <m:ctrlPr>
                    <w:rPr>
                      <w:rFonts w:ascii="Cambria Math" w:hAnsi="Cambria Math" w:cs="Arial"/>
                      <w:bCs/>
                      <w:i/>
                    </w:rPr>
                  </m:ctrlPr>
                </m:den>
              </m:f>
              <m:ctrlPr>
                <w:rPr>
                  <w:rFonts w:ascii="Cambria Math" w:hAnsi="Cambria Math" w:cs="Arial"/>
                  <w:bCs/>
                  <w:i/>
                </w:rPr>
              </m:ctrlPr>
            </m:e>
          </m:d>
          <m:r>
            <m:rPr>
              <m:sty m:val="p"/>
            </m:rPr>
            <w:rPr>
              <w:rFonts w:ascii="Cambria Math" w:hAnsi="Cambria Math" w:cs="Arial"/>
            </w:rPr>
            <m:t>×</m:t>
          </m:r>
          <m:r>
            <w:rPr>
              <w:rFonts w:ascii="Cambria Math" w:hAnsi="Cambria Math" w:cs="Arial"/>
            </w:rPr>
            <m:t>100</m:t>
          </m:r>
        </m:oMath>
      </m:oMathPara>
    </w:p>
    <w:p w14:paraId="6849F0DA" w14:textId="77777777" w:rsidR="00965B45" w:rsidRDefault="00965B45" w:rsidP="00965B45">
      <w:pPr>
        <w:pStyle w:val="Body"/>
        <w:spacing w:after="0"/>
        <w:rPr>
          <w:rFonts w:ascii="Arial" w:hAnsi="Arial" w:cs="Arial"/>
          <w:bCs/>
        </w:rPr>
      </w:pPr>
      <w:r w:rsidRPr="00965B45">
        <w:rPr>
          <w:rFonts w:ascii="Arial" w:hAnsi="Arial" w:cs="Arial"/>
          <w:bCs/>
        </w:rPr>
        <w:t>Where P</w:t>
      </w:r>
      <w:r w:rsidRPr="00965B45">
        <w:rPr>
          <w:rFonts w:ascii="Arial" w:hAnsi="Arial" w:cs="Arial"/>
          <w:bCs/>
          <w:vertAlign w:val="subscript"/>
        </w:rPr>
        <w:t>0</w:t>
      </w:r>
      <w:r w:rsidRPr="00965B45">
        <w:rPr>
          <w:rFonts w:ascii="Arial" w:hAnsi="Arial" w:cs="Arial"/>
          <w:bCs/>
        </w:rPr>
        <w:t xml:space="preserve"> - Initial Weight; P</w:t>
      </w:r>
      <w:r w:rsidRPr="00965B45">
        <w:rPr>
          <w:rFonts w:ascii="Arial" w:hAnsi="Arial" w:cs="Arial"/>
          <w:bCs/>
          <w:vertAlign w:val="subscript"/>
        </w:rPr>
        <w:t>1</w:t>
      </w:r>
      <w:r w:rsidRPr="00965B45">
        <w:rPr>
          <w:rFonts w:ascii="Arial" w:hAnsi="Arial" w:cs="Arial"/>
          <w:bCs/>
        </w:rPr>
        <w:t xml:space="preserve"> - Final Weight</w:t>
      </w:r>
    </w:p>
    <w:p w14:paraId="3CCEC657" w14:textId="77777777" w:rsidR="00965B45" w:rsidRPr="00965B45" w:rsidRDefault="00965B45" w:rsidP="00965B45">
      <w:pPr>
        <w:pStyle w:val="Body"/>
        <w:spacing w:after="0"/>
        <w:rPr>
          <w:rFonts w:ascii="Arial" w:hAnsi="Arial" w:cs="Arial"/>
          <w:bCs/>
        </w:rPr>
      </w:pPr>
    </w:p>
    <w:p w14:paraId="47EB8567" w14:textId="00A7581F" w:rsidR="00965B45" w:rsidRPr="00321B75" w:rsidRDefault="00C27A22" w:rsidP="00965B45">
      <w:pPr>
        <w:pStyle w:val="Body"/>
        <w:rPr>
          <w:rFonts w:ascii="Arial" w:hAnsi="Arial" w:cs="Arial"/>
          <w:bCs/>
        </w:rPr>
      </w:pPr>
      <w:r w:rsidRPr="00C27A22">
        <w:rPr>
          <w:rFonts w:ascii="Arial" w:hAnsi="Arial" w:cs="Arial"/>
          <w:bCs/>
          <w:i/>
          <w:iCs/>
        </w:rPr>
        <w:t xml:space="preserve">2.2.2.3 </w:t>
      </w:r>
      <w:r w:rsidR="00965B45" w:rsidRPr="00C27A22">
        <w:rPr>
          <w:rFonts w:ascii="Arial" w:hAnsi="Arial" w:cs="Arial"/>
          <w:bCs/>
          <w:i/>
          <w:iCs/>
        </w:rPr>
        <w:t>Membrane stability Index (MSI):</w:t>
      </w:r>
      <w:r w:rsidR="00965B45" w:rsidRPr="00965B45">
        <w:rPr>
          <w:rFonts w:ascii="Arial" w:hAnsi="Arial" w:cs="Arial"/>
          <w:b/>
          <w:bCs/>
        </w:rPr>
        <w:t xml:space="preserve"> </w:t>
      </w:r>
      <w:r w:rsidR="00965B45" w:rsidRPr="00965B45">
        <w:rPr>
          <w:rFonts w:ascii="Arial" w:hAnsi="Arial" w:cs="Arial"/>
          <w:bCs/>
        </w:rPr>
        <w:t xml:space="preserve">The Membrane Stability Index (MSI) was determined by modifying the method of </w:t>
      </w:r>
      <w:proofErr w:type="spellStart"/>
      <w:r w:rsidR="00965B45" w:rsidRPr="00965B45">
        <w:rPr>
          <w:rFonts w:ascii="Arial" w:hAnsi="Arial" w:cs="Arial"/>
          <w:bCs/>
        </w:rPr>
        <w:t>Khongwir</w:t>
      </w:r>
      <w:proofErr w:type="spellEnd"/>
      <w:r w:rsidR="00965B45" w:rsidRPr="00965B45">
        <w:rPr>
          <w:rFonts w:ascii="Arial" w:hAnsi="Arial" w:cs="Arial"/>
          <w:bCs/>
        </w:rPr>
        <w:t xml:space="preserve"> et al. (2015). Leaf samples (5g) were placed in 100 ml of double-distilled water for each treatment. One set was refrigerated at 4°C for 30 minutes and their electrical conductivity (C1) was measured using a Hanna Instruments E.C. &amp; pH meter (model: HI5222). The other set, after a 15-minute 100°C water bath, had their electrical conductivity (C2) measured. The MSI of the samples was then calculated using the below formula,</w:t>
      </w:r>
    </w:p>
    <w:p w14:paraId="3169995C" w14:textId="1B4B5816" w:rsidR="00965B45" w:rsidRPr="00321B75" w:rsidRDefault="00965B45" w:rsidP="00965B45">
      <w:pPr>
        <w:pStyle w:val="Body"/>
        <w:spacing w:after="0"/>
        <w:rPr>
          <w:rFonts w:ascii="Arial" w:hAnsi="Arial" w:cs="Arial"/>
          <w:bCs/>
        </w:rPr>
      </w:pPr>
      <m:oMathPara>
        <m:oMath>
          <m:r>
            <m:rPr>
              <m:nor/>
            </m:rPr>
            <w:rPr>
              <w:rFonts w:ascii="Arial" w:hAnsi="Arial" w:cs="Arial"/>
              <w:bCs/>
            </w:rPr>
            <m:t>MSI %</m:t>
          </m:r>
          <m:r>
            <w:rPr>
              <w:rFonts w:ascii="Cambria Math" w:hAnsi="Cambria Math" w:cs="Arial"/>
            </w:rPr>
            <m:t>=</m:t>
          </m:r>
          <m:d>
            <m:dPr>
              <m:ctrlPr>
                <w:rPr>
                  <w:rFonts w:ascii="Cambria Math" w:hAnsi="Cambria Math" w:cs="Arial"/>
                  <w:bCs/>
                </w:rPr>
              </m:ctrlPr>
            </m:dPr>
            <m:e>
              <m:r>
                <w:rPr>
                  <w:rFonts w:ascii="Cambria Math" w:hAnsi="Cambria Math" w:cs="Arial"/>
                </w:rPr>
                <m:t>1-</m:t>
              </m:r>
              <m:f>
                <m:fPr>
                  <m:ctrlPr>
                    <w:rPr>
                      <w:rFonts w:ascii="Cambria Math" w:hAnsi="Cambria Math" w:cs="Arial"/>
                      <w:bCs/>
                    </w:rPr>
                  </m:ctrlPr>
                </m:fPr>
                <m:num>
                  <m:sSub>
                    <m:sSubPr>
                      <m:ctrlPr>
                        <w:rPr>
                          <w:rFonts w:ascii="Cambria Math" w:hAnsi="Cambria Math" w:cs="Arial"/>
                          <w:bCs/>
                          <w:i/>
                        </w:rPr>
                      </m:ctrlPr>
                    </m:sSubPr>
                    <m:e>
                      <m:r>
                        <w:rPr>
                          <w:rFonts w:ascii="Cambria Math" w:hAnsi="Cambria Math" w:cs="Arial"/>
                        </w:rPr>
                        <m:t>C</m:t>
                      </m:r>
                    </m:e>
                    <m:sub>
                      <m:r>
                        <w:rPr>
                          <w:rFonts w:ascii="Cambria Math" w:hAnsi="Cambria Math" w:cs="Arial"/>
                        </w:rPr>
                        <m:t>1</m:t>
                      </m:r>
                    </m:sub>
                  </m:sSub>
                  <m:ctrlPr>
                    <w:rPr>
                      <w:rFonts w:ascii="Cambria Math" w:hAnsi="Cambria Math" w:cs="Arial"/>
                      <w:bCs/>
                      <w:i/>
                    </w:rPr>
                  </m:ctrlPr>
                </m:num>
                <m:den>
                  <m:sSub>
                    <m:sSubPr>
                      <m:ctrlPr>
                        <w:rPr>
                          <w:rFonts w:ascii="Cambria Math" w:hAnsi="Cambria Math" w:cs="Arial"/>
                          <w:bCs/>
                          <w:i/>
                        </w:rPr>
                      </m:ctrlPr>
                    </m:sSubPr>
                    <m:e>
                      <m:r>
                        <w:rPr>
                          <w:rFonts w:ascii="Cambria Math" w:hAnsi="Cambria Math" w:cs="Arial"/>
                        </w:rPr>
                        <m:t>C</m:t>
                      </m:r>
                    </m:e>
                    <m:sub>
                      <m:r>
                        <w:rPr>
                          <w:rFonts w:ascii="Cambria Math" w:hAnsi="Cambria Math" w:cs="Arial"/>
                        </w:rPr>
                        <m:t>2</m:t>
                      </m:r>
                    </m:sub>
                  </m:sSub>
                  <m:ctrlPr>
                    <w:rPr>
                      <w:rFonts w:ascii="Cambria Math" w:hAnsi="Cambria Math" w:cs="Arial"/>
                      <w:bCs/>
                      <w:i/>
                    </w:rPr>
                  </m:ctrlPr>
                </m:den>
              </m:f>
              <m:ctrlPr>
                <w:rPr>
                  <w:rFonts w:ascii="Cambria Math" w:hAnsi="Cambria Math" w:cs="Arial"/>
                  <w:bCs/>
                  <w:i/>
                </w:rPr>
              </m:ctrlPr>
            </m:e>
          </m:d>
          <m:r>
            <m:rPr>
              <m:sty m:val="p"/>
            </m:rPr>
            <w:rPr>
              <w:rFonts w:ascii="Cambria Math" w:hAnsi="Cambria Math" w:cs="Arial"/>
            </w:rPr>
            <m:t>×</m:t>
          </m:r>
          <m:r>
            <w:rPr>
              <w:rFonts w:ascii="Cambria Math" w:hAnsi="Cambria Math" w:cs="Arial"/>
            </w:rPr>
            <m:t>100</m:t>
          </m:r>
        </m:oMath>
      </m:oMathPara>
    </w:p>
    <w:p w14:paraId="5184E45F" w14:textId="77777777" w:rsidR="00321B75" w:rsidRPr="00965B45" w:rsidRDefault="00321B75" w:rsidP="00965B45">
      <w:pPr>
        <w:pStyle w:val="Body"/>
        <w:spacing w:after="0"/>
        <w:rPr>
          <w:rFonts w:ascii="Arial" w:hAnsi="Arial" w:cs="Arial"/>
          <w:bCs/>
        </w:rPr>
      </w:pPr>
    </w:p>
    <w:p w14:paraId="3B2D2933" w14:textId="7DB9EF4E" w:rsidR="00965B45" w:rsidRPr="00965B45" w:rsidRDefault="00C27A22" w:rsidP="00965B45">
      <w:pPr>
        <w:pStyle w:val="Body"/>
        <w:spacing w:after="0"/>
        <w:rPr>
          <w:rFonts w:ascii="Arial" w:hAnsi="Arial" w:cs="Arial"/>
          <w:b/>
          <w:bCs/>
        </w:rPr>
      </w:pPr>
      <w:r w:rsidRPr="00C27A22">
        <w:rPr>
          <w:rFonts w:ascii="Arial" w:hAnsi="Arial" w:cs="Arial"/>
          <w:bCs/>
          <w:i/>
          <w:iCs/>
        </w:rPr>
        <w:t xml:space="preserve">2.2.2.4 </w:t>
      </w:r>
      <w:r w:rsidR="00965B45" w:rsidRPr="00C27A22">
        <w:rPr>
          <w:rFonts w:ascii="Arial" w:hAnsi="Arial" w:cs="Arial"/>
          <w:bCs/>
          <w:i/>
          <w:iCs/>
        </w:rPr>
        <w:t>pH:</w:t>
      </w:r>
      <w:r w:rsidR="00965B45" w:rsidRPr="00965B45">
        <w:rPr>
          <w:rFonts w:ascii="Arial" w:hAnsi="Arial" w:cs="Arial"/>
          <w:b/>
          <w:bCs/>
        </w:rPr>
        <w:t xml:space="preserve"> </w:t>
      </w:r>
      <w:r w:rsidR="00965B45" w:rsidRPr="00965B45">
        <w:rPr>
          <w:rFonts w:ascii="Arial" w:hAnsi="Arial" w:cs="Arial"/>
          <w:bCs/>
        </w:rPr>
        <w:t>After MSI analysis, the samples (C1) of all treatments are macerated and filtered in a beaker to measure the pH using the E.C &amp; pH meter (Hanna instruments model: HI5222).</w:t>
      </w:r>
    </w:p>
    <w:p w14:paraId="0E7F1A1D" w14:textId="77777777" w:rsidR="00321B75" w:rsidRDefault="00321B75" w:rsidP="00965B45">
      <w:pPr>
        <w:pStyle w:val="Body"/>
        <w:spacing w:after="0"/>
        <w:rPr>
          <w:rFonts w:ascii="Arial" w:hAnsi="Arial" w:cs="Arial"/>
          <w:bCs/>
        </w:rPr>
      </w:pPr>
    </w:p>
    <w:p w14:paraId="4E926E01" w14:textId="576EA58C" w:rsidR="00965B45" w:rsidRPr="00C27A22" w:rsidRDefault="00C27A22" w:rsidP="00965B45">
      <w:pPr>
        <w:pStyle w:val="Body"/>
        <w:spacing w:after="0"/>
        <w:rPr>
          <w:rFonts w:ascii="Arial" w:hAnsi="Arial" w:cs="Arial"/>
          <w:b/>
          <w:u w:val="single"/>
        </w:rPr>
      </w:pPr>
      <w:r w:rsidRPr="00C27A22">
        <w:rPr>
          <w:rFonts w:ascii="Arial" w:hAnsi="Arial" w:cs="Arial"/>
          <w:b/>
          <w:u w:val="single"/>
        </w:rPr>
        <w:t xml:space="preserve">2.2.3 </w:t>
      </w:r>
      <w:r w:rsidR="00965B45" w:rsidRPr="00C27A22">
        <w:rPr>
          <w:rFonts w:ascii="Arial" w:hAnsi="Arial" w:cs="Arial"/>
          <w:b/>
          <w:u w:val="single"/>
        </w:rPr>
        <w:t>Biochemical parameters</w:t>
      </w:r>
    </w:p>
    <w:p w14:paraId="28B4357B" w14:textId="77777777" w:rsidR="00321B75" w:rsidRPr="00965B45" w:rsidRDefault="00321B75" w:rsidP="00965B45">
      <w:pPr>
        <w:pStyle w:val="Body"/>
        <w:spacing w:after="0"/>
        <w:rPr>
          <w:rFonts w:ascii="Arial" w:hAnsi="Arial" w:cs="Arial"/>
          <w:bCs/>
        </w:rPr>
      </w:pPr>
    </w:p>
    <w:p w14:paraId="62930C74" w14:textId="6110FB85" w:rsidR="00965B45" w:rsidRDefault="00C27A22" w:rsidP="00965B45">
      <w:pPr>
        <w:pStyle w:val="Body"/>
        <w:spacing w:after="0"/>
        <w:rPr>
          <w:rFonts w:ascii="Arial" w:hAnsi="Arial" w:cs="Arial"/>
          <w:bCs/>
        </w:rPr>
      </w:pPr>
      <w:r w:rsidRPr="00C27A22">
        <w:rPr>
          <w:rFonts w:ascii="Arial" w:hAnsi="Arial" w:cs="Arial"/>
          <w:bCs/>
          <w:i/>
          <w:iCs/>
        </w:rPr>
        <w:t xml:space="preserve">2.2.3.1 </w:t>
      </w:r>
      <w:r w:rsidR="00965B45" w:rsidRPr="00C27A22">
        <w:rPr>
          <w:rFonts w:ascii="Arial" w:hAnsi="Arial" w:cs="Arial"/>
          <w:bCs/>
          <w:i/>
          <w:iCs/>
        </w:rPr>
        <w:t>Total Phenolic Content:</w:t>
      </w:r>
      <w:r w:rsidR="00965B45" w:rsidRPr="00965B45">
        <w:rPr>
          <w:rFonts w:ascii="Arial" w:hAnsi="Arial" w:cs="Arial"/>
          <w:bCs/>
          <w:i/>
          <w:iCs/>
        </w:rPr>
        <w:t xml:space="preserve"> </w:t>
      </w:r>
      <w:r w:rsidR="00965B45" w:rsidRPr="00965B45">
        <w:rPr>
          <w:rFonts w:ascii="Arial" w:hAnsi="Arial" w:cs="Arial"/>
          <w:bCs/>
        </w:rPr>
        <w:t xml:space="preserve">A modified Singleton and Rossi (1965) method was </w:t>
      </w:r>
      <w:r w:rsidR="002E05F9" w:rsidRPr="00965B45">
        <w:rPr>
          <w:rFonts w:ascii="Arial" w:hAnsi="Arial" w:cs="Arial"/>
          <w:bCs/>
        </w:rPr>
        <w:t>used</w:t>
      </w:r>
      <w:r w:rsidR="002E05F9">
        <w:rPr>
          <w:rFonts w:ascii="Arial" w:hAnsi="Arial" w:cs="Arial"/>
          <w:bCs/>
        </w:rPr>
        <w:t xml:space="preserve"> </w:t>
      </w:r>
      <w:r w:rsidR="00965B45" w:rsidRPr="00965B45">
        <w:rPr>
          <w:rFonts w:ascii="Arial" w:hAnsi="Arial" w:cs="Arial"/>
          <w:bCs/>
        </w:rPr>
        <w:t>to determine the total phenolic content of Amaranthus leaf extracts. Leaf samples (1 g) were dried and powdered, and dried and powdered leaf samples (1 g) were extracted with 10 ml methanol for 30 minutes in an ultrasonic bath, filtered through Whatman filter paper No. 1. A reaction mixture was prepared by mixing 0.5 mL of the extract with 2.5 mL of Folin-</w:t>
      </w:r>
      <w:proofErr w:type="spellStart"/>
      <w:r w:rsidR="00965B45" w:rsidRPr="00965B45">
        <w:rPr>
          <w:rFonts w:ascii="Arial" w:hAnsi="Arial" w:cs="Arial"/>
          <w:bCs/>
        </w:rPr>
        <w:t>Ciocalteu</w:t>
      </w:r>
      <w:proofErr w:type="spellEnd"/>
      <w:r w:rsidR="00965B45" w:rsidRPr="00965B45">
        <w:rPr>
          <w:rFonts w:ascii="Arial" w:hAnsi="Arial" w:cs="Arial"/>
          <w:bCs/>
        </w:rPr>
        <w:t xml:space="preserve"> reagent (diluted 1: 10) and incubating at room temperature for 5 minutes. Then after 30 minutes, the mixture was kept in the dark with 2 mL of 7.5% sodium carbonate solution. UV-</w:t>
      </w:r>
      <w:proofErr w:type="gramStart"/>
      <w:r w:rsidR="00965B45" w:rsidRPr="00965B45">
        <w:rPr>
          <w:rFonts w:ascii="Arial" w:hAnsi="Arial" w:cs="Arial"/>
          <w:bCs/>
        </w:rPr>
        <w:t>Vis</w:t>
      </w:r>
      <w:proofErr w:type="gramEnd"/>
      <w:r w:rsidR="00965B45" w:rsidRPr="00965B45">
        <w:rPr>
          <w:rFonts w:ascii="Arial" w:hAnsi="Arial" w:cs="Arial"/>
          <w:bCs/>
        </w:rPr>
        <w:t xml:space="preserve"> spectrophotometer was used to measure absorbance at 765 nm, methanol as the blank. A calibration curve was prepared with gallic acid, and expressed as milligrams of gallic acid equivalents per gram of dry weight (mg GAE/g DW) to quantify total phenolic content.</w:t>
      </w:r>
    </w:p>
    <w:p w14:paraId="0B41D258" w14:textId="77777777" w:rsidR="00321B75" w:rsidRPr="00965B45" w:rsidRDefault="00321B75" w:rsidP="00965B45">
      <w:pPr>
        <w:pStyle w:val="Body"/>
        <w:spacing w:after="0"/>
        <w:rPr>
          <w:rFonts w:ascii="Arial" w:hAnsi="Arial" w:cs="Arial"/>
          <w:bCs/>
        </w:rPr>
      </w:pPr>
    </w:p>
    <w:p w14:paraId="3E51B427" w14:textId="542F4B2F" w:rsidR="00965B45" w:rsidRDefault="00C27A22" w:rsidP="00965B45">
      <w:pPr>
        <w:pStyle w:val="Body"/>
        <w:spacing w:after="0"/>
        <w:rPr>
          <w:rFonts w:ascii="Arial" w:hAnsi="Arial" w:cs="Arial"/>
          <w:bCs/>
        </w:rPr>
      </w:pPr>
      <w:r w:rsidRPr="00C27A22">
        <w:rPr>
          <w:rFonts w:ascii="Arial" w:hAnsi="Arial" w:cs="Arial"/>
          <w:bCs/>
          <w:i/>
          <w:iCs/>
        </w:rPr>
        <w:t xml:space="preserve">2.2.3.2 </w:t>
      </w:r>
      <w:r w:rsidR="00965B45" w:rsidRPr="00C27A22">
        <w:rPr>
          <w:rFonts w:ascii="Arial" w:hAnsi="Arial" w:cs="Arial"/>
          <w:bCs/>
          <w:i/>
          <w:iCs/>
        </w:rPr>
        <w:t>Oxalic Acid Content:</w:t>
      </w:r>
      <w:r w:rsidR="00965B45" w:rsidRPr="00965B45">
        <w:rPr>
          <w:rFonts w:ascii="Arial" w:hAnsi="Arial" w:cs="Arial"/>
          <w:bCs/>
        </w:rPr>
        <w:t xml:space="preserve"> The amount of oxalic acid in </w:t>
      </w:r>
      <w:r w:rsidR="00965B45" w:rsidRPr="00965B45">
        <w:rPr>
          <w:rFonts w:ascii="Arial" w:hAnsi="Arial" w:cs="Arial"/>
          <w:bCs/>
          <w:i/>
          <w:iCs/>
        </w:rPr>
        <w:t>Amaranthus dubius</w:t>
      </w:r>
      <w:r w:rsidR="00965B45" w:rsidRPr="00965B45">
        <w:rPr>
          <w:rFonts w:ascii="Arial" w:hAnsi="Arial" w:cs="Arial"/>
          <w:bCs/>
        </w:rPr>
        <w:t xml:space="preserve"> leaves was determined by the </w:t>
      </w:r>
      <w:proofErr w:type="spellStart"/>
      <w:r w:rsidR="00965B45" w:rsidRPr="00965B45">
        <w:rPr>
          <w:rFonts w:ascii="Arial" w:hAnsi="Arial" w:cs="Arial"/>
          <w:bCs/>
        </w:rPr>
        <w:t>permanganometric</w:t>
      </w:r>
      <w:proofErr w:type="spellEnd"/>
      <w:r w:rsidR="00965B45" w:rsidRPr="00965B45">
        <w:rPr>
          <w:rFonts w:ascii="Arial" w:hAnsi="Arial" w:cs="Arial"/>
          <w:bCs/>
        </w:rPr>
        <w:t xml:space="preserve"> titration method. Fresh leaf samples (40 g) were washed with distilled water and boiled in 400 mL of distilled water for 3.5 min and cooled. Thereafter, the boiled leaf extract was transferred into a 100 mL volumetric flask (2.5 mL) and made up to 100 milliliters (mL) with distilled water and mixed properly. A volume of 10 mL diluted extract was placed into the conical flask, where 5 mL 1 M </w:t>
      </w:r>
      <w:proofErr w:type="spellStart"/>
      <w:r w:rsidR="00965B45" w:rsidRPr="00965B45">
        <w:rPr>
          <w:rFonts w:ascii="Arial" w:hAnsi="Arial" w:cs="Arial"/>
          <w:bCs/>
        </w:rPr>
        <w:t>sulphuric</w:t>
      </w:r>
      <w:proofErr w:type="spellEnd"/>
      <w:r w:rsidR="00965B45" w:rsidRPr="00965B45">
        <w:rPr>
          <w:rFonts w:ascii="Arial" w:hAnsi="Arial" w:cs="Arial"/>
          <w:bCs/>
        </w:rPr>
        <w:t xml:space="preserve"> acid (H</w:t>
      </w:r>
      <w:r w:rsidR="00965B45" w:rsidRPr="00965B45">
        <w:rPr>
          <w:rFonts w:ascii="Cambria Math" w:hAnsi="Cambria Math" w:cs="Cambria Math"/>
          <w:bCs/>
        </w:rPr>
        <w:t>₂</w:t>
      </w:r>
      <w:r w:rsidR="00965B45" w:rsidRPr="00965B45">
        <w:rPr>
          <w:rFonts w:ascii="Arial" w:hAnsi="Arial" w:cs="Arial"/>
          <w:bCs/>
        </w:rPr>
        <w:t>SO</w:t>
      </w:r>
      <w:r w:rsidR="00965B45" w:rsidRPr="00965B45">
        <w:rPr>
          <w:rFonts w:ascii="Cambria Math" w:hAnsi="Cambria Math" w:cs="Cambria Math"/>
          <w:bCs/>
        </w:rPr>
        <w:t>₄</w:t>
      </w:r>
      <w:r w:rsidR="00965B45" w:rsidRPr="00965B45">
        <w:rPr>
          <w:rFonts w:ascii="Arial" w:hAnsi="Arial" w:cs="Arial"/>
          <w:bCs/>
        </w:rPr>
        <w:t xml:space="preserve">) was subsequently added. Then, 0.3 ml of sample solution (0.1 ml twice) was added to the mixture; the mixture was titrated against standard 0.01N </w:t>
      </w:r>
      <w:proofErr w:type="spellStart"/>
      <w:r w:rsidR="00965B45" w:rsidRPr="00965B45">
        <w:rPr>
          <w:rFonts w:ascii="Arial" w:hAnsi="Arial" w:cs="Arial"/>
          <w:bCs/>
        </w:rPr>
        <w:t>KMnO</w:t>
      </w:r>
      <w:proofErr w:type="spellEnd"/>
      <w:r w:rsidR="00965B45" w:rsidRPr="00965B45">
        <w:rPr>
          <w:rFonts w:ascii="Cambria Math" w:hAnsi="Cambria Math" w:cs="Cambria Math"/>
          <w:bCs/>
        </w:rPr>
        <w:t>₄</w:t>
      </w:r>
      <w:r w:rsidR="00965B45" w:rsidRPr="00965B45">
        <w:rPr>
          <w:rFonts w:ascii="Arial" w:hAnsi="Arial" w:cs="Arial"/>
          <w:bCs/>
        </w:rPr>
        <w:t xml:space="preserve"> till the production of faint pink color developed, which indicates the end-point. The calculation of oxalic acid content was done by using the formulae:</w:t>
      </w:r>
    </w:p>
    <w:p w14:paraId="503C60BC" w14:textId="77777777" w:rsidR="00321B75" w:rsidRPr="00965B45" w:rsidRDefault="00321B75" w:rsidP="00965B45">
      <w:pPr>
        <w:pStyle w:val="Body"/>
        <w:spacing w:after="0"/>
        <w:rPr>
          <w:rFonts w:ascii="Arial" w:hAnsi="Arial" w:cs="Arial"/>
          <w:bCs/>
        </w:rPr>
      </w:pPr>
    </w:p>
    <w:p w14:paraId="5F79193A" w14:textId="77777777" w:rsidR="00965B45" w:rsidRDefault="00965B45" w:rsidP="00965B45">
      <w:pPr>
        <w:pStyle w:val="Body"/>
        <w:spacing w:after="0"/>
        <w:rPr>
          <w:rFonts w:ascii="Arial" w:hAnsi="Arial" w:cs="Arial"/>
          <w:bCs/>
        </w:rPr>
      </w:pPr>
      <w:r w:rsidRPr="00965B45">
        <w:rPr>
          <w:rFonts w:ascii="Arial" w:hAnsi="Arial" w:cs="Arial"/>
          <w:bCs/>
        </w:rPr>
        <w:t>Normality of oxalic acid</w:t>
      </w:r>
    </w:p>
    <w:p w14:paraId="6A7DBFA8" w14:textId="77777777" w:rsidR="00333944" w:rsidRPr="00965B45" w:rsidRDefault="00333944" w:rsidP="00965B45">
      <w:pPr>
        <w:pStyle w:val="Body"/>
        <w:spacing w:after="0"/>
        <w:rPr>
          <w:rFonts w:ascii="Arial" w:hAnsi="Arial" w:cs="Arial"/>
          <w:bCs/>
        </w:rPr>
      </w:pPr>
    </w:p>
    <w:p w14:paraId="43C9B6D6" w14:textId="35D059FD" w:rsidR="00965B45" w:rsidRPr="00965B45" w:rsidRDefault="00000000" w:rsidP="00965B45">
      <w:pPr>
        <w:pStyle w:val="Body"/>
        <w:spacing w:after="0"/>
        <w:rPr>
          <w:rFonts w:ascii="Arial" w:hAnsi="Arial" w:cs="Arial"/>
          <w:bCs/>
        </w:rPr>
      </w:pPr>
      <m:oMathPara>
        <m:oMath>
          <m:sSub>
            <m:sSubPr>
              <m:ctrlPr>
                <w:rPr>
                  <w:rFonts w:ascii="Cambria Math" w:hAnsi="Cambria Math" w:cs="Arial"/>
                  <w:bCs/>
                  <w:i/>
                </w:rPr>
              </m:ctrlPr>
            </m:sSubPr>
            <m:e>
              <m:r>
                <w:rPr>
                  <w:rFonts w:ascii="Cambria Math" w:hAnsi="Cambria Math" w:cs="Arial"/>
                </w:rPr>
                <m:t>V</m:t>
              </m:r>
            </m:e>
            <m:sub>
              <m:sSub>
                <m:sSubPr>
                  <m:ctrlPr>
                    <w:rPr>
                      <w:rFonts w:ascii="Cambria Math" w:hAnsi="Cambria Math" w:cs="Arial"/>
                      <w:bCs/>
                      <w:i/>
                    </w:rPr>
                  </m:ctrlPr>
                </m:sSubPr>
                <m:e>
                  <m:r>
                    <m:rPr>
                      <m:nor/>
                    </m:rPr>
                    <w:rPr>
                      <w:rFonts w:ascii="Arial" w:hAnsi="Arial" w:cs="Arial"/>
                      <w:bCs/>
                    </w:rPr>
                    <m:t>KMnO</m:t>
                  </m:r>
                </m:e>
                <m:sub>
                  <m:r>
                    <w:rPr>
                      <w:rFonts w:ascii="Cambria Math" w:hAnsi="Cambria Math" w:cs="Arial"/>
                    </w:rPr>
                    <m:t>4</m:t>
                  </m:r>
                </m:sub>
              </m:sSub>
            </m:sub>
          </m:sSub>
          <m:r>
            <m:rPr>
              <m:sty m:val="p"/>
            </m:rPr>
            <w:rPr>
              <w:rFonts w:ascii="Cambria Math" w:hAnsi="Cambria Math" w:cs="Arial"/>
            </w:rPr>
            <m:t>×</m:t>
          </m:r>
          <m:sSub>
            <m:sSubPr>
              <m:ctrlPr>
                <w:rPr>
                  <w:rFonts w:ascii="Cambria Math" w:hAnsi="Cambria Math" w:cs="Arial"/>
                  <w:bCs/>
                  <w:i/>
                </w:rPr>
              </m:ctrlPr>
            </m:sSubPr>
            <m:e>
              <m:r>
                <w:rPr>
                  <w:rFonts w:ascii="Cambria Math" w:hAnsi="Cambria Math" w:cs="Arial"/>
                </w:rPr>
                <m:t>N</m:t>
              </m:r>
              <m:ctrlPr>
                <w:rPr>
                  <w:rFonts w:ascii="Cambria Math" w:hAnsi="Cambria Math" w:cs="Arial"/>
                  <w:bCs/>
                </w:rPr>
              </m:ctrlPr>
            </m:e>
            <m:sub>
              <m:sSub>
                <m:sSubPr>
                  <m:ctrlPr>
                    <w:rPr>
                      <w:rFonts w:ascii="Cambria Math" w:hAnsi="Cambria Math" w:cs="Arial"/>
                      <w:bCs/>
                      <w:i/>
                    </w:rPr>
                  </m:ctrlPr>
                </m:sSubPr>
                <m:e>
                  <m:r>
                    <m:rPr>
                      <m:nor/>
                    </m:rPr>
                    <w:rPr>
                      <w:rFonts w:ascii="Arial" w:hAnsi="Arial" w:cs="Arial"/>
                      <w:bCs/>
                    </w:rPr>
                    <m:t>KMnO</m:t>
                  </m:r>
                </m:e>
                <m:sub>
                  <m:r>
                    <w:rPr>
                      <w:rFonts w:ascii="Cambria Math" w:hAnsi="Cambria Math" w:cs="Arial"/>
                    </w:rPr>
                    <m:t>4</m:t>
                  </m:r>
                </m:sub>
              </m:sSub>
            </m:sub>
          </m:sSub>
          <m:r>
            <w:rPr>
              <w:rFonts w:ascii="Cambria Math" w:hAnsi="Cambria Math" w:cs="Arial"/>
            </w:rPr>
            <m:t>=</m:t>
          </m:r>
          <m:sSub>
            <m:sSubPr>
              <m:ctrlPr>
                <w:rPr>
                  <w:rFonts w:ascii="Cambria Math" w:hAnsi="Cambria Math" w:cs="Arial"/>
                  <w:bCs/>
                  <w:i/>
                </w:rPr>
              </m:ctrlPr>
            </m:sSubPr>
            <m:e>
              <m:r>
                <w:rPr>
                  <w:rFonts w:ascii="Cambria Math" w:hAnsi="Cambria Math" w:cs="Arial"/>
                </w:rPr>
                <m:t>V</m:t>
              </m:r>
            </m:e>
            <m:sub>
              <m:sSub>
                <m:sSubPr>
                  <m:ctrlPr>
                    <w:rPr>
                      <w:rFonts w:ascii="Cambria Math" w:hAnsi="Cambria Math" w:cs="Arial"/>
                      <w:bCs/>
                      <w:i/>
                    </w:rPr>
                  </m:ctrlPr>
                </m:sSubPr>
                <m:e>
                  <m:r>
                    <w:rPr>
                      <w:rFonts w:ascii="Cambria Math" w:hAnsi="Cambria Math" w:cs="Arial"/>
                    </w:rPr>
                    <m:t>H</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O</m:t>
                  </m:r>
                </m:e>
                <m:sub>
                  <m:r>
                    <w:rPr>
                      <w:rFonts w:ascii="Cambria Math" w:hAnsi="Cambria Math" w:cs="Arial"/>
                    </w:rPr>
                    <m:t>4</m:t>
                  </m:r>
                </m:sub>
              </m:sSub>
            </m:sub>
          </m:sSub>
          <m:r>
            <m:rPr>
              <m:sty m:val="p"/>
            </m:rPr>
            <w:rPr>
              <w:rFonts w:ascii="Cambria Math" w:hAnsi="Cambria Math" w:cs="Arial"/>
            </w:rPr>
            <m:t>×</m:t>
          </m:r>
          <m:sSub>
            <m:sSubPr>
              <m:ctrlPr>
                <w:rPr>
                  <w:rFonts w:ascii="Cambria Math" w:hAnsi="Cambria Math" w:cs="Arial"/>
                  <w:bCs/>
                  <w:i/>
                </w:rPr>
              </m:ctrlPr>
            </m:sSubPr>
            <m:e>
              <m:r>
                <w:rPr>
                  <w:rFonts w:ascii="Cambria Math" w:hAnsi="Cambria Math" w:cs="Arial"/>
                </w:rPr>
                <m:t>N</m:t>
              </m:r>
              <m:ctrlPr>
                <w:rPr>
                  <w:rFonts w:ascii="Cambria Math" w:hAnsi="Cambria Math" w:cs="Arial"/>
                  <w:bCs/>
                </w:rPr>
              </m:ctrlPr>
            </m:e>
            <m:sub>
              <m:sSub>
                <m:sSubPr>
                  <m:ctrlPr>
                    <w:rPr>
                      <w:rFonts w:ascii="Cambria Math" w:hAnsi="Cambria Math" w:cs="Arial"/>
                      <w:bCs/>
                      <w:i/>
                    </w:rPr>
                  </m:ctrlPr>
                </m:sSubPr>
                <m:e>
                  <m:r>
                    <w:rPr>
                      <w:rFonts w:ascii="Cambria Math" w:hAnsi="Cambria Math" w:cs="Arial"/>
                    </w:rPr>
                    <m:t>H</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O</m:t>
                  </m:r>
                </m:e>
                <m:sub>
                  <m:r>
                    <w:rPr>
                      <w:rFonts w:ascii="Cambria Math" w:hAnsi="Cambria Math" w:cs="Arial"/>
                    </w:rPr>
                    <m:t>4</m:t>
                  </m:r>
                </m:sub>
              </m:sSub>
            </m:sub>
          </m:sSub>
        </m:oMath>
      </m:oMathPara>
    </w:p>
    <w:p w14:paraId="64979543" w14:textId="77777777" w:rsidR="00321B75" w:rsidRDefault="00321B75" w:rsidP="00965B45">
      <w:pPr>
        <w:pStyle w:val="Body"/>
        <w:spacing w:after="0"/>
        <w:rPr>
          <w:rFonts w:ascii="Arial" w:hAnsi="Arial" w:cs="Arial"/>
          <w:bCs/>
        </w:rPr>
      </w:pPr>
    </w:p>
    <w:p w14:paraId="2C7817BF" w14:textId="28306B78" w:rsidR="00965B45" w:rsidRPr="00965B45" w:rsidRDefault="00965B45" w:rsidP="00965B45">
      <w:pPr>
        <w:pStyle w:val="Body"/>
        <w:spacing w:after="0"/>
        <w:rPr>
          <w:rFonts w:ascii="Arial" w:hAnsi="Arial" w:cs="Arial"/>
          <w:bCs/>
        </w:rPr>
      </w:pPr>
      <w:r w:rsidRPr="00965B45">
        <w:rPr>
          <w:rFonts w:ascii="Arial" w:hAnsi="Arial" w:cs="Arial"/>
          <w:bCs/>
        </w:rPr>
        <w:t>Mass of oxalic acid</w:t>
      </w:r>
    </w:p>
    <w:p w14:paraId="5DF9C774" w14:textId="77777777" w:rsidR="00321B75" w:rsidRDefault="00321B75" w:rsidP="00965B45">
      <w:pPr>
        <w:pStyle w:val="Body"/>
        <w:spacing w:after="0"/>
        <w:rPr>
          <w:rFonts w:ascii="Arial" w:hAnsi="Arial" w:cs="Arial"/>
          <w:bCs/>
        </w:rPr>
      </w:pPr>
    </w:p>
    <w:p w14:paraId="1633B25C" w14:textId="798E2A4D" w:rsidR="00965B45" w:rsidRPr="00965B45" w:rsidRDefault="00965B45" w:rsidP="00965B45">
      <w:pPr>
        <w:pStyle w:val="Body"/>
        <w:spacing w:after="0"/>
        <w:rPr>
          <w:rFonts w:ascii="Arial" w:hAnsi="Arial" w:cs="Arial"/>
          <w:bCs/>
        </w:rPr>
      </w:pPr>
      <m:oMathPara>
        <m:oMath>
          <m:r>
            <m:rPr>
              <m:nor/>
            </m:rPr>
            <w:rPr>
              <w:rFonts w:ascii="Arial" w:hAnsi="Arial" w:cs="Arial"/>
              <w:bCs/>
            </w:rPr>
            <m:t>Mass of oxalic acid (mg)</m:t>
          </m:r>
          <m:r>
            <w:rPr>
              <w:rFonts w:ascii="Cambria Math" w:hAnsi="Cambria Math" w:cs="Arial"/>
            </w:rPr>
            <m:t>=</m:t>
          </m:r>
          <m:f>
            <m:fPr>
              <m:ctrlPr>
                <w:rPr>
                  <w:rFonts w:ascii="Cambria Math" w:hAnsi="Cambria Math" w:cs="Arial"/>
                  <w:bCs/>
                </w:rPr>
              </m:ctrlPr>
            </m:fPr>
            <m:num>
              <m:sSub>
                <m:sSubPr>
                  <m:ctrlPr>
                    <w:rPr>
                      <w:rFonts w:ascii="Cambria Math" w:hAnsi="Cambria Math" w:cs="Arial"/>
                      <w:bCs/>
                      <w:i/>
                    </w:rPr>
                  </m:ctrlPr>
                </m:sSubPr>
                <m:e>
                  <m:r>
                    <w:rPr>
                      <w:rFonts w:ascii="Cambria Math" w:hAnsi="Cambria Math" w:cs="Arial"/>
                    </w:rPr>
                    <m:t>V</m:t>
                  </m:r>
                </m:e>
                <m:sub>
                  <m:sSub>
                    <m:sSubPr>
                      <m:ctrlPr>
                        <w:rPr>
                          <w:rFonts w:ascii="Cambria Math" w:hAnsi="Cambria Math" w:cs="Arial"/>
                          <w:bCs/>
                          <w:i/>
                        </w:rPr>
                      </m:ctrlPr>
                    </m:sSubPr>
                    <m:e>
                      <m:r>
                        <w:rPr>
                          <w:rFonts w:ascii="Cambria Math" w:hAnsi="Cambria Math" w:cs="Arial"/>
                        </w:rPr>
                        <m:t>H</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O</m:t>
                      </m:r>
                    </m:e>
                    <m:sub>
                      <m:r>
                        <w:rPr>
                          <w:rFonts w:ascii="Cambria Math" w:hAnsi="Cambria Math" w:cs="Arial"/>
                        </w:rPr>
                        <m:t>4</m:t>
                      </m:r>
                    </m:sub>
                  </m:sSub>
                </m:sub>
              </m:sSub>
              <m:r>
                <m:rPr>
                  <m:sty m:val="p"/>
                </m:rPr>
                <w:rPr>
                  <w:rFonts w:ascii="Cambria Math" w:hAnsi="Cambria Math" w:cs="Arial"/>
                </w:rPr>
                <m:t>×</m:t>
              </m:r>
              <m:sSub>
                <m:sSubPr>
                  <m:ctrlPr>
                    <w:rPr>
                      <w:rFonts w:ascii="Cambria Math" w:hAnsi="Cambria Math" w:cs="Arial"/>
                      <w:bCs/>
                      <w:i/>
                    </w:rPr>
                  </m:ctrlPr>
                </m:sSubPr>
                <m:e>
                  <m:r>
                    <w:rPr>
                      <w:rFonts w:ascii="Cambria Math" w:hAnsi="Cambria Math" w:cs="Arial"/>
                    </w:rPr>
                    <m:t>N</m:t>
                  </m:r>
                  <m:ctrlPr>
                    <w:rPr>
                      <w:rFonts w:ascii="Cambria Math" w:hAnsi="Cambria Math" w:cs="Arial"/>
                      <w:bCs/>
                    </w:rPr>
                  </m:ctrlPr>
                </m:e>
                <m:sub>
                  <m:sSub>
                    <m:sSubPr>
                      <m:ctrlPr>
                        <w:rPr>
                          <w:rFonts w:ascii="Cambria Math" w:hAnsi="Cambria Math" w:cs="Arial"/>
                          <w:bCs/>
                          <w:i/>
                        </w:rPr>
                      </m:ctrlPr>
                    </m:sSubPr>
                    <m:e>
                      <m:r>
                        <w:rPr>
                          <w:rFonts w:ascii="Cambria Math" w:hAnsi="Cambria Math" w:cs="Arial"/>
                        </w:rPr>
                        <m:t>H</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C</m:t>
                      </m:r>
                    </m:e>
                    <m:sub>
                      <m:r>
                        <w:rPr>
                          <w:rFonts w:ascii="Cambria Math" w:hAnsi="Cambria Math" w:cs="Arial"/>
                        </w:rPr>
                        <m:t>2</m:t>
                      </m:r>
                    </m:sub>
                  </m:sSub>
                  <m:sSub>
                    <m:sSubPr>
                      <m:ctrlPr>
                        <w:rPr>
                          <w:rFonts w:ascii="Cambria Math" w:hAnsi="Cambria Math" w:cs="Arial"/>
                          <w:bCs/>
                          <w:i/>
                        </w:rPr>
                      </m:ctrlPr>
                    </m:sSubPr>
                    <m:e>
                      <m:r>
                        <w:rPr>
                          <w:rFonts w:ascii="Cambria Math" w:hAnsi="Cambria Math" w:cs="Arial"/>
                        </w:rPr>
                        <m:t>O</m:t>
                      </m:r>
                    </m:e>
                    <m:sub>
                      <m:r>
                        <w:rPr>
                          <w:rFonts w:ascii="Cambria Math" w:hAnsi="Cambria Math" w:cs="Arial"/>
                        </w:rPr>
                        <m:t>4</m:t>
                      </m:r>
                    </m:sub>
                  </m:sSub>
                </m:sub>
              </m:sSub>
              <m:ctrlPr>
                <w:rPr>
                  <w:rFonts w:ascii="Cambria Math" w:hAnsi="Cambria Math" w:cs="Arial"/>
                  <w:bCs/>
                  <w:i/>
                </w:rPr>
              </m:ctrlPr>
            </m:num>
            <m:den>
              <m:r>
                <m:rPr>
                  <m:nor/>
                </m:rPr>
                <w:rPr>
                  <w:rFonts w:ascii="Arial" w:hAnsi="Arial" w:cs="Arial"/>
                  <w:bCs/>
                </w:rPr>
                <m:t>Equivalent weight of oxalic acid</m:t>
              </m:r>
              <m:ctrlPr>
                <w:rPr>
                  <w:rFonts w:ascii="Cambria Math" w:hAnsi="Cambria Math" w:cs="Arial"/>
                  <w:bCs/>
                  <w:i/>
                </w:rPr>
              </m:ctrlPr>
            </m:den>
          </m:f>
        </m:oMath>
      </m:oMathPara>
    </w:p>
    <w:p w14:paraId="0CE396EB" w14:textId="77777777" w:rsidR="00321B75" w:rsidRDefault="00321B75" w:rsidP="00965B45">
      <w:pPr>
        <w:pStyle w:val="Body"/>
        <w:spacing w:after="0"/>
        <w:rPr>
          <w:rFonts w:ascii="Arial" w:hAnsi="Arial" w:cs="Arial"/>
          <w:bCs/>
        </w:rPr>
      </w:pPr>
    </w:p>
    <w:p w14:paraId="584E4132" w14:textId="2A6F5A2F" w:rsidR="00965B45" w:rsidRPr="00965B45" w:rsidRDefault="00965B45" w:rsidP="00965B45">
      <w:pPr>
        <w:pStyle w:val="Body"/>
        <w:spacing w:after="0"/>
        <w:rPr>
          <w:rFonts w:ascii="Arial" w:hAnsi="Arial" w:cs="Arial"/>
          <w:bCs/>
        </w:rPr>
      </w:pPr>
      <w:r w:rsidRPr="00965B45">
        <w:rPr>
          <w:rFonts w:ascii="Arial" w:hAnsi="Arial" w:cs="Arial"/>
          <w:bCs/>
        </w:rPr>
        <w:t>Oxalic acid content</w:t>
      </w:r>
    </w:p>
    <w:p w14:paraId="3B0C1FC8" w14:textId="77777777" w:rsidR="00321B75" w:rsidRDefault="00321B75" w:rsidP="00965B45">
      <w:pPr>
        <w:pStyle w:val="Body"/>
        <w:spacing w:after="0"/>
        <w:rPr>
          <w:rFonts w:ascii="Arial" w:hAnsi="Arial" w:cs="Arial"/>
          <w:bCs/>
        </w:rPr>
      </w:pPr>
    </w:p>
    <w:p w14:paraId="4D2809D5" w14:textId="1D1EA0D0" w:rsidR="00965B45" w:rsidRPr="00965B45" w:rsidRDefault="00965B45" w:rsidP="00965B45">
      <w:pPr>
        <w:pStyle w:val="Body"/>
        <w:spacing w:after="0"/>
        <w:rPr>
          <w:rFonts w:ascii="Arial" w:hAnsi="Arial" w:cs="Arial"/>
          <w:bCs/>
        </w:rPr>
      </w:pPr>
      <m:oMathPara>
        <m:oMath>
          <m:r>
            <m:rPr>
              <m:nor/>
            </m:rPr>
            <w:rPr>
              <w:rFonts w:ascii="Arial" w:hAnsi="Arial" w:cs="Arial"/>
              <w:bCs/>
            </w:rPr>
            <m:t>Oxalic acid content (mg</m:t>
          </m:r>
          <m:r>
            <m:rPr>
              <m:lit/>
              <m:nor/>
            </m:rPr>
            <w:rPr>
              <w:rFonts w:ascii="Arial" w:hAnsi="Arial" w:cs="Arial"/>
              <w:bCs/>
            </w:rPr>
            <m:t>/</m:t>
          </m:r>
          <m:r>
            <m:rPr>
              <m:nor/>
            </m:rPr>
            <w:rPr>
              <w:rFonts w:ascii="Arial" w:hAnsi="Arial" w:cs="Arial"/>
              <w:bCs/>
            </w:rPr>
            <m:t>g)</m:t>
          </m:r>
          <m:r>
            <w:rPr>
              <w:rFonts w:ascii="Cambria Math" w:hAnsi="Cambria Math" w:cs="Arial"/>
            </w:rPr>
            <m:t>=</m:t>
          </m:r>
          <m:f>
            <m:fPr>
              <m:ctrlPr>
                <w:rPr>
                  <w:rFonts w:ascii="Cambria Math" w:hAnsi="Cambria Math" w:cs="Arial"/>
                  <w:bCs/>
                </w:rPr>
              </m:ctrlPr>
            </m:fPr>
            <m:num>
              <m:r>
                <m:rPr>
                  <m:nor/>
                </m:rPr>
                <w:rPr>
                  <w:rFonts w:ascii="Arial" w:hAnsi="Arial" w:cs="Arial"/>
                  <w:bCs/>
                </w:rPr>
                <m:t>Mass of oxalic acid (mg)</m:t>
              </m:r>
              <m:ctrlPr>
                <w:rPr>
                  <w:rFonts w:ascii="Cambria Math" w:hAnsi="Cambria Math" w:cs="Arial"/>
                  <w:bCs/>
                  <w:i/>
                </w:rPr>
              </m:ctrlPr>
            </m:num>
            <m:den>
              <m:r>
                <m:rPr>
                  <m:nor/>
                </m:rPr>
                <w:rPr>
                  <w:rFonts w:ascii="Arial" w:hAnsi="Arial" w:cs="Arial"/>
                  <w:bCs/>
                </w:rPr>
                <m:t>Weight of sample (g)</m:t>
              </m:r>
              <m:ctrlPr>
                <w:rPr>
                  <w:rFonts w:ascii="Cambria Math" w:hAnsi="Cambria Math" w:cs="Arial"/>
                  <w:bCs/>
                  <w:i/>
                </w:rPr>
              </m:ctrlPr>
            </m:den>
          </m:f>
        </m:oMath>
      </m:oMathPara>
    </w:p>
    <w:p w14:paraId="562A9BD4" w14:textId="77777777" w:rsidR="00965B45" w:rsidRPr="00965B45" w:rsidRDefault="00965B45" w:rsidP="00965B45">
      <w:pPr>
        <w:pStyle w:val="Body"/>
        <w:spacing w:after="0"/>
        <w:rPr>
          <w:rFonts w:ascii="Arial" w:hAnsi="Arial" w:cs="Arial"/>
          <w:bCs/>
        </w:rPr>
      </w:pPr>
    </w:p>
    <w:p w14:paraId="140E1516" w14:textId="77777777" w:rsidR="00965B45" w:rsidRDefault="00965B45" w:rsidP="00965B45">
      <w:pPr>
        <w:pStyle w:val="Body"/>
        <w:spacing w:after="0"/>
        <w:rPr>
          <w:rFonts w:ascii="Arial" w:hAnsi="Arial" w:cs="Arial"/>
          <w:bCs/>
        </w:rPr>
      </w:pPr>
      <w:r w:rsidRPr="00965B45">
        <w:rPr>
          <w:rFonts w:ascii="Arial" w:hAnsi="Arial" w:cs="Arial"/>
          <w:bCs/>
        </w:rPr>
        <w:t>Equivalent weight of oxalic acid is 63 (Lestari &amp; Dewi</w:t>
      </w:r>
      <w:r w:rsidRPr="00965B45">
        <w:rPr>
          <w:rFonts w:ascii="Arial" w:hAnsi="Arial" w:cs="Arial"/>
          <w:bCs/>
          <w:i/>
          <w:iCs/>
        </w:rPr>
        <w:t>,</w:t>
      </w:r>
      <w:r w:rsidRPr="00965B45">
        <w:rPr>
          <w:rFonts w:ascii="Arial" w:hAnsi="Arial" w:cs="Arial"/>
          <w:bCs/>
        </w:rPr>
        <w:t xml:space="preserve"> 2020)</w:t>
      </w:r>
    </w:p>
    <w:p w14:paraId="1E245490" w14:textId="77777777" w:rsidR="00965B45" w:rsidRPr="00965B45" w:rsidRDefault="00965B45" w:rsidP="00965B45">
      <w:pPr>
        <w:pStyle w:val="Body"/>
        <w:spacing w:after="0"/>
        <w:rPr>
          <w:rFonts w:ascii="Arial" w:hAnsi="Arial" w:cs="Arial"/>
          <w:bCs/>
        </w:rPr>
      </w:pPr>
    </w:p>
    <w:p w14:paraId="6D7F317F" w14:textId="77777777" w:rsidR="00321B75" w:rsidRDefault="00321B75" w:rsidP="00965B45">
      <w:pPr>
        <w:pStyle w:val="Body"/>
        <w:spacing w:after="0"/>
        <w:rPr>
          <w:rFonts w:ascii="Arial" w:hAnsi="Arial" w:cs="Arial"/>
          <w:bCs/>
        </w:rPr>
      </w:pPr>
    </w:p>
    <w:p w14:paraId="7B4BA543" w14:textId="1D258A2C" w:rsidR="00965B45" w:rsidRDefault="00C27A22" w:rsidP="00965B45">
      <w:pPr>
        <w:pStyle w:val="Body"/>
        <w:spacing w:after="0"/>
        <w:rPr>
          <w:rFonts w:ascii="Arial" w:hAnsi="Arial" w:cs="Arial"/>
          <w:bCs/>
          <w:lang w:val="en-GB"/>
        </w:rPr>
      </w:pPr>
      <w:r w:rsidRPr="00C27A22">
        <w:rPr>
          <w:rFonts w:ascii="Arial" w:hAnsi="Arial" w:cs="Arial"/>
          <w:bCs/>
          <w:i/>
          <w:iCs/>
        </w:rPr>
        <w:t xml:space="preserve">2.2.3.3 </w:t>
      </w:r>
      <w:r w:rsidR="00965B45" w:rsidRPr="00C27A22">
        <w:rPr>
          <w:rFonts w:ascii="Arial" w:hAnsi="Arial" w:cs="Arial"/>
          <w:bCs/>
          <w:i/>
          <w:iCs/>
        </w:rPr>
        <w:t>Chlorophylls:</w:t>
      </w:r>
      <w:r w:rsidR="00965B45" w:rsidRPr="00965B45">
        <w:rPr>
          <w:rFonts w:ascii="Arial" w:hAnsi="Arial" w:cs="Arial"/>
          <w:b/>
          <w:bCs/>
        </w:rPr>
        <w:t xml:space="preserve"> </w:t>
      </w:r>
      <w:r w:rsidR="00965B45" w:rsidRPr="00965B45">
        <w:rPr>
          <w:rFonts w:ascii="Arial" w:hAnsi="Arial" w:cs="Arial"/>
          <w:bCs/>
          <w:lang w:val="en-GB"/>
        </w:rPr>
        <w:t xml:space="preserve">Chlorophyll a, chlorophyll b, and total chlorophyll content were determined using a UV-Vis spectrophotometer. A leaf sample (0.1 g) was ground with the help of a mortar and pestle and dissolved in 10ml of 80% acetone. The extract was filtered with a </w:t>
      </w:r>
      <w:proofErr w:type="spellStart"/>
      <w:r w:rsidR="00965B45" w:rsidRPr="00965B45">
        <w:rPr>
          <w:rFonts w:ascii="Arial" w:hAnsi="Arial" w:cs="Arial"/>
          <w:bCs/>
          <w:lang w:val="en-GB"/>
        </w:rPr>
        <w:t>Whatmann</w:t>
      </w:r>
      <w:proofErr w:type="spellEnd"/>
      <w:r w:rsidR="00965B45" w:rsidRPr="00965B45">
        <w:rPr>
          <w:rFonts w:ascii="Arial" w:hAnsi="Arial" w:cs="Arial"/>
          <w:bCs/>
          <w:lang w:val="en-GB"/>
        </w:rPr>
        <w:t xml:space="preserve"> Filter Paper No. 3, then absorbance of the extract was measured using the </w:t>
      </w:r>
      <w:r w:rsidR="00965B45" w:rsidRPr="00965B45">
        <w:rPr>
          <w:rFonts w:ascii="Arial" w:hAnsi="Arial" w:cs="Arial"/>
          <w:bCs/>
          <w:lang w:val="en-GB"/>
        </w:rPr>
        <w:t> </w:t>
      </w:r>
      <w:r w:rsidR="00965B45" w:rsidRPr="00965B45">
        <w:rPr>
          <w:rFonts w:ascii="Arial" w:hAnsi="Arial" w:cs="Arial"/>
          <w:bCs/>
          <w:lang w:val="en-GB"/>
        </w:rPr>
        <w:t>UV-Vis spectrophotometer at 663 nm and 646 nm. Chlorophyll a, chlorophyll b and total chlorophyll content were calculated using the below formula:</w:t>
      </w:r>
    </w:p>
    <w:p w14:paraId="6F50B104" w14:textId="77777777" w:rsidR="00ED1EFD" w:rsidRPr="00965B45" w:rsidRDefault="00ED1EFD" w:rsidP="00965B45">
      <w:pPr>
        <w:pStyle w:val="Body"/>
        <w:spacing w:after="0"/>
        <w:rPr>
          <w:rFonts w:ascii="Arial" w:hAnsi="Arial" w:cs="Arial"/>
          <w:bCs/>
        </w:rPr>
      </w:pPr>
    </w:p>
    <w:p w14:paraId="200FE4FE" w14:textId="4EB65801" w:rsidR="00965B45" w:rsidRPr="00965B45" w:rsidRDefault="00965B45" w:rsidP="00ED1EFD">
      <w:pPr>
        <w:pStyle w:val="Body"/>
        <w:spacing w:after="0"/>
        <w:jc w:val="center"/>
        <w:rPr>
          <w:rFonts w:ascii="Arial" w:hAnsi="Arial" w:cs="Arial"/>
          <w:bCs/>
          <w:lang w:val="en-GB"/>
        </w:rPr>
      </w:pPr>
      <m:oMathPara>
        <m:oMath>
          <m:r>
            <m:rPr>
              <m:sty m:val="p"/>
            </m:rPr>
            <w:rPr>
              <w:rFonts w:ascii="Cambria Math" w:hAnsi="Cambria Math" w:cs="Arial"/>
              <w:lang w:val="en-GB"/>
            </w:rPr>
            <m:t>Chlorophyll a</m:t>
          </m:r>
          <m:d>
            <m:dPr>
              <m:ctrlPr>
                <w:rPr>
                  <w:rFonts w:ascii="Cambria Math" w:hAnsi="Cambria Math" w:cs="Arial"/>
                  <w:bCs/>
                  <w:iCs/>
                </w:rPr>
              </m:ctrlPr>
            </m:dPr>
            <m:e>
              <m:r>
                <m:rPr>
                  <m:sty m:val="p"/>
                </m:rPr>
                <w:rPr>
                  <w:rFonts w:ascii="Cambria Math" w:hAnsi="Cambria Math" w:cs="Arial"/>
                </w:rPr>
                <m:t>mg</m:t>
              </m:r>
              <m:r>
                <m:rPr>
                  <m:lit/>
                  <m:sty m:val="p"/>
                </m:rPr>
                <w:rPr>
                  <w:rFonts w:ascii="Cambria Math" w:hAnsi="Cambria Math" w:cs="Arial"/>
                </w:rPr>
                <m:t>/</m:t>
              </m:r>
              <m:r>
                <m:rPr>
                  <m:sty m:val="p"/>
                </m:rPr>
                <w:rPr>
                  <w:rFonts w:ascii="Cambria Math" w:hAnsi="Cambria Math" w:cs="Arial"/>
                </w:rPr>
                <m:t>g</m:t>
              </m:r>
            </m:e>
          </m:d>
          <m:r>
            <w:rPr>
              <w:rFonts w:ascii="Cambria Math" w:hAnsi="Cambria Math" w:cs="Arial"/>
              <w:lang w:val="en-GB"/>
            </w:rPr>
            <m:t>=</m:t>
          </m:r>
          <m:d>
            <m:dPr>
              <m:ctrlPr>
                <w:rPr>
                  <w:rFonts w:ascii="Cambria Math" w:hAnsi="Cambria Math" w:cs="Arial"/>
                  <w:bCs/>
                  <w:lang w:val="en-GB"/>
                </w:rPr>
              </m:ctrlPr>
            </m:dPr>
            <m:e>
              <m:r>
                <w:rPr>
                  <w:rFonts w:ascii="Cambria Math" w:hAnsi="Cambria Math" w:cs="Arial"/>
                  <w:lang w:val="en-GB"/>
                </w:rPr>
                <m:t>12.3</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663</m:t>
                  </m:r>
                </m:sub>
              </m:sSub>
              <m:r>
                <w:rPr>
                  <w:rFonts w:ascii="Cambria Math" w:hAnsi="Cambria Math" w:cs="Arial"/>
                  <w:lang w:val="en-GB"/>
                </w:rPr>
                <m:t>-0.86</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646</m:t>
                  </m:r>
                </m:sub>
              </m:sSub>
              <m:ctrlPr>
                <w:rPr>
                  <w:rFonts w:ascii="Cambria Math" w:hAnsi="Cambria Math" w:cs="Arial"/>
                  <w:bCs/>
                  <w:i/>
                  <w:lang w:val="en-GB"/>
                </w:rPr>
              </m:ctrlPr>
            </m:e>
          </m:d>
          <m:r>
            <m:rPr>
              <m:sty m:val="p"/>
            </m:rPr>
            <w:rPr>
              <w:rFonts w:ascii="Cambria Math" w:hAnsi="Cambria Math" w:cs="Arial"/>
              <w:lang w:val="en-GB"/>
            </w:rPr>
            <m:t>×</m:t>
          </m:r>
          <m:f>
            <m:fPr>
              <m:ctrlPr>
                <w:rPr>
                  <w:rFonts w:ascii="Cambria Math" w:hAnsi="Cambria Math" w:cs="Arial"/>
                  <w:bCs/>
                  <w:lang w:val="en-GB"/>
                </w:rPr>
              </m:ctrlPr>
            </m:fPr>
            <m:num>
              <m:r>
                <w:rPr>
                  <w:rFonts w:ascii="Cambria Math" w:hAnsi="Cambria Math" w:cs="Arial"/>
                  <w:lang w:val="en-GB"/>
                </w:rPr>
                <m:t>V</m:t>
              </m:r>
              <m:ctrlPr>
                <w:rPr>
                  <w:rFonts w:ascii="Cambria Math" w:hAnsi="Cambria Math" w:cs="Arial"/>
                  <w:bCs/>
                  <w:i/>
                  <w:lang w:val="en-GB"/>
                </w:rPr>
              </m:ctrlPr>
            </m:num>
            <m:den>
              <m:r>
                <w:rPr>
                  <w:rFonts w:ascii="Cambria Math" w:hAnsi="Cambria Math" w:cs="Arial"/>
                  <w:lang w:val="en-GB"/>
                </w:rPr>
                <m:t>1000</m:t>
              </m:r>
              <m:r>
                <m:rPr>
                  <m:sty m:val="p"/>
                </m:rPr>
                <w:rPr>
                  <w:rFonts w:ascii="Cambria Math" w:hAnsi="Cambria Math" w:cs="Arial"/>
                  <w:lang w:val="en-GB"/>
                </w:rPr>
                <m:t>×</m:t>
              </m:r>
              <m:r>
                <w:rPr>
                  <w:rFonts w:ascii="Cambria Math" w:hAnsi="Cambria Math" w:cs="Arial"/>
                  <w:lang w:val="en-GB"/>
                </w:rPr>
                <m:t>W</m:t>
              </m:r>
              <m:ctrlPr>
                <w:rPr>
                  <w:rFonts w:ascii="Cambria Math" w:hAnsi="Cambria Math" w:cs="Arial"/>
                  <w:bCs/>
                  <w:i/>
                  <w:lang w:val="en-GB"/>
                </w:rPr>
              </m:ctrlPr>
            </m:den>
          </m:f>
        </m:oMath>
      </m:oMathPara>
    </w:p>
    <w:p w14:paraId="1CD09C3F" w14:textId="77777777" w:rsidR="00965B45" w:rsidRPr="00965B45" w:rsidRDefault="00965B45" w:rsidP="00ED1EFD">
      <w:pPr>
        <w:pStyle w:val="Body"/>
        <w:spacing w:after="0"/>
        <w:jc w:val="center"/>
        <w:rPr>
          <w:rFonts w:ascii="Arial" w:hAnsi="Arial" w:cs="Arial"/>
          <w:bCs/>
          <w:lang w:val="en-GB"/>
        </w:rPr>
      </w:pPr>
    </w:p>
    <w:p w14:paraId="3F0D4287" w14:textId="77777777" w:rsidR="00ED1EFD" w:rsidRPr="00ED1EFD" w:rsidRDefault="00965B45" w:rsidP="00ED1EFD">
      <w:pPr>
        <w:pStyle w:val="Body"/>
        <w:spacing w:after="0"/>
        <w:jc w:val="center"/>
        <w:rPr>
          <w:rFonts w:ascii="Arial" w:hAnsi="Arial" w:cs="Arial"/>
          <w:bCs/>
          <w:lang w:val="en-GB"/>
        </w:rPr>
      </w:pPr>
      <m:oMathPara>
        <m:oMath>
          <m:r>
            <m:rPr>
              <m:sty m:val="p"/>
            </m:rPr>
            <w:rPr>
              <w:rFonts w:ascii="Cambria Math" w:hAnsi="Cambria Math" w:cs="Arial"/>
              <w:lang w:val="en-GB"/>
            </w:rPr>
            <m:t>Chlorophyll b</m:t>
          </m:r>
          <m:d>
            <m:dPr>
              <m:ctrlPr>
                <w:rPr>
                  <w:rFonts w:ascii="Cambria Math" w:hAnsi="Cambria Math" w:cs="Arial"/>
                  <w:bCs/>
                  <w:iCs/>
                  <w:lang w:val="en-GB"/>
                </w:rPr>
              </m:ctrlPr>
            </m:dPr>
            <m:e>
              <m:r>
                <m:rPr>
                  <m:sty m:val="p"/>
                </m:rPr>
                <w:rPr>
                  <w:rFonts w:ascii="Cambria Math" w:hAnsi="Cambria Math" w:cs="Arial"/>
                  <w:lang w:val="en-GB"/>
                </w:rPr>
                <m:t>mg</m:t>
              </m:r>
              <m:r>
                <m:rPr>
                  <m:lit/>
                  <m:sty m:val="p"/>
                </m:rPr>
                <w:rPr>
                  <w:rFonts w:ascii="Cambria Math" w:hAnsi="Cambria Math" w:cs="Arial"/>
                  <w:lang w:val="en-GB"/>
                </w:rPr>
                <m:t>/</m:t>
              </m:r>
              <m:r>
                <m:rPr>
                  <m:sty m:val="p"/>
                </m:rPr>
                <w:rPr>
                  <w:rFonts w:ascii="Cambria Math" w:hAnsi="Cambria Math" w:cs="Arial"/>
                  <w:lang w:val="en-GB"/>
                </w:rPr>
                <m:t>g</m:t>
              </m:r>
            </m:e>
          </m:d>
          <m:r>
            <w:rPr>
              <w:rFonts w:ascii="Cambria Math" w:hAnsi="Cambria Math" w:cs="Arial"/>
              <w:lang w:val="en-GB"/>
            </w:rPr>
            <m:t>=</m:t>
          </m:r>
          <m:d>
            <m:dPr>
              <m:ctrlPr>
                <w:rPr>
                  <w:rFonts w:ascii="Cambria Math" w:hAnsi="Cambria Math" w:cs="Arial"/>
                  <w:bCs/>
                  <w:lang w:val="en-GB"/>
                </w:rPr>
              </m:ctrlPr>
            </m:dPr>
            <m:e>
              <m:r>
                <w:rPr>
                  <w:rFonts w:ascii="Cambria Math" w:hAnsi="Cambria Math" w:cs="Arial"/>
                  <w:lang w:val="en-GB"/>
                </w:rPr>
                <m:t>19.3</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646</m:t>
                  </m:r>
                </m:sub>
              </m:sSub>
              <m:r>
                <w:rPr>
                  <w:rFonts w:ascii="Cambria Math" w:hAnsi="Cambria Math" w:cs="Arial"/>
                  <w:lang w:val="en-GB"/>
                </w:rPr>
                <m:t>-3.6</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663</m:t>
                  </m:r>
                </m:sub>
              </m:sSub>
              <m:ctrlPr>
                <w:rPr>
                  <w:rFonts w:ascii="Cambria Math" w:hAnsi="Cambria Math" w:cs="Arial"/>
                  <w:bCs/>
                  <w:i/>
                  <w:lang w:val="en-GB"/>
                </w:rPr>
              </m:ctrlPr>
            </m:e>
          </m:d>
          <m:r>
            <m:rPr>
              <m:sty m:val="p"/>
            </m:rPr>
            <w:rPr>
              <w:rFonts w:ascii="Cambria Math" w:hAnsi="Cambria Math" w:cs="Arial"/>
              <w:lang w:val="en-GB"/>
            </w:rPr>
            <m:t>×</m:t>
          </m:r>
          <m:f>
            <m:fPr>
              <m:ctrlPr>
                <w:rPr>
                  <w:rFonts w:ascii="Cambria Math" w:hAnsi="Cambria Math" w:cs="Arial"/>
                  <w:bCs/>
                  <w:lang w:val="en-GB"/>
                </w:rPr>
              </m:ctrlPr>
            </m:fPr>
            <m:num>
              <m:r>
                <w:rPr>
                  <w:rFonts w:ascii="Cambria Math" w:hAnsi="Cambria Math" w:cs="Arial"/>
                  <w:lang w:val="en-GB"/>
                </w:rPr>
                <m:t>V</m:t>
              </m:r>
              <m:ctrlPr>
                <w:rPr>
                  <w:rFonts w:ascii="Cambria Math" w:hAnsi="Cambria Math" w:cs="Arial"/>
                  <w:bCs/>
                  <w:i/>
                  <w:lang w:val="en-GB"/>
                </w:rPr>
              </m:ctrlPr>
            </m:num>
            <m:den>
              <m:r>
                <w:rPr>
                  <w:rFonts w:ascii="Cambria Math" w:hAnsi="Cambria Math" w:cs="Arial"/>
                  <w:lang w:val="en-GB"/>
                </w:rPr>
                <m:t>1000</m:t>
              </m:r>
              <m:r>
                <m:rPr>
                  <m:sty m:val="p"/>
                </m:rPr>
                <w:rPr>
                  <w:rFonts w:ascii="Cambria Math" w:hAnsi="Cambria Math" w:cs="Arial"/>
                  <w:lang w:val="en-GB"/>
                </w:rPr>
                <m:t>×</m:t>
              </m:r>
              <m:r>
                <w:rPr>
                  <w:rFonts w:ascii="Cambria Math" w:hAnsi="Cambria Math" w:cs="Arial"/>
                  <w:lang w:val="en-GB"/>
                </w:rPr>
                <m:t>W</m:t>
              </m:r>
              <m:ctrlPr>
                <w:rPr>
                  <w:rFonts w:ascii="Cambria Math" w:hAnsi="Cambria Math" w:cs="Arial"/>
                  <w:bCs/>
                  <w:i/>
                  <w:lang w:val="en-GB"/>
                </w:rPr>
              </m:ctrlPr>
            </m:den>
          </m:f>
        </m:oMath>
      </m:oMathPara>
    </w:p>
    <w:p w14:paraId="2BB73B1B" w14:textId="77777777" w:rsidR="00ED1EFD" w:rsidRDefault="00ED1EFD" w:rsidP="00ED1EFD">
      <w:pPr>
        <w:pStyle w:val="Body"/>
        <w:spacing w:after="0"/>
        <w:jc w:val="center"/>
        <w:rPr>
          <w:rFonts w:ascii="Arial" w:hAnsi="Arial" w:cs="Arial"/>
          <w:bCs/>
          <w:lang w:val="en-GB"/>
        </w:rPr>
      </w:pPr>
    </w:p>
    <w:p w14:paraId="46654410" w14:textId="22F853E5" w:rsidR="00965B45" w:rsidRPr="00ED1EFD" w:rsidRDefault="00965B45" w:rsidP="00ED1EFD">
      <w:pPr>
        <w:pStyle w:val="Body"/>
        <w:spacing w:after="0"/>
        <w:jc w:val="center"/>
        <w:rPr>
          <w:rFonts w:ascii="Arial" w:hAnsi="Arial" w:cs="Arial"/>
          <w:bCs/>
          <w:lang w:val="en-GB"/>
        </w:rPr>
      </w:pPr>
      <m:oMathPara>
        <m:oMath>
          <m:r>
            <m:rPr>
              <m:sty m:val="p"/>
            </m:rPr>
            <w:rPr>
              <w:rFonts w:ascii="Cambria Math" w:hAnsi="Cambria Math" w:cs="Arial"/>
              <w:lang w:val="en-GB"/>
            </w:rPr>
            <m:t>Total Chlorophyll</m:t>
          </m:r>
          <m:r>
            <w:rPr>
              <w:rFonts w:ascii="Cambria Math" w:hAnsi="Cambria Math" w:cs="Arial"/>
              <w:lang w:val="en-GB"/>
            </w:rPr>
            <m:t>=</m:t>
          </m:r>
          <m:d>
            <m:dPr>
              <m:ctrlPr>
                <w:rPr>
                  <w:rFonts w:ascii="Cambria Math" w:hAnsi="Cambria Math" w:cs="Arial"/>
                  <w:bCs/>
                  <w:lang w:val="en-GB"/>
                </w:rPr>
              </m:ctrlPr>
            </m:dPr>
            <m:e>
              <m:r>
                <w:rPr>
                  <w:rFonts w:ascii="Cambria Math" w:hAnsi="Cambria Math" w:cs="Arial"/>
                  <w:lang w:val="en-GB"/>
                </w:rPr>
                <m:t>17.3</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646</m:t>
                  </m:r>
                </m:sub>
              </m:sSub>
              <m:r>
                <w:rPr>
                  <w:rFonts w:ascii="Cambria Math" w:hAnsi="Cambria Math" w:cs="Arial"/>
                  <w:lang w:val="en-GB"/>
                </w:rPr>
                <m:t>+7.18</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663</m:t>
                  </m:r>
                </m:sub>
              </m:sSub>
              <m:ctrlPr>
                <w:rPr>
                  <w:rFonts w:ascii="Cambria Math" w:hAnsi="Cambria Math" w:cs="Arial"/>
                  <w:bCs/>
                  <w:i/>
                  <w:lang w:val="en-GB"/>
                </w:rPr>
              </m:ctrlPr>
            </m:e>
          </m:d>
          <m:r>
            <m:rPr>
              <m:sty m:val="p"/>
            </m:rPr>
            <w:rPr>
              <w:rFonts w:ascii="Cambria Math" w:hAnsi="Cambria Math" w:cs="Arial"/>
              <w:lang w:val="en-GB"/>
            </w:rPr>
            <m:t>×</m:t>
          </m:r>
          <m:f>
            <m:fPr>
              <m:ctrlPr>
                <w:rPr>
                  <w:rFonts w:ascii="Cambria Math" w:hAnsi="Cambria Math" w:cs="Arial"/>
                  <w:bCs/>
                  <w:lang w:val="en-GB"/>
                </w:rPr>
              </m:ctrlPr>
            </m:fPr>
            <m:num>
              <m:r>
                <w:rPr>
                  <w:rFonts w:ascii="Cambria Math" w:hAnsi="Cambria Math" w:cs="Arial"/>
                  <w:lang w:val="en-GB"/>
                </w:rPr>
                <m:t>V</m:t>
              </m:r>
              <m:ctrlPr>
                <w:rPr>
                  <w:rFonts w:ascii="Cambria Math" w:hAnsi="Cambria Math" w:cs="Arial"/>
                  <w:bCs/>
                  <w:i/>
                  <w:lang w:val="en-GB"/>
                </w:rPr>
              </m:ctrlPr>
            </m:num>
            <m:den>
              <m:r>
                <w:rPr>
                  <w:rFonts w:ascii="Cambria Math" w:hAnsi="Cambria Math" w:cs="Arial"/>
                  <w:lang w:val="en-GB"/>
                </w:rPr>
                <m:t>1000</m:t>
              </m:r>
              <m:r>
                <m:rPr>
                  <m:sty m:val="p"/>
                </m:rPr>
                <w:rPr>
                  <w:rFonts w:ascii="Cambria Math" w:hAnsi="Cambria Math" w:cs="Arial"/>
                  <w:lang w:val="en-GB"/>
                </w:rPr>
                <m:t>×</m:t>
              </m:r>
              <m:r>
                <w:rPr>
                  <w:rFonts w:ascii="Cambria Math" w:hAnsi="Cambria Math" w:cs="Arial"/>
                  <w:lang w:val="en-GB"/>
                </w:rPr>
                <m:t>W</m:t>
              </m:r>
              <m:ctrlPr>
                <w:rPr>
                  <w:rFonts w:ascii="Cambria Math" w:hAnsi="Cambria Math" w:cs="Arial"/>
                  <w:bCs/>
                  <w:i/>
                  <w:lang w:val="en-GB"/>
                </w:rPr>
              </m:ctrlPr>
            </m:den>
          </m:f>
        </m:oMath>
      </m:oMathPara>
    </w:p>
    <w:p w14:paraId="57328E3D" w14:textId="77777777" w:rsidR="00ED1EFD" w:rsidRDefault="00ED1EFD" w:rsidP="00ED1EFD">
      <w:pPr>
        <w:pStyle w:val="Body"/>
        <w:spacing w:after="0"/>
        <w:rPr>
          <w:rFonts w:ascii="Arial" w:hAnsi="Arial" w:cs="Arial"/>
          <w:bCs/>
          <w:lang w:val="en-GB"/>
        </w:rPr>
      </w:pPr>
    </w:p>
    <w:p w14:paraId="35F0FE84" w14:textId="75C6658B" w:rsidR="00965B45" w:rsidRDefault="00965B45" w:rsidP="00ED1EFD">
      <w:pPr>
        <w:pStyle w:val="Body"/>
        <w:spacing w:after="0"/>
        <w:rPr>
          <w:rFonts w:ascii="Arial" w:hAnsi="Arial" w:cs="Arial"/>
          <w:bCs/>
          <w:lang w:val="en-GB"/>
        </w:rPr>
      </w:pPr>
      <w:proofErr w:type="gramStart"/>
      <w:r w:rsidRPr="00965B45">
        <w:rPr>
          <w:rFonts w:ascii="Arial" w:hAnsi="Arial" w:cs="Arial"/>
          <w:bCs/>
          <w:lang w:val="en-GB"/>
        </w:rPr>
        <w:t>Where</w:t>
      </w:r>
      <w:proofErr w:type="gramEnd"/>
      <w:r w:rsidRPr="00965B45">
        <w:rPr>
          <w:rFonts w:ascii="Arial" w:hAnsi="Arial" w:cs="Arial"/>
          <w:bCs/>
          <w:lang w:val="en-GB"/>
        </w:rPr>
        <w:t>,</w:t>
      </w:r>
    </w:p>
    <w:p w14:paraId="7960EC96" w14:textId="77777777" w:rsidR="00965B45" w:rsidRPr="00965B45" w:rsidRDefault="00965B45" w:rsidP="00965B45">
      <w:pPr>
        <w:pStyle w:val="Body"/>
        <w:spacing w:after="0"/>
        <w:rPr>
          <w:rFonts w:ascii="Arial" w:hAnsi="Arial" w:cs="Arial"/>
          <w:bCs/>
          <w:lang w:val="en-GB"/>
        </w:rPr>
      </w:pPr>
      <w:r w:rsidRPr="00965B45">
        <w:rPr>
          <w:rFonts w:ascii="Arial" w:hAnsi="Arial" w:cs="Arial"/>
          <w:bCs/>
          <w:lang w:val="en-GB"/>
        </w:rPr>
        <w:t>V= volume of chlorophyll extract in 80% acetone</w:t>
      </w:r>
    </w:p>
    <w:p w14:paraId="16612025" w14:textId="77777777" w:rsidR="00965B45" w:rsidRDefault="00965B45" w:rsidP="00965B45">
      <w:pPr>
        <w:pStyle w:val="Body"/>
        <w:spacing w:after="0"/>
        <w:rPr>
          <w:rFonts w:ascii="Arial" w:hAnsi="Arial" w:cs="Arial"/>
          <w:bCs/>
          <w:lang w:val="en-GB"/>
        </w:rPr>
      </w:pPr>
      <w:r w:rsidRPr="00965B45">
        <w:rPr>
          <w:rFonts w:ascii="Arial" w:hAnsi="Arial" w:cs="Arial"/>
          <w:bCs/>
          <w:lang w:val="en-GB"/>
        </w:rPr>
        <w:t>W= fresh weight of leaf sample (</w:t>
      </w:r>
      <w:proofErr w:type="spellStart"/>
      <w:r w:rsidRPr="00965B45">
        <w:rPr>
          <w:rFonts w:ascii="Arial" w:hAnsi="Arial" w:cs="Arial"/>
          <w:bCs/>
          <w:lang w:val="en-GB"/>
        </w:rPr>
        <w:t>Harbone</w:t>
      </w:r>
      <w:proofErr w:type="spellEnd"/>
      <w:r w:rsidRPr="00965B45">
        <w:rPr>
          <w:rFonts w:ascii="Arial" w:hAnsi="Arial" w:cs="Arial"/>
          <w:bCs/>
          <w:lang w:val="en-GB"/>
        </w:rPr>
        <w:t xml:space="preserve"> </w:t>
      </w:r>
      <w:r w:rsidRPr="00965B45">
        <w:rPr>
          <w:rFonts w:ascii="Arial" w:hAnsi="Arial" w:cs="Arial"/>
          <w:bCs/>
          <w:i/>
          <w:iCs/>
          <w:lang w:val="en-GB"/>
        </w:rPr>
        <w:t>et al.,</w:t>
      </w:r>
      <w:r w:rsidRPr="00965B45">
        <w:rPr>
          <w:rFonts w:ascii="Arial" w:hAnsi="Arial" w:cs="Arial"/>
          <w:bCs/>
          <w:lang w:val="en-GB"/>
        </w:rPr>
        <w:t xml:space="preserve"> 1987)</w:t>
      </w:r>
    </w:p>
    <w:p w14:paraId="63B312F3" w14:textId="77777777" w:rsidR="00ED1EFD" w:rsidRPr="00965B45" w:rsidRDefault="00ED1EFD" w:rsidP="00965B45">
      <w:pPr>
        <w:pStyle w:val="Body"/>
        <w:spacing w:after="0"/>
        <w:rPr>
          <w:rFonts w:ascii="Arial" w:hAnsi="Arial" w:cs="Arial"/>
          <w:bCs/>
          <w:lang w:val="en-GB"/>
        </w:rPr>
      </w:pPr>
    </w:p>
    <w:p w14:paraId="271AE36A" w14:textId="77777777" w:rsidR="00965B45" w:rsidRDefault="00965B45" w:rsidP="00965B45">
      <w:pPr>
        <w:pStyle w:val="Body"/>
        <w:spacing w:after="0"/>
        <w:rPr>
          <w:rFonts w:ascii="Arial" w:hAnsi="Arial" w:cs="Arial"/>
          <w:bCs/>
          <w:lang w:val="en-GB"/>
        </w:rPr>
      </w:pPr>
      <w:r w:rsidRPr="00965B45">
        <w:rPr>
          <w:rFonts w:ascii="Arial" w:hAnsi="Arial" w:cs="Arial"/>
          <w:bCs/>
        </w:rPr>
        <w:t>Where A</w:t>
      </w:r>
      <w:r w:rsidRPr="00965B45">
        <w:rPr>
          <w:rFonts w:ascii="Arial" w:hAnsi="Arial" w:cs="Arial"/>
          <w:bCs/>
          <w:vertAlign w:val="subscript"/>
        </w:rPr>
        <w:t>663</w:t>
      </w:r>
      <w:r w:rsidRPr="00965B45">
        <w:rPr>
          <w:rFonts w:ascii="Arial" w:hAnsi="Arial" w:cs="Arial"/>
          <w:bCs/>
        </w:rPr>
        <w:t>​, and A</w:t>
      </w:r>
      <w:r w:rsidRPr="00965B45">
        <w:rPr>
          <w:rFonts w:ascii="Arial" w:hAnsi="Arial" w:cs="Arial"/>
          <w:bCs/>
          <w:vertAlign w:val="subscript"/>
        </w:rPr>
        <w:t>646</w:t>
      </w:r>
      <w:r w:rsidRPr="00965B45">
        <w:rPr>
          <w:rFonts w:ascii="Arial" w:hAnsi="Arial" w:cs="Arial"/>
          <w:bCs/>
        </w:rPr>
        <w:t>​ represent the absorbance values at their respective wavelengths, V is the extract volume (i.e., 10 mL), W is the sample weight (i.e., 0.1 g), and 1000 is a factor for unit conversion to mg/g.</w:t>
      </w:r>
      <w:r w:rsidRPr="00965B45">
        <w:rPr>
          <w:rFonts w:ascii="Arial" w:hAnsi="Arial" w:cs="Arial"/>
          <w:bCs/>
          <w:lang w:val="en-GB"/>
        </w:rPr>
        <w:t xml:space="preserve"> The coefficients constituting (12.3, 0.86, 19.3, 3.6, 17.3 and 7.18) are empirical constants obtained from standard calibration</w:t>
      </w:r>
      <w:r w:rsidRPr="00965B45">
        <w:rPr>
          <w:rFonts w:ascii="Arial" w:hAnsi="Arial" w:cs="Arial"/>
          <w:bCs/>
          <w:lang w:val="en-GB"/>
        </w:rPr>
        <w:t> </w:t>
      </w:r>
      <w:r w:rsidRPr="00965B45">
        <w:rPr>
          <w:rFonts w:ascii="Arial" w:hAnsi="Arial" w:cs="Arial"/>
          <w:bCs/>
          <w:lang w:val="en-GB"/>
        </w:rPr>
        <w:t>studies to estimate chlorophyll a, chlorophyll b and total chlorophyll with great accuracy.</w:t>
      </w:r>
    </w:p>
    <w:p w14:paraId="52E52BDD" w14:textId="77777777" w:rsidR="00321B75" w:rsidRPr="00965B45" w:rsidRDefault="00321B75" w:rsidP="00965B45">
      <w:pPr>
        <w:pStyle w:val="Body"/>
        <w:spacing w:after="0"/>
        <w:rPr>
          <w:rFonts w:ascii="Arial" w:hAnsi="Arial" w:cs="Arial"/>
          <w:bCs/>
          <w:lang w:val="en-GB"/>
        </w:rPr>
      </w:pPr>
    </w:p>
    <w:p w14:paraId="4D932748" w14:textId="77777777" w:rsidR="00965B45" w:rsidRDefault="00965B45" w:rsidP="00965B45">
      <w:pPr>
        <w:pStyle w:val="Body"/>
        <w:spacing w:after="0"/>
        <w:rPr>
          <w:rFonts w:ascii="Arial" w:hAnsi="Arial" w:cs="Arial"/>
          <w:bCs/>
          <w:lang w:val="en-GB"/>
        </w:rPr>
      </w:pPr>
      <w:r w:rsidRPr="00965B45">
        <w:rPr>
          <w:rFonts w:ascii="Arial" w:hAnsi="Arial" w:cs="Arial"/>
          <w:bCs/>
          <w:lang w:val="en-GB"/>
        </w:rPr>
        <w:t>Indeed, the method takes into consideration the possible interaction between the chlorophyll pigments by applying specific</w:t>
      </w:r>
      <w:r w:rsidRPr="00965B45">
        <w:rPr>
          <w:rFonts w:ascii="Arial" w:hAnsi="Arial" w:cs="Arial"/>
          <w:bCs/>
          <w:lang w:val="en-GB"/>
        </w:rPr>
        <w:t> </w:t>
      </w:r>
      <w:r w:rsidRPr="00965B45">
        <w:rPr>
          <w:rFonts w:ascii="Arial" w:hAnsi="Arial" w:cs="Arial"/>
          <w:bCs/>
          <w:lang w:val="en-GB"/>
        </w:rPr>
        <w:t>absorbance coefficients. All steps are performed under</w:t>
      </w:r>
      <w:r w:rsidRPr="00965B45">
        <w:rPr>
          <w:rFonts w:ascii="Arial" w:hAnsi="Arial" w:cs="Arial"/>
          <w:bCs/>
          <w:lang w:val="en-GB"/>
        </w:rPr>
        <w:t> </w:t>
      </w:r>
      <w:r w:rsidRPr="00965B45">
        <w:rPr>
          <w:rFonts w:ascii="Arial" w:hAnsi="Arial" w:cs="Arial"/>
          <w:bCs/>
          <w:lang w:val="en-GB"/>
        </w:rPr>
        <w:t>controlled conditions (e.g., under dim light) to minimize photooxidation of the pigments. This approach provides a consistent measurement of</w:t>
      </w:r>
      <w:r w:rsidRPr="00965B45">
        <w:rPr>
          <w:rFonts w:ascii="Arial" w:hAnsi="Arial" w:cs="Arial"/>
          <w:bCs/>
          <w:lang w:val="en-GB"/>
        </w:rPr>
        <w:t> </w:t>
      </w:r>
      <w:r w:rsidRPr="00965B45">
        <w:rPr>
          <w:rFonts w:ascii="Arial" w:hAnsi="Arial" w:cs="Arial"/>
          <w:bCs/>
          <w:lang w:val="en-GB"/>
        </w:rPr>
        <w:t>chlorophyll a, chlorophyll b, and total chlorophyll in the leaf samples.</w:t>
      </w:r>
    </w:p>
    <w:p w14:paraId="21329432" w14:textId="77777777" w:rsidR="00321B75" w:rsidRPr="00965B45" w:rsidRDefault="00321B75" w:rsidP="00965B45">
      <w:pPr>
        <w:pStyle w:val="Body"/>
        <w:spacing w:after="0"/>
        <w:rPr>
          <w:rFonts w:ascii="Arial" w:hAnsi="Arial" w:cs="Arial"/>
          <w:bCs/>
          <w:lang w:val="en-GB"/>
        </w:rPr>
      </w:pPr>
    </w:p>
    <w:p w14:paraId="2156E3D4" w14:textId="0CCD34FD" w:rsidR="00965B45" w:rsidRDefault="00C27A22" w:rsidP="00965B45">
      <w:pPr>
        <w:pStyle w:val="Body"/>
        <w:spacing w:after="0"/>
        <w:rPr>
          <w:rFonts w:ascii="Arial" w:hAnsi="Arial" w:cs="Arial"/>
          <w:bCs/>
          <w:lang w:val="en-GB"/>
        </w:rPr>
      </w:pPr>
      <w:r w:rsidRPr="00C27A22">
        <w:rPr>
          <w:rFonts w:ascii="Arial" w:hAnsi="Arial" w:cs="Arial"/>
          <w:bCs/>
          <w:i/>
          <w:iCs/>
          <w:lang w:val="en-GB"/>
        </w:rPr>
        <w:t xml:space="preserve">2.2.3.4 </w:t>
      </w:r>
      <w:r w:rsidR="00965B45" w:rsidRPr="00C27A22">
        <w:rPr>
          <w:rFonts w:ascii="Arial" w:hAnsi="Arial" w:cs="Arial"/>
          <w:bCs/>
          <w:i/>
          <w:iCs/>
          <w:lang w:val="en-GB"/>
        </w:rPr>
        <w:t>Total Carotenoids:</w:t>
      </w:r>
      <w:r w:rsidR="00965B45" w:rsidRPr="00965B45">
        <w:rPr>
          <w:rFonts w:ascii="Arial" w:hAnsi="Arial" w:cs="Arial"/>
          <w:b/>
          <w:bCs/>
          <w:lang w:val="en-GB"/>
        </w:rPr>
        <w:t xml:space="preserve"> </w:t>
      </w:r>
      <w:r w:rsidR="00965B45" w:rsidRPr="00965B45">
        <w:rPr>
          <w:rFonts w:ascii="Arial" w:hAnsi="Arial" w:cs="Arial"/>
          <w:bCs/>
          <w:lang w:val="en-GB"/>
        </w:rPr>
        <w:t>Carotenoids were</w:t>
      </w:r>
      <w:r w:rsidR="00965B45" w:rsidRPr="00965B45">
        <w:rPr>
          <w:rFonts w:ascii="Arial" w:hAnsi="Arial" w:cs="Arial"/>
          <w:bCs/>
          <w:lang w:val="en-GB"/>
        </w:rPr>
        <w:t> </w:t>
      </w:r>
      <w:r w:rsidR="00965B45" w:rsidRPr="00965B45">
        <w:rPr>
          <w:rFonts w:ascii="Arial" w:hAnsi="Arial" w:cs="Arial"/>
          <w:bCs/>
          <w:lang w:val="en-GB"/>
        </w:rPr>
        <w:t>estimated as per the extraction procedure for estimating chlorophyll. Fresh leaf tissue (0.1 g) was macerated by mortar and pestle, and 10 mL of 80% acetone was added to extract the pigments. The extract was passed through Whatman filter paper No. 3 in order to record the absorbance of the</w:t>
      </w:r>
      <w:r w:rsidR="00965B45" w:rsidRPr="00965B45">
        <w:rPr>
          <w:rFonts w:ascii="Arial" w:hAnsi="Arial" w:cs="Arial"/>
          <w:bCs/>
          <w:lang w:val="en-GB"/>
        </w:rPr>
        <w:t> </w:t>
      </w:r>
      <w:r w:rsidR="00965B45" w:rsidRPr="00965B45">
        <w:rPr>
          <w:rFonts w:ascii="Arial" w:hAnsi="Arial" w:cs="Arial"/>
          <w:bCs/>
          <w:lang w:val="en-GB"/>
        </w:rPr>
        <w:t>chlorophyll's filtrate at 470 nm (carotenoids), 663 nm (chlorophyll a) and 646 nm (chlorophyll b) using a UV-Vis spectrophotometer. The blank for calibration was the</w:t>
      </w:r>
      <w:r w:rsidR="00965B45" w:rsidRPr="00965B45">
        <w:rPr>
          <w:rFonts w:ascii="Arial" w:hAnsi="Arial" w:cs="Arial"/>
          <w:bCs/>
          <w:lang w:val="en-GB"/>
        </w:rPr>
        <w:t> </w:t>
      </w:r>
      <w:r w:rsidR="00965B45" w:rsidRPr="00965B45">
        <w:rPr>
          <w:rFonts w:ascii="Arial" w:hAnsi="Arial" w:cs="Arial"/>
          <w:bCs/>
          <w:lang w:val="en-GB"/>
        </w:rPr>
        <w:t>solvent (80% acetone). Total carotenoids were</w:t>
      </w:r>
      <w:r w:rsidR="00965B45" w:rsidRPr="00965B45">
        <w:rPr>
          <w:rFonts w:ascii="Arial" w:hAnsi="Arial" w:cs="Arial"/>
          <w:bCs/>
          <w:lang w:val="en-GB"/>
        </w:rPr>
        <w:t> </w:t>
      </w:r>
      <w:r w:rsidR="00965B45" w:rsidRPr="00965B45">
        <w:rPr>
          <w:rFonts w:ascii="Arial" w:hAnsi="Arial" w:cs="Arial"/>
          <w:bCs/>
          <w:lang w:val="en-GB"/>
        </w:rPr>
        <w:t>calculated based on the following formula:</w:t>
      </w:r>
    </w:p>
    <w:p w14:paraId="5BBE459F" w14:textId="77777777" w:rsidR="00321B75" w:rsidRPr="00965B45" w:rsidRDefault="00321B75" w:rsidP="00965B45">
      <w:pPr>
        <w:pStyle w:val="Body"/>
        <w:spacing w:after="0"/>
        <w:rPr>
          <w:rFonts w:ascii="Arial" w:hAnsi="Arial" w:cs="Arial"/>
          <w:b/>
          <w:bCs/>
          <w:lang w:val="en-GB"/>
        </w:rPr>
      </w:pPr>
    </w:p>
    <w:p w14:paraId="1D6EFA5C" w14:textId="6497286D" w:rsidR="00965B45" w:rsidRDefault="00965B45" w:rsidP="00965B45">
      <w:pPr>
        <w:pStyle w:val="Body"/>
        <w:spacing w:after="0"/>
        <w:rPr>
          <w:rFonts w:ascii="Arial" w:hAnsi="Arial" w:cs="Arial"/>
          <w:bCs/>
          <w:lang w:val="en-GB"/>
        </w:rPr>
      </w:pPr>
      <m:oMath>
        <m:r>
          <m:rPr>
            <m:nor/>
          </m:rPr>
          <w:rPr>
            <w:rFonts w:ascii="Arial" w:hAnsi="Arial" w:cs="Arial"/>
            <w:bCs/>
            <w:lang w:val="en-GB"/>
          </w:rPr>
          <m:t xml:space="preserve">         Total Carotenoids</m:t>
        </m:r>
        <m:d>
          <m:dPr>
            <m:ctrlPr>
              <w:rPr>
                <w:rFonts w:ascii="Cambria Math" w:hAnsi="Cambria Math" w:cs="Arial"/>
                <w:bCs/>
                <w:i/>
                <w:lang w:val="en-GB"/>
              </w:rPr>
            </m:ctrlPr>
          </m:dPr>
          <m:e>
            <m:r>
              <m:rPr>
                <m:nor/>
              </m:rPr>
              <w:rPr>
                <w:rFonts w:ascii="Arial" w:hAnsi="Arial" w:cs="Arial"/>
                <w:bCs/>
                <w:lang w:val="en-GB"/>
              </w:rPr>
              <m:t>mg</m:t>
            </m:r>
            <m:r>
              <m:rPr>
                <m:lit/>
                <m:nor/>
              </m:rPr>
              <w:rPr>
                <w:rFonts w:ascii="Arial" w:hAnsi="Arial" w:cs="Arial"/>
                <w:bCs/>
                <w:lang w:val="en-GB"/>
              </w:rPr>
              <m:t>/</m:t>
            </m:r>
            <m:r>
              <m:rPr>
                <m:nor/>
              </m:rPr>
              <w:rPr>
                <w:rFonts w:ascii="Arial" w:hAnsi="Arial" w:cs="Arial"/>
                <w:bCs/>
                <w:lang w:val="en-GB"/>
              </w:rPr>
              <m:t>g</m:t>
            </m:r>
          </m:e>
        </m:d>
        <m:r>
          <w:rPr>
            <w:rFonts w:ascii="Cambria Math" w:hAnsi="Cambria Math" w:cs="Arial"/>
            <w:lang w:val="en-GB"/>
          </w:rPr>
          <m:t>=</m:t>
        </m:r>
        <m:f>
          <m:fPr>
            <m:ctrlPr>
              <w:rPr>
                <w:rFonts w:ascii="Cambria Math" w:hAnsi="Cambria Math" w:cs="Arial"/>
                <w:bCs/>
                <w:lang w:val="en-GB"/>
              </w:rPr>
            </m:ctrlPr>
          </m:fPr>
          <m:num>
            <m:d>
              <m:dPr>
                <m:ctrlPr>
                  <w:rPr>
                    <w:rFonts w:ascii="Cambria Math" w:hAnsi="Cambria Math" w:cs="Arial"/>
                    <w:bCs/>
                    <w:i/>
                    <w:lang w:val="en-GB"/>
                  </w:rPr>
                </m:ctrlPr>
              </m:dPr>
              <m:e>
                <m:r>
                  <w:rPr>
                    <w:rFonts w:ascii="Cambria Math" w:hAnsi="Cambria Math" w:cs="Arial"/>
                    <w:lang w:val="en-GB"/>
                  </w:rPr>
                  <m:t>1000</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470</m:t>
                    </m:r>
                  </m:sub>
                </m:sSub>
              </m:e>
            </m:d>
            <m:r>
              <w:rPr>
                <w:rFonts w:ascii="Cambria Math" w:hAnsi="Cambria Math" w:cs="Arial"/>
                <w:lang w:val="en-GB"/>
              </w:rPr>
              <m:t>-</m:t>
            </m:r>
            <m:d>
              <m:dPr>
                <m:ctrlPr>
                  <w:rPr>
                    <w:rFonts w:ascii="Cambria Math" w:hAnsi="Cambria Math" w:cs="Arial"/>
                    <w:bCs/>
                    <w:i/>
                    <w:lang w:val="en-GB"/>
                  </w:rPr>
                </m:ctrlPr>
              </m:dPr>
              <m:e>
                <m:r>
                  <w:rPr>
                    <w:rFonts w:ascii="Cambria Math" w:hAnsi="Cambria Math" w:cs="Arial"/>
                    <w:lang w:val="en-GB"/>
                  </w:rPr>
                  <m:t>2.05</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663</m:t>
                    </m:r>
                  </m:sub>
                </m:sSub>
              </m:e>
            </m:d>
            <m:r>
              <w:rPr>
                <w:rFonts w:ascii="Cambria Math" w:hAnsi="Cambria Math" w:cs="Arial"/>
                <w:lang w:val="en-GB"/>
              </w:rPr>
              <m:t>-</m:t>
            </m:r>
            <m:d>
              <m:dPr>
                <m:ctrlPr>
                  <w:rPr>
                    <w:rFonts w:ascii="Cambria Math" w:hAnsi="Cambria Math" w:cs="Arial"/>
                    <w:bCs/>
                    <w:i/>
                    <w:lang w:val="en-GB"/>
                  </w:rPr>
                </m:ctrlPr>
              </m:dPr>
              <m:e>
                <m:r>
                  <w:rPr>
                    <w:rFonts w:ascii="Cambria Math" w:hAnsi="Cambria Math" w:cs="Arial"/>
                    <w:lang w:val="en-GB"/>
                  </w:rPr>
                  <m:t>114.8</m:t>
                </m:r>
                <m:r>
                  <m:rPr>
                    <m:sty m:val="p"/>
                  </m:rPr>
                  <w:rPr>
                    <w:rFonts w:ascii="Cambria Math" w:hAnsi="Cambria Math" w:cs="Arial"/>
                    <w:lang w:val="en-GB"/>
                  </w:rPr>
                  <m:t>×</m:t>
                </m:r>
                <m:sSub>
                  <m:sSubPr>
                    <m:ctrlPr>
                      <w:rPr>
                        <w:rFonts w:ascii="Cambria Math" w:hAnsi="Cambria Math" w:cs="Arial"/>
                        <w:bCs/>
                        <w:i/>
                        <w:lang w:val="en-GB"/>
                      </w:rPr>
                    </m:ctrlPr>
                  </m:sSubPr>
                  <m:e>
                    <m:r>
                      <w:rPr>
                        <w:rFonts w:ascii="Cambria Math" w:hAnsi="Cambria Math" w:cs="Arial"/>
                        <w:lang w:val="en-GB"/>
                      </w:rPr>
                      <m:t>A</m:t>
                    </m:r>
                    <m:ctrlPr>
                      <w:rPr>
                        <w:rFonts w:ascii="Cambria Math" w:hAnsi="Cambria Math" w:cs="Arial"/>
                        <w:bCs/>
                        <w:lang w:val="en-GB"/>
                      </w:rPr>
                    </m:ctrlPr>
                  </m:e>
                  <m:sub>
                    <m:r>
                      <w:rPr>
                        <w:rFonts w:ascii="Cambria Math" w:hAnsi="Cambria Math" w:cs="Arial"/>
                        <w:lang w:val="en-GB"/>
                      </w:rPr>
                      <m:t>646</m:t>
                    </m:r>
                  </m:sub>
                </m:sSub>
              </m:e>
            </m:d>
            <m:r>
              <m:rPr>
                <m:sty m:val="p"/>
              </m:rPr>
              <w:rPr>
                <w:rFonts w:ascii="Cambria Math" w:hAnsi="Cambria Math" w:cs="Arial"/>
                <w:lang w:val="en-GB"/>
              </w:rPr>
              <m:t>×</m:t>
            </m:r>
            <m:r>
              <w:rPr>
                <w:rFonts w:ascii="Cambria Math" w:hAnsi="Cambria Math" w:cs="Arial"/>
                <w:lang w:val="en-GB"/>
              </w:rPr>
              <m:t>V</m:t>
            </m:r>
            <m:ctrlPr>
              <w:rPr>
                <w:rFonts w:ascii="Cambria Math" w:hAnsi="Cambria Math" w:cs="Arial"/>
                <w:bCs/>
                <w:i/>
                <w:lang w:val="en-GB"/>
              </w:rPr>
            </m:ctrlPr>
          </m:num>
          <m:den>
            <m:r>
              <w:rPr>
                <w:rFonts w:ascii="Cambria Math" w:hAnsi="Cambria Math" w:cs="Arial"/>
                <w:lang w:val="en-GB"/>
              </w:rPr>
              <m:t>1000</m:t>
            </m:r>
            <m:r>
              <m:rPr>
                <m:sty m:val="p"/>
              </m:rPr>
              <w:rPr>
                <w:rFonts w:ascii="Cambria Math" w:hAnsi="Cambria Math" w:cs="Arial"/>
                <w:lang w:val="en-GB"/>
              </w:rPr>
              <m:t>×</m:t>
            </m:r>
            <m:r>
              <w:rPr>
                <w:rFonts w:ascii="Cambria Math" w:hAnsi="Cambria Math" w:cs="Arial"/>
                <w:lang w:val="en-GB"/>
              </w:rPr>
              <m:t>W</m:t>
            </m:r>
            <m:ctrlPr>
              <w:rPr>
                <w:rFonts w:ascii="Cambria Math" w:hAnsi="Cambria Math" w:cs="Arial"/>
                <w:bCs/>
                <w:i/>
                <w:lang w:val="en-GB"/>
              </w:rPr>
            </m:ctrlPr>
          </m:den>
        </m:f>
      </m:oMath>
      <w:r w:rsidR="00333944">
        <w:rPr>
          <w:rFonts w:ascii="Arial" w:hAnsi="Arial" w:cs="Arial"/>
          <w:bCs/>
          <w:lang w:val="en-GB"/>
        </w:rPr>
        <w:t xml:space="preserve"> </w:t>
      </w:r>
      <w:r w:rsidRPr="00965B45">
        <w:rPr>
          <w:rFonts w:ascii="Arial" w:hAnsi="Arial" w:cs="Arial"/>
          <w:bCs/>
          <w:lang w:val="en-GB"/>
        </w:rPr>
        <w:t>(</w:t>
      </w:r>
      <w:proofErr w:type="spellStart"/>
      <w:r w:rsidRPr="00965B45">
        <w:rPr>
          <w:rFonts w:ascii="Arial" w:hAnsi="Arial" w:cs="Arial"/>
          <w:bCs/>
          <w:lang w:val="en-GB"/>
        </w:rPr>
        <w:t>Lichtenthaler</w:t>
      </w:r>
      <w:proofErr w:type="spellEnd"/>
      <w:r w:rsidRPr="00965B45">
        <w:rPr>
          <w:rFonts w:ascii="Arial" w:hAnsi="Arial" w:cs="Arial"/>
          <w:bCs/>
          <w:lang w:val="en-GB"/>
        </w:rPr>
        <w:t xml:space="preserve"> &amp; Wellburn, 1983).</w:t>
      </w:r>
    </w:p>
    <w:p w14:paraId="5572E3CF" w14:textId="77777777" w:rsidR="00321B75" w:rsidRPr="00965B45" w:rsidRDefault="00321B75" w:rsidP="00965B45">
      <w:pPr>
        <w:pStyle w:val="Body"/>
        <w:spacing w:after="0"/>
        <w:rPr>
          <w:rFonts w:ascii="Arial" w:hAnsi="Arial" w:cs="Arial"/>
          <w:bCs/>
          <w:lang w:val="en-GB"/>
        </w:rPr>
      </w:pPr>
    </w:p>
    <w:p w14:paraId="458753B1" w14:textId="77777777" w:rsidR="00965B45" w:rsidRDefault="00965B45" w:rsidP="00965B45">
      <w:pPr>
        <w:pStyle w:val="Body"/>
        <w:spacing w:after="0"/>
        <w:rPr>
          <w:rFonts w:ascii="Arial" w:hAnsi="Arial" w:cs="Arial"/>
          <w:bCs/>
        </w:rPr>
      </w:pPr>
      <w:r w:rsidRPr="00965B45">
        <w:rPr>
          <w:rFonts w:ascii="Arial" w:hAnsi="Arial" w:cs="Arial"/>
          <w:bCs/>
        </w:rPr>
        <w:t>where A</w:t>
      </w:r>
      <w:r w:rsidRPr="00965B45">
        <w:rPr>
          <w:rFonts w:ascii="Arial" w:hAnsi="Arial" w:cs="Arial"/>
          <w:bCs/>
          <w:vertAlign w:val="subscript"/>
        </w:rPr>
        <w:t>470</w:t>
      </w:r>
      <w:r w:rsidRPr="00965B45">
        <w:rPr>
          <w:rFonts w:ascii="Arial" w:hAnsi="Arial" w:cs="Arial"/>
          <w:bCs/>
        </w:rPr>
        <w:t>​, A</w:t>
      </w:r>
      <w:r w:rsidRPr="00965B45">
        <w:rPr>
          <w:rFonts w:ascii="Arial" w:hAnsi="Arial" w:cs="Arial"/>
          <w:bCs/>
          <w:vertAlign w:val="subscript"/>
        </w:rPr>
        <w:t>663</w:t>
      </w:r>
      <w:r w:rsidRPr="00965B45">
        <w:rPr>
          <w:rFonts w:ascii="Arial" w:hAnsi="Arial" w:cs="Arial"/>
          <w:bCs/>
        </w:rPr>
        <w:t>​, and A</w:t>
      </w:r>
      <w:r w:rsidRPr="00965B45">
        <w:rPr>
          <w:rFonts w:ascii="Arial" w:hAnsi="Arial" w:cs="Arial"/>
          <w:bCs/>
          <w:vertAlign w:val="subscript"/>
        </w:rPr>
        <w:t>646</w:t>
      </w:r>
      <w:r w:rsidRPr="00965B45">
        <w:rPr>
          <w:rFonts w:ascii="Arial" w:hAnsi="Arial" w:cs="Arial"/>
          <w:bCs/>
        </w:rPr>
        <w:t xml:space="preserve"> represent the absorbance values at their respective wavelengths, V is the extract volume (e.g., 10 mL), W is the sample weight (e.g., 0.1 g), and 1000 is a factor for unit conversion to mg/g. The coefficients (2.05 and 114.8) are empirically determined </w:t>
      </w:r>
      <w:r w:rsidRPr="00965B45">
        <w:rPr>
          <w:rFonts w:ascii="Arial" w:hAnsi="Arial" w:cs="Arial"/>
          <w:bCs/>
        </w:rPr>
        <w:lastRenderedPageBreak/>
        <w:t>constants that correct for interference from chlorophyll a and chlorophyll b at 470 nm. The denominator value 198 is another empirical constant derived from calibration studies to ensure accurate estimation.</w:t>
      </w:r>
    </w:p>
    <w:p w14:paraId="4972F85A" w14:textId="77777777" w:rsidR="00321B75" w:rsidRPr="00965B45" w:rsidRDefault="00321B75" w:rsidP="00965B45">
      <w:pPr>
        <w:pStyle w:val="Body"/>
        <w:spacing w:after="0"/>
        <w:rPr>
          <w:rFonts w:ascii="Arial" w:hAnsi="Arial" w:cs="Arial"/>
          <w:bCs/>
          <w:lang w:val="en-GB"/>
        </w:rPr>
      </w:pPr>
    </w:p>
    <w:p w14:paraId="73A296F2" w14:textId="77777777" w:rsidR="00965B45" w:rsidRPr="00965B45" w:rsidRDefault="00965B45" w:rsidP="00965B45">
      <w:pPr>
        <w:pStyle w:val="Body"/>
        <w:spacing w:after="0"/>
        <w:rPr>
          <w:rFonts w:ascii="Arial" w:hAnsi="Arial" w:cs="Arial"/>
          <w:bCs/>
          <w:lang w:val="en-GB"/>
        </w:rPr>
      </w:pPr>
      <w:r w:rsidRPr="00965B45">
        <w:rPr>
          <w:rFonts w:ascii="Arial" w:hAnsi="Arial" w:cs="Arial"/>
          <w:bCs/>
          <w:lang w:val="en-GB"/>
        </w:rPr>
        <w:t>Since chlorophyll pigments could interfere with measurements in the assay, the procedure is utilized to minimize any potential interference from these pigments and all steps are</w:t>
      </w:r>
      <w:r w:rsidRPr="00965B45">
        <w:rPr>
          <w:rFonts w:ascii="Arial" w:hAnsi="Arial" w:cs="Arial"/>
          <w:bCs/>
          <w:lang w:val="en-GB"/>
        </w:rPr>
        <w:t> </w:t>
      </w:r>
      <w:r w:rsidRPr="00965B45">
        <w:rPr>
          <w:rFonts w:ascii="Arial" w:hAnsi="Arial" w:cs="Arial"/>
          <w:bCs/>
          <w:lang w:val="en-GB"/>
        </w:rPr>
        <w:t>performed in dim light to avoid photooxidation of carotenoids. This approach allows for an accurate quantification of total carotenoids visible in the leaf extracts.</w:t>
      </w:r>
    </w:p>
    <w:p w14:paraId="1088CEB4" w14:textId="77777777" w:rsidR="00321B75" w:rsidRDefault="00321B75" w:rsidP="00965B45">
      <w:pPr>
        <w:pStyle w:val="Body"/>
        <w:spacing w:after="0"/>
        <w:rPr>
          <w:rFonts w:ascii="Arial" w:hAnsi="Arial" w:cs="Arial"/>
          <w:bCs/>
        </w:rPr>
      </w:pPr>
    </w:p>
    <w:p w14:paraId="3F85C676" w14:textId="25D2BE37" w:rsidR="00965B45" w:rsidRPr="00C27A22" w:rsidRDefault="00C27A22" w:rsidP="00965B45">
      <w:pPr>
        <w:pStyle w:val="Body"/>
        <w:spacing w:after="0"/>
        <w:rPr>
          <w:rFonts w:ascii="Arial" w:hAnsi="Arial" w:cs="Arial"/>
          <w:b/>
          <w:u w:val="single"/>
        </w:rPr>
      </w:pPr>
      <w:r w:rsidRPr="00C27A22">
        <w:rPr>
          <w:rFonts w:ascii="Arial" w:hAnsi="Arial" w:cs="Arial"/>
          <w:b/>
          <w:u w:val="single"/>
        </w:rPr>
        <w:t xml:space="preserve">2.2.4 </w:t>
      </w:r>
      <w:r w:rsidR="00965B45" w:rsidRPr="00C27A22">
        <w:rPr>
          <w:rFonts w:ascii="Arial" w:hAnsi="Arial" w:cs="Arial"/>
          <w:b/>
          <w:u w:val="single"/>
        </w:rPr>
        <w:t>Benefit-Cost Ratio (B:C ratio)</w:t>
      </w:r>
    </w:p>
    <w:p w14:paraId="226CD886" w14:textId="77777777" w:rsidR="00321B75" w:rsidRPr="00965B45" w:rsidRDefault="00321B75" w:rsidP="00965B45">
      <w:pPr>
        <w:pStyle w:val="Body"/>
        <w:spacing w:after="0"/>
        <w:rPr>
          <w:rFonts w:ascii="Arial" w:hAnsi="Arial" w:cs="Arial"/>
          <w:bCs/>
        </w:rPr>
      </w:pPr>
    </w:p>
    <w:p w14:paraId="0A1B8326" w14:textId="77777777" w:rsidR="00965B45" w:rsidRDefault="00965B45" w:rsidP="00965B45">
      <w:pPr>
        <w:pStyle w:val="Body"/>
        <w:spacing w:after="0"/>
        <w:rPr>
          <w:rFonts w:ascii="Arial" w:hAnsi="Arial" w:cs="Arial"/>
          <w:bCs/>
        </w:rPr>
      </w:pPr>
      <w:r w:rsidRPr="00965B45">
        <w:rPr>
          <w:rFonts w:ascii="Arial" w:hAnsi="Arial" w:cs="Arial"/>
          <w:bCs/>
        </w:rPr>
        <w:t xml:space="preserve">The Benefit-Cost Ratio (B:C ratio) was calculated to evaluate the economic feasibility of </w:t>
      </w:r>
      <w:proofErr w:type="spellStart"/>
      <w:r w:rsidRPr="00965B45">
        <w:rPr>
          <w:rFonts w:ascii="Arial" w:hAnsi="Arial" w:cs="Arial"/>
          <w:bCs/>
        </w:rPr>
        <w:t>biostimulant</w:t>
      </w:r>
      <w:proofErr w:type="spellEnd"/>
      <w:r w:rsidRPr="00965B45">
        <w:rPr>
          <w:rFonts w:ascii="Arial" w:hAnsi="Arial" w:cs="Arial"/>
          <w:bCs/>
        </w:rPr>
        <w:t xml:space="preserve"> treatments. The cost of cultivation (Rs.) for each treatment was recorded, and the yield (kg) was multiplied by the market price (Rs. 30/kg) to calculate the gross income:</w:t>
      </w:r>
    </w:p>
    <w:p w14:paraId="45824BEF" w14:textId="77777777" w:rsidR="00321B75" w:rsidRPr="00965B45" w:rsidRDefault="00321B75" w:rsidP="00965B45">
      <w:pPr>
        <w:pStyle w:val="Body"/>
        <w:spacing w:after="0"/>
        <w:rPr>
          <w:rFonts w:ascii="Arial" w:hAnsi="Arial" w:cs="Arial"/>
          <w:bCs/>
        </w:rPr>
      </w:pPr>
    </w:p>
    <w:p w14:paraId="5C82F9F5" w14:textId="7F1DA73D" w:rsidR="00965B45" w:rsidRPr="00965B45" w:rsidRDefault="00965B45" w:rsidP="00965B45">
      <w:pPr>
        <w:pStyle w:val="Body"/>
        <w:spacing w:after="0"/>
        <w:rPr>
          <w:rFonts w:ascii="Arial" w:hAnsi="Arial" w:cs="Arial"/>
          <w:bCs/>
        </w:rPr>
      </w:pPr>
      <m:oMathPara>
        <m:oMath>
          <m:r>
            <m:rPr>
              <m:nor/>
            </m:rPr>
            <w:rPr>
              <w:rFonts w:ascii="Arial" w:hAnsi="Arial" w:cs="Arial"/>
              <w:bCs/>
            </w:rPr>
            <m:t>Gross Income (Rs.)</m:t>
          </m:r>
          <m:r>
            <w:rPr>
              <w:rFonts w:ascii="Cambria Math" w:hAnsi="Cambria Math" w:cs="Arial"/>
            </w:rPr>
            <m:t>=</m:t>
          </m:r>
          <m:r>
            <m:rPr>
              <m:nor/>
            </m:rPr>
            <w:rPr>
              <w:rFonts w:ascii="Arial" w:hAnsi="Arial" w:cs="Arial"/>
              <w:bCs/>
            </w:rPr>
            <m:t>Yield (kg)</m:t>
          </m:r>
          <m:r>
            <m:rPr>
              <m:sty m:val="p"/>
            </m:rPr>
            <w:rPr>
              <w:rFonts w:ascii="Cambria Math" w:hAnsi="Cambria Math" w:cs="Arial"/>
            </w:rPr>
            <m:t>×</m:t>
          </m:r>
          <m:r>
            <m:rPr>
              <m:nor/>
            </m:rPr>
            <w:rPr>
              <w:rFonts w:ascii="Arial" w:hAnsi="Arial" w:cs="Arial"/>
              <w:bCs/>
            </w:rPr>
            <m:t>Market Price (Rs.</m:t>
          </m:r>
          <m:r>
            <m:rPr>
              <m:lit/>
              <m:nor/>
            </m:rPr>
            <w:rPr>
              <w:rFonts w:ascii="Arial" w:hAnsi="Arial" w:cs="Arial"/>
              <w:bCs/>
            </w:rPr>
            <m:t>/</m:t>
          </m:r>
          <m:r>
            <m:rPr>
              <m:nor/>
            </m:rPr>
            <w:rPr>
              <w:rFonts w:ascii="Arial" w:hAnsi="Arial" w:cs="Arial"/>
              <w:bCs/>
            </w:rPr>
            <m:t>kg)</m:t>
          </m:r>
        </m:oMath>
      </m:oMathPara>
    </w:p>
    <w:p w14:paraId="37EAB6A0" w14:textId="77777777" w:rsidR="00321B75" w:rsidRDefault="00321B75" w:rsidP="00965B45">
      <w:pPr>
        <w:pStyle w:val="Body"/>
        <w:spacing w:after="0"/>
        <w:rPr>
          <w:rFonts w:ascii="Arial" w:hAnsi="Arial" w:cs="Arial"/>
          <w:bCs/>
        </w:rPr>
      </w:pPr>
    </w:p>
    <w:p w14:paraId="27BC0BD7" w14:textId="7F0D2FAB" w:rsidR="00965B45" w:rsidRPr="00965B45" w:rsidRDefault="00965B45" w:rsidP="00965B45">
      <w:pPr>
        <w:pStyle w:val="Body"/>
        <w:spacing w:after="0"/>
        <w:rPr>
          <w:rFonts w:ascii="Arial" w:hAnsi="Arial" w:cs="Arial"/>
          <w:bCs/>
        </w:rPr>
      </w:pPr>
      <w:r w:rsidRPr="00965B45">
        <w:rPr>
          <w:rFonts w:ascii="Arial" w:hAnsi="Arial" w:cs="Arial"/>
          <w:bCs/>
        </w:rPr>
        <w:t>The B:C ratio was then determined as:</w:t>
      </w:r>
    </w:p>
    <w:p w14:paraId="741EF6CB" w14:textId="04A130AD" w:rsidR="00965B45" w:rsidRPr="00321B75" w:rsidRDefault="00965B45" w:rsidP="00965B45">
      <w:pPr>
        <w:pStyle w:val="Body"/>
        <w:spacing w:after="0"/>
        <w:rPr>
          <w:rFonts w:ascii="Arial" w:hAnsi="Arial" w:cs="Arial"/>
          <w:bCs/>
          <w:lang w:val="en-GB"/>
        </w:rPr>
      </w:pPr>
      <m:oMathPara>
        <m:oMath>
          <m:r>
            <m:rPr>
              <m:nor/>
            </m:rPr>
            <w:rPr>
              <w:rFonts w:ascii="Arial" w:hAnsi="Arial" w:cs="Arial"/>
              <w:bCs/>
              <w:lang w:val="en-GB"/>
            </w:rPr>
            <m:t>B:C Ratio</m:t>
          </m:r>
          <m:r>
            <w:rPr>
              <w:rFonts w:ascii="Cambria Math" w:hAnsi="Cambria Math" w:cs="Arial"/>
              <w:lang w:val="en-GB"/>
            </w:rPr>
            <m:t>=</m:t>
          </m:r>
          <m:f>
            <m:fPr>
              <m:ctrlPr>
                <w:rPr>
                  <w:rFonts w:ascii="Cambria Math" w:hAnsi="Cambria Math" w:cs="Arial"/>
                  <w:bCs/>
                  <w:lang w:val="en-GB"/>
                </w:rPr>
              </m:ctrlPr>
            </m:fPr>
            <m:num>
              <m:r>
                <m:rPr>
                  <m:nor/>
                </m:rPr>
                <w:rPr>
                  <w:rFonts w:ascii="Arial" w:hAnsi="Arial" w:cs="Arial"/>
                  <w:bCs/>
                  <w:lang w:val="en-GB"/>
                </w:rPr>
                <m:t>Gross Income (Rs.)</m:t>
              </m:r>
              <m:ctrlPr>
                <w:rPr>
                  <w:rFonts w:ascii="Cambria Math" w:hAnsi="Cambria Math" w:cs="Arial"/>
                  <w:bCs/>
                  <w:i/>
                  <w:lang w:val="en-GB"/>
                </w:rPr>
              </m:ctrlPr>
            </m:num>
            <m:den>
              <m:r>
                <m:rPr>
                  <m:nor/>
                </m:rPr>
                <w:rPr>
                  <w:rFonts w:ascii="Arial" w:hAnsi="Arial" w:cs="Arial"/>
                  <w:bCs/>
                  <w:lang w:val="en-GB"/>
                </w:rPr>
                <m:t>Cost of Cultivation (Rs.)</m:t>
              </m:r>
              <m:ctrlPr>
                <w:rPr>
                  <w:rFonts w:ascii="Cambria Math" w:hAnsi="Cambria Math" w:cs="Arial"/>
                  <w:bCs/>
                  <w:i/>
                  <w:lang w:val="en-GB"/>
                </w:rPr>
              </m:ctrlPr>
            </m:den>
          </m:f>
        </m:oMath>
      </m:oMathPara>
    </w:p>
    <w:p w14:paraId="20CD2138" w14:textId="77777777" w:rsidR="00321B75" w:rsidRPr="00965B45" w:rsidRDefault="00321B75" w:rsidP="00965B45">
      <w:pPr>
        <w:pStyle w:val="Body"/>
        <w:spacing w:after="0"/>
        <w:rPr>
          <w:rFonts w:ascii="Arial" w:hAnsi="Arial" w:cs="Arial"/>
          <w:bCs/>
          <w:lang w:val="en-GB"/>
        </w:rPr>
      </w:pPr>
    </w:p>
    <w:p w14:paraId="62EEB2B8" w14:textId="77777777" w:rsidR="00965B45" w:rsidRDefault="00965B45" w:rsidP="00965B45">
      <w:pPr>
        <w:pStyle w:val="Body"/>
        <w:spacing w:after="0"/>
        <w:rPr>
          <w:rFonts w:ascii="Arial" w:hAnsi="Arial" w:cs="Arial"/>
          <w:bCs/>
          <w:lang w:val="en-GB"/>
        </w:rPr>
      </w:pPr>
      <w:r w:rsidRPr="00965B45">
        <w:rPr>
          <w:rFonts w:ascii="Arial" w:hAnsi="Arial" w:cs="Arial"/>
          <w:bCs/>
          <w:lang w:val="en-GB"/>
        </w:rPr>
        <w:t>This ratio was used to compare the profitability of the treatments,</w:t>
      </w:r>
      <w:r w:rsidRPr="00965B45">
        <w:rPr>
          <w:rFonts w:ascii="Arial" w:hAnsi="Arial" w:cs="Arial"/>
          <w:bCs/>
          <w:lang w:val="en-GB"/>
        </w:rPr>
        <w:t> </w:t>
      </w:r>
      <w:r w:rsidRPr="00965B45">
        <w:rPr>
          <w:rFonts w:ascii="Arial" w:hAnsi="Arial" w:cs="Arial"/>
          <w:bCs/>
          <w:lang w:val="en-GB"/>
        </w:rPr>
        <w:t>where values &gt;1 indicate profitability.</w:t>
      </w:r>
    </w:p>
    <w:p w14:paraId="2686CFBF" w14:textId="77777777" w:rsidR="00321B75" w:rsidRPr="00965B45" w:rsidRDefault="00321B75" w:rsidP="00965B45">
      <w:pPr>
        <w:pStyle w:val="Body"/>
        <w:spacing w:after="0"/>
        <w:rPr>
          <w:rFonts w:ascii="Arial" w:hAnsi="Arial" w:cs="Arial"/>
          <w:bCs/>
          <w:lang w:val="en-GB"/>
        </w:rPr>
      </w:pPr>
    </w:p>
    <w:p w14:paraId="7A4B291D" w14:textId="6150F505" w:rsidR="00965B45" w:rsidRDefault="006E6409" w:rsidP="00965B45">
      <w:pPr>
        <w:pStyle w:val="Body"/>
        <w:spacing w:after="0"/>
        <w:rPr>
          <w:rFonts w:ascii="Arial" w:hAnsi="Arial" w:cs="Arial"/>
          <w:b/>
          <w:bCs/>
          <w:sz w:val="22"/>
          <w:szCs w:val="22"/>
        </w:rPr>
      </w:pPr>
      <w:r w:rsidRPr="006E6409">
        <w:rPr>
          <w:rFonts w:ascii="Arial" w:hAnsi="Arial" w:cs="Arial"/>
          <w:b/>
          <w:bCs/>
          <w:sz w:val="22"/>
          <w:szCs w:val="22"/>
        </w:rPr>
        <w:t>2.3 STATISTICAL ANALYSIS</w:t>
      </w:r>
    </w:p>
    <w:p w14:paraId="08820B86" w14:textId="77777777" w:rsidR="006E6409" w:rsidRPr="006E6409" w:rsidRDefault="006E6409" w:rsidP="00965B45">
      <w:pPr>
        <w:pStyle w:val="Body"/>
        <w:spacing w:after="0"/>
        <w:rPr>
          <w:rFonts w:ascii="Arial" w:hAnsi="Arial" w:cs="Arial"/>
          <w:b/>
          <w:bCs/>
          <w:sz w:val="22"/>
          <w:szCs w:val="22"/>
        </w:rPr>
      </w:pPr>
    </w:p>
    <w:p w14:paraId="3075296F" w14:textId="77777777" w:rsidR="00965B45" w:rsidRPr="00965B45" w:rsidRDefault="00965B45" w:rsidP="00965B45">
      <w:pPr>
        <w:pStyle w:val="Body"/>
        <w:spacing w:after="0"/>
        <w:rPr>
          <w:rFonts w:ascii="Arial" w:hAnsi="Arial" w:cs="Arial"/>
          <w:bCs/>
        </w:rPr>
      </w:pPr>
      <w:r w:rsidRPr="00965B45">
        <w:rPr>
          <w:rFonts w:ascii="Arial" w:hAnsi="Arial" w:cs="Arial"/>
          <w:bCs/>
        </w:rPr>
        <w:t>The statistical evaluation of the datasets used one-factor analysis utilizing OPSTAT software obtaining relevant results and at a 5% significance level against values of F-test.</w:t>
      </w:r>
    </w:p>
    <w:bookmarkEnd w:id="0"/>
    <w:p w14:paraId="3F168BEA" w14:textId="77777777" w:rsidR="00790ADA" w:rsidRDefault="00790ADA" w:rsidP="00441B6F">
      <w:pPr>
        <w:pStyle w:val="Body"/>
        <w:spacing w:after="0"/>
        <w:rPr>
          <w:rFonts w:ascii="Arial" w:hAnsi="Arial" w:cs="Arial"/>
          <w:bCs/>
        </w:rPr>
      </w:pPr>
    </w:p>
    <w:p w14:paraId="178CFC0B" w14:textId="77777777" w:rsidR="006E6409" w:rsidRPr="00FB3A86" w:rsidRDefault="006E6409" w:rsidP="00441B6F">
      <w:pPr>
        <w:pStyle w:val="Body"/>
        <w:spacing w:after="0"/>
        <w:rPr>
          <w:rFonts w:ascii="Arial" w:hAnsi="Arial" w:cs="Arial"/>
        </w:rPr>
      </w:pPr>
    </w:p>
    <w:p w14:paraId="5F026473"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0CE5A949" w14:textId="77777777" w:rsidR="0054393A" w:rsidRDefault="0054393A" w:rsidP="00441B6F">
      <w:pPr>
        <w:pStyle w:val="Head1"/>
        <w:spacing w:after="0"/>
        <w:jc w:val="both"/>
        <w:rPr>
          <w:rFonts w:ascii="Arial" w:hAnsi="Arial" w:cs="Arial"/>
        </w:rPr>
      </w:pPr>
    </w:p>
    <w:p w14:paraId="0B8C0C1A" w14:textId="15FCCC2C" w:rsidR="0054393A" w:rsidRDefault="0054393A" w:rsidP="0054393A">
      <w:pPr>
        <w:pStyle w:val="Head1"/>
        <w:spacing w:after="0"/>
        <w:rPr>
          <w:rFonts w:ascii="Arial" w:hAnsi="Arial" w:cs="Arial"/>
          <w:bCs/>
          <w:caps w:val="0"/>
        </w:rPr>
      </w:pPr>
      <w:r>
        <w:rPr>
          <w:rFonts w:ascii="Arial" w:hAnsi="Arial" w:cs="Arial"/>
          <w:bCs/>
        </w:rPr>
        <w:t xml:space="preserve">3.1 </w:t>
      </w:r>
      <w:r w:rsidR="0089211D">
        <w:rPr>
          <w:rFonts w:ascii="Arial" w:hAnsi="Arial" w:cs="Arial"/>
          <w:bCs/>
          <w:caps w:val="0"/>
        </w:rPr>
        <w:t>I</w:t>
      </w:r>
      <w:r w:rsidR="0089211D" w:rsidRPr="0054393A">
        <w:rPr>
          <w:rFonts w:ascii="Arial" w:hAnsi="Arial" w:cs="Arial"/>
          <w:bCs/>
          <w:caps w:val="0"/>
        </w:rPr>
        <w:t xml:space="preserve">nfluence of </w:t>
      </w:r>
      <w:proofErr w:type="spellStart"/>
      <w:r w:rsidR="0089211D" w:rsidRPr="0054393A">
        <w:rPr>
          <w:rFonts w:ascii="Arial" w:hAnsi="Arial" w:cs="Arial"/>
          <w:bCs/>
          <w:caps w:val="0"/>
        </w:rPr>
        <w:t>biostimulants</w:t>
      </w:r>
      <w:proofErr w:type="spellEnd"/>
      <w:r w:rsidR="0089211D" w:rsidRPr="0054393A">
        <w:rPr>
          <w:rFonts w:ascii="Arial" w:hAnsi="Arial" w:cs="Arial"/>
          <w:bCs/>
          <w:caps w:val="0"/>
        </w:rPr>
        <w:t xml:space="preserve"> and their impact on growth parameters</w:t>
      </w:r>
    </w:p>
    <w:p w14:paraId="5230FF60" w14:textId="77777777" w:rsidR="00BF5715" w:rsidRDefault="00BF5715" w:rsidP="0054393A">
      <w:pPr>
        <w:pStyle w:val="Head1"/>
        <w:spacing w:after="0"/>
        <w:rPr>
          <w:rFonts w:ascii="Arial" w:hAnsi="Arial" w:cs="Arial"/>
          <w:bCs/>
          <w:caps w:val="0"/>
        </w:rPr>
      </w:pPr>
    </w:p>
    <w:p w14:paraId="3ADA5D5B" w14:textId="2A889F71" w:rsidR="00C2208B" w:rsidRPr="00C2208B" w:rsidRDefault="00C2208B" w:rsidP="00C2208B">
      <w:pPr>
        <w:pStyle w:val="Head1"/>
        <w:spacing w:after="0"/>
        <w:rPr>
          <w:rFonts w:ascii="Times New Roman" w:hAnsi="Times New Roman"/>
          <w:strike/>
          <w:noProof/>
          <w:lang w:val="en-GB"/>
        </w:rPr>
      </w:pPr>
      <w:r w:rsidRPr="00C2208B">
        <w:rPr>
          <w:rFonts w:ascii="Times New Roman" w:hAnsi="Times New Roman"/>
          <w:strike/>
          <w:noProof/>
          <w:lang w:val="en-GB"/>
        </w:rPr>
        <w:drawing>
          <wp:inline distT="0" distB="0" distL="0" distR="0" wp14:anchorId="1333874D" wp14:editId="2A37FC6E">
            <wp:extent cx="6110286" cy="3438525"/>
            <wp:effectExtent l="76200" t="76200" r="138430" b="123825"/>
            <wp:docPr id="1758083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1268" cy="34390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F579E1" w14:textId="1FB521E0" w:rsidR="00BF5715" w:rsidRDefault="00BF5715" w:rsidP="0054393A">
      <w:pPr>
        <w:pStyle w:val="Head1"/>
        <w:spacing w:after="0"/>
        <w:rPr>
          <w:rFonts w:ascii="Arial" w:hAnsi="Arial" w:cs="Arial"/>
          <w:bCs/>
        </w:rPr>
      </w:pPr>
    </w:p>
    <w:p w14:paraId="70A71B39" w14:textId="21ABAB80" w:rsidR="0054393A" w:rsidRPr="00BF5715" w:rsidRDefault="00BF5715" w:rsidP="00BF5715">
      <w:pPr>
        <w:pStyle w:val="Body"/>
        <w:rPr>
          <w:rFonts w:ascii="Arial" w:hAnsi="Arial" w:cs="Arial"/>
          <w:b/>
          <w:bCs/>
        </w:rPr>
      </w:pPr>
      <w:r w:rsidRPr="00854DD2">
        <w:rPr>
          <w:rFonts w:ascii="Arial" w:hAnsi="Arial" w:cs="Arial"/>
          <w:b/>
          <w:bCs/>
        </w:rPr>
        <w:t xml:space="preserve">Fig. 3 Effect of various treatments (T1 to T11, including control) on growth parameters of </w:t>
      </w:r>
      <w:r w:rsidRPr="00854DD2">
        <w:rPr>
          <w:rFonts w:ascii="Arial" w:hAnsi="Arial" w:cs="Arial"/>
          <w:b/>
          <w:bCs/>
          <w:i/>
          <w:iCs/>
        </w:rPr>
        <w:t>Amaranthus</w:t>
      </w:r>
      <w:r w:rsidRPr="00854DD2">
        <w:rPr>
          <w:rFonts w:ascii="Arial" w:hAnsi="Arial" w:cs="Arial"/>
          <w:b/>
          <w:bCs/>
        </w:rPr>
        <w:t xml:space="preserve"> plants. (a) Plant height (cm), (b) Number of leaves per plant, (c) Number of branches per plant, and (d) Leaf area (</w:t>
      </w:r>
      <w:r w:rsidR="00A056A2">
        <w:rPr>
          <w:rFonts w:ascii="Arial" w:hAnsi="Arial" w:cs="Arial"/>
          <w:b/>
          <w:bCs/>
        </w:rPr>
        <w:t>m</w:t>
      </w:r>
      <w:r w:rsidRPr="00854DD2">
        <w:rPr>
          <w:rFonts w:ascii="Arial" w:hAnsi="Arial" w:cs="Arial"/>
          <w:b/>
          <w:bCs/>
        </w:rPr>
        <w:t>m²). Data are presented as mean ± standard error (SE) for each treatment.</w:t>
      </w:r>
    </w:p>
    <w:p w14:paraId="78D119F9" w14:textId="48FE95AC" w:rsidR="0054393A" w:rsidRDefault="0054393A" w:rsidP="0054393A">
      <w:pPr>
        <w:pStyle w:val="Body"/>
        <w:spacing w:after="0"/>
        <w:rPr>
          <w:rFonts w:ascii="Arial" w:hAnsi="Arial" w:cs="Arial"/>
          <w:lang w:val="en-GB"/>
        </w:rPr>
      </w:pPr>
      <w:r w:rsidRPr="0054393A">
        <w:rPr>
          <w:rFonts w:ascii="Arial" w:hAnsi="Arial" w:cs="Arial"/>
          <w:lang w:val="en-GB"/>
        </w:rPr>
        <w:t xml:space="preserve">All growth parameters were significantly different in this experiment. Table 1 illustrates the effect of </w:t>
      </w:r>
      <w:proofErr w:type="spellStart"/>
      <w:r w:rsidRPr="0054393A">
        <w:rPr>
          <w:rFonts w:ascii="Arial" w:hAnsi="Arial" w:cs="Arial"/>
          <w:lang w:val="en-GB"/>
        </w:rPr>
        <w:t>biostimulants</w:t>
      </w:r>
      <w:proofErr w:type="spellEnd"/>
      <w:r w:rsidRPr="0054393A">
        <w:rPr>
          <w:rFonts w:ascii="Arial" w:hAnsi="Arial" w:cs="Arial"/>
          <w:lang w:val="en-GB"/>
        </w:rPr>
        <w:t xml:space="preserve"> on growth parameters. Foliar spray of moringa leaf extract enhanced the plant height. The data indicates that the maximum plant height was recorded in moringa leaf extract @ 3% (T2) with 33.03 cm (Fig. 3a) Foliar spray of seaweed extract at 6% (T3) showed the highest number of leaves (8.83) (Fig.3b), branches (8.83) (Fig.3c), and leaf area (62.03 </w:t>
      </w:r>
      <w:r w:rsidR="00A056A2">
        <w:rPr>
          <w:rFonts w:ascii="Arial" w:hAnsi="Arial" w:cs="Arial"/>
          <w:lang w:val="en-GB"/>
        </w:rPr>
        <w:t>m</w:t>
      </w:r>
      <w:r w:rsidRPr="0054393A">
        <w:rPr>
          <w:rFonts w:ascii="Arial" w:hAnsi="Arial" w:cs="Arial"/>
          <w:lang w:val="en-GB"/>
        </w:rPr>
        <w:t>m</w:t>
      </w:r>
      <w:r w:rsidRPr="0054393A">
        <w:rPr>
          <w:rFonts w:ascii="Arial" w:hAnsi="Arial" w:cs="Arial"/>
          <w:vertAlign w:val="superscript"/>
          <w:lang w:val="en-GB"/>
        </w:rPr>
        <w:t>2</w:t>
      </w:r>
      <w:r w:rsidRPr="0054393A">
        <w:rPr>
          <w:rFonts w:ascii="Arial" w:hAnsi="Arial" w:cs="Arial"/>
          <w:lang w:val="en-GB"/>
        </w:rPr>
        <w:t>) (Fig.3d). Humic acid @ 0.2% (T7) increased stem girth (5.33 mm) (Fig.4a) and root length (9.23 cm) (Fig.4b).</w:t>
      </w:r>
    </w:p>
    <w:p w14:paraId="24B5BE9A" w14:textId="77777777" w:rsidR="00854DD2" w:rsidRDefault="00854DD2" w:rsidP="0054393A">
      <w:pPr>
        <w:pStyle w:val="Body"/>
        <w:spacing w:after="0"/>
        <w:rPr>
          <w:rFonts w:ascii="Arial" w:hAnsi="Arial" w:cs="Arial"/>
          <w:lang w:val="en-GB"/>
        </w:rPr>
      </w:pPr>
    </w:p>
    <w:p w14:paraId="28B19087" w14:textId="77777777" w:rsidR="00854DD2" w:rsidRPr="00854DD2" w:rsidRDefault="00854DD2" w:rsidP="00854DD2">
      <w:pPr>
        <w:pStyle w:val="BodyText3"/>
        <w:tabs>
          <w:tab w:val="left" w:pos="1080"/>
        </w:tabs>
        <w:spacing w:after="0"/>
        <w:ind w:left="1080" w:hanging="1080"/>
        <w:jc w:val="center"/>
        <w:rPr>
          <w:rFonts w:ascii="Arial" w:hAnsi="Arial"/>
          <w:b/>
          <w:bCs/>
          <w:sz w:val="20"/>
          <w:szCs w:val="20"/>
        </w:rPr>
      </w:pPr>
      <w:r w:rsidRPr="00854DD2">
        <w:rPr>
          <w:rFonts w:ascii="Arial" w:hAnsi="Arial"/>
          <w:b/>
          <w:sz w:val="20"/>
          <w:szCs w:val="20"/>
        </w:rPr>
        <w:t xml:space="preserve">Table 1 </w:t>
      </w:r>
      <w:r w:rsidRPr="00854DD2">
        <w:rPr>
          <w:rFonts w:ascii="Arial" w:hAnsi="Arial"/>
          <w:b/>
          <w:bCs/>
          <w:sz w:val="20"/>
          <w:szCs w:val="20"/>
        </w:rPr>
        <w:t xml:space="preserve">Effect of </w:t>
      </w:r>
      <w:proofErr w:type="spellStart"/>
      <w:r w:rsidRPr="00854DD2">
        <w:rPr>
          <w:rFonts w:ascii="Arial" w:hAnsi="Arial"/>
          <w:b/>
          <w:bCs/>
          <w:sz w:val="20"/>
          <w:szCs w:val="20"/>
        </w:rPr>
        <w:t>biostimulants</w:t>
      </w:r>
      <w:proofErr w:type="spellEnd"/>
      <w:r w:rsidRPr="00854DD2">
        <w:rPr>
          <w:rFonts w:ascii="Arial" w:hAnsi="Arial"/>
          <w:b/>
          <w:bCs/>
          <w:sz w:val="20"/>
          <w:szCs w:val="20"/>
        </w:rPr>
        <w:t xml:space="preserve"> on growth parameters of Amaranthus</w:t>
      </w:r>
    </w:p>
    <w:p w14:paraId="3F0255F9" w14:textId="77777777" w:rsidR="00854DD2" w:rsidRDefault="00854DD2" w:rsidP="00854DD2">
      <w:pPr>
        <w:pStyle w:val="BodyText3"/>
        <w:tabs>
          <w:tab w:val="left" w:pos="1080"/>
        </w:tabs>
        <w:spacing w:after="0"/>
        <w:ind w:left="1080" w:hanging="1080"/>
        <w:jc w:val="both"/>
        <w:rPr>
          <w:rFonts w:ascii="Arial" w:hAnsi="Arial"/>
          <w:b/>
          <w:sz w:val="20"/>
          <w:szCs w:val="20"/>
        </w:rPr>
      </w:pPr>
    </w:p>
    <w:tbl>
      <w:tblPr>
        <w:tblStyle w:val="TableGrid"/>
        <w:tblW w:w="8860" w:type="dxa"/>
        <w:tblLayout w:type="fixed"/>
        <w:tblLook w:val="04A0" w:firstRow="1" w:lastRow="0" w:firstColumn="1" w:lastColumn="0" w:noHBand="0" w:noVBand="1"/>
      </w:tblPr>
      <w:tblGrid>
        <w:gridCol w:w="1056"/>
        <w:gridCol w:w="1349"/>
        <w:gridCol w:w="1123"/>
        <w:gridCol w:w="1442"/>
        <w:gridCol w:w="1229"/>
        <w:gridCol w:w="97"/>
        <w:gridCol w:w="1221"/>
        <w:gridCol w:w="1343"/>
      </w:tblGrid>
      <w:tr w:rsidR="00854DD2" w:rsidRPr="00AC020B" w14:paraId="140644CB" w14:textId="77777777" w:rsidTr="00C9196F">
        <w:trPr>
          <w:trHeight w:val="301"/>
        </w:trPr>
        <w:tc>
          <w:tcPr>
            <w:tcW w:w="1056" w:type="dxa"/>
            <w:tcBorders>
              <w:top w:val="single" w:sz="2" w:space="0" w:color="auto"/>
              <w:left w:val="nil"/>
              <w:bottom w:val="single" w:sz="2" w:space="0" w:color="auto"/>
              <w:right w:val="nil"/>
            </w:tcBorders>
            <w:noWrap/>
            <w:hideMark/>
          </w:tcPr>
          <w:p w14:paraId="57A8FD82" w14:textId="77777777"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Treatment</w:t>
            </w:r>
          </w:p>
        </w:tc>
        <w:tc>
          <w:tcPr>
            <w:tcW w:w="1349" w:type="dxa"/>
            <w:tcBorders>
              <w:top w:val="single" w:sz="2" w:space="0" w:color="auto"/>
              <w:left w:val="nil"/>
              <w:bottom w:val="single" w:sz="2" w:space="0" w:color="auto"/>
              <w:right w:val="nil"/>
            </w:tcBorders>
            <w:noWrap/>
            <w:hideMark/>
          </w:tcPr>
          <w:p w14:paraId="09124C15" w14:textId="77777777"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Plant Height (cm)</w:t>
            </w:r>
          </w:p>
        </w:tc>
        <w:tc>
          <w:tcPr>
            <w:tcW w:w="1123" w:type="dxa"/>
            <w:tcBorders>
              <w:top w:val="single" w:sz="2" w:space="0" w:color="auto"/>
              <w:left w:val="nil"/>
              <w:bottom w:val="single" w:sz="2" w:space="0" w:color="auto"/>
              <w:right w:val="nil"/>
            </w:tcBorders>
            <w:noWrap/>
            <w:hideMark/>
          </w:tcPr>
          <w:p w14:paraId="1DFD6BAB" w14:textId="77777777"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Leaves per Plant</w:t>
            </w:r>
          </w:p>
        </w:tc>
        <w:tc>
          <w:tcPr>
            <w:tcW w:w="1442" w:type="dxa"/>
            <w:tcBorders>
              <w:top w:val="single" w:sz="2" w:space="0" w:color="auto"/>
              <w:left w:val="nil"/>
              <w:bottom w:val="single" w:sz="2" w:space="0" w:color="auto"/>
              <w:right w:val="nil"/>
            </w:tcBorders>
            <w:noWrap/>
            <w:hideMark/>
          </w:tcPr>
          <w:p w14:paraId="1E182EC7" w14:textId="77777777"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Branches per Plant</w:t>
            </w:r>
          </w:p>
        </w:tc>
        <w:tc>
          <w:tcPr>
            <w:tcW w:w="1326" w:type="dxa"/>
            <w:gridSpan w:val="2"/>
            <w:tcBorders>
              <w:top w:val="single" w:sz="2" w:space="0" w:color="auto"/>
              <w:left w:val="nil"/>
              <w:bottom w:val="single" w:sz="2" w:space="0" w:color="auto"/>
              <w:right w:val="nil"/>
            </w:tcBorders>
            <w:noWrap/>
            <w:hideMark/>
          </w:tcPr>
          <w:p w14:paraId="20C74FDA" w14:textId="15DCB7C0"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Leaf Area (</w:t>
            </w:r>
            <w:r w:rsidR="00A056A2">
              <w:rPr>
                <w:rFonts w:ascii="Arial" w:eastAsia="Times New Roman" w:hAnsi="Arial" w:cs="Arial"/>
                <w:b/>
                <w:bCs/>
                <w:color w:val="000000"/>
                <w:sz w:val="20"/>
                <w:szCs w:val="20"/>
                <w:lang w:val="en-GB" w:eastAsia="en-GB" w:bidi="ta-IN"/>
              </w:rPr>
              <w:t>m</w:t>
            </w:r>
            <w:r w:rsidRPr="00AC020B">
              <w:rPr>
                <w:rFonts w:ascii="Arial" w:eastAsia="Times New Roman" w:hAnsi="Arial" w:cs="Arial"/>
                <w:b/>
                <w:bCs/>
                <w:color w:val="000000"/>
                <w:sz w:val="20"/>
                <w:szCs w:val="20"/>
                <w:lang w:val="en-GB" w:eastAsia="en-GB" w:bidi="ta-IN"/>
              </w:rPr>
              <w:t>m²)</w:t>
            </w:r>
          </w:p>
        </w:tc>
        <w:tc>
          <w:tcPr>
            <w:tcW w:w="1221" w:type="dxa"/>
            <w:tcBorders>
              <w:top w:val="single" w:sz="2" w:space="0" w:color="auto"/>
              <w:left w:val="nil"/>
              <w:bottom w:val="single" w:sz="2" w:space="0" w:color="auto"/>
              <w:right w:val="nil"/>
            </w:tcBorders>
            <w:noWrap/>
            <w:hideMark/>
          </w:tcPr>
          <w:p w14:paraId="194F2395" w14:textId="77777777"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Stem Girth (mm)</w:t>
            </w:r>
          </w:p>
        </w:tc>
        <w:tc>
          <w:tcPr>
            <w:tcW w:w="1343" w:type="dxa"/>
            <w:tcBorders>
              <w:top w:val="single" w:sz="2" w:space="0" w:color="auto"/>
              <w:left w:val="nil"/>
              <w:bottom w:val="single" w:sz="2" w:space="0" w:color="auto"/>
              <w:right w:val="nil"/>
            </w:tcBorders>
            <w:noWrap/>
            <w:hideMark/>
          </w:tcPr>
          <w:p w14:paraId="0C14C640" w14:textId="77777777" w:rsidR="00854DD2" w:rsidRPr="00AC020B" w:rsidRDefault="00854DD2" w:rsidP="00C9196F">
            <w:pPr>
              <w:rPr>
                <w:rFonts w:ascii="Arial" w:eastAsia="Times New Roman" w:hAnsi="Arial" w:cs="Arial"/>
                <w:b/>
                <w:bCs/>
                <w:color w:val="000000"/>
                <w:sz w:val="20"/>
                <w:szCs w:val="20"/>
                <w:lang w:val="en-GB" w:eastAsia="en-GB" w:bidi="ta-IN"/>
              </w:rPr>
            </w:pPr>
            <w:r w:rsidRPr="00AC020B">
              <w:rPr>
                <w:rFonts w:ascii="Arial" w:eastAsia="Times New Roman" w:hAnsi="Arial" w:cs="Arial"/>
                <w:b/>
                <w:bCs/>
                <w:color w:val="000000"/>
                <w:sz w:val="20"/>
                <w:szCs w:val="20"/>
                <w:lang w:val="en-GB" w:eastAsia="en-GB" w:bidi="ta-IN"/>
              </w:rPr>
              <w:t>Root Length (cm)</w:t>
            </w:r>
          </w:p>
        </w:tc>
      </w:tr>
      <w:tr w:rsidR="00854DD2" w:rsidRPr="00AC020B" w14:paraId="5D88BE38" w14:textId="77777777" w:rsidTr="00C9196F">
        <w:trPr>
          <w:trHeight w:val="301"/>
        </w:trPr>
        <w:tc>
          <w:tcPr>
            <w:tcW w:w="1056" w:type="dxa"/>
            <w:tcBorders>
              <w:top w:val="single" w:sz="2" w:space="0" w:color="auto"/>
              <w:left w:val="nil"/>
              <w:bottom w:val="nil"/>
              <w:right w:val="nil"/>
            </w:tcBorders>
            <w:noWrap/>
            <w:hideMark/>
          </w:tcPr>
          <w:p w14:paraId="4F89D46C"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T1</w:t>
            </w:r>
          </w:p>
        </w:tc>
        <w:tc>
          <w:tcPr>
            <w:tcW w:w="1349" w:type="dxa"/>
            <w:tcBorders>
              <w:top w:val="single" w:sz="2" w:space="0" w:color="auto"/>
              <w:left w:val="nil"/>
              <w:bottom w:val="nil"/>
              <w:right w:val="nil"/>
            </w:tcBorders>
            <w:noWrap/>
            <w:hideMark/>
          </w:tcPr>
          <w:p w14:paraId="75A7014F"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30.16 ± 0.44</w:t>
            </w:r>
            <w:r w:rsidRPr="00AC020B">
              <w:rPr>
                <w:rFonts w:ascii="Arial" w:eastAsia="Times New Roman" w:hAnsi="Arial" w:cs="Arial"/>
                <w:color w:val="000000"/>
                <w:sz w:val="20"/>
                <w:szCs w:val="20"/>
                <w:vertAlign w:val="superscript"/>
                <w:lang w:val="en-GB" w:eastAsia="en-GB" w:bidi="ta-IN"/>
              </w:rPr>
              <w:t>b</w:t>
            </w:r>
          </w:p>
        </w:tc>
        <w:tc>
          <w:tcPr>
            <w:tcW w:w="1123" w:type="dxa"/>
            <w:tcBorders>
              <w:top w:val="single" w:sz="2" w:space="0" w:color="auto"/>
              <w:left w:val="nil"/>
              <w:bottom w:val="nil"/>
              <w:right w:val="nil"/>
            </w:tcBorders>
            <w:noWrap/>
            <w:hideMark/>
          </w:tcPr>
          <w:p w14:paraId="22EA17E1"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8.17 ± 0.33</w:t>
            </w:r>
            <w:r w:rsidRPr="00AC020B">
              <w:rPr>
                <w:rFonts w:ascii="Arial" w:eastAsia="Times New Roman" w:hAnsi="Arial" w:cs="Arial"/>
                <w:color w:val="000000"/>
                <w:sz w:val="20"/>
                <w:szCs w:val="20"/>
                <w:vertAlign w:val="superscript"/>
                <w:lang w:val="en-GB" w:eastAsia="en-GB" w:bidi="ta-IN"/>
              </w:rPr>
              <w:t>a</w:t>
            </w:r>
          </w:p>
        </w:tc>
        <w:tc>
          <w:tcPr>
            <w:tcW w:w="1442" w:type="dxa"/>
            <w:tcBorders>
              <w:top w:val="single" w:sz="2" w:space="0" w:color="auto"/>
              <w:left w:val="nil"/>
              <w:bottom w:val="nil"/>
              <w:right w:val="nil"/>
            </w:tcBorders>
            <w:noWrap/>
            <w:hideMark/>
          </w:tcPr>
          <w:p w14:paraId="09A2E70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8.16 ± 0.33</w:t>
            </w:r>
            <w:r w:rsidRPr="00AC020B">
              <w:rPr>
                <w:rFonts w:ascii="Arial" w:eastAsia="Times New Roman" w:hAnsi="Arial" w:cs="Arial"/>
                <w:color w:val="000000"/>
                <w:sz w:val="20"/>
                <w:szCs w:val="20"/>
                <w:vertAlign w:val="superscript"/>
                <w:lang w:val="en-GB" w:eastAsia="en-GB" w:bidi="ta-IN"/>
              </w:rPr>
              <w:t>a</w:t>
            </w:r>
          </w:p>
        </w:tc>
        <w:tc>
          <w:tcPr>
            <w:tcW w:w="1229" w:type="dxa"/>
            <w:tcBorders>
              <w:top w:val="single" w:sz="2" w:space="0" w:color="auto"/>
              <w:left w:val="nil"/>
              <w:bottom w:val="nil"/>
              <w:right w:val="nil"/>
            </w:tcBorders>
            <w:noWrap/>
          </w:tcPr>
          <w:p w14:paraId="49860502"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37.05 ± 2.91</w:t>
            </w:r>
            <w:r w:rsidRPr="00AC020B">
              <w:rPr>
                <w:rFonts w:ascii="Arial" w:hAnsi="Arial" w:cs="Arial"/>
                <w:color w:val="000000"/>
                <w:sz w:val="20"/>
                <w:szCs w:val="20"/>
                <w:vertAlign w:val="superscript"/>
              </w:rPr>
              <w:t>b</w:t>
            </w:r>
          </w:p>
        </w:tc>
        <w:tc>
          <w:tcPr>
            <w:tcW w:w="1318" w:type="dxa"/>
            <w:gridSpan w:val="2"/>
            <w:tcBorders>
              <w:top w:val="single" w:sz="2" w:space="0" w:color="auto"/>
              <w:left w:val="nil"/>
              <w:bottom w:val="nil"/>
              <w:right w:val="nil"/>
            </w:tcBorders>
            <w:noWrap/>
            <w:hideMark/>
          </w:tcPr>
          <w:p w14:paraId="357AF52B"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4.13 ± 0.48</w:t>
            </w:r>
            <w:r w:rsidRPr="00AC020B">
              <w:rPr>
                <w:rFonts w:ascii="Arial" w:eastAsia="Times New Roman" w:hAnsi="Arial" w:cs="Arial"/>
                <w:color w:val="000000"/>
                <w:sz w:val="20"/>
                <w:szCs w:val="20"/>
                <w:vertAlign w:val="superscript"/>
                <w:lang w:val="en-GB" w:eastAsia="en-GB" w:bidi="ta-IN"/>
              </w:rPr>
              <w:t>b</w:t>
            </w:r>
          </w:p>
        </w:tc>
        <w:tc>
          <w:tcPr>
            <w:tcW w:w="1343" w:type="dxa"/>
            <w:tcBorders>
              <w:top w:val="single" w:sz="2" w:space="0" w:color="auto"/>
              <w:left w:val="nil"/>
              <w:bottom w:val="nil"/>
              <w:right w:val="nil"/>
            </w:tcBorders>
            <w:noWrap/>
            <w:hideMark/>
          </w:tcPr>
          <w:p w14:paraId="491C4B7C"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8.60 ± 0.36</w:t>
            </w:r>
            <w:r w:rsidRPr="00AC020B">
              <w:rPr>
                <w:rFonts w:ascii="Arial" w:eastAsia="Times New Roman" w:hAnsi="Arial" w:cs="Arial"/>
                <w:color w:val="000000"/>
                <w:sz w:val="20"/>
                <w:szCs w:val="20"/>
                <w:vertAlign w:val="superscript"/>
                <w:lang w:val="en-GB" w:eastAsia="en-GB" w:bidi="ta-IN"/>
              </w:rPr>
              <w:t>a</w:t>
            </w:r>
          </w:p>
        </w:tc>
      </w:tr>
      <w:tr w:rsidR="00854DD2" w:rsidRPr="00AC020B" w14:paraId="43BE581D" w14:textId="77777777" w:rsidTr="00C9196F">
        <w:trPr>
          <w:trHeight w:val="301"/>
        </w:trPr>
        <w:tc>
          <w:tcPr>
            <w:tcW w:w="1056" w:type="dxa"/>
            <w:tcBorders>
              <w:top w:val="nil"/>
              <w:left w:val="nil"/>
              <w:bottom w:val="nil"/>
              <w:right w:val="nil"/>
            </w:tcBorders>
            <w:noWrap/>
            <w:hideMark/>
          </w:tcPr>
          <w:p w14:paraId="61F652F1"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T2</w:t>
            </w:r>
          </w:p>
        </w:tc>
        <w:tc>
          <w:tcPr>
            <w:tcW w:w="1349" w:type="dxa"/>
            <w:tcBorders>
              <w:top w:val="nil"/>
              <w:left w:val="nil"/>
              <w:bottom w:val="nil"/>
              <w:right w:val="nil"/>
            </w:tcBorders>
            <w:noWrap/>
            <w:hideMark/>
          </w:tcPr>
          <w:p w14:paraId="41D8D74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33.03 ± 2.68</w:t>
            </w:r>
            <w:r w:rsidRPr="00AC020B">
              <w:rPr>
                <w:rFonts w:ascii="Arial" w:eastAsia="Times New Roman" w:hAnsi="Arial" w:cs="Arial"/>
                <w:color w:val="000000"/>
                <w:sz w:val="20"/>
                <w:szCs w:val="20"/>
                <w:vertAlign w:val="superscript"/>
                <w:lang w:val="en-GB" w:eastAsia="en-GB" w:bidi="ta-IN"/>
              </w:rPr>
              <w:t>a*</w:t>
            </w:r>
          </w:p>
        </w:tc>
        <w:tc>
          <w:tcPr>
            <w:tcW w:w="1123" w:type="dxa"/>
            <w:tcBorders>
              <w:top w:val="nil"/>
              <w:left w:val="nil"/>
              <w:bottom w:val="nil"/>
              <w:right w:val="nil"/>
            </w:tcBorders>
            <w:noWrap/>
            <w:hideMark/>
          </w:tcPr>
          <w:p w14:paraId="36C7453D"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7.17 ± 0.33</w:t>
            </w:r>
            <w:r w:rsidRPr="00AC020B">
              <w:rPr>
                <w:rFonts w:ascii="Arial" w:eastAsia="Times New Roman" w:hAnsi="Arial" w:cs="Arial"/>
                <w:color w:val="000000"/>
                <w:sz w:val="20"/>
                <w:szCs w:val="20"/>
                <w:vertAlign w:val="superscript"/>
                <w:lang w:val="en-GB" w:eastAsia="en-GB" w:bidi="ta-IN"/>
              </w:rPr>
              <w:t>b</w:t>
            </w:r>
          </w:p>
        </w:tc>
        <w:tc>
          <w:tcPr>
            <w:tcW w:w="1442" w:type="dxa"/>
            <w:tcBorders>
              <w:top w:val="nil"/>
              <w:left w:val="nil"/>
              <w:bottom w:val="nil"/>
              <w:right w:val="nil"/>
            </w:tcBorders>
            <w:noWrap/>
            <w:hideMark/>
          </w:tcPr>
          <w:p w14:paraId="15B80077"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7.17 ± 0.33</w:t>
            </w:r>
            <w:r w:rsidRPr="00AC020B">
              <w:rPr>
                <w:rFonts w:ascii="Arial" w:eastAsia="Times New Roman" w:hAnsi="Arial" w:cs="Arial"/>
                <w:color w:val="000000"/>
                <w:sz w:val="20"/>
                <w:szCs w:val="20"/>
                <w:vertAlign w:val="superscript"/>
                <w:lang w:val="en-GB" w:eastAsia="en-GB" w:bidi="ta-IN"/>
              </w:rPr>
              <w:t>b</w:t>
            </w:r>
          </w:p>
        </w:tc>
        <w:tc>
          <w:tcPr>
            <w:tcW w:w="1229" w:type="dxa"/>
            <w:tcBorders>
              <w:top w:val="nil"/>
              <w:left w:val="nil"/>
              <w:bottom w:val="nil"/>
              <w:right w:val="nil"/>
            </w:tcBorders>
            <w:noWrap/>
          </w:tcPr>
          <w:p w14:paraId="4EF69DC3"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15.62 ± 1.69</w:t>
            </w:r>
            <w:r w:rsidRPr="00AC020B">
              <w:rPr>
                <w:rFonts w:ascii="Arial" w:hAnsi="Arial" w:cs="Arial"/>
                <w:color w:val="000000"/>
                <w:sz w:val="20"/>
                <w:szCs w:val="20"/>
                <w:vertAlign w:val="superscript"/>
              </w:rPr>
              <w:t>f</w:t>
            </w:r>
          </w:p>
        </w:tc>
        <w:tc>
          <w:tcPr>
            <w:tcW w:w="1318" w:type="dxa"/>
            <w:gridSpan w:val="2"/>
            <w:tcBorders>
              <w:top w:val="nil"/>
              <w:left w:val="nil"/>
              <w:bottom w:val="nil"/>
              <w:right w:val="nil"/>
            </w:tcBorders>
            <w:noWrap/>
            <w:hideMark/>
          </w:tcPr>
          <w:p w14:paraId="660F151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3.37 ± 0.62</w:t>
            </w:r>
            <w:r w:rsidRPr="00AC020B">
              <w:rPr>
                <w:rFonts w:ascii="Arial" w:eastAsia="Times New Roman" w:hAnsi="Arial" w:cs="Arial"/>
                <w:color w:val="000000"/>
                <w:sz w:val="20"/>
                <w:szCs w:val="20"/>
                <w:vertAlign w:val="superscript"/>
                <w:lang w:val="en-GB" w:eastAsia="en-GB" w:bidi="ta-IN"/>
              </w:rPr>
              <w:t>d</w:t>
            </w:r>
          </w:p>
        </w:tc>
        <w:tc>
          <w:tcPr>
            <w:tcW w:w="1343" w:type="dxa"/>
            <w:tcBorders>
              <w:top w:val="nil"/>
              <w:left w:val="nil"/>
              <w:bottom w:val="nil"/>
              <w:right w:val="nil"/>
            </w:tcBorders>
            <w:noWrap/>
            <w:hideMark/>
          </w:tcPr>
          <w:p w14:paraId="6BA8BF43"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7.47 ± 0.58</w:t>
            </w:r>
            <w:r w:rsidRPr="00AC020B">
              <w:rPr>
                <w:rFonts w:ascii="Arial" w:eastAsia="Times New Roman" w:hAnsi="Arial" w:cs="Arial"/>
                <w:color w:val="000000"/>
                <w:sz w:val="20"/>
                <w:szCs w:val="20"/>
                <w:vertAlign w:val="superscript"/>
                <w:lang w:val="en-GB" w:eastAsia="en-GB" w:bidi="ta-IN"/>
              </w:rPr>
              <w:t>c</w:t>
            </w:r>
          </w:p>
        </w:tc>
      </w:tr>
      <w:tr w:rsidR="00854DD2" w:rsidRPr="00AC020B" w14:paraId="396D8411" w14:textId="77777777" w:rsidTr="00C9196F">
        <w:trPr>
          <w:trHeight w:val="388"/>
        </w:trPr>
        <w:tc>
          <w:tcPr>
            <w:tcW w:w="1056" w:type="dxa"/>
            <w:tcBorders>
              <w:top w:val="nil"/>
              <w:left w:val="nil"/>
              <w:bottom w:val="nil"/>
              <w:right w:val="nil"/>
            </w:tcBorders>
            <w:noWrap/>
            <w:hideMark/>
          </w:tcPr>
          <w:p w14:paraId="7847243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lastRenderedPageBreak/>
              <w:t>T3</w:t>
            </w:r>
          </w:p>
        </w:tc>
        <w:tc>
          <w:tcPr>
            <w:tcW w:w="1349" w:type="dxa"/>
            <w:tcBorders>
              <w:top w:val="nil"/>
              <w:left w:val="nil"/>
              <w:bottom w:val="nil"/>
              <w:right w:val="nil"/>
            </w:tcBorders>
            <w:noWrap/>
            <w:hideMark/>
          </w:tcPr>
          <w:p w14:paraId="5C45C126"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31.90 ± 3.06</w:t>
            </w:r>
            <w:r w:rsidRPr="00AC020B">
              <w:rPr>
                <w:rFonts w:ascii="Arial" w:eastAsia="Times New Roman" w:hAnsi="Arial" w:cs="Arial"/>
                <w:color w:val="000000"/>
                <w:sz w:val="20"/>
                <w:szCs w:val="20"/>
                <w:vertAlign w:val="superscript"/>
                <w:lang w:val="en-GB" w:eastAsia="en-GB" w:bidi="ta-IN"/>
              </w:rPr>
              <w:t>a</w:t>
            </w:r>
          </w:p>
        </w:tc>
        <w:tc>
          <w:tcPr>
            <w:tcW w:w="1123" w:type="dxa"/>
            <w:tcBorders>
              <w:top w:val="nil"/>
              <w:left w:val="nil"/>
              <w:bottom w:val="nil"/>
              <w:right w:val="nil"/>
            </w:tcBorders>
            <w:noWrap/>
            <w:hideMark/>
          </w:tcPr>
          <w:p w14:paraId="7B0FC736"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8.83 ± 0.17</w:t>
            </w:r>
            <w:r w:rsidRPr="00AC020B">
              <w:rPr>
                <w:rFonts w:ascii="Arial" w:eastAsia="Times New Roman" w:hAnsi="Arial" w:cs="Arial"/>
                <w:color w:val="000000"/>
                <w:sz w:val="20"/>
                <w:szCs w:val="20"/>
                <w:vertAlign w:val="superscript"/>
                <w:lang w:val="en-GB" w:eastAsia="en-GB" w:bidi="ta-IN"/>
              </w:rPr>
              <w:t>a*</w:t>
            </w:r>
          </w:p>
        </w:tc>
        <w:tc>
          <w:tcPr>
            <w:tcW w:w="1442" w:type="dxa"/>
            <w:tcBorders>
              <w:top w:val="nil"/>
              <w:left w:val="nil"/>
              <w:bottom w:val="nil"/>
              <w:right w:val="nil"/>
            </w:tcBorders>
            <w:noWrap/>
            <w:hideMark/>
          </w:tcPr>
          <w:p w14:paraId="275A5ED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8.83 ± 0.17</w:t>
            </w:r>
            <w:r w:rsidRPr="00AC020B">
              <w:rPr>
                <w:rFonts w:ascii="Arial" w:eastAsia="Times New Roman" w:hAnsi="Arial" w:cs="Arial"/>
                <w:color w:val="000000"/>
                <w:sz w:val="20"/>
                <w:szCs w:val="20"/>
                <w:vertAlign w:val="superscript"/>
                <w:lang w:val="en-GB" w:eastAsia="en-GB" w:bidi="ta-IN"/>
              </w:rPr>
              <w:t>a*</w:t>
            </w:r>
          </w:p>
        </w:tc>
        <w:tc>
          <w:tcPr>
            <w:tcW w:w="1229" w:type="dxa"/>
            <w:tcBorders>
              <w:top w:val="nil"/>
              <w:left w:val="nil"/>
              <w:bottom w:val="nil"/>
              <w:right w:val="nil"/>
            </w:tcBorders>
            <w:noWrap/>
          </w:tcPr>
          <w:p w14:paraId="50F58AF7"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62.03 ± 5.00</w:t>
            </w:r>
            <w:r w:rsidRPr="00AC020B">
              <w:rPr>
                <w:rFonts w:ascii="Arial" w:hAnsi="Arial" w:cs="Arial"/>
                <w:color w:val="000000"/>
                <w:sz w:val="20"/>
                <w:szCs w:val="20"/>
                <w:vertAlign w:val="superscript"/>
              </w:rPr>
              <w:t>a*</w:t>
            </w:r>
          </w:p>
        </w:tc>
        <w:tc>
          <w:tcPr>
            <w:tcW w:w="1318" w:type="dxa"/>
            <w:gridSpan w:val="2"/>
            <w:tcBorders>
              <w:top w:val="nil"/>
              <w:left w:val="nil"/>
              <w:bottom w:val="nil"/>
              <w:right w:val="nil"/>
            </w:tcBorders>
            <w:noWrap/>
            <w:hideMark/>
          </w:tcPr>
          <w:p w14:paraId="76E1014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4.23 ± 0.12</w:t>
            </w:r>
            <w:r w:rsidRPr="00AC020B">
              <w:rPr>
                <w:rFonts w:ascii="Arial" w:eastAsia="Times New Roman" w:hAnsi="Arial" w:cs="Arial"/>
                <w:color w:val="000000"/>
                <w:sz w:val="20"/>
                <w:szCs w:val="20"/>
                <w:vertAlign w:val="superscript"/>
                <w:lang w:val="en-GB" w:eastAsia="en-GB" w:bidi="ta-IN"/>
              </w:rPr>
              <w:t>b</w:t>
            </w:r>
          </w:p>
        </w:tc>
        <w:tc>
          <w:tcPr>
            <w:tcW w:w="1343" w:type="dxa"/>
            <w:tcBorders>
              <w:top w:val="nil"/>
              <w:left w:val="nil"/>
              <w:bottom w:val="nil"/>
              <w:right w:val="nil"/>
            </w:tcBorders>
            <w:noWrap/>
            <w:hideMark/>
          </w:tcPr>
          <w:p w14:paraId="30FB72BD"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8.47 ± 0.32</w:t>
            </w:r>
            <w:r w:rsidRPr="00AC020B">
              <w:rPr>
                <w:rFonts w:ascii="Arial" w:eastAsia="Times New Roman" w:hAnsi="Arial" w:cs="Arial"/>
                <w:color w:val="000000"/>
                <w:sz w:val="20"/>
                <w:szCs w:val="20"/>
                <w:vertAlign w:val="superscript"/>
                <w:lang w:val="en-GB" w:eastAsia="en-GB" w:bidi="ta-IN"/>
              </w:rPr>
              <w:t>b</w:t>
            </w:r>
          </w:p>
        </w:tc>
      </w:tr>
      <w:tr w:rsidR="00854DD2" w:rsidRPr="00AC020B" w14:paraId="6F79E8DC" w14:textId="77777777" w:rsidTr="00C9196F">
        <w:trPr>
          <w:trHeight w:val="301"/>
        </w:trPr>
        <w:tc>
          <w:tcPr>
            <w:tcW w:w="1056" w:type="dxa"/>
            <w:tcBorders>
              <w:top w:val="nil"/>
              <w:left w:val="nil"/>
              <w:bottom w:val="nil"/>
              <w:right w:val="nil"/>
            </w:tcBorders>
            <w:noWrap/>
            <w:hideMark/>
          </w:tcPr>
          <w:p w14:paraId="39705DFD"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T4</w:t>
            </w:r>
          </w:p>
        </w:tc>
        <w:tc>
          <w:tcPr>
            <w:tcW w:w="1349" w:type="dxa"/>
            <w:tcBorders>
              <w:top w:val="nil"/>
              <w:left w:val="nil"/>
              <w:bottom w:val="nil"/>
              <w:right w:val="nil"/>
            </w:tcBorders>
            <w:noWrap/>
            <w:hideMark/>
          </w:tcPr>
          <w:p w14:paraId="26D27646"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28.83 ± 2.40</w:t>
            </w:r>
            <w:r w:rsidRPr="00AC020B">
              <w:rPr>
                <w:rFonts w:ascii="Arial" w:eastAsia="Times New Roman" w:hAnsi="Arial" w:cs="Arial"/>
                <w:color w:val="000000"/>
                <w:sz w:val="20"/>
                <w:szCs w:val="20"/>
                <w:vertAlign w:val="superscript"/>
                <w:lang w:val="en-GB" w:eastAsia="en-GB" w:bidi="ta-IN"/>
              </w:rPr>
              <w:t>c</w:t>
            </w:r>
          </w:p>
        </w:tc>
        <w:tc>
          <w:tcPr>
            <w:tcW w:w="1123" w:type="dxa"/>
            <w:tcBorders>
              <w:top w:val="nil"/>
              <w:left w:val="nil"/>
              <w:bottom w:val="nil"/>
              <w:right w:val="nil"/>
            </w:tcBorders>
            <w:noWrap/>
            <w:hideMark/>
          </w:tcPr>
          <w:p w14:paraId="73101A38"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6.83 ± 0.17</w:t>
            </w:r>
            <w:r w:rsidRPr="00AC020B">
              <w:rPr>
                <w:rFonts w:ascii="Arial" w:eastAsia="Times New Roman" w:hAnsi="Arial" w:cs="Arial"/>
                <w:color w:val="000000"/>
                <w:sz w:val="20"/>
                <w:szCs w:val="20"/>
                <w:vertAlign w:val="superscript"/>
                <w:lang w:val="en-GB" w:eastAsia="en-GB" w:bidi="ta-IN"/>
              </w:rPr>
              <w:t>b</w:t>
            </w:r>
          </w:p>
        </w:tc>
        <w:tc>
          <w:tcPr>
            <w:tcW w:w="1442" w:type="dxa"/>
            <w:tcBorders>
              <w:top w:val="nil"/>
              <w:left w:val="nil"/>
              <w:bottom w:val="nil"/>
              <w:right w:val="nil"/>
            </w:tcBorders>
            <w:noWrap/>
            <w:hideMark/>
          </w:tcPr>
          <w:p w14:paraId="4BCAB86D"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6.83 ± 0.17</w:t>
            </w:r>
            <w:r w:rsidRPr="00AC020B">
              <w:rPr>
                <w:rFonts w:ascii="Arial" w:eastAsia="Times New Roman" w:hAnsi="Arial" w:cs="Arial"/>
                <w:color w:val="000000"/>
                <w:sz w:val="20"/>
                <w:szCs w:val="20"/>
                <w:vertAlign w:val="superscript"/>
                <w:lang w:val="en-GB" w:eastAsia="en-GB" w:bidi="ta-IN"/>
              </w:rPr>
              <w:t>b</w:t>
            </w:r>
          </w:p>
        </w:tc>
        <w:tc>
          <w:tcPr>
            <w:tcW w:w="1229" w:type="dxa"/>
            <w:tcBorders>
              <w:top w:val="nil"/>
              <w:left w:val="nil"/>
              <w:bottom w:val="nil"/>
              <w:right w:val="nil"/>
            </w:tcBorders>
            <w:noWrap/>
          </w:tcPr>
          <w:p w14:paraId="3B11FE9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28.18 ± 2.53</w:t>
            </w:r>
            <w:r w:rsidRPr="00AC020B">
              <w:rPr>
                <w:rFonts w:ascii="Arial" w:hAnsi="Arial" w:cs="Arial"/>
                <w:color w:val="000000"/>
                <w:sz w:val="20"/>
                <w:szCs w:val="20"/>
                <w:vertAlign w:val="superscript"/>
              </w:rPr>
              <w:t>c</w:t>
            </w:r>
          </w:p>
        </w:tc>
        <w:tc>
          <w:tcPr>
            <w:tcW w:w="1318" w:type="dxa"/>
            <w:gridSpan w:val="2"/>
            <w:tcBorders>
              <w:top w:val="nil"/>
              <w:left w:val="nil"/>
              <w:bottom w:val="nil"/>
              <w:right w:val="nil"/>
            </w:tcBorders>
            <w:noWrap/>
            <w:hideMark/>
          </w:tcPr>
          <w:p w14:paraId="3C60F49F"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4.00 ± 0.50</w:t>
            </w:r>
            <w:r w:rsidRPr="00AC020B">
              <w:rPr>
                <w:rFonts w:ascii="Arial" w:eastAsia="Times New Roman" w:hAnsi="Arial" w:cs="Arial"/>
                <w:color w:val="000000"/>
                <w:sz w:val="20"/>
                <w:szCs w:val="20"/>
                <w:vertAlign w:val="superscript"/>
                <w:lang w:val="en-GB" w:eastAsia="en-GB" w:bidi="ta-IN"/>
              </w:rPr>
              <w:t>b</w:t>
            </w:r>
          </w:p>
        </w:tc>
        <w:tc>
          <w:tcPr>
            <w:tcW w:w="1343" w:type="dxa"/>
            <w:tcBorders>
              <w:top w:val="nil"/>
              <w:left w:val="nil"/>
              <w:bottom w:val="nil"/>
              <w:right w:val="nil"/>
            </w:tcBorders>
            <w:noWrap/>
            <w:hideMark/>
          </w:tcPr>
          <w:p w14:paraId="6E9544B6"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7.93 ± 0.35</w:t>
            </w:r>
            <w:r w:rsidRPr="00AC020B">
              <w:rPr>
                <w:rFonts w:ascii="Arial" w:eastAsia="Times New Roman" w:hAnsi="Arial" w:cs="Arial"/>
                <w:color w:val="000000"/>
                <w:sz w:val="20"/>
                <w:szCs w:val="20"/>
                <w:vertAlign w:val="superscript"/>
                <w:lang w:val="en-GB" w:eastAsia="en-GB" w:bidi="ta-IN"/>
              </w:rPr>
              <w:t>c</w:t>
            </w:r>
          </w:p>
        </w:tc>
      </w:tr>
      <w:tr w:rsidR="00854DD2" w:rsidRPr="00AC020B" w14:paraId="4E1F551A" w14:textId="77777777" w:rsidTr="00C9196F">
        <w:trPr>
          <w:trHeight w:val="301"/>
        </w:trPr>
        <w:tc>
          <w:tcPr>
            <w:tcW w:w="1056" w:type="dxa"/>
            <w:tcBorders>
              <w:top w:val="nil"/>
              <w:left w:val="nil"/>
              <w:bottom w:val="nil"/>
              <w:right w:val="nil"/>
            </w:tcBorders>
            <w:noWrap/>
            <w:hideMark/>
          </w:tcPr>
          <w:p w14:paraId="32E72BBF"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T5</w:t>
            </w:r>
          </w:p>
        </w:tc>
        <w:tc>
          <w:tcPr>
            <w:tcW w:w="1349" w:type="dxa"/>
            <w:tcBorders>
              <w:top w:val="nil"/>
              <w:left w:val="nil"/>
              <w:bottom w:val="nil"/>
              <w:right w:val="nil"/>
            </w:tcBorders>
            <w:noWrap/>
            <w:hideMark/>
          </w:tcPr>
          <w:p w14:paraId="6986008C"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29.90 ± 1.76</w:t>
            </w:r>
            <w:r w:rsidRPr="00AC020B">
              <w:rPr>
                <w:rFonts w:ascii="Arial" w:eastAsia="Times New Roman" w:hAnsi="Arial" w:cs="Arial"/>
                <w:color w:val="000000"/>
                <w:sz w:val="20"/>
                <w:szCs w:val="20"/>
                <w:vertAlign w:val="superscript"/>
                <w:lang w:val="en-GB" w:eastAsia="en-GB" w:bidi="ta-IN"/>
              </w:rPr>
              <w:t>b</w:t>
            </w:r>
          </w:p>
        </w:tc>
        <w:tc>
          <w:tcPr>
            <w:tcW w:w="1123" w:type="dxa"/>
            <w:tcBorders>
              <w:top w:val="nil"/>
              <w:left w:val="nil"/>
              <w:bottom w:val="nil"/>
              <w:right w:val="nil"/>
            </w:tcBorders>
            <w:noWrap/>
            <w:hideMark/>
          </w:tcPr>
          <w:p w14:paraId="54CFE39C"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8.07 ± 0.64</w:t>
            </w:r>
            <w:r w:rsidRPr="00AC020B">
              <w:rPr>
                <w:rFonts w:ascii="Arial" w:eastAsia="Times New Roman" w:hAnsi="Arial" w:cs="Arial"/>
                <w:color w:val="000000"/>
                <w:sz w:val="20"/>
                <w:szCs w:val="20"/>
                <w:vertAlign w:val="superscript"/>
                <w:lang w:val="en-GB" w:eastAsia="en-GB" w:bidi="ta-IN"/>
              </w:rPr>
              <w:t>a</w:t>
            </w:r>
          </w:p>
        </w:tc>
        <w:tc>
          <w:tcPr>
            <w:tcW w:w="1442" w:type="dxa"/>
            <w:tcBorders>
              <w:top w:val="nil"/>
              <w:left w:val="nil"/>
              <w:bottom w:val="nil"/>
              <w:right w:val="nil"/>
            </w:tcBorders>
            <w:noWrap/>
            <w:hideMark/>
          </w:tcPr>
          <w:p w14:paraId="465BAEF7"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8.07 ± 0.64</w:t>
            </w:r>
            <w:r w:rsidRPr="00AC020B">
              <w:rPr>
                <w:rFonts w:ascii="Arial" w:eastAsia="Times New Roman" w:hAnsi="Arial" w:cs="Arial"/>
                <w:color w:val="000000"/>
                <w:sz w:val="20"/>
                <w:szCs w:val="20"/>
                <w:vertAlign w:val="superscript"/>
                <w:lang w:val="en-GB" w:eastAsia="en-GB" w:bidi="ta-IN"/>
              </w:rPr>
              <w:t>a</w:t>
            </w:r>
          </w:p>
        </w:tc>
        <w:tc>
          <w:tcPr>
            <w:tcW w:w="1229" w:type="dxa"/>
            <w:tcBorders>
              <w:top w:val="nil"/>
              <w:left w:val="nil"/>
              <w:bottom w:val="nil"/>
              <w:right w:val="nil"/>
            </w:tcBorders>
            <w:noWrap/>
          </w:tcPr>
          <w:p w14:paraId="465404A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31.37 ± 9.78</w:t>
            </w:r>
            <w:r w:rsidRPr="00AC020B">
              <w:rPr>
                <w:rFonts w:ascii="Arial" w:hAnsi="Arial" w:cs="Arial"/>
                <w:color w:val="000000"/>
                <w:sz w:val="20"/>
                <w:szCs w:val="20"/>
                <w:vertAlign w:val="superscript"/>
              </w:rPr>
              <w:t>c</w:t>
            </w:r>
          </w:p>
        </w:tc>
        <w:tc>
          <w:tcPr>
            <w:tcW w:w="1318" w:type="dxa"/>
            <w:gridSpan w:val="2"/>
            <w:tcBorders>
              <w:top w:val="nil"/>
              <w:left w:val="nil"/>
              <w:bottom w:val="nil"/>
              <w:right w:val="nil"/>
            </w:tcBorders>
            <w:noWrap/>
            <w:hideMark/>
          </w:tcPr>
          <w:p w14:paraId="20439373"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3.03 ± 0.69</w:t>
            </w:r>
            <w:r w:rsidRPr="00AC020B">
              <w:rPr>
                <w:rFonts w:ascii="Arial" w:eastAsia="Times New Roman" w:hAnsi="Arial" w:cs="Arial"/>
                <w:color w:val="000000"/>
                <w:sz w:val="20"/>
                <w:szCs w:val="20"/>
                <w:vertAlign w:val="superscript"/>
                <w:lang w:val="en-GB" w:eastAsia="en-GB" w:bidi="ta-IN"/>
              </w:rPr>
              <w:t>d</w:t>
            </w:r>
          </w:p>
        </w:tc>
        <w:tc>
          <w:tcPr>
            <w:tcW w:w="1343" w:type="dxa"/>
            <w:tcBorders>
              <w:top w:val="nil"/>
              <w:left w:val="nil"/>
              <w:bottom w:val="nil"/>
              <w:right w:val="nil"/>
            </w:tcBorders>
            <w:noWrap/>
            <w:hideMark/>
          </w:tcPr>
          <w:p w14:paraId="5B7C6443"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5.77 ± 0.14</w:t>
            </w:r>
            <w:r w:rsidRPr="00AC020B">
              <w:rPr>
                <w:rFonts w:ascii="Arial" w:eastAsia="Times New Roman" w:hAnsi="Arial" w:cs="Arial"/>
                <w:color w:val="000000"/>
                <w:sz w:val="20"/>
                <w:szCs w:val="20"/>
                <w:vertAlign w:val="superscript"/>
                <w:lang w:val="en-GB" w:eastAsia="en-GB" w:bidi="ta-IN"/>
              </w:rPr>
              <w:t>d</w:t>
            </w:r>
          </w:p>
        </w:tc>
      </w:tr>
      <w:tr w:rsidR="00854DD2" w:rsidRPr="00AC020B" w14:paraId="3D246751" w14:textId="77777777" w:rsidTr="00C9196F">
        <w:trPr>
          <w:trHeight w:val="301"/>
        </w:trPr>
        <w:tc>
          <w:tcPr>
            <w:tcW w:w="1056" w:type="dxa"/>
            <w:tcBorders>
              <w:top w:val="nil"/>
              <w:left w:val="nil"/>
              <w:bottom w:val="nil"/>
              <w:right w:val="nil"/>
            </w:tcBorders>
            <w:noWrap/>
            <w:hideMark/>
          </w:tcPr>
          <w:p w14:paraId="23109C77"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T6</w:t>
            </w:r>
          </w:p>
        </w:tc>
        <w:tc>
          <w:tcPr>
            <w:tcW w:w="1349" w:type="dxa"/>
            <w:tcBorders>
              <w:top w:val="nil"/>
              <w:left w:val="nil"/>
              <w:bottom w:val="nil"/>
              <w:right w:val="nil"/>
            </w:tcBorders>
            <w:noWrap/>
            <w:hideMark/>
          </w:tcPr>
          <w:p w14:paraId="4F4F48C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24.90 ± 1.07</w:t>
            </w:r>
            <w:r w:rsidRPr="00AC020B">
              <w:rPr>
                <w:rFonts w:ascii="Arial" w:eastAsia="Times New Roman" w:hAnsi="Arial" w:cs="Arial"/>
                <w:color w:val="000000"/>
                <w:sz w:val="20"/>
                <w:szCs w:val="20"/>
                <w:vertAlign w:val="superscript"/>
                <w:lang w:val="en-GB" w:eastAsia="en-GB" w:bidi="ta-IN"/>
              </w:rPr>
              <w:t>d</w:t>
            </w:r>
          </w:p>
        </w:tc>
        <w:tc>
          <w:tcPr>
            <w:tcW w:w="1123" w:type="dxa"/>
            <w:tcBorders>
              <w:top w:val="nil"/>
              <w:left w:val="nil"/>
              <w:bottom w:val="nil"/>
              <w:right w:val="nil"/>
            </w:tcBorders>
            <w:noWrap/>
            <w:hideMark/>
          </w:tcPr>
          <w:p w14:paraId="2FA832C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6.57 ± 0.30</w:t>
            </w:r>
            <w:r w:rsidRPr="00AC020B">
              <w:rPr>
                <w:rFonts w:ascii="Arial" w:eastAsia="Times New Roman" w:hAnsi="Arial" w:cs="Arial"/>
                <w:color w:val="000000"/>
                <w:sz w:val="20"/>
                <w:szCs w:val="20"/>
                <w:vertAlign w:val="superscript"/>
                <w:lang w:val="en-GB" w:eastAsia="en-GB" w:bidi="ta-IN"/>
              </w:rPr>
              <w:t>b</w:t>
            </w:r>
          </w:p>
        </w:tc>
        <w:tc>
          <w:tcPr>
            <w:tcW w:w="1442" w:type="dxa"/>
            <w:tcBorders>
              <w:top w:val="nil"/>
              <w:left w:val="nil"/>
              <w:bottom w:val="nil"/>
              <w:right w:val="nil"/>
            </w:tcBorders>
            <w:noWrap/>
            <w:hideMark/>
          </w:tcPr>
          <w:p w14:paraId="62B06AAF"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6.57 ± 0.30</w:t>
            </w:r>
            <w:r w:rsidRPr="00AC020B">
              <w:rPr>
                <w:rFonts w:ascii="Arial" w:eastAsia="Times New Roman" w:hAnsi="Arial" w:cs="Arial"/>
                <w:color w:val="000000"/>
                <w:sz w:val="20"/>
                <w:szCs w:val="20"/>
                <w:vertAlign w:val="superscript"/>
                <w:lang w:val="en-GB" w:eastAsia="en-GB" w:bidi="ta-IN"/>
              </w:rPr>
              <w:t>b</w:t>
            </w:r>
          </w:p>
        </w:tc>
        <w:tc>
          <w:tcPr>
            <w:tcW w:w="1229" w:type="dxa"/>
            <w:tcBorders>
              <w:top w:val="nil"/>
              <w:left w:val="nil"/>
              <w:bottom w:val="nil"/>
              <w:right w:val="nil"/>
            </w:tcBorders>
            <w:noWrap/>
          </w:tcPr>
          <w:p w14:paraId="24F9A17B"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32.80 ± 3.88</w:t>
            </w:r>
            <w:r w:rsidRPr="00AC020B">
              <w:rPr>
                <w:rFonts w:ascii="Arial" w:hAnsi="Arial" w:cs="Arial"/>
                <w:color w:val="000000"/>
                <w:sz w:val="20"/>
                <w:szCs w:val="20"/>
                <w:vertAlign w:val="superscript"/>
              </w:rPr>
              <w:t>c</w:t>
            </w:r>
          </w:p>
        </w:tc>
        <w:tc>
          <w:tcPr>
            <w:tcW w:w="1318" w:type="dxa"/>
            <w:gridSpan w:val="2"/>
            <w:tcBorders>
              <w:top w:val="nil"/>
              <w:left w:val="nil"/>
              <w:bottom w:val="nil"/>
              <w:right w:val="nil"/>
            </w:tcBorders>
            <w:noWrap/>
            <w:hideMark/>
          </w:tcPr>
          <w:p w14:paraId="17B4A05C"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2.83 ± 0.24</w:t>
            </w:r>
            <w:r w:rsidRPr="00AC020B">
              <w:rPr>
                <w:rFonts w:ascii="Arial" w:eastAsia="Times New Roman" w:hAnsi="Arial" w:cs="Arial"/>
                <w:color w:val="000000"/>
                <w:sz w:val="20"/>
                <w:szCs w:val="20"/>
                <w:vertAlign w:val="superscript"/>
                <w:lang w:val="en-GB" w:eastAsia="en-GB" w:bidi="ta-IN"/>
              </w:rPr>
              <w:t>e</w:t>
            </w:r>
          </w:p>
        </w:tc>
        <w:tc>
          <w:tcPr>
            <w:tcW w:w="1343" w:type="dxa"/>
            <w:tcBorders>
              <w:top w:val="nil"/>
              <w:left w:val="nil"/>
              <w:bottom w:val="nil"/>
              <w:right w:val="nil"/>
            </w:tcBorders>
            <w:noWrap/>
            <w:hideMark/>
          </w:tcPr>
          <w:p w14:paraId="0778B780"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9.17 ± 0.93</w:t>
            </w:r>
            <w:r w:rsidRPr="00AC020B">
              <w:rPr>
                <w:rFonts w:ascii="Arial" w:eastAsia="Times New Roman" w:hAnsi="Arial" w:cs="Arial"/>
                <w:color w:val="000000"/>
                <w:sz w:val="20"/>
                <w:szCs w:val="20"/>
                <w:vertAlign w:val="superscript"/>
                <w:lang w:val="en-GB" w:eastAsia="en-GB" w:bidi="ta-IN"/>
              </w:rPr>
              <w:t>a</w:t>
            </w:r>
          </w:p>
        </w:tc>
      </w:tr>
      <w:tr w:rsidR="00854DD2" w:rsidRPr="00AC020B" w14:paraId="4B5A0DC0" w14:textId="77777777" w:rsidTr="00C9196F">
        <w:trPr>
          <w:trHeight w:val="301"/>
        </w:trPr>
        <w:tc>
          <w:tcPr>
            <w:tcW w:w="1056" w:type="dxa"/>
            <w:tcBorders>
              <w:top w:val="nil"/>
              <w:left w:val="nil"/>
              <w:bottom w:val="nil"/>
              <w:right w:val="nil"/>
            </w:tcBorders>
            <w:noWrap/>
            <w:hideMark/>
          </w:tcPr>
          <w:p w14:paraId="389C62A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T7</w:t>
            </w:r>
          </w:p>
        </w:tc>
        <w:tc>
          <w:tcPr>
            <w:tcW w:w="1349" w:type="dxa"/>
            <w:tcBorders>
              <w:top w:val="nil"/>
              <w:left w:val="nil"/>
              <w:bottom w:val="nil"/>
              <w:right w:val="nil"/>
            </w:tcBorders>
            <w:noWrap/>
            <w:hideMark/>
          </w:tcPr>
          <w:p w14:paraId="62813413"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21.16 ± 0.93</w:t>
            </w:r>
            <w:r w:rsidRPr="00AC020B">
              <w:rPr>
                <w:rFonts w:ascii="Arial" w:eastAsia="Times New Roman" w:hAnsi="Arial" w:cs="Arial"/>
                <w:color w:val="000000"/>
                <w:sz w:val="20"/>
                <w:szCs w:val="20"/>
                <w:vertAlign w:val="superscript"/>
                <w:lang w:val="en-GB" w:eastAsia="en-GB" w:bidi="ta-IN"/>
              </w:rPr>
              <w:t>e</w:t>
            </w:r>
          </w:p>
        </w:tc>
        <w:tc>
          <w:tcPr>
            <w:tcW w:w="1123" w:type="dxa"/>
            <w:tcBorders>
              <w:top w:val="nil"/>
              <w:left w:val="nil"/>
              <w:bottom w:val="nil"/>
              <w:right w:val="nil"/>
            </w:tcBorders>
            <w:noWrap/>
            <w:hideMark/>
          </w:tcPr>
          <w:p w14:paraId="11B79878"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7.67 ± 0.33</w:t>
            </w:r>
            <w:r w:rsidRPr="00AC020B">
              <w:rPr>
                <w:rFonts w:ascii="Arial" w:eastAsia="Times New Roman" w:hAnsi="Arial" w:cs="Arial"/>
                <w:color w:val="000000"/>
                <w:sz w:val="20"/>
                <w:szCs w:val="20"/>
                <w:vertAlign w:val="superscript"/>
                <w:lang w:val="en-GB" w:eastAsia="en-GB" w:bidi="ta-IN"/>
              </w:rPr>
              <w:t>b</w:t>
            </w:r>
          </w:p>
        </w:tc>
        <w:tc>
          <w:tcPr>
            <w:tcW w:w="1442" w:type="dxa"/>
            <w:tcBorders>
              <w:top w:val="nil"/>
              <w:left w:val="nil"/>
              <w:bottom w:val="nil"/>
              <w:right w:val="nil"/>
            </w:tcBorders>
            <w:noWrap/>
            <w:hideMark/>
          </w:tcPr>
          <w:p w14:paraId="4B60E5B8"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7.67 ± 0.33</w:t>
            </w:r>
            <w:r w:rsidRPr="00AC020B">
              <w:rPr>
                <w:rFonts w:ascii="Arial" w:eastAsia="Times New Roman" w:hAnsi="Arial" w:cs="Arial"/>
                <w:color w:val="000000"/>
                <w:sz w:val="20"/>
                <w:szCs w:val="20"/>
                <w:vertAlign w:val="superscript"/>
                <w:lang w:val="en-GB" w:eastAsia="en-GB" w:bidi="ta-IN"/>
              </w:rPr>
              <w:t>b</w:t>
            </w:r>
          </w:p>
        </w:tc>
        <w:tc>
          <w:tcPr>
            <w:tcW w:w="1229" w:type="dxa"/>
            <w:tcBorders>
              <w:top w:val="nil"/>
              <w:left w:val="nil"/>
              <w:bottom w:val="nil"/>
              <w:right w:val="nil"/>
            </w:tcBorders>
            <w:noWrap/>
          </w:tcPr>
          <w:p w14:paraId="5F59B18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41.10 ± 2.04</w:t>
            </w:r>
            <w:r w:rsidRPr="00AC020B">
              <w:rPr>
                <w:rFonts w:ascii="Arial" w:hAnsi="Arial" w:cs="Arial"/>
                <w:color w:val="000000"/>
                <w:sz w:val="20"/>
                <w:szCs w:val="20"/>
                <w:vertAlign w:val="superscript"/>
              </w:rPr>
              <w:t>b.</w:t>
            </w:r>
          </w:p>
        </w:tc>
        <w:tc>
          <w:tcPr>
            <w:tcW w:w="1318" w:type="dxa"/>
            <w:gridSpan w:val="2"/>
            <w:tcBorders>
              <w:top w:val="nil"/>
              <w:left w:val="nil"/>
              <w:bottom w:val="nil"/>
              <w:right w:val="nil"/>
            </w:tcBorders>
            <w:noWrap/>
            <w:hideMark/>
          </w:tcPr>
          <w:p w14:paraId="0EFCD1F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5.33 ± 0.88</w:t>
            </w:r>
            <w:r w:rsidRPr="00AC020B">
              <w:rPr>
                <w:rFonts w:ascii="Arial" w:eastAsia="Times New Roman" w:hAnsi="Arial" w:cs="Arial"/>
                <w:color w:val="000000"/>
                <w:sz w:val="20"/>
                <w:szCs w:val="20"/>
                <w:vertAlign w:val="superscript"/>
                <w:lang w:val="en-GB" w:eastAsia="en-GB" w:bidi="ta-IN"/>
              </w:rPr>
              <w:t>a *</w:t>
            </w:r>
          </w:p>
        </w:tc>
        <w:tc>
          <w:tcPr>
            <w:tcW w:w="1343" w:type="dxa"/>
            <w:tcBorders>
              <w:top w:val="nil"/>
              <w:left w:val="nil"/>
              <w:bottom w:val="nil"/>
              <w:right w:val="nil"/>
            </w:tcBorders>
            <w:noWrap/>
            <w:hideMark/>
          </w:tcPr>
          <w:p w14:paraId="14102B4E"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9.23 ± 0.20</w:t>
            </w:r>
            <w:r w:rsidRPr="00AC020B">
              <w:rPr>
                <w:rFonts w:ascii="Arial" w:eastAsia="Times New Roman" w:hAnsi="Arial" w:cs="Arial"/>
                <w:color w:val="000000"/>
                <w:sz w:val="20"/>
                <w:szCs w:val="20"/>
                <w:vertAlign w:val="superscript"/>
                <w:lang w:val="en-GB" w:eastAsia="en-GB" w:bidi="ta-IN"/>
              </w:rPr>
              <w:t>a</w:t>
            </w:r>
            <w:r w:rsidRPr="00AC020B">
              <w:rPr>
                <w:rFonts w:ascii="Arial" w:eastAsia="Times New Roman" w:hAnsi="Arial" w:cs="Arial"/>
                <w:color w:val="000000"/>
                <w:sz w:val="20"/>
                <w:szCs w:val="20"/>
                <w:lang w:val="en-GB" w:eastAsia="en-GB" w:bidi="ta-IN"/>
              </w:rPr>
              <w:t xml:space="preserve"> </w:t>
            </w:r>
            <w:r w:rsidRPr="00AC020B">
              <w:rPr>
                <w:rFonts w:ascii="Arial" w:eastAsia="Times New Roman" w:hAnsi="Arial" w:cs="Arial"/>
                <w:color w:val="000000"/>
                <w:sz w:val="20"/>
                <w:szCs w:val="20"/>
                <w:vertAlign w:val="superscript"/>
                <w:lang w:val="en-GB" w:eastAsia="en-GB" w:bidi="ta-IN"/>
              </w:rPr>
              <w:t>*</w:t>
            </w:r>
          </w:p>
        </w:tc>
      </w:tr>
      <w:tr w:rsidR="00854DD2" w:rsidRPr="00AC020B" w14:paraId="566FF9E6" w14:textId="77777777" w:rsidTr="00C9196F">
        <w:trPr>
          <w:trHeight w:val="301"/>
        </w:trPr>
        <w:tc>
          <w:tcPr>
            <w:tcW w:w="1056" w:type="dxa"/>
            <w:tcBorders>
              <w:top w:val="nil"/>
              <w:left w:val="nil"/>
              <w:bottom w:val="nil"/>
              <w:right w:val="nil"/>
            </w:tcBorders>
            <w:noWrap/>
            <w:hideMark/>
          </w:tcPr>
          <w:p w14:paraId="58CE645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T8</w:t>
            </w:r>
          </w:p>
        </w:tc>
        <w:tc>
          <w:tcPr>
            <w:tcW w:w="1349" w:type="dxa"/>
            <w:tcBorders>
              <w:top w:val="nil"/>
              <w:left w:val="nil"/>
              <w:bottom w:val="nil"/>
              <w:right w:val="nil"/>
            </w:tcBorders>
            <w:noWrap/>
            <w:hideMark/>
          </w:tcPr>
          <w:p w14:paraId="00ECB63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23.93 ± 0.52</w:t>
            </w:r>
            <w:r w:rsidRPr="00AC020B">
              <w:rPr>
                <w:rFonts w:ascii="Arial" w:eastAsia="Times New Roman" w:hAnsi="Arial" w:cs="Arial"/>
                <w:color w:val="000000"/>
                <w:sz w:val="20"/>
                <w:szCs w:val="20"/>
                <w:vertAlign w:val="superscript"/>
                <w:lang w:val="en-GB" w:eastAsia="en-GB" w:bidi="ta-IN"/>
              </w:rPr>
              <w:t>d</w:t>
            </w:r>
          </w:p>
        </w:tc>
        <w:tc>
          <w:tcPr>
            <w:tcW w:w="1123" w:type="dxa"/>
            <w:tcBorders>
              <w:top w:val="nil"/>
              <w:left w:val="nil"/>
              <w:bottom w:val="nil"/>
              <w:right w:val="nil"/>
            </w:tcBorders>
            <w:noWrap/>
            <w:hideMark/>
          </w:tcPr>
          <w:p w14:paraId="1417874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7.00 ± 0.76b</w:t>
            </w:r>
          </w:p>
        </w:tc>
        <w:tc>
          <w:tcPr>
            <w:tcW w:w="1442" w:type="dxa"/>
            <w:tcBorders>
              <w:top w:val="nil"/>
              <w:left w:val="nil"/>
              <w:bottom w:val="nil"/>
              <w:right w:val="nil"/>
            </w:tcBorders>
            <w:noWrap/>
            <w:hideMark/>
          </w:tcPr>
          <w:p w14:paraId="65AD1E62"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7.00 ± 0.76</w:t>
            </w:r>
            <w:r w:rsidRPr="00AC020B">
              <w:rPr>
                <w:rFonts w:ascii="Arial" w:eastAsia="Times New Roman" w:hAnsi="Arial" w:cs="Arial"/>
                <w:color w:val="000000"/>
                <w:sz w:val="20"/>
                <w:szCs w:val="20"/>
                <w:vertAlign w:val="superscript"/>
                <w:lang w:val="en-GB" w:eastAsia="en-GB" w:bidi="ta-IN"/>
              </w:rPr>
              <w:t>b</w:t>
            </w:r>
          </w:p>
        </w:tc>
        <w:tc>
          <w:tcPr>
            <w:tcW w:w="1229" w:type="dxa"/>
            <w:tcBorders>
              <w:top w:val="nil"/>
              <w:left w:val="nil"/>
              <w:bottom w:val="nil"/>
              <w:right w:val="nil"/>
            </w:tcBorders>
            <w:noWrap/>
          </w:tcPr>
          <w:p w14:paraId="3D73836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22.20 ± 1.40</w:t>
            </w:r>
            <w:r w:rsidRPr="00AC020B">
              <w:rPr>
                <w:rFonts w:ascii="Arial" w:hAnsi="Arial" w:cs="Arial"/>
                <w:color w:val="000000"/>
                <w:sz w:val="20"/>
                <w:szCs w:val="20"/>
                <w:vertAlign w:val="superscript"/>
              </w:rPr>
              <w:t>e</w:t>
            </w:r>
          </w:p>
        </w:tc>
        <w:tc>
          <w:tcPr>
            <w:tcW w:w="1318" w:type="dxa"/>
            <w:gridSpan w:val="2"/>
            <w:tcBorders>
              <w:top w:val="nil"/>
              <w:left w:val="nil"/>
              <w:bottom w:val="nil"/>
              <w:right w:val="nil"/>
            </w:tcBorders>
            <w:noWrap/>
            <w:hideMark/>
          </w:tcPr>
          <w:p w14:paraId="1385213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2.80 ± 0.15</w:t>
            </w:r>
            <w:r w:rsidRPr="00AC020B">
              <w:rPr>
                <w:rFonts w:ascii="Arial" w:eastAsia="Times New Roman" w:hAnsi="Arial" w:cs="Arial"/>
                <w:color w:val="000000"/>
                <w:sz w:val="20"/>
                <w:szCs w:val="20"/>
                <w:vertAlign w:val="superscript"/>
                <w:lang w:val="en-GB" w:eastAsia="en-GB" w:bidi="ta-IN"/>
              </w:rPr>
              <w:t>e</w:t>
            </w:r>
          </w:p>
        </w:tc>
        <w:tc>
          <w:tcPr>
            <w:tcW w:w="1343" w:type="dxa"/>
            <w:tcBorders>
              <w:top w:val="nil"/>
              <w:left w:val="nil"/>
              <w:bottom w:val="nil"/>
              <w:right w:val="nil"/>
            </w:tcBorders>
            <w:noWrap/>
            <w:hideMark/>
          </w:tcPr>
          <w:p w14:paraId="7558458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5.87 ± 0.19</w:t>
            </w:r>
            <w:r w:rsidRPr="00AC020B">
              <w:rPr>
                <w:rFonts w:ascii="Arial" w:eastAsia="Times New Roman" w:hAnsi="Arial" w:cs="Arial"/>
                <w:color w:val="000000"/>
                <w:sz w:val="20"/>
                <w:szCs w:val="20"/>
                <w:vertAlign w:val="superscript"/>
                <w:lang w:val="en-GB" w:eastAsia="en-GB" w:bidi="ta-IN"/>
              </w:rPr>
              <w:t>d</w:t>
            </w:r>
          </w:p>
        </w:tc>
      </w:tr>
      <w:tr w:rsidR="00854DD2" w:rsidRPr="00AC020B" w14:paraId="055EC620" w14:textId="77777777" w:rsidTr="00C9196F">
        <w:trPr>
          <w:trHeight w:val="301"/>
        </w:trPr>
        <w:tc>
          <w:tcPr>
            <w:tcW w:w="1056" w:type="dxa"/>
            <w:tcBorders>
              <w:top w:val="nil"/>
              <w:left w:val="nil"/>
              <w:bottom w:val="nil"/>
              <w:right w:val="nil"/>
            </w:tcBorders>
            <w:noWrap/>
            <w:hideMark/>
          </w:tcPr>
          <w:p w14:paraId="20D2CCB1"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T9</w:t>
            </w:r>
          </w:p>
        </w:tc>
        <w:tc>
          <w:tcPr>
            <w:tcW w:w="1349" w:type="dxa"/>
            <w:tcBorders>
              <w:top w:val="nil"/>
              <w:left w:val="nil"/>
              <w:bottom w:val="nil"/>
              <w:right w:val="nil"/>
            </w:tcBorders>
            <w:noWrap/>
            <w:hideMark/>
          </w:tcPr>
          <w:p w14:paraId="52035780"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30.56 ± 0.81</w:t>
            </w:r>
            <w:r w:rsidRPr="00AC020B">
              <w:rPr>
                <w:rFonts w:ascii="Arial" w:eastAsia="Times New Roman" w:hAnsi="Arial" w:cs="Arial"/>
                <w:color w:val="000000"/>
                <w:sz w:val="20"/>
                <w:szCs w:val="20"/>
                <w:vertAlign w:val="superscript"/>
                <w:lang w:val="en-GB" w:eastAsia="en-GB" w:bidi="ta-IN"/>
              </w:rPr>
              <w:t>b</w:t>
            </w:r>
          </w:p>
        </w:tc>
        <w:tc>
          <w:tcPr>
            <w:tcW w:w="1123" w:type="dxa"/>
            <w:tcBorders>
              <w:top w:val="nil"/>
              <w:left w:val="nil"/>
              <w:bottom w:val="nil"/>
              <w:right w:val="nil"/>
            </w:tcBorders>
            <w:noWrap/>
            <w:hideMark/>
          </w:tcPr>
          <w:p w14:paraId="6540A1FD"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5.00 ± 0.29c</w:t>
            </w:r>
          </w:p>
        </w:tc>
        <w:tc>
          <w:tcPr>
            <w:tcW w:w="1442" w:type="dxa"/>
            <w:tcBorders>
              <w:top w:val="nil"/>
              <w:left w:val="nil"/>
              <w:bottom w:val="nil"/>
              <w:right w:val="nil"/>
            </w:tcBorders>
            <w:noWrap/>
            <w:hideMark/>
          </w:tcPr>
          <w:p w14:paraId="7B93549A"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5.00 ± 0.29</w:t>
            </w:r>
            <w:r w:rsidRPr="00AC020B">
              <w:rPr>
                <w:rFonts w:ascii="Arial" w:eastAsia="Times New Roman" w:hAnsi="Arial" w:cs="Arial"/>
                <w:color w:val="000000"/>
                <w:sz w:val="20"/>
                <w:szCs w:val="20"/>
                <w:vertAlign w:val="superscript"/>
                <w:lang w:val="en-GB" w:eastAsia="en-GB" w:bidi="ta-IN"/>
              </w:rPr>
              <w:t>c</w:t>
            </w:r>
          </w:p>
        </w:tc>
        <w:tc>
          <w:tcPr>
            <w:tcW w:w="1229" w:type="dxa"/>
            <w:tcBorders>
              <w:top w:val="nil"/>
              <w:left w:val="nil"/>
              <w:bottom w:val="nil"/>
              <w:right w:val="nil"/>
            </w:tcBorders>
            <w:noWrap/>
          </w:tcPr>
          <w:p w14:paraId="5E219526"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18.80 ± 1.30</w:t>
            </w:r>
            <w:r w:rsidRPr="00AC020B">
              <w:rPr>
                <w:rFonts w:ascii="Arial" w:hAnsi="Arial" w:cs="Arial"/>
                <w:color w:val="000000"/>
                <w:sz w:val="20"/>
                <w:szCs w:val="20"/>
                <w:vertAlign w:val="superscript"/>
              </w:rPr>
              <w:t>f</w:t>
            </w:r>
          </w:p>
        </w:tc>
        <w:tc>
          <w:tcPr>
            <w:tcW w:w="1318" w:type="dxa"/>
            <w:gridSpan w:val="2"/>
            <w:tcBorders>
              <w:top w:val="nil"/>
              <w:left w:val="nil"/>
              <w:bottom w:val="nil"/>
              <w:right w:val="nil"/>
            </w:tcBorders>
            <w:noWrap/>
            <w:hideMark/>
          </w:tcPr>
          <w:p w14:paraId="4963C0B9"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2.03 ± 0.26</w:t>
            </w:r>
            <w:r w:rsidRPr="00AC020B">
              <w:rPr>
                <w:rFonts w:ascii="Arial" w:eastAsia="Times New Roman" w:hAnsi="Arial" w:cs="Arial"/>
                <w:color w:val="000000"/>
                <w:sz w:val="20"/>
                <w:szCs w:val="20"/>
                <w:vertAlign w:val="superscript"/>
                <w:lang w:val="en-GB" w:eastAsia="en-GB" w:bidi="ta-IN"/>
              </w:rPr>
              <w:t>f</w:t>
            </w:r>
          </w:p>
        </w:tc>
        <w:tc>
          <w:tcPr>
            <w:tcW w:w="1343" w:type="dxa"/>
            <w:tcBorders>
              <w:top w:val="nil"/>
              <w:left w:val="nil"/>
              <w:bottom w:val="nil"/>
              <w:right w:val="nil"/>
            </w:tcBorders>
            <w:noWrap/>
            <w:hideMark/>
          </w:tcPr>
          <w:p w14:paraId="12E564F5"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5.33 ± 0.17</w:t>
            </w:r>
            <w:r w:rsidRPr="00AC020B">
              <w:rPr>
                <w:rFonts w:ascii="Arial" w:eastAsia="Times New Roman" w:hAnsi="Arial" w:cs="Arial"/>
                <w:color w:val="000000"/>
                <w:sz w:val="20"/>
                <w:szCs w:val="20"/>
                <w:vertAlign w:val="superscript"/>
                <w:lang w:val="en-GB" w:eastAsia="en-GB" w:bidi="ta-IN"/>
              </w:rPr>
              <w:t>d</w:t>
            </w:r>
          </w:p>
        </w:tc>
      </w:tr>
      <w:tr w:rsidR="00854DD2" w:rsidRPr="00AC020B" w14:paraId="1F6375C5" w14:textId="77777777" w:rsidTr="00C9196F">
        <w:trPr>
          <w:trHeight w:val="301"/>
        </w:trPr>
        <w:tc>
          <w:tcPr>
            <w:tcW w:w="1056" w:type="dxa"/>
            <w:tcBorders>
              <w:top w:val="nil"/>
              <w:left w:val="nil"/>
              <w:bottom w:val="nil"/>
              <w:right w:val="nil"/>
            </w:tcBorders>
            <w:noWrap/>
            <w:hideMark/>
          </w:tcPr>
          <w:p w14:paraId="1FE3792B"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T10</w:t>
            </w:r>
          </w:p>
        </w:tc>
        <w:tc>
          <w:tcPr>
            <w:tcW w:w="1349" w:type="dxa"/>
            <w:tcBorders>
              <w:top w:val="nil"/>
              <w:left w:val="nil"/>
              <w:bottom w:val="nil"/>
              <w:right w:val="nil"/>
            </w:tcBorders>
            <w:noWrap/>
            <w:hideMark/>
          </w:tcPr>
          <w:p w14:paraId="74AC1B4B"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29.43 ± 0.52</w:t>
            </w:r>
            <w:r w:rsidRPr="00AC020B">
              <w:rPr>
                <w:rFonts w:ascii="Arial" w:eastAsia="Times New Roman" w:hAnsi="Arial" w:cs="Arial"/>
                <w:color w:val="000000"/>
                <w:sz w:val="20"/>
                <w:szCs w:val="20"/>
                <w:vertAlign w:val="superscript"/>
                <w:lang w:val="en-GB" w:eastAsia="en-GB" w:bidi="ta-IN"/>
              </w:rPr>
              <w:t>b</w:t>
            </w:r>
          </w:p>
        </w:tc>
        <w:tc>
          <w:tcPr>
            <w:tcW w:w="1123" w:type="dxa"/>
            <w:tcBorders>
              <w:top w:val="nil"/>
              <w:left w:val="nil"/>
              <w:bottom w:val="nil"/>
              <w:right w:val="nil"/>
            </w:tcBorders>
            <w:noWrap/>
            <w:hideMark/>
          </w:tcPr>
          <w:p w14:paraId="09A000B0"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6.67 ± 0.44b</w:t>
            </w:r>
          </w:p>
        </w:tc>
        <w:tc>
          <w:tcPr>
            <w:tcW w:w="1442" w:type="dxa"/>
            <w:tcBorders>
              <w:top w:val="nil"/>
              <w:left w:val="nil"/>
              <w:bottom w:val="nil"/>
              <w:right w:val="nil"/>
            </w:tcBorders>
            <w:noWrap/>
            <w:hideMark/>
          </w:tcPr>
          <w:p w14:paraId="5A471DE7"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6.67 ± 0.44</w:t>
            </w:r>
            <w:r w:rsidRPr="00AC020B">
              <w:rPr>
                <w:rFonts w:ascii="Arial" w:eastAsia="Times New Roman" w:hAnsi="Arial" w:cs="Arial"/>
                <w:color w:val="000000"/>
                <w:sz w:val="20"/>
                <w:szCs w:val="20"/>
                <w:vertAlign w:val="superscript"/>
                <w:lang w:val="en-GB" w:eastAsia="en-GB" w:bidi="ta-IN"/>
              </w:rPr>
              <w:t>b</w:t>
            </w:r>
          </w:p>
        </w:tc>
        <w:tc>
          <w:tcPr>
            <w:tcW w:w="1229" w:type="dxa"/>
            <w:tcBorders>
              <w:top w:val="nil"/>
              <w:left w:val="nil"/>
              <w:bottom w:val="nil"/>
              <w:right w:val="nil"/>
            </w:tcBorders>
            <w:noWrap/>
          </w:tcPr>
          <w:p w14:paraId="75530912"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41.78 ± 4.03</w:t>
            </w:r>
            <w:r w:rsidRPr="00AC020B">
              <w:rPr>
                <w:rFonts w:ascii="Arial" w:hAnsi="Arial" w:cs="Arial"/>
                <w:color w:val="000000"/>
                <w:sz w:val="20"/>
                <w:szCs w:val="20"/>
                <w:vertAlign w:val="superscript"/>
              </w:rPr>
              <w:t>b</w:t>
            </w:r>
          </w:p>
        </w:tc>
        <w:tc>
          <w:tcPr>
            <w:tcW w:w="1318" w:type="dxa"/>
            <w:gridSpan w:val="2"/>
            <w:tcBorders>
              <w:top w:val="nil"/>
              <w:left w:val="nil"/>
              <w:bottom w:val="nil"/>
              <w:right w:val="nil"/>
            </w:tcBorders>
            <w:noWrap/>
            <w:hideMark/>
          </w:tcPr>
          <w:p w14:paraId="0D8FF5CC"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4.80 ± 0.17</w:t>
            </w:r>
            <w:r w:rsidRPr="00AC020B">
              <w:rPr>
                <w:rFonts w:ascii="Arial" w:eastAsia="Times New Roman" w:hAnsi="Arial" w:cs="Arial"/>
                <w:color w:val="000000"/>
                <w:sz w:val="20"/>
                <w:szCs w:val="20"/>
                <w:vertAlign w:val="superscript"/>
                <w:lang w:val="en-GB" w:eastAsia="en-GB" w:bidi="ta-IN"/>
              </w:rPr>
              <w:t>a</w:t>
            </w:r>
          </w:p>
        </w:tc>
        <w:tc>
          <w:tcPr>
            <w:tcW w:w="1343" w:type="dxa"/>
            <w:tcBorders>
              <w:top w:val="nil"/>
              <w:left w:val="nil"/>
              <w:bottom w:val="nil"/>
              <w:right w:val="nil"/>
            </w:tcBorders>
            <w:noWrap/>
            <w:hideMark/>
          </w:tcPr>
          <w:p w14:paraId="66D54921"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5.57 ± 0.14</w:t>
            </w:r>
            <w:r w:rsidRPr="00AC020B">
              <w:rPr>
                <w:rFonts w:ascii="Arial" w:eastAsia="Times New Roman" w:hAnsi="Arial" w:cs="Arial"/>
                <w:color w:val="000000"/>
                <w:sz w:val="20"/>
                <w:szCs w:val="20"/>
                <w:vertAlign w:val="superscript"/>
                <w:lang w:val="en-GB" w:eastAsia="en-GB" w:bidi="ta-IN"/>
              </w:rPr>
              <w:t>d</w:t>
            </w:r>
          </w:p>
        </w:tc>
      </w:tr>
      <w:tr w:rsidR="00854DD2" w:rsidRPr="00AC020B" w14:paraId="284E0415" w14:textId="77777777" w:rsidTr="00C9196F">
        <w:trPr>
          <w:trHeight w:val="301"/>
        </w:trPr>
        <w:tc>
          <w:tcPr>
            <w:tcW w:w="1056" w:type="dxa"/>
            <w:tcBorders>
              <w:top w:val="nil"/>
              <w:left w:val="nil"/>
              <w:bottom w:val="single" w:sz="2" w:space="0" w:color="auto"/>
              <w:right w:val="nil"/>
            </w:tcBorders>
            <w:noWrap/>
            <w:hideMark/>
          </w:tcPr>
          <w:p w14:paraId="45A9C6EE"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T11</w:t>
            </w:r>
          </w:p>
        </w:tc>
        <w:tc>
          <w:tcPr>
            <w:tcW w:w="1349" w:type="dxa"/>
            <w:tcBorders>
              <w:top w:val="nil"/>
              <w:left w:val="nil"/>
              <w:bottom w:val="single" w:sz="2" w:space="0" w:color="auto"/>
              <w:right w:val="nil"/>
            </w:tcBorders>
            <w:noWrap/>
            <w:hideMark/>
          </w:tcPr>
          <w:p w14:paraId="1D41736D"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29.66 ± 0.88</w:t>
            </w:r>
            <w:r w:rsidRPr="00AC020B">
              <w:rPr>
                <w:rFonts w:ascii="Arial" w:eastAsia="Times New Roman" w:hAnsi="Arial" w:cs="Arial"/>
                <w:color w:val="000000"/>
                <w:sz w:val="20"/>
                <w:szCs w:val="20"/>
                <w:vertAlign w:val="superscript"/>
                <w:lang w:val="en-GB" w:eastAsia="en-GB" w:bidi="ta-IN"/>
              </w:rPr>
              <w:t>b</w:t>
            </w:r>
          </w:p>
        </w:tc>
        <w:tc>
          <w:tcPr>
            <w:tcW w:w="1123" w:type="dxa"/>
            <w:tcBorders>
              <w:top w:val="nil"/>
              <w:left w:val="nil"/>
              <w:bottom w:val="single" w:sz="2" w:space="0" w:color="auto"/>
              <w:right w:val="nil"/>
            </w:tcBorders>
            <w:noWrap/>
            <w:hideMark/>
          </w:tcPr>
          <w:p w14:paraId="72F5E3B4"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8.00 ± 0.29a</w:t>
            </w:r>
          </w:p>
        </w:tc>
        <w:tc>
          <w:tcPr>
            <w:tcW w:w="1442" w:type="dxa"/>
            <w:tcBorders>
              <w:top w:val="nil"/>
              <w:left w:val="nil"/>
              <w:bottom w:val="single" w:sz="2" w:space="0" w:color="auto"/>
              <w:right w:val="nil"/>
            </w:tcBorders>
            <w:noWrap/>
            <w:hideMark/>
          </w:tcPr>
          <w:p w14:paraId="5E2D58B0"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8.00 ± 0.29</w:t>
            </w:r>
            <w:r w:rsidRPr="00AC020B">
              <w:rPr>
                <w:rFonts w:ascii="Arial" w:eastAsia="Times New Roman" w:hAnsi="Arial" w:cs="Arial"/>
                <w:color w:val="000000"/>
                <w:sz w:val="20"/>
                <w:szCs w:val="20"/>
                <w:vertAlign w:val="superscript"/>
                <w:lang w:val="en-GB" w:eastAsia="en-GB" w:bidi="ta-IN"/>
              </w:rPr>
              <w:t>a</w:t>
            </w:r>
          </w:p>
        </w:tc>
        <w:tc>
          <w:tcPr>
            <w:tcW w:w="1229" w:type="dxa"/>
            <w:tcBorders>
              <w:top w:val="nil"/>
              <w:left w:val="nil"/>
              <w:bottom w:val="single" w:sz="2" w:space="0" w:color="auto"/>
              <w:right w:val="nil"/>
            </w:tcBorders>
            <w:noWrap/>
          </w:tcPr>
          <w:p w14:paraId="0CB05226"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hAnsi="Arial" w:cs="Arial"/>
                <w:color w:val="000000"/>
                <w:sz w:val="20"/>
                <w:szCs w:val="20"/>
              </w:rPr>
              <w:t>32.30 ± 2.80</w:t>
            </w:r>
            <w:r w:rsidRPr="00AC020B">
              <w:rPr>
                <w:rFonts w:ascii="Arial" w:hAnsi="Arial" w:cs="Arial"/>
                <w:color w:val="000000"/>
                <w:sz w:val="20"/>
                <w:szCs w:val="20"/>
                <w:vertAlign w:val="superscript"/>
              </w:rPr>
              <w:t>c</w:t>
            </w:r>
          </w:p>
        </w:tc>
        <w:tc>
          <w:tcPr>
            <w:tcW w:w="1318" w:type="dxa"/>
            <w:gridSpan w:val="2"/>
            <w:tcBorders>
              <w:top w:val="nil"/>
              <w:left w:val="nil"/>
              <w:bottom w:val="single" w:sz="2" w:space="0" w:color="auto"/>
              <w:right w:val="nil"/>
            </w:tcBorders>
            <w:noWrap/>
            <w:hideMark/>
          </w:tcPr>
          <w:p w14:paraId="634C3918"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3.63 ± 0.19</w:t>
            </w:r>
            <w:r w:rsidRPr="00AC020B">
              <w:rPr>
                <w:rFonts w:ascii="Arial" w:eastAsia="Times New Roman" w:hAnsi="Arial" w:cs="Arial"/>
                <w:color w:val="000000"/>
                <w:sz w:val="20"/>
                <w:szCs w:val="20"/>
                <w:vertAlign w:val="superscript"/>
                <w:lang w:val="en-GB" w:eastAsia="en-GB" w:bidi="ta-IN"/>
              </w:rPr>
              <w:t>c</w:t>
            </w:r>
          </w:p>
        </w:tc>
        <w:tc>
          <w:tcPr>
            <w:tcW w:w="1343" w:type="dxa"/>
            <w:tcBorders>
              <w:top w:val="nil"/>
              <w:left w:val="nil"/>
              <w:bottom w:val="single" w:sz="2" w:space="0" w:color="auto"/>
              <w:right w:val="nil"/>
            </w:tcBorders>
            <w:noWrap/>
            <w:hideMark/>
          </w:tcPr>
          <w:p w14:paraId="7E373DE2" w14:textId="77777777" w:rsidR="00854DD2" w:rsidRPr="00AC020B" w:rsidRDefault="00854DD2" w:rsidP="00C9196F">
            <w:pPr>
              <w:rPr>
                <w:rFonts w:ascii="Arial" w:eastAsia="Times New Roman" w:hAnsi="Arial" w:cs="Arial"/>
                <w:color w:val="000000"/>
                <w:sz w:val="20"/>
                <w:szCs w:val="20"/>
                <w:lang w:val="en-GB" w:eastAsia="en-GB" w:bidi="ta-IN"/>
              </w:rPr>
            </w:pPr>
            <w:r w:rsidRPr="00AC020B">
              <w:rPr>
                <w:rFonts w:ascii="Arial" w:eastAsia="Times New Roman" w:hAnsi="Arial" w:cs="Arial"/>
                <w:color w:val="000000"/>
                <w:sz w:val="20"/>
                <w:szCs w:val="20"/>
                <w:lang w:val="en-GB" w:eastAsia="en-GB" w:bidi="ta-IN"/>
              </w:rPr>
              <w:t>8.47 ± 0.09</w:t>
            </w:r>
            <w:r w:rsidRPr="00AC020B">
              <w:rPr>
                <w:rFonts w:ascii="Arial" w:eastAsia="Times New Roman" w:hAnsi="Arial" w:cs="Arial"/>
                <w:color w:val="000000"/>
                <w:sz w:val="20"/>
                <w:szCs w:val="20"/>
                <w:vertAlign w:val="superscript"/>
                <w:lang w:val="en-GB" w:eastAsia="en-GB" w:bidi="ta-IN"/>
              </w:rPr>
              <w:t>b</w:t>
            </w:r>
          </w:p>
        </w:tc>
      </w:tr>
    </w:tbl>
    <w:p w14:paraId="21AD5763" w14:textId="295965AB" w:rsidR="00854DD2" w:rsidRPr="00854DD2" w:rsidRDefault="00854DD2" w:rsidP="00854DD2">
      <w:pPr>
        <w:spacing w:line="360" w:lineRule="auto"/>
        <w:jc w:val="both"/>
        <w:rPr>
          <w:rFonts w:ascii="Arial" w:hAnsi="Arial" w:cs="Arial"/>
          <w:i/>
          <w:iCs/>
          <w:sz w:val="18"/>
          <w:szCs w:val="18"/>
        </w:rPr>
      </w:pPr>
      <w:r w:rsidRPr="00AC020B">
        <w:rPr>
          <w:rFonts w:ascii="Arial" w:hAnsi="Arial" w:cs="Arial"/>
          <w:i/>
          <w:iCs/>
          <w:sz w:val="18"/>
          <w:szCs w:val="18"/>
        </w:rPr>
        <w:t>Values in the table are averages of two seasons. Values are presented as mean ± standard error (S.E.). Values followed by the same letter within a column are not significantly different at p &lt; 0.05. Asterisks (*) denote treatments with the best result for a given parameter.</w:t>
      </w:r>
    </w:p>
    <w:p w14:paraId="34BD984D" w14:textId="0025BD5D" w:rsidR="0054393A" w:rsidRDefault="00BF5715" w:rsidP="0054393A">
      <w:pPr>
        <w:pStyle w:val="Body"/>
        <w:spacing w:after="0"/>
        <w:rPr>
          <w:rFonts w:ascii="Arial" w:hAnsi="Arial" w:cs="Arial"/>
          <w:lang w:val="en-GB"/>
        </w:rPr>
      </w:pPr>
      <w:r w:rsidRPr="00460DB0">
        <w:rPr>
          <w:rFonts w:ascii="Times New Roman" w:hAnsi="Times New Roman"/>
          <w:noProof/>
          <w:lang w:val="en-GB"/>
        </w:rPr>
        <w:drawing>
          <wp:inline distT="0" distB="0" distL="0" distR="0" wp14:anchorId="42DE46DE" wp14:editId="767681F4">
            <wp:extent cx="5994671" cy="1685925"/>
            <wp:effectExtent l="76200" t="76200" r="139700" b="123825"/>
            <wp:docPr id="84529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9667" name="Picture 84529667"/>
                    <pic:cNvPicPr/>
                  </pic:nvPicPr>
                  <pic:blipFill rotWithShape="1">
                    <a:blip r:embed="rId17" cstate="print">
                      <a:extLst>
                        <a:ext uri="{28A0092B-C50C-407E-A947-70E740481C1C}">
                          <a14:useLocalDpi xmlns:a14="http://schemas.microsoft.com/office/drawing/2010/main" val="0"/>
                        </a:ext>
                      </a:extLst>
                    </a:blip>
                    <a:srcRect b="50005"/>
                    <a:stretch/>
                  </pic:blipFill>
                  <pic:spPr bwMode="auto">
                    <a:xfrm>
                      <a:off x="0" y="0"/>
                      <a:ext cx="6221273" cy="17496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840B195" w14:textId="77777777" w:rsidR="00BF5715" w:rsidRPr="00BF5715" w:rsidRDefault="00BF5715" w:rsidP="00BF5715">
      <w:pPr>
        <w:pStyle w:val="Body"/>
        <w:spacing w:after="0"/>
        <w:rPr>
          <w:rFonts w:ascii="Arial" w:hAnsi="Arial" w:cs="Arial"/>
          <w:b/>
          <w:bCs/>
          <w:lang w:val="en-GB"/>
        </w:rPr>
      </w:pPr>
      <w:r w:rsidRPr="00BF5715">
        <w:rPr>
          <w:rFonts w:ascii="Arial" w:hAnsi="Arial" w:cs="Arial"/>
          <w:b/>
          <w:bCs/>
        </w:rPr>
        <w:t xml:space="preserve">Fig. 4 Influence of various treatments (T1 to T11, including control) on stem girth and root length of </w:t>
      </w:r>
      <w:r w:rsidRPr="00BF5715">
        <w:rPr>
          <w:rFonts w:ascii="Arial" w:hAnsi="Arial" w:cs="Arial"/>
          <w:b/>
          <w:bCs/>
          <w:i/>
          <w:iCs/>
        </w:rPr>
        <w:t>Amaranthus</w:t>
      </w:r>
      <w:r w:rsidRPr="00BF5715">
        <w:rPr>
          <w:rFonts w:ascii="Arial" w:hAnsi="Arial" w:cs="Arial"/>
          <w:b/>
          <w:bCs/>
        </w:rPr>
        <w:t xml:space="preserve"> plants. (a) Stem girth (cm) and (b) Root length (cm) under different treatments. Data are shown as mean ± standard error (SE).</w:t>
      </w:r>
    </w:p>
    <w:p w14:paraId="7863AC9F" w14:textId="77777777" w:rsidR="00BF5715" w:rsidRDefault="00BF5715" w:rsidP="0054393A">
      <w:pPr>
        <w:pStyle w:val="Body"/>
        <w:spacing w:after="0"/>
        <w:rPr>
          <w:rFonts w:ascii="Arial" w:hAnsi="Arial" w:cs="Arial"/>
          <w:lang w:val="en-GB"/>
        </w:rPr>
      </w:pPr>
    </w:p>
    <w:p w14:paraId="2B523305" w14:textId="77777777" w:rsidR="0054393A" w:rsidRDefault="0054393A" w:rsidP="0054393A">
      <w:pPr>
        <w:pStyle w:val="Body"/>
        <w:spacing w:after="0"/>
        <w:rPr>
          <w:rFonts w:ascii="Arial" w:hAnsi="Arial" w:cs="Arial"/>
          <w:bCs/>
        </w:rPr>
      </w:pPr>
      <w:r w:rsidRPr="0054393A">
        <w:rPr>
          <w:rFonts w:ascii="Arial" w:hAnsi="Arial" w:cs="Arial"/>
          <w:bCs/>
        </w:rPr>
        <w:t xml:space="preserve">It has been discovered that 4% MLE foliar spray on California Capsicum, the phytochemicals like zeatin, carotenoids, ascorbates, phenols, potassium, and calcium in the extract helped wonder pepper seedlings grow better (Hala et al. 2017; Chattha et al. 2018). Seaweed extract spray on saline-irrigated amaranth plants reduced salt stress and increased leaf number, possibly due to </w:t>
      </w:r>
      <w:proofErr w:type="spellStart"/>
      <w:r w:rsidRPr="0054393A">
        <w:rPr>
          <w:rFonts w:ascii="Arial" w:hAnsi="Arial" w:cs="Arial"/>
          <w:bCs/>
        </w:rPr>
        <w:t>cytokinins</w:t>
      </w:r>
      <w:proofErr w:type="spellEnd"/>
      <w:r w:rsidRPr="0054393A">
        <w:rPr>
          <w:rFonts w:ascii="Arial" w:hAnsi="Arial" w:cs="Arial"/>
          <w:bCs/>
        </w:rPr>
        <w:t xml:space="preserve"> such as trans-zeatin riboside (Saravanan et al. 2003). Humic acid, which lacks rooting hormones, prevents their oxidation and prolongs IAA activity, affecting the acid growth mechanism and the H</w:t>
      </w:r>
      <w:r w:rsidRPr="0054393A">
        <w:rPr>
          <w:rFonts w:ascii="Arial" w:hAnsi="Arial" w:cs="Arial"/>
          <w:bCs/>
          <w:vertAlign w:val="superscript"/>
        </w:rPr>
        <w:t>+</w:t>
      </w:r>
      <w:r w:rsidRPr="0054393A">
        <w:rPr>
          <w:rFonts w:ascii="Arial" w:hAnsi="Arial" w:cs="Arial"/>
          <w:bCs/>
        </w:rPr>
        <w:t xml:space="preserve"> pump, according to Canellas et al. (2002) and Zandonadi et al. (2007), making root growth faster after application.</w:t>
      </w:r>
    </w:p>
    <w:p w14:paraId="27FE2970" w14:textId="77777777" w:rsidR="00AC020B" w:rsidRDefault="00AC020B" w:rsidP="0054393A">
      <w:pPr>
        <w:pStyle w:val="Body"/>
        <w:spacing w:after="0"/>
        <w:rPr>
          <w:rFonts w:ascii="Arial" w:hAnsi="Arial" w:cs="Arial"/>
          <w:bCs/>
        </w:rPr>
      </w:pPr>
    </w:p>
    <w:p w14:paraId="1FB8E45C" w14:textId="66AEFFF8" w:rsidR="00AC020B" w:rsidRPr="00AC020B" w:rsidRDefault="00AC020B" w:rsidP="00AC020B">
      <w:pPr>
        <w:pStyle w:val="Body"/>
        <w:spacing w:after="0"/>
        <w:rPr>
          <w:rFonts w:ascii="Arial" w:hAnsi="Arial" w:cs="Arial"/>
          <w:b/>
          <w:sz w:val="22"/>
          <w:szCs w:val="22"/>
        </w:rPr>
      </w:pPr>
      <w:r w:rsidRPr="00AC020B">
        <w:rPr>
          <w:rFonts w:ascii="Arial" w:hAnsi="Arial" w:cs="Arial"/>
          <w:b/>
          <w:sz w:val="22"/>
          <w:szCs w:val="22"/>
        </w:rPr>
        <w:t xml:space="preserve">3.2 Influence of </w:t>
      </w:r>
      <w:proofErr w:type="spellStart"/>
      <w:r w:rsidRPr="00AC020B">
        <w:rPr>
          <w:rFonts w:ascii="Arial" w:hAnsi="Arial" w:cs="Arial"/>
          <w:b/>
          <w:sz w:val="22"/>
          <w:szCs w:val="22"/>
        </w:rPr>
        <w:t>biostimulants</w:t>
      </w:r>
      <w:proofErr w:type="spellEnd"/>
      <w:r w:rsidRPr="00AC020B">
        <w:rPr>
          <w:rFonts w:ascii="Arial" w:hAnsi="Arial" w:cs="Arial"/>
          <w:b/>
          <w:sz w:val="22"/>
          <w:szCs w:val="22"/>
        </w:rPr>
        <w:t xml:space="preserve"> and their impact on yield parameters </w:t>
      </w:r>
    </w:p>
    <w:p w14:paraId="25A027CA" w14:textId="77777777" w:rsidR="00AC020B" w:rsidRDefault="00AC020B" w:rsidP="0054393A">
      <w:pPr>
        <w:pStyle w:val="Body"/>
        <w:spacing w:after="0"/>
        <w:rPr>
          <w:rFonts w:ascii="Arial" w:hAnsi="Arial" w:cs="Arial"/>
          <w:bCs/>
        </w:rPr>
      </w:pPr>
    </w:p>
    <w:p w14:paraId="62BBD4EC" w14:textId="77777777" w:rsidR="00AC020B" w:rsidRPr="00AC020B" w:rsidRDefault="00AC020B" w:rsidP="00AC020B">
      <w:pPr>
        <w:pStyle w:val="Body"/>
        <w:spacing w:after="0"/>
        <w:rPr>
          <w:rFonts w:ascii="Arial" w:hAnsi="Arial" w:cs="Arial"/>
          <w:bCs/>
        </w:rPr>
      </w:pPr>
      <w:r w:rsidRPr="00AC020B">
        <w:rPr>
          <w:rFonts w:ascii="Arial" w:hAnsi="Arial" w:cs="Arial"/>
          <w:bCs/>
        </w:rPr>
        <w:t xml:space="preserve">Table 2 and Fig.5 depicts the impact of </w:t>
      </w:r>
      <w:proofErr w:type="spellStart"/>
      <w:r w:rsidRPr="00AC020B">
        <w:rPr>
          <w:rFonts w:ascii="Arial" w:hAnsi="Arial" w:cs="Arial"/>
          <w:bCs/>
        </w:rPr>
        <w:t>biostimulants</w:t>
      </w:r>
      <w:proofErr w:type="spellEnd"/>
      <w:r w:rsidRPr="00AC020B">
        <w:rPr>
          <w:rFonts w:ascii="Arial" w:hAnsi="Arial" w:cs="Arial"/>
          <w:bCs/>
        </w:rPr>
        <w:t xml:space="preserve"> on yield parameters. The leaf/stem ratio was highest with 0.2% Humic acid at 1.07 (T7) (Fig.5a), while 0.90 with 2% moringa leaf extract at T1 was the second. Karakurt et al. (2009) reported that foliar spray of humic </w:t>
      </w:r>
      <w:r w:rsidRPr="00AC020B">
        <w:rPr>
          <w:rFonts w:ascii="Arial" w:hAnsi="Arial" w:cs="Arial"/>
          <w:bCs/>
        </w:rPr>
        <w:lastRenderedPageBreak/>
        <w:t>compounds enhances growth, yield, and quality across species. Ugur et al. (2013) also reported that an increase in cress, rocket, and sorrel yields was brought about by 0.8% humic acid. Humic acid's functional groups attach to K</w:t>
      </w:r>
      <w:r w:rsidRPr="00AC020B">
        <w:rPr>
          <w:rFonts w:ascii="Arial" w:hAnsi="Arial" w:cs="Arial"/>
          <w:bCs/>
          <w:vertAlign w:val="superscript"/>
        </w:rPr>
        <w:t>+</w:t>
      </w:r>
      <w:r w:rsidRPr="00AC020B">
        <w:rPr>
          <w:rFonts w:ascii="Arial" w:hAnsi="Arial" w:cs="Arial"/>
          <w:bCs/>
        </w:rPr>
        <w:t>, Ca</w:t>
      </w:r>
      <w:r w:rsidRPr="00AC020B">
        <w:rPr>
          <w:rFonts w:ascii="Arial" w:hAnsi="Arial" w:cs="Arial"/>
          <w:bCs/>
          <w:vertAlign w:val="superscript"/>
        </w:rPr>
        <w:t>+</w:t>
      </w:r>
      <w:r w:rsidRPr="00AC020B">
        <w:rPr>
          <w:rFonts w:ascii="Arial" w:hAnsi="Arial" w:cs="Arial"/>
          <w:bCs/>
        </w:rPr>
        <w:t>, and Mg</w:t>
      </w:r>
      <w:r w:rsidRPr="00AC020B">
        <w:rPr>
          <w:rFonts w:ascii="Arial" w:hAnsi="Arial" w:cs="Arial"/>
          <w:bCs/>
          <w:vertAlign w:val="superscript"/>
        </w:rPr>
        <w:t>2+</w:t>
      </w:r>
      <w:r w:rsidRPr="00AC020B">
        <w:rPr>
          <w:rFonts w:ascii="Arial" w:hAnsi="Arial" w:cs="Arial"/>
          <w:bCs/>
        </w:rPr>
        <w:t xml:space="preserve"> to aid </w:t>
      </w:r>
      <w:r w:rsidRPr="00AC020B">
        <w:rPr>
          <w:rFonts w:ascii="Arial" w:hAnsi="Arial" w:cs="Arial"/>
          <w:bCs/>
          <w:i/>
          <w:iCs/>
        </w:rPr>
        <w:t xml:space="preserve">Gerbera </w:t>
      </w:r>
      <w:proofErr w:type="spellStart"/>
      <w:r w:rsidRPr="00AC020B">
        <w:rPr>
          <w:rFonts w:ascii="Arial" w:hAnsi="Arial" w:cs="Arial"/>
          <w:bCs/>
          <w:i/>
          <w:iCs/>
        </w:rPr>
        <w:t>jamesonii</w:t>
      </w:r>
      <w:proofErr w:type="spellEnd"/>
      <w:r w:rsidRPr="00AC020B">
        <w:rPr>
          <w:rFonts w:ascii="Arial" w:hAnsi="Arial" w:cs="Arial"/>
          <w:bCs/>
        </w:rPr>
        <w:t xml:space="preserve"> L. in nutrient uptake (Nikbakht et al. 2008). It also activates bacteria in the soil responsible for producing auxin, cytokinin, and gibberellins that enhance plant growth (Rahni, 2012).</w:t>
      </w:r>
    </w:p>
    <w:p w14:paraId="209FE5DE" w14:textId="77777777" w:rsidR="00AC020B" w:rsidRDefault="00AC020B" w:rsidP="0054393A">
      <w:pPr>
        <w:pStyle w:val="Body"/>
        <w:spacing w:after="0"/>
        <w:rPr>
          <w:rFonts w:ascii="Arial" w:hAnsi="Arial" w:cs="Arial"/>
          <w:bCs/>
        </w:rPr>
      </w:pPr>
    </w:p>
    <w:p w14:paraId="6DBF56CA" w14:textId="77777777" w:rsidR="00BF5715" w:rsidRPr="00BF5715" w:rsidRDefault="00BF5715" w:rsidP="00BF5715">
      <w:pPr>
        <w:pStyle w:val="Body"/>
        <w:spacing w:after="0"/>
        <w:rPr>
          <w:rFonts w:ascii="Arial" w:hAnsi="Arial" w:cs="Arial"/>
          <w:b/>
          <w:bCs/>
        </w:rPr>
      </w:pPr>
      <w:r w:rsidRPr="00BF5715">
        <w:rPr>
          <w:rFonts w:ascii="Arial" w:hAnsi="Arial" w:cs="Arial"/>
          <w:b/>
          <w:bCs/>
        </w:rPr>
        <w:t xml:space="preserve">Table 2 Influence of </w:t>
      </w:r>
      <w:proofErr w:type="spellStart"/>
      <w:r w:rsidRPr="00BF5715">
        <w:rPr>
          <w:rFonts w:ascii="Arial" w:hAnsi="Arial" w:cs="Arial"/>
          <w:b/>
          <w:bCs/>
        </w:rPr>
        <w:t>biostimulants</w:t>
      </w:r>
      <w:proofErr w:type="spellEnd"/>
      <w:r w:rsidRPr="00BF5715">
        <w:rPr>
          <w:rFonts w:ascii="Arial" w:hAnsi="Arial" w:cs="Arial"/>
          <w:b/>
          <w:bCs/>
        </w:rPr>
        <w:t xml:space="preserve"> and their impact on yield parameters of Amaranthus</w:t>
      </w:r>
    </w:p>
    <w:p w14:paraId="430B393E" w14:textId="77777777" w:rsidR="00BF5715" w:rsidRDefault="00BF5715" w:rsidP="0054393A">
      <w:pPr>
        <w:pStyle w:val="Body"/>
        <w:spacing w:after="0"/>
        <w:rPr>
          <w:rFonts w:ascii="Arial" w:hAnsi="Arial" w:cs="Arial"/>
          <w:bCs/>
        </w:rPr>
      </w:pPr>
    </w:p>
    <w:tbl>
      <w:tblPr>
        <w:tblStyle w:val="TableGrid"/>
        <w:tblW w:w="81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1935"/>
        <w:gridCol w:w="2242"/>
        <w:gridCol w:w="1933"/>
        <w:gridCol w:w="775"/>
      </w:tblGrid>
      <w:tr w:rsidR="00BF5715" w:rsidRPr="00BF5715" w14:paraId="73AC591C" w14:textId="77777777" w:rsidTr="00BF5715">
        <w:trPr>
          <w:gridAfter w:val="1"/>
          <w:wAfter w:w="775" w:type="dxa"/>
          <w:trHeight w:val="300"/>
          <w:jc w:val="center"/>
        </w:trPr>
        <w:tc>
          <w:tcPr>
            <w:tcW w:w="1218" w:type="dxa"/>
            <w:tcBorders>
              <w:top w:val="single" w:sz="2" w:space="0" w:color="auto"/>
              <w:bottom w:val="single" w:sz="2" w:space="0" w:color="auto"/>
            </w:tcBorders>
            <w:noWrap/>
            <w:hideMark/>
          </w:tcPr>
          <w:p w14:paraId="299D455E" w14:textId="77777777" w:rsidR="00BF5715" w:rsidRPr="00BF5715" w:rsidRDefault="00BF5715" w:rsidP="00BF5715">
            <w:pPr>
              <w:pStyle w:val="Body"/>
              <w:rPr>
                <w:rFonts w:ascii="Arial" w:hAnsi="Arial" w:cs="Arial"/>
                <w:b/>
                <w:bCs/>
                <w:sz w:val="20"/>
                <w:lang w:val="en-GB"/>
              </w:rPr>
            </w:pPr>
            <w:r w:rsidRPr="00BF5715">
              <w:rPr>
                <w:rFonts w:ascii="Arial" w:hAnsi="Arial" w:cs="Arial"/>
                <w:b/>
                <w:bCs/>
                <w:sz w:val="20"/>
                <w:lang w:val="en-GB"/>
              </w:rPr>
              <w:t>Treatment</w:t>
            </w:r>
          </w:p>
        </w:tc>
        <w:tc>
          <w:tcPr>
            <w:tcW w:w="1935" w:type="dxa"/>
            <w:tcBorders>
              <w:top w:val="single" w:sz="2" w:space="0" w:color="auto"/>
              <w:bottom w:val="single" w:sz="2" w:space="0" w:color="auto"/>
            </w:tcBorders>
            <w:noWrap/>
            <w:hideMark/>
          </w:tcPr>
          <w:p w14:paraId="117AF560" w14:textId="77777777" w:rsidR="00BF5715" w:rsidRPr="00BF5715" w:rsidRDefault="00BF5715" w:rsidP="00BF5715">
            <w:pPr>
              <w:pStyle w:val="Body"/>
              <w:rPr>
                <w:rFonts w:ascii="Arial" w:hAnsi="Arial" w:cs="Arial"/>
                <w:b/>
                <w:bCs/>
                <w:sz w:val="20"/>
                <w:lang w:val="en-GB"/>
              </w:rPr>
            </w:pPr>
            <w:r w:rsidRPr="00BF5715">
              <w:rPr>
                <w:rFonts w:ascii="Arial" w:hAnsi="Arial" w:cs="Arial"/>
                <w:b/>
                <w:bCs/>
                <w:sz w:val="20"/>
                <w:lang w:val="en-GB"/>
              </w:rPr>
              <w:t>Leaf/Stem Ratio</w:t>
            </w:r>
          </w:p>
        </w:tc>
        <w:tc>
          <w:tcPr>
            <w:tcW w:w="2242" w:type="dxa"/>
            <w:tcBorders>
              <w:top w:val="single" w:sz="2" w:space="0" w:color="auto"/>
              <w:bottom w:val="single" w:sz="2" w:space="0" w:color="auto"/>
            </w:tcBorders>
            <w:noWrap/>
            <w:hideMark/>
          </w:tcPr>
          <w:p w14:paraId="35242FA1" w14:textId="77777777" w:rsidR="00BF5715" w:rsidRPr="00BF5715" w:rsidRDefault="00BF5715" w:rsidP="00BF5715">
            <w:pPr>
              <w:pStyle w:val="Body"/>
              <w:rPr>
                <w:rFonts w:ascii="Arial" w:hAnsi="Arial" w:cs="Arial"/>
                <w:b/>
                <w:bCs/>
                <w:sz w:val="20"/>
                <w:lang w:val="en-GB"/>
              </w:rPr>
            </w:pPr>
            <w:r w:rsidRPr="00BF5715">
              <w:rPr>
                <w:rFonts w:ascii="Arial" w:hAnsi="Arial" w:cs="Arial"/>
                <w:b/>
                <w:bCs/>
                <w:sz w:val="20"/>
                <w:lang w:val="en-GB"/>
              </w:rPr>
              <w:t>Fresh Weight of Leaves per Plant (g)</w:t>
            </w:r>
          </w:p>
        </w:tc>
        <w:tc>
          <w:tcPr>
            <w:tcW w:w="1933" w:type="dxa"/>
            <w:tcBorders>
              <w:top w:val="single" w:sz="2" w:space="0" w:color="auto"/>
              <w:bottom w:val="single" w:sz="2" w:space="0" w:color="auto"/>
            </w:tcBorders>
            <w:noWrap/>
            <w:hideMark/>
          </w:tcPr>
          <w:p w14:paraId="4843FF77" w14:textId="77777777" w:rsidR="00BF5715" w:rsidRPr="00BF5715" w:rsidRDefault="00BF5715" w:rsidP="00BF5715">
            <w:pPr>
              <w:pStyle w:val="Body"/>
              <w:rPr>
                <w:rFonts w:ascii="Arial" w:hAnsi="Arial" w:cs="Arial"/>
                <w:b/>
                <w:bCs/>
                <w:sz w:val="20"/>
                <w:lang w:val="en-GB"/>
              </w:rPr>
            </w:pPr>
            <w:r w:rsidRPr="00BF5715">
              <w:rPr>
                <w:rFonts w:ascii="Arial" w:hAnsi="Arial" w:cs="Arial"/>
                <w:b/>
                <w:bCs/>
                <w:sz w:val="20"/>
                <w:lang w:val="en-GB"/>
              </w:rPr>
              <w:t>Yield per Plot (kg)</w:t>
            </w:r>
          </w:p>
        </w:tc>
      </w:tr>
      <w:tr w:rsidR="00BF5715" w:rsidRPr="00BF5715" w14:paraId="6FF778B0" w14:textId="77777777" w:rsidTr="00BF5715">
        <w:trPr>
          <w:gridAfter w:val="1"/>
          <w:wAfter w:w="775" w:type="dxa"/>
          <w:trHeight w:val="300"/>
          <w:jc w:val="center"/>
        </w:trPr>
        <w:tc>
          <w:tcPr>
            <w:tcW w:w="1218" w:type="dxa"/>
            <w:tcBorders>
              <w:top w:val="single" w:sz="2" w:space="0" w:color="auto"/>
            </w:tcBorders>
            <w:noWrap/>
            <w:hideMark/>
          </w:tcPr>
          <w:p w14:paraId="35E3820E"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T1</w:t>
            </w:r>
          </w:p>
        </w:tc>
        <w:tc>
          <w:tcPr>
            <w:tcW w:w="1935" w:type="dxa"/>
            <w:tcBorders>
              <w:top w:val="single" w:sz="2" w:space="0" w:color="auto"/>
            </w:tcBorders>
            <w:noWrap/>
            <w:hideMark/>
          </w:tcPr>
          <w:p w14:paraId="740128BA"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0.90 ± 0.09</w:t>
            </w:r>
            <w:r w:rsidRPr="00BF5715">
              <w:rPr>
                <w:rFonts w:ascii="Arial" w:hAnsi="Arial" w:cs="Arial"/>
                <w:bCs/>
                <w:sz w:val="20"/>
                <w:vertAlign w:val="superscript"/>
                <w:lang w:val="en-GB"/>
              </w:rPr>
              <w:t>b</w:t>
            </w:r>
          </w:p>
        </w:tc>
        <w:tc>
          <w:tcPr>
            <w:tcW w:w="2242" w:type="dxa"/>
            <w:tcBorders>
              <w:top w:val="single" w:sz="2" w:space="0" w:color="auto"/>
            </w:tcBorders>
            <w:noWrap/>
            <w:hideMark/>
          </w:tcPr>
          <w:p w14:paraId="6B845902"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2.30 ± 0.22</w:t>
            </w:r>
            <w:r w:rsidRPr="00BF5715">
              <w:rPr>
                <w:rFonts w:ascii="Arial" w:hAnsi="Arial" w:cs="Arial"/>
                <w:bCs/>
                <w:sz w:val="20"/>
                <w:vertAlign w:val="superscript"/>
                <w:lang w:val="en-GB"/>
              </w:rPr>
              <w:t>a</w:t>
            </w:r>
          </w:p>
        </w:tc>
        <w:tc>
          <w:tcPr>
            <w:tcW w:w="1933" w:type="dxa"/>
            <w:tcBorders>
              <w:top w:val="single" w:sz="2" w:space="0" w:color="auto"/>
            </w:tcBorders>
            <w:noWrap/>
            <w:hideMark/>
          </w:tcPr>
          <w:p w14:paraId="4F57A23A"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4.97 ± 0.77</w:t>
            </w:r>
            <w:r w:rsidRPr="00BF5715">
              <w:rPr>
                <w:rFonts w:ascii="Arial" w:hAnsi="Arial" w:cs="Arial"/>
                <w:bCs/>
                <w:sz w:val="20"/>
                <w:vertAlign w:val="superscript"/>
                <w:lang w:val="en-GB"/>
              </w:rPr>
              <w:t>d</w:t>
            </w:r>
          </w:p>
        </w:tc>
      </w:tr>
      <w:tr w:rsidR="00BF5715" w:rsidRPr="00BF5715" w14:paraId="22F0DC29" w14:textId="77777777" w:rsidTr="00BF5715">
        <w:trPr>
          <w:gridAfter w:val="1"/>
          <w:wAfter w:w="775" w:type="dxa"/>
          <w:trHeight w:val="300"/>
          <w:jc w:val="center"/>
        </w:trPr>
        <w:tc>
          <w:tcPr>
            <w:tcW w:w="1218" w:type="dxa"/>
            <w:noWrap/>
            <w:hideMark/>
          </w:tcPr>
          <w:p w14:paraId="03DDEE2E"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T2</w:t>
            </w:r>
          </w:p>
        </w:tc>
        <w:tc>
          <w:tcPr>
            <w:tcW w:w="1935" w:type="dxa"/>
            <w:noWrap/>
            <w:hideMark/>
          </w:tcPr>
          <w:p w14:paraId="74070019"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0.72 ± 0.01</w:t>
            </w:r>
            <w:r w:rsidRPr="00BF5715">
              <w:rPr>
                <w:rFonts w:ascii="Arial" w:hAnsi="Arial" w:cs="Arial"/>
                <w:bCs/>
                <w:sz w:val="20"/>
                <w:vertAlign w:val="superscript"/>
                <w:lang w:val="en-GB"/>
              </w:rPr>
              <w:t>c</w:t>
            </w:r>
          </w:p>
        </w:tc>
        <w:tc>
          <w:tcPr>
            <w:tcW w:w="2242" w:type="dxa"/>
            <w:noWrap/>
            <w:hideMark/>
          </w:tcPr>
          <w:p w14:paraId="4B9BB16C"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0.95 ± 0.06</w:t>
            </w:r>
            <w:r w:rsidRPr="00BF5715">
              <w:rPr>
                <w:rFonts w:ascii="Arial" w:hAnsi="Arial" w:cs="Arial"/>
                <w:bCs/>
                <w:sz w:val="20"/>
                <w:vertAlign w:val="superscript"/>
                <w:lang w:val="en-GB"/>
              </w:rPr>
              <w:t>c</w:t>
            </w:r>
          </w:p>
        </w:tc>
        <w:tc>
          <w:tcPr>
            <w:tcW w:w="1933" w:type="dxa"/>
            <w:noWrap/>
            <w:hideMark/>
          </w:tcPr>
          <w:p w14:paraId="2EF25D45" w14:textId="23D58C32" w:rsidR="00BF5715" w:rsidRPr="002E05F9" w:rsidRDefault="002E05F9" w:rsidP="00BF5715">
            <w:pPr>
              <w:pStyle w:val="Body"/>
              <w:rPr>
                <w:rFonts w:ascii="Arial" w:hAnsi="Arial" w:cs="Arial"/>
                <w:bCs/>
                <w:sz w:val="20"/>
                <w:highlight w:val="yellow"/>
                <w:lang w:val="en-GB"/>
              </w:rPr>
            </w:pPr>
            <w:r w:rsidRPr="002E05F9">
              <w:rPr>
                <w:rFonts w:ascii="Arial" w:hAnsi="Arial" w:cs="Arial"/>
                <w:bCs/>
                <w:sz w:val="20"/>
                <w:highlight w:val="yellow"/>
                <w:lang w:val="en-GB"/>
              </w:rPr>
              <w:t>6.05 ± 0.98</w:t>
            </w:r>
            <w:r w:rsidRPr="002E05F9">
              <w:rPr>
                <w:rFonts w:ascii="Arial" w:hAnsi="Arial" w:cs="Arial"/>
                <w:bCs/>
                <w:sz w:val="20"/>
                <w:highlight w:val="yellow"/>
                <w:vertAlign w:val="superscript"/>
                <w:lang w:val="en-GB"/>
              </w:rPr>
              <w:t>b</w:t>
            </w:r>
          </w:p>
        </w:tc>
      </w:tr>
      <w:tr w:rsidR="00BF5715" w:rsidRPr="00BF5715" w14:paraId="2B13EEEE" w14:textId="77777777" w:rsidTr="00BF5715">
        <w:trPr>
          <w:gridAfter w:val="1"/>
          <w:wAfter w:w="775" w:type="dxa"/>
          <w:trHeight w:val="300"/>
          <w:jc w:val="center"/>
        </w:trPr>
        <w:tc>
          <w:tcPr>
            <w:tcW w:w="1218" w:type="dxa"/>
            <w:noWrap/>
            <w:hideMark/>
          </w:tcPr>
          <w:p w14:paraId="0D3ADE4D"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T3</w:t>
            </w:r>
          </w:p>
        </w:tc>
        <w:tc>
          <w:tcPr>
            <w:tcW w:w="1935" w:type="dxa"/>
            <w:noWrap/>
            <w:hideMark/>
          </w:tcPr>
          <w:p w14:paraId="266ED570"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0.57 ± 0.01</w:t>
            </w:r>
            <w:r w:rsidRPr="00BF5715">
              <w:rPr>
                <w:rFonts w:ascii="Arial" w:hAnsi="Arial" w:cs="Arial"/>
                <w:bCs/>
                <w:sz w:val="20"/>
                <w:vertAlign w:val="superscript"/>
                <w:lang w:val="en-GB"/>
              </w:rPr>
              <w:t>d</w:t>
            </w:r>
          </w:p>
        </w:tc>
        <w:tc>
          <w:tcPr>
            <w:tcW w:w="2242" w:type="dxa"/>
            <w:noWrap/>
            <w:hideMark/>
          </w:tcPr>
          <w:p w14:paraId="04FEFCA3"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2.70 ± 0.07</w:t>
            </w:r>
            <w:r w:rsidRPr="00BF5715">
              <w:rPr>
                <w:rFonts w:ascii="Arial" w:hAnsi="Arial" w:cs="Arial"/>
                <w:bCs/>
                <w:sz w:val="20"/>
                <w:vertAlign w:val="superscript"/>
                <w:lang w:val="en-GB"/>
              </w:rPr>
              <w:t>a*</w:t>
            </w:r>
          </w:p>
        </w:tc>
        <w:tc>
          <w:tcPr>
            <w:tcW w:w="1933" w:type="dxa"/>
            <w:noWrap/>
            <w:hideMark/>
          </w:tcPr>
          <w:p w14:paraId="452EAF9D" w14:textId="123B3CB8" w:rsidR="00BF5715" w:rsidRPr="002E05F9" w:rsidRDefault="002E05F9" w:rsidP="002E05F9">
            <w:pPr>
              <w:rPr>
                <w:highlight w:val="yellow"/>
              </w:rPr>
            </w:pPr>
            <w:r w:rsidRPr="002E05F9">
              <w:rPr>
                <w:rFonts w:ascii="Arial" w:hAnsi="Arial" w:cs="Arial"/>
                <w:bCs/>
                <w:sz w:val="20"/>
                <w:highlight w:val="yellow"/>
                <w:lang w:val="en-GB"/>
              </w:rPr>
              <w:t>8.95 ± 1.80</w:t>
            </w:r>
            <w:r w:rsidRPr="002E05F9">
              <w:rPr>
                <w:rFonts w:ascii="Arial" w:hAnsi="Arial" w:cs="Arial"/>
                <w:bCs/>
                <w:sz w:val="20"/>
                <w:highlight w:val="yellow"/>
                <w:vertAlign w:val="superscript"/>
                <w:lang w:val="en-GB"/>
              </w:rPr>
              <w:t>a*</w:t>
            </w:r>
          </w:p>
        </w:tc>
      </w:tr>
      <w:tr w:rsidR="00BF5715" w:rsidRPr="00BF5715" w14:paraId="5DCFFBA1" w14:textId="77777777" w:rsidTr="00BF5715">
        <w:trPr>
          <w:gridAfter w:val="1"/>
          <w:wAfter w:w="775" w:type="dxa"/>
          <w:trHeight w:val="300"/>
          <w:jc w:val="center"/>
        </w:trPr>
        <w:tc>
          <w:tcPr>
            <w:tcW w:w="1218" w:type="dxa"/>
            <w:noWrap/>
            <w:hideMark/>
          </w:tcPr>
          <w:p w14:paraId="36C1F295"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T4</w:t>
            </w:r>
          </w:p>
        </w:tc>
        <w:tc>
          <w:tcPr>
            <w:tcW w:w="1935" w:type="dxa"/>
            <w:noWrap/>
            <w:hideMark/>
          </w:tcPr>
          <w:p w14:paraId="49841AF7"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0.64 ± 0.01</w:t>
            </w:r>
            <w:r w:rsidRPr="00BF5715">
              <w:rPr>
                <w:rFonts w:ascii="Arial" w:hAnsi="Arial" w:cs="Arial"/>
                <w:bCs/>
                <w:sz w:val="20"/>
                <w:vertAlign w:val="superscript"/>
                <w:lang w:val="en-GB"/>
              </w:rPr>
              <w:t>c</w:t>
            </w:r>
          </w:p>
        </w:tc>
        <w:tc>
          <w:tcPr>
            <w:tcW w:w="2242" w:type="dxa"/>
            <w:noWrap/>
            <w:hideMark/>
          </w:tcPr>
          <w:p w14:paraId="6C0B5197"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1.33 ± 0.11</w:t>
            </w:r>
            <w:r w:rsidRPr="00BF5715">
              <w:rPr>
                <w:rFonts w:ascii="Arial" w:hAnsi="Arial" w:cs="Arial"/>
                <w:bCs/>
                <w:sz w:val="20"/>
                <w:vertAlign w:val="superscript"/>
                <w:lang w:val="en-GB"/>
              </w:rPr>
              <w:t>b</w:t>
            </w:r>
          </w:p>
        </w:tc>
        <w:tc>
          <w:tcPr>
            <w:tcW w:w="1933" w:type="dxa"/>
            <w:noWrap/>
            <w:hideMark/>
          </w:tcPr>
          <w:p w14:paraId="09460239"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4.31 ± 1.48</w:t>
            </w:r>
            <w:r w:rsidRPr="00BF5715">
              <w:rPr>
                <w:rFonts w:ascii="Arial" w:hAnsi="Arial" w:cs="Arial"/>
                <w:bCs/>
                <w:sz w:val="20"/>
                <w:vertAlign w:val="superscript"/>
                <w:lang w:val="en-GB"/>
              </w:rPr>
              <w:t>d</w:t>
            </w:r>
          </w:p>
        </w:tc>
      </w:tr>
      <w:tr w:rsidR="00BF5715" w:rsidRPr="00BF5715" w14:paraId="127F0208" w14:textId="77777777" w:rsidTr="00BF5715">
        <w:trPr>
          <w:gridAfter w:val="1"/>
          <w:wAfter w:w="775" w:type="dxa"/>
          <w:trHeight w:val="300"/>
          <w:jc w:val="center"/>
        </w:trPr>
        <w:tc>
          <w:tcPr>
            <w:tcW w:w="1218" w:type="dxa"/>
            <w:noWrap/>
            <w:hideMark/>
          </w:tcPr>
          <w:p w14:paraId="0EF52ECD"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T5</w:t>
            </w:r>
          </w:p>
        </w:tc>
        <w:tc>
          <w:tcPr>
            <w:tcW w:w="1935" w:type="dxa"/>
            <w:noWrap/>
            <w:hideMark/>
          </w:tcPr>
          <w:p w14:paraId="6F1123BE"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0.61 ± 0.01</w:t>
            </w:r>
            <w:r w:rsidRPr="00BF5715">
              <w:rPr>
                <w:rFonts w:ascii="Arial" w:hAnsi="Arial" w:cs="Arial"/>
                <w:bCs/>
                <w:sz w:val="20"/>
                <w:vertAlign w:val="superscript"/>
                <w:lang w:val="en-GB"/>
              </w:rPr>
              <w:t>c</w:t>
            </w:r>
          </w:p>
        </w:tc>
        <w:tc>
          <w:tcPr>
            <w:tcW w:w="2242" w:type="dxa"/>
            <w:noWrap/>
            <w:hideMark/>
          </w:tcPr>
          <w:p w14:paraId="7F9535D8"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1.38 ± 0.14</w:t>
            </w:r>
            <w:r w:rsidRPr="00BF5715">
              <w:rPr>
                <w:rFonts w:ascii="Arial" w:hAnsi="Arial" w:cs="Arial"/>
                <w:bCs/>
                <w:sz w:val="20"/>
                <w:vertAlign w:val="superscript"/>
                <w:lang w:val="en-GB"/>
              </w:rPr>
              <w:t>b</w:t>
            </w:r>
          </w:p>
        </w:tc>
        <w:tc>
          <w:tcPr>
            <w:tcW w:w="1933" w:type="dxa"/>
            <w:noWrap/>
            <w:hideMark/>
          </w:tcPr>
          <w:p w14:paraId="1A3F8932"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4.46 ± 0.70</w:t>
            </w:r>
            <w:r w:rsidRPr="00BF5715">
              <w:rPr>
                <w:rFonts w:ascii="Arial" w:hAnsi="Arial" w:cs="Arial"/>
                <w:bCs/>
                <w:sz w:val="20"/>
                <w:vertAlign w:val="superscript"/>
                <w:lang w:val="en-GB"/>
              </w:rPr>
              <w:t>d</w:t>
            </w:r>
          </w:p>
        </w:tc>
      </w:tr>
      <w:tr w:rsidR="00BF5715" w:rsidRPr="00BF5715" w14:paraId="7E36749C" w14:textId="77777777" w:rsidTr="00BF5715">
        <w:trPr>
          <w:gridAfter w:val="1"/>
          <w:wAfter w:w="775" w:type="dxa"/>
          <w:trHeight w:val="300"/>
          <w:jc w:val="center"/>
        </w:trPr>
        <w:tc>
          <w:tcPr>
            <w:tcW w:w="1218" w:type="dxa"/>
            <w:noWrap/>
            <w:hideMark/>
          </w:tcPr>
          <w:p w14:paraId="2D7DAF98"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T6</w:t>
            </w:r>
          </w:p>
        </w:tc>
        <w:tc>
          <w:tcPr>
            <w:tcW w:w="1935" w:type="dxa"/>
            <w:noWrap/>
            <w:hideMark/>
          </w:tcPr>
          <w:p w14:paraId="49C62705"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0.70 ± 0.01</w:t>
            </w:r>
            <w:r w:rsidRPr="00BF5715">
              <w:rPr>
                <w:rFonts w:ascii="Arial" w:hAnsi="Arial" w:cs="Arial"/>
                <w:bCs/>
                <w:sz w:val="20"/>
                <w:vertAlign w:val="subscript"/>
                <w:lang w:val="en-GB"/>
              </w:rPr>
              <w:t>c</w:t>
            </w:r>
          </w:p>
        </w:tc>
        <w:tc>
          <w:tcPr>
            <w:tcW w:w="2242" w:type="dxa"/>
            <w:noWrap/>
            <w:hideMark/>
          </w:tcPr>
          <w:p w14:paraId="51D3CB9F"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1.02 ± 0.10</w:t>
            </w:r>
            <w:r w:rsidRPr="00BF5715">
              <w:rPr>
                <w:rFonts w:ascii="Arial" w:hAnsi="Arial" w:cs="Arial"/>
                <w:bCs/>
                <w:sz w:val="20"/>
                <w:vertAlign w:val="superscript"/>
                <w:lang w:val="en-GB"/>
              </w:rPr>
              <w:t>c</w:t>
            </w:r>
          </w:p>
        </w:tc>
        <w:tc>
          <w:tcPr>
            <w:tcW w:w="1933" w:type="dxa"/>
            <w:noWrap/>
            <w:hideMark/>
          </w:tcPr>
          <w:p w14:paraId="453786AD"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4.91 ± 1.08</w:t>
            </w:r>
            <w:r w:rsidRPr="00BF5715">
              <w:rPr>
                <w:rFonts w:ascii="Arial" w:hAnsi="Arial" w:cs="Arial"/>
                <w:bCs/>
                <w:sz w:val="20"/>
                <w:vertAlign w:val="superscript"/>
                <w:lang w:val="en-GB"/>
              </w:rPr>
              <w:t>d</w:t>
            </w:r>
          </w:p>
        </w:tc>
      </w:tr>
      <w:tr w:rsidR="00BF5715" w:rsidRPr="00BF5715" w14:paraId="6DFD493C" w14:textId="77777777" w:rsidTr="00BF5715">
        <w:trPr>
          <w:gridAfter w:val="1"/>
          <w:wAfter w:w="775" w:type="dxa"/>
          <w:trHeight w:val="300"/>
          <w:jc w:val="center"/>
        </w:trPr>
        <w:tc>
          <w:tcPr>
            <w:tcW w:w="1218" w:type="dxa"/>
            <w:noWrap/>
            <w:hideMark/>
          </w:tcPr>
          <w:p w14:paraId="0A2475BE"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T7</w:t>
            </w:r>
          </w:p>
        </w:tc>
        <w:tc>
          <w:tcPr>
            <w:tcW w:w="1935" w:type="dxa"/>
            <w:noWrap/>
            <w:hideMark/>
          </w:tcPr>
          <w:p w14:paraId="33C5B13F"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1.07 ± 0.12</w:t>
            </w:r>
            <w:r w:rsidRPr="00BF5715">
              <w:rPr>
                <w:rFonts w:ascii="Arial" w:hAnsi="Arial" w:cs="Arial"/>
                <w:bCs/>
                <w:sz w:val="20"/>
                <w:vertAlign w:val="superscript"/>
                <w:lang w:val="en-GB"/>
              </w:rPr>
              <w:t>a*</w:t>
            </w:r>
          </w:p>
        </w:tc>
        <w:tc>
          <w:tcPr>
            <w:tcW w:w="2242" w:type="dxa"/>
            <w:noWrap/>
            <w:hideMark/>
          </w:tcPr>
          <w:p w14:paraId="422D92B5"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1.67 ± 0.13</w:t>
            </w:r>
            <w:r w:rsidRPr="00BF5715">
              <w:rPr>
                <w:rFonts w:ascii="Arial" w:hAnsi="Arial" w:cs="Arial"/>
                <w:bCs/>
                <w:sz w:val="20"/>
                <w:vertAlign w:val="superscript"/>
                <w:lang w:val="en-GB"/>
              </w:rPr>
              <w:t>b</w:t>
            </w:r>
          </w:p>
        </w:tc>
        <w:tc>
          <w:tcPr>
            <w:tcW w:w="1933" w:type="dxa"/>
            <w:noWrap/>
            <w:hideMark/>
          </w:tcPr>
          <w:p w14:paraId="6961F4E8"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5.03 ± 0.35</w:t>
            </w:r>
            <w:r w:rsidRPr="00BF5715">
              <w:rPr>
                <w:rFonts w:ascii="Arial" w:hAnsi="Arial" w:cs="Arial"/>
                <w:bCs/>
                <w:sz w:val="20"/>
                <w:vertAlign w:val="superscript"/>
                <w:lang w:val="en-GB"/>
              </w:rPr>
              <w:t>c</w:t>
            </w:r>
          </w:p>
        </w:tc>
      </w:tr>
      <w:tr w:rsidR="00BF5715" w:rsidRPr="00BF5715" w14:paraId="5EB21404" w14:textId="77777777" w:rsidTr="00C9196F">
        <w:trPr>
          <w:trHeight w:val="300"/>
          <w:jc w:val="center"/>
        </w:trPr>
        <w:tc>
          <w:tcPr>
            <w:tcW w:w="1218" w:type="dxa"/>
            <w:noWrap/>
            <w:hideMark/>
          </w:tcPr>
          <w:p w14:paraId="28EF84A6"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T8</w:t>
            </w:r>
          </w:p>
        </w:tc>
        <w:tc>
          <w:tcPr>
            <w:tcW w:w="1935" w:type="dxa"/>
            <w:noWrap/>
            <w:hideMark/>
          </w:tcPr>
          <w:p w14:paraId="07C0A5E8"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0.58 ± 0.01</w:t>
            </w:r>
            <w:r w:rsidRPr="00BF5715">
              <w:rPr>
                <w:rFonts w:ascii="Arial" w:hAnsi="Arial" w:cs="Arial"/>
                <w:bCs/>
                <w:sz w:val="20"/>
                <w:vertAlign w:val="superscript"/>
                <w:lang w:val="en-GB"/>
              </w:rPr>
              <w:t>d</w:t>
            </w:r>
          </w:p>
        </w:tc>
        <w:tc>
          <w:tcPr>
            <w:tcW w:w="2242" w:type="dxa"/>
            <w:noWrap/>
            <w:hideMark/>
          </w:tcPr>
          <w:p w14:paraId="04A96158"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0.69 ± 0.02</w:t>
            </w:r>
            <w:r w:rsidRPr="00BF5715">
              <w:rPr>
                <w:rFonts w:ascii="Arial" w:hAnsi="Arial" w:cs="Arial"/>
                <w:bCs/>
                <w:sz w:val="20"/>
                <w:vertAlign w:val="superscript"/>
                <w:lang w:val="en-GB"/>
              </w:rPr>
              <w:t>d</w:t>
            </w:r>
          </w:p>
        </w:tc>
        <w:tc>
          <w:tcPr>
            <w:tcW w:w="2708" w:type="dxa"/>
            <w:gridSpan w:val="2"/>
            <w:noWrap/>
            <w:hideMark/>
          </w:tcPr>
          <w:p w14:paraId="710818F3"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6.91 ± 1.81</w:t>
            </w:r>
            <w:r w:rsidRPr="00BF5715">
              <w:rPr>
                <w:rFonts w:ascii="Arial" w:hAnsi="Arial" w:cs="Arial"/>
                <w:bCs/>
                <w:sz w:val="20"/>
                <w:vertAlign w:val="superscript"/>
                <w:lang w:val="en-GB"/>
              </w:rPr>
              <w:t>b</w:t>
            </w:r>
          </w:p>
        </w:tc>
      </w:tr>
      <w:tr w:rsidR="00BF5715" w:rsidRPr="00BF5715" w14:paraId="58E84673" w14:textId="77777777" w:rsidTr="00C9196F">
        <w:trPr>
          <w:trHeight w:val="300"/>
          <w:jc w:val="center"/>
        </w:trPr>
        <w:tc>
          <w:tcPr>
            <w:tcW w:w="1218" w:type="dxa"/>
            <w:noWrap/>
            <w:hideMark/>
          </w:tcPr>
          <w:p w14:paraId="70B6D376"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T9</w:t>
            </w:r>
          </w:p>
        </w:tc>
        <w:tc>
          <w:tcPr>
            <w:tcW w:w="1935" w:type="dxa"/>
            <w:noWrap/>
            <w:hideMark/>
          </w:tcPr>
          <w:p w14:paraId="30DB594B"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0.30 ± 0.00</w:t>
            </w:r>
            <w:r w:rsidRPr="00BF5715">
              <w:rPr>
                <w:rFonts w:ascii="Arial" w:hAnsi="Arial" w:cs="Arial"/>
                <w:bCs/>
                <w:sz w:val="20"/>
                <w:vertAlign w:val="superscript"/>
                <w:lang w:val="en-GB"/>
              </w:rPr>
              <w:t>e</w:t>
            </w:r>
          </w:p>
        </w:tc>
        <w:tc>
          <w:tcPr>
            <w:tcW w:w="2242" w:type="dxa"/>
            <w:noWrap/>
            <w:hideMark/>
          </w:tcPr>
          <w:p w14:paraId="69FD5CCC"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1.21 ± 0.17</w:t>
            </w:r>
            <w:r w:rsidRPr="00BF5715">
              <w:rPr>
                <w:rFonts w:ascii="Arial" w:hAnsi="Arial" w:cs="Arial"/>
                <w:bCs/>
                <w:sz w:val="20"/>
                <w:vertAlign w:val="superscript"/>
                <w:lang w:val="en-GB"/>
              </w:rPr>
              <w:t>c</w:t>
            </w:r>
          </w:p>
        </w:tc>
        <w:tc>
          <w:tcPr>
            <w:tcW w:w="2708" w:type="dxa"/>
            <w:gridSpan w:val="2"/>
            <w:noWrap/>
            <w:hideMark/>
          </w:tcPr>
          <w:p w14:paraId="37DDF40C"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4.06 ± 0.72</w:t>
            </w:r>
            <w:r w:rsidRPr="00BF5715">
              <w:rPr>
                <w:rFonts w:ascii="Arial" w:hAnsi="Arial" w:cs="Arial"/>
                <w:bCs/>
                <w:sz w:val="20"/>
                <w:vertAlign w:val="superscript"/>
                <w:lang w:val="en-GB"/>
              </w:rPr>
              <w:t>d</w:t>
            </w:r>
          </w:p>
        </w:tc>
      </w:tr>
      <w:tr w:rsidR="00BF5715" w:rsidRPr="00BF5715" w14:paraId="009CC8B8" w14:textId="77777777" w:rsidTr="00C9196F">
        <w:trPr>
          <w:trHeight w:val="300"/>
          <w:jc w:val="center"/>
        </w:trPr>
        <w:tc>
          <w:tcPr>
            <w:tcW w:w="1218" w:type="dxa"/>
            <w:noWrap/>
            <w:hideMark/>
          </w:tcPr>
          <w:p w14:paraId="61E39EAA"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T10</w:t>
            </w:r>
          </w:p>
        </w:tc>
        <w:tc>
          <w:tcPr>
            <w:tcW w:w="1935" w:type="dxa"/>
            <w:noWrap/>
            <w:hideMark/>
          </w:tcPr>
          <w:p w14:paraId="744AC761"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0.45 ± 0.01</w:t>
            </w:r>
            <w:r w:rsidRPr="00BF5715">
              <w:rPr>
                <w:rFonts w:ascii="Arial" w:hAnsi="Arial" w:cs="Arial"/>
                <w:bCs/>
                <w:sz w:val="20"/>
                <w:vertAlign w:val="superscript"/>
                <w:lang w:val="en-GB"/>
              </w:rPr>
              <w:t>d</w:t>
            </w:r>
          </w:p>
        </w:tc>
        <w:tc>
          <w:tcPr>
            <w:tcW w:w="2242" w:type="dxa"/>
            <w:noWrap/>
            <w:hideMark/>
          </w:tcPr>
          <w:p w14:paraId="73CFDC75"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1.98 ± 0.17</w:t>
            </w:r>
            <w:r w:rsidRPr="00BF5715">
              <w:rPr>
                <w:rFonts w:ascii="Arial" w:hAnsi="Arial" w:cs="Arial"/>
                <w:bCs/>
                <w:sz w:val="20"/>
                <w:vertAlign w:val="superscript"/>
                <w:lang w:val="en-GB"/>
              </w:rPr>
              <w:t>b</w:t>
            </w:r>
          </w:p>
        </w:tc>
        <w:tc>
          <w:tcPr>
            <w:tcW w:w="2708" w:type="dxa"/>
            <w:gridSpan w:val="2"/>
            <w:noWrap/>
            <w:hideMark/>
          </w:tcPr>
          <w:p w14:paraId="0849570A"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6.57 ± 0.64</w:t>
            </w:r>
            <w:r w:rsidRPr="00BF5715">
              <w:rPr>
                <w:rFonts w:ascii="Arial" w:hAnsi="Arial" w:cs="Arial"/>
                <w:bCs/>
                <w:sz w:val="20"/>
                <w:vertAlign w:val="superscript"/>
                <w:lang w:val="en-GB"/>
              </w:rPr>
              <w:t>b</w:t>
            </w:r>
          </w:p>
        </w:tc>
      </w:tr>
      <w:tr w:rsidR="00BF5715" w:rsidRPr="00BF5715" w14:paraId="0B5F91F3" w14:textId="77777777" w:rsidTr="00C9196F">
        <w:trPr>
          <w:trHeight w:val="300"/>
          <w:jc w:val="center"/>
        </w:trPr>
        <w:tc>
          <w:tcPr>
            <w:tcW w:w="1218" w:type="dxa"/>
            <w:tcBorders>
              <w:bottom w:val="single" w:sz="2" w:space="0" w:color="auto"/>
            </w:tcBorders>
            <w:noWrap/>
            <w:hideMark/>
          </w:tcPr>
          <w:p w14:paraId="19CCE328"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T11</w:t>
            </w:r>
          </w:p>
        </w:tc>
        <w:tc>
          <w:tcPr>
            <w:tcW w:w="1935" w:type="dxa"/>
            <w:tcBorders>
              <w:bottom w:val="single" w:sz="2" w:space="0" w:color="auto"/>
            </w:tcBorders>
            <w:noWrap/>
            <w:hideMark/>
          </w:tcPr>
          <w:p w14:paraId="643344BB"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0.53 ± 0.01</w:t>
            </w:r>
            <w:r w:rsidRPr="00BF5715">
              <w:rPr>
                <w:rFonts w:ascii="Arial" w:hAnsi="Arial" w:cs="Arial"/>
                <w:bCs/>
                <w:sz w:val="20"/>
                <w:vertAlign w:val="superscript"/>
                <w:lang w:val="en-GB"/>
              </w:rPr>
              <w:t>d</w:t>
            </w:r>
          </w:p>
        </w:tc>
        <w:tc>
          <w:tcPr>
            <w:tcW w:w="2242" w:type="dxa"/>
            <w:tcBorders>
              <w:bottom w:val="single" w:sz="2" w:space="0" w:color="auto"/>
            </w:tcBorders>
            <w:noWrap/>
            <w:hideMark/>
          </w:tcPr>
          <w:p w14:paraId="1DE09F0D"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2.02 ± 0.04</w:t>
            </w:r>
            <w:r w:rsidRPr="00BF5715">
              <w:rPr>
                <w:rFonts w:ascii="Arial" w:hAnsi="Arial" w:cs="Arial"/>
                <w:bCs/>
                <w:sz w:val="20"/>
                <w:vertAlign w:val="superscript"/>
                <w:lang w:val="en-GB"/>
              </w:rPr>
              <w:t>a</w:t>
            </w:r>
          </w:p>
        </w:tc>
        <w:tc>
          <w:tcPr>
            <w:tcW w:w="2708" w:type="dxa"/>
            <w:gridSpan w:val="2"/>
            <w:tcBorders>
              <w:bottom w:val="single" w:sz="2" w:space="0" w:color="auto"/>
            </w:tcBorders>
            <w:noWrap/>
            <w:hideMark/>
          </w:tcPr>
          <w:p w14:paraId="4D42811A" w14:textId="77777777" w:rsidR="00BF5715" w:rsidRPr="00BF5715" w:rsidRDefault="00BF5715" w:rsidP="00BF5715">
            <w:pPr>
              <w:pStyle w:val="Body"/>
              <w:rPr>
                <w:rFonts w:ascii="Arial" w:hAnsi="Arial" w:cs="Arial"/>
                <w:bCs/>
                <w:sz w:val="20"/>
                <w:lang w:val="en-GB"/>
              </w:rPr>
            </w:pPr>
            <w:r w:rsidRPr="00BF5715">
              <w:rPr>
                <w:rFonts w:ascii="Arial" w:hAnsi="Arial" w:cs="Arial"/>
                <w:bCs/>
                <w:sz w:val="20"/>
                <w:lang w:val="en-GB"/>
              </w:rPr>
              <w:t>5.42 ± 1.22</w:t>
            </w:r>
            <w:r w:rsidRPr="00BF5715">
              <w:rPr>
                <w:rFonts w:ascii="Arial" w:hAnsi="Arial" w:cs="Arial"/>
                <w:bCs/>
                <w:sz w:val="20"/>
                <w:vertAlign w:val="superscript"/>
                <w:lang w:val="en-GB"/>
              </w:rPr>
              <w:t>c</w:t>
            </w:r>
          </w:p>
        </w:tc>
      </w:tr>
    </w:tbl>
    <w:p w14:paraId="1404A478" w14:textId="77777777" w:rsidR="00F91F10" w:rsidRPr="00854DD2" w:rsidRDefault="00F91F10" w:rsidP="00F91F10">
      <w:pPr>
        <w:spacing w:line="360" w:lineRule="auto"/>
        <w:jc w:val="both"/>
        <w:rPr>
          <w:rFonts w:ascii="Arial" w:hAnsi="Arial" w:cs="Arial"/>
          <w:i/>
          <w:iCs/>
          <w:sz w:val="18"/>
          <w:szCs w:val="18"/>
        </w:rPr>
      </w:pPr>
      <w:r w:rsidRPr="00AC020B">
        <w:rPr>
          <w:rFonts w:ascii="Arial" w:hAnsi="Arial" w:cs="Arial"/>
          <w:i/>
          <w:iCs/>
          <w:sz w:val="18"/>
          <w:szCs w:val="18"/>
        </w:rPr>
        <w:t>Values in the table are averages of two seasons. Values are presented as mean ± standard error (S.E.). Values followed by the same letter within a column are not significantly different at p &lt; 0.05. Asterisks (*) denote treatments with the best result for a given parameter.</w:t>
      </w:r>
    </w:p>
    <w:p w14:paraId="72EB8C14" w14:textId="77777777" w:rsidR="00BF5715" w:rsidRDefault="00BF5715" w:rsidP="0054393A">
      <w:pPr>
        <w:pStyle w:val="Body"/>
        <w:spacing w:after="0"/>
        <w:rPr>
          <w:rFonts w:ascii="Arial" w:hAnsi="Arial" w:cs="Arial"/>
          <w:bCs/>
        </w:rPr>
      </w:pPr>
    </w:p>
    <w:p w14:paraId="55DF0B04" w14:textId="1D532570" w:rsidR="00AC020B" w:rsidRDefault="00AC020B" w:rsidP="00AC020B">
      <w:pPr>
        <w:pStyle w:val="Body"/>
        <w:spacing w:after="0"/>
        <w:rPr>
          <w:rFonts w:ascii="Arial" w:hAnsi="Arial" w:cs="Arial"/>
          <w:bCs/>
        </w:rPr>
      </w:pPr>
      <w:r w:rsidRPr="00AC020B">
        <w:rPr>
          <w:rFonts w:ascii="Arial" w:hAnsi="Arial" w:cs="Arial"/>
          <w:bCs/>
        </w:rPr>
        <w:t xml:space="preserve">The maximum fresh weight of leaves per plant was 2.70 g (Fig.5b) with 6% seaweed extract (T3), followed by 2.30g with 2% moringa leaf extract (T1) and 2.02g with a combination treatment (T11). Seaweed and moringa leaf extracts were more beneficial than other treatments, supporting the findings of </w:t>
      </w:r>
      <w:proofErr w:type="spellStart"/>
      <w:r w:rsidRPr="00AC020B">
        <w:rPr>
          <w:rFonts w:ascii="Arial" w:hAnsi="Arial" w:cs="Arial"/>
          <w:bCs/>
        </w:rPr>
        <w:t>Chrysargyris</w:t>
      </w:r>
      <w:proofErr w:type="spellEnd"/>
      <w:r w:rsidRPr="00AC020B">
        <w:rPr>
          <w:rFonts w:ascii="Arial" w:hAnsi="Arial" w:cs="Arial"/>
          <w:bCs/>
        </w:rPr>
        <w:t xml:space="preserve"> et al. (2018) on lettuce. Seaweed extracts boost plant nutrition and growth hormone uptake (Gupta et al. 2021). </w:t>
      </w:r>
      <w:r w:rsidRPr="00B63DFD">
        <w:rPr>
          <w:rFonts w:ascii="Arial" w:hAnsi="Arial" w:cs="Arial"/>
          <w:bCs/>
          <w:highlight w:val="yellow"/>
        </w:rPr>
        <w:t>Best yield per plot (8.95 kg) was</w:t>
      </w:r>
      <w:r w:rsidR="009613BC" w:rsidRPr="00B63DFD">
        <w:rPr>
          <w:rFonts w:ascii="Arial" w:hAnsi="Arial" w:cs="Arial"/>
          <w:bCs/>
          <w:highlight w:val="yellow"/>
        </w:rPr>
        <w:t xml:space="preserve"> with</w:t>
      </w:r>
      <w:r w:rsidRPr="00B63DFD">
        <w:rPr>
          <w:rFonts w:ascii="Arial" w:hAnsi="Arial" w:cs="Arial"/>
          <w:bCs/>
          <w:highlight w:val="yellow"/>
        </w:rPr>
        <w:t xml:space="preserve"> </w:t>
      </w:r>
      <w:r w:rsidR="009613BC" w:rsidRPr="00B63DFD">
        <w:rPr>
          <w:rFonts w:ascii="Arial" w:hAnsi="Arial" w:cs="Arial"/>
          <w:bCs/>
          <w:iCs/>
          <w:highlight w:val="yellow"/>
        </w:rPr>
        <w:t>Seaweed extract @ 6%</w:t>
      </w:r>
      <w:r w:rsidR="009613BC" w:rsidRPr="00B63DFD">
        <w:rPr>
          <w:rFonts w:ascii="Arial" w:hAnsi="Arial" w:cs="Arial"/>
          <w:bCs/>
          <w:highlight w:val="yellow"/>
        </w:rPr>
        <w:t xml:space="preserve"> </w:t>
      </w:r>
      <w:r w:rsidRPr="00B63DFD">
        <w:rPr>
          <w:rFonts w:ascii="Arial" w:hAnsi="Arial" w:cs="Arial"/>
          <w:bCs/>
          <w:highlight w:val="yellow"/>
        </w:rPr>
        <w:t>(T</w:t>
      </w:r>
      <w:r w:rsidR="009613BC" w:rsidRPr="00B63DFD">
        <w:rPr>
          <w:rFonts w:ascii="Arial" w:hAnsi="Arial" w:cs="Arial"/>
          <w:bCs/>
          <w:highlight w:val="yellow"/>
        </w:rPr>
        <w:t>3</w:t>
      </w:r>
      <w:r w:rsidRPr="00B63DFD">
        <w:rPr>
          <w:rFonts w:ascii="Arial" w:hAnsi="Arial" w:cs="Arial"/>
          <w:bCs/>
          <w:highlight w:val="yellow"/>
        </w:rPr>
        <w:t>)</w:t>
      </w:r>
      <w:r w:rsidRPr="00AC020B">
        <w:rPr>
          <w:rFonts w:ascii="Arial" w:hAnsi="Arial" w:cs="Arial"/>
          <w:bCs/>
        </w:rPr>
        <w:t xml:space="preserve"> (Fig.5c). Zeatin, a cytokinin hormone, in moringa leaf extract boosts cabbage growth, yield, and nutrient content, according to Hoque et al. (2020). Moringa leaves are rich in nutrients that boost agricultural output (</w:t>
      </w:r>
      <w:proofErr w:type="spellStart"/>
      <w:r w:rsidRPr="00AC020B">
        <w:rPr>
          <w:rFonts w:ascii="Arial" w:hAnsi="Arial" w:cs="Arial"/>
          <w:bCs/>
        </w:rPr>
        <w:t>Busani</w:t>
      </w:r>
      <w:proofErr w:type="spellEnd"/>
      <w:r w:rsidRPr="00AC020B">
        <w:rPr>
          <w:rFonts w:ascii="Arial" w:hAnsi="Arial" w:cs="Arial"/>
          <w:bCs/>
        </w:rPr>
        <w:t xml:space="preserve"> et al. 2011).</w:t>
      </w:r>
    </w:p>
    <w:p w14:paraId="321399F8" w14:textId="77777777" w:rsidR="00BF5715" w:rsidRDefault="00BF5715" w:rsidP="00AC020B">
      <w:pPr>
        <w:pStyle w:val="Body"/>
        <w:spacing w:after="0"/>
        <w:rPr>
          <w:rFonts w:ascii="Arial" w:hAnsi="Arial" w:cs="Arial"/>
          <w:bCs/>
        </w:rPr>
      </w:pPr>
    </w:p>
    <w:p w14:paraId="234FE384" w14:textId="6275AF27" w:rsidR="00BF5715" w:rsidRDefault="00BF5715" w:rsidP="0043249B">
      <w:pPr>
        <w:pStyle w:val="Body"/>
        <w:spacing w:after="0"/>
        <w:jc w:val="center"/>
        <w:rPr>
          <w:rFonts w:ascii="Arial" w:hAnsi="Arial" w:cs="Arial"/>
          <w:b/>
          <w:bCs/>
        </w:rPr>
      </w:pPr>
      <w:r w:rsidRPr="00460DB0">
        <w:rPr>
          <w:rFonts w:ascii="Times New Roman" w:hAnsi="Times New Roman"/>
          <w:bCs/>
          <w:noProof/>
        </w:rPr>
        <w:lastRenderedPageBreak/>
        <w:drawing>
          <wp:inline distT="0" distB="0" distL="0" distR="0" wp14:anchorId="4434A899" wp14:editId="0E26876A">
            <wp:extent cx="6061710" cy="1685925"/>
            <wp:effectExtent l="76200" t="76200" r="129540" b="142875"/>
            <wp:docPr id="293846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46962" name="Picture 293846962"/>
                    <pic:cNvPicPr/>
                  </pic:nvPicPr>
                  <pic:blipFill rotWithShape="1">
                    <a:blip r:embed="rId18" cstate="print">
                      <a:extLst>
                        <a:ext uri="{28A0092B-C50C-407E-A947-70E740481C1C}">
                          <a14:useLocalDpi xmlns:a14="http://schemas.microsoft.com/office/drawing/2010/main" val="0"/>
                        </a:ext>
                      </a:extLst>
                    </a:blip>
                    <a:srcRect b="50558"/>
                    <a:stretch/>
                  </pic:blipFill>
                  <pic:spPr bwMode="auto">
                    <a:xfrm>
                      <a:off x="0" y="0"/>
                      <a:ext cx="6093950" cy="169489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86A99FC" w14:textId="4BE0BF27" w:rsidR="0081389E" w:rsidRDefault="0081389E" w:rsidP="0081389E">
      <w:pPr>
        <w:pStyle w:val="Body"/>
        <w:spacing w:after="0"/>
        <w:jc w:val="center"/>
        <w:rPr>
          <w:rFonts w:ascii="Arial" w:hAnsi="Arial" w:cs="Arial"/>
          <w:b/>
          <w:bCs/>
        </w:rPr>
      </w:pPr>
      <w:r>
        <w:rPr>
          <w:rFonts w:ascii="Arial" w:hAnsi="Arial" w:cs="Arial"/>
          <w:b/>
          <w:bCs/>
        </w:rPr>
        <w:t xml:space="preserve">                            </w:t>
      </w:r>
      <w:r>
        <w:rPr>
          <w:rFonts w:ascii="Arial" w:hAnsi="Arial" w:cs="Arial"/>
          <w:b/>
          <w:noProof/>
          <w:sz w:val="22"/>
          <w:szCs w:val="22"/>
        </w:rPr>
        <w:drawing>
          <wp:inline distT="0" distB="0" distL="0" distR="0" wp14:anchorId="5C1870C0" wp14:editId="0812165C">
            <wp:extent cx="3095625" cy="1668780"/>
            <wp:effectExtent l="76200" t="76200" r="142875" b="140970"/>
            <wp:docPr id="1717030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0988" cy="16716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8510DD" w14:textId="77777777" w:rsidR="0081389E" w:rsidRDefault="0081389E" w:rsidP="00BF5715">
      <w:pPr>
        <w:pStyle w:val="Body"/>
        <w:spacing w:after="0"/>
        <w:rPr>
          <w:rFonts w:ascii="Arial" w:hAnsi="Arial" w:cs="Arial"/>
          <w:b/>
          <w:bCs/>
        </w:rPr>
      </w:pPr>
    </w:p>
    <w:p w14:paraId="4931665D" w14:textId="1CA232D7" w:rsidR="00BF5715" w:rsidRPr="00BF5715" w:rsidRDefault="00BF5715" w:rsidP="00BF5715">
      <w:pPr>
        <w:pStyle w:val="Body"/>
        <w:spacing w:after="0"/>
        <w:rPr>
          <w:rFonts w:ascii="Arial" w:hAnsi="Arial" w:cs="Arial"/>
          <w:b/>
          <w:bCs/>
        </w:rPr>
      </w:pPr>
      <w:r w:rsidRPr="00BF5715">
        <w:rPr>
          <w:rFonts w:ascii="Arial" w:hAnsi="Arial" w:cs="Arial"/>
          <w:b/>
          <w:bCs/>
        </w:rPr>
        <w:t xml:space="preserve">Fig. 5 Impact of various treatments (T1 to T11, including control) on yield-related parameters of </w:t>
      </w:r>
      <w:r w:rsidRPr="00BF5715">
        <w:rPr>
          <w:rFonts w:ascii="Arial" w:hAnsi="Arial" w:cs="Arial"/>
          <w:b/>
          <w:bCs/>
          <w:i/>
          <w:iCs/>
        </w:rPr>
        <w:t>Amaranthus</w:t>
      </w:r>
      <w:r w:rsidRPr="00BF5715">
        <w:rPr>
          <w:rFonts w:ascii="Arial" w:hAnsi="Arial" w:cs="Arial"/>
          <w:b/>
          <w:bCs/>
        </w:rPr>
        <w:t xml:space="preserve"> plants. (a) Leaf-to-stem ratio, (b) Fresh weight of leaves per plant (g), and (c) Yield per plot (kg). Data are expressed as mean ± standard error (SE).</w:t>
      </w:r>
    </w:p>
    <w:p w14:paraId="11ACD1B2" w14:textId="77777777" w:rsidR="00AC020B" w:rsidRPr="0054393A" w:rsidRDefault="00AC020B" w:rsidP="0054393A">
      <w:pPr>
        <w:pStyle w:val="Body"/>
        <w:spacing w:after="0"/>
        <w:rPr>
          <w:rFonts w:ascii="Arial" w:hAnsi="Arial" w:cs="Arial"/>
          <w:bCs/>
        </w:rPr>
      </w:pPr>
    </w:p>
    <w:p w14:paraId="0104D375" w14:textId="2950563B" w:rsidR="00AC020B" w:rsidRDefault="00AC020B" w:rsidP="00AC020B">
      <w:pPr>
        <w:pStyle w:val="Body"/>
        <w:spacing w:after="0"/>
        <w:rPr>
          <w:rFonts w:ascii="Arial" w:hAnsi="Arial" w:cs="Arial"/>
          <w:b/>
          <w:sz w:val="22"/>
          <w:szCs w:val="22"/>
        </w:rPr>
      </w:pPr>
      <w:r w:rsidRPr="00AC020B">
        <w:rPr>
          <w:rFonts w:ascii="Arial" w:hAnsi="Arial" w:cs="Arial"/>
          <w:b/>
          <w:sz w:val="22"/>
          <w:szCs w:val="22"/>
        </w:rPr>
        <w:t xml:space="preserve">3.3 Influence of </w:t>
      </w:r>
      <w:proofErr w:type="spellStart"/>
      <w:r w:rsidRPr="00AC020B">
        <w:rPr>
          <w:rFonts w:ascii="Arial" w:hAnsi="Arial" w:cs="Arial"/>
          <w:b/>
          <w:sz w:val="22"/>
          <w:szCs w:val="22"/>
        </w:rPr>
        <w:t>biostimulants</w:t>
      </w:r>
      <w:proofErr w:type="spellEnd"/>
      <w:r w:rsidRPr="00AC020B">
        <w:rPr>
          <w:rFonts w:ascii="Arial" w:hAnsi="Arial" w:cs="Arial"/>
          <w:b/>
          <w:sz w:val="22"/>
          <w:szCs w:val="22"/>
        </w:rPr>
        <w:t xml:space="preserve"> and their impact on physiological and biochemical parameters</w:t>
      </w:r>
    </w:p>
    <w:p w14:paraId="021D8B8C" w14:textId="038C400D" w:rsidR="0081389E" w:rsidRPr="00AC020B" w:rsidRDefault="0081389E" w:rsidP="00AC020B">
      <w:pPr>
        <w:pStyle w:val="Body"/>
        <w:spacing w:after="0"/>
        <w:rPr>
          <w:rFonts w:ascii="Arial" w:hAnsi="Arial" w:cs="Arial"/>
          <w:b/>
          <w:sz w:val="22"/>
          <w:szCs w:val="22"/>
        </w:rPr>
      </w:pPr>
    </w:p>
    <w:p w14:paraId="7FE3BD91" w14:textId="77777777" w:rsidR="00AC020B" w:rsidRPr="00AC020B" w:rsidRDefault="00AC020B" w:rsidP="00AC020B">
      <w:pPr>
        <w:pStyle w:val="Body"/>
        <w:spacing w:after="0"/>
        <w:rPr>
          <w:rFonts w:ascii="Arial" w:hAnsi="Arial" w:cs="Arial"/>
          <w:bCs/>
        </w:rPr>
      </w:pPr>
    </w:p>
    <w:p w14:paraId="3130CDA0" w14:textId="77777777" w:rsidR="00AC020B" w:rsidRDefault="00AC020B" w:rsidP="00AC020B">
      <w:pPr>
        <w:pStyle w:val="Body"/>
        <w:spacing w:after="0"/>
        <w:rPr>
          <w:rFonts w:ascii="Arial" w:hAnsi="Arial" w:cs="Arial"/>
          <w:bCs/>
        </w:rPr>
      </w:pPr>
      <w:proofErr w:type="spellStart"/>
      <w:r w:rsidRPr="00AC020B">
        <w:rPr>
          <w:rFonts w:ascii="Arial" w:hAnsi="Arial" w:cs="Arial"/>
          <w:bCs/>
        </w:rPr>
        <w:t>Biostimulants</w:t>
      </w:r>
      <w:proofErr w:type="spellEnd"/>
      <w:r w:rsidRPr="00AC020B">
        <w:rPr>
          <w:rFonts w:ascii="Arial" w:hAnsi="Arial" w:cs="Arial"/>
          <w:bCs/>
        </w:rPr>
        <w:t xml:space="preserve"> considerably affect physiological and biochemical characteristics (Table 3 &amp; Table 4). MLE, Seaweed extract, Salicylic acid, and Humic acid (T10) had a greater relative water content (93.33%) (Fig.6a), whereas T9-92.83% and other treatments were equal. </w:t>
      </w:r>
      <w:proofErr w:type="spellStart"/>
      <w:r w:rsidRPr="00AC020B">
        <w:rPr>
          <w:rFonts w:ascii="Arial" w:hAnsi="Arial" w:cs="Arial"/>
          <w:bCs/>
        </w:rPr>
        <w:t>Merwad</w:t>
      </w:r>
      <w:proofErr w:type="spellEnd"/>
      <w:r w:rsidRPr="00AC020B">
        <w:rPr>
          <w:rFonts w:ascii="Arial" w:hAnsi="Arial" w:cs="Arial"/>
          <w:bCs/>
        </w:rPr>
        <w:t xml:space="preserve"> (2015) discovered that spinach (</w:t>
      </w:r>
      <w:r w:rsidRPr="00AC020B">
        <w:rPr>
          <w:rFonts w:ascii="Arial" w:hAnsi="Arial" w:cs="Arial"/>
          <w:bCs/>
          <w:i/>
          <w:iCs/>
        </w:rPr>
        <w:t>Spinacia oleracea</w:t>
      </w:r>
      <w:r w:rsidRPr="00AC020B">
        <w:rPr>
          <w:rFonts w:ascii="Arial" w:hAnsi="Arial" w:cs="Arial"/>
          <w:bCs/>
        </w:rPr>
        <w:t xml:space="preserve"> L.) plants treated with aqueous and ethanolic Moringa leaf extracts (1, 2, 3, and 4%) had more moisture. Higher dry matter in these plants. Seed soaking in SA and foliar spraying with MLE raised plant dry weight of </w:t>
      </w:r>
      <w:r w:rsidRPr="00AC020B">
        <w:rPr>
          <w:rFonts w:ascii="Arial" w:hAnsi="Arial" w:cs="Arial"/>
          <w:bCs/>
          <w:i/>
          <w:iCs/>
        </w:rPr>
        <w:t>Phaseolus vulgaris</w:t>
      </w:r>
      <w:r w:rsidRPr="00AC020B">
        <w:rPr>
          <w:rFonts w:ascii="Arial" w:hAnsi="Arial" w:cs="Arial"/>
          <w:bCs/>
        </w:rPr>
        <w:t xml:space="preserve"> L. to the highest (Rady et al. 2015). Haghighi and Najafi (2020) observed that 500 mg of humic acid increases, chlorophyll, fresh weight, and dry weight at 25% field capacity. </w:t>
      </w:r>
      <w:r w:rsidRPr="00AC020B">
        <w:rPr>
          <w:rFonts w:ascii="Arial" w:hAnsi="Arial" w:cs="Arial"/>
          <w:bCs/>
          <w:i/>
          <w:iCs/>
        </w:rPr>
        <w:t>A. nodosum</w:t>
      </w:r>
      <w:r w:rsidRPr="00AC020B">
        <w:rPr>
          <w:rFonts w:ascii="Arial" w:hAnsi="Arial" w:cs="Arial"/>
          <w:bCs/>
        </w:rPr>
        <w:t xml:space="preserve"> </w:t>
      </w:r>
      <w:proofErr w:type="spellStart"/>
      <w:r w:rsidRPr="00AC020B">
        <w:rPr>
          <w:rFonts w:ascii="Arial" w:hAnsi="Arial" w:cs="Arial"/>
          <w:bCs/>
        </w:rPr>
        <w:t>biostimulants</w:t>
      </w:r>
      <w:proofErr w:type="spellEnd"/>
      <w:r w:rsidRPr="00AC020B">
        <w:rPr>
          <w:rFonts w:ascii="Arial" w:hAnsi="Arial" w:cs="Arial"/>
          <w:bCs/>
        </w:rPr>
        <w:t xml:space="preserve"> may increase leaf antioxidant activity (Pacheco et al. 2019). Hamza et al. (2001) demonstrated that high antioxidant levels increase shoot and root growth, preserve leaf moisture, and reduce disease incidence under optimal growing circumstances and environmental stress. Humic acid retains 80–90% water, which may have resulted in higher relative water content (Rahni et al. 2012).</w:t>
      </w:r>
    </w:p>
    <w:p w14:paraId="5C6CED63" w14:textId="77777777" w:rsidR="00F91F10" w:rsidRDefault="00F91F10" w:rsidP="00AC020B">
      <w:pPr>
        <w:pStyle w:val="Body"/>
        <w:spacing w:after="0"/>
        <w:rPr>
          <w:rFonts w:ascii="Arial" w:hAnsi="Arial" w:cs="Arial"/>
          <w:bCs/>
        </w:rPr>
      </w:pPr>
    </w:p>
    <w:p w14:paraId="58AC97D3" w14:textId="77777777" w:rsidR="00F91F10" w:rsidRPr="00F91F10" w:rsidRDefault="00F91F10" w:rsidP="00F91F10">
      <w:pPr>
        <w:pStyle w:val="Body"/>
        <w:spacing w:after="0"/>
        <w:rPr>
          <w:rFonts w:ascii="Arial" w:hAnsi="Arial" w:cs="Arial"/>
          <w:b/>
          <w:bCs/>
          <w:lang w:val="en-GB"/>
        </w:rPr>
      </w:pPr>
      <w:r w:rsidRPr="00F91F10">
        <w:rPr>
          <w:rFonts w:ascii="Arial" w:hAnsi="Arial" w:cs="Arial"/>
          <w:b/>
          <w:bCs/>
        </w:rPr>
        <w:t xml:space="preserve">Table 3. Influence of </w:t>
      </w:r>
      <w:proofErr w:type="spellStart"/>
      <w:r w:rsidRPr="00F91F10">
        <w:rPr>
          <w:rFonts w:ascii="Arial" w:hAnsi="Arial" w:cs="Arial"/>
          <w:b/>
          <w:bCs/>
        </w:rPr>
        <w:t>biostimulants</w:t>
      </w:r>
      <w:proofErr w:type="spellEnd"/>
      <w:r w:rsidRPr="00F91F10">
        <w:rPr>
          <w:rFonts w:ascii="Arial" w:hAnsi="Arial" w:cs="Arial"/>
          <w:b/>
          <w:bCs/>
        </w:rPr>
        <w:t xml:space="preserve"> and their impact on Relative Water Content, Physiological Loss in Weight,</w:t>
      </w:r>
      <w:r w:rsidRPr="00F91F10">
        <w:rPr>
          <w:rFonts w:ascii="Arial" w:hAnsi="Arial" w:cs="Arial"/>
          <w:b/>
          <w:bCs/>
        </w:rPr>
        <w:tab/>
        <w:t>Membrane Stability Index &amp; Total Phenol Content</w:t>
      </w:r>
    </w:p>
    <w:p w14:paraId="00FEA4E4" w14:textId="77777777" w:rsidR="00672E6E" w:rsidRDefault="00672E6E" w:rsidP="00AC020B">
      <w:pPr>
        <w:pStyle w:val="Body"/>
        <w:spacing w:after="0"/>
        <w:rPr>
          <w:rFonts w:ascii="Arial" w:hAnsi="Arial" w:cs="Arial"/>
          <w:bCs/>
        </w:rPr>
      </w:pPr>
    </w:p>
    <w:tbl>
      <w:tblPr>
        <w:tblStyle w:val="TableGrid"/>
        <w:tblW w:w="86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1665"/>
        <w:gridCol w:w="1980"/>
        <w:gridCol w:w="1620"/>
        <w:gridCol w:w="2160"/>
      </w:tblGrid>
      <w:tr w:rsidR="00672E6E" w:rsidRPr="00672E6E" w14:paraId="12FA1DBA" w14:textId="77777777" w:rsidTr="00C9196F">
        <w:trPr>
          <w:trHeight w:val="300"/>
          <w:jc w:val="center"/>
        </w:trPr>
        <w:tc>
          <w:tcPr>
            <w:tcW w:w="1218" w:type="dxa"/>
            <w:tcBorders>
              <w:top w:val="single" w:sz="2" w:space="0" w:color="auto"/>
              <w:bottom w:val="single" w:sz="2" w:space="0" w:color="auto"/>
            </w:tcBorders>
            <w:noWrap/>
            <w:hideMark/>
          </w:tcPr>
          <w:p w14:paraId="47A16FDB" w14:textId="77777777" w:rsidR="00672E6E" w:rsidRPr="00672E6E" w:rsidRDefault="00672E6E" w:rsidP="00672E6E">
            <w:pPr>
              <w:pStyle w:val="Body"/>
              <w:rPr>
                <w:rFonts w:ascii="Arial" w:hAnsi="Arial" w:cs="Arial"/>
                <w:b/>
                <w:bCs/>
                <w:sz w:val="20"/>
                <w:lang w:val="en-GB"/>
              </w:rPr>
            </w:pPr>
            <w:r w:rsidRPr="00672E6E">
              <w:rPr>
                <w:rFonts w:ascii="Arial" w:hAnsi="Arial" w:cs="Arial"/>
                <w:b/>
                <w:bCs/>
                <w:sz w:val="20"/>
                <w:lang w:val="en-GB"/>
              </w:rPr>
              <w:lastRenderedPageBreak/>
              <w:t>Treatment</w:t>
            </w:r>
          </w:p>
        </w:tc>
        <w:tc>
          <w:tcPr>
            <w:tcW w:w="1665" w:type="dxa"/>
            <w:tcBorders>
              <w:top w:val="single" w:sz="2" w:space="0" w:color="auto"/>
              <w:bottom w:val="single" w:sz="2" w:space="0" w:color="auto"/>
            </w:tcBorders>
            <w:noWrap/>
            <w:hideMark/>
          </w:tcPr>
          <w:p w14:paraId="174D0DFC" w14:textId="77777777" w:rsidR="00672E6E" w:rsidRPr="00672E6E" w:rsidRDefault="00672E6E" w:rsidP="00672E6E">
            <w:pPr>
              <w:pStyle w:val="Body"/>
              <w:rPr>
                <w:rFonts w:ascii="Arial" w:hAnsi="Arial" w:cs="Arial"/>
                <w:b/>
                <w:bCs/>
                <w:sz w:val="20"/>
                <w:lang w:val="en-GB"/>
              </w:rPr>
            </w:pPr>
            <w:r w:rsidRPr="00672E6E">
              <w:rPr>
                <w:rFonts w:ascii="Arial" w:hAnsi="Arial" w:cs="Arial"/>
                <w:b/>
                <w:bCs/>
                <w:sz w:val="20"/>
                <w:lang w:val="en-GB"/>
              </w:rPr>
              <w:t>Relative Water Content (%)</w:t>
            </w:r>
          </w:p>
        </w:tc>
        <w:tc>
          <w:tcPr>
            <w:tcW w:w="1980" w:type="dxa"/>
            <w:tcBorders>
              <w:top w:val="single" w:sz="2" w:space="0" w:color="auto"/>
              <w:bottom w:val="single" w:sz="2" w:space="0" w:color="auto"/>
            </w:tcBorders>
            <w:noWrap/>
            <w:hideMark/>
          </w:tcPr>
          <w:p w14:paraId="021E45D5" w14:textId="77777777" w:rsidR="00672E6E" w:rsidRPr="00672E6E" w:rsidRDefault="00672E6E" w:rsidP="00672E6E">
            <w:pPr>
              <w:pStyle w:val="Body"/>
              <w:rPr>
                <w:rFonts w:ascii="Arial" w:hAnsi="Arial" w:cs="Arial"/>
                <w:b/>
                <w:bCs/>
                <w:sz w:val="20"/>
                <w:lang w:val="en-GB"/>
              </w:rPr>
            </w:pPr>
            <w:r w:rsidRPr="00672E6E">
              <w:rPr>
                <w:rFonts w:ascii="Arial" w:hAnsi="Arial" w:cs="Arial"/>
                <w:b/>
                <w:bCs/>
                <w:sz w:val="20"/>
                <w:lang w:val="en-GB"/>
              </w:rPr>
              <w:t>Physiological Loss in Weight (%)</w:t>
            </w:r>
          </w:p>
        </w:tc>
        <w:tc>
          <w:tcPr>
            <w:tcW w:w="1620" w:type="dxa"/>
            <w:tcBorders>
              <w:top w:val="single" w:sz="2" w:space="0" w:color="auto"/>
              <w:bottom w:val="single" w:sz="2" w:space="0" w:color="auto"/>
            </w:tcBorders>
            <w:noWrap/>
            <w:hideMark/>
          </w:tcPr>
          <w:p w14:paraId="5E69A237" w14:textId="77777777" w:rsidR="00672E6E" w:rsidRPr="00672E6E" w:rsidRDefault="00672E6E" w:rsidP="00672E6E">
            <w:pPr>
              <w:pStyle w:val="Body"/>
              <w:rPr>
                <w:rFonts w:ascii="Arial" w:hAnsi="Arial" w:cs="Arial"/>
                <w:b/>
                <w:bCs/>
                <w:sz w:val="20"/>
                <w:lang w:val="en-GB"/>
              </w:rPr>
            </w:pPr>
            <w:r w:rsidRPr="00672E6E">
              <w:rPr>
                <w:rFonts w:ascii="Arial" w:hAnsi="Arial" w:cs="Arial"/>
                <w:b/>
                <w:bCs/>
                <w:sz w:val="20"/>
                <w:lang w:val="en-GB"/>
              </w:rPr>
              <w:t>Membrane Stability Index (%)</w:t>
            </w:r>
          </w:p>
        </w:tc>
        <w:tc>
          <w:tcPr>
            <w:tcW w:w="2160" w:type="dxa"/>
            <w:tcBorders>
              <w:top w:val="single" w:sz="2" w:space="0" w:color="auto"/>
              <w:bottom w:val="single" w:sz="2" w:space="0" w:color="auto"/>
            </w:tcBorders>
            <w:noWrap/>
            <w:hideMark/>
          </w:tcPr>
          <w:p w14:paraId="15810DC6" w14:textId="77777777" w:rsidR="00672E6E" w:rsidRPr="00672E6E" w:rsidRDefault="00672E6E" w:rsidP="00672E6E">
            <w:pPr>
              <w:pStyle w:val="Body"/>
              <w:jc w:val="left"/>
              <w:rPr>
                <w:rFonts w:ascii="Arial" w:hAnsi="Arial" w:cs="Arial"/>
                <w:b/>
                <w:bCs/>
                <w:sz w:val="20"/>
                <w:lang w:val="en-GB"/>
              </w:rPr>
            </w:pPr>
            <w:r w:rsidRPr="00672E6E">
              <w:rPr>
                <w:rFonts w:ascii="Arial" w:hAnsi="Arial" w:cs="Arial"/>
                <w:b/>
                <w:bCs/>
                <w:sz w:val="20"/>
                <w:lang w:val="en-GB"/>
              </w:rPr>
              <w:t>Total Phenol Content (mg/100g)</w:t>
            </w:r>
          </w:p>
        </w:tc>
      </w:tr>
      <w:tr w:rsidR="00672E6E" w:rsidRPr="00672E6E" w14:paraId="6ADD4331" w14:textId="77777777" w:rsidTr="00C9196F">
        <w:trPr>
          <w:trHeight w:val="300"/>
          <w:jc w:val="center"/>
        </w:trPr>
        <w:tc>
          <w:tcPr>
            <w:tcW w:w="1218" w:type="dxa"/>
            <w:tcBorders>
              <w:top w:val="single" w:sz="2" w:space="0" w:color="auto"/>
            </w:tcBorders>
            <w:noWrap/>
            <w:hideMark/>
          </w:tcPr>
          <w:p w14:paraId="20533646"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T1</w:t>
            </w:r>
          </w:p>
        </w:tc>
        <w:tc>
          <w:tcPr>
            <w:tcW w:w="1665" w:type="dxa"/>
            <w:tcBorders>
              <w:top w:val="single" w:sz="2" w:space="0" w:color="auto"/>
            </w:tcBorders>
            <w:noWrap/>
            <w:hideMark/>
          </w:tcPr>
          <w:p w14:paraId="3355DCC5"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90.59 ± 0.07</w:t>
            </w:r>
            <w:r w:rsidRPr="00672E6E">
              <w:rPr>
                <w:rFonts w:ascii="Arial" w:hAnsi="Arial" w:cs="Arial"/>
                <w:bCs/>
                <w:sz w:val="20"/>
                <w:vertAlign w:val="superscript"/>
                <w:lang w:val="en-GB"/>
              </w:rPr>
              <w:t>b</w:t>
            </w:r>
          </w:p>
        </w:tc>
        <w:tc>
          <w:tcPr>
            <w:tcW w:w="1980" w:type="dxa"/>
            <w:tcBorders>
              <w:top w:val="single" w:sz="2" w:space="0" w:color="auto"/>
            </w:tcBorders>
            <w:noWrap/>
            <w:hideMark/>
          </w:tcPr>
          <w:p w14:paraId="00033408"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16.23 ± 1.12</w:t>
            </w:r>
            <w:r w:rsidRPr="00672E6E">
              <w:rPr>
                <w:rFonts w:ascii="Arial" w:hAnsi="Arial" w:cs="Arial"/>
                <w:bCs/>
                <w:sz w:val="20"/>
                <w:vertAlign w:val="superscript"/>
                <w:lang w:val="en-GB"/>
              </w:rPr>
              <w:t>c</w:t>
            </w:r>
          </w:p>
        </w:tc>
        <w:tc>
          <w:tcPr>
            <w:tcW w:w="1620" w:type="dxa"/>
            <w:tcBorders>
              <w:top w:val="single" w:sz="2" w:space="0" w:color="auto"/>
            </w:tcBorders>
            <w:noWrap/>
          </w:tcPr>
          <w:p w14:paraId="15EFCECE"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16.28 ± 0.09ᵈ</w:t>
            </w:r>
          </w:p>
        </w:tc>
        <w:tc>
          <w:tcPr>
            <w:tcW w:w="2160" w:type="dxa"/>
            <w:tcBorders>
              <w:top w:val="single" w:sz="2" w:space="0" w:color="auto"/>
            </w:tcBorders>
            <w:noWrap/>
            <w:hideMark/>
          </w:tcPr>
          <w:p w14:paraId="2BDD7BA5"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165.78 ± 1.06</w:t>
            </w:r>
            <w:r w:rsidRPr="00672E6E">
              <w:rPr>
                <w:rFonts w:ascii="Arial" w:hAnsi="Arial" w:cs="Arial"/>
                <w:bCs/>
                <w:sz w:val="20"/>
                <w:vertAlign w:val="superscript"/>
                <w:lang w:val="en-GB"/>
              </w:rPr>
              <w:t>a*</w:t>
            </w:r>
          </w:p>
        </w:tc>
      </w:tr>
      <w:tr w:rsidR="00672E6E" w:rsidRPr="00672E6E" w14:paraId="1BDB9A50" w14:textId="77777777" w:rsidTr="00C9196F">
        <w:trPr>
          <w:trHeight w:val="300"/>
          <w:jc w:val="center"/>
        </w:trPr>
        <w:tc>
          <w:tcPr>
            <w:tcW w:w="1218" w:type="dxa"/>
            <w:noWrap/>
            <w:hideMark/>
          </w:tcPr>
          <w:p w14:paraId="4567939E"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T2</w:t>
            </w:r>
          </w:p>
        </w:tc>
        <w:tc>
          <w:tcPr>
            <w:tcW w:w="1665" w:type="dxa"/>
            <w:noWrap/>
            <w:hideMark/>
          </w:tcPr>
          <w:p w14:paraId="3196EA58"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89.98 ± 0.21</w:t>
            </w:r>
            <w:r w:rsidRPr="00672E6E">
              <w:rPr>
                <w:rFonts w:ascii="Arial" w:hAnsi="Arial" w:cs="Arial"/>
                <w:bCs/>
                <w:sz w:val="20"/>
                <w:vertAlign w:val="superscript"/>
                <w:lang w:val="en-GB"/>
              </w:rPr>
              <w:t>c</w:t>
            </w:r>
          </w:p>
        </w:tc>
        <w:tc>
          <w:tcPr>
            <w:tcW w:w="1980" w:type="dxa"/>
            <w:noWrap/>
            <w:hideMark/>
          </w:tcPr>
          <w:p w14:paraId="05A8F290"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12.12 ± 0.72</w:t>
            </w:r>
            <w:r w:rsidRPr="00672E6E">
              <w:rPr>
                <w:rFonts w:ascii="Arial" w:hAnsi="Arial" w:cs="Arial"/>
                <w:bCs/>
                <w:sz w:val="20"/>
                <w:vertAlign w:val="superscript"/>
                <w:lang w:val="en-GB"/>
              </w:rPr>
              <w:t>e</w:t>
            </w:r>
          </w:p>
        </w:tc>
        <w:tc>
          <w:tcPr>
            <w:tcW w:w="1620" w:type="dxa"/>
            <w:noWrap/>
          </w:tcPr>
          <w:p w14:paraId="3D6E2174"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23.05 ± 0.09ᶜ</w:t>
            </w:r>
          </w:p>
        </w:tc>
        <w:tc>
          <w:tcPr>
            <w:tcW w:w="2160" w:type="dxa"/>
            <w:noWrap/>
            <w:hideMark/>
          </w:tcPr>
          <w:p w14:paraId="4506403F"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101.55 ± 0.61</w:t>
            </w:r>
            <w:r w:rsidRPr="00672E6E">
              <w:rPr>
                <w:rFonts w:ascii="Arial" w:hAnsi="Arial" w:cs="Arial"/>
                <w:bCs/>
                <w:sz w:val="20"/>
                <w:vertAlign w:val="superscript"/>
                <w:lang w:val="en-GB"/>
              </w:rPr>
              <w:t>d</w:t>
            </w:r>
          </w:p>
        </w:tc>
      </w:tr>
      <w:tr w:rsidR="00672E6E" w:rsidRPr="00672E6E" w14:paraId="1078D48A" w14:textId="77777777" w:rsidTr="00C9196F">
        <w:trPr>
          <w:trHeight w:val="300"/>
          <w:jc w:val="center"/>
        </w:trPr>
        <w:tc>
          <w:tcPr>
            <w:tcW w:w="1218" w:type="dxa"/>
            <w:noWrap/>
            <w:hideMark/>
          </w:tcPr>
          <w:p w14:paraId="52BBB857"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T3</w:t>
            </w:r>
          </w:p>
        </w:tc>
        <w:tc>
          <w:tcPr>
            <w:tcW w:w="1665" w:type="dxa"/>
            <w:noWrap/>
            <w:hideMark/>
          </w:tcPr>
          <w:p w14:paraId="069BD42D"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92.38 ± 0.04</w:t>
            </w:r>
            <w:r w:rsidRPr="00672E6E">
              <w:rPr>
                <w:rFonts w:ascii="Arial" w:hAnsi="Arial" w:cs="Arial"/>
                <w:bCs/>
                <w:sz w:val="20"/>
                <w:vertAlign w:val="superscript"/>
                <w:lang w:val="en-GB"/>
              </w:rPr>
              <w:t>a</w:t>
            </w:r>
          </w:p>
        </w:tc>
        <w:tc>
          <w:tcPr>
            <w:tcW w:w="1980" w:type="dxa"/>
            <w:noWrap/>
            <w:hideMark/>
          </w:tcPr>
          <w:p w14:paraId="23276B69"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31.94 ± 1.08</w:t>
            </w:r>
            <w:r w:rsidRPr="00672E6E">
              <w:rPr>
                <w:rFonts w:ascii="Arial" w:hAnsi="Arial" w:cs="Arial"/>
                <w:bCs/>
                <w:sz w:val="20"/>
                <w:vertAlign w:val="superscript"/>
                <w:lang w:val="en-GB"/>
              </w:rPr>
              <w:t>a</w:t>
            </w:r>
          </w:p>
        </w:tc>
        <w:tc>
          <w:tcPr>
            <w:tcW w:w="1620" w:type="dxa"/>
            <w:noWrap/>
          </w:tcPr>
          <w:p w14:paraId="3A50634D"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38.11 ± 0.15ᵇ</w:t>
            </w:r>
          </w:p>
        </w:tc>
        <w:tc>
          <w:tcPr>
            <w:tcW w:w="2160" w:type="dxa"/>
            <w:noWrap/>
            <w:hideMark/>
          </w:tcPr>
          <w:p w14:paraId="38FE57BE"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109.41 ± 0.60</w:t>
            </w:r>
            <w:r w:rsidRPr="00672E6E">
              <w:rPr>
                <w:rFonts w:ascii="Arial" w:hAnsi="Arial" w:cs="Arial"/>
                <w:bCs/>
                <w:sz w:val="20"/>
                <w:vertAlign w:val="superscript"/>
                <w:lang w:val="en-GB"/>
              </w:rPr>
              <w:t>c</w:t>
            </w:r>
          </w:p>
        </w:tc>
      </w:tr>
      <w:tr w:rsidR="00672E6E" w:rsidRPr="00672E6E" w14:paraId="37511E9F" w14:textId="77777777" w:rsidTr="00C9196F">
        <w:trPr>
          <w:trHeight w:val="300"/>
          <w:jc w:val="center"/>
        </w:trPr>
        <w:tc>
          <w:tcPr>
            <w:tcW w:w="1218" w:type="dxa"/>
            <w:noWrap/>
            <w:hideMark/>
          </w:tcPr>
          <w:p w14:paraId="067E74AC"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T4</w:t>
            </w:r>
          </w:p>
        </w:tc>
        <w:tc>
          <w:tcPr>
            <w:tcW w:w="1665" w:type="dxa"/>
            <w:noWrap/>
            <w:hideMark/>
          </w:tcPr>
          <w:p w14:paraId="3C4EA95A"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90.38 ± 0.12</w:t>
            </w:r>
            <w:r w:rsidRPr="00672E6E">
              <w:rPr>
                <w:rFonts w:ascii="Arial" w:hAnsi="Arial" w:cs="Arial"/>
                <w:bCs/>
                <w:sz w:val="20"/>
                <w:vertAlign w:val="superscript"/>
                <w:lang w:val="en-GB"/>
              </w:rPr>
              <w:t>b</w:t>
            </w:r>
          </w:p>
        </w:tc>
        <w:tc>
          <w:tcPr>
            <w:tcW w:w="1980" w:type="dxa"/>
            <w:noWrap/>
            <w:hideMark/>
          </w:tcPr>
          <w:p w14:paraId="30C3A462"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15.06 ± 0.99</w:t>
            </w:r>
            <w:r w:rsidRPr="00672E6E">
              <w:rPr>
                <w:rFonts w:ascii="Arial" w:hAnsi="Arial" w:cs="Arial"/>
                <w:bCs/>
                <w:sz w:val="20"/>
                <w:vertAlign w:val="superscript"/>
                <w:lang w:val="en-GB"/>
              </w:rPr>
              <w:t>d</w:t>
            </w:r>
          </w:p>
        </w:tc>
        <w:tc>
          <w:tcPr>
            <w:tcW w:w="1620" w:type="dxa"/>
            <w:noWrap/>
          </w:tcPr>
          <w:p w14:paraId="5C861067"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44.92 ± 0.15ᵃ</w:t>
            </w:r>
          </w:p>
        </w:tc>
        <w:tc>
          <w:tcPr>
            <w:tcW w:w="2160" w:type="dxa"/>
            <w:noWrap/>
            <w:hideMark/>
          </w:tcPr>
          <w:p w14:paraId="1E30203A"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119.68 ± 0.47</w:t>
            </w:r>
            <w:r w:rsidRPr="00672E6E">
              <w:rPr>
                <w:rFonts w:ascii="Arial" w:hAnsi="Arial" w:cs="Arial"/>
                <w:bCs/>
                <w:sz w:val="20"/>
                <w:vertAlign w:val="superscript"/>
                <w:lang w:val="en-GB"/>
              </w:rPr>
              <w:t>b</w:t>
            </w:r>
          </w:p>
        </w:tc>
      </w:tr>
      <w:tr w:rsidR="00672E6E" w:rsidRPr="00672E6E" w14:paraId="235F7B22" w14:textId="77777777" w:rsidTr="00C9196F">
        <w:trPr>
          <w:trHeight w:val="300"/>
          <w:jc w:val="center"/>
        </w:trPr>
        <w:tc>
          <w:tcPr>
            <w:tcW w:w="1218" w:type="dxa"/>
            <w:noWrap/>
            <w:hideMark/>
          </w:tcPr>
          <w:p w14:paraId="3E109387"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T5</w:t>
            </w:r>
          </w:p>
        </w:tc>
        <w:tc>
          <w:tcPr>
            <w:tcW w:w="1665" w:type="dxa"/>
            <w:noWrap/>
            <w:hideMark/>
          </w:tcPr>
          <w:p w14:paraId="1CF86CC0"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91.17 ± 0.10</w:t>
            </w:r>
            <w:r w:rsidRPr="00672E6E">
              <w:rPr>
                <w:rFonts w:ascii="Arial" w:hAnsi="Arial" w:cs="Arial"/>
                <w:bCs/>
                <w:sz w:val="20"/>
                <w:vertAlign w:val="superscript"/>
                <w:lang w:val="en-GB"/>
              </w:rPr>
              <w:t>b</w:t>
            </w:r>
          </w:p>
        </w:tc>
        <w:tc>
          <w:tcPr>
            <w:tcW w:w="1980" w:type="dxa"/>
            <w:noWrap/>
            <w:hideMark/>
          </w:tcPr>
          <w:p w14:paraId="0170B8E7"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20.95 ± 0.69</w:t>
            </w:r>
            <w:r w:rsidRPr="00672E6E">
              <w:rPr>
                <w:rFonts w:ascii="Arial" w:hAnsi="Arial" w:cs="Arial"/>
                <w:bCs/>
                <w:sz w:val="20"/>
                <w:vertAlign w:val="superscript"/>
                <w:lang w:val="en-GB"/>
              </w:rPr>
              <w:t>b</w:t>
            </w:r>
          </w:p>
        </w:tc>
        <w:tc>
          <w:tcPr>
            <w:tcW w:w="1620" w:type="dxa"/>
            <w:noWrap/>
          </w:tcPr>
          <w:p w14:paraId="5C721D67"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38.90 ± 0.15ᵇ</w:t>
            </w:r>
          </w:p>
        </w:tc>
        <w:tc>
          <w:tcPr>
            <w:tcW w:w="2160" w:type="dxa"/>
            <w:noWrap/>
            <w:hideMark/>
          </w:tcPr>
          <w:p w14:paraId="20DEEE0F"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134.97 ± 0.57</w:t>
            </w:r>
            <w:r w:rsidRPr="00672E6E">
              <w:rPr>
                <w:rFonts w:ascii="Arial" w:hAnsi="Arial" w:cs="Arial"/>
                <w:bCs/>
                <w:sz w:val="20"/>
                <w:vertAlign w:val="superscript"/>
                <w:lang w:val="en-GB"/>
              </w:rPr>
              <w:t>b</w:t>
            </w:r>
          </w:p>
        </w:tc>
      </w:tr>
      <w:tr w:rsidR="00672E6E" w:rsidRPr="00672E6E" w14:paraId="59383CFF" w14:textId="77777777" w:rsidTr="00C9196F">
        <w:trPr>
          <w:trHeight w:val="300"/>
          <w:jc w:val="center"/>
        </w:trPr>
        <w:tc>
          <w:tcPr>
            <w:tcW w:w="1218" w:type="dxa"/>
            <w:noWrap/>
            <w:hideMark/>
          </w:tcPr>
          <w:p w14:paraId="21039E58"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T6</w:t>
            </w:r>
          </w:p>
        </w:tc>
        <w:tc>
          <w:tcPr>
            <w:tcW w:w="1665" w:type="dxa"/>
            <w:noWrap/>
            <w:hideMark/>
          </w:tcPr>
          <w:p w14:paraId="22DE6B64"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90.18 ± 0.17</w:t>
            </w:r>
            <w:r w:rsidRPr="00672E6E">
              <w:rPr>
                <w:rFonts w:ascii="Arial" w:hAnsi="Arial" w:cs="Arial"/>
                <w:bCs/>
                <w:sz w:val="20"/>
                <w:vertAlign w:val="superscript"/>
                <w:lang w:val="en-GB"/>
              </w:rPr>
              <w:t>c</w:t>
            </w:r>
          </w:p>
        </w:tc>
        <w:tc>
          <w:tcPr>
            <w:tcW w:w="1980" w:type="dxa"/>
            <w:noWrap/>
            <w:hideMark/>
          </w:tcPr>
          <w:p w14:paraId="49CA9180"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14.09 ± 0.99</w:t>
            </w:r>
            <w:r w:rsidRPr="00672E6E">
              <w:rPr>
                <w:rFonts w:ascii="Arial" w:hAnsi="Arial" w:cs="Arial"/>
                <w:bCs/>
                <w:sz w:val="20"/>
                <w:vertAlign w:val="superscript"/>
                <w:lang w:val="en-GB"/>
              </w:rPr>
              <w:t>d</w:t>
            </w:r>
          </w:p>
        </w:tc>
        <w:tc>
          <w:tcPr>
            <w:tcW w:w="1620" w:type="dxa"/>
            <w:noWrap/>
          </w:tcPr>
          <w:p w14:paraId="7B3CC1D9"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26.49 ± 0.15ᶜ</w:t>
            </w:r>
          </w:p>
        </w:tc>
        <w:tc>
          <w:tcPr>
            <w:tcW w:w="2160" w:type="dxa"/>
            <w:noWrap/>
            <w:hideMark/>
          </w:tcPr>
          <w:p w14:paraId="64E5A6AE"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72.72 ± 0.92</w:t>
            </w:r>
            <w:r w:rsidRPr="00672E6E">
              <w:rPr>
                <w:rFonts w:ascii="Arial" w:hAnsi="Arial" w:cs="Arial"/>
                <w:bCs/>
                <w:sz w:val="20"/>
                <w:vertAlign w:val="superscript"/>
                <w:lang w:val="en-GB"/>
              </w:rPr>
              <w:t>e</w:t>
            </w:r>
          </w:p>
        </w:tc>
      </w:tr>
      <w:tr w:rsidR="00672E6E" w:rsidRPr="00672E6E" w14:paraId="1C27E089" w14:textId="77777777" w:rsidTr="00C9196F">
        <w:trPr>
          <w:trHeight w:val="300"/>
          <w:jc w:val="center"/>
        </w:trPr>
        <w:tc>
          <w:tcPr>
            <w:tcW w:w="1218" w:type="dxa"/>
            <w:noWrap/>
            <w:hideMark/>
          </w:tcPr>
          <w:p w14:paraId="5D88F008"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T7</w:t>
            </w:r>
          </w:p>
        </w:tc>
        <w:tc>
          <w:tcPr>
            <w:tcW w:w="1665" w:type="dxa"/>
            <w:noWrap/>
            <w:hideMark/>
          </w:tcPr>
          <w:p w14:paraId="696D443C"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92.04 ± 0.02</w:t>
            </w:r>
            <w:r w:rsidRPr="00672E6E">
              <w:rPr>
                <w:rFonts w:ascii="Arial" w:hAnsi="Arial" w:cs="Arial"/>
                <w:bCs/>
                <w:sz w:val="20"/>
                <w:vertAlign w:val="superscript"/>
                <w:lang w:val="en-GB"/>
              </w:rPr>
              <w:t>a</w:t>
            </w:r>
          </w:p>
        </w:tc>
        <w:tc>
          <w:tcPr>
            <w:tcW w:w="1980" w:type="dxa"/>
            <w:noWrap/>
            <w:hideMark/>
          </w:tcPr>
          <w:p w14:paraId="1FDFB021"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28.91 ± 1.09</w:t>
            </w:r>
            <w:r w:rsidRPr="00672E6E">
              <w:rPr>
                <w:rFonts w:ascii="Arial" w:hAnsi="Arial" w:cs="Arial"/>
                <w:bCs/>
                <w:sz w:val="20"/>
                <w:vertAlign w:val="superscript"/>
                <w:lang w:val="en-GB"/>
              </w:rPr>
              <w:t>a</w:t>
            </w:r>
          </w:p>
        </w:tc>
        <w:tc>
          <w:tcPr>
            <w:tcW w:w="1620" w:type="dxa"/>
            <w:noWrap/>
          </w:tcPr>
          <w:p w14:paraId="63749EE7"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12.09 ± 0.09ᵈ</w:t>
            </w:r>
          </w:p>
        </w:tc>
        <w:tc>
          <w:tcPr>
            <w:tcW w:w="2160" w:type="dxa"/>
            <w:noWrap/>
            <w:hideMark/>
          </w:tcPr>
          <w:p w14:paraId="0C00F79C"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140.95 ± 0.78</w:t>
            </w:r>
            <w:r w:rsidRPr="00672E6E">
              <w:rPr>
                <w:rFonts w:ascii="Arial" w:hAnsi="Arial" w:cs="Arial"/>
                <w:bCs/>
                <w:sz w:val="20"/>
                <w:vertAlign w:val="superscript"/>
                <w:lang w:val="en-GB"/>
              </w:rPr>
              <w:t>b</w:t>
            </w:r>
          </w:p>
        </w:tc>
      </w:tr>
      <w:tr w:rsidR="00672E6E" w:rsidRPr="00672E6E" w14:paraId="359426AA" w14:textId="77777777" w:rsidTr="00C9196F">
        <w:trPr>
          <w:trHeight w:val="300"/>
          <w:jc w:val="center"/>
        </w:trPr>
        <w:tc>
          <w:tcPr>
            <w:tcW w:w="1218" w:type="dxa"/>
            <w:noWrap/>
            <w:hideMark/>
          </w:tcPr>
          <w:p w14:paraId="40DD9879"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T8</w:t>
            </w:r>
          </w:p>
        </w:tc>
        <w:tc>
          <w:tcPr>
            <w:tcW w:w="1665" w:type="dxa"/>
            <w:noWrap/>
            <w:hideMark/>
          </w:tcPr>
          <w:p w14:paraId="102F3659"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92.06 ± 0.07</w:t>
            </w:r>
            <w:r w:rsidRPr="00672E6E">
              <w:rPr>
                <w:rFonts w:ascii="Arial" w:hAnsi="Arial" w:cs="Arial"/>
                <w:bCs/>
                <w:sz w:val="20"/>
                <w:vertAlign w:val="superscript"/>
                <w:lang w:val="en-GB"/>
              </w:rPr>
              <w:t>a</w:t>
            </w:r>
          </w:p>
        </w:tc>
        <w:tc>
          <w:tcPr>
            <w:tcW w:w="1980" w:type="dxa"/>
            <w:noWrap/>
            <w:hideMark/>
          </w:tcPr>
          <w:p w14:paraId="7E44A661"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28.02 ± 1.00</w:t>
            </w:r>
            <w:r w:rsidRPr="00672E6E">
              <w:rPr>
                <w:rFonts w:ascii="Arial" w:hAnsi="Arial" w:cs="Arial"/>
                <w:bCs/>
                <w:sz w:val="20"/>
                <w:vertAlign w:val="superscript"/>
                <w:lang w:val="en-GB"/>
              </w:rPr>
              <w:t>a</w:t>
            </w:r>
          </w:p>
        </w:tc>
        <w:tc>
          <w:tcPr>
            <w:tcW w:w="1620" w:type="dxa"/>
            <w:noWrap/>
          </w:tcPr>
          <w:p w14:paraId="2AAFE454"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16.58 ± 0.09ᵈ</w:t>
            </w:r>
          </w:p>
        </w:tc>
        <w:tc>
          <w:tcPr>
            <w:tcW w:w="2160" w:type="dxa"/>
            <w:noWrap/>
            <w:hideMark/>
          </w:tcPr>
          <w:p w14:paraId="38D7458E"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70.64 ± 0.60</w:t>
            </w:r>
            <w:r w:rsidRPr="00672E6E">
              <w:rPr>
                <w:rFonts w:ascii="Arial" w:hAnsi="Arial" w:cs="Arial"/>
                <w:bCs/>
                <w:sz w:val="20"/>
                <w:vertAlign w:val="superscript"/>
                <w:lang w:val="en-GB"/>
              </w:rPr>
              <w:t>e</w:t>
            </w:r>
          </w:p>
        </w:tc>
      </w:tr>
      <w:tr w:rsidR="00672E6E" w:rsidRPr="00672E6E" w14:paraId="51721688" w14:textId="77777777" w:rsidTr="00C9196F">
        <w:trPr>
          <w:trHeight w:val="300"/>
          <w:jc w:val="center"/>
        </w:trPr>
        <w:tc>
          <w:tcPr>
            <w:tcW w:w="1218" w:type="dxa"/>
            <w:noWrap/>
            <w:hideMark/>
          </w:tcPr>
          <w:p w14:paraId="0F9C0594"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T9</w:t>
            </w:r>
          </w:p>
        </w:tc>
        <w:tc>
          <w:tcPr>
            <w:tcW w:w="1665" w:type="dxa"/>
            <w:noWrap/>
            <w:hideMark/>
          </w:tcPr>
          <w:p w14:paraId="6F8EAC9F"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92.83 ± 0.16</w:t>
            </w:r>
            <w:r w:rsidRPr="00672E6E">
              <w:rPr>
                <w:rFonts w:ascii="Arial" w:hAnsi="Arial" w:cs="Arial"/>
                <w:bCs/>
                <w:sz w:val="20"/>
                <w:vertAlign w:val="superscript"/>
                <w:lang w:val="en-GB"/>
              </w:rPr>
              <w:t>a</w:t>
            </w:r>
          </w:p>
        </w:tc>
        <w:tc>
          <w:tcPr>
            <w:tcW w:w="1980" w:type="dxa"/>
            <w:noWrap/>
            <w:hideMark/>
          </w:tcPr>
          <w:p w14:paraId="4F812FE5"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34.65 ± 0.93</w:t>
            </w:r>
            <w:r w:rsidRPr="00672E6E">
              <w:rPr>
                <w:rFonts w:ascii="Arial" w:hAnsi="Arial" w:cs="Arial"/>
                <w:bCs/>
                <w:sz w:val="20"/>
                <w:vertAlign w:val="superscript"/>
                <w:lang w:val="en-GB"/>
              </w:rPr>
              <w:t>a*</w:t>
            </w:r>
          </w:p>
        </w:tc>
        <w:tc>
          <w:tcPr>
            <w:tcW w:w="1620" w:type="dxa"/>
            <w:noWrap/>
          </w:tcPr>
          <w:p w14:paraId="2A173FD5"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19.51 ± 0.09ᶜ</w:t>
            </w:r>
          </w:p>
        </w:tc>
        <w:tc>
          <w:tcPr>
            <w:tcW w:w="2160" w:type="dxa"/>
            <w:noWrap/>
            <w:hideMark/>
          </w:tcPr>
          <w:p w14:paraId="58F88779"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135.58 ± 0.27</w:t>
            </w:r>
            <w:r w:rsidRPr="00672E6E">
              <w:rPr>
                <w:rFonts w:ascii="Arial" w:hAnsi="Arial" w:cs="Arial"/>
                <w:bCs/>
                <w:sz w:val="20"/>
                <w:vertAlign w:val="superscript"/>
                <w:lang w:val="en-GB"/>
              </w:rPr>
              <w:t>b</w:t>
            </w:r>
          </w:p>
        </w:tc>
      </w:tr>
      <w:tr w:rsidR="00672E6E" w:rsidRPr="00672E6E" w14:paraId="3109E663" w14:textId="77777777" w:rsidTr="00C9196F">
        <w:trPr>
          <w:trHeight w:val="300"/>
          <w:jc w:val="center"/>
        </w:trPr>
        <w:tc>
          <w:tcPr>
            <w:tcW w:w="1218" w:type="dxa"/>
            <w:noWrap/>
            <w:hideMark/>
          </w:tcPr>
          <w:p w14:paraId="20D736A0"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T10</w:t>
            </w:r>
          </w:p>
        </w:tc>
        <w:tc>
          <w:tcPr>
            <w:tcW w:w="1665" w:type="dxa"/>
            <w:noWrap/>
            <w:hideMark/>
          </w:tcPr>
          <w:p w14:paraId="7B575C15"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93.33 ± 0.21</w:t>
            </w:r>
            <w:r w:rsidRPr="00672E6E">
              <w:rPr>
                <w:rFonts w:ascii="Arial" w:hAnsi="Arial" w:cs="Arial"/>
                <w:bCs/>
                <w:sz w:val="20"/>
                <w:vertAlign w:val="superscript"/>
                <w:lang w:val="en-GB"/>
              </w:rPr>
              <w:t>a*</w:t>
            </w:r>
          </w:p>
        </w:tc>
        <w:tc>
          <w:tcPr>
            <w:tcW w:w="1980" w:type="dxa"/>
            <w:noWrap/>
            <w:hideMark/>
          </w:tcPr>
          <w:p w14:paraId="6174882A"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30.95 ± 1.14</w:t>
            </w:r>
            <w:r w:rsidRPr="00672E6E">
              <w:rPr>
                <w:rFonts w:ascii="Arial" w:hAnsi="Arial" w:cs="Arial"/>
                <w:bCs/>
                <w:sz w:val="20"/>
                <w:vertAlign w:val="superscript"/>
                <w:lang w:val="en-GB"/>
              </w:rPr>
              <w:t>a</w:t>
            </w:r>
          </w:p>
        </w:tc>
        <w:tc>
          <w:tcPr>
            <w:tcW w:w="1620" w:type="dxa"/>
            <w:noWrap/>
          </w:tcPr>
          <w:p w14:paraId="4E989AE2"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42.63 ± 0.10ᵃ</w:t>
            </w:r>
          </w:p>
        </w:tc>
        <w:tc>
          <w:tcPr>
            <w:tcW w:w="2160" w:type="dxa"/>
            <w:noWrap/>
            <w:hideMark/>
          </w:tcPr>
          <w:p w14:paraId="4F7AB1F5"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140.25 ± 0.45</w:t>
            </w:r>
            <w:r w:rsidRPr="00672E6E">
              <w:rPr>
                <w:rFonts w:ascii="Arial" w:hAnsi="Arial" w:cs="Arial"/>
                <w:bCs/>
                <w:sz w:val="20"/>
                <w:vertAlign w:val="superscript"/>
                <w:lang w:val="en-GB"/>
              </w:rPr>
              <w:t>b</w:t>
            </w:r>
          </w:p>
        </w:tc>
      </w:tr>
      <w:tr w:rsidR="00672E6E" w:rsidRPr="00672E6E" w14:paraId="070E77AE" w14:textId="77777777" w:rsidTr="00C9196F">
        <w:trPr>
          <w:trHeight w:val="300"/>
          <w:jc w:val="center"/>
        </w:trPr>
        <w:tc>
          <w:tcPr>
            <w:tcW w:w="1218" w:type="dxa"/>
            <w:tcBorders>
              <w:bottom w:val="single" w:sz="2" w:space="0" w:color="auto"/>
            </w:tcBorders>
            <w:noWrap/>
            <w:hideMark/>
          </w:tcPr>
          <w:p w14:paraId="63D82A65"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T11</w:t>
            </w:r>
          </w:p>
        </w:tc>
        <w:tc>
          <w:tcPr>
            <w:tcW w:w="1665" w:type="dxa"/>
            <w:tcBorders>
              <w:bottom w:val="single" w:sz="2" w:space="0" w:color="auto"/>
            </w:tcBorders>
            <w:noWrap/>
            <w:hideMark/>
          </w:tcPr>
          <w:p w14:paraId="76DF5B00"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92.27 ± 0.01</w:t>
            </w:r>
            <w:r w:rsidRPr="00672E6E">
              <w:rPr>
                <w:rFonts w:ascii="Arial" w:hAnsi="Arial" w:cs="Arial"/>
                <w:bCs/>
                <w:sz w:val="20"/>
                <w:vertAlign w:val="superscript"/>
                <w:lang w:val="en-GB"/>
              </w:rPr>
              <w:t>a</w:t>
            </w:r>
          </w:p>
        </w:tc>
        <w:tc>
          <w:tcPr>
            <w:tcW w:w="1980" w:type="dxa"/>
            <w:tcBorders>
              <w:bottom w:val="single" w:sz="2" w:space="0" w:color="auto"/>
            </w:tcBorders>
            <w:noWrap/>
            <w:hideMark/>
          </w:tcPr>
          <w:p w14:paraId="71B307EE"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31.49 ± 1.31</w:t>
            </w:r>
            <w:r w:rsidRPr="00672E6E">
              <w:rPr>
                <w:rFonts w:ascii="Arial" w:hAnsi="Arial" w:cs="Arial"/>
                <w:bCs/>
                <w:sz w:val="20"/>
                <w:vertAlign w:val="superscript"/>
                <w:lang w:val="en-GB"/>
              </w:rPr>
              <w:t>a</w:t>
            </w:r>
          </w:p>
        </w:tc>
        <w:tc>
          <w:tcPr>
            <w:tcW w:w="1620" w:type="dxa"/>
            <w:tcBorders>
              <w:bottom w:val="single" w:sz="2" w:space="0" w:color="auto"/>
            </w:tcBorders>
            <w:noWrap/>
          </w:tcPr>
          <w:p w14:paraId="7C443C41" w14:textId="77777777" w:rsidR="00672E6E" w:rsidRPr="00672E6E" w:rsidRDefault="00672E6E" w:rsidP="00672E6E">
            <w:pPr>
              <w:pStyle w:val="Body"/>
              <w:rPr>
                <w:rFonts w:ascii="Arial" w:hAnsi="Arial" w:cs="Arial"/>
                <w:bCs/>
                <w:sz w:val="20"/>
                <w:lang w:val="en-GB"/>
              </w:rPr>
            </w:pPr>
            <w:r w:rsidRPr="00672E6E">
              <w:rPr>
                <w:rFonts w:ascii="Arial" w:eastAsia="Times New Roman" w:hAnsi="Arial" w:cs="Arial"/>
                <w:bCs/>
                <w:sz w:val="20"/>
              </w:rPr>
              <w:t>47.60 ± 0.15ᵃ</w:t>
            </w:r>
            <w:r w:rsidRPr="00672E6E">
              <w:rPr>
                <w:rFonts w:ascii="Arial" w:eastAsia="Times New Roman" w:hAnsi="Arial" w:cs="Arial"/>
                <w:bCs/>
                <w:sz w:val="20"/>
                <w:vertAlign w:val="superscript"/>
              </w:rPr>
              <w:t>*</w:t>
            </w:r>
          </w:p>
        </w:tc>
        <w:tc>
          <w:tcPr>
            <w:tcW w:w="2160" w:type="dxa"/>
            <w:tcBorders>
              <w:bottom w:val="single" w:sz="2" w:space="0" w:color="auto"/>
            </w:tcBorders>
            <w:noWrap/>
            <w:hideMark/>
          </w:tcPr>
          <w:p w14:paraId="60C8811F" w14:textId="77777777" w:rsidR="00672E6E" w:rsidRPr="00672E6E" w:rsidRDefault="00672E6E" w:rsidP="00672E6E">
            <w:pPr>
              <w:pStyle w:val="Body"/>
              <w:rPr>
                <w:rFonts w:ascii="Arial" w:hAnsi="Arial" w:cs="Arial"/>
                <w:bCs/>
                <w:sz w:val="20"/>
                <w:lang w:val="en-GB"/>
              </w:rPr>
            </w:pPr>
            <w:r w:rsidRPr="00672E6E">
              <w:rPr>
                <w:rFonts w:ascii="Arial" w:hAnsi="Arial" w:cs="Arial"/>
                <w:bCs/>
                <w:sz w:val="20"/>
                <w:lang w:val="en-GB"/>
              </w:rPr>
              <w:t>130.74 ± 0.15</w:t>
            </w:r>
            <w:r w:rsidRPr="00672E6E">
              <w:rPr>
                <w:rFonts w:ascii="Arial" w:hAnsi="Arial" w:cs="Arial"/>
                <w:bCs/>
                <w:sz w:val="20"/>
                <w:vertAlign w:val="superscript"/>
                <w:lang w:val="en-GB"/>
              </w:rPr>
              <w:t>c</w:t>
            </w:r>
          </w:p>
        </w:tc>
      </w:tr>
    </w:tbl>
    <w:p w14:paraId="047F653E" w14:textId="77777777" w:rsidR="00F91F10" w:rsidRPr="00854DD2" w:rsidRDefault="00F91F10" w:rsidP="00F91F10">
      <w:pPr>
        <w:spacing w:line="360" w:lineRule="auto"/>
        <w:jc w:val="both"/>
        <w:rPr>
          <w:rFonts w:ascii="Arial" w:hAnsi="Arial" w:cs="Arial"/>
          <w:i/>
          <w:iCs/>
          <w:sz w:val="18"/>
          <w:szCs w:val="18"/>
        </w:rPr>
      </w:pPr>
      <w:r w:rsidRPr="00AC020B">
        <w:rPr>
          <w:rFonts w:ascii="Arial" w:hAnsi="Arial" w:cs="Arial"/>
          <w:i/>
          <w:iCs/>
          <w:sz w:val="18"/>
          <w:szCs w:val="18"/>
        </w:rPr>
        <w:t>Values in the table are averages of two seasons. Values are presented as mean ± standard error (S.E.). Values followed by the same letter within a column are not significantly different at p &lt; 0.05. Asterisks (*) denote treatments with the best result for a given parameter.</w:t>
      </w:r>
    </w:p>
    <w:p w14:paraId="18B1F0D8" w14:textId="77777777" w:rsidR="0054393A" w:rsidRPr="00AC020B" w:rsidRDefault="0054393A" w:rsidP="00441B6F">
      <w:pPr>
        <w:pStyle w:val="Body"/>
        <w:spacing w:after="0"/>
        <w:rPr>
          <w:rFonts w:ascii="Arial" w:hAnsi="Arial" w:cs="Arial"/>
        </w:rPr>
      </w:pPr>
    </w:p>
    <w:p w14:paraId="02B9CA1F" w14:textId="77777777" w:rsidR="00ED1EFD" w:rsidRDefault="00ED1EFD" w:rsidP="00ED1EFD">
      <w:pPr>
        <w:pStyle w:val="Body"/>
        <w:spacing w:after="0"/>
        <w:rPr>
          <w:rFonts w:ascii="Arial" w:hAnsi="Arial" w:cs="Arial"/>
          <w:bCs/>
        </w:rPr>
      </w:pPr>
      <w:r w:rsidRPr="00ED1EFD">
        <w:rPr>
          <w:rFonts w:ascii="Arial" w:hAnsi="Arial" w:cs="Arial"/>
          <w:bCs/>
        </w:rPr>
        <w:t xml:space="preserve">Moringa leaf extract @ 3% (T2) caused the lowest physiological weight reduction (12.12%) (Fig.6b). Moringa leaf extract prevents </w:t>
      </w:r>
      <w:r w:rsidRPr="00ED1EFD">
        <w:rPr>
          <w:rFonts w:ascii="Arial" w:hAnsi="Arial" w:cs="Arial"/>
          <w:bCs/>
          <w:i/>
          <w:iCs/>
        </w:rPr>
        <w:t>Amaranthus dubius</w:t>
      </w:r>
      <w:r w:rsidRPr="00ED1EFD">
        <w:rPr>
          <w:rFonts w:ascii="Arial" w:hAnsi="Arial" w:cs="Arial"/>
          <w:bCs/>
        </w:rPr>
        <w:t xml:space="preserve"> leaf respiration, minimizing physiological weight loss and preserving produce freshness.</w:t>
      </w:r>
    </w:p>
    <w:p w14:paraId="2E4CC34A" w14:textId="77777777" w:rsidR="00ED1EFD" w:rsidRPr="00ED1EFD" w:rsidRDefault="00ED1EFD" w:rsidP="00ED1EFD">
      <w:pPr>
        <w:pStyle w:val="Body"/>
        <w:spacing w:after="0"/>
        <w:rPr>
          <w:rFonts w:ascii="Arial" w:hAnsi="Arial" w:cs="Arial"/>
          <w:bCs/>
        </w:rPr>
      </w:pPr>
    </w:p>
    <w:p w14:paraId="2C8BB319" w14:textId="77777777" w:rsidR="00ED1EFD" w:rsidRDefault="00ED1EFD" w:rsidP="00ED1EFD">
      <w:pPr>
        <w:pStyle w:val="Body"/>
        <w:spacing w:after="0"/>
        <w:rPr>
          <w:rFonts w:ascii="Arial" w:hAnsi="Arial" w:cs="Arial"/>
          <w:bCs/>
        </w:rPr>
      </w:pPr>
      <w:r w:rsidRPr="00ED1EFD">
        <w:rPr>
          <w:rFonts w:ascii="Arial" w:hAnsi="Arial" w:cs="Arial"/>
          <w:bCs/>
        </w:rPr>
        <w:t xml:space="preserve">MLE, Seaweed extract, Salicylic acid, and Humic acid (T11) exhibited the highest membrane stability index (47.60%) (Fig. 6c). Batool et al. (2020) observed that foliar moringa leaf extracts at 3% increased seedling membrane stability index by 45% above the control group. Due to their mineral nutrient and phytohormone concentration, MLE components may have improved chlorophyll fluorescence and </w:t>
      </w:r>
      <w:proofErr w:type="spellStart"/>
      <w:r w:rsidRPr="00ED1EFD">
        <w:rPr>
          <w:rFonts w:ascii="Arial" w:hAnsi="Arial" w:cs="Arial"/>
          <w:bCs/>
        </w:rPr>
        <w:t>osmoprotectant</w:t>
      </w:r>
      <w:proofErr w:type="spellEnd"/>
      <w:r w:rsidRPr="00ED1EFD">
        <w:rPr>
          <w:rFonts w:ascii="Arial" w:hAnsi="Arial" w:cs="Arial"/>
          <w:bCs/>
        </w:rPr>
        <w:t xml:space="preserve"> production by stimulating leaf photosynthetic pigment biosynthesis. Translocating moringa leaf extract </w:t>
      </w:r>
      <w:proofErr w:type="spellStart"/>
      <w:r w:rsidRPr="00ED1EFD">
        <w:rPr>
          <w:rFonts w:ascii="Arial" w:hAnsi="Arial" w:cs="Arial"/>
          <w:bCs/>
        </w:rPr>
        <w:t>osmoprotectants</w:t>
      </w:r>
      <w:proofErr w:type="spellEnd"/>
      <w:r w:rsidRPr="00ED1EFD">
        <w:rPr>
          <w:rFonts w:ascii="Arial" w:hAnsi="Arial" w:cs="Arial"/>
          <w:bCs/>
        </w:rPr>
        <w:t xml:space="preserve"> such soluble sugars and free proline to plant vitals could have also raised their levels. Higher photosynthetic </w:t>
      </w:r>
      <w:proofErr w:type="spellStart"/>
      <w:r w:rsidRPr="00ED1EFD">
        <w:rPr>
          <w:rFonts w:ascii="Arial" w:hAnsi="Arial" w:cs="Arial"/>
          <w:bCs/>
        </w:rPr>
        <w:t>activitydue</w:t>
      </w:r>
      <w:proofErr w:type="spellEnd"/>
      <w:r w:rsidRPr="00ED1EFD">
        <w:rPr>
          <w:rFonts w:ascii="Arial" w:hAnsi="Arial" w:cs="Arial"/>
          <w:bCs/>
        </w:rPr>
        <w:t xml:space="preserve"> to MLE might have also enhanced membrane integrity, increasing cell health and turgidity (Abd El-</w:t>
      </w:r>
      <w:proofErr w:type="spellStart"/>
      <w:r w:rsidRPr="00ED1EFD">
        <w:rPr>
          <w:rFonts w:ascii="Arial" w:hAnsi="Arial" w:cs="Arial"/>
          <w:bCs/>
        </w:rPr>
        <w:t>Mageed</w:t>
      </w:r>
      <w:proofErr w:type="spellEnd"/>
      <w:r w:rsidRPr="00ED1EFD">
        <w:rPr>
          <w:rFonts w:ascii="Arial" w:hAnsi="Arial" w:cs="Arial"/>
          <w:bCs/>
        </w:rPr>
        <w:t xml:space="preserve"> et al. 2017).</w:t>
      </w:r>
    </w:p>
    <w:p w14:paraId="16BC785B" w14:textId="77777777" w:rsidR="00ED1EFD" w:rsidRPr="00ED1EFD" w:rsidRDefault="00ED1EFD" w:rsidP="00ED1EFD">
      <w:pPr>
        <w:pStyle w:val="Body"/>
        <w:spacing w:after="0"/>
        <w:rPr>
          <w:rFonts w:ascii="Arial" w:hAnsi="Arial" w:cs="Arial"/>
          <w:bCs/>
        </w:rPr>
      </w:pPr>
    </w:p>
    <w:p w14:paraId="06628388" w14:textId="77777777" w:rsidR="00ED1EFD" w:rsidRDefault="00ED1EFD" w:rsidP="00ED1EFD">
      <w:pPr>
        <w:pStyle w:val="Body"/>
        <w:spacing w:after="0"/>
        <w:rPr>
          <w:rFonts w:ascii="Arial" w:hAnsi="Arial" w:cs="Arial"/>
          <w:bCs/>
        </w:rPr>
      </w:pPr>
      <w:r w:rsidRPr="00ED1EFD">
        <w:rPr>
          <w:rFonts w:ascii="Arial" w:hAnsi="Arial" w:cs="Arial"/>
          <w:bCs/>
        </w:rPr>
        <w:t xml:space="preserve">Moringa leaf extract @ 2% (T1) had the highest total phenolic content (165.78 mg /100g) (Fig.6d). This is consistent with Toscano et al. (2021), who found that MLE increased </w:t>
      </w:r>
      <w:r w:rsidRPr="00ED1EFD">
        <w:rPr>
          <w:rFonts w:ascii="Arial" w:hAnsi="Arial" w:cs="Arial"/>
          <w:bCs/>
          <w:i/>
          <w:iCs/>
        </w:rPr>
        <w:t>Brassica</w:t>
      </w:r>
      <w:r w:rsidRPr="00ED1EFD">
        <w:rPr>
          <w:rFonts w:ascii="Arial" w:hAnsi="Arial" w:cs="Arial"/>
          <w:bCs/>
        </w:rPr>
        <w:t xml:space="preserve"> phenolic content. MLE's vitamins, minerals, amino acids, and antioxidants possibly enhanced phenolic content (Hanafy, 2017).</w:t>
      </w:r>
    </w:p>
    <w:p w14:paraId="28D173E3" w14:textId="77777777" w:rsidR="00F23199" w:rsidRDefault="00F23199" w:rsidP="00ED1EFD">
      <w:pPr>
        <w:pStyle w:val="Body"/>
        <w:spacing w:after="0"/>
        <w:rPr>
          <w:rFonts w:ascii="Arial" w:hAnsi="Arial" w:cs="Arial"/>
          <w:bCs/>
        </w:rPr>
      </w:pPr>
    </w:p>
    <w:p w14:paraId="653C6C25" w14:textId="6AD41AD8" w:rsidR="00F23199" w:rsidRDefault="00F23199" w:rsidP="00ED1EFD">
      <w:pPr>
        <w:pStyle w:val="Body"/>
        <w:spacing w:after="0"/>
        <w:rPr>
          <w:rFonts w:ascii="Arial" w:hAnsi="Arial" w:cs="Arial"/>
          <w:bCs/>
        </w:rPr>
      </w:pPr>
      <w:r w:rsidRPr="00460DB0">
        <w:rPr>
          <w:rFonts w:ascii="Times New Roman" w:hAnsi="Times New Roman"/>
          <w:noProof/>
        </w:rPr>
        <w:lastRenderedPageBreak/>
        <w:drawing>
          <wp:inline distT="0" distB="0" distL="0" distR="0" wp14:anchorId="6616D145" wp14:editId="2CF28EDC">
            <wp:extent cx="5789705" cy="3257550"/>
            <wp:effectExtent l="76200" t="76200" r="135255" b="133350"/>
            <wp:docPr id="10010218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8763" cy="32682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E4EA6A" w14:textId="77777777" w:rsidR="00F23199" w:rsidRPr="00F23199" w:rsidRDefault="00F23199" w:rsidP="00F23199">
      <w:pPr>
        <w:pStyle w:val="Body"/>
        <w:spacing w:after="0"/>
        <w:rPr>
          <w:rFonts w:ascii="Arial" w:hAnsi="Arial" w:cs="Arial"/>
          <w:b/>
          <w:bCs/>
        </w:rPr>
      </w:pPr>
      <w:r w:rsidRPr="00F23199">
        <w:rPr>
          <w:rFonts w:ascii="Arial" w:hAnsi="Arial" w:cs="Arial"/>
          <w:b/>
          <w:bCs/>
        </w:rPr>
        <w:t xml:space="preserve">Fig. 6 Effect of various treatments (T1 to T11, including control) on physiological and biochemical parameters of </w:t>
      </w:r>
      <w:r w:rsidRPr="00F23199">
        <w:rPr>
          <w:rFonts w:ascii="Arial" w:hAnsi="Arial" w:cs="Arial"/>
          <w:b/>
          <w:bCs/>
          <w:i/>
          <w:iCs/>
        </w:rPr>
        <w:t>Amaranthus</w:t>
      </w:r>
      <w:r w:rsidRPr="00F23199">
        <w:rPr>
          <w:rFonts w:ascii="Arial" w:hAnsi="Arial" w:cs="Arial"/>
          <w:b/>
          <w:bCs/>
        </w:rPr>
        <w:t xml:space="preserve"> plants. (a) Relative water content (%), (b) Physiological loss in weight (%), (c) Membrane stability index (MSI %), and (d) Total phenol content (mg/100g). Data are presented as mean ± standard error (SE).</w:t>
      </w:r>
    </w:p>
    <w:p w14:paraId="7FE10C9B" w14:textId="77777777" w:rsidR="00ED1EFD" w:rsidRPr="00ED1EFD" w:rsidRDefault="00ED1EFD" w:rsidP="00ED1EFD">
      <w:pPr>
        <w:pStyle w:val="Body"/>
        <w:spacing w:after="0"/>
        <w:rPr>
          <w:rFonts w:ascii="Arial" w:hAnsi="Arial" w:cs="Arial"/>
          <w:bCs/>
        </w:rPr>
      </w:pPr>
    </w:p>
    <w:p w14:paraId="104F4651" w14:textId="5C02B11B" w:rsidR="00790ADA" w:rsidRDefault="00ED1EFD" w:rsidP="00441B6F">
      <w:pPr>
        <w:pStyle w:val="Body"/>
        <w:spacing w:after="0"/>
        <w:rPr>
          <w:rFonts w:ascii="Arial" w:hAnsi="Arial" w:cs="Arial"/>
          <w:lang w:val="en-GB"/>
        </w:rPr>
      </w:pPr>
      <w:r w:rsidRPr="00ED1EFD">
        <w:rPr>
          <w:rFonts w:ascii="Arial" w:hAnsi="Arial" w:cs="Arial"/>
          <w:lang w:val="en-GB"/>
        </w:rPr>
        <w:t>The treatments had a significant impact on the chlorophyll content in Amaranthus, enhancing both chlorophyll 'a', chlorophyll 'b', and total chlorophyll levels compared to the control (T9)</w:t>
      </w:r>
      <w:r w:rsidR="00E52E16">
        <w:rPr>
          <w:rFonts w:ascii="Arial" w:hAnsi="Arial" w:cs="Arial"/>
          <w:lang w:val="en-GB"/>
        </w:rPr>
        <w:t>.</w:t>
      </w:r>
    </w:p>
    <w:p w14:paraId="5EF50736" w14:textId="77777777" w:rsidR="00ED1EFD" w:rsidRDefault="00ED1EFD" w:rsidP="00ED1EFD">
      <w:pPr>
        <w:pStyle w:val="Body"/>
        <w:spacing w:after="0"/>
        <w:rPr>
          <w:rFonts w:ascii="Arial" w:hAnsi="Arial" w:cs="Arial"/>
          <w:lang w:val="en-GB"/>
        </w:rPr>
      </w:pPr>
      <w:r w:rsidRPr="00ED1EFD">
        <w:rPr>
          <w:rFonts w:ascii="Arial" w:hAnsi="Arial" w:cs="Arial"/>
          <w:lang w:val="en-GB"/>
        </w:rPr>
        <w:t>Highest chlorophyll a was in the treatment T11 (3.173 mg/g) (Fig.7a) in experience with moringa leaf extract + seaweed extract + salicylic acid + humic</w:t>
      </w:r>
      <w:r w:rsidRPr="00ED1EFD">
        <w:rPr>
          <w:rFonts w:ascii="Arial" w:hAnsi="Arial" w:cs="Arial"/>
          <w:lang w:val="en-GB"/>
        </w:rPr>
        <w:t> </w:t>
      </w:r>
      <w:r w:rsidRPr="00ED1EFD">
        <w:rPr>
          <w:rFonts w:ascii="Arial" w:hAnsi="Arial" w:cs="Arial"/>
          <w:lang w:val="en-GB"/>
        </w:rPr>
        <w:t>acid. This combination is effective for</w:t>
      </w:r>
      <w:r w:rsidRPr="00ED1EFD">
        <w:rPr>
          <w:rFonts w:ascii="Arial" w:hAnsi="Arial" w:cs="Arial"/>
          <w:lang w:val="en-GB"/>
        </w:rPr>
        <w:t> </w:t>
      </w:r>
      <w:r w:rsidRPr="00ED1EFD">
        <w:rPr>
          <w:rFonts w:ascii="Arial" w:hAnsi="Arial" w:cs="Arial"/>
          <w:lang w:val="en-GB"/>
        </w:rPr>
        <w:t>the biosynthesis of photosynthetic pigments, possibly due to the combined effects of phytohormones, antioxidants, and mobilization of nutrients. Treatment T10 (2.857</w:t>
      </w:r>
      <w:r w:rsidRPr="00ED1EFD">
        <w:rPr>
          <w:rFonts w:ascii="Arial" w:hAnsi="Arial" w:cs="Arial"/>
          <w:lang w:val="en-GB"/>
        </w:rPr>
        <w:t> </w:t>
      </w:r>
      <w:r w:rsidRPr="00ED1EFD">
        <w:rPr>
          <w:rFonts w:ascii="Arial" w:hAnsi="Arial" w:cs="Arial"/>
          <w:lang w:val="en-GB"/>
        </w:rPr>
        <w:t xml:space="preserve">mg/g) at lower concentration of them bio-stimulants was the second-best treatment in enhancing chlorophyll a content. The control (T9) reported significantly lower chlorophyll a content (1.427 mg/g) compared to the treatments, highlights the role of </w:t>
      </w:r>
      <w:proofErr w:type="spellStart"/>
      <w:r w:rsidRPr="00ED1EFD">
        <w:rPr>
          <w:rFonts w:ascii="Arial" w:hAnsi="Arial" w:cs="Arial"/>
          <w:lang w:val="en-GB"/>
        </w:rPr>
        <w:t>biostimulants</w:t>
      </w:r>
      <w:proofErr w:type="spellEnd"/>
      <w:r w:rsidRPr="00ED1EFD">
        <w:rPr>
          <w:rFonts w:ascii="Arial" w:hAnsi="Arial" w:cs="Arial"/>
          <w:lang w:val="en-GB"/>
        </w:rPr>
        <w:t xml:space="preserve"> in improving</w:t>
      </w:r>
      <w:r w:rsidRPr="00ED1EFD">
        <w:rPr>
          <w:rFonts w:ascii="Arial" w:hAnsi="Arial" w:cs="Arial"/>
          <w:lang w:val="en-GB"/>
        </w:rPr>
        <w:t> </w:t>
      </w:r>
      <w:r w:rsidRPr="00ED1EFD">
        <w:rPr>
          <w:rFonts w:ascii="Arial" w:hAnsi="Arial" w:cs="Arial"/>
          <w:lang w:val="en-GB"/>
        </w:rPr>
        <w:t xml:space="preserve">photosynthetic efficiency. Supporting evidence from research demonstrates the efficacy of </w:t>
      </w:r>
      <w:proofErr w:type="spellStart"/>
      <w:r w:rsidRPr="00ED1EFD">
        <w:rPr>
          <w:rFonts w:ascii="Arial" w:hAnsi="Arial" w:cs="Arial"/>
          <w:lang w:val="en-GB"/>
        </w:rPr>
        <w:t>biostimulants</w:t>
      </w:r>
      <w:proofErr w:type="spellEnd"/>
      <w:r w:rsidRPr="00ED1EFD">
        <w:rPr>
          <w:rFonts w:ascii="Arial" w:hAnsi="Arial" w:cs="Arial"/>
          <w:lang w:val="en-GB"/>
        </w:rPr>
        <w:t xml:space="preserve"> such as seaweed and moringa extracts to increase chlorophyll a</w:t>
      </w:r>
      <w:r w:rsidRPr="00ED1EFD">
        <w:rPr>
          <w:rFonts w:ascii="Arial" w:hAnsi="Arial" w:cs="Arial"/>
          <w:lang w:val="en-GB"/>
        </w:rPr>
        <w:t> </w:t>
      </w:r>
      <w:r w:rsidRPr="00ED1EFD">
        <w:rPr>
          <w:rFonts w:ascii="Arial" w:hAnsi="Arial" w:cs="Arial"/>
          <w:lang w:val="en-GB"/>
        </w:rPr>
        <w:t>levels through nutrient uptake and photosynthetic efficiency (Soliman et al., 2020).</w:t>
      </w:r>
    </w:p>
    <w:p w14:paraId="4F5C9051" w14:textId="4298ECEA" w:rsidR="00ED1EFD" w:rsidRDefault="00F23199" w:rsidP="00ED1EFD">
      <w:pPr>
        <w:pStyle w:val="Body"/>
        <w:spacing w:after="0"/>
        <w:rPr>
          <w:rFonts w:ascii="Arial" w:hAnsi="Arial" w:cs="Arial"/>
          <w:lang w:val="en-GB"/>
        </w:rPr>
      </w:pPr>
      <w:r w:rsidRPr="00460DB0">
        <w:rPr>
          <w:rFonts w:ascii="Times New Roman" w:hAnsi="Times New Roman"/>
          <w:noProof/>
        </w:rPr>
        <w:lastRenderedPageBreak/>
        <w:drawing>
          <wp:inline distT="0" distB="0" distL="0" distR="0" wp14:anchorId="7FC5B022" wp14:editId="5B41192C">
            <wp:extent cx="5924482" cy="3333750"/>
            <wp:effectExtent l="76200" t="76200" r="133985" b="133350"/>
            <wp:docPr id="1449303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2758" cy="33384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E4DE20" w14:textId="77777777" w:rsidR="00F23199" w:rsidRPr="00F23199" w:rsidRDefault="00F23199" w:rsidP="00F23199">
      <w:pPr>
        <w:pStyle w:val="Body"/>
        <w:spacing w:after="0"/>
        <w:rPr>
          <w:rFonts w:ascii="Arial" w:hAnsi="Arial" w:cs="Arial"/>
          <w:b/>
          <w:bCs/>
          <w:lang w:val="en-GB"/>
        </w:rPr>
      </w:pPr>
      <w:r w:rsidRPr="00F23199">
        <w:rPr>
          <w:rFonts w:ascii="Arial" w:hAnsi="Arial" w:cs="Arial"/>
          <w:b/>
          <w:bCs/>
        </w:rPr>
        <w:t xml:space="preserve">Fig. 7 Effect of various treatments (T1 to T11, including control) on photosynthetic pigment content in </w:t>
      </w:r>
      <w:r w:rsidRPr="00F23199">
        <w:rPr>
          <w:rFonts w:ascii="Arial" w:hAnsi="Arial" w:cs="Arial"/>
          <w:b/>
          <w:bCs/>
          <w:i/>
          <w:iCs/>
        </w:rPr>
        <w:t>Amaranthus</w:t>
      </w:r>
      <w:r w:rsidRPr="00F23199">
        <w:rPr>
          <w:rFonts w:ascii="Arial" w:hAnsi="Arial" w:cs="Arial"/>
          <w:b/>
          <w:bCs/>
        </w:rPr>
        <w:t xml:space="preserve"> plants. (a) Chlorophyll a (mg/g), (b) Chlorophyll b (mg/g), (c) Total chlorophyll (mg/g), and (d) Carotenoids content (mg/g). Data are represented as mean ± standard error (SE)</w:t>
      </w:r>
    </w:p>
    <w:p w14:paraId="5838E117" w14:textId="77777777" w:rsidR="00F23199" w:rsidRPr="00ED1EFD" w:rsidRDefault="00F23199" w:rsidP="00ED1EFD">
      <w:pPr>
        <w:pStyle w:val="Body"/>
        <w:spacing w:after="0"/>
        <w:rPr>
          <w:rFonts w:ascii="Arial" w:hAnsi="Arial" w:cs="Arial"/>
          <w:lang w:val="en-GB"/>
        </w:rPr>
      </w:pPr>
    </w:p>
    <w:p w14:paraId="79227E1A" w14:textId="77777777" w:rsidR="00ED1EFD" w:rsidRPr="00ED1EFD" w:rsidRDefault="00ED1EFD" w:rsidP="00ED1EFD">
      <w:pPr>
        <w:pStyle w:val="Body"/>
        <w:spacing w:after="0"/>
        <w:rPr>
          <w:rFonts w:ascii="Arial" w:hAnsi="Arial" w:cs="Arial"/>
          <w:lang w:val="en-GB"/>
        </w:rPr>
      </w:pPr>
      <w:r w:rsidRPr="00ED1EFD">
        <w:rPr>
          <w:rFonts w:ascii="Arial" w:hAnsi="Arial" w:cs="Arial"/>
          <w:lang w:val="en-GB"/>
        </w:rPr>
        <w:t>For chlorophyll b, the highest record was being treated</w:t>
      </w:r>
      <w:r w:rsidRPr="00ED1EFD">
        <w:rPr>
          <w:rFonts w:ascii="Arial" w:hAnsi="Arial" w:cs="Arial"/>
          <w:lang w:val="en-GB"/>
        </w:rPr>
        <w:t> </w:t>
      </w:r>
      <w:r w:rsidRPr="00ED1EFD">
        <w:rPr>
          <w:rFonts w:ascii="Arial" w:hAnsi="Arial" w:cs="Arial"/>
          <w:lang w:val="en-GB"/>
        </w:rPr>
        <w:t>under T11 (0.752 mg/g) (Fig.7b) while the second was T10 (0.581 mg/g). Chlorophyll b is important for broadening the light absorption spectrum</w:t>
      </w:r>
      <w:r w:rsidRPr="00ED1EFD">
        <w:rPr>
          <w:rFonts w:ascii="Arial" w:hAnsi="Arial" w:cs="Arial"/>
          <w:lang w:val="en-GB"/>
        </w:rPr>
        <w:t> </w:t>
      </w:r>
      <w:r w:rsidRPr="00ED1EFD">
        <w:rPr>
          <w:rFonts w:ascii="Arial" w:hAnsi="Arial" w:cs="Arial"/>
          <w:lang w:val="en-GB"/>
        </w:rPr>
        <w:t xml:space="preserve">and increasing the energy transfer efficiency. The lowest was obtained by the control treatment (T9) (0.350 mg/g), which highlights the influence of treatments involving </w:t>
      </w:r>
      <w:proofErr w:type="spellStart"/>
      <w:r w:rsidRPr="00ED1EFD">
        <w:rPr>
          <w:rFonts w:ascii="Arial" w:hAnsi="Arial" w:cs="Arial"/>
          <w:lang w:val="en-GB"/>
        </w:rPr>
        <w:t>biostimulants</w:t>
      </w:r>
      <w:proofErr w:type="spellEnd"/>
      <w:r w:rsidRPr="00ED1EFD">
        <w:rPr>
          <w:rFonts w:ascii="Arial" w:hAnsi="Arial" w:cs="Arial"/>
          <w:lang w:val="en-GB"/>
        </w:rPr>
        <w:t> </w:t>
      </w:r>
      <w:r w:rsidRPr="00ED1EFD">
        <w:rPr>
          <w:rFonts w:ascii="Arial" w:hAnsi="Arial" w:cs="Arial"/>
          <w:lang w:val="en-GB"/>
        </w:rPr>
        <w:t>on maintaining pigments. Moringa</w:t>
      </w:r>
      <w:r w:rsidRPr="00ED1EFD">
        <w:rPr>
          <w:rFonts w:ascii="Arial" w:hAnsi="Arial" w:cs="Arial"/>
          <w:lang w:val="en-GB"/>
        </w:rPr>
        <w:t> </w:t>
      </w:r>
      <w:r w:rsidRPr="00ED1EFD">
        <w:rPr>
          <w:rFonts w:ascii="Arial" w:hAnsi="Arial" w:cs="Arial"/>
          <w:lang w:val="en-GB"/>
        </w:rPr>
        <w:t>leaf extract (MLE) is established to improve chlorophyll levels, owing to the high levels of phytohormones and antioxidants in it (Abdalla, 2014).</w:t>
      </w:r>
    </w:p>
    <w:p w14:paraId="398CA1A3" w14:textId="77777777" w:rsidR="00ED1EFD" w:rsidRPr="00ED1EFD" w:rsidRDefault="00ED1EFD" w:rsidP="00441B6F">
      <w:pPr>
        <w:pStyle w:val="Body"/>
        <w:spacing w:after="0"/>
        <w:rPr>
          <w:rFonts w:ascii="Arial" w:hAnsi="Arial" w:cs="Arial"/>
          <w:lang w:val="en-GB"/>
        </w:rPr>
      </w:pPr>
    </w:p>
    <w:p w14:paraId="71F0A049" w14:textId="77777777" w:rsidR="00ED1EFD" w:rsidRDefault="00ED1EFD" w:rsidP="00ED1EFD">
      <w:pPr>
        <w:pStyle w:val="Body"/>
        <w:spacing w:after="0"/>
        <w:rPr>
          <w:rFonts w:ascii="Arial" w:hAnsi="Arial" w:cs="Arial"/>
          <w:color w:val="000000" w:themeColor="text1"/>
        </w:rPr>
      </w:pPr>
      <w:r w:rsidRPr="00ED1EFD">
        <w:rPr>
          <w:rFonts w:ascii="Arial" w:hAnsi="Arial" w:cs="Arial"/>
          <w:color w:val="000000" w:themeColor="text1"/>
        </w:rPr>
        <w:t xml:space="preserve">A similar trend was observed in the total chlorophyll content where T11 with the value of 3.387 mg/g and T10 with the value of 2.960 mg/g enhanced other treatments (Fig.7c). These outcomes highlight the possibility of interaction of various </w:t>
      </w:r>
      <w:proofErr w:type="spellStart"/>
      <w:r w:rsidRPr="00ED1EFD">
        <w:rPr>
          <w:rFonts w:ascii="Arial" w:hAnsi="Arial" w:cs="Arial"/>
          <w:color w:val="000000" w:themeColor="text1"/>
        </w:rPr>
        <w:t>biostimulants</w:t>
      </w:r>
      <w:proofErr w:type="spellEnd"/>
      <w:r w:rsidRPr="00ED1EFD">
        <w:rPr>
          <w:rFonts w:ascii="Arial" w:hAnsi="Arial" w:cs="Arial"/>
          <w:color w:val="000000" w:themeColor="text1"/>
        </w:rPr>
        <w:t xml:space="preserve"> regulating combined pigment synthesis in plants. The control treatment, T9 had the least total chlorophyll content (1.534 mg/g) which corresponded to least activity of photosynthesis in plants which were not treated. As reported in earlier literature, sea weed and humic acid used as plant growth factor has a positive impact on chlorophyll biosynthesis specially when the stress conditions are prevailed (Kavipriya &amp; Boominathan, 2018). Total chlorophyll content in the T11 and T10 can also be explained on the basis of multiple </w:t>
      </w:r>
      <w:proofErr w:type="spellStart"/>
      <w:r w:rsidRPr="00ED1EFD">
        <w:rPr>
          <w:rFonts w:ascii="Arial" w:hAnsi="Arial" w:cs="Arial"/>
          <w:color w:val="000000" w:themeColor="text1"/>
        </w:rPr>
        <w:t>biostimulants</w:t>
      </w:r>
      <w:proofErr w:type="spellEnd"/>
      <w:r w:rsidRPr="00ED1EFD">
        <w:rPr>
          <w:rFonts w:ascii="Arial" w:hAnsi="Arial" w:cs="Arial"/>
          <w:color w:val="000000" w:themeColor="text1"/>
        </w:rPr>
        <w:t xml:space="preserve"> working synergistically for biosynthesis and non-degradability of pigments as discussed by Orlov et al. (2005). It is postulated that MLE, seaweed extract, salicylic acid and humic acid may influence membrane stability and oxidation thereby stabilizing chlorophyll molecules. This accounts for the variation in total chlorophyll values across the treatments in relation to the control treatment.</w:t>
      </w:r>
    </w:p>
    <w:p w14:paraId="7F2BFECD" w14:textId="77777777" w:rsidR="00F91F10" w:rsidRDefault="00F91F10" w:rsidP="00ED1EFD">
      <w:pPr>
        <w:pStyle w:val="Body"/>
        <w:spacing w:after="0"/>
        <w:rPr>
          <w:rFonts w:ascii="Arial" w:hAnsi="Arial" w:cs="Arial"/>
          <w:color w:val="000000" w:themeColor="text1"/>
        </w:rPr>
      </w:pPr>
    </w:p>
    <w:p w14:paraId="5F05766E" w14:textId="63C23B85" w:rsidR="00F91F10" w:rsidRPr="00F91F10" w:rsidRDefault="00F91F10" w:rsidP="00ED1EFD">
      <w:pPr>
        <w:pStyle w:val="Body"/>
        <w:spacing w:after="0"/>
        <w:rPr>
          <w:rFonts w:ascii="Arial" w:hAnsi="Arial" w:cs="Arial"/>
          <w:b/>
          <w:color w:val="000000" w:themeColor="text1"/>
        </w:rPr>
      </w:pPr>
      <w:r w:rsidRPr="00F91F10">
        <w:rPr>
          <w:rFonts w:ascii="Arial" w:hAnsi="Arial" w:cs="Arial"/>
          <w:b/>
          <w:color w:val="000000" w:themeColor="text1"/>
        </w:rPr>
        <w:t xml:space="preserve">Table 4. Influence of </w:t>
      </w:r>
      <w:proofErr w:type="spellStart"/>
      <w:r w:rsidRPr="00F91F10">
        <w:rPr>
          <w:rFonts w:ascii="Arial" w:hAnsi="Arial" w:cs="Arial"/>
          <w:b/>
          <w:color w:val="000000" w:themeColor="text1"/>
        </w:rPr>
        <w:t>biostimulants</w:t>
      </w:r>
      <w:proofErr w:type="spellEnd"/>
      <w:r w:rsidRPr="00F91F10">
        <w:rPr>
          <w:rFonts w:ascii="Arial" w:hAnsi="Arial" w:cs="Arial"/>
          <w:b/>
          <w:color w:val="000000" w:themeColor="text1"/>
        </w:rPr>
        <w:t xml:space="preserve"> and their impact on Chlorophyll a, Chlorophyll b, Total Chlorophyll, Carotenoids, pH &amp; Oxalic Acid Content</w:t>
      </w:r>
    </w:p>
    <w:p w14:paraId="26B51015" w14:textId="77777777" w:rsidR="00ED1EFD" w:rsidRDefault="00ED1EFD" w:rsidP="00441B6F">
      <w:pPr>
        <w:pStyle w:val="Body"/>
        <w:spacing w:after="0"/>
        <w:rPr>
          <w:rFonts w:ascii="Arial" w:hAnsi="Arial" w:cs="Arial"/>
          <w:color w:val="FF0000"/>
        </w:rPr>
      </w:pPr>
    </w:p>
    <w:tbl>
      <w:tblPr>
        <w:tblStyle w:val="TableGrid"/>
        <w:tblW w:w="94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1477"/>
        <w:gridCol w:w="1440"/>
        <w:gridCol w:w="1328"/>
        <w:gridCol w:w="1434"/>
        <w:gridCol w:w="1358"/>
        <w:gridCol w:w="1162"/>
      </w:tblGrid>
      <w:tr w:rsidR="00F91F10" w:rsidRPr="00F91F10" w14:paraId="0FA04378" w14:textId="77777777" w:rsidTr="00F91F10">
        <w:trPr>
          <w:trHeight w:val="300"/>
          <w:jc w:val="center"/>
        </w:trPr>
        <w:tc>
          <w:tcPr>
            <w:tcW w:w="1218" w:type="dxa"/>
            <w:tcBorders>
              <w:top w:val="single" w:sz="2" w:space="0" w:color="auto"/>
              <w:bottom w:val="single" w:sz="2" w:space="0" w:color="auto"/>
            </w:tcBorders>
            <w:noWrap/>
            <w:hideMark/>
          </w:tcPr>
          <w:p w14:paraId="46C4ACF8"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Treatment</w:t>
            </w:r>
          </w:p>
        </w:tc>
        <w:tc>
          <w:tcPr>
            <w:tcW w:w="1477" w:type="dxa"/>
            <w:tcBorders>
              <w:top w:val="single" w:sz="2" w:space="0" w:color="auto"/>
              <w:bottom w:val="single" w:sz="2" w:space="0" w:color="auto"/>
            </w:tcBorders>
            <w:noWrap/>
            <w:hideMark/>
          </w:tcPr>
          <w:p w14:paraId="022C8136"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Chlorophyll a (mg/g)</w:t>
            </w:r>
          </w:p>
        </w:tc>
        <w:tc>
          <w:tcPr>
            <w:tcW w:w="1440" w:type="dxa"/>
            <w:tcBorders>
              <w:top w:val="single" w:sz="2" w:space="0" w:color="auto"/>
              <w:bottom w:val="single" w:sz="2" w:space="0" w:color="auto"/>
            </w:tcBorders>
            <w:noWrap/>
            <w:hideMark/>
          </w:tcPr>
          <w:p w14:paraId="0065A34D"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Chlorophyll b (mg/g)</w:t>
            </w:r>
          </w:p>
        </w:tc>
        <w:tc>
          <w:tcPr>
            <w:tcW w:w="1328" w:type="dxa"/>
            <w:tcBorders>
              <w:top w:val="single" w:sz="2" w:space="0" w:color="auto"/>
              <w:bottom w:val="single" w:sz="2" w:space="0" w:color="auto"/>
            </w:tcBorders>
            <w:noWrap/>
            <w:hideMark/>
          </w:tcPr>
          <w:p w14:paraId="56367AAB"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Total Chlorophyll (mg/g)</w:t>
            </w:r>
          </w:p>
        </w:tc>
        <w:tc>
          <w:tcPr>
            <w:tcW w:w="1434" w:type="dxa"/>
            <w:tcBorders>
              <w:top w:val="single" w:sz="2" w:space="0" w:color="auto"/>
              <w:bottom w:val="single" w:sz="2" w:space="0" w:color="auto"/>
            </w:tcBorders>
            <w:noWrap/>
            <w:hideMark/>
          </w:tcPr>
          <w:p w14:paraId="030CDDB7"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Carotenoids</w:t>
            </w:r>
          </w:p>
          <w:p w14:paraId="1FA278C5"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(mg/g)</w:t>
            </w:r>
          </w:p>
        </w:tc>
        <w:tc>
          <w:tcPr>
            <w:tcW w:w="1358" w:type="dxa"/>
            <w:tcBorders>
              <w:top w:val="single" w:sz="2" w:space="0" w:color="auto"/>
              <w:bottom w:val="single" w:sz="2" w:space="0" w:color="auto"/>
            </w:tcBorders>
            <w:noWrap/>
            <w:hideMark/>
          </w:tcPr>
          <w:p w14:paraId="36FFD564"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pH</w:t>
            </w:r>
          </w:p>
        </w:tc>
        <w:tc>
          <w:tcPr>
            <w:tcW w:w="1162" w:type="dxa"/>
            <w:tcBorders>
              <w:top w:val="single" w:sz="2" w:space="0" w:color="auto"/>
              <w:bottom w:val="single" w:sz="2" w:space="0" w:color="auto"/>
            </w:tcBorders>
            <w:noWrap/>
            <w:hideMark/>
          </w:tcPr>
          <w:p w14:paraId="0FAA342C" w14:textId="77777777" w:rsidR="00F91F10" w:rsidRPr="00F91F10" w:rsidRDefault="00F91F10" w:rsidP="00C9196F">
            <w:pPr>
              <w:rPr>
                <w:rFonts w:ascii="Arial" w:eastAsia="Times New Roman" w:hAnsi="Arial" w:cs="Arial"/>
                <w:b/>
                <w:bCs/>
                <w:color w:val="000000"/>
                <w:sz w:val="20"/>
                <w:szCs w:val="20"/>
                <w:lang w:val="en-GB" w:eastAsia="en-GB" w:bidi="ta-IN"/>
              </w:rPr>
            </w:pPr>
            <w:r w:rsidRPr="00F91F10">
              <w:rPr>
                <w:rFonts w:ascii="Arial" w:eastAsia="Times New Roman" w:hAnsi="Arial" w:cs="Arial"/>
                <w:b/>
                <w:bCs/>
                <w:color w:val="000000"/>
                <w:sz w:val="20"/>
                <w:szCs w:val="20"/>
                <w:lang w:val="en-GB" w:eastAsia="en-GB" w:bidi="ta-IN"/>
              </w:rPr>
              <w:t>Oxalic Acid Content (mg/g)</w:t>
            </w:r>
          </w:p>
        </w:tc>
      </w:tr>
      <w:tr w:rsidR="00F91F10" w:rsidRPr="00F91F10" w14:paraId="0B04438D" w14:textId="77777777" w:rsidTr="00F91F10">
        <w:trPr>
          <w:trHeight w:val="300"/>
          <w:jc w:val="center"/>
        </w:trPr>
        <w:tc>
          <w:tcPr>
            <w:tcW w:w="1218" w:type="dxa"/>
            <w:tcBorders>
              <w:top w:val="single" w:sz="2" w:space="0" w:color="auto"/>
            </w:tcBorders>
            <w:noWrap/>
            <w:hideMark/>
          </w:tcPr>
          <w:p w14:paraId="12491103"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T1</w:t>
            </w:r>
          </w:p>
        </w:tc>
        <w:tc>
          <w:tcPr>
            <w:tcW w:w="1477" w:type="dxa"/>
            <w:tcBorders>
              <w:top w:val="single" w:sz="2" w:space="0" w:color="auto"/>
            </w:tcBorders>
            <w:noWrap/>
          </w:tcPr>
          <w:p w14:paraId="181E5F5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2.573 ± 0.015ᵃ</w:t>
            </w:r>
          </w:p>
        </w:tc>
        <w:tc>
          <w:tcPr>
            <w:tcW w:w="1440" w:type="dxa"/>
            <w:tcBorders>
              <w:top w:val="single" w:sz="2" w:space="0" w:color="auto"/>
            </w:tcBorders>
            <w:noWrap/>
          </w:tcPr>
          <w:p w14:paraId="603BFF0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0.651 ± 0.002ᵃ</w:t>
            </w:r>
          </w:p>
        </w:tc>
        <w:tc>
          <w:tcPr>
            <w:tcW w:w="1328" w:type="dxa"/>
            <w:tcBorders>
              <w:top w:val="single" w:sz="2" w:space="0" w:color="auto"/>
            </w:tcBorders>
            <w:noWrap/>
          </w:tcPr>
          <w:p w14:paraId="78B4278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2.785 ± 0.013ᵉ</w:t>
            </w:r>
          </w:p>
        </w:tc>
        <w:tc>
          <w:tcPr>
            <w:tcW w:w="1434" w:type="dxa"/>
            <w:tcBorders>
              <w:top w:val="single" w:sz="2" w:space="0" w:color="auto"/>
            </w:tcBorders>
            <w:noWrap/>
          </w:tcPr>
          <w:p w14:paraId="325E554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0.784 ± 0.024ᶜ</w:t>
            </w:r>
          </w:p>
        </w:tc>
        <w:tc>
          <w:tcPr>
            <w:tcW w:w="1358" w:type="dxa"/>
            <w:tcBorders>
              <w:top w:val="single" w:sz="2" w:space="0" w:color="auto"/>
            </w:tcBorders>
            <w:noWrap/>
            <w:hideMark/>
          </w:tcPr>
          <w:p w14:paraId="67F9F41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4.49 ± 0.007ᵉ</w:t>
            </w:r>
          </w:p>
        </w:tc>
        <w:tc>
          <w:tcPr>
            <w:tcW w:w="1162" w:type="dxa"/>
            <w:tcBorders>
              <w:top w:val="single" w:sz="2" w:space="0" w:color="auto"/>
            </w:tcBorders>
            <w:noWrap/>
            <w:hideMark/>
          </w:tcPr>
          <w:p w14:paraId="7B15B66C"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0.0303 ± 0.0000ᶜ</w:t>
            </w:r>
          </w:p>
        </w:tc>
      </w:tr>
      <w:tr w:rsidR="00F91F10" w:rsidRPr="00F91F10" w14:paraId="3434E737" w14:textId="77777777" w:rsidTr="00F91F10">
        <w:trPr>
          <w:trHeight w:val="300"/>
          <w:jc w:val="center"/>
        </w:trPr>
        <w:tc>
          <w:tcPr>
            <w:tcW w:w="1218" w:type="dxa"/>
            <w:noWrap/>
            <w:hideMark/>
          </w:tcPr>
          <w:p w14:paraId="3DA0248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T2</w:t>
            </w:r>
          </w:p>
        </w:tc>
        <w:tc>
          <w:tcPr>
            <w:tcW w:w="1477" w:type="dxa"/>
            <w:noWrap/>
          </w:tcPr>
          <w:p w14:paraId="43A5501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2.457 ± 0.020ᵇ</w:t>
            </w:r>
          </w:p>
        </w:tc>
        <w:tc>
          <w:tcPr>
            <w:tcW w:w="1440" w:type="dxa"/>
            <w:noWrap/>
          </w:tcPr>
          <w:p w14:paraId="37FF4DEA"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0.603 ± 0.001ᵇ</w:t>
            </w:r>
          </w:p>
        </w:tc>
        <w:tc>
          <w:tcPr>
            <w:tcW w:w="1328" w:type="dxa"/>
            <w:noWrap/>
          </w:tcPr>
          <w:p w14:paraId="585CDAA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2.642 ± 0.016ᵉ</w:t>
            </w:r>
          </w:p>
        </w:tc>
        <w:tc>
          <w:tcPr>
            <w:tcW w:w="1434" w:type="dxa"/>
            <w:noWrap/>
          </w:tcPr>
          <w:p w14:paraId="7D3C3D68"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0.935 ± 0.059ᵇ</w:t>
            </w:r>
          </w:p>
        </w:tc>
        <w:tc>
          <w:tcPr>
            <w:tcW w:w="1358" w:type="dxa"/>
            <w:noWrap/>
            <w:hideMark/>
          </w:tcPr>
          <w:p w14:paraId="0B0CC6B4"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4.97 ± 0.017ᵇ</w:t>
            </w:r>
          </w:p>
        </w:tc>
        <w:tc>
          <w:tcPr>
            <w:tcW w:w="1162" w:type="dxa"/>
            <w:noWrap/>
            <w:hideMark/>
          </w:tcPr>
          <w:p w14:paraId="042FAE0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0.0254 ± 0.0020ᵉ</w:t>
            </w:r>
          </w:p>
        </w:tc>
      </w:tr>
      <w:tr w:rsidR="00F91F10" w:rsidRPr="00F91F10" w14:paraId="1F14645A" w14:textId="77777777" w:rsidTr="00F91F10">
        <w:trPr>
          <w:trHeight w:val="300"/>
          <w:jc w:val="center"/>
        </w:trPr>
        <w:tc>
          <w:tcPr>
            <w:tcW w:w="1218" w:type="dxa"/>
            <w:noWrap/>
            <w:hideMark/>
          </w:tcPr>
          <w:p w14:paraId="6C96EF30"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T3</w:t>
            </w:r>
          </w:p>
        </w:tc>
        <w:tc>
          <w:tcPr>
            <w:tcW w:w="1477" w:type="dxa"/>
            <w:noWrap/>
          </w:tcPr>
          <w:p w14:paraId="7562E5D7"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2.463 ± 0.020ᵇ</w:t>
            </w:r>
          </w:p>
        </w:tc>
        <w:tc>
          <w:tcPr>
            <w:tcW w:w="1440" w:type="dxa"/>
            <w:noWrap/>
          </w:tcPr>
          <w:p w14:paraId="6E186E67"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0.503 ± 0.001ᶜ</w:t>
            </w:r>
          </w:p>
        </w:tc>
        <w:tc>
          <w:tcPr>
            <w:tcW w:w="1328" w:type="dxa"/>
            <w:noWrap/>
          </w:tcPr>
          <w:p w14:paraId="3A5044A7"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2.554 ± 0.016ᵈ</w:t>
            </w:r>
          </w:p>
        </w:tc>
        <w:tc>
          <w:tcPr>
            <w:tcW w:w="1434" w:type="dxa"/>
            <w:noWrap/>
          </w:tcPr>
          <w:p w14:paraId="34668F6A"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0.913 ± 0.060ᵇ</w:t>
            </w:r>
          </w:p>
        </w:tc>
        <w:tc>
          <w:tcPr>
            <w:tcW w:w="1358" w:type="dxa"/>
            <w:noWrap/>
            <w:hideMark/>
          </w:tcPr>
          <w:p w14:paraId="5D9899B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5.37 ± 0.067ᵃ</w:t>
            </w:r>
            <w:r w:rsidRPr="00F91F10">
              <w:rPr>
                <w:rFonts w:ascii="Arial" w:eastAsia="Times New Roman" w:hAnsi="Arial" w:cs="Arial"/>
                <w:color w:val="000000"/>
                <w:sz w:val="20"/>
                <w:szCs w:val="20"/>
                <w:vertAlign w:val="superscript"/>
                <w:lang w:val="en-GB" w:eastAsia="en-GB" w:bidi="ta-IN"/>
              </w:rPr>
              <w:t>*</w:t>
            </w:r>
          </w:p>
        </w:tc>
        <w:tc>
          <w:tcPr>
            <w:tcW w:w="1162" w:type="dxa"/>
            <w:noWrap/>
            <w:hideMark/>
          </w:tcPr>
          <w:p w14:paraId="424D006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0.0275 ± 0.0010ᵈ</w:t>
            </w:r>
          </w:p>
        </w:tc>
      </w:tr>
      <w:tr w:rsidR="00F91F10" w:rsidRPr="00F91F10" w14:paraId="1D8F6788" w14:textId="77777777" w:rsidTr="00F91F10">
        <w:trPr>
          <w:trHeight w:val="300"/>
          <w:jc w:val="center"/>
        </w:trPr>
        <w:tc>
          <w:tcPr>
            <w:tcW w:w="1218" w:type="dxa"/>
            <w:noWrap/>
            <w:hideMark/>
          </w:tcPr>
          <w:p w14:paraId="6C5AA5B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T4</w:t>
            </w:r>
          </w:p>
        </w:tc>
        <w:tc>
          <w:tcPr>
            <w:tcW w:w="1477" w:type="dxa"/>
            <w:noWrap/>
          </w:tcPr>
          <w:p w14:paraId="6C9523B7"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2.690 ± 0.015ᵃ</w:t>
            </w:r>
          </w:p>
        </w:tc>
        <w:tc>
          <w:tcPr>
            <w:tcW w:w="1440" w:type="dxa"/>
            <w:noWrap/>
          </w:tcPr>
          <w:p w14:paraId="30881E97"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0.620 ± 0.003ᵃ</w:t>
            </w:r>
          </w:p>
        </w:tc>
        <w:tc>
          <w:tcPr>
            <w:tcW w:w="1328" w:type="dxa"/>
            <w:noWrap/>
          </w:tcPr>
          <w:p w14:paraId="710A4B1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2.855 ± 0.015ᵈ</w:t>
            </w:r>
          </w:p>
        </w:tc>
        <w:tc>
          <w:tcPr>
            <w:tcW w:w="1434" w:type="dxa"/>
            <w:noWrap/>
          </w:tcPr>
          <w:p w14:paraId="32F0839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0.987 ± 0.034ᵇ</w:t>
            </w:r>
          </w:p>
        </w:tc>
        <w:tc>
          <w:tcPr>
            <w:tcW w:w="1358" w:type="dxa"/>
            <w:noWrap/>
            <w:hideMark/>
          </w:tcPr>
          <w:p w14:paraId="4FF4C24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4.38 ± 0.009ᵉ</w:t>
            </w:r>
          </w:p>
        </w:tc>
        <w:tc>
          <w:tcPr>
            <w:tcW w:w="1162" w:type="dxa"/>
            <w:noWrap/>
            <w:hideMark/>
          </w:tcPr>
          <w:p w14:paraId="7BCDB46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0.0314 ± 0.0000ᵇ</w:t>
            </w:r>
          </w:p>
        </w:tc>
      </w:tr>
      <w:tr w:rsidR="00F91F10" w:rsidRPr="00F91F10" w14:paraId="0216A543" w14:textId="77777777" w:rsidTr="00F91F10">
        <w:trPr>
          <w:trHeight w:val="300"/>
          <w:jc w:val="center"/>
        </w:trPr>
        <w:tc>
          <w:tcPr>
            <w:tcW w:w="1218" w:type="dxa"/>
            <w:noWrap/>
            <w:hideMark/>
          </w:tcPr>
          <w:p w14:paraId="21838D39"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T5</w:t>
            </w:r>
          </w:p>
        </w:tc>
        <w:tc>
          <w:tcPr>
            <w:tcW w:w="1477" w:type="dxa"/>
            <w:noWrap/>
          </w:tcPr>
          <w:p w14:paraId="4ECD7BC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1.477 ± 0.019ᵉ</w:t>
            </w:r>
          </w:p>
        </w:tc>
        <w:tc>
          <w:tcPr>
            <w:tcW w:w="1440" w:type="dxa"/>
            <w:noWrap/>
          </w:tcPr>
          <w:p w14:paraId="3C116FDC"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0.302 ± 0.004ᵉ</w:t>
            </w:r>
          </w:p>
        </w:tc>
        <w:tc>
          <w:tcPr>
            <w:tcW w:w="1328" w:type="dxa"/>
            <w:noWrap/>
          </w:tcPr>
          <w:p w14:paraId="03FD0F1C"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1.531 ± 0.019ᶜ</w:t>
            </w:r>
          </w:p>
        </w:tc>
        <w:tc>
          <w:tcPr>
            <w:tcW w:w="1434" w:type="dxa"/>
            <w:noWrap/>
          </w:tcPr>
          <w:p w14:paraId="1E3963E4"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0.687 ± 0.069ᶜ</w:t>
            </w:r>
          </w:p>
        </w:tc>
        <w:tc>
          <w:tcPr>
            <w:tcW w:w="1358" w:type="dxa"/>
            <w:noWrap/>
            <w:hideMark/>
          </w:tcPr>
          <w:p w14:paraId="1AB9D69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4.90 ± 0.010ᶜ</w:t>
            </w:r>
          </w:p>
        </w:tc>
        <w:tc>
          <w:tcPr>
            <w:tcW w:w="1162" w:type="dxa"/>
            <w:noWrap/>
            <w:hideMark/>
          </w:tcPr>
          <w:p w14:paraId="6669C0CF"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0.0329 ± 0.0020ᵇ</w:t>
            </w:r>
          </w:p>
        </w:tc>
      </w:tr>
      <w:tr w:rsidR="00F91F10" w:rsidRPr="00F91F10" w14:paraId="0DAFF737" w14:textId="77777777" w:rsidTr="00F91F10">
        <w:trPr>
          <w:trHeight w:val="300"/>
          <w:jc w:val="center"/>
        </w:trPr>
        <w:tc>
          <w:tcPr>
            <w:tcW w:w="1218" w:type="dxa"/>
            <w:noWrap/>
            <w:hideMark/>
          </w:tcPr>
          <w:p w14:paraId="39CEA992"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T6</w:t>
            </w:r>
          </w:p>
        </w:tc>
        <w:tc>
          <w:tcPr>
            <w:tcW w:w="1477" w:type="dxa"/>
            <w:noWrap/>
          </w:tcPr>
          <w:p w14:paraId="484C22A7"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1.447 ± 0.015ᵉ</w:t>
            </w:r>
          </w:p>
        </w:tc>
        <w:tc>
          <w:tcPr>
            <w:tcW w:w="1440" w:type="dxa"/>
            <w:noWrap/>
          </w:tcPr>
          <w:p w14:paraId="2BDA3EA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0.320 ± 0.003ᵉ</w:t>
            </w:r>
          </w:p>
        </w:tc>
        <w:tc>
          <w:tcPr>
            <w:tcW w:w="1328" w:type="dxa"/>
            <w:noWrap/>
          </w:tcPr>
          <w:p w14:paraId="6EA177C8"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1.523 ± 0.014ᵇ</w:t>
            </w:r>
          </w:p>
        </w:tc>
        <w:tc>
          <w:tcPr>
            <w:tcW w:w="1434" w:type="dxa"/>
            <w:noWrap/>
          </w:tcPr>
          <w:p w14:paraId="437D36EE"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0.908 ± 0.039ᵇ</w:t>
            </w:r>
          </w:p>
        </w:tc>
        <w:tc>
          <w:tcPr>
            <w:tcW w:w="1358" w:type="dxa"/>
            <w:noWrap/>
            <w:hideMark/>
          </w:tcPr>
          <w:p w14:paraId="35B12B4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4.62 ± 0.010ᵈ</w:t>
            </w:r>
          </w:p>
        </w:tc>
        <w:tc>
          <w:tcPr>
            <w:tcW w:w="1162" w:type="dxa"/>
            <w:noWrap/>
            <w:hideMark/>
          </w:tcPr>
          <w:p w14:paraId="68D6A620"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0.0342 ± 0.0010ᵃ</w:t>
            </w:r>
          </w:p>
        </w:tc>
      </w:tr>
      <w:tr w:rsidR="00F91F10" w:rsidRPr="00F91F10" w14:paraId="5F312B18" w14:textId="77777777" w:rsidTr="00F91F10">
        <w:trPr>
          <w:trHeight w:val="300"/>
          <w:jc w:val="center"/>
        </w:trPr>
        <w:tc>
          <w:tcPr>
            <w:tcW w:w="1218" w:type="dxa"/>
            <w:noWrap/>
            <w:hideMark/>
          </w:tcPr>
          <w:p w14:paraId="32ABA770"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T7</w:t>
            </w:r>
          </w:p>
        </w:tc>
        <w:tc>
          <w:tcPr>
            <w:tcW w:w="1477" w:type="dxa"/>
            <w:noWrap/>
          </w:tcPr>
          <w:p w14:paraId="7E433ED6"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1.873 ± 0.018ᵈ</w:t>
            </w:r>
          </w:p>
        </w:tc>
        <w:tc>
          <w:tcPr>
            <w:tcW w:w="1440" w:type="dxa"/>
            <w:noWrap/>
          </w:tcPr>
          <w:p w14:paraId="74CE9F0F"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0.401 ± 0.002ᵈ</w:t>
            </w:r>
          </w:p>
        </w:tc>
        <w:tc>
          <w:tcPr>
            <w:tcW w:w="1328" w:type="dxa"/>
            <w:noWrap/>
          </w:tcPr>
          <w:p w14:paraId="35B90473"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1.960 ± 0.016ᵇ</w:t>
            </w:r>
          </w:p>
        </w:tc>
        <w:tc>
          <w:tcPr>
            <w:tcW w:w="1434" w:type="dxa"/>
            <w:noWrap/>
          </w:tcPr>
          <w:p w14:paraId="15EC8F50"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0.672 ± 0.089ᶜ</w:t>
            </w:r>
          </w:p>
        </w:tc>
        <w:tc>
          <w:tcPr>
            <w:tcW w:w="1358" w:type="dxa"/>
            <w:noWrap/>
            <w:hideMark/>
          </w:tcPr>
          <w:p w14:paraId="2F42BA3E"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5.32 ± 0.040ᵃ</w:t>
            </w:r>
          </w:p>
        </w:tc>
        <w:tc>
          <w:tcPr>
            <w:tcW w:w="1162" w:type="dxa"/>
            <w:noWrap/>
            <w:hideMark/>
          </w:tcPr>
          <w:p w14:paraId="2DEFAF9F"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0.0237 ± 0.0000ᵉ</w:t>
            </w:r>
          </w:p>
        </w:tc>
      </w:tr>
      <w:tr w:rsidR="00F91F10" w:rsidRPr="00F91F10" w14:paraId="3D4FDB85" w14:textId="77777777" w:rsidTr="00F91F10">
        <w:trPr>
          <w:trHeight w:val="300"/>
          <w:jc w:val="center"/>
        </w:trPr>
        <w:tc>
          <w:tcPr>
            <w:tcW w:w="1218" w:type="dxa"/>
            <w:noWrap/>
            <w:hideMark/>
          </w:tcPr>
          <w:p w14:paraId="7C4F2AB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T8</w:t>
            </w:r>
          </w:p>
        </w:tc>
        <w:tc>
          <w:tcPr>
            <w:tcW w:w="1477" w:type="dxa"/>
            <w:noWrap/>
          </w:tcPr>
          <w:p w14:paraId="0427412C"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1.937 ± 0.015ᵈ</w:t>
            </w:r>
          </w:p>
        </w:tc>
        <w:tc>
          <w:tcPr>
            <w:tcW w:w="1440" w:type="dxa"/>
            <w:noWrap/>
          </w:tcPr>
          <w:p w14:paraId="70FBE490"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0.421 ± 0.002ᵈ</w:t>
            </w:r>
          </w:p>
        </w:tc>
        <w:tc>
          <w:tcPr>
            <w:tcW w:w="1328" w:type="dxa"/>
            <w:noWrap/>
          </w:tcPr>
          <w:p w14:paraId="0A7C4F4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2.032 ± 0.013ᵇ</w:t>
            </w:r>
          </w:p>
        </w:tc>
        <w:tc>
          <w:tcPr>
            <w:tcW w:w="1434" w:type="dxa"/>
            <w:noWrap/>
          </w:tcPr>
          <w:p w14:paraId="5DF9AD5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0.797 ± 0.046ᶜ</w:t>
            </w:r>
          </w:p>
        </w:tc>
        <w:tc>
          <w:tcPr>
            <w:tcW w:w="1358" w:type="dxa"/>
            <w:noWrap/>
            <w:hideMark/>
          </w:tcPr>
          <w:p w14:paraId="4E7C6B1A"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5.16 ± 0.020ᵇ</w:t>
            </w:r>
          </w:p>
        </w:tc>
        <w:tc>
          <w:tcPr>
            <w:tcW w:w="1162" w:type="dxa"/>
            <w:noWrap/>
            <w:hideMark/>
          </w:tcPr>
          <w:p w14:paraId="1625A5A1"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0.0268 ± 0.0010ᵈ</w:t>
            </w:r>
          </w:p>
        </w:tc>
      </w:tr>
      <w:tr w:rsidR="00F91F10" w:rsidRPr="00F91F10" w14:paraId="5384FCA7" w14:textId="77777777" w:rsidTr="00F91F10">
        <w:trPr>
          <w:trHeight w:val="300"/>
          <w:jc w:val="center"/>
        </w:trPr>
        <w:tc>
          <w:tcPr>
            <w:tcW w:w="1218" w:type="dxa"/>
            <w:noWrap/>
            <w:hideMark/>
          </w:tcPr>
          <w:p w14:paraId="3BA5427A"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T9</w:t>
            </w:r>
          </w:p>
        </w:tc>
        <w:tc>
          <w:tcPr>
            <w:tcW w:w="1477" w:type="dxa"/>
            <w:noWrap/>
          </w:tcPr>
          <w:p w14:paraId="4DF40EE6"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1.427 ± 0.017ᵉ</w:t>
            </w:r>
          </w:p>
        </w:tc>
        <w:tc>
          <w:tcPr>
            <w:tcW w:w="1440" w:type="dxa"/>
            <w:noWrap/>
          </w:tcPr>
          <w:p w14:paraId="26EC5975"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0.350 ± 0.003ᵉ</w:t>
            </w:r>
          </w:p>
        </w:tc>
        <w:tc>
          <w:tcPr>
            <w:tcW w:w="1328" w:type="dxa"/>
            <w:noWrap/>
          </w:tcPr>
          <w:p w14:paraId="5430B76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1.534 ± 0.014ᵃ</w:t>
            </w:r>
          </w:p>
        </w:tc>
        <w:tc>
          <w:tcPr>
            <w:tcW w:w="1434" w:type="dxa"/>
            <w:noWrap/>
          </w:tcPr>
          <w:p w14:paraId="6BF95C82"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0.550 ± 0.017ᵈ</w:t>
            </w:r>
          </w:p>
        </w:tc>
        <w:tc>
          <w:tcPr>
            <w:tcW w:w="1358" w:type="dxa"/>
            <w:noWrap/>
            <w:hideMark/>
          </w:tcPr>
          <w:p w14:paraId="585EE2D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4.54 ± 0.010ᵉ</w:t>
            </w:r>
          </w:p>
        </w:tc>
        <w:tc>
          <w:tcPr>
            <w:tcW w:w="1162" w:type="dxa"/>
            <w:noWrap/>
            <w:hideMark/>
          </w:tcPr>
          <w:p w14:paraId="4B31E0AC"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0.0368 ± 0.0010ᵃ</w:t>
            </w:r>
          </w:p>
        </w:tc>
      </w:tr>
      <w:tr w:rsidR="00F91F10" w:rsidRPr="00F91F10" w14:paraId="2D090488" w14:textId="77777777" w:rsidTr="00F91F10">
        <w:trPr>
          <w:trHeight w:val="300"/>
          <w:jc w:val="center"/>
        </w:trPr>
        <w:tc>
          <w:tcPr>
            <w:tcW w:w="1218" w:type="dxa"/>
            <w:noWrap/>
            <w:hideMark/>
          </w:tcPr>
          <w:p w14:paraId="2FDD682A"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T10</w:t>
            </w:r>
          </w:p>
        </w:tc>
        <w:tc>
          <w:tcPr>
            <w:tcW w:w="1477" w:type="dxa"/>
            <w:noWrap/>
          </w:tcPr>
          <w:p w14:paraId="5BF1D066"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2.857 ± 0.015ᵇ</w:t>
            </w:r>
          </w:p>
        </w:tc>
        <w:tc>
          <w:tcPr>
            <w:tcW w:w="1440" w:type="dxa"/>
            <w:noWrap/>
          </w:tcPr>
          <w:p w14:paraId="66D4BB49"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0.581 ± 0.002ᵇ</w:t>
            </w:r>
          </w:p>
        </w:tc>
        <w:tc>
          <w:tcPr>
            <w:tcW w:w="1328" w:type="dxa"/>
            <w:noWrap/>
          </w:tcPr>
          <w:p w14:paraId="0A21BE62"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2.960 ± 0.013ᵃ</w:t>
            </w:r>
          </w:p>
        </w:tc>
        <w:tc>
          <w:tcPr>
            <w:tcW w:w="1434" w:type="dxa"/>
            <w:noWrap/>
          </w:tcPr>
          <w:p w14:paraId="4B91676E"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1.183 ± 0.029ᵃ</w:t>
            </w:r>
          </w:p>
        </w:tc>
        <w:tc>
          <w:tcPr>
            <w:tcW w:w="1358" w:type="dxa"/>
            <w:noWrap/>
            <w:hideMark/>
          </w:tcPr>
          <w:p w14:paraId="2439B8C9"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4.80 ± 0.010ᶜ</w:t>
            </w:r>
          </w:p>
        </w:tc>
        <w:tc>
          <w:tcPr>
            <w:tcW w:w="1162" w:type="dxa"/>
            <w:noWrap/>
            <w:hideMark/>
          </w:tcPr>
          <w:p w14:paraId="5572B7FB"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0.0218 ± 0.0000ᵉ*</w:t>
            </w:r>
          </w:p>
        </w:tc>
      </w:tr>
      <w:tr w:rsidR="00F91F10" w:rsidRPr="00F91F10" w14:paraId="2C97CDC4" w14:textId="77777777" w:rsidTr="00F91F10">
        <w:trPr>
          <w:trHeight w:val="300"/>
          <w:jc w:val="center"/>
        </w:trPr>
        <w:tc>
          <w:tcPr>
            <w:tcW w:w="1218" w:type="dxa"/>
            <w:tcBorders>
              <w:bottom w:val="single" w:sz="2" w:space="0" w:color="auto"/>
            </w:tcBorders>
            <w:noWrap/>
            <w:hideMark/>
          </w:tcPr>
          <w:p w14:paraId="4DFFA1E8"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T11</w:t>
            </w:r>
          </w:p>
        </w:tc>
        <w:tc>
          <w:tcPr>
            <w:tcW w:w="1477" w:type="dxa"/>
            <w:tcBorders>
              <w:bottom w:val="single" w:sz="2" w:space="0" w:color="auto"/>
            </w:tcBorders>
            <w:noWrap/>
          </w:tcPr>
          <w:p w14:paraId="62F32C94" w14:textId="77777777" w:rsidR="00F91F10" w:rsidRPr="00F91F10" w:rsidRDefault="00F91F10" w:rsidP="00C9196F">
            <w:pPr>
              <w:rPr>
                <w:rFonts w:ascii="Arial" w:eastAsia="Times New Roman" w:hAnsi="Arial" w:cs="Arial"/>
                <w:color w:val="000000"/>
                <w:sz w:val="20"/>
                <w:szCs w:val="20"/>
                <w:lang w:val="en-GB" w:eastAsia="en-GB" w:bidi="ta-IN"/>
              </w:rPr>
            </w:pPr>
            <w:bookmarkStart w:id="2" w:name="_Hlk187954810"/>
            <w:r w:rsidRPr="00F91F10">
              <w:rPr>
                <w:rFonts w:ascii="Arial" w:hAnsi="Arial" w:cs="Arial"/>
                <w:color w:val="000000"/>
                <w:sz w:val="20"/>
                <w:szCs w:val="20"/>
              </w:rPr>
              <w:t xml:space="preserve">3.173 </w:t>
            </w:r>
            <w:bookmarkEnd w:id="2"/>
            <w:r w:rsidRPr="00F91F10">
              <w:rPr>
                <w:rFonts w:ascii="Arial" w:hAnsi="Arial" w:cs="Arial"/>
                <w:color w:val="000000"/>
                <w:sz w:val="20"/>
                <w:szCs w:val="20"/>
              </w:rPr>
              <w:t>± 0.018ᵃ*</w:t>
            </w:r>
          </w:p>
        </w:tc>
        <w:tc>
          <w:tcPr>
            <w:tcW w:w="1440" w:type="dxa"/>
            <w:tcBorders>
              <w:bottom w:val="single" w:sz="2" w:space="0" w:color="auto"/>
            </w:tcBorders>
            <w:noWrap/>
          </w:tcPr>
          <w:p w14:paraId="260207C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0.752 ± 0.004ᵃ*</w:t>
            </w:r>
          </w:p>
        </w:tc>
        <w:tc>
          <w:tcPr>
            <w:tcW w:w="1328" w:type="dxa"/>
            <w:tcBorders>
              <w:bottom w:val="single" w:sz="2" w:space="0" w:color="auto"/>
            </w:tcBorders>
            <w:noWrap/>
          </w:tcPr>
          <w:p w14:paraId="36F21BBD"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3.387 ± 0.017ᵃ*</w:t>
            </w:r>
          </w:p>
        </w:tc>
        <w:tc>
          <w:tcPr>
            <w:tcW w:w="1434" w:type="dxa"/>
            <w:tcBorders>
              <w:bottom w:val="single" w:sz="2" w:space="0" w:color="auto"/>
            </w:tcBorders>
            <w:noWrap/>
          </w:tcPr>
          <w:p w14:paraId="011EFA74"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hAnsi="Arial" w:cs="Arial"/>
                <w:color w:val="000000"/>
                <w:sz w:val="20"/>
                <w:szCs w:val="20"/>
              </w:rPr>
              <w:t>1.391 ± 0.074ᵃ*</w:t>
            </w:r>
          </w:p>
        </w:tc>
        <w:tc>
          <w:tcPr>
            <w:tcW w:w="1358" w:type="dxa"/>
            <w:tcBorders>
              <w:bottom w:val="single" w:sz="2" w:space="0" w:color="auto"/>
            </w:tcBorders>
            <w:noWrap/>
            <w:hideMark/>
          </w:tcPr>
          <w:p w14:paraId="1C7AF0FC"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4.75 ± 0.007ᶜ</w:t>
            </w:r>
          </w:p>
        </w:tc>
        <w:tc>
          <w:tcPr>
            <w:tcW w:w="1162" w:type="dxa"/>
            <w:tcBorders>
              <w:bottom w:val="single" w:sz="2" w:space="0" w:color="auto"/>
            </w:tcBorders>
            <w:noWrap/>
            <w:hideMark/>
          </w:tcPr>
          <w:p w14:paraId="337BB9E8" w14:textId="77777777" w:rsidR="00F91F10" w:rsidRPr="00F91F10" w:rsidRDefault="00F91F10" w:rsidP="00C9196F">
            <w:pPr>
              <w:rPr>
                <w:rFonts w:ascii="Arial" w:eastAsia="Times New Roman" w:hAnsi="Arial" w:cs="Arial"/>
                <w:color w:val="000000"/>
                <w:sz w:val="20"/>
                <w:szCs w:val="20"/>
                <w:lang w:val="en-GB" w:eastAsia="en-GB" w:bidi="ta-IN"/>
              </w:rPr>
            </w:pPr>
            <w:r w:rsidRPr="00F91F10">
              <w:rPr>
                <w:rFonts w:ascii="Arial" w:eastAsia="Times New Roman" w:hAnsi="Arial" w:cs="Arial"/>
                <w:color w:val="000000"/>
                <w:sz w:val="20"/>
                <w:szCs w:val="20"/>
                <w:lang w:val="en-GB" w:eastAsia="en-GB" w:bidi="ta-IN"/>
              </w:rPr>
              <w:t>0.0283 ± 0.0020ᶜ</w:t>
            </w:r>
          </w:p>
        </w:tc>
      </w:tr>
    </w:tbl>
    <w:p w14:paraId="45BDB945" w14:textId="77777777" w:rsidR="00F91F10" w:rsidRPr="00F91F10" w:rsidRDefault="00F91F10" w:rsidP="00F91F10">
      <w:pPr>
        <w:pStyle w:val="Body"/>
        <w:spacing w:after="0"/>
        <w:rPr>
          <w:rFonts w:ascii="Arial" w:hAnsi="Arial" w:cs="Arial"/>
          <w:i/>
          <w:iCs/>
          <w:color w:val="000000" w:themeColor="text1"/>
        </w:rPr>
      </w:pPr>
      <w:r w:rsidRPr="00F91F10">
        <w:rPr>
          <w:rFonts w:ascii="Arial" w:hAnsi="Arial" w:cs="Arial"/>
          <w:i/>
          <w:iCs/>
          <w:color w:val="000000" w:themeColor="text1"/>
        </w:rPr>
        <w:t>Values in the table are averages of two seasons. Values are presented as mean ± standard error (S.E.). Values followed by the same letter within a column are not significantly different at p &lt; 0.05. Asterisks (*) denote treatments with the best result for a given parameter.</w:t>
      </w:r>
    </w:p>
    <w:p w14:paraId="24EBC76F" w14:textId="77777777" w:rsidR="00F91F10" w:rsidRDefault="00F91F10" w:rsidP="00441B6F">
      <w:pPr>
        <w:pStyle w:val="Body"/>
        <w:spacing w:after="0"/>
        <w:rPr>
          <w:rFonts w:ascii="Arial" w:hAnsi="Arial" w:cs="Arial"/>
          <w:color w:val="FF0000"/>
        </w:rPr>
      </w:pPr>
    </w:p>
    <w:p w14:paraId="75B72155" w14:textId="77777777" w:rsidR="00421973" w:rsidRDefault="00421973" w:rsidP="00421973">
      <w:pPr>
        <w:pStyle w:val="Body"/>
        <w:spacing w:after="0"/>
        <w:rPr>
          <w:rFonts w:ascii="Arial" w:hAnsi="Arial" w:cs="Arial"/>
          <w:color w:val="000000" w:themeColor="text1"/>
        </w:rPr>
      </w:pPr>
      <w:r w:rsidRPr="00421973">
        <w:rPr>
          <w:rFonts w:ascii="Arial" w:hAnsi="Arial" w:cs="Arial"/>
          <w:color w:val="000000" w:themeColor="text1"/>
        </w:rPr>
        <w:t>Humic acid also may have increased chlorophyll production. Humic acid speeds respiration and photosynthesis by changing mitochondrial and chloroplast processes (Orlov et al. 2005). </w:t>
      </w:r>
      <w:proofErr w:type="spellStart"/>
      <w:r w:rsidRPr="00421973">
        <w:rPr>
          <w:rFonts w:ascii="Arial" w:hAnsi="Arial" w:cs="Arial"/>
          <w:color w:val="000000" w:themeColor="text1"/>
        </w:rPr>
        <w:t>Hidangmayum</w:t>
      </w:r>
      <w:proofErr w:type="spellEnd"/>
      <w:r w:rsidRPr="00421973">
        <w:rPr>
          <w:rFonts w:ascii="Arial" w:hAnsi="Arial" w:cs="Arial"/>
          <w:color w:val="000000" w:themeColor="text1"/>
        </w:rPr>
        <w:t xml:space="preserve"> and Sharma (2017) found that 0.55% seaweed extract produced the maximum carotenoid content in onion. Additionally, micronutrients like Cu, Mn, and Zn are cofactors of antioxidant enzymes and play a role in metabolic processes (Grotz and Guerinot, 2006).</w:t>
      </w:r>
    </w:p>
    <w:p w14:paraId="5ABBA1AF" w14:textId="77777777" w:rsidR="00421973" w:rsidRPr="00421973" w:rsidRDefault="00421973" w:rsidP="00421973">
      <w:pPr>
        <w:pStyle w:val="Body"/>
        <w:spacing w:after="0"/>
        <w:rPr>
          <w:rFonts w:ascii="Arial" w:hAnsi="Arial" w:cs="Arial"/>
          <w:color w:val="000000" w:themeColor="text1"/>
        </w:rPr>
      </w:pPr>
    </w:p>
    <w:p w14:paraId="0D86A88D" w14:textId="77777777" w:rsidR="00421973" w:rsidRDefault="00421973" w:rsidP="00421973">
      <w:pPr>
        <w:pStyle w:val="Body"/>
        <w:spacing w:after="0"/>
        <w:rPr>
          <w:rFonts w:ascii="Arial" w:hAnsi="Arial" w:cs="Arial"/>
          <w:color w:val="000000" w:themeColor="text1"/>
        </w:rPr>
      </w:pPr>
      <w:r w:rsidRPr="00421973">
        <w:rPr>
          <w:rFonts w:ascii="Arial" w:hAnsi="Arial" w:cs="Arial"/>
          <w:color w:val="000000" w:themeColor="text1"/>
        </w:rPr>
        <w:t xml:space="preserve">Carotenoids, essential for photoprotection and antioxidant activity, showed a similar trend, with T11 achieving the highest levels (1.391 mg/g) (Fig.7d). The second-best treatment was T10 (1.183 mg/g). The control (T9) had the lowest carotenoid content (0.550 mg/g), indicating the inability of untreated plants to enhance their photoprotective mechanisms. </w:t>
      </w:r>
      <w:proofErr w:type="spellStart"/>
      <w:r w:rsidRPr="00421973">
        <w:rPr>
          <w:rFonts w:ascii="Arial" w:hAnsi="Arial" w:cs="Arial"/>
          <w:color w:val="000000" w:themeColor="text1"/>
        </w:rPr>
        <w:t>Biostimulants</w:t>
      </w:r>
      <w:proofErr w:type="spellEnd"/>
      <w:r w:rsidRPr="00421973">
        <w:rPr>
          <w:rFonts w:ascii="Arial" w:hAnsi="Arial" w:cs="Arial"/>
          <w:color w:val="000000" w:themeColor="text1"/>
        </w:rPr>
        <w:t xml:space="preserve"> like seaweed and humic acid have been shown to boost carotenoid content, improving stress tolerance and enhancing overall plant health (</w:t>
      </w:r>
      <w:proofErr w:type="spellStart"/>
      <w:r w:rsidRPr="00421973">
        <w:rPr>
          <w:rFonts w:ascii="Arial" w:hAnsi="Arial" w:cs="Arial"/>
          <w:color w:val="000000" w:themeColor="text1"/>
        </w:rPr>
        <w:t>Sherinlincy</w:t>
      </w:r>
      <w:proofErr w:type="spellEnd"/>
      <w:r w:rsidRPr="00421973">
        <w:rPr>
          <w:rFonts w:ascii="Arial" w:hAnsi="Arial" w:cs="Arial"/>
          <w:color w:val="000000" w:themeColor="text1"/>
        </w:rPr>
        <w:t xml:space="preserve"> et al., 2020).</w:t>
      </w:r>
    </w:p>
    <w:p w14:paraId="2C7372CD" w14:textId="77777777" w:rsidR="00421973" w:rsidRDefault="00421973" w:rsidP="00421973">
      <w:pPr>
        <w:pStyle w:val="Body"/>
        <w:spacing w:after="0"/>
        <w:rPr>
          <w:rFonts w:ascii="Arial" w:hAnsi="Arial" w:cs="Arial"/>
          <w:color w:val="000000" w:themeColor="text1"/>
        </w:rPr>
      </w:pPr>
    </w:p>
    <w:p w14:paraId="615459F6" w14:textId="77777777" w:rsidR="00421973" w:rsidRDefault="00421973" w:rsidP="00421973">
      <w:pPr>
        <w:pStyle w:val="Body"/>
        <w:spacing w:after="0"/>
        <w:rPr>
          <w:rFonts w:ascii="Arial" w:hAnsi="Arial" w:cs="Arial"/>
          <w:color w:val="000000" w:themeColor="text1"/>
          <w:lang w:val="en-GB"/>
        </w:rPr>
      </w:pPr>
      <w:r w:rsidRPr="00421973">
        <w:rPr>
          <w:rFonts w:ascii="Arial" w:hAnsi="Arial" w:cs="Arial"/>
          <w:color w:val="000000" w:themeColor="text1"/>
          <w:lang w:val="en-GB"/>
        </w:rPr>
        <w:t xml:space="preserve">The pH of plant tissues is an important indicator of metabolic processes, nutrient uptake, and health of the plant as a whole. The highest leaf pH was recorded in T3 (seaweed extract at 6%) with a pH of 5.37 compared to the control (T9-4.54) (Fig.8a). Higher pH recorded in T3 reveals that seaweed extract helps in keeping a balanced cellular environment, which is necessary for enzyme activities and nutrient absorption. Higher pH will increase the uptake of nutrients like nitrogen, phosphorus, and potassium that are essential for plant growth and yield. Moreover, seaweed extract contains bioactive compounds and minerals, which may help to regulate pH by neutralizing acidity in plant tissues (Whapham et al., 1993). Maintenance of </w:t>
      </w:r>
      <w:r w:rsidRPr="00421973">
        <w:rPr>
          <w:rFonts w:ascii="Arial" w:hAnsi="Arial" w:cs="Arial"/>
          <w:color w:val="000000" w:themeColor="text1"/>
          <w:lang w:val="en-GB"/>
        </w:rPr>
        <w:lastRenderedPageBreak/>
        <w:t xml:space="preserve">an optimal pH level also strengthens the plant to cope with environmental stresses, hence promoting overall plant health. The results indicate that the T3 treatment optimally adjusts the physiological conditions in </w:t>
      </w:r>
      <w:r w:rsidRPr="00421973">
        <w:rPr>
          <w:rFonts w:ascii="Arial" w:hAnsi="Arial" w:cs="Arial"/>
          <w:i/>
          <w:iCs/>
          <w:color w:val="000000" w:themeColor="text1"/>
          <w:lang w:val="en-GB"/>
        </w:rPr>
        <w:t>Amaranthus</w:t>
      </w:r>
      <w:r w:rsidRPr="00421973">
        <w:rPr>
          <w:rFonts w:ascii="Arial" w:hAnsi="Arial" w:cs="Arial"/>
          <w:color w:val="000000" w:themeColor="text1"/>
          <w:lang w:val="en-GB"/>
        </w:rPr>
        <w:t xml:space="preserve"> that assure maximum nutrient uptake and metabolic processes, which in turn increase the yields and quality.</w:t>
      </w:r>
    </w:p>
    <w:p w14:paraId="79840FB0" w14:textId="77777777" w:rsidR="00421973" w:rsidRPr="00421973" w:rsidRDefault="00421973" w:rsidP="00421973">
      <w:pPr>
        <w:pStyle w:val="Body"/>
        <w:spacing w:after="0"/>
        <w:rPr>
          <w:rFonts w:ascii="Arial" w:hAnsi="Arial" w:cs="Arial"/>
          <w:color w:val="000000" w:themeColor="text1"/>
          <w:lang w:val="en-GB"/>
        </w:rPr>
      </w:pPr>
    </w:p>
    <w:p w14:paraId="7C0C218F" w14:textId="77777777" w:rsidR="00421973" w:rsidRDefault="00421973" w:rsidP="00421973">
      <w:pPr>
        <w:pStyle w:val="Body"/>
        <w:spacing w:after="0"/>
        <w:rPr>
          <w:rFonts w:ascii="Arial" w:hAnsi="Arial" w:cs="Arial"/>
          <w:color w:val="000000" w:themeColor="text1"/>
          <w:lang w:val="en-GB"/>
        </w:rPr>
      </w:pPr>
      <w:r w:rsidRPr="00421973">
        <w:rPr>
          <w:rFonts w:ascii="Arial" w:hAnsi="Arial" w:cs="Arial"/>
          <w:color w:val="000000" w:themeColor="text1"/>
          <w:lang w:val="en-GB"/>
        </w:rPr>
        <w:t>Oxalic acid is one of the important anti-nutritional factors in Amaranthus, which reduces the bioavailability of essential minerals such as calcium and magnesium (</w:t>
      </w:r>
      <w:proofErr w:type="spellStart"/>
      <w:r w:rsidRPr="00421973">
        <w:rPr>
          <w:rFonts w:ascii="Arial" w:hAnsi="Arial" w:cs="Arial"/>
          <w:color w:val="000000" w:themeColor="text1"/>
          <w:lang w:val="en-GB"/>
        </w:rPr>
        <w:t>Shyfa</w:t>
      </w:r>
      <w:proofErr w:type="spellEnd"/>
      <w:r w:rsidRPr="00421973">
        <w:rPr>
          <w:rFonts w:ascii="Arial" w:hAnsi="Arial" w:cs="Arial"/>
          <w:color w:val="000000" w:themeColor="text1"/>
          <w:lang w:val="en-GB"/>
        </w:rPr>
        <w:t xml:space="preserve"> &amp; Dewi, 2021). The treatments in this study showed a significant influence on oxalic acid content under different </w:t>
      </w:r>
      <w:proofErr w:type="spellStart"/>
      <w:r w:rsidRPr="00421973">
        <w:rPr>
          <w:rFonts w:ascii="Arial" w:hAnsi="Arial" w:cs="Arial"/>
          <w:color w:val="000000" w:themeColor="text1"/>
          <w:lang w:val="en-GB"/>
        </w:rPr>
        <w:t>biostimulant</w:t>
      </w:r>
      <w:proofErr w:type="spellEnd"/>
      <w:r w:rsidRPr="00421973">
        <w:rPr>
          <w:rFonts w:ascii="Arial" w:hAnsi="Arial" w:cs="Arial"/>
          <w:color w:val="000000" w:themeColor="text1"/>
          <w:lang w:val="en-GB"/>
        </w:rPr>
        <w:t xml:space="preserve"> applications. The lowest amount of oxalic acid was found in the treatment T10 at 0.0218 mg/g (Fig.8b), which proves that the combination of these </w:t>
      </w:r>
      <w:proofErr w:type="spellStart"/>
      <w:r w:rsidRPr="00421973">
        <w:rPr>
          <w:rFonts w:ascii="Arial" w:hAnsi="Arial" w:cs="Arial"/>
          <w:color w:val="000000" w:themeColor="text1"/>
          <w:lang w:val="en-GB"/>
        </w:rPr>
        <w:t>biostimulants</w:t>
      </w:r>
      <w:proofErr w:type="spellEnd"/>
      <w:r w:rsidRPr="00421973">
        <w:rPr>
          <w:rFonts w:ascii="Arial" w:hAnsi="Arial" w:cs="Arial"/>
          <w:color w:val="000000" w:themeColor="text1"/>
          <w:lang w:val="en-GB"/>
        </w:rPr>
        <w:t xml:space="preserve"> helps to reduce the accumulation of oxalic acid in plant tissues. This reduction is very vital in improving the nutritional quality of the leaves to make them safer for consumption.</w:t>
      </w:r>
    </w:p>
    <w:p w14:paraId="0D6502E4" w14:textId="77777777" w:rsidR="00421973" w:rsidRPr="00421973" w:rsidRDefault="00421973" w:rsidP="00421973">
      <w:pPr>
        <w:pStyle w:val="Body"/>
        <w:spacing w:after="0"/>
        <w:rPr>
          <w:rFonts w:ascii="Arial" w:hAnsi="Arial" w:cs="Arial"/>
          <w:color w:val="000000" w:themeColor="text1"/>
          <w:lang w:val="en-GB"/>
        </w:rPr>
      </w:pPr>
    </w:p>
    <w:p w14:paraId="78705A11" w14:textId="77777777" w:rsidR="00421973" w:rsidRDefault="00421973" w:rsidP="00421973">
      <w:pPr>
        <w:pStyle w:val="Body"/>
        <w:spacing w:after="0"/>
        <w:rPr>
          <w:rFonts w:ascii="Arial" w:hAnsi="Arial" w:cs="Arial"/>
          <w:color w:val="000000" w:themeColor="text1"/>
        </w:rPr>
      </w:pPr>
      <w:r w:rsidRPr="00421973">
        <w:rPr>
          <w:rFonts w:ascii="Arial" w:hAnsi="Arial" w:cs="Arial"/>
          <w:color w:val="000000" w:themeColor="text1"/>
        </w:rPr>
        <w:t>Compared to the control (T9-0.0368 mg/g), T10 has a reduced content of oxalic acid by approximately 41%. The other treatments that also exhibited a lower oxalic acid content are T7, which was a seaweed extract @ 8%, and T2, which was 2% MLE at 0.0237 mg/g and 0.0254 mg/g, respectively.</w:t>
      </w:r>
      <w:r w:rsidRPr="00421973">
        <w:rPr>
          <w:rFonts w:ascii="Arial" w:hAnsi="Arial" w:cs="Arial"/>
          <w:color w:val="000000" w:themeColor="text1"/>
          <w:lang w:val="en-GB"/>
        </w:rPr>
        <w:t xml:space="preserve"> </w:t>
      </w:r>
      <w:r w:rsidRPr="00421973">
        <w:rPr>
          <w:rFonts w:ascii="Arial" w:hAnsi="Arial" w:cs="Arial"/>
          <w:color w:val="000000" w:themeColor="text1"/>
        </w:rPr>
        <w:t xml:space="preserve">The reduction of oxalic acid is due to the facts that the bio-stimulants applied to the plants causes a higher </w:t>
      </w:r>
      <w:proofErr w:type="spellStart"/>
      <w:r w:rsidRPr="00421973">
        <w:rPr>
          <w:rFonts w:ascii="Arial" w:hAnsi="Arial" w:cs="Arial"/>
          <w:color w:val="000000" w:themeColor="text1"/>
        </w:rPr>
        <w:t>metabolical</w:t>
      </w:r>
      <w:proofErr w:type="spellEnd"/>
      <w:r w:rsidRPr="00421973">
        <w:rPr>
          <w:rFonts w:ascii="Arial" w:hAnsi="Arial" w:cs="Arial"/>
          <w:color w:val="000000" w:themeColor="text1"/>
        </w:rPr>
        <w:t xml:space="preserve"> rate and efficient nutrient adsorption as well as better photosynthesis, stress tolerance absorptions give rise to a decreased concentration of oxalates as a stress product (Lestari &amp; Dewi, 2020).</w:t>
      </w:r>
    </w:p>
    <w:p w14:paraId="79F69FFE" w14:textId="77777777" w:rsidR="00355432" w:rsidRDefault="00355432" w:rsidP="00421973">
      <w:pPr>
        <w:pStyle w:val="Body"/>
        <w:spacing w:after="0"/>
        <w:rPr>
          <w:rFonts w:ascii="Arial" w:hAnsi="Arial" w:cs="Arial"/>
          <w:color w:val="000000" w:themeColor="text1"/>
        </w:rPr>
      </w:pPr>
    </w:p>
    <w:p w14:paraId="4AFA2AF0" w14:textId="75E2338D" w:rsidR="00421973" w:rsidRDefault="00355432" w:rsidP="00421973">
      <w:pPr>
        <w:pStyle w:val="Body"/>
        <w:spacing w:after="0"/>
        <w:rPr>
          <w:rFonts w:ascii="Arial" w:hAnsi="Arial" w:cs="Arial"/>
          <w:color w:val="000000" w:themeColor="text1"/>
          <w:lang w:val="en-GB"/>
        </w:rPr>
      </w:pPr>
      <w:r w:rsidRPr="00460DB0">
        <w:rPr>
          <w:rFonts w:ascii="Times New Roman" w:hAnsi="Times New Roman"/>
          <w:noProof/>
        </w:rPr>
        <w:drawing>
          <wp:inline distT="0" distB="0" distL="0" distR="0" wp14:anchorId="01E09F96" wp14:editId="680C3894">
            <wp:extent cx="5706175" cy="1590675"/>
            <wp:effectExtent l="76200" t="76200" r="142240" b="123825"/>
            <wp:docPr id="1117708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08731" name="Picture 1117708731"/>
                    <pic:cNvPicPr/>
                  </pic:nvPicPr>
                  <pic:blipFill rotWithShape="1">
                    <a:blip r:embed="rId22" cstate="print">
                      <a:extLst>
                        <a:ext uri="{28A0092B-C50C-407E-A947-70E740481C1C}">
                          <a14:useLocalDpi xmlns:a14="http://schemas.microsoft.com/office/drawing/2010/main" val="0"/>
                        </a:ext>
                      </a:extLst>
                    </a:blip>
                    <a:srcRect b="50433"/>
                    <a:stretch/>
                  </pic:blipFill>
                  <pic:spPr bwMode="auto">
                    <a:xfrm>
                      <a:off x="0" y="0"/>
                      <a:ext cx="5714565" cy="15930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43BFCF5" w14:textId="3A7C6997" w:rsidR="00355432" w:rsidRPr="00355432" w:rsidRDefault="00355432" w:rsidP="00421973">
      <w:pPr>
        <w:pStyle w:val="Body"/>
        <w:spacing w:after="0"/>
        <w:rPr>
          <w:rFonts w:ascii="Arial" w:hAnsi="Arial" w:cs="Arial"/>
          <w:b/>
          <w:bCs/>
          <w:color w:val="000000" w:themeColor="text1"/>
        </w:rPr>
      </w:pPr>
      <w:r w:rsidRPr="00355432">
        <w:rPr>
          <w:rFonts w:ascii="Arial" w:hAnsi="Arial" w:cs="Arial"/>
          <w:b/>
          <w:bCs/>
          <w:color w:val="000000" w:themeColor="text1"/>
        </w:rPr>
        <w:t xml:space="preserve">Fig. 8 Influence of various treatments (T1 to T11, including control) on pH and oxalic acid content in </w:t>
      </w:r>
      <w:r w:rsidRPr="00355432">
        <w:rPr>
          <w:rFonts w:ascii="Arial" w:hAnsi="Arial" w:cs="Arial"/>
          <w:b/>
          <w:bCs/>
          <w:i/>
          <w:iCs/>
          <w:color w:val="000000" w:themeColor="text1"/>
        </w:rPr>
        <w:t>Amaranthus</w:t>
      </w:r>
      <w:r w:rsidRPr="00355432">
        <w:rPr>
          <w:rFonts w:ascii="Arial" w:hAnsi="Arial" w:cs="Arial"/>
          <w:b/>
          <w:bCs/>
          <w:color w:val="000000" w:themeColor="text1"/>
        </w:rPr>
        <w:t xml:space="preserve"> plants. (a) pH levels across treatments and (b) Oxalic acid content (mg/g). Data are shown as mean ± standard error (SE).</w:t>
      </w:r>
    </w:p>
    <w:p w14:paraId="73B7BB91" w14:textId="77777777" w:rsidR="00355432" w:rsidRPr="00421973" w:rsidRDefault="00355432" w:rsidP="00421973">
      <w:pPr>
        <w:pStyle w:val="Body"/>
        <w:spacing w:after="0"/>
        <w:rPr>
          <w:rFonts w:ascii="Arial" w:hAnsi="Arial" w:cs="Arial"/>
          <w:color w:val="000000" w:themeColor="text1"/>
          <w:lang w:val="en-GB"/>
        </w:rPr>
      </w:pPr>
    </w:p>
    <w:p w14:paraId="093C2668" w14:textId="77777777" w:rsidR="00421973" w:rsidRDefault="00421973" w:rsidP="00421973">
      <w:pPr>
        <w:pStyle w:val="Body"/>
        <w:spacing w:after="0"/>
        <w:rPr>
          <w:rFonts w:ascii="Arial" w:hAnsi="Arial" w:cs="Arial"/>
          <w:color w:val="000000" w:themeColor="text1"/>
          <w:lang w:val="en-GB"/>
        </w:rPr>
      </w:pPr>
      <w:r w:rsidRPr="00421973">
        <w:rPr>
          <w:rFonts w:ascii="Arial" w:hAnsi="Arial" w:cs="Arial"/>
          <w:color w:val="000000" w:themeColor="text1"/>
          <w:lang w:val="en-GB"/>
        </w:rPr>
        <w:t xml:space="preserve">The reduction in oxalic acid is particularly important because high oxalic acid levels can form insoluble complexes with calcium, reducing its bioavailability and leading to calcium deficiency in humans. Therefore, T10 appears to be the most effective treatment in reducing oxalic acid content, improving the nutritional quality and edibility of Amaranthus leaves. This aligns with the findings of Halliwell and Gutteridge (2015), who reported that reducing oxalate levels can enhance the mineral content of leafy vegetables. In summary, the </w:t>
      </w:r>
      <w:proofErr w:type="spellStart"/>
      <w:r w:rsidRPr="00421973">
        <w:rPr>
          <w:rFonts w:ascii="Arial" w:hAnsi="Arial" w:cs="Arial"/>
          <w:color w:val="000000" w:themeColor="text1"/>
          <w:lang w:val="en-GB"/>
        </w:rPr>
        <w:t>biostimulant</w:t>
      </w:r>
      <w:proofErr w:type="spellEnd"/>
      <w:r w:rsidRPr="00421973">
        <w:rPr>
          <w:rFonts w:ascii="Arial" w:hAnsi="Arial" w:cs="Arial"/>
          <w:color w:val="000000" w:themeColor="text1"/>
          <w:lang w:val="en-GB"/>
        </w:rPr>
        <w:t xml:space="preserve"> treatments significantly reduced oxalic acid levels, with T10 being the most effective, followed by T7 and T2. These results highlight the potential of </w:t>
      </w:r>
      <w:proofErr w:type="spellStart"/>
      <w:r w:rsidRPr="00421973">
        <w:rPr>
          <w:rFonts w:ascii="Arial" w:hAnsi="Arial" w:cs="Arial"/>
          <w:color w:val="000000" w:themeColor="text1"/>
          <w:lang w:val="en-GB"/>
        </w:rPr>
        <w:t>biostimulants</w:t>
      </w:r>
      <w:proofErr w:type="spellEnd"/>
      <w:r w:rsidRPr="00421973">
        <w:rPr>
          <w:rFonts w:ascii="Arial" w:hAnsi="Arial" w:cs="Arial"/>
          <w:color w:val="000000" w:themeColor="text1"/>
          <w:lang w:val="en-GB"/>
        </w:rPr>
        <w:t xml:space="preserve"> in improving the health benefits of Amaranthus by reducing anti-nutritional factors.</w:t>
      </w:r>
    </w:p>
    <w:p w14:paraId="09BD1D9A" w14:textId="77777777" w:rsidR="00421973" w:rsidRPr="00421973" w:rsidRDefault="00421973" w:rsidP="00421973">
      <w:pPr>
        <w:pStyle w:val="Body"/>
        <w:spacing w:after="0"/>
        <w:rPr>
          <w:rFonts w:ascii="Arial" w:hAnsi="Arial" w:cs="Arial"/>
          <w:color w:val="000000" w:themeColor="text1"/>
          <w:lang w:val="en-GB"/>
        </w:rPr>
      </w:pPr>
    </w:p>
    <w:p w14:paraId="5F99ADB5" w14:textId="639A0A5E" w:rsidR="00421973" w:rsidRPr="00421973" w:rsidRDefault="00421973" w:rsidP="00421973">
      <w:pPr>
        <w:pStyle w:val="Body"/>
        <w:spacing w:after="0"/>
        <w:rPr>
          <w:rFonts w:ascii="Arial" w:hAnsi="Arial" w:cs="Arial"/>
          <w:color w:val="000000" w:themeColor="text1"/>
        </w:rPr>
      </w:pPr>
      <w:r w:rsidRPr="00421973">
        <w:rPr>
          <w:rFonts w:ascii="Arial" w:hAnsi="Arial" w:cs="Arial"/>
          <w:color w:val="000000" w:themeColor="text1"/>
          <w:lang w:val="en-GB"/>
        </w:rPr>
        <w:t xml:space="preserve">Specifically, reducing oxalic acid levels has major benefits because high oxalic acid levels form insoluble complexes with calcium rendering it bioavailable to humans and leaving them susceptible to calcium deficiency. T10 is therefore the most effective reducing oxalic acid content, improving the nutritional quality and edible of Amaranthus leaves. This is in line with what Halliwell and Gutteridge (2015) found, who said that in some cases reducing the oxalate level of leafy vegetables might boost their mineral composition. Overall, </w:t>
      </w:r>
      <w:proofErr w:type="spellStart"/>
      <w:r w:rsidRPr="00421973">
        <w:rPr>
          <w:rFonts w:ascii="Arial" w:hAnsi="Arial" w:cs="Arial"/>
          <w:color w:val="000000" w:themeColor="text1"/>
          <w:lang w:val="en-GB"/>
        </w:rPr>
        <w:t>biostimulant</w:t>
      </w:r>
      <w:proofErr w:type="spellEnd"/>
      <w:r w:rsidRPr="00421973">
        <w:rPr>
          <w:rFonts w:ascii="Arial" w:hAnsi="Arial" w:cs="Arial"/>
          <w:color w:val="000000" w:themeColor="text1"/>
          <w:lang w:val="en-GB"/>
        </w:rPr>
        <w:t xml:space="preserve"> </w:t>
      </w:r>
      <w:r w:rsidRPr="00421973">
        <w:rPr>
          <w:rFonts w:ascii="Arial" w:hAnsi="Arial" w:cs="Arial"/>
          <w:color w:val="000000" w:themeColor="text1"/>
          <w:lang w:val="en-GB"/>
        </w:rPr>
        <w:lastRenderedPageBreak/>
        <w:t xml:space="preserve">treatments significantly reduced oxalic acid levels with the lowest at T10, then T7 and finally T2. These results suggest that </w:t>
      </w:r>
      <w:proofErr w:type="spellStart"/>
      <w:r w:rsidRPr="00421973">
        <w:rPr>
          <w:rFonts w:ascii="Arial" w:hAnsi="Arial" w:cs="Arial"/>
          <w:color w:val="000000" w:themeColor="text1"/>
          <w:lang w:val="en-GB"/>
        </w:rPr>
        <w:t>biostimulants</w:t>
      </w:r>
      <w:proofErr w:type="spellEnd"/>
      <w:r w:rsidRPr="00421973">
        <w:rPr>
          <w:rFonts w:ascii="Arial" w:hAnsi="Arial" w:cs="Arial"/>
          <w:color w:val="000000" w:themeColor="text1"/>
          <w:lang w:val="en-GB"/>
        </w:rPr>
        <w:t xml:space="preserve"> may enhance the health benefits of Amaranthus by removing anti-nutritional factors.</w:t>
      </w:r>
    </w:p>
    <w:p w14:paraId="252D6A3D" w14:textId="77777777" w:rsidR="00421973" w:rsidRDefault="00421973" w:rsidP="00441B6F">
      <w:pPr>
        <w:pStyle w:val="Body"/>
        <w:spacing w:after="0"/>
        <w:rPr>
          <w:rFonts w:ascii="Arial" w:hAnsi="Arial" w:cs="Arial"/>
          <w:color w:val="FF0000"/>
        </w:rPr>
      </w:pPr>
    </w:p>
    <w:p w14:paraId="68A0B6E6" w14:textId="4AA1C159" w:rsidR="00421973" w:rsidRPr="00421973" w:rsidRDefault="00421973" w:rsidP="00421973">
      <w:pPr>
        <w:pStyle w:val="Body"/>
        <w:spacing w:after="0"/>
        <w:rPr>
          <w:rFonts w:ascii="Arial" w:hAnsi="Arial" w:cs="Arial"/>
          <w:b/>
          <w:bCs/>
          <w:color w:val="000000" w:themeColor="text1"/>
          <w:sz w:val="22"/>
          <w:szCs w:val="22"/>
        </w:rPr>
      </w:pPr>
      <w:r w:rsidRPr="00421973">
        <w:rPr>
          <w:rFonts w:ascii="Arial" w:hAnsi="Arial" w:cs="Arial"/>
          <w:b/>
          <w:bCs/>
          <w:color w:val="000000" w:themeColor="text1"/>
          <w:sz w:val="22"/>
          <w:szCs w:val="22"/>
        </w:rPr>
        <w:t>3.4. Cost-Benefit ratio</w:t>
      </w:r>
    </w:p>
    <w:p w14:paraId="062F801A" w14:textId="77777777" w:rsidR="00421973" w:rsidRDefault="00421973" w:rsidP="00441B6F">
      <w:pPr>
        <w:pStyle w:val="Body"/>
        <w:spacing w:after="0"/>
        <w:rPr>
          <w:rFonts w:ascii="Arial" w:hAnsi="Arial" w:cs="Arial"/>
          <w:color w:val="FF0000"/>
        </w:rPr>
      </w:pPr>
    </w:p>
    <w:p w14:paraId="16F02D4D" w14:textId="52CA1D06" w:rsidR="003A1611" w:rsidRDefault="00421973" w:rsidP="00441B6F">
      <w:pPr>
        <w:pStyle w:val="Body"/>
        <w:spacing w:after="0"/>
        <w:rPr>
          <w:rFonts w:ascii="Arial" w:hAnsi="Arial" w:cs="Arial"/>
          <w:color w:val="000000" w:themeColor="text1"/>
        </w:rPr>
      </w:pPr>
      <w:r w:rsidRPr="00421973">
        <w:rPr>
          <w:rFonts w:ascii="Arial" w:hAnsi="Arial" w:cs="Arial"/>
          <w:color w:val="000000" w:themeColor="text1"/>
        </w:rPr>
        <w:t xml:space="preserve">Table 5 highlights the economic performance of various </w:t>
      </w:r>
      <w:proofErr w:type="spellStart"/>
      <w:r w:rsidRPr="00421973">
        <w:rPr>
          <w:rFonts w:ascii="Arial" w:hAnsi="Arial" w:cs="Arial"/>
          <w:color w:val="000000" w:themeColor="text1"/>
        </w:rPr>
        <w:t>biostimulant</w:t>
      </w:r>
      <w:proofErr w:type="spellEnd"/>
      <w:r w:rsidRPr="00421973">
        <w:rPr>
          <w:rFonts w:ascii="Arial" w:hAnsi="Arial" w:cs="Arial"/>
          <w:color w:val="000000" w:themeColor="text1"/>
        </w:rPr>
        <w:t xml:space="preserve"> treatments applied to </w:t>
      </w:r>
      <w:r w:rsidRPr="00421973">
        <w:rPr>
          <w:rFonts w:ascii="Arial" w:hAnsi="Arial" w:cs="Arial"/>
          <w:i/>
          <w:iCs/>
          <w:color w:val="000000" w:themeColor="text1"/>
        </w:rPr>
        <w:t>Amaranthus dubius</w:t>
      </w:r>
      <w:r w:rsidRPr="00421973">
        <w:rPr>
          <w:rFonts w:ascii="Arial" w:hAnsi="Arial" w:cs="Arial"/>
          <w:color w:val="000000" w:themeColor="text1"/>
        </w:rPr>
        <w:t xml:space="preserve"> cultivation over 5 cents, showing variation in cost, yield, gross income, and the Benefit-Cost Ratio (B:C ratio). </w:t>
      </w:r>
      <w:r w:rsidRPr="00C470B7">
        <w:rPr>
          <w:rFonts w:ascii="Arial" w:hAnsi="Arial" w:cs="Arial"/>
          <w:color w:val="000000" w:themeColor="text1"/>
          <w:highlight w:val="yellow"/>
        </w:rPr>
        <w:t>T</w:t>
      </w:r>
      <w:r w:rsidR="009613BC" w:rsidRPr="00C470B7">
        <w:rPr>
          <w:rFonts w:ascii="Arial" w:hAnsi="Arial" w:cs="Arial"/>
          <w:color w:val="000000" w:themeColor="text1"/>
          <w:highlight w:val="yellow"/>
        </w:rPr>
        <w:t>3</w:t>
      </w:r>
      <w:r w:rsidRPr="00C470B7">
        <w:rPr>
          <w:rFonts w:ascii="Arial" w:hAnsi="Arial" w:cs="Arial"/>
          <w:color w:val="000000" w:themeColor="text1"/>
          <w:highlight w:val="yellow"/>
        </w:rPr>
        <w:t xml:space="preserve"> (</w:t>
      </w:r>
      <w:r w:rsidR="009613BC" w:rsidRPr="00C470B7">
        <w:rPr>
          <w:rFonts w:ascii="Arial" w:hAnsi="Arial" w:cs="Arial"/>
          <w:bCs/>
          <w:iCs/>
          <w:highlight w:val="yellow"/>
        </w:rPr>
        <w:t>Seaweed extract @ 6%</w:t>
      </w:r>
      <w:r w:rsidRPr="00C470B7">
        <w:rPr>
          <w:rFonts w:ascii="Arial" w:hAnsi="Arial" w:cs="Arial"/>
          <w:color w:val="000000" w:themeColor="text1"/>
          <w:highlight w:val="yellow"/>
        </w:rPr>
        <w:t>) emerged as the most profitable treatment with the highest yield (163.73 kg) and a B:C ratio of 2.44,</w:t>
      </w:r>
      <w:r w:rsidRPr="00421973">
        <w:rPr>
          <w:rFonts w:ascii="Arial" w:hAnsi="Arial" w:cs="Arial"/>
          <w:color w:val="000000" w:themeColor="text1"/>
        </w:rPr>
        <w:t xml:space="preserve"> followed by T8 (0.4% Humic Acid) with a B:C ratio of 2.30. In contrast, T4 (8% Seaweed Extract) and T11 (Combination Treatment) had the lowest B:C ratios of 1.11 and 1.35 respectively, due to high input costs and relatively lower yields.</w:t>
      </w:r>
    </w:p>
    <w:p w14:paraId="485C4973" w14:textId="77777777" w:rsidR="003A1611" w:rsidRDefault="003A1611" w:rsidP="00441B6F">
      <w:pPr>
        <w:pStyle w:val="Body"/>
        <w:spacing w:after="0"/>
        <w:rPr>
          <w:rFonts w:ascii="Arial" w:hAnsi="Arial" w:cs="Arial"/>
          <w:color w:val="000000" w:themeColor="text1"/>
        </w:rPr>
      </w:pPr>
    </w:p>
    <w:p w14:paraId="689D5B11" w14:textId="77777777" w:rsidR="003A1611" w:rsidRPr="003A1611" w:rsidRDefault="003A1611" w:rsidP="003A1611">
      <w:pPr>
        <w:pStyle w:val="Body"/>
        <w:spacing w:after="0"/>
        <w:jc w:val="center"/>
        <w:rPr>
          <w:rFonts w:ascii="Arial" w:hAnsi="Arial" w:cs="Arial"/>
          <w:b/>
          <w:bCs/>
          <w:color w:val="000000" w:themeColor="text1"/>
        </w:rPr>
      </w:pPr>
      <w:r w:rsidRPr="003A1611">
        <w:rPr>
          <w:rFonts w:ascii="Arial" w:hAnsi="Arial" w:cs="Arial"/>
          <w:b/>
          <w:bCs/>
          <w:color w:val="000000" w:themeColor="text1"/>
        </w:rPr>
        <w:t>Table 5 Cost of benefit ratio of the treatments</w:t>
      </w:r>
    </w:p>
    <w:p w14:paraId="46D45748" w14:textId="77777777" w:rsidR="003A1611" w:rsidRDefault="003A1611" w:rsidP="00441B6F">
      <w:pPr>
        <w:pStyle w:val="Body"/>
        <w:spacing w:after="0"/>
        <w:rPr>
          <w:rFonts w:ascii="Arial" w:hAnsi="Arial" w:cs="Arial"/>
          <w:color w:val="000000" w:themeColor="text1"/>
        </w:rPr>
      </w:pPr>
    </w:p>
    <w:tbl>
      <w:tblPr>
        <w:tblStyle w:val="TableGrid"/>
        <w:tblW w:w="86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1665"/>
        <w:gridCol w:w="1260"/>
        <w:gridCol w:w="1162"/>
        <w:gridCol w:w="1015"/>
        <w:gridCol w:w="2340"/>
      </w:tblGrid>
      <w:tr w:rsidR="003A1611" w:rsidRPr="003A1611" w14:paraId="3F6C7BE5" w14:textId="77777777" w:rsidTr="003A1611">
        <w:trPr>
          <w:trHeight w:val="300"/>
          <w:jc w:val="center"/>
        </w:trPr>
        <w:tc>
          <w:tcPr>
            <w:tcW w:w="1218" w:type="dxa"/>
            <w:tcBorders>
              <w:top w:val="single" w:sz="2" w:space="0" w:color="auto"/>
              <w:bottom w:val="single" w:sz="2" w:space="0" w:color="auto"/>
            </w:tcBorders>
            <w:noWrap/>
            <w:hideMark/>
          </w:tcPr>
          <w:p w14:paraId="232F86EF" w14:textId="77777777" w:rsidR="003A1611" w:rsidRPr="003A1611" w:rsidRDefault="003A1611" w:rsidP="00C9196F">
            <w:pPr>
              <w:rPr>
                <w:rFonts w:ascii="Arial" w:eastAsia="Times New Roman" w:hAnsi="Arial" w:cs="Arial"/>
                <w:b/>
                <w:bCs/>
                <w:color w:val="000000"/>
                <w:sz w:val="20"/>
                <w:szCs w:val="20"/>
                <w:lang w:val="en-GB" w:eastAsia="en-GB" w:bidi="ta-IN"/>
              </w:rPr>
            </w:pPr>
            <w:r w:rsidRPr="003A1611">
              <w:rPr>
                <w:rFonts w:ascii="Arial" w:eastAsia="Times New Roman" w:hAnsi="Arial" w:cs="Arial"/>
                <w:b/>
                <w:bCs/>
                <w:color w:val="000000"/>
                <w:sz w:val="20"/>
                <w:szCs w:val="20"/>
                <w:lang w:val="en-GB" w:eastAsia="en-GB" w:bidi="ta-IN"/>
              </w:rPr>
              <w:t>Treatment</w:t>
            </w:r>
          </w:p>
        </w:tc>
        <w:tc>
          <w:tcPr>
            <w:tcW w:w="1665" w:type="dxa"/>
            <w:tcBorders>
              <w:top w:val="single" w:sz="2" w:space="0" w:color="auto"/>
              <w:bottom w:val="single" w:sz="2" w:space="0" w:color="auto"/>
            </w:tcBorders>
            <w:noWrap/>
            <w:hideMark/>
          </w:tcPr>
          <w:p w14:paraId="71584867" w14:textId="77777777" w:rsidR="003A1611" w:rsidRPr="003A1611" w:rsidRDefault="003A1611" w:rsidP="00C9196F">
            <w:pPr>
              <w:rPr>
                <w:rFonts w:ascii="Arial" w:eastAsia="Times New Roman" w:hAnsi="Arial" w:cs="Arial"/>
                <w:b/>
                <w:bCs/>
                <w:color w:val="000000"/>
                <w:sz w:val="20"/>
                <w:szCs w:val="20"/>
                <w:lang w:val="en-GB" w:eastAsia="en-GB" w:bidi="ta-IN"/>
              </w:rPr>
            </w:pPr>
            <w:r w:rsidRPr="003A1611">
              <w:rPr>
                <w:rFonts w:ascii="Arial" w:eastAsia="Times New Roman" w:hAnsi="Arial" w:cs="Arial"/>
                <w:b/>
                <w:bCs/>
                <w:color w:val="000000"/>
                <w:sz w:val="20"/>
                <w:szCs w:val="20"/>
                <w:lang w:val="en-GB" w:eastAsia="en-GB" w:bidi="ta-IN"/>
              </w:rPr>
              <w:t>Cost of Cultivation (Rs.) for 5 cents</w:t>
            </w:r>
          </w:p>
        </w:tc>
        <w:tc>
          <w:tcPr>
            <w:tcW w:w="1260" w:type="dxa"/>
            <w:tcBorders>
              <w:top w:val="single" w:sz="2" w:space="0" w:color="auto"/>
              <w:bottom w:val="single" w:sz="2" w:space="0" w:color="auto"/>
            </w:tcBorders>
            <w:noWrap/>
            <w:hideMark/>
          </w:tcPr>
          <w:p w14:paraId="62DE7F7E" w14:textId="77777777" w:rsidR="003A1611" w:rsidRPr="003A1611" w:rsidRDefault="003A1611" w:rsidP="00C9196F">
            <w:pPr>
              <w:rPr>
                <w:rFonts w:ascii="Arial" w:eastAsia="Times New Roman" w:hAnsi="Arial" w:cs="Arial"/>
                <w:b/>
                <w:bCs/>
                <w:color w:val="000000"/>
                <w:sz w:val="20"/>
                <w:szCs w:val="20"/>
                <w:lang w:val="en-GB" w:eastAsia="en-GB" w:bidi="ta-IN"/>
              </w:rPr>
            </w:pPr>
            <w:r w:rsidRPr="003A1611">
              <w:rPr>
                <w:rFonts w:ascii="Arial" w:eastAsia="Times New Roman" w:hAnsi="Arial" w:cs="Arial"/>
                <w:b/>
                <w:bCs/>
                <w:color w:val="000000"/>
                <w:sz w:val="20"/>
                <w:szCs w:val="20"/>
                <w:lang w:val="en-GB" w:eastAsia="en-GB" w:bidi="ta-IN"/>
              </w:rPr>
              <w:t>Yield Obtained (kg) in 5 cents</w:t>
            </w:r>
          </w:p>
        </w:tc>
        <w:tc>
          <w:tcPr>
            <w:tcW w:w="1162" w:type="dxa"/>
            <w:tcBorders>
              <w:top w:val="single" w:sz="2" w:space="0" w:color="auto"/>
              <w:bottom w:val="single" w:sz="2" w:space="0" w:color="auto"/>
            </w:tcBorders>
            <w:noWrap/>
            <w:hideMark/>
          </w:tcPr>
          <w:p w14:paraId="0CCDEA28" w14:textId="77777777" w:rsidR="003A1611" w:rsidRPr="003A1611" w:rsidRDefault="003A1611" w:rsidP="00C9196F">
            <w:pPr>
              <w:rPr>
                <w:rFonts w:ascii="Arial" w:eastAsia="Times New Roman" w:hAnsi="Arial" w:cs="Arial"/>
                <w:b/>
                <w:bCs/>
                <w:color w:val="000000"/>
                <w:sz w:val="20"/>
                <w:szCs w:val="20"/>
                <w:lang w:val="en-GB" w:eastAsia="en-GB" w:bidi="ta-IN"/>
              </w:rPr>
            </w:pPr>
            <w:r w:rsidRPr="003A1611">
              <w:rPr>
                <w:rFonts w:ascii="Arial" w:eastAsia="Times New Roman" w:hAnsi="Arial" w:cs="Arial"/>
                <w:b/>
                <w:bCs/>
                <w:color w:val="000000"/>
                <w:sz w:val="20"/>
                <w:szCs w:val="20"/>
                <w:lang w:val="en-GB" w:eastAsia="en-GB" w:bidi="ta-IN"/>
              </w:rPr>
              <w:t>Price of 1 kg (Rs.)</w:t>
            </w:r>
          </w:p>
        </w:tc>
        <w:tc>
          <w:tcPr>
            <w:tcW w:w="1015" w:type="dxa"/>
            <w:tcBorders>
              <w:top w:val="single" w:sz="2" w:space="0" w:color="auto"/>
              <w:bottom w:val="single" w:sz="2" w:space="0" w:color="auto"/>
            </w:tcBorders>
            <w:noWrap/>
            <w:hideMark/>
          </w:tcPr>
          <w:p w14:paraId="529CAACA" w14:textId="77777777" w:rsidR="003A1611" w:rsidRPr="003A1611" w:rsidRDefault="003A1611" w:rsidP="00C9196F">
            <w:pPr>
              <w:rPr>
                <w:rFonts w:ascii="Arial" w:eastAsia="Times New Roman" w:hAnsi="Arial" w:cs="Arial"/>
                <w:b/>
                <w:bCs/>
                <w:color w:val="000000"/>
                <w:sz w:val="20"/>
                <w:szCs w:val="20"/>
                <w:lang w:val="en-GB" w:eastAsia="en-GB" w:bidi="ta-IN"/>
              </w:rPr>
            </w:pPr>
            <w:r w:rsidRPr="003A1611">
              <w:rPr>
                <w:rFonts w:ascii="Arial" w:eastAsia="Times New Roman" w:hAnsi="Arial" w:cs="Arial"/>
                <w:b/>
                <w:bCs/>
                <w:color w:val="000000"/>
                <w:sz w:val="20"/>
                <w:szCs w:val="20"/>
                <w:lang w:val="en-GB" w:eastAsia="en-GB" w:bidi="ta-IN"/>
              </w:rPr>
              <w:t>Gross Income (Rs.)</w:t>
            </w:r>
          </w:p>
        </w:tc>
        <w:tc>
          <w:tcPr>
            <w:tcW w:w="2340" w:type="dxa"/>
            <w:tcBorders>
              <w:top w:val="single" w:sz="2" w:space="0" w:color="auto"/>
              <w:bottom w:val="single" w:sz="2" w:space="0" w:color="auto"/>
            </w:tcBorders>
            <w:noWrap/>
            <w:hideMark/>
          </w:tcPr>
          <w:p w14:paraId="5F50F24E" w14:textId="77777777" w:rsidR="003A1611" w:rsidRPr="003A1611" w:rsidRDefault="003A1611" w:rsidP="00C9196F">
            <w:pPr>
              <w:rPr>
                <w:rFonts w:ascii="Arial" w:eastAsia="Times New Roman" w:hAnsi="Arial" w:cs="Arial"/>
                <w:b/>
                <w:bCs/>
                <w:color w:val="000000"/>
                <w:sz w:val="20"/>
                <w:szCs w:val="20"/>
                <w:lang w:val="en-GB" w:eastAsia="en-GB" w:bidi="ta-IN"/>
              </w:rPr>
            </w:pPr>
            <w:r w:rsidRPr="003A1611">
              <w:rPr>
                <w:rFonts w:ascii="Arial" w:eastAsia="Times New Roman" w:hAnsi="Arial" w:cs="Arial"/>
                <w:b/>
                <w:bCs/>
                <w:color w:val="000000"/>
                <w:sz w:val="20"/>
                <w:szCs w:val="20"/>
                <w:lang w:val="en-GB" w:eastAsia="en-GB" w:bidi="ta-IN"/>
              </w:rPr>
              <w:t>Benefit-Cost Ratio (B:C Ratio)</w:t>
            </w:r>
          </w:p>
        </w:tc>
      </w:tr>
      <w:tr w:rsidR="003A1611" w:rsidRPr="003A1611" w14:paraId="610AFEF5" w14:textId="77777777" w:rsidTr="003A1611">
        <w:trPr>
          <w:trHeight w:val="300"/>
          <w:jc w:val="center"/>
        </w:trPr>
        <w:tc>
          <w:tcPr>
            <w:tcW w:w="1218" w:type="dxa"/>
            <w:tcBorders>
              <w:top w:val="single" w:sz="2" w:space="0" w:color="auto"/>
            </w:tcBorders>
            <w:noWrap/>
            <w:hideMark/>
          </w:tcPr>
          <w:p w14:paraId="3FD9C6B3"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T1</w:t>
            </w:r>
          </w:p>
        </w:tc>
        <w:tc>
          <w:tcPr>
            <w:tcW w:w="1665" w:type="dxa"/>
            <w:tcBorders>
              <w:top w:val="single" w:sz="2" w:space="0" w:color="auto"/>
            </w:tcBorders>
            <w:noWrap/>
            <w:hideMark/>
          </w:tcPr>
          <w:p w14:paraId="20A897F2"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2005</w:t>
            </w:r>
          </w:p>
        </w:tc>
        <w:tc>
          <w:tcPr>
            <w:tcW w:w="1260" w:type="dxa"/>
            <w:tcBorders>
              <w:top w:val="single" w:sz="2" w:space="0" w:color="auto"/>
            </w:tcBorders>
            <w:noWrap/>
            <w:hideMark/>
          </w:tcPr>
          <w:p w14:paraId="7ED9ED5C"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126.97ᵇ</w:t>
            </w:r>
          </w:p>
        </w:tc>
        <w:tc>
          <w:tcPr>
            <w:tcW w:w="1162" w:type="dxa"/>
            <w:tcBorders>
              <w:top w:val="single" w:sz="2" w:space="0" w:color="auto"/>
            </w:tcBorders>
            <w:noWrap/>
            <w:hideMark/>
          </w:tcPr>
          <w:p w14:paraId="0973E972"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tcBorders>
              <w:top w:val="single" w:sz="2" w:space="0" w:color="auto"/>
            </w:tcBorders>
            <w:noWrap/>
            <w:hideMark/>
          </w:tcPr>
          <w:p w14:paraId="3ECF7A2E"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3808.98ᵇ</w:t>
            </w:r>
          </w:p>
        </w:tc>
        <w:tc>
          <w:tcPr>
            <w:tcW w:w="2340" w:type="dxa"/>
            <w:tcBorders>
              <w:top w:val="single" w:sz="2" w:space="0" w:color="auto"/>
            </w:tcBorders>
            <w:noWrap/>
            <w:hideMark/>
          </w:tcPr>
          <w:p w14:paraId="388F004B"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1.90ᵇ</w:t>
            </w:r>
          </w:p>
        </w:tc>
      </w:tr>
      <w:tr w:rsidR="003A1611" w:rsidRPr="003A1611" w14:paraId="69E51249" w14:textId="77777777" w:rsidTr="003A1611">
        <w:trPr>
          <w:trHeight w:val="300"/>
          <w:jc w:val="center"/>
        </w:trPr>
        <w:tc>
          <w:tcPr>
            <w:tcW w:w="1218" w:type="dxa"/>
            <w:noWrap/>
            <w:hideMark/>
          </w:tcPr>
          <w:p w14:paraId="7DE3E24E"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T2</w:t>
            </w:r>
          </w:p>
        </w:tc>
        <w:tc>
          <w:tcPr>
            <w:tcW w:w="1665" w:type="dxa"/>
            <w:noWrap/>
            <w:hideMark/>
          </w:tcPr>
          <w:p w14:paraId="2A6DBA5B"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2010</w:t>
            </w:r>
          </w:p>
        </w:tc>
        <w:tc>
          <w:tcPr>
            <w:tcW w:w="1260" w:type="dxa"/>
            <w:noWrap/>
            <w:hideMark/>
          </w:tcPr>
          <w:p w14:paraId="4E92FDD0" w14:textId="0630931F" w:rsidR="003A1611" w:rsidRPr="00C470B7" w:rsidRDefault="00872004" w:rsidP="00C9196F">
            <w:pPr>
              <w:rPr>
                <w:highlight w:val="yellow"/>
              </w:rPr>
            </w:pPr>
            <w:r w:rsidRPr="00C470B7">
              <w:rPr>
                <w:rFonts w:ascii="Arial" w:eastAsia="Times New Roman" w:hAnsi="Arial" w:cs="Arial"/>
                <w:color w:val="000000"/>
                <w:sz w:val="20"/>
                <w:szCs w:val="20"/>
                <w:highlight w:val="yellow"/>
                <w:lang w:val="en-GB" w:eastAsia="en-GB" w:bidi="ta-IN"/>
              </w:rPr>
              <w:t>135.91ᵇ</w:t>
            </w:r>
          </w:p>
        </w:tc>
        <w:tc>
          <w:tcPr>
            <w:tcW w:w="1162" w:type="dxa"/>
            <w:noWrap/>
            <w:hideMark/>
          </w:tcPr>
          <w:p w14:paraId="781FFCB6"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7E2EBE63" w14:textId="07AB3CC8" w:rsidR="003A1611" w:rsidRPr="00C470B7" w:rsidRDefault="00582726" w:rsidP="00C9196F">
            <w:pPr>
              <w:rPr>
                <w:highlight w:val="yellow"/>
              </w:rPr>
            </w:pPr>
            <w:r w:rsidRPr="00C470B7">
              <w:rPr>
                <w:rFonts w:ascii="Arial" w:eastAsia="Times New Roman" w:hAnsi="Arial" w:cs="Arial"/>
                <w:color w:val="000000"/>
                <w:sz w:val="20"/>
                <w:szCs w:val="20"/>
                <w:highlight w:val="yellow"/>
                <w:lang w:val="en-GB" w:eastAsia="en-GB" w:bidi="ta-IN"/>
              </w:rPr>
              <w:t>4077.42ᵇ</w:t>
            </w:r>
          </w:p>
        </w:tc>
        <w:tc>
          <w:tcPr>
            <w:tcW w:w="2340" w:type="dxa"/>
            <w:noWrap/>
            <w:hideMark/>
          </w:tcPr>
          <w:p w14:paraId="624AC7EF" w14:textId="2E30CE69" w:rsidR="003A1611" w:rsidRPr="00C470B7" w:rsidRDefault="00582726" w:rsidP="00C9196F">
            <w:pPr>
              <w:rPr>
                <w:rFonts w:ascii="Arial" w:eastAsia="Times New Roman" w:hAnsi="Arial" w:cs="Arial"/>
                <w:color w:val="000000"/>
                <w:sz w:val="20"/>
                <w:szCs w:val="20"/>
                <w:highlight w:val="yellow"/>
                <w:lang w:val="en-GB" w:eastAsia="en-GB" w:bidi="ta-IN"/>
              </w:rPr>
            </w:pPr>
            <w:r w:rsidRPr="00C470B7">
              <w:rPr>
                <w:rFonts w:ascii="Arial" w:eastAsia="Times New Roman" w:hAnsi="Arial" w:cs="Arial"/>
                <w:color w:val="000000"/>
                <w:sz w:val="20"/>
                <w:szCs w:val="20"/>
                <w:highlight w:val="yellow"/>
                <w:lang w:val="en-GB" w:eastAsia="en-GB" w:bidi="ta-IN"/>
              </w:rPr>
              <w:t>1.77ᵇ</w:t>
            </w:r>
          </w:p>
        </w:tc>
      </w:tr>
      <w:tr w:rsidR="003A1611" w:rsidRPr="003A1611" w14:paraId="41EBD2FA" w14:textId="77777777" w:rsidTr="003A1611">
        <w:trPr>
          <w:trHeight w:val="300"/>
          <w:jc w:val="center"/>
        </w:trPr>
        <w:tc>
          <w:tcPr>
            <w:tcW w:w="1218" w:type="dxa"/>
            <w:noWrap/>
            <w:hideMark/>
          </w:tcPr>
          <w:p w14:paraId="13FB5B08"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T3</w:t>
            </w:r>
          </w:p>
        </w:tc>
        <w:tc>
          <w:tcPr>
            <w:tcW w:w="1665" w:type="dxa"/>
            <w:noWrap/>
            <w:hideMark/>
          </w:tcPr>
          <w:p w14:paraId="2CDFF396"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2307.5</w:t>
            </w:r>
          </w:p>
        </w:tc>
        <w:tc>
          <w:tcPr>
            <w:tcW w:w="1260" w:type="dxa"/>
            <w:noWrap/>
            <w:hideMark/>
          </w:tcPr>
          <w:p w14:paraId="26908561" w14:textId="471E17DE" w:rsidR="003A1611" w:rsidRPr="00C470B7" w:rsidRDefault="00872004" w:rsidP="00C9196F">
            <w:pPr>
              <w:rPr>
                <w:rFonts w:ascii="Arial" w:eastAsia="Times New Roman" w:hAnsi="Arial" w:cs="Arial"/>
                <w:color w:val="000000"/>
                <w:sz w:val="20"/>
                <w:szCs w:val="20"/>
                <w:highlight w:val="yellow"/>
                <w:lang w:val="en-GB" w:eastAsia="en-GB" w:bidi="ta-IN"/>
              </w:rPr>
            </w:pPr>
            <w:r w:rsidRPr="00C470B7">
              <w:rPr>
                <w:rFonts w:ascii="Arial" w:eastAsia="Times New Roman" w:hAnsi="Arial" w:cs="Arial"/>
                <w:color w:val="000000"/>
                <w:sz w:val="20"/>
                <w:szCs w:val="20"/>
                <w:highlight w:val="yellow"/>
                <w:lang w:val="en-GB" w:eastAsia="en-GB" w:bidi="ta-IN"/>
              </w:rPr>
              <w:t>163.73ᵃ</w:t>
            </w:r>
          </w:p>
        </w:tc>
        <w:tc>
          <w:tcPr>
            <w:tcW w:w="1162" w:type="dxa"/>
            <w:noWrap/>
            <w:hideMark/>
          </w:tcPr>
          <w:p w14:paraId="1159A372"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36E011A6" w14:textId="47807238" w:rsidR="003A1611" w:rsidRPr="00C470B7" w:rsidRDefault="00582726" w:rsidP="00C9196F">
            <w:pPr>
              <w:rPr>
                <w:rFonts w:ascii="Arial" w:eastAsia="Times New Roman" w:hAnsi="Arial" w:cs="Arial"/>
                <w:color w:val="000000"/>
                <w:sz w:val="20"/>
                <w:szCs w:val="20"/>
                <w:highlight w:val="yellow"/>
                <w:lang w:val="en-GB" w:eastAsia="en-GB" w:bidi="ta-IN"/>
              </w:rPr>
            </w:pPr>
            <w:r w:rsidRPr="00C470B7">
              <w:rPr>
                <w:rFonts w:ascii="Arial" w:eastAsia="Times New Roman" w:hAnsi="Arial" w:cs="Arial"/>
                <w:color w:val="000000"/>
                <w:sz w:val="20"/>
                <w:szCs w:val="20"/>
                <w:highlight w:val="yellow"/>
                <w:lang w:val="en-GB" w:eastAsia="en-GB" w:bidi="ta-IN"/>
              </w:rPr>
              <w:t>4911.81ᵃ</w:t>
            </w:r>
          </w:p>
        </w:tc>
        <w:tc>
          <w:tcPr>
            <w:tcW w:w="2340" w:type="dxa"/>
            <w:noWrap/>
            <w:hideMark/>
          </w:tcPr>
          <w:p w14:paraId="4D11E0D9" w14:textId="1CF220AB" w:rsidR="003A1611" w:rsidRPr="00C470B7" w:rsidRDefault="00582726" w:rsidP="00C9196F">
            <w:pPr>
              <w:rPr>
                <w:highlight w:val="yellow"/>
              </w:rPr>
            </w:pPr>
            <w:r w:rsidRPr="00C470B7">
              <w:rPr>
                <w:rFonts w:ascii="Arial" w:eastAsia="Times New Roman" w:hAnsi="Arial" w:cs="Arial"/>
                <w:color w:val="000000"/>
                <w:sz w:val="20"/>
                <w:szCs w:val="20"/>
                <w:highlight w:val="yellow"/>
                <w:lang w:val="en-GB" w:eastAsia="en-GB" w:bidi="ta-IN"/>
              </w:rPr>
              <w:t>2.44ᵃ*</w:t>
            </w:r>
          </w:p>
        </w:tc>
      </w:tr>
      <w:tr w:rsidR="003A1611" w:rsidRPr="003A1611" w14:paraId="6074BC2D" w14:textId="77777777" w:rsidTr="003A1611">
        <w:trPr>
          <w:trHeight w:val="300"/>
          <w:jc w:val="center"/>
        </w:trPr>
        <w:tc>
          <w:tcPr>
            <w:tcW w:w="1218" w:type="dxa"/>
            <w:noWrap/>
            <w:hideMark/>
          </w:tcPr>
          <w:p w14:paraId="0F099B1D"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T4</w:t>
            </w:r>
          </w:p>
        </w:tc>
        <w:tc>
          <w:tcPr>
            <w:tcW w:w="1665" w:type="dxa"/>
            <w:noWrap/>
            <w:hideMark/>
          </w:tcPr>
          <w:p w14:paraId="7E905649"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2615</w:t>
            </w:r>
          </w:p>
        </w:tc>
        <w:tc>
          <w:tcPr>
            <w:tcW w:w="1260" w:type="dxa"/>
            <w:noWrap/>
            <w:hideMark/>
          </w:tcPr>
          <w:p w14:paraId="024B3BEA"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96.83ᶜ</w:t>
            </w:r>
          </w:p>
        </w:tc>
        <w:tc>
          <w:tcPr>
            <w:tcW w:w="1162" w:type="dxa"/>
            <w:noWrap/>
            <w:hideMark/>
          </w:tcPr>
          <w:p w14:paraId="1B462A32"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6DCD7DC1"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2904.85ᶜ</w:t>
            </w:r>
          </w:p>
        </w:tc>
        <w:tc>
          <w:tcPr>
            <w:tcW w:w="2340" w:type="dxa"/>
            <w:noWrap/>
            <w:hideMark/>
          </w:tcPr>
          <w:p w14:paraId="7F5E51CA"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1.11ᵈ</w:t>
            </w:r>
          </w:p>
        </w:tc>
      </w:tr>
      <w:tr w:rsidR="003A1611" w:rsidRPr="003A1611" w14:paraId="27CC02C3" w14:textId="77777777" w:rsidTr="003A1611">
        <w:trPr>
          <w:trHeight w:val="300"/>
          <w:jc w:val="center"/>
        </w:trPr>
        <w:tc>
          <w:tcPr>
            <w:tcW w:w="1218" w:type="dxa"/>
            <w:noWrap/>
            <w:hideMark/>
          </w:tcPr>
          <w:p w14:paraId="7963E5AF"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T5</w:t>
            </w:r>
          </w:p>
        </w:tc>
        <w:tc>
          <w:tcPr>
            <w:tcW w:w="1665" w:type="dxa"/>
            <w:noWrap/>
            <w:hideMark/>
          </w:tcPr>
          <w:p w14:paraId="086F5487"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2034.5</w:t>
            </w:r>
          </w:p>
        </w:tc>
        <w:tc>
          <w:tcPr>
            <w:tcW w:w="1260" w:type="dxa"/>
            <w:noWrap/>
            <w:hideMark/>
          </w:tcPr>
          <w:p w14:paraId="320A6C87"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100.20ᶜ</w:t>
            </w:r>
          </w:p>
        </w:tc>
        <w:tc>
          <w:tcPr>
            <w:tcW w:w="1162" w:type="dxa"/>
            <w:noWrap/>
            <w:hideMark/>
          </w:tcPr>
          <w:p w14:paraId="54F23455"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6ACE910B"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3005.89ᶜ</w:t>
            </w:r>
          </w:p>
        </w:tc>
        <w:tc>
          <w:tcPr>
            <w:tcW w:w="2340" w:type="dxa"/>
            <w:noWrap/>
            <w:hideMark/>
          </w:tcPr>
          <w:p w14:paraId="119F4FFB"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1.48ᶜ</w:t>
            </w:r>
          </w:p>
        </w:tc>
      </w:tr>
      <w:tr w:rsidR="003A1611" w:rsidRPr="003A1611" w14:paraId="73918630" w14:textId="77777777" w:rsidTr="003A1611">
        <w:trPr>
          <w:trHeight w:val="300"/>
          <w:jc w:val="center"/>
        </w:trPr>
        <w:tc>
          <w:tcPr>
            <w:tcW w:w="1218" w:type="dxa"/>
            <w:noWrap/>
            <w:hideMark/>
          </w:tcPr>
          <w:p w14:paraId="5892BD9E"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T6</w:t>
            </w:r>
          </w:p>
        </w:tc>
        <w:tc>
          <w:tcPr>
            <w:tcW w:w="1665" w:type="dxa"/>
            <w:noWrap/>
            <w:hideMark/>
          </w:tcPr>
          <w:p w14:paraId="10813AE1"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2069</w:t>
            </w:r>
          </w:p>
        </w:tc>
        <w:tc>
          <w:tcPr>
            <w:tcW w:w="1260" w:type="dxa"/>
            <w:noWrap/>
            <w:hideMark/>
          </w:tcPr>
          <w:p w14:paraId="48BC9378"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110.45ᵇ</w:t>
            </w:r>
          </w:p>
        </w:tc>
        <w:tc>
          <w:tcPr>
            <w:tcW w:w="1162" w:type="dxa"/>
            <w:noWrap/>
            <w:hideMark/>
          </w:tcPr>
          <w:p w14:paraId="0572323F"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08FE5197"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3313.41ᵇ</w:t>
            </w:r>
          </w:p>
        </w:tc>
        <w:tc>
          <w:tcPr>
            <w:tcW w:w="2340" w:type="dxa"/>
            <w:noWrap/>
            <w:hideMark/>
          </w:tcPr>
          <w:p w14:paraId="1F8CB1E6"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1.60ᵇ</w:t>
            </w:r>
          </w:p>
        </w:tc>
      </w:tr>
      <w:tr w:rsidR="003A1611" w:rsidRPr="003A1611" w14:paraId="2628D554" w14:textId="77777777" w:rsidTr="003A1611">
        <w:trPr>
          <w:trHeight w:val="300"/>
          <w:jc w:val="center"/>
        </w:trPr>
        <w:tc>
          <w:tcPr>
            <w:tcW w:w="1218" w:type="dxa"/>
            <w:noWrap/>
            <w:hideMark/>
          </w:tcPr>
          <w:p w14:paraId="30D5E423"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T7</w:t>
            </w:r>
          </w:p>
        </w:tc>
        <w:tc>
          <w:tcPr>
            <w:tcW w:w="1665" w:type="dxa"/>
            <w:noWrap/>
            <w:hideMark/>
          </w:tcPr>
          <w:p w14:paraId="189DE091"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2012</w:t>
            </w:r>
          </w:p>
        </w:tc>
        <w:tc>
          <w:tcPr>
            <w:tcW w:w="1260" w:type="dxa"/>
            <w:noWrap/>
            <w:hideMark/>
          </w:tcPr>
          <w:p w14:paraId="7BBCE9F2"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113.00ᵇ</w:t>
            </w:r>
          </w:p>
        </w:tc>
        <w:tc>
          <w:tcPr>
            <w:tcW w:w="1162" w:type="dxa"/>
            <w:noWrap/>
            <w:hideMark/>
          </w:tcPr>
          <w:p w14:paraId="1967EFDD"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4369AA02"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3390.03ᵇ</w:t>
            </w:r>
          </w:p>
        </w:tc>
        <w:tc>
          <w:tcPr>
            <w:tcW w:w="2340" w:type="dxa"/>
            <w:noWrap/>
            <w:hideMark/>
          </w:tcPr>
          <w:p w14:paraId="47ABD575"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1.68ᵇ</w:t>
            </w:r>
          </w:p>
        </w:tc>
      </w:tr>
      <w:tr w:rsidR="003A1611" w:rsidRPr="003A1611" w14:paraId="3242792C" w14:textId="77777777" w:rsidTr="003A1611">
        <w:trPr>
          <w:trHeight w:val="300"/>
          <w:jc w:val="center"/>
        </w:trPr>
        <w:tc>
          <w:tcPr>
            <w:tcW w:w="1218" w:type="dxa"/>
            <w:noWrap/>
            <w:hideMark/>
          </w:tcPr>
          <w:p w14:paraId="078CB99B"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T8</w:t>
            </w:r>
          </w:p>
        </w:tc>
        <w:tc>
          <w:tcPr>
            <w:tcW w:w="1665" w:type="dxa"/>
            <w:noWrap/>
            <w:hideMark/>
          </w:tcPr>
          <w:p w14:paraId="3CB92ABA"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2024</w:t>
            </w:r>
          </w:p>
        </w:tc>
        <w:tc>
          <w:tcPr>
            <w:tcW w:w="1260" w:type="dxa"/>
            <w:noWrap/>
            <w:hideMark/>
          </w:tcPr>
          <w:p w14:paraId="26A8FCFC"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155.23ᵃ</w:t>
            </w:r>
          </w:p>
        </w:tc>
        <w:tc>
          <w:tcPr>
            <w:tcW w:w="1162" w:type="dxa"/>
            <w:noWrap/>
            <w:hideMark/>
          </w:tcPr>
          <w:p w14:paraId="3BFE1A1A"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1E3C2706"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4656.84ᵃ</w:t>
            </w:r>
          </w:p>
        </w:tc>
        <w:tc>
          <w:tcPr>
            <w:tcW w:w="2340" w:type="dxa"/>
            <w:noWrap/>
            <w:hideMark/>
          </w:tcPr>
          <w:p w14:paraId="04B1C0EA"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2.30ᵃ</w:t>
            </w:r>
          </w:p>
        </w:tc>
      </w:tr>
      <w:tr w:rsidR="003A1611" w:rsidRPr="003A1611" w14:paraId="540B300F" w14:textId="77777777" w:rsidTr="003A1611">
        <w:trPr>
          <w:trHeight w:val="300"/>
          <w:jc w:val="center"/>
        </w:trPr>
        <w:tc>
          <w:tcPr>
            <w:tcW w:w="1218" w:type="dxa"/>
            <w:noWrap/>
            <w:hideMark/>
          </w:tcPr>
          <w:p w14:paraId="3B2F4E3F"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T9 (Control)</w:t>
            </w:r>
          </w:p>
        </w:tc>
        <w:tc>
          <w:tcPr>
            <w:tcW w:w="1665" w:type="dxa"/>
            <w:noWrap/>
            <w:hideMark/>
          </w:tcPr>
          <w:p w14:paraId="20D9A8BF"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2000</w:t>
            </w:r>
          </w:p>
        </w:tc>
        <w:tc>
          <w:tcPr>
            <w:tcW w:w="1260" w:type="dxa"/>
            <w:noWrap/>
            <w:hideMark/>
          </w:tcPr>
          <w:p w14:paraId="592B6367"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91.22ᶜ</w:t>
            </w:r>
          </w:p>
        </w:tc>
        <w:tc>
          <w:tcPr>
            <w:tcW w:w="1162" w:type="dxa"/>
            <w:noWrap/>
            <w:hideMark/>
          </w:tcPr>
          <w:p w14:paraId="70915336"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123234EF"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2736.60ᶜ</w:t>
            </w:r>
          </w:p>
        </w:tc>
        <w:tc>
          <w:tcPr>
            <w:tcW w:w="2340" w:type="dxa"/>
            <w:noWrap/>
            <w:hideMark/>
          </w:tcPr>
          <w:p w14:paraId="2B25611C"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1.37ᶜ</w:t>
            </w:r>
          </w:p>
        </w:tc>
      </w:tr>
      <w:tr w:rsidR="003A1611" w:rsidRPr="003A1611" w14:paraId="13812843" w14:textId="77777777" w:rsidTr="003A1611">
        <w:trPr>
          <w:trHeight w:val="300"/>
          <w:jc w:val="center"/>
        </w:trPr>
        <w:tc>
          <w:tcPr>
            <w:tcW w:w="1218" w:type="dxa"/>
            <w:noWrap/>
            <w:hideMark/>
          </w:tcPr>
          <w:p w14:paraId="4C3F94D4"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T10</w:t>
            </w:r>
          </w:p>
        </w:tc>
        <w:tc>
          <w:tcPr>
            <w:tcW w:w="1665" w:type="dxa"/>
            <w:noWrap/>
            <w:hideMark/>
          </w:tcPr>
          <w:p w14:paraId="3E3D59A4"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2359</w:t>
            </w:r>
          </w:p>
        </w:tc>
        <w:tc>
          <w:tcPr>
            <w:tcW w:w="1260" w:type="dxa"/>
            <w:noWrap/>
            <w:hideMark/>
          </w:tcPr>
          <w:p w14:paraId="52A4AD23"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147.66ᵃ</w:t>
            </w:r>
          </w:p>
        </w:tc>
        <w:tc>
          <w:tcPr>
            <w:tcW w:w="1162" w:type="dxa"/>
            <w:noWrap/>
            <w:hideMark/>
          </w:tcPr>
          <w:p w14:paraId="1292F946"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noWrap/>
            <w:hideMark/>
          </w:tcPr>
          <w:p w14:paraId="2B71B8F0"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4429.71ᵃ</w:t>
            </w:r>
          </w:p>
        </w:tc>
        <w:tc>
          <w:tcPr>
            <w:tcW w:w="2340" w:type="dxa"/>
            <w:noWrap/>
            <w:hideMark/>
          </w:tcPr>
          <w:p w14:paraId="44D0A61B"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1.88ᵇ</w:t>
            </w:r>
          </w:p>
        </w:tc>
      </w:tr>
      <w:tr w:rsidR="003A1611" w:rsidRPr="003A1611" w14:paraId="2A30B774" w14:textId="77777777" w:rsidTr="003A1611">
        <w:trPr>
          <w:trHeight w:val="300"/>
          <w:jc w:val="center"/>
        </w:trPr>
        <w:tc>
          <w:tcPr>
            <w:tcW w:w="1218" w:type="dxa"/>
            <w:tcBorders>
              <w:bottom w:val="single" w:sz="2" w:space="0" w:color="auto"/>
            </w:tcBorders>
            <w:noWrap/>
            <w:hideMark/>
          </w:tcPr>
          <w:p w14:paraId="5CF24CA2"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T11</w:t>
            </w:r>
          </w:p>
        </w:tc>
        <w:tc>
          <w:tcPr>
            <w:tcW w:w="1665" w:type="dxa"/>
            <w:tcBorders>
              <w:bottom w:val="single" w:sz="2" w:space="0" w:color="auto"/>
            </w:tcBorders>
            <w:noWrap/>
            <w:hideMark/>
          </w:tcPr>
          <w:p w14:paraId="5672C8D4"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2718</w:t>
            </w:r>
          </w:p>
        </w:tc>
        <w:tc>
          <w:tcPr>
            <w:tcW w:w="1260" w:type="dxa"/>
            <w:tcBorders>
              <w:bottom w:val="single" w:sz="2" w:space="0" w:color="auto"/>
            </w:tcBorders>
            <w:noWrap/>
            <w:hideMark/>
          </w:tcPr>
          <w:p w14:paraId="0C8F4F06"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121.91ᵇ</w:t>
            </w:r>
          </w:p>
        </w:tc>
        <w:tc>
          <w:tcPr>
            <w:tcW w:w="1162" w:type="dxa"/>
            <w:tcBorders>
              <w:bottom w:val="single" w:sz="2" w:space="0" w:color="auto"/>
            </w:tcBorders>
            <w:noWrap/>
            <w:hideMark/>
          </w:tcPr>
          <w:p w14:paraId="70D76322" w14:textId="77777777" w:rsidR="003A1611" w:rsidRPr="003A1611" w:rsidRDefault="003A1611" w:rsidP="00C9196F">
            <w:pPr>
              <w:jc w:val="right"/>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30</w:t>
            </w:r>
          </w:p>
        </w:tc>
        <w:tc>
          <w:tcPr>
            <w:tcW w:w="1015" w:type="dxa"/>
            <w:tcBorders>
              <w:bottom w:val="single" w:sz="2" w:space="0" w:color="auto"/>
            </w:tcBorders>
            <w:noWrap/>
            <w:hideMark/>
          </w:tcPr>
          <w:p w14:paraId="1202F3E9"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3657.25ᵇ</w:t>
            </w:r>
          </w:p>
        </w:tc>
        <w:tc>
          <w:tcPr>
            <w:tcW w:w="2340" w:type="dxa"/>
            <w:tcBorders>
              <w:bottom w:val="single" w:sz="2" w:space="0" w:color="auto"/>
            </w:tcBorders>
            <w:noWrap/>
            <w:hideMark/>
          </w:tcPr>
          <w:p w14:paraId="1653DC22" w14:textId="77777777" w:rsidR="003A1611" w:rsidRPr="003A1611" w:rsidRDefault="003A1611" w:rsidP="00C9196F">
            <w:pPr>
              <w:rPr>
                <w:rFonts w:ascii="Arial" w:eastAsia="Times New Roman" w:hAnsi="Arial" w:cs="Arial"/>
                <w:color w:val="000000"/>
                <w:sz w:val="20"/>
                <w:szCs w:val="20"/>
                <w:lang w:val="en-GB" w:eastAsia="en-GB" w:bidi="ta-IN"/>
              </w:rPr>
            </w:pPr>
            <w:r w:rsidRPr="003A1611">
              <w:rPr>
                <w:rFonts w:ascii="Arial" w:eastAsia="Times New Roman" w:hAnsi="Arial" w:cs="Arial"/>
                <w:color w:val="000000"/>
                <w:sz w:val="20"/>
                <w:szCs w:val="20"/>
                <w:lang w:val="en-GB" w:eastAsia="en-GB" w:bidi="ta-IN"/>
              </w:rPr>
              <w:t>1.35ᶜ</w:t>
            </w:r>
          </w:p>
        </w:tc>
      </w:tr>
    </w:tbl>
    <w:p w14:paraId="76800B42" w14:textId="77777777" w:rsidR="003A1611" w:rsidRPr="003A1611" w:rsidRDefault="003A1611" w:rsidP="003A1611">
      <w:pPr>
        <w:pStyle w:val="Body"/>
        <w:spacing w:after="0"/>
        <w:rPr>
          <w:rFonts w:ascii="Arial" w:hAnsi="Arial" w:cs="Arial"/>
          <w:b/>
          <w:bCs/>
          <w:color w:val="000000" w:themeColor="text1"/>
        </w:rPr>
      </w:pPr>
      <w:r w:rsidRPr="003A1611">
        <w:rPr>
          <w:rFonts w:ascii="Arial" w:hAnsi="Arial" w:cs="Arial"/>
          <w:i/>
          <w:iCs/>
          <w:color w:val="000000" w:themeColor="text1"/>
        </w:rPr>
        <w:t>Values in the table are average of two seasons. Values followed by the same letter within a column are not significantly different at p &lt; 0.05. Asterisks (*) denote treatments with the best result for a given parameter.</w:t>
      </w:r>
    </w:p>
    <w:p w14:paraId="0D02416F" w14:textId="77777777" w:rsidR="003A1611" w:rsidRDefault="003A1611" w:rsidP="00441B6F">
      <w:pPr>
        <w:pStyle w:val="Body"/>
        <w:spacing w:after="0"/>
        <w:rPr>
          <w:rFonts w:ascii="Arial" w:hAnsi="Arial" w:cs="Arial"/>
          <w:color w:val="000000" w:themeColor="text1"/>
        </w:rPr>
      </w:pPr>
    </w:p>
    <w:p w14:paraId="338296D0" w14:textId="185C88FC" w:rsidR="00421973" w:rsidRPr="00421973" w:rsidRDefault="00421973" w:rsidP="00441B6F">
      <w:pPr>
        <w:pStyle w:val="Body"/>
        <w:spacing w:after="0"/>
        <w:rPr>
          <w:rFonts w:ascii="Arial" w:hAnsi="Arial" w:cs="Arial"/>
          <w:color w:val="000000" w:themeColor="text1"/>
        </w:rPr>
      </w:pPr>
      <w:r w:rsidRPr="00421973">
        <w:rPr>
          <w:rFonts w:ascii="Arial" w:hAnsi="Arial" w:cs="Arial"/>
          <w:color w:val="000000" w:themeColor="text1"/>
        </w:rPr>
        <w:t xml:space="preserve">The control treatment (T9) resulted in the lowest gross income and a B:C ratio of 1.37, emphasizing the economic benefits of </w:t>
      </w:r>
      <w:proofErr w:type="spellStart"/>
      <w:r w:rsidRPr="00421973">
        <w:rPr>
          <w:rFonts w:ascii="Arial" w:hAnsi="Arial" w:cs="Arial"/>
          <w:color w:val="000000" w:themeColor="text1"/>
        </w:rPr>
        <w:t>biostimulant</w:t>
      </w:r>
      <w:proofErr w:type="spellEnd"/>
      <w:r w:rsidRPr="00421973">
        <w:rPr>
          <w:rFonts w:ascii="Arial" w:hAnsi="Arial" w:cs="Arial"/>
          <w:color w:val="000000" w:themeColor="text1"/>
        </w:rPr>
        <w:t xml:space="preserve"> applications. T2 and T8 show the most optimal cost effectiveness. Therefore, these are better candidates for larger scale application, while expensive ones such as T4 and T11 need optimization further.</w:t>
      </w:r>
    </w:p>
    <w:p w14:paraId="000F894D" w14:textId="77777777" w:rsidR="00421973" w:rsidRDefault="00421973" w:rsidP="00441B6F">
      <w:pPr>
        <w:pStyle w:val="Body"/>
        <w:spacing w:after="0"/>
        <w:rPr>
          <w:rFonts w:ascii="Arial" w:hAnsi="Arial" w:cs="Arial"/>
          <w:color w:val="FF0000"/>
        </w:rPr>
      </w:pPr>
    </w:p>
    <w:p w14:paraId="07DE7201" w14:textId="77777777" w:rsidR="00927834" w:rsidRDefault="00927834" w:rsidP="00441B6F">
      <w:pPr>
        <w:autoSpaceDE w:val="0"/>
        <w:autoSpaceDN w:val="0"/>
        <w:adjustRightInd w:val="0"/>
        <w:jc w:val="both"/>
        <w:rPr>
          <w:rFonts w:ascii="Arial" w:hAnsi="Arial" w:cs="Arial"/>
          <w:b/>
          <w:bCs/>
          <w:szCs w:val="22"/>
        </w:rPr>
      </w:pPr>
    </w:p>
    <w:p w14:paraId="43E82E5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D475BA9" w14:textId="77777777" w:rsidR="00790ADA" w:rsidRPr="00FB3A86" w:rsidRDefault="00790ADA" w:rsidP="00441B6F">
      <w:pPr>
        <w:pStyle w:val="ConcHead"/>
        <w:spacing w:after="0"/>
        <w:jc w:val="both"/>
        <w:rPr>
          <w:rFonts w:ascii="Arial" w:hAnsi="Arial" w:cs="Arial"/>
        </w:rPr>
      </w:pPr>
    </w:p>
    <w:p w14:paraId="4C262966" w14:textId="6A72C2A9" w:rsidR="00421973" w:rsidRPr="00421973" w:rsidRDefault="00421973" w:rsidP="00421973">
      <w:pPr>
        <w:pStyle w:val="Body"/>
        <w:spacing w:after="0"/>
        <w:rPr>
          <w:rFonts w:ascii="Arial" w:hAnsi="Arial" w:cs="Arial"/>
          <w:bCs/>
          <w:lang w:val="en-GB"/>
        </w:rPr>
      </w:pPr>
      <w:r w:rsidRPr="00421973">
        <w:rPr>
          <w:rFonts w:ascii="Arial" w:hAnsi="Arial" w:cs="Arial"/>
          <w:bCs/>
          <w:lang w:val="en-GB"/>
        </w:rPr>
        <w:t xml:space="preserve">The foliar spray of </w:t>
      </w:r>
      <w:proofErr w:type="spellStart"/>
      <w:r w:rsidRPr="00421973">
        <w:rPr>
          <w:rFonts w:ascii="Arial" w:hAnsi="Arial" w:cs="Arial"/>
          <w:bCs/>
          <w:lang w:val="en-GB"/>
        </w:rPr>
        <w:t>biostimulants</w:t>
      </w:r>
      <w:proofErr w:type="spellEnd"/>
      <w:r w:rsidRPr="00421973">
        <w:rPr>
          <w:rFonts w:ascii="Arial" w:hAnsi="Arial" w:cs="Arial"/>
          <w:bCs/>
          <w:lang w:val="en-GB"/>
        </w:rPr>
        <w:t xml:space="preserve"> effectively influences Amaranthus's growth, yield, and biochemical attributes. The seaweed extract @ 6% was seen to surpass all other treatments, while the moringa leaf extract @ 2% influenced most of the parameters after the treatment (T3).</w:t>
      </w:r>
      <w:r w:rsidR="00B63DFD">
        <w:rPr>
          <w:rFonts w:ascii="Arial" w:hAnsi="Arial" w:cs="Arial"/>
          <w:bCs/>
          <w:lang w:val="en-GB"/>
        </w:rPr>
        <w:t xml:space="preserve"> </w:t>
      </w:r>
      <w:r w:rsidR="00B63DFD" w:rsidRPr="00B63DFD">
        <w:rPr>
          <w:rFonts w:ascii="Arial" w:hAnsi="Arial" w:cs="Arial"/>
          <w:bCs/>
          <w:highlight w:val="yellow"/>
          <w:lang w:val="en-GB"/>
        </w:rPr>
        <w:t xml:space="preserve">The use of these </w:t>
      </w:r>
      <w:proofErr w:type="spellStart"/>
      <w:r w:rsidR="00B63DFD" w:rsidRPr="00B63DFD">
        <w:rPr>
          <w:rFonts w:ascii="Arial" w:hAnsi="Arial" w:cs="Arial"/>
          <w:bCs/>
          <w:highlight w:val="yellow"/>
          <w:lang w:val="en-GB"/>
        </w:rPr>
        <w:t>biostimulants</w:t>
      </w:r>
      <w:proofErr w:type="spellEnd"/>
      <w:r w:rsidR="00B63DFD" w:rsidRPr="00B63DFD">
        <w:rPr>
          <w:rFonts w:ascii="Arial" w:hAnsi="Arial" w:cs="Arial"/>
          <w:bCs/>
          <w:highlight w:val="yellow"/>
          <w:lang w:val="en-GB"/>
        </w:rPr>
        <w:t xml:space="preserve"> resulted in notable improvement in the key parameters, such as photosynthetic pigments, relative water content, and phenolic content, and simultaneously reduced anti-nutritional factors like oxalic acid, thus enhancing the nutritional </w:t>
      </w:r>
      <w:r w:rsidR="00B63DFD" w:rsidRPr="00B63DFD">
        <w:rPr>
          <w:rFonts w:ascii="Arial" w:hAnsi="Arial" w:cs="Arial"/>
          <w:bCs/>
          <w:highlight w:val="yellow"/>
          <w:lang w:val="en-GB"/>
        </w:rPr>
        <w:lastRenderedPageBreak/>
        <w:t xml:space="preserve">and market value of the crop. The findings highlight the potential of </w:t>
      </w:r>
      <w:proofErr w:type="spellStart"/>
      <w:r w:rsidR="00B63DFD" w:rsidRPr="00B63DFD">
        <w:rPr>
          <w:rFonts w:ascii="Arial" w:hAnsi="Arial" w:cs="Arial"/>
          <w:bCs/>
          <w:highlight w:val="yellow"/>
          <w:lang w:val="en-GB"/>
        </w:rPr>
        <w:t>biostimulants</w:t>
      </w:r>
      <w:proofErr w:type="spellEnd"/>
      <w:r w:rsidR="00B63DFD" w:rsidRPr="00B63DFD">
        <w:rPr>
          <w:rFonts w:ascii="Arial" w:hAnsi="Arial" w:cs="Arial"/>
          <w:bCs/>
          <w:highlight w:val="yellow"/>
          <w:lang w:val="en-GB"/>
        </w:rPr>
        <w:t xml:space="preserve"> as eco-friendly alternatives to synthetic fertilizers; however, further research is necessary to optimize their use. Future research must focus on the identification of the best combinations and dosages of </w:t>
      </w:r>
      <w:proofErr w:type="spellStart"/>
      <w:r w:rsidR="00B63DFD" w:rsidRPr="00B63DFD">
        <w:rPr>
          <w:rFonts w:ascii="Arial" w:hAnsi="Arial" w:cs="Arial"/>
          <w:bCs/>
          <w:highlight w:val="yellow"/>
          <w:lang w:val="en-GB"/>
        </w:rPr>
        <w:t>biostimulants</w:t>
      </w:r>
      <w:proofErr w:type="spellEnd"/>
      <w:r w:rsidR="00B63DFD" w:rsidRPr="00B63DFD">
        <w:rPr>
          <w:rFonts w:ascii="Arial" w:hAnsi="Arial" w:cs="Arial"/>
          <w:bCs/>
          <w:highlight w:val="yellow"/>
          <w:lang w:val="en-GB"/>
        </w:rPr>
        <w:t xml:space="preserve">, determine their long-term impact under different environmental conditions, and examine their effect on soil health and microbial dynamics. Additionally, it would be valuable to determine the effect of </w:t>
      </w:r>
      <w:proofErr w:type="spellStart"/>
      <w:r w:rsidR="00B63DFD" w:rsidRPr="00B63DFD">
        <w:rPr>
          <w:rFonts w:ascii="Arial" w:hAnsi="Arial" w:cs="Arial"/>
          <w:bCs/>
          <w:highlight w:val="yellow"/>
          <w:lang w:val="en-GB"/>
        </w:rPr>
        <w:t>biostimulants</w:t>
      </w:r>
      <w:proofErr w:type="spellEnd"/>
      <w:r w:rsidR="00B63DFD" w:rsidRPr="00B63DFD">
        <w:rPr>
          <w:rFonts w:ascii="Arial" w:hAnsi="Arial" w:cs="Arial"/>
          <w:bCs/>
          <w:highlight w:val="yellow"/>
          <w:lang w:val="en-GB"/>
        </w:rPr>
        <w:t xml:space="preserve"> on post-harvest quality and combine these compounds with precision agriculture strategies to enhance their efficacy. Apart from this, the use of economic feasibility studies and farmer training programs will be critical in inducing large-scale implementation of these strategies. With these comprehensive measures, </w:t>
      </w:r>
      <w:proofErr w:type="spellStart"/>
      <w:r w:rsidR="00B63DFD" w:rsidRPr="00B63DFD">
        <w:rPr>
          <w:rFonts w:ascii="Arial" w:hAnsi="Arial" w:cs="Arial"/>
          <w:bCs/>
          <w:highlight w:val="yellow"/>
          <w:lang w:val="en-GB"/>
        </w:rPr>
        <w:t>biostimulants</w:t>
      </w:r>
      <w:proofErr w:type="spellEnd"/>
      <w:r w:rsidR="00B63DFD" w:rsidRPr="00B63DFD">
        <w:rPr>
          <w:rFonts w:ascii="Arial" w:hAnsi="Arial" w:cs="Arial"/>
          <w:bCs/>
          <w:highlight w:val="yellow"/>
          <w:lang w:val="en-GB"/>
        </w:rPr>
        <w:t xml:space="preserve"> can play a key role in inducing sustainable agricultural practices and addressing the pressing global concerns of food security and environmental sustainability.</w:t>
      </w:r>
    </w:p>
    <w:p w14:paraId="508A55FB" w14:textId="0D91DD71" w:rsidR="00790ADA" w:rsidRDefault="00790ADA" w:rsidP="00441B6F">
      <w:pPr>
        <w:pStyle w:val="Body"/>
        <w:spacing w:after="0"/>
        <w:rPr>
          <w:rFonts w:ascii="Arial" w:hAnsi="Arial" w:cs="Arial"/>
          <w:lang w:val="en-GB"/>
        </w:rPr>
      </w:pPr>
    </w:p>
    <w:p w14:paraId="2FE8FEB6" w14:textId="18804A9C" w:rsidR="00884FD3" w:rsidRDefault="00884FD3" w:rsidP="00441B6F">
      <w:pPr>
        <w:pStyle w:val="Body"/>
        <w:spacing w:after="0"/>
        <w:rPr>
          <w:rFonts w:ascii="Arial" w:hAnsi="Arial" w:cs="Arial"/>
          <w:lang w:val="en-GB"/>
        </w:rPr>
      </w:pPr>
    </w:p>
    <w:p w14:paraId="45CDB72A" w14:textId="77777777" w:rsidR="00884FD3" w:rsidRPr="00C470B7" w:rsidRDefault="00884FD3" w:rsidP="00C470B7">
      <w:pPr>
        <w:spacing w:after="200" w:line="276" w:lineRule="auto"/>
        <w:jc w:val="both"/>
        <w:rPr>
          <w:rFonts w:ascii="Calibri" w:eastAsia="Calibri" w:hAnsi="Calibri"/>
          <w:b/>
          <w:bCs/>
          <w:kern w:val="2"/>
          <w:sz w:val="22"/>
          <w:szCs w:val="22"/>
          <w:highlight w:val="yellow"/>
        </w:rPr>
      </w:pPr>
      <w:bookmarkStart w:id="3" w:name="_Hlk180402183"/>
      <w:bookmarkStart w:id="4" w:name="_Hlk183680988"/>
      <w:r w:rsidRPr="00C470B7">
        <w:rPr>
          <w:rFonts w:ascii="Calibri" w:eastAsia="Calibri" w:hAnsi="Calibri"/>
          <w:b/>
          <w:bCs/>
          <w:kern w:val="2"/>
          <w:sz w:val="22"/>
          <w:szCs w:val="22"/>
          <w:highlight w:val="yellow"/>
        </w:rPr>
        <w:t>Disclaimer (Artificial intelligence)</w:t>
      </w:r>
    </w:p>
    <w:p w14:paraId="7EE67EFA" w14:textId="3C5D40E3" w:rsidR="00884FD3" w:rsidRPr="00884FD3" w:rsidRDefault="00884FD3" w:rsidP="00C470B7">
      <w:pPr>
        <w:spacing w:after="200" w:line="276" w:lineRule="auto"/>
        <w:jc w:val="both"/>
        <w:rPr>
          <w:rFonts w:ascii="Calibri" w:eastAsia="Calibri" w:hAnsi="Calibri"/>
          <w:kern w:val="2"/>
          <w:sz w:val="22"/>
          <w:szCs w:val="22"/>
          <w:highlight w:val="yellow"/>
        </w:rPr>
      </w:pPr>
      <w:r w:rsidRPr="00884FD3">
        <w:rPr>
          <w:rFonts w:ascii="Calibri" w:eastAsia="Calibri" w:hAnsi="Calibri"/>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bookmarkEnd w:id="3"/>
    <w:bookmarkEnd w:id="4"/>
    <w:p w14:paraId="0CBB08E2" w14:textId="77777777" w:rsidR="00884FD3" w:rsidRPr="00421973" w:rsidRDefault="00884FD3" w:rsidP="00441B6F">
      <w:pPr>
        <w:pStyle w:val="Body"/>
        <w:spacing w:after="0"/>
        <w:rPr>
          <w:rFonts w:ascii="Arial" w:hAnsi="Arial" w:cs="Arial"/>
          <w:lang w:val="en-GB"/>
        </w:rPr>
      </w:pPr>
    </w:p>
    <w:p w14:paraId="1073447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C9A82F2" w14:textId="77777777" w:rsidR="00202911" w:rsidRPr="00202911" w:rsidRDefault="00202911" w:rsidP="00202911">
      <w:pPr>
        <w:pStyle w:val="Body"/>
        <w:spacing w:after="0"/>
        <w:rPr>
          <w:rFonts w:ascii="Arial" w:hAnsi="Arial" w:cs="Arial"/>
          <w:lang w:val="en-GB"/>
        </w:rPr>
      </w:pPr>
    </w:p>
    <w:p w14:paraId="0E9E5895"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Abd El-</w:t>
      </w:r>
      <w:proofErr w:type="spellStart"/>
      <w:r w:rsidRPr="00202911">
        <w:rPr>
          <w:rFonts w:ascii="Arial" w:hAnsi="Arial" w:cs="Arial"/>
          <w:lang w:val="en-GB"/>
        </w:rPr>
        <w:t>Mageed</w:t>
      </w:r>
      <w:proofErr w:type="spellEnd"/>
      <w:r w:rsidRPr="00202911">
        <w:rPr>
          <w:rFonts w:ascii="Arial" w:hAnsi="Arial" w:cs="Arial"/>
          <w:lang w:val="en-GB"/>
        </w:rPr>
        <w:t xml:space="preserve"> TA, </w:t>
      </w:r>
      <w:proofErr w:type="spellStart"/>
      <w:r w:rsidRPr="00202911">
        <w:rPr>
          <w:rFonts w:ascii="Arial" w:hAnsi="Arial" w:cs="Arial"/>
          <w:lang w:val="en-GB"/>
        </w:rPr>
        <w:t>Semida</w:t>
      </w:r>
      <w:proofErr w:type="spellEnd"/>
      <w:r w:rsidRPr="00202911">
        <w:rPr>
          <w:rFonts w:ascii="Arial" w:hAnsi="Arial" w:cs="Arial"/>
          <w:lang w:val="en-GB"/>
        </w:rPr>
        <w:t xml:space="preserve"> WM, Rady MM. Moringa leaf extract as </w:t>
      </w:r>
      <w:proofErr w:type="spellStart"/>
      <w:r w:rsidRPr="00202911">
        <w:rPr>
          <w:rFonts w:ascii="Arial" w:hAnsi="Arial" w:cs="Arial"/>
          <w:lang w:val="en-GB"/>
        </w:rPr>
        <w:t>biostimulant</w:t>
      </w:r>
      <w:proofErr w:type="spellEnd"/>
      <w:r w:rsidRPr="00202911">
        <w:rPr>
          <w:rFonts w:ascii="Arial" w:hAnsi="Arial" w:cs="Arial"/>
          <w:lang w:val="en-GB"/>
        </w:rPr>
        <w:t xml:space="preserve"> improves water use efficiency, physio-biochemical attributes of squash plants under deficit irrigation. </w:t>
      </w:r>
      <w:r w:rsidRPr="00202911">
        <w:rPr>
          <w:rFonts w:ascii="Arial" w:hAnsi="Arial" w:cs="Arial"/>
          <w:i/>
          <w:iCs/>
          <w:lang w:val="en-GB"/>
        </w:rPr>
        <w:t>Agric Water Manage.</w:t>
      </w:r>
      <w:r w:rsidRPr="00202911">
        <w:rPr>
          <w:rFonts w:ascii="Arial" w:hAnsi="Arial" w:cs="Arial"/>
          <w:lang w:val="en-GB"/>
        </w:rPr>
        <w:t xml:space="preserve"> 2017; 193:46-54. </w:t>
      </w:r>
      <w:hyperlink r:id="rId23" w:tgtFrame="_blank" w:history="1">
        <w:r w:rsidRPr="00202911">
          <w:rPr>
            <w:rStyle w:val="Hyperlink"/>
            <w:rFonts w:ascii="Arial" w:hAnsi="Arial" w:cs="Arial"/>
            <w:lang w:val="en-GB"/>
          </w:rPr>
          <w:t xml:space="preserve">https://doi.org/10.1016/j.agwat.2017.08.004 </w:t>
        </w:r>
      </w:hyperlink>
      <w:r w:rsidRPr="00202911">
        <w:rPr>
          <w:rFonts w:ascii="Arial" w:hAnsi="Arial" w:cs="Arial"/>
          <w:lang w:val="en-GB"/>
        </w:rPr>
        <w:t>.</w:t>
      </w:r>
    </w:p>
    <w:p w14:paraId="6BB8F75C"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Abdalla MM. The potential of </w:t>
      </w:r>
      <w:r w:rsidRPr="00202911">
        <w:rPr>
          <w:rFonts w:ascii="Arial" w:hAnsi="Arial" w:cs="Arial"/>
          <w:i/>
          <w:iCs/>
          <w:lang w:val="en-GB"/>
        </w:rPr>
        <w:t xml:space="preserve">Moringa oleifera </w:t>
      </w:r>
      <w:r w:rsidRPr="00202911">
        <w:rPr>
          <w:rFonts w:ascii="Arial" w:hAnsi="Arial" w:cs="Arial"/>
          <w:lang w:val="en-GB"/>
        </w:rPr>
        <w:t xml:space="preserve">extract as a </w:t>
      </w:r>
      <w:proofErr w:type="spellStart"/>
      <w:r w:rsidRPr="00202911">
        <w:rPr>
          <w:rFonts w:ascii="Arial" w:hAnsi="Arial" w:cs="Arial"/>
          <w:lang w:val="en-GB"/>
        </w:rPr>
        <w:t>biostimulant</w:t>
      </w:r>
      <w:proofErr w:type="spellEnd"/>
      <w:r w:rsidRPr="00202911">
        <w:rPr>
          <w:rFonts w:ascii="Arial" w:hAnsi="Arial" w:cs="Arial"/>
          <w:lang w:val="en-GB"/>
        </w:rPr>
        <w:t xml:space="preserve"> in enhancing the growth, biochemical and hormonal contents in rocket (</w:t>
      </w:r>
      <w:r w:rsidRPr="00202911">
        <w:rPr>
          <w:rFonts w:ascii="Arial" w:hAnsi="Arial" w:cs="Arial"/>
          <w:i/>
          <w:iCs/>
          <w:lang w:val="en-GB"/>
        </w:rPr>
        <w:t>Eruca vesicaria subsp. sativa)</w:t>
      </w:r>
      <w:r w:rsidRPr="00202911">
        <w:rPr>
          <w:rFonts w:ascii="Arial" w:hAnsi="Arial" w:cs="Arial"/>
          <w:lang w:val="en-GB"/>
        </w:rPr>
        <w:t xml:space="preserve"> plants. </w:t>
      </w:r>
      <w:r w:rsidRPr="00202911">
        <w:rPr>
          <w:rFonts w:ascii="Arial" w:hAnsi="Arial" w:cs="Arial"/>
          <w:i/>
          <w:iCs/>
          <w:lang w:val="en-GB"/>
        </w:rPr>
        <w:t xml:space="preserve">Int J Plant </w:t>
      </w:r>
      <w:proofErr w:type="spellStart"/>
      <w:r w:rsidRPr="00202911">
        <w:rPr>
          <w:rFonts w:ascii="Arial" w:hAnsi="Arial" w:cs="Arial"/>
          <w:i/>
          <w:iCs/>
          <w:lang w:val="en-GB"/>
        </w:rPr>
        <w:t>Physiol</w:t>
      </w:r>
      <w:proofErr w:type="spellEnd"/>
      <w:r w:rsidRPr="00202911">
        <w:rPr>
          <w:rFonts w:ascii="Arial" w:hAnsi="Arial" w:cs="Arial"/>
          <w:i/>
          <w:iCs/>
          <w:lang w:val="en-GB"/>
        </w:rPr>
        <w:t xml:space="preserve"> </w:t>
      </w:r>
      <w:proofErr w:type="spellStart"/>
      <w:r w:rsidRPr="00202911">
        <w:rPr>
          <w:rFonts w:ascii="Arial" w:hAnsi="Arial" w:cs="Arial"/>
          <w:i/>
          <w:iCs/>
          <w:lang w:val="en-GB"/>
        </w:rPr>
        <w:t>Biochem</w:t>
      </w:r>
      <w:proofErr w:type="spellEnd"/>
      <w:r w:rsidRPr="00202911">
        <w:rPr>
          <w:rFonts w:ascii="Arial" w:hAnsi="Arial" w:cs="Arial"/>
          <w:i/>
          <w:iCs/>
          <w:lang w:val="en-GB"/>
        </w:rPr>
        <w:t>.</w:t>
      </w:r>
      <w:r w:rsidRPr="00202911">
        <w:rPr>
          <w:rFonts w:ascii="Arial" w:hAnsi="Arial" w:cs="Arial"/>
          <w:lang w:val="en-GB"/>
        </w:rPr>
        <w:t xml:space="preserve"> 2013; 5:42–49. </w:t>
      </w:r>
      <w:hyperlink r:id="rId24" w:tgtFrame="_blank" w:history="1">
        <w:r w:rsidRPr="00202911">
          <w:rPr>
            <w:rStyle w:val="Hyperlink"/>
            <w:rFonts w:ascii="Arial" w:hAnsi="Arial" w:cs="Arial"/>
            <w:lang w:val="en-GB"/>
          </w:rPr>
          <w:t xml:space="preserve">https://doi.org/10.5897/IJPPB2012.026 </w:t>
        </w:r>
      </w:hyperlink>
      <w:r w:rsidRPr="00202911">
        <w:rPr>
          <w:rFonts w:ascii="Arial" w:hAnsi="Arial" w:cs="Arial"/>
          <w:lang w:val="en-GB"/>
        </w:rPr>
        <w:t>.</w:t>
      </w:r>
    </w:p>
    <w:p w14:paraId="31F67D35"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Abdelaal KA. Effect of salicylic acid and abscisic acid on morpho-physiological and anatomical characters of faba bean plants (</w:t>
      </w:r>
      <w:r w:rsidRPr="00202911">
        <w:rPr>
          <w:rFonts w:ascii="Arial" w:hAnsi="Arial" w:cs="Arial"/>
          <w:i/>
          <w:iCs/>
          <w:lang w:val="en-GB"/>
        </w:rPr>
        <w:t>Vicia faba L.)</w:t>
      </w:r>
      <w:r w:rsidRPr="00202911">
        <w:rPr>
          <w:rFonts w:ascii="Arial" w:hAnsi="Arial" w:cs="Arial"/>
          <w:lang w:val="en-GB"/>
        </w:rPr>
        <w:t xml:space="preserve"> under drought stress. </w:t>
      </w:r>
      <w:r w:rsidRPr="00202911">
        <w:rPr>
          <w:rFonts w:ascii="Arial" w:hAnsi="Arial" w:cs="Arial"/>
          <w:i/>
          <w:iCs/>
          <w:lang w:val="en-GB"/>
        </w:rPr>
        <w:t>J Plant Prod.</w:t>
      </w:r>
      <w:r w:rsidRPr="00202911">
        <w:rPr>
          <w:rFonts w:ascii="Arial" w:hAnsi="Arial" w:cs="Arial"/>
          <w:lang w:val="en-GB"/>
        </w:rPr>
        <w:t xml:space="preserve"> 2015;6(11):1771-1788. </w:t>
      </w:r>
      <w:hyperlink r:id="rId25" w:tgtFrame="_blank" w:history="1">
        <w:r w:rsidRPr="00202911">
          <w:rPr>
            <w:rStyle w:val="Hyperlink"/>
            <w:rFonts w:ascii="Arial" w:hAnsi="Arial" w:cs="Arial"/>
            <w:lang w:val="en-GB"/>
          </w:rPr>
          <w:t xml:space="preserve">http://dx.doi.org/10.21608/jpp.2015.52096 </w:t>
        </w:r>
      </w:hyperlink>
      <w:r w:rsidRPr="00202911">
        <w:rPr>
          <w:rFonts w:ascii="Arial" w:hAnsi="Arial" w:cs="Arial"/>
          <w:lang w:val="en-GB"/>
        </w:rPr>
        <w:t>.</w:t>
      </w:r>
    </w:p>
    <w:p w14:paraId="582E2C99"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Ali O, Ramsubhag A, Jayaraman J. </w:t>
      </w:r>
      <w:proofErr w:type="spellStart"/>
      <w:r w:rsidRPr="00202911">
        <w:rPr>
          <w:rFonts w:ascii="Arial" w:hAnsi="Arial" w:cs="Arial"/>
          <w:lang w:val="en-GB"/>
        </w:rPr>
        <w:t>Biostimulatory</w:t>
      </w:r>
      <w:proofErr w:type="spellEnd"/>
      <w:r w:rsidRPr="00202911">
        <w:rPr>
          <w:rFonts w:ascii="Arial" w:hAnsi="Arial" w:cs="Arial"/>
          <w:lang w:val="en-GB"/>
        </w:rPr>
        <w:t xml:space="preserve"> activities of </w:t>
      </w:r>
      <w:r w:rsidRPr="00202911">
        <w:rPr>
          <w:rFonts w:ascii="Arial" w:hAnsi="Arial" w:cs="Arial"/>
          <w:i/>
          <w:iCs/>
          <w:lang w:val="en-GB"/>
        </w:rPr>
        <w:t xml:space="preserve">Ascophyllum nodosum </w:t>
      </w:r>
      <w:r w:rsidRPr="00202911">
        <w:rPr>
          <w:rFonts w:ascii="Arial" w:hAnsi="Arial" w:cs="Arial"/>
          <w:lang w:val="en-GB"/>
        </w:rPr>
        <w:t xml:space="preserve">extract in tomato and sweet pepper crops in a tropical environment. </w:t>
      </w:r>
      <w:r w:rsidRPr="00202911">
        <w:rPr>
          <w:rFonts w:ascii="Arial" w:hAnsi="Arial" w:cs="Arial"/>
          <w:i/>
          <w:iCs/>
          <w:lang w:val="en-GB"/>
        </w:rPr>
        <w:t>PLOS ONE.</w:t>
      </w:r>
      <w:r w:rsidRPr="00202911">
        <w:rPr>
          <w:rFonts w:ascii="Arial" w:hAnsi="Arial" w:cs="Arial"/>
          <w:lang w:val="en-GB"/>
        </w:rPr>
        <w:t xml:space="preserve"> 2019;14(5): e0216710. </w:t>
      </w:r>
      <w:hyperlink r:id="rId26" w:tgtFrame="_blank" w:history="1">
        <w:r w:rsidRPr="00202911">
          <w:rPr>
            <w:rStyle w:val="Hyperlink"/>
            <w:rFonts w:ascii="Arial" w:hAnsi="Arial" w:cs="Arial"/>
            <w:lang w:val="en-GB"/>
          </w:rPr>
          <w:t>https://doi.org/10.1371/journal.pone.0216710</w:t>
        </w:r>
      </w:hyperlink>
    </w:p>
    <w:p w14:paraId="7E71DB52"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Arnon DI. Copper enzymes in isolated chloroplasts. </w:t>
      </w:r>
      <w:proofErr w:type="spellStart"/>
      <w:r w:rsidRPr="00202911">
        <w:rPr>
          <w:rFonts w:ascii="Arial" w:hAnsi="Arial" w:cs="Arial"/>
          <w:lang w:val="en-GB"/>
        </w:rPr>
        <w:t>Polyphenoloxidase</w:t>
      </w:r>
      <w:proofErr w:type="spellEnd"/>
      <w:r w:rsidRPr="00202911">
        <w:rPr>
          <w:rFonts w:ascii="Arial" w:hAnsi="Arial" w:cs="Arial"/>
          <w:lang w:val="en-GB"/>
        </w:rPr>
        <w:t xml:space="preserve"> in </w:t>
      </w:r>
      <w:r w:rsidRPr="00202911">
        <w:rPr>
          <w:rFonts w:ascii="Arial" w:hAnsi="Arial" w:cs="Arial"/>
          <w:i/>
          <w:iCs/>
          <w:lang w:val="en-GB"/>
        </w:rPr>
        <w:t>Beta vulgaris.</w:t>
      </w:r>
      <w:r w:rsidRPr="00202911">
        <w:rPr>
          <w:rFonts w:ascii="Arial" w:hAnsi="Arial" w:cs="Arial"/>
          <w:lang w:val="en-GB"/>
        </w:rPr>
        <w:t xml:space="preserve"> </w:t>
      </w:r>
      <w:r w:rsidRPr="00202911">
        <w:rPr>
          <w:rFonts w:ascii="Arial" w:hAnsi="Arial" w:cs="Arial"/>
          <w:i/>
          <w:iCs/>
          <w:lang w:val="en-GB"/>
        </w:rPr>
        <w:t>Plant Physiol.</w:t>
      </w:r>
      <w:r w:rsidRPr="00202911">
        <w:rPr>
          <w:rFonts w:ascii="Arial" w:hAnsi="Arial" w:cs="Arial"/>
          <w:lang w:val="en-GB"/>
        </w:rPr>
        <w:t xml:space="preserve"> 1949;24(1):1-15. </w:t>
      </w:r>
      <w:hyperlink r:id="rId27" w:tgtFrame="_blank" w:history="1">
        <w:r w:rsidRPr="00202911">
          <w:rPr>
            <w:rStyle w:val="Hyperlink"/>
            <w:rFonts w:ascii="Arial" w:hAnsi="Arial" w:cs="Arial"/>
            <w:lang w:val="en-GB"/>
          </w:rPr>
          <w:t xml:space="preserve">https://doi.org/10.1104/pp.24.1.1 </w:t>
        </w:r>
      </w:hyperlink>
      <w:r w:rsidRPr="00202911">
        <w:rPr>
          <w:rFonts w:ascii="Arial" w:hAnsi="Arial" w:cs="Arial"/>
          <w:lang w:val="en-GB"/>
        </w:rPr>
        <w:t xml:space="preserve">. </w:t>
      </w:r>
    </w:p>
    <w:p w14:paraId="70F7CEA6"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Bajpai S, Shukla PS, Asiedu S, Pruski K, </w:t>
      </w:r>
      <w:proofErr w:type="spellStart"/>
      <w:r w:rsidRPr="00202911">
        <w:rPr>
          <w:rFonts w:ascii="Arial" w:hAnsi="Arial" w:cs="Arial"/>
          <w:lang w:val="en-GB"/>
        </w:rPr>
        <w:t>Prithiviraj</w:t>
      </w:r>
      <w:proofErr w:type="spellEnd"/>
      <w:r w:rsidRPr="00202911">
        <w:rPr>
          <w:rFonts w:ascii="Arial" w:hAnsi="Arial" w:cs="Arial"/>
          <w:lang w:val="en-GB"/>
        </w:rPr>
        <w:t xml:space="preserve"> B. A </w:t>
      </w:r>
      <w:proofErr w:type="spellStart"/>
      <w:r w:rsidRPr="00202911">
        <w:rPr>
          <w:rFonts w:ascii="Arial" w:hAnsi="Arial" w:cs="Arial"/>
          <w:lang w:val="en-GB"/>
        </w:rPr>
        <w:t>biostimulant</w:t>
      </w:r>
      <w:proofErr w:type="spellEnd"/>
      <w:r w:rsidRPr="00202911">
        <w:rPr>
          <w:rFonts w:ascii="Arial" w:hAnsi="Arial" w:cs="Arial"/>
          <w:lang w:val="en-GB"/>
        </w:rPr>
        <w:t xml:space="preserve"> preparation of brown seaweed </w:t>
      </w:r>
      <w:r w:rsidRPr="00202911">
        <w:rPr>
          <w:rFonts w:ascii="Arial" w:hAnsi="Arial" w:cs="Arial"/>
          <w:i/>
          <w:iCs/>
          <w:lang w:val="en-GB"/>
        </w:rPr>
        <w:t xml:space="preserve">Ascophyllum nodosum </w:t>
      </w:r>
      <w:r w:rsidRPr="00202911">
        <w:rPr>
          <w:rFonts w:ascii="Arial" w:hAnsi="Arial" w:cs="Arial"/>
          <w:lang w:val="en-GB"/>
        </w:rPr>
        <w:t xml:space="preserve">suppresses powdery mildew of strawberry. </w:t>
      </w:r>
      <w:r w:rsidRPr="00202911">
        <w:rPr>
          <w:rFonts w:ascii="Arial" w:hAnsi="Arial" w:cs="Arial"/>
          <w:i/>
          <w:iCs/>
          <w:lang w:val="en-GB"/>
        </w:rPr>
        <w:t xml:space="preserve">Plant </w:t>
      </w:r>
      <w:proofErr w:type="spellStart"/>
      <w:r w:rsidRPr="00202911">
        <w:rPr>
          <w:rFonts w:ascii="Arial" w:hAnsi="Arial" w:cs="Arial"/>
          <w:i/>
          <w:iCs/>
          <w:lang w:val="en-GB"/>
        </w:rPr>
        <w:t>Pathol</w:t>
      </w:r>
      <w:proofErr w:type="spellEnd"/>
      <w:r w:rsidRPr="00202911">
        <w:rPr>
          <w:rFonts w:ascii="Arial" w:hAnsi="Arial" w:cs="Arial"/>
          <w:i/>
          <w:iCs/>
          <w:lang w:val="en-GB"/>
        </w:rPr>
        <w:t xml:space="preserve"> J.</w:t>
      </w:r>
      <w:r w:rsidRPr="00202911">
        <w:rPr>
          <w:rFonts w:ascii="Arial" w:hAnsi="Arial" w:cs="Arial"/>
          <w:lang w:val="en-GB"/>
        </w:rPr>
        <w:t xml:space="preserve"> 2019;35(5):406–416. </w:t>
      </w:r>
      <w:hyperlink r:id="rId28" w:tgtFrame="_blank" w:history="1">
        <w:r w:rsidRPr="00202911">
          <w:rPr>
            <w:rStyle w:val="Hyperlink"/>
            <w:rFonts w:ascii="Arial" w:hAnsi="Arial" w:cs="Arial"/>
            <w:lang w:val="en-GB"/>
          </w:rPr>
          <w:t xml:space="preserve">https://doi.org/10.5423/PPJ.OA.03.2019.0066 </w:t>
        </w:r>
      </w:hyperlink>
      <w:r w:rsidRPr="00202911">
        <w:rPr>
          <w:rFonts w:ascii="Arial" w:hAnsi="Arial" w:cs="Arial"/>
          <w:lang w:val="en-GB"/>
        </w:rPr>
        <w:t xml:space="preserve">. </w:t>
      </w:r>
    </w:p>
    <w:p w14:paraId="6DBFABDD"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Bang J, Lee K, Jeong W, Han S, Jo I, Choi S, Cho H, Hyun T, Sung J, Lee J, So Y, Chung J. Antioxidant activity and phytochemical content of nine </w:t>
      </w:r>
      <w:r w:rsidRPr="00202911">
        <w:rPr>
          <w:rFonts w:ascii="Arial" w:hAnsi="Arial" w:cs="Arial"/>
          <w:i/>
          <w:iCs/>
          <w:lang w:val="en-GB"/>
        </w:rPr>
        <w:t xml:space="preserve">Amaranthus </w:t>
      </w:r>
      <w:r w:rsidRPr="00202911">
        <w:rPr>
          <w:rFonts w:ascii="Arial" w:hAnsi="Arial" w:cs="Arial"/>
          <w:lang w:val="en-GB"/>
        </w:rPr>
        <w:t xml:space="preserve">species. </w:t>
      </w:r>
      <w:r w:rsidRPr="00202911">
        <w:rPr>
          <w:rFonts w:ascii="Arial" w:hAnsi="Arial" w:cs="Arial"/>
          <w:i/>
          <w:iCs/>
          <w:lang w:val="en-GB"/>
        </w:rPr>
        <w:t>Agronomy.</w:t>
      </w:r>
      <w:r w:rsidRPr="00202911">
        <w:rPr>
          <w:rFonts w:ascii="Arial" w:hAnsi="Arial" w:cs="Arial"/>
          <w:lang w:val="en-GB"/>
        </w:rPr>
        <w:t xml:space="preserve"> 2021;11(6):1032. </w:t>
      </w:r>
      <w:hyperlink r:id="rId29" w:tgtFrame="_blank" w:history="1">
        <w:r w:rsidRPr="00202911">
          <w:rPr>
            <w:rStyle w:val="Hyperlink"/>
            <w:rFonts w:ascii="Arial" w:hAnsi="Arial" w:cs="Arial"/>
            <w:lang w:val="en-GB"/>
          </w:rPr>
          <w:t xml:space="preserve">https://doi.org/10.3390/agronomy11061032 </w:t>
        </w:r>
      </w:hyperlink>
      <w:r w:rsidRPr="00202911">
        <w:rPr>
          <w:rFonts w:ascii="Arial" w:hAnsi="Arial" w:cs="Arial"/>
          <w:lang w:val="en-GB"/>
        </w:rPr>
        <w:t xml:space="preserve">. </w:t>
      </w:r>
    </w:p>
    <w:p w14:paraId="6D313D56"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Barr HD, Weatherley PE. A re-examination of the relative turgidity technique for estimating water deficit in leaves. </w:t>
      </w:r>
      <w:proofErr w:type="spellStart"/>
      <w:r w:rsidRPr="00202911">
        <w:rPr>
          <w:rFonts w:ascii="Arial" w:hAnsi="Arial" w:cs="Arial"/>
          <w:i/>
          <w:iCs/>
          <w:lang w:val="en-GB"/>
        </w:rPr>
        <w:t>Aust</w:t>
      </w:r>
      <w:proofErr w:type="spellEnd"/>
      <w:r w:rsidRPr="00202911">
        <w:rPr>
          <w:rFonts w:ascii="Arial" w:hAnsi="Arial" w:cs="Arial"/>
          <w:i/>
          <w:iCs/>
          <w:lang w:val="en-GB"/>
        </w:rPr>
        <w:t xml:space="preserve"> J </w:t>
      </w:r>
      <w:proofErr w:type="spellStart"/>
      <w:r w:rsidRPr="00202911">
        <w:rPr>
          <w:rFonts w:ascii="Arial" w:hAnsi="Arial" w:cs="Arial"/>
          <w:i/>
          <w:iCs/>
          <w:lang w:val="en-GB"/>
        </w:rPr>
        <w:t>Biol</w:t>
      </w:r>
      <w:proofErr w:type="spellEnd"/>
      <w:r w:rsidRPr="00202911">
        <w:rPr>
          <w:rFonts w:ascii="Arial" w:hAnsi="Arial" w:cs="Arial"/>
          <w:i/>
          <w:iCs/>
          <w:lang w:val="en-GB"/>
        </w:rPr>
        <w:t xml:space="preserve"> Sci.</w:t>
      </w:r>
      <w:r w:rsidRPr="00202911">
        <w:rPr>
          <w:rFonts w:ascii="Arial" w:hAnsi="Arial" w:cs="Arial"/>
          <w:lang w:val="en-GB"/>
        </w:rPr>
        <w:t xml:space="preserve"> 1962; 15:413-428. </w:t>
      </w:r>
      <w:hyperlink r:id="rId30" w:tgtFrame="_blank" w:history="1">
        <w:r w:rsidRPr="00202911">
          <w:rPr>
            <w:rStyle w:val="Hyperlink"/>
            <w:rFonts w:ascii="Arial" w:hAnsi="Arial" w:cs="Arial"/>
            <w:lang w:val="en-GB"/>
          </w:rPr>
          <w:t xml:space="preserve">http://dx.doi.org/10.1071/BI9620413 </w:t>
        </w:r>
      </w:hyperlink>
      <w:r w:rsidRPr="00202911">
        <w:rPr>
          <w:rFonts w:ascii="Arial" w:hAnsi="Arial" w:cs="Arial"/>
          <w:lang w:val="en-GB"/>
        </w:rPr>
        <w:t xml:space="preserve">. </w:t>
      </w:r>
    </w:p>
    <w:p w14:paraId="150AF66B" w14:textId="700EB80C"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Batool S, Khan S, Basra SMA. Foliar application of </w:t>
      </w:r>
      <w:r w:rsidRPr="00202911">
        <w:rPr>
          <w:rFonts w:ascii="Arial" w:hAnsi="Arial" w:cs="Arial"/>
          <w:i/>
          <w:iCs/>
          <w:lang w:val="en-GB"/>
        </w:rPr>
        <w:t xml:space="preserve">Moringa </w:t>
      </w:r>
      <w:r w:rsidRPr="00202911">
        <w:rPr>
          <w:rFonts w:ascii="Arial" w:hAnsi="Arial" w:cs="Arial"/>
          <w:lang w:val="en-GB"/>
        </w:rPr>
        <w:t xml:space="preserve">leaf extract improves the growth of </w:t>
      </w:r>
      <w:r w:rsidRPr="00202911">
        <w:rPr>
          <w:rFonts w:ascii="Arial" w:hAnsi="Arial" w:cs="Arial"/>
          <w:i/>
          <w:iCs/>
          <w:lang w:val="en-GB"/>
        </w:rPr>
        <w:t xml:space="preserve">Moringa </w:t>
      </w:r>
      <w:r w:rsidRPr="00202911">
        <w:rPr>
          <w:rFonts w:ascii="Arial" w:hAnsi="Arial" w:cs="Arial"/>
          <w:lang w:val="en-GB"/>
        </w:rPr>
        <w:t xml:space="preserve">seedlings in winter. </w:t>
      </w:r>
      <w:r w:rsidRPr="00202911">
        <w:rPr>
          <w:rFonts w:ascii="Arial" w:hAnsi="Arial" w:cs="Arial"/>
          <w:i/>
          <w:iCs/>
          <w:lang w:val="en-GB"/>
        </w:rPr>
        <w:t xml:space="preserve">South </w:t>
      </w:r>
      <w:proofErr w:type="spellStart"/>
      <w:r w:rsidRPr="00202911">
        <w:rPr>
          <w:rFonts w:ascii="Arial" w:hAnsi="Arial" w:cs="Arial"/>
          <w:i/>
          <w:iCs/>
          <w:lang w:val="en-GB"/>
        </w:rPr>
        <w:t>Afr</w:t>
      </w:r>
      <w:proofErr w:type="spellEnd"/>
      <w:r w:rsidRPr="00202911">
        <w:rPr>
          <w:rFonts w:ascii="Arial" w:hAnsi="Arial" w:cs="Arial"/>
          <w:i/>
          <w:iCs/>
          <w:lang w:val="en-GB"/>
        </w:rPr>
        <w:t xml:space="preserve"> J Bot.</w:t>
      </w:r>
      <w:r w:rsidRPr="00202911">
        <w:rPr>
          <w:rFonts w:ascii="Arial" w:hAnsi="Arial" w:cs="Arial"/>
          <w:lang w:val="en-GB"/>
        </w:rPr>
        <w:t xml:space="preserve"> 2020; 129:347-353. </w:t>
      </w:r>
      <w:hyperlink r:id="rId31" w:tgtFrame="_blank" w:history="1">
        <w:r w:rsidRPr="00202911">
          <w:rPr>
            <w:rStyle w:val="Hyperlink"/>
            <w:rFonts w:ascii="Arial" w:hAnsi="Arial" w:cs="Arial"/>
            <w:lang w:val="en-GB"/>
          </w:rPr>
          <w:t xml:space="preserve">https://doi.org/10.1016/j.sajb.2019.08.040 </w:t>
        </w:r>
      </w:hyperlink>
      <w:r w:rsidRPr="00202911">
        <w:rPr>
          <w:rFonts w:ascii="Arial" w:hAnsi="Arial" w:cs="Arial"/>
          <w:lang w:val="en-GB"/>
        </w:rPr>
        <w:t xml:space="preserve">. </w:t>
      </w:r>
    </w:p>
    <w:p w14:paraId="609C292E" w14:textId="16C51237"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lastRenderedPageBreak/>
        <w:t>Busani</w:t>
      </w:r>
      <w:proofErr w:type="spellEnd"/>
      <w:r w:rsidRPr="00202911">
        <w:rPr>
          <w:rFonts w:ascii="Arial" w:hAnsi="Arial" w:cs="Arial"/>
          <w:lang w:val="en-GB"/>
        </w:rPr>
        <w:t xml:space="preserve"> M, Patrick JM, Arnold H, </w:t>
      </w:r>
      <w:proofErr w:type="spellStart"/>
      <w:r w:rsidRPr="00202911">
        <w:rPr>
          <w:rFonts w:ascii="Arial" w:hAnsi="Arial" w:cs="Arial"/>
          <w:lang w:val="en-GB"/>
        </w:rPr>
        <w:t>Voster</w:t>
      </w:r>
      <w:proofErr w:type="spellEnd"/>
      <w:r w:rsidRPr="00202911">
        <w:rPr>
          <w:rFonts w:ascii="Arial" w:hAnsi="Arial" w:cs="Arial"/>
          <w:lang w:val="en-GB"/>
        </w:rPr>
        <w:t xml:space="preserve"> M, Moyo B, Masika P. Nutritional characterization of </w:t>
      </w:r>
      <w:r w:rsidRPr="00202911">
        <w:rPr>
          <w:rFonts w:ascii="Arial" w:hAnsi="Arial" w:cs="Arial"/>
          <w:i/>
          <w:iCs/>
          <w:lang w:val="en-GB"/>
        </w:rPr>
        <w:t xml:space="preserve">Moringa oleifera </w:t>
      </w:r>
      <w:r w:rsidRPr="00202911">
        <w:rPr>
          <w:rFonts w:ascii="Arial" w:hAnsi="Arial" w:cs="Arial"/>
          <w:lang w:val="en-GB"/>
        </w:rPr>
        <w:t xml:space="preserve">L. leaves. </w:t>
      </w:r>
      <w:proofErr w:type="spellStart"/>
      <w:r w:rsidRPr="00202911">
        <w:rPr>
          <w:rFonts w:ascii="Arial" w:hAnsi="Arial" w:cs="Arial"/>
          <w:i/>
          <w:iCs/>
          <w:lang w:val="en-GB"/>
        </w:rPr>
        <w:t>Afr</w:t>
      </w:r>
      <w:proofErr w:type="spellEnd"/>
      <w:r w:rsidRPr="00202911">
        <w:rPr>
          <w:rFonts w:ascii="Arial" w:hAnsi="Arial" w:cs="Arial"/>
          <w:i/>
          <w:iCs/>
          <w:lang w:val="en-GB"/>
        </w:rPr>
        <w:t xml:space="preserve"> J </w:t>
      </w:r>
      <w:proofErr w:type="spellStart"/>
      <w:proofErr w:type="gramStart"/>
      <w:r w:rsidRPr="00202911">
        <w:rPr>
          <w:rFonts w:ascii="Arial" w:hAnsi="Arial" w:cs="Arial"/>
          <w:i/>
          <w:iCs/>
          <w:lang w:val="en-GB"/>
        </w:rPr>
        <w:t>Biotechnol</w:t>
      </w:r>
      <w:proofErr w:type="spellEnd"/>
      <w:r w:rsidRPr="00202911">
        <w:rPr>
          <w:rFonts w:ascii="Arial" w:hAnsi="Arial" w:cs="Arial"/>
          <w:i/>
          <w:iCs/>
          <w:lang w:val="en-GB"/>
        </w:rPr>
        <w:t xml:space="preserve"> </w:t>
      </w:r>
      <w:r w:rsidRPr="00202911">
        <w:rPr>
          <w:rFonts w:ascii="Arial" w:hAnsi="Arial" w:cs="Arial"/>
          <w:lang w:val="en-GB"/>
        </w:rPr>
        <w:t>.</w:t>
      </w:r>
      <w:proofErr w:type="gramEnd"/>
      <w:r w:rsidRPr="00202911">
        <w:rPr>
          <w:rFonts w:ascii="Arial" w:hAnsi="Arial" w:cs="Arial"/>
          <w:lang w:val="en-GB"/>
        </w:rPr>
        <w:t xml:space="preserve"> 2011; 10:12925-12933. </w:t>
      </w:r>
      <w:hyperlink r:id="rId32" w:tgtFrame="_blank" w:history="1">
        <w:r w:rsidRPr="00202911">
          <w:rPr>
            <w:rStyle w:val="Hyperlink"/>
            <w:rFonts w:ascii="Arial" w:hAnsi="Arial" w:cs="Arial"/>
            <w:lang w:val="en-GB"/>
          </w:rPr>
          <w:t xml:space="preserve">http://dx.doi.org/10.5897/AJB10.1599 </w:t>
        </w:r>
      </w:hyperlink>
      <w:r w:rsidRPr="00202911">
        <w:rPr>
          <w:rFonts w:ascii="Arial" w:hAnsi="Arial" w:cs="Arial"/>
          <w:lang w:val="en-GB"/>
        </w:rPr>
        <w:t xml:space="preserve">. </w:t>
      </w:r>
    </w:p>
    <w:p w14:paraId="61E4C065" w14:textId="19972E9A"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Calvo P, Nelson L, Kloepper JW. Agricultural uses of plant </w:t>
      </w:r>
      <w:proofErr w:type="spellStart"/>
      <w:r w:rsidRPr="00202911">
        <w:rPr>
          <w:rFonts w:ascii="Arial" w:hAnsi="Arial" w:cs="Arial"/>
          <w:lang w:val="en-GB"/>
        </w:rPr>
        <w:t>biostimulants</w:t>
      </w:r>
      <w:proofErr w:type="spellEnd"/>
      <w:r w:rsidRPr="00202911">
        <w:rPr>
          <w:rFonts w:ascii="Arial" w:hAnsi="Arial" w:cs="Arial"/>
          <w:lang w:val="en-GB"/>
        </w:rPr>
        <w:t xml:space="preserve">. </w:t>
      </w:r>
      <w:r w:rsidRPr="00202911">
        <w:rPr>
          <w:rFonts w:ascii="Arial" w:hAnsi="Arial" w:cs="Arial"/>
          <w:i/>
          <w:iCs/>
          <w:lang w:val="en-GB"/>
        </w:rPr>
        <w:t xml:space="preserve">Plant </w:t>
      </w:r>
      <w:r w:rsidR="00333944" w:rsidRPr="00202911">
        <w:rPr>
          <w:rFonts w:ascii="Arial" w:hAnsi="Arial" w:cs="Arial"/>
          <w:i/>
          <w:iCs/>
          <w:lang w:val="en-GB"/>
        </w:rPr>
        <w:t>Soil.</w:t>
      </w:r>
      <w:r w:rsidRPr="00202911">
        <w:rPr>
          <w:rFonts w:ascii="Arial" w:hAnsi="Arial" w:cs="Arial"/>
          <w:lang w:val="en-GB"/>
        </w:rPr>
        <w:t xml:space="preserve"> </w:t>
      </w:r>
      <w:r w:rsidR="00333944" w:rsidRPr="00202911">
        <w:rPr>
          <w:rFonts w:ascii="Arial" w:hAnsi="Arial" w:cs="Arial"/>
          <w:lang w:val="en-GB"/>
        </w:rPr>
        <w:t>2014; 383:3</w:t>
      </w:r>
      <w:r w:rsidRPr="00202911">
        <w:rPr>
          <w:rFonts w:ascii="Arial" w:hAnsi="Arial" w:cs="Arial"/>
          <w:lang w:val="en-GB"/>
        </w:rPr>
        <w:t xml:space="preserve">-41. </w:t>
      </w:r>
      <w:hyperlink r:id="rId33" w:tgtFrame="_blank" w:history="1">
        <w:r w:rsidRPr="00202911">
          <w:rPr>
            <w:rStyle w:val="Hyperlink"/>
            <w:rFonts w:ascii="Arial" w:hAnsi="Arial" w:cs="Arial"/>
            <w:lang w:val="en-GB"/>
          </w:rPr>
          <w:t xml:space="preserve">https://doi.org/10.1007/s11104-014-2131-8 </w:t>
        </w:r>
      </w:hyperlink>
      <w:r w:rsidRPr="00202911">
        <w:rPr>
          <w:rFonts w:ascii="Arial" w:hAnsi="Arial" w:cs="Arial"/>
          <w:lang w:val="en-GB"/>
        </w:rPr>
        <w:t xml:space="preserve">. </w:t>
      </w:r>
    </w:p>
    <w:p w14:paraId="1FB5D81B" w14:textId="2373C383"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Canellas LP, Olivares FL, </w:t>
      </w:r>
      <w:proofErr w:type="spellStart"/>
      <w:r w:rsidRPr="00202911">
        <w:rPr>
          <w:rFonts w:ascii="Arial" w:hAnsi="Arial" w:cs="Arial"/>
          <w:lang w:val="en-GB"/>
        </w:rPr>
        <w:t>Okorokova-Façanha</w:t>
      </w:r>
      <w:proofErr w:type="spellEnd"/>
      <w:r w:rsidRPr="00202911">
        <w:rPr>
          <w:rFonts w:ascii="Arial" w:hAnsi="Arial" w:cs="Arial"/>
          <w:lang w:val="en-GB"/>
        </w:rPr>
        <w:t xml:space="preserve"> AL, </w:t>
      </w:r>
      <w:proofErr w:type="spellStart"/>
      <w:r w:rsidRPr="00202911">
        <w:rPr>
          <w:rFonts w:ascii="Arial" w:hAnsi="Arial" w:cs="Arial"/>
          <w:lang w:val="en-GB"/>
        </w:rPr>
        <w:t>Façanha</w:t>
      </w:r>
      <w:proofErr w:type="spellEnd"/>
      <w:r w:rsidRPr="00202911">
        <w:rPr>
          <w:rFonts w:ascii="Arial" w:hAnsi="Arial" w:cs="Arial"/>
          <w:lang w:val="en-GB"/>
        </w:rPr>
        <w:t xml:space="preserve"> AR. Humic acids isolated from earthworm compost enhance root elongation, lateral root emergence, and plasma membrane H</w:t>
      </w:r>
      <w:r w:rsidRPr="00202911">
        <w:rPr>
          <w:rFonts w:ascii="Cambria Math" w:hAnsi="Cambria Math" w:cs="Cambria Math"/>
          <w:lang w:val="en-GB"/>
        </w:rPr>
        <w:t>⁺</w:t>
      </w:r>
      <w:r w:rsidRPr="00202911">
        <w:rPr>
          <w:rFonts w:ascii="Arial" w:hAnsi="Arial" w:cs="Arial"/>
          <w:lang w:val="en-GB"/>
        </w:rPr>
        <w:t xml:space="preserve"> ATPase activity in maize roots. </w:t>
      </w:r>
      <w:r w:rsidRPr="00202911">
        <w:rPr>
          <w:rFonts w:ascii="Arial" w:hAnsi="Arial" w:cs="Arial"/>
          <w:i/>
          <w:iCs/>
          <w:lang w:val="en-GB"/>
        </w:rPr>
        <w:t xml:space="preserve">Plant </w:t>
      </w:r>
      <w:r w:rsidR="00333944" w:rsidRPr="00202911">
        <w:rPr>
          <w:rFonts w:ascii="Arial" w:hAnsi="Arial" w:cs="Arial"/>
          <w:i/>
          <w:iCs/>
          <w:lang w:val="en-GB"/>
        </w:rPr>
        <w:t>Physiol.</w:t>
      </w:r>
      <w:r w:rsidRPr="00202911">
        <w:rPr>
          <w:rFonts w:ascii="Arial" w:hAnsi="Arial" w:cs="Arial"/>
          <w:lang w:val="en-GB"/>
        </w:rPr>
        <w:t xml:space="preserve"> </w:t>
      </w:r>
      <w:r w:rsidR="00333944" w:rsidRPr="00202911">
        <w:rPr>
          <w:rFonts w:ascii="Arial" w:hAnsi="Arial" w:cs="Arial"/>
          <w:lang w:val="en-GB"/>
        </w:rPr>
        <w:t>2002; 130:1951</w:t>
      </w:r>
      <w:r w:rsidRPr="00202911">
        <w:rPr>
          <w:rFonts w:ascii="Arial" w:hAnsi="Arial" w:cs="Arial"/>
          <w:lang w:val="en-GB"/>
        </w:rPr>
        <w:t xml:space="preserve">-1957. </w:t>
      </w:r>
      <w:hyperlink r:id="rId34" w:tgtFrame="_blank" w:history="1">
        <w:r w:rsidRPr="00202911">
          <w:rPr>
            <w:rStyle w:val="Hyperlink"/>
            <w:rFonts w:ascii="Arial" w:hAnsi="Arial" w:cs="Arial"/>
            <w:lang w:val="en-GB"/>
          </w:rPr>
          <w:t xml:space="preserve">https://doi.org/10.1104/pp.007088 </w:t>
        </w:r>
      </w:hyperlink>
      <w:r w:rsidRPr="00202911">
        <w:rPr>
          <w:rFonts w:ascii="Arial" w:hAnsi="Arial" w:cs="Arial"/>
          <w:lang w:val="en-GB"/>
        </w:rPr>
        <w:t xml:space="preserve">. </w:t>
      </w:r>
    </w:p>
    <w:p w14:paraId="1E304F7D" w14:textId="3EC78746"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Chattha MU, Imran K, Hassan MU, Chattha MB, Muhammad N, Asif I, Khan NH, Naveed A, Muhammad U, Mina K, Ullah MA. Efficacy of extraction methods of </w:t>
      </w:r>
      <w:r w:rsidRPr="00202911">
        <w:rPr>
          <w:rFonts w:ascii="Arial" w:hAnsi="Arial" w:cs="Arial"/>
          <w:i/>
          <w:iCs/>
          <w:lang w:val="en-GB"/>
        </w:rPr>
        <w:t xml:space="preserve">Moringa oleifera </w:t>
      </w:r>
      <w:r w:rsidRPr="00202911">
        <w:rPr>
          <w:rFonts w:ascii="Arial" w:hAnsi="Arial" w:cs="Arial"/>
          <w:lang w:val="en-GB"/>
        </w:rPr>
        <w:t xml:space="preserve">leaf extract for enhanced growth and yield of wheat. </w:t>
      </w:r>
      <w:r w:rsidRPr="00202911">
        <w:rPr>
          <w:rFonts w:ascii="Arial" w:hAnsi="Arial" w:cs="Arial"/>
          <w:i/>
          <w:iCs/>
          <w:lang w:val="en-GB"/>
        </w:rPr>
        <w:t xml:space="preserve">J Basic Appl </w:t>
      </w:r>
      <w:r w:rsidR="00333944" w:rsidRPr="00202911">
        <w:rPr>
          <w:rFonts w:ascii="Arial" w:hAnsi="Arial" w:cs="Arial"/>
          <w:i/>
          <w:iCs/>
          <w:lang w:val="en-GB"/>
        </w:rPr>
        <w:t>Sci.</w:t>
      </w:r>
      <w:r w:rsidRPr="00202911">
        <w:rPr>
          <w:rFonts w:ascii="Arial" w:hAnsi="Arial" w:cs="Arial"/>
          <w:lang w:val="en-GB"/>
        </w:rPr>
        <w:t xml:space="preserve"> </w:t>
      </w:r>
      <w:r w:rsidR="00333944" w:rsidRPr="00202911">
        <w:rPr>
          <w:rFonts w:ascii="Arial" w:hAnsi="Arial" w:cs="Arial"/>
          <w:lang w:val="en-GB"/>
        </w:rPr>
        <w:t>2018; 14:131</w:t>
      </w:r>
      <w:r w:rsidRPr="00202911">
        <w:rPr>
          <w:rFonts w:ascii="Arial" w:hAnsi="Arial" w:cs="Arial"/>
          <w:lang w:val="en-GB"/>
        </w:rPr>
        <w:t xml:space="preserve">-135. </w:t>
      </w:r>
      <w:hyperlink r:id="rId35" w:tgtFrame="_blank" w:history="1">
        <w:r w:rsidRPr="00202911">
          <w:rPr>
            <w:rStyle w:val="Hyperlink"/>
            <w:rFonts w:ascii="Arial" w:hAnsi="Arial" w:cs="Arial"/>
            <w:lang w:val="en-GB"/>
          </w:rPr>
          <w:t xml:space="preserve">https://doi.org/10.6000/1927-5129.2018.14.19 </w:t>
        </w:r>
      </w:hyperlink>
      <w:r w:rsidRPr="00202911">
        <w:rPr>
          <w:rFonts w:ascii="Arial" w:hAnsi="Arial" w:cs="Arial"/>
          <w:lang w:val="en-GB"/>
        </w:rPr>
        <w:t xml:space="preserve">. </w:t>
      </w:r>
    </w:p>
    <w:p w14:paraId="3E66336B" w14:textId="57F333A0"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Chrysargyris</w:t>
      </w:r>
      <w:proofErr w:type="spellEnd"/>
      <w:r w:rsidRPr="00202911">
        <w:rPr>
          <w:rFonts w:ascii="Arial" w:hAnsi="Arial" w:cs="Arial"/>
          <w:lang w:val="en-GB"/>
        </w:rPr>
        <w:t xml:space="preserve"> A, Xylia P, Anastasiou M, Pantelides I, </w:t>
      </w:r>
      <w:proofErr w:type="spellStart"/>
      <w:r w:rsidRPr="00202911">
        <w:rPr>
          <w:rFonts w:ascii="Arial" w:hAnsi="Arial" w:cs="Arial"/>
          <w:lang w:val="en-GB"/>
        </w:rPr>
        <w:t>Tzortzakis</w:t>
      </w:r>
      <w:proofErr w:type="spellEnd"/>
      <w:r w:rsidRPr="00202911">
        <w:rPr>
          <w:rFonts w:ascii="Arial" w:hAnsi="Arial" w:cs="Arial"/>
          <w:lang w:val="en-GB"/>
        </w:rPr>
        <w:t xml:space="preserve"> N. Effects of </w:t>
      </w:r>
      <w:r w:rsidRPr="00202911">
        <w:rPr>
          <w:rFonts w:ascii="Arial" w:hAnsi="Arial" w:cs="Arial"/>
          <w:i/>
          <w:iCs/>
          <w:lang w:val="en-GB"/>
        </w:rPr>
        <w:t xml:space="preserve">Ascophyllum nodosum </w:t>
      </w:r>
      <w:r w:rsidRPr="00202911">
        <w:rPr>
          <w:rFonts w:ascii="Arial" w:hAnsi="Arial" w:cs="Arial"/>
          <w:lang w:val="en-GB"/>
        </w:rPr>
        <w:t xml:space="preserve">seaweed extracts on lettuce growth, physiology and fresh-cut salad storage under potassium deficiency. </w:t>
      </w:r>
      <w:r w:rsidRPr="00202911">
        <w:rPr>
          <w:rFonts w:ascii="Arial" w:hAnsi="Arial" w:cs="Arial"/>
          <w:i/>
          <w:iCs/>
          <w:lang w:val="en-GB"/>
        </w:rPr>
        <w:t xml:space="preserve">J Sci Food </w:t>
      </w:r>
      <w:r w:rsidR="00333944" w:rsidRPr="00202911">
        <w:rPr>
          <w:rFonts w:ascii="Arial" w:hAnsi="Arial" w:cs="Arial"/>
          <w:i/>
          <w:iCs/>
          <w:lang w:val="en-GB"/>
        </w:rPr>
        <w:t>Agric.</w:t>
      </w:r>
      <w:r w:rsidRPr="00202911">
        <w:rPr>
          <w:rFonts w:ascii="Arial" w:hAnsi="Arial" w:cs="Arial"/>
          <w:lang w:val="en-GB"/>
        </w:rPr>
        <w:t xml:space="preserve"> 2018;98(15):5861-5872. </w:t>
      </w:r>
      <w:hyperlink r:id="rId36" w:tgtFrame="_blank" w:history="1">
        <w:r w:rsidRPr="00202911">
          <w:rPr>
            <w:rStyle w:val="Hyperlink"/>
            <w:rFonts w:ascii="Arial" w:hAnsi="Arial" w:cs="Arial"/>
            <w:lang w:val="en-GB"/>
          </w:rPr>
          <w:t xml:space="preserve">https://doi.org/10.1002/jsfa.9139 </w:t>
        </w:r>
      </w:hyperlink>
      <w:r w:rsidRPr="00202911">
        <w:rPr>
          <w:rFonts w:ascii="Arial" w:hAnsi="Arial" w:cs="Arial"/>
          <w:lang w:val="en-GB"/>
        </w:rPr>
        <w:t xml:space="preserve">. </w:t>
      </w:r>
    </w:p>
    <w:p w14:paraId="71CF74DF" w14:textId="0510F52C"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Dunoyer A, Castillo F, Camargo J. Effect of humic acid on the growth of seedling tomato (</w:t>
      </w:r>
      <w:r w:rsidRPr="00202911">
        <w:rPr>
          <w:rFonts w:ascii="Arial" w:hAnsi="Arial" w:cs="Arial"/>
          <w:i/>
          <w:iCs/>
          <w:lang w:val="en-GB"/>
        </w:rPr>
        <w:t xml:space="preserve">Solanum </w:t>
      </w:r>
      <w:proofErr w:type="spellStart"/>
      <w:r w:rsidR="00333944" w:rsidRPr="00202911">
        <w:rPr>
          <w:rFonts w:ascii="Arial" w:hAnsi="Arial" w:cs="Arial"/>
          <w:i/>
          <w:iCs/>
          <w:lang w:val="en-GB"/>
        </w:rPr>
        <w:t>lycopersicum</w:t>
      </w:r>
      <w:proofErr w:type="spellEnd"/>
      <w:r w:rsidR="00333944" w:rsidRPr="00202911">
        <w:rPr>
          <w:rFonts w:ascii="Arial" w:hAnsi="Arial" w:cs="Arial"/>
          <w:i/>
          <w:iCs/>
          <w:lang w:val="en-GB"/>
        </w:rPr>
        <w:t>)</w:t>
      </w:r>
      <w:r w:rsidRPr="00202911">
        <w:rPr>
          <w:rFonts w:ascii="Arial" w:hAnsi="Arial" w:cs="Arial"/>
          <w:lang w:val="en-GB"/>
        </w:rPr>
        <w:t xml:space="preserve"> and melon (</w:t>
      </w:r>
      <w:r w:rsidRPr="00202911">
        <w:rPr>
          <w:rFonts w:ascii="Arial" w:hAnsi="Arial" w:cs="Arial"/>
          <w:i/>
          <w:iCs/>
          <w:lang w:val="en-GB"/>
        </w:rPr>
        <w:t xml:space="preserve">Cucumis </w:t>
      </w:r>
      <w:r w:rsidR="00333944" w:rsidRPr="00202911">
        <w:rPr>
          <w:rFonts w:ascii="Arial" w:hAnsi="Arial" w:cs="Arial"/>
          <w:i/>
          <w:iCs/>
          <w:lang w:val="en-GB"/>
        </w:rPr>
        <w:t>melo)</w:t>
      </w:r>
      <w:r w:rsidRPr="00202911">
        <w:rPr>
          <w:rFonts w:ascii="Arial" w:hAnsi="Arial" w:cs="Arial"/>
          <w:lang w:val="en-GB"/>
        </w:rPr>
        <w:t xml:space="preserve">. </w:t>
      </w:r>
      <w:proofErr w:type="spellStart"/>
      <w:r w:rsidRPr="00202911">
        <w:rPr>
          <w:rFonts w:ascii="Arial" w:hAnsi="Arial" w:cs="Arial"/>
          <w:i/>
          <w:iCs/>
          <w:lang w:val="en-GB"/>
        </w:rPr>
        <w:t>Ambiente</w:t>
      </w:r>
      <w:proofErr w:type="spellEnd"/>
      <w:r w:rsidRPr="00202911">
        <w:rPr>
          <w:rFonts w:ascii="Arial" w:hAnsi="Arial" w:cs="Arial"/>
          <w:i/>
          <w:iCs/>
          <w:lang w:val="en-GB"/>
        </w:rPr>
        <w:t xml:space="preserve"> e Agua - An Interdisciplinary Journal of Applied </w:t>
      </w:r>
      <w:r w:rsidR="00333944" w:rsidRPr="00202911">
        <w:rPr>
          <w:rFonts w:ascii="Arial" w:hAnsi="Arial" w:cs="Arial"/>
          <w:i/>
          <w:iCs/>
          <w:lang w:val="en-GB"/>
        </w:rPr>
        <w:t>Science.</w:t>
      </w:r>
      <w:r w:rsidRPr="00202911">
        <w:rPr>
          <w:rFonts w:ascii="Arial" w:hAnsi="Arial" w:cs="Arial"/>
          <w:lang w:val="en-GB"/>
        </w:rPr>
        <w:t xml:space="preserve"> 2022. </w:t>
      </w:r>
      <w:hyperlink r:id="rId37" w:tgtFrame="_blank" w:history="1">
        <w:r w:rsidRPr="00202911">
          <w:rPr>
            <w:rStyle w:val="Hyperlink"/>
            <w:rFonts w:ascii="Arial" w:hAnsi="Arial" w:cs="Arial"/>
            <w:lang w:val="en-GB"/>
          </w:rPr>
          <w:t xml:space="preserve">https://doi.org/10.4136/ambi-agua.2808 </w:t>
        </w:r>
      </w:hyperlink>
      <w:r w:rsidRPr="00202911">
        <w:rPr>
          <w:rFonts w:ascii="Arial" w:hAnsi="Arial" w:cs="Arial"/>
          <w:lang w:val="en-GB"/>
        </w:rPr>
        <w:t xml:space="preserve">. </w:t>
      </w:r>
    </w:p>
    <w:p w14:paraId="3EC38985" w14:textId="77777777"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Emamverdian</w:t>
      </w:r>
      <w:proofErr w:type="spellEnd"/>
      <w:r w:rsidRPr="00202911">
        <w:rPr>
          <w:rFonts w:ascii="Arial" w:hAnsi="Arial" w:cs="Arial"/>
          <w:lang w:val="en-GB"/>
        </w:rPr>
        <w:t xml:space="preserve"> A, Ding Y, </w:t>
      </w:r>
      <w:proofErr w:type="spellStart"/>
      <w:r w:rsidRPr="00202911">
        <w:rPr>
          <w:rFonts w:ascii="Arial" w:hAnsi="Arial" w:cs="Arial"/>
          <w:lang w:val="en-GB"/>
        </w:rPr>
        <w:t>Mokhberdoran</w:t>
      </w:r>
      <w:proofErr w:type="spellEnd"/>
      <w:r w:rsidRPr="00202911">
        <w:rPr>
          <w:rFonts w:ascii="Arial" w:hAnsi="Arial" w:cs="Arial"/>
          <w:lang w:val="en-GB"/>
        </w:rPr>
        <w:t xml:space="preserve"> F. The role of salicylic acid and gibberellin </w:t>
      </w:r>
      <w:proofErr w:type="spellStart"/>
      <w:r w:rsidRPr="00202911">
        <w:rPr>
          <w:rFonts w:ascii="Arial" w:hAnsi="Arial" w:cs="Arial"/>
          <w:lang w:val="en-GB"/>
        </w:rPr>
        <w:t>signaling</w:t>
      </w:r>
      <w:proofErr w:type="spellEnd"/>
      <w:r w:rsidRPr="00202911">
        <w:rPr>
          <w:rFonts w:ascii="Arial" w:hAnsi="Arial" w:cs="Arial"/>
          <w:lang w:val="en-GB"/>
        </w:rPr>
        <w:t xml:space="preserve"> in plant responses to abiotic stress with an emphasis on heavy metals. </w:t>
      </w:r>
      <w:r w:rsidRPr="00202911">
        <w:rPr>
          <w:rFonts w:ascii="Arial" w:hAnsi="Arial" w:cs="Arial"/>
          <w:i/>
          <w:iCs/>
          <w:lang w:val="en-GB"/>
        </w:rPr>
        <w:t xml:space="preserve">Plant </w:t>
      </w:r>
      <w:proofErr w:type="spellStart"/>
      <w:r w:rsidRPr="00202911">
        <w:rPr>
          <w:rFonts w:ascii="Arial" w:hAnsi="Arial" w:cs="Arial"/>
          <w:i/>
          <w:iCs/>
          <w:lang w:val="en-GB"/>
        </w:rPr>
        <w:t>Signaling</w:t>
      </w:r>
      <w:proofErr w:type="spellEnd"/>
      <w:r w:rsidRPr="00202911">
        <w:rPr>
          <w:rFonts w:ascii="Arial" w:hAnsi="Arial" w:cs="Arial"/>
          <w:i/>
          <w:iCs/>
          <w:lang w:val="en-GB"/>
        </w:rPr>
        <w:t xml:space="preserve"> &amp; Behaviour.</w:t>
      </w:r>
      <w:r w:rsidRPr="00202911">
        <w:rPr>
          <w:rFonts w:ascii="Arial" w:hAnsi="Arial" w:cs="Arial"/>
          <w:lang w:val="en-GB"/>
        </w:rPr>
        <w:t xml:space="preserve"> 2020. Available: </w:t>
      </w:r>
      <w:hyperlink r:id="rId38" w:history="1">
        <w:r w:rsidRPr="00202911">
          <w:rPr>
            <w:rStyle w:val="Hyperlink"/>
            <w:rFonts w:ascii="Arial" w:hAnsi="Arial" w:cs="Arial"/>
            <w:lang w:val="en-GB"/>
          </w:rPr>
          <w:t xml:space="preserve">https://www.semanticscholar.org/paper/eaa67040fe3dc2941d694bdd246b10c10fc2dec9 </w:t>
        </w:r>
      </w:hyperlink>
      <w:r w:rsidRPr="00202911">
        <w:rPr>
          <w:rFonts w:ascii="Arial" w:hAnsi="Arial" w:cs="Arial"/>
          <w:lang w:val="en-GB"/>
        </w:rPr>
        <w:t>.</w:t>
      </w:r>
    </w:p>
    <w:p w14:paraId="6E7F8C8E" w14:textId="16815A30"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Fayez K, </w:t>
      </w:r>
      <w:proofErr w:type="spellStart"/>
      <w:r w:rsidRPr="00202911">
        <w:rPr>
          <w:rFonts w:ascii="Arial" w:hAnsi="Arial" w:cs="Arial"/>
          <w:lang w:val="en-GB"/>
        </w:rPr>
        <w:t>Bazaid</w:t>
      </w:r>
      <w:proofErr w:type="spellEnd"/>
      <w:r w:rsidRPr="00202911">
        <w:rPr>
          <w:rFonts w:ascii="Arial" w:hAnsi="Arial" w:cs="Arial"/>
          <w:lang w:val="en-GB"/>
        </w:rPr>
        <w:t xml:space="preserve"> S. Improving drought and salinity tolerance in barley by application of salicylic acid and potassium nitrate. </w:t>
      </w:r>
      <w:r w:rsidRPr="00202911">
        <w:rPr>
          <w:rFonts w:ascii="Arial" w:hAnsi="Arial" w:cs="Arial"/>
          <w:i/>
          <w:iCs/>
          <w:lang w:val="en-GB"/>
        </w:rPr>
        <w:t xml:space="preserve">J Saudi Soc Agric </w:t>
      </w:r>
      <w:r w:rsidR="00333944" w:rsidRPr="00202911">
        <w:rPr>
          <w:rFonts w:ascii="Arial" w:hAnsi="Arial" w:cs="Arial"/>
          <w:i/>
          <w:iCs/>
          <w:lang w:val="en-GB"/>
        </w:rPr>
        <w:t>Sci.</w:t>
      </w:r>
      <w:r w:rsidRPr="00202911">
        <w:rPr>
          <w:rFonts w:ascii="Arial" w:hAnsi="Arial" w:cs="Arial"/>
          <w:lang w:val="en-GB"/>
        </w:rPr>
        <w:t xml:space="preserve"> </w:t>
      </w:r>
      <w:r w:rsidR="00333944" w:rsidRPr="00202911">
        <w:rPr>
          <w:rFonts w:ascii="Arial" w:hAnsi="Arial" w:cs="Arial"/>
          <w:lang w:val="en-GB"/>
        </w:rPr>
        <w:t>2014; 13:45</w:t>
      </w:r>
      <w:r w:rsidRPr="00202911">
        <w:rPr>
          <w:rFonts w:ascii="Arial" w:hAnsi="Arial" w:cs="Arial"/>
          <w:lang w:val="en-GB"/>
        </w:rPr>
        <w:t xml:space="preserve">-55. </w:t>
      </w:r>
      <w:hyperlink r:id="rId39" w:tgtFrame="_blank" w:history="1">
        <w:r w:rsidRPr="00202911">
          <w:rPr>
            <w:rStyle w:val="Hyperlink"/>
            <w:rFonts w:ascii="Arial" w:hAnsi="Arial" w:cs="Arial"/>
            <w:lang w:val="en-GB"/>
          </w:rPr>
          <w:t xml:space="preserve">https://doi.org/10.1016/j.jssas.2013.01.001 </w:t>
        </w:r>
      </w:hyperlink>
      <w:r w:rsidRPr="00202911">
        <w:rPr>
          <w:rFonts w:ascii="Arial" w:hAnsi="Arial" w:cs="Arial"/>
          <w:lang w:val="en-GB"/>
        </w:rPr>
        <w:t xml:space="preserve">. </w:t>
      </w:r>
    </w:p>
    <w:p w14:paraId="2E400A3D" w14:textId="717355C6"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Grotz N, Guerinot ML. Molecular aspects of Cu, Fe and Zn homeostasis in plants. </w:t>
      </w:r>
      <w:proofErr w:type="spellStart"/>
      <w:r w:rsidRPr="00202911">
        <w:rPr>
          <w:rFonts w:ascii="Arial" w:hAnsi="Arial" w:cs="Arial"/>
          <w:i/>
          <w:iCs/>
          <w:lang w:val="en-GB"/>
        </w:rPr>
        <w:t>Biochim</w:t>
      </w:r>
      <w:proofErr w:type="spellEnd"/>
      <w:r w:rsidRPr="00202911">
        <w:rPr>
          <w:rFonts w:ascii="Arial" w:hAnsi="Arial" w:cs="Arial"/>
          <w:i/>
          <w:iCs/>
          <w:lang w:val="en-GB"/>
        </w:rPr>
        <w:t xml:space="preserve"> </w:t>
      </w:r>
      <w:proofErr w:type="spellStart"/>
      <w:r w:rsidRPr="00202911">
        <w:rPr>
          <w:rFonts w:ascii="Arial" w:hAnsi="Arial" w:cs="Arial"/>
          <w:i/>
          <w:iCs/>
          <w:lang w:val="en-GB"/>
        </w:rPr>
        <w:t>Biophys</w:t>
      </w:r>
      <w:proofErr w:type="spellEnd"/>
      <w:r w:rsidRPr="00202911">
        <w:rPr>
          <w:rFonts w:ascii="Arial" w:hAnsi="Arial" w:cs="Arial"/>
          <w:i/>
          <w:iCs/>
          <w:lang w:val="en-GB"/>
        </w:rPr>
        <w:t xml:space="preserve"> Acta-Mol Cell </w:t>
      </w:r>
      <w:r w:rsidR="00333944" w:rsidRPr="00202911">
        <w:rPr>
          <w:rFonts w:ascii="Arial" w:hAnsi="Arial" w:cs="Arial"/>
          <w:i/>
          <w:iCs/>
          <w:lang w:val="en-GB"/>
        </w:rPr>
        <w:t>Res.</w:t>
      </w:r>
      <w:r w:rsidRPr="00202911">
        <w:rPr>
          <w:rFonts w:ascii="Arial" w:hAnsi="Arial" w:cs="Arial"/>
          <w:lang w:val="en-GB"/>
        </w:rPr>
        <w:t xml:space="preserve"> 2006;1763(7):595-6. </w:t>
      </w:r>
      <w:hyperlink r:id="rId40" w:tgtFrame="_blank" w:history="1">
        <w:r w:rsidRPr="00202911">
          <w:rPr>
            <w:rStyle w:val="Hyperlink"/>
            <w:rFonts w:ascii="Arial" w:hAnsi="Arial" w:cs="Arial"/>
            <w:lang w:val="en-GB"/>
          </w:rPr>
          <w:t xml:space="preserve">https://doi.org/10.1016/j.bbamcr.2006.05.014 </w:t>
        </w:r>
      </w:hyperlink>
      <w:r w:rsidRPr="00202911">
        <w:rPr>
          <w:rFonts w:ascii="Arial" w:hAnsi="Arial" w:cs="Arial"/>
          <w:lang w:val="en-GB"/>
        </w:rPr>
        <w:t xml:space="preserve">. </w:t>
      </w:r>
    </w:p>
    <w:p w14:paraId="69D59A4D" w14:textId="0A5A62F2"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Gupta S, Stirk WA, </w:t>
      </w:r>
      <w:proofErr w:type="spellStart"/>
      <w:r w:rsidRPr="00202911">
        <w:rPr>
          <w:rFonts w:ascii="Arial" w:hAnsi="Arial" w:cs="Arial"/>
          <w:lang w:val="en-GB"/>
        </w:rPr>
        <w:t>Plačková</w:t>
      </w:r>
      <w:proofErr w:type="spellEnd"/>
      <w:r w:rsidRPr="00202911">
        <w:rPr>
          <w:rFonts w:ascii="Arial" w:hAnsi="Arial" w:cs="Arial"/>
          <w:lang w:val="en-GB"/>
        </w:rPr>
        <w:t xml:space="preserve"> L, Kulkarni MG, Doležal K, Van Staden J. Interactive effects of plant growth-promoting rhizobacteria and a seaweed extract on the growth and physiology of </w:t>
      </w:r>
      <w:r w:rsidRPr="00202911">
        <w:rPr>
          <w:rFonts w:ascii="Arial" w:hAnsi="Arial" w:cs="Arial"/>
          <w:i/>
          <w:iCs/>
          <w:lang w:val="en-GB"/>
        </w:rPr>
        <w:t xml:space="preserve">Allium cepa </w:t>
      </w:r>
      <w:r w:rsidRPr="00202911">
        <w:rPr>
          <w:rFonts w:ascii="Arial" w:hAnsi="Arial" w:cs="Arial"/>
          <w:lang w:val="en-GB"/>
        </w:rPr>
        <w:t xml:space="preserve">L. (onion). </w:t>
      </w:r>
      <w:r w:rsidRPr="00202911">
        <w:rPr>
          <w:rFonts w:ascii="Arial" w:hAnsi="Arial" w:cs="Arial"/>
          <w:i/>
          <w:iCs/>
          <w:lang w:val="en-GB"/>
        </w:rPr>
        <w:t xml:space="preserve">J Plant </w:t>
      </w:r>
      <w:r w:rsidR="00333944" w:rsidRPr="00202911">
        <w:rPr>
          <w:rFonts w:ascii="Arial" w:hAnsi="Arial" w:cs="Arial"/>
          <w:i/>
          <w:iCs/>
          <w:lang w:val="en-GB"/>
        </w:rPr>
        <w:t>Physiol.</w:t>
      </w:r>
      <w:r w:rsidRPr="00202911">
        <w:rPr>
          <w:rFonts w:ascii="Arial" w:hAnsi="Arial" w:cs="Arial"/>
          <w:lang w:val="en-GB"/>
        </w:rPr>
        <w:t xml:space="preserve"> </w:t>
      </w:r>
      <w:r w:rsidR="00333944" w:rsidRPr="00202911">
        <w:rPr>
          <w:rFonts w:ascii="Arial" w:hAnsi="Arial" w:cs="Arial"/>
          <w:lang w:val="en-GB"/>
        </w:rPr>
        <w:t>2021; 262:153437</w:t>
      </w:r>
      <w:r w:rsidRPr="00202911">
        <w:rPr>
          <w:rFonts w:ascii="Arial" w:hAnsi="Arial" w:cs="Arial"/>
          <w:lang w:val="en-GB"/>
        </w:rPr>
        <w:t xml:space="preserve">. </w:t>
      </w:r>
      <w:hyperlink r:id="rId41" w:tgtFrame="_blank" w:history="1">
        <w:r w:rsidRPr="00202911">
          <w:rPr>
            <w:rStyle w:val="Hyperlink"/>
            <w:rFonts w:ascii="Arial" w:hAnsi="Arial" w:cs="Arial"/>
            <w:lang w:val="en-GB"/>
          </w:rPr>
          <w:t xml:space="preserve">https://doi.org/10.1016/j.jplph.2021.153437 </w:t>
        </w:r>
      </w:hyperlink>
      <w:r w:rsidRPr="00202911">
        <w:rPr>
          <w:rFonts w:ascii="Arial" w:hAnsi="Arial" w:cs="Arial"/>
          <w:lang w:val="en-GB"/>
        </w:rPr>
        <w:t xml:space="preserve">. </w:t>
      </w:r>
    </w:p>
    <w:p w14:paraId="428D7B80" w14:textId="608DE95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Haghighi M, Najafi H. The effect of humic acid on alleviating drought stress effects in tomato (</w:t>
      </w:r>
      <w:proofErr w:type="spellStart"/>
      <w:r w:rsidRPr="00202911">
        <w:rPr>
          <w:rFonts w:ascii="Arial" w:hAnsi="Arial" w:cs="Arial"/>
          <w:i/>
          <w:iCs/>
          <w:lang w:val="en-GB"/>
        </w:rPr>
        <w:t>Lycopersicum</w:t>
      </w:r>
      <w:proofErr w:type="spellEnd"/>
      <w:r w:rsidRPr="00202911">
        <w:rPr>
          <w:rFonts w:ascii="Arial" w:hAnsi="Arial" w:cs="Arial"/>
          <w:i/>
          <w:iCs/>
          <w:lang w:val="en-GB"/>
        </w:rPr>
        <w:t xml:space="preserve"> esculentum </w:t>
      </w:r>
      <w:r w:rsidRPr="00202911">
        <w:rPr>
          <w:rFonts w:ascii="Arial" w:hAnsi="Arial" w:cs="Arial"/>
          <w:lang w:val="en-GB"/>
        </w:rPr>
        <w:t xml:space="preserve">Mill.). </w:t>
      </w:r>
      <w:r w:rsidRPr="00202911">
        <w:rPr>
          <w:rFonts w:ascii="Arial" w:hAnsi="Arial" w:cs="Arial"/>
          <w:i/>
          <w:iCs/>
          <w:lang w:val="en-GB"/>
        </w:rPr>
        <w:t xml:space="preserve">J Vegetables </w:t>
      </w:r>
      <w:r w:rsidR="00333944" w:rsidRPr="00202911">
        <w:rPr>
          <w:rFonts w:ascii="Arial" w:hAnsi="Arial" w:cs="Arial"/>
          <w:i/>
          <w:iCs/>
          <w:lang w:val="en-GB"/>
        </w:rPr>
        <w:t>Sci.</w:t>
      </w:r>
      <w:r w:rsidRPr="00202911">
        <w:rPr>
          <w:rFonts w:ascii="Arial" w:hAnsi="Arial" w:cs="Arial"/>
          <w:lang w:val="en-GB"/>
        </w:rPr>
        <w:t xml:space="preserve"> 2020;3(2):147-158. </w:t>
      </w:r>
      <w:hyperlink r:id="rId42" w:tgtFrame="_blank" w:history="1">
        <w:r w:rsidRPr="00202911">
          <w:rPr>
            <w:rStyle w:val="Hyperlink"/>
            <w:rFonts w:ascii="Arial" w:hAnsi="Arial" w:cs="Arial"/>
            <w:lang w:val="en-GB"/>
          </w:rPr>
          <w:t xml:space="preserve">https://doi.org/10.22034/iuvs.2020.63701.1016 </w:t>
        </w:r>
      </w:hyperlink>
      <w:r w:rsidRPr="00202911">
        <w:rPr>
          <w:rFonts w:ascii="Arial" w:hAnsi="Arial" w:cs="Arial"/>
          <w:lang w:val="en-GB"/>
        </w:rPr>
        <w:t xml:space="preserve">. </w:t>
      </w:r>
    </w:p>
    <w:p w14:paraId="48C7BD2F" w14:textId="4AF199CD"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Hala H, El-Noor A, </w:t>
      </w:r>
      <w:proofErr w:type="spellStart"/>
      <w:r w:rsidRPr="00202911">
        <w:rPr>
          <w:rFonts w:ascii="Arial" w:hAnsi="Arial" w:cs="Arial"/>
          <w:lang w:val="en-GB"/>
        </w:rPr>
        <w:t>Ewais</w:t>
      </w:r>
      <w:proofErr w:type="spellEnd"/>
      <w:r w:rsidRPr="00202911">
        <w:rPr>
          <w:rFonts w:ascii="Arial" w:hAnsi="Arial" w:cs="Arial"/>
          <w:lang w:val="en-GB"/>
        </w:rPr>
        <w:t xml:space="preserve"> NA. Effect of </w:t>
      </w:r>
      <w:r w:rsidRPr="00202911">
        <w:rPr>
          <w:rFonts w:ascii="Arial" w:hAnsi="Arial" w:cs="Arial"/>
          <w:i/>
          <w:iCs/>
          <w:lang w:val="en-GB"/>
        </w:rPr>
        <w:t xml:space="preserve">Moringa oleifera </w:t>
      </w:r>
      <w:r w:rsidRPr="00202911">
        <w:rPr>
          <w:rFonts w:ascii="Arial" w:hAnsi="Arial" w:cs="Arial"/>
          <w:lang w:val="en-GB"/>
        </w:rPr>
        <w:t xml:space="preserve">leaf extract (MLE) on pepper seed germination, seedlings improvement, growth, fruit yield and its quality. </w:t>
      </w:r>
      <w:r w:rsidRPr="00202911">
        <w:rPr>
          <w:rFonts w:ascii="Arial" w:hAnsi="Arial" w:cs="Arial"/>
          <w:i/>
          <w:iCs/>
          <w:lang w:val="en-GB"/>
        </w:rPr>
        <w:t xml:space="preserve">Middle East J Agric </w:t>
      </w:r>
      <w:r w:rsidR="00333944" w:rsidRPr="00202911">
        <w:rPr>
          <w:rFonts w:ascii="Arial" w:hAnsi="Arial" w:cs="Arial"/>
          <w:i/>
          <w:iCs/>
          <w:lang w:val="en-GB"/>
        </w:rPr>
        <w:t>Res.</w:t>
      </w:r>
      <w:r w:rsidRPr="00202911">
        <w:rPr>
          <w:rFonts w:ascii="Arial" w:hAnsi="Arial" w:cs="Arial"/>
          <w:lang w:val="en-GB"/>
        </w:rPr>
        <w:t xml:space="preserve"> </w:t>
      </w:r>
      <w:r w:rsidR="00333944" w:rsidRPr="00202911">
        <w:rPr>
          <w:rFonts w:ascii="Arial" w:hAnsi="Arial" w:cs="Arial"/>
          <w:lang w:val="en-GB"/>
        </w:rPr>
        <w:t>2017; 6:448</w:t>
      </w:r>
      <w:r w:rsidRPr="00202911">
        <w:rPr>
          <w:rFonts w:ascii="Arial" w:hAnsi="Arial" w:cs="Arial"/>
          <w:lang w:val="en-GB"/>
        </w:rPr>
        <w:t xml:space="preserve">-463. </w:t>
      </w:r>
    </w:p>
    <w:p w14:paraId="31B18C31" w14:textId="5198B350"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Hamza B, </w:t>
      </w:r>
      <w:proofErr w:type="spellStart"/>
      <w:r w:rsidRPr="00202911">
        <w:rPr>
          <w:rFonts w:ascii="Arial" w:hAnsi="Arial" w:cs="Arial"/>
          <w:lang w:val="en-GB"/>
        </w:rPr>
        <w:t>Suggars</w:t>
      </w:r>
      <w:proofErr w:type="spellEnd"/>
      <w:r w:rsidRPr="00202911">
        <w:rPr>
          <w:rFonts w:ascii="Arial" w:hAnsi="Arial" w:cs="Arial"/>
          <w:lang w:val="en-GB"/>
        </w:rPr>
        <w:t xml:space="preserve"> A. </w:t>
      </w:r>
      <w:proofErr w:type="spellStart"/>
      <w:r w:rsidRPr="00202911">
        <w:rPr>
          <w:rFonts w:ascii="Arial" w:hAnsi="Arial" w:cs="Arial"/>
          <w:lang w:val="en-GB"/>
        </w:rPr>
        <w:t>Biostimulants</w:t>
      </w:r>
      <w:proofErr w:type="spellEnd"/>
      <w:r w:rsidRPr="00202911">
        <w:rPr>
          <w:rFonts w:ascii="Arial" w:hAnsi="Arial" w:cs="Arial"/>
          <w:lang w:val="en-GB"/>
        </w:rPr>
        <w:t xml:space="preserve">: myths and realities. </w:t>
      </w:r>
      <w:r w:rsidRPr="00202911">
        <w:rPr>
          <w:rFonts w:ascii="Arial" w:hAnsi="Arial" w:cs="Arial"/>
          <w:i/>
          <w:iCs/>
          <w:lang w:val="en-GB"/>
        </w:rPr>
        <w:t xml:space="preserve">Turf Grass </w:t>
      </w:r>
      <w:r w:rsidR="00333944" w:rsidRPr="00202911">
        <w:rPr>
          <w:rFonts w:ascii="Arial" w:hAnsi="Arial" w:cs="Arial"/>
          <w:i/>
          <w:iCs/>
          <w:lang w:val="en-GB"/>
        </w:rPr>
        <w:t>Trends.</w:t>
      </w:r>
      <w:r w:rsidRPr="00202911">
        <w:rPr>
          <w:rFonts w:ascii="Arial" w:hAnsi="Arial" w:cs="Arial"/>
          <w:lang w:val="en-GB"/>
        </w:rPr>
        <w:t xml:space="preserve"> </w:t>
      </w:r>
      <w:r w:rsidR="00333944" w:rsidRPr="00202911">
        <w:rPr>
          <w:rFonts w:ascii="Arial" w:hAnsi="Arial" w:cs="Arial"/>
          <w:lang w:val="en-GB"/>
        </w:rPr>
        <w:t>2001; 8:6</w:t>
      </w:r>
      <w:r w:rsidRPr="00202911">
        <w:rPr>
          <w:rFonts w:ascii="Arial" w:hAnsi="Arial" w:cs="Arial"/>
          <w:lang w:val="en-GB"/>
        </w:rPr>
        <w:t xml:space="preserve">-10. </w:t>
      </w:r>
    </w:p>
    <w:p w14:paraId="035BFEA8"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Hanafy R. Using </w:t>
      </w:r>
      <w:r w:rsidRPr="00202911">
        <w:rPr>
          <w:rFonts w:ascii="Arial" w:hAnsi="Arial" w:cs="Arial"/>
          <w:i/>
          <w:iCs/>
          <w:lang w:val="en-GB"/>
        </w:rPr>
        <w:t xml:space="preserve">Moringa oleifera </w:t>
      </w:r>
      <w:r w:rsidRPr="00202911">
        <w:rPr>
          <w:rFonts w:ascii="Arial" w:hAnsi="Arial" w:cs="Arial"/>
          <w:lang w:val="en-GB"/>
        </w:rPr>
        <w:t xml:space="preserve">leaf extract as a bio-fertilizer for drought stress mitigation of </w:t>
      </w:r>
      <w:r w:rsidRPr="00202911">
        <w:rPr>
          <w:rFonts w:ascii="Arial" w:hAnsi="Arial" w:cs="Arial"/>
          <w:i/>
          <w:iCs/>
          <w:lang w:val="en-GB"/>
        </w:rPr>
        <w:t xml:space="preserve">Glycine max </w:t>
      </w:r>
      <w:r w:rsidRPr="00202911">
        <w:rPr>
          <w:rFonts w:ascii="Arial" w:hAnsi="Arial" w:cs="Arial"/>
          <w:lang w:val="en-GB"/>
        </w:rPr>
        <w:t xml:space="preserve">L. plants. </w:t>
      </w:r>
      <w:r w:rsidRPr="00202911">
        <w:rPr>
          <w:rFonts w:ascii="Arial" w:hAnsi="Arial" w:cs="Arial"/>
          <w:i/>
          <w:iCs/>
          <w:lang w:val="en-GB"/>
        </w:rPr>
        <w:t>Egyptian J Bot.</w:t>
      </w:r>
      <w:r w:rsidRPr="00202911">
        <w:rPr>
          <w:rFonts w:ascii="Arial" w:hAnsi="Arial" w:cs="Arial"/>
          <w:lang w:val="en-GB"/>
        </w:rPr>
        <w:t xml:space="preserve"> 2017;57(2):281-292. </w:t>
      </w:r>
      <w:hyperlink r:id="rId43" w:tgtFrame="_blank" w:history="1">
        <w:r w:rsidRPr="00202911">
          <w:rPr>
            <w:rStyle w:val="Hyperlink"/>
            <w:rFonts w:ascii="Arial" w:hAnsi="Arial" w:cs="Arial"/>
            <w:lang w:val="en-GB"/>
          </w:rPr>
          <w:t xml:space="preserve">https://doi.org/10.21608/ejbo.2017.596.1027 </w:t>
        </w:r>
      </w:hyperlink>
      <w:r w:rsidRPr="00202911">
        <w:rPr>
          <w:rFonts w:ascii="Arial" w:hAnsi="Arial" w:cs="Arial"/>
          <w:lang w:val="en-GB"/>
        </w:rPr>
        <w:t xml:space="preserve">. </w:t>
      </w:r>
    </w:p>
    <w:p w14:paraId="7B45381D" w14:textId="78CF1A1B"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Hidangmayum</w:t>
      </w:r>
      <w:proofErr w:type="spellEnd"/>
      <w:r w:rsidRPr="00202911">
        <w:rPr>
          <w:rFonts w:ascii="Arial" w:hAnsi="Arial" w:cs="Arial"/>
          <w:lang w:val="en-GB"/>
        </w:rPr>
        <w:t xml:space="preserve"> A, Sharma R. Effect of different concentrations of commercial seaweed liquid extract of </w:t>
      </w:r>
      <w:r w:rsidRPr="00202911">
        <w:rPr>
          <w:rFonts w:ascii="Arial" w:hAnsi="Arial" w:cs="Arial"/>
          <w:i/>
          <w:iCs/>
          <w:lang w:val="en-GB"/>
        </w:rPr>
        <w:t xml:space="preserve">Ascophyllum nodosum </w:t>
      </w:r>
      <w:r w:rsidRPr="00202911">
        <w:rPr>
          <w:rFonts w:ascii="Arial" w:hAnsi="Arial" w:cs="Arial"/>
          <w:lang w:val="en-GB"/>
        </w:rPr>
        <w:t>as a plant bio stimulant on growth, yield and biochemical constituents of onion (</w:t>
      </w:r>
      <w:r w:rsidRPr="00202911">
        <w:rPr>
          <w:rFonts w:ascii="Arial" w:hAnsi="Arial" w:cs="Arial"/>
          <w:i/>
          <w:iCs/>
          <w:lang w:val="en-GB"/>
        </w:rPr>
        <w:t xml:space="preserve">Allium cepa </w:t>
      </w:r>
      <w:r w:rsidRPr="00202911">
        <w:rPr>
          <w:rFonts w:ascii="Arial" w:hAnsi="Arial" w:cs="Arial"/>
          <w:lang w:val="en-GB"/>
        </w:rPr>
        <w:t xml:space="preserve">L.). </w:t>
      </w:r>
      <w:r w:rsidRPr="00202911">
        <w:rPr>
          <w:rFonts w:ascii="Arial" w:hAnsi="Arial" w:cs="Arial"/>
          <w:i/>
          <w:iCs/>
          <w:lang w:val="en-GB"/>
        </w:rPr>
        <w:t xml:space="preserve">J </w:t>
      </w:r>
      <w:proofErr w:type="spellStart"/>
      <w:r w:rsidRPr="00202911">
        <w:rPr>
          <w:rFonts w:ascii="Arial" w:hAnsi="Arial" w:cs="Arial"/>
          <w:i/>
          <w:iCs/>
          <w:lang w:val="en-GB"/>
        </w:rPr>
        <w:t>Pharmacogn</w:t>
      </w:r>
      <w:proofErr w:type="spellEnd"/>
      <w:r w:rsidRPr="00202911">
        <w:rPr>
          <w:rFonts w:ascii="Arial" w:hAnsi="Arial" w:cs="Arial"/>
          <w:i/>
          <w:iCs/>
          <w:lang w:val="en-GB"/>
        </w:rPr>
        <w:t xml:space="preserve"> </w:t>
      </w:r>
      <w:proofErr w:type="spellStart"/>
      <w:r w:rsidR="00333944" w:rsidRPr="00202911">
        <w:rPr>
          <w:rFonts w:ascii="Arial" w:hAnsi="Arial" w:cs="Arial"/>
          <w:i/>
          <w:iCs/>
          <w:lang w:val="en-GB"/>
        </w:rPr>
        <w:t>Phytochem</w:t>
      </w:r>
      <w:proofErr w:type="spellEnd"/>
      <w:r w:rsidR="00333944" w:rsidRPr="00202911">
        <w:rPr>
          <w:rFonts w:ascii="Arial" w:hAnsi="Arial" w:cs="Arial"/>
          <w:i/>
          <w:iCs/>
          <w:lang w:val="en-GB"/>
        </w:rPr>
        <w:t>.</w:t>
      </w:r>
      <w:r w:rsidRPr="00202911">
        <w:rPr>
          <w:rFonts w:ascii="Arial" w:hAnsi="Arial" w:cs="Arial"/>
          <w:lang w:val="en-GB"/>
        </w:rPr>
        <w:t xml:space="preserve"> 2017;6(4):658-663. </w:t>
      </w:r>
    </w:p>
    <w:p w14:paraId="29869C82" w14:textId="26CA6C60"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Hoang L, Guzman C, Cadiz N, Tran D. Physiological and phytochemical responses of red amaranth (</w:t>
      </w:r>
      <w:r w:rsidRPr="00202911">
        <w:rPr>
          <w:rFonts w:ascii="Arial" w:hAnsi="Arial" w:cs="Arial"/>
          <w:i/>
          <w:iCs/>
          <w:lang w:val="en-GB"/>
        </w:rPr>
        <w:t xml:space="preserve">Amaranthus </w:t>
      </w:r>
      <w:proofErr w:type="spellStart"/>
      <w:r w:rsidRPr="00202911">
        <w:rPr>
          <w:rFonts w:ascii="Arial" w:hAnsi="Arial" w:cs="Arial"/>
          <w:i/>
          <w:iCs/>
          <w:lang w:val="en-GB"/>
        </w:rPr>
        <w:t>tricolor</w:t>
      </w:r>
      <w:proofErr w:type="spellEnd"/>
      <w:r w:rsidRPr="00202911">
        <w:rPr>
          <w:rFonts w:ascii="Arial" w:hAnsi="Arial" w:cs="Arial"/>
          <w:i/>
          <w:iCs/>
          <w:lang w:val="en-GB"/>
        </w:rPr>
        <w:t xml:space="preserve"> </w:t>
      </w:r>
      <w:r w:rsidRPr="00202911">
        <w:rPr>
          <w:rFonts w:ascii="Arial" w:hAnsi="Arial" w:cs="Arial"/>
          <w:lang w:val="en-GB"/>
        </w:rPr>
        <w:t>L.) and green amaranth (</w:t>
      </w:r>
      <w:r w:rsidRPr="00202911">
        <w:rPr>
          <w:rFonts w:ascii="Arial" w:hAnsi="Arial" w:cs="Arial"/>
          <w:i/>
          <w:iCs/>
          <w:lang w:val="en-GB"/>
        </w:rPr>
        <w:t xml:space="preserve">Amaranthus dubius </w:t>
      </w:r>
      <w:r w:rsidRPr="00202911">
        <w:rPr>
          <w:rFonts w:ascii="Arial" w:hAnsi="Arial" w:cs="Arial"/>
          <w:lang w:val="en-GB"/>
        </w:rPr>
        <w:t xml:space="preserve">L.) to </w:t>
      </w:r>
      <w:r w:rsidRPr="00202911">
        <w:rPr>
          <w:rFonts w:ascii="Arial" w:hAnsi="Arial" w:cs="Arial"/>
          <w:lang w:val="en-GB"/>
        </w:rPr>
        <w:lastRenderedPageBreak/>
        <w:t xml:space="preserve">different salinity levels. </w:t>
      </w:r>
      <w:r w:rsidRPr="00202911">
        <w:rPr>
          <w:rFonts w:ascii="Arial" w:hAnsi="Arial" w:cs="Arial"/>
          <w:i/>
          <w:iCs/>
          <w:lang w:val="en-GB"/>
        </w:rPr>
        <w:t xml:space="preserve">Legume Res Int </w:t>
      </w:r>
      <w:r w:rsidR="00333944" w:rsidRPr="00202911">
        <w:rPr>
          <w:rFonts w:ascii="Arial" w:hAnsi="Arial" w:cs="Arial"/>
          <w:i/>
          <w:iCs/>
          <w:lang w:val="en-GB"/>
        </w:rPr>
        <w:t>J.</w:t>
      </w:r>
      <w:r w:rsidRPr="00202911">
        <w:rPr>
          <w:rFonts w:ascii="Arial" w:hAnsi="Arial" w:cs="Arial"/>
          <w:lang w:val="en-GB"/>
        </w:rPr>
        <w:t xml:space="preserve"> 2019;43(2):206-211. </w:t>
      </w:r>
      <w:hyperlink r:id="rId44" w:tgtFrame="_blank" w:history="1">
        <w:r w:rsidRPr="00202911">
          <w:rPr>
            <w:rStyle w:val="Hyperlink"/>
            <w:rFonts w:ascii="Arial" w:hAnsi="Arial" w:cs="Arial"/>
            <w:lang w:val="en-GB"/>
          </w:rPr>
          <w:t xml:space="preserve">https://doi.org/10.18805/LR-470 </w:t>
        </w:r>
      </w:hyperlink>
      <w:r w:rsidRPr="00202911">
        <w:rPr>
          <w:rFonts w:ascii="Arial" w:hAnsi="Arial" w:cs="Arial"/>
          <w:lang w:val="en-GB"/>
        </w:rPr>
        <w:t xml:space="preserve">. </w:t>
      </w:r>
    </w:p>
    <w:p w14:paraId="2C2EF754" w14:textId="3851D452"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Khongwir</w:t>
      </w:r>
      <w:proofErr w:type="spellEnd"/>
      <w:r w:rsidRPr="00202911">
        <w:rPr>
          <w:rFonts w:ascii="Arial" w:hAnsi="Arial" w:cs="Arial"/>
          <w:lang w:val="en-GB"/>
        </w:rPr>
        <w:t xml:space="preserve"> L. </w:t>
      </w:r>
      <w:r w:rsidRPr="00202911">
        <w:rPr>
          <w:rFonts w:ascii="Arial" w:hAnsi="Arial" w:cs="Arial"/>
          <w:i/>
          <w:iCs/>
          <w:lang w:val="en-GB"/>
        </w:rPr>
        <w:t xml:space="preserve">Post-harvest studies in Polianthes tuberosa Linn. </w:t>
      </w:r>
      <w:r w:rsidR="00333944" w:rsidRPr="00202911">
        <w:rPr>
          <w:rFonts w:ascii="Arial" w:hAnsi="Arial" w:cs="Arial"/>
          <w:i/>
          <w:iCs/>
          <w:lang w:val="en-GB"/>
        </w:rPr>
        <w:t>cultivars.</w:t>
      </w:r>
      <w:r w:rsidRPr="00202911">
        <w:rPr>
          <w:rFonts w:ascii="Arial" w:hAnsi="Arial" w:cs="Arial"/>
          <w:lang w:val="en-GB"/>
        </w:rPr>
        <w:t xml:space="preserve"> Ph.D. Dissertation, Indian Agricultural Research Institute, New Delhi, India; 2015.</w:t>
      </w:r>
    </w:p>
    <w:p w14:paraId="20D30BAA" w14:textId="132FD0A2"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Kuchlan P, Kuchlan MK. Effect of salicylic acid on plant physiological and yield traits of soybean. </w:t>
      </w:r>
      <w:r w:rsidRPr="00202911">
        <w:rPr>
          <w:rFonts w:ascii="Arial" w:hAnsi="Arial" w:cs="Arial"/>
          <w:i/>
          <w:iCs/>
          <w:lang w:val="en-GB"/>
        </w:rPr>
        <w:t xml:space="preserve">Legume Res Int </w:t>
      </w:r>
      <w:r w:rsidR="00333944" w:rsidRPr="00202911">
        <w:rPr>
          <w:rFonts w:ascii="Arial" w:hAnsi="Arial" w:cs="Arial"/>
          <w:i/>
          <w:iCs/>
          <w:lang w:val="en-GB"/>
        </w:rPr>
        <w:t>J.</w:t>
      </w:r>
      <w:r w:rsidRPr="00202911">
        <w:rPr>
          <w:rFonts w:ascii="Arial" w:hAnsi="Arial" w:cs="Arial"/>
          <w:lang w:val="en-GB"/>
        </w:rPr>
        <w:t xml:space="preserve"> 2023;43(2):206-211. </w:t>
      </w:r>
      <w:hyperlink r:id="rId45" w:tgtFrame="_blank" w:history="1">
        <w:r w:rsidRPr="00202911">
          <w:rPr>
            <w:rStyle w:val="Hyperlink"/>
            <w:rFonts w:ascii="Arial" w:hAnsi="Arial" w:cs="Arial"/>
            <w:lang w:val="en-GB"/>
          </w:rPr>
          <w:t xml:space="preserve">https://doi.org/10.18805/LR-4527 </w:t>
        </w:r>
      </w:hyperlink>
      <w:r w:rsidRPr="00202911">
        <w:rPr>
          <w:rFonts w:ascii="Arial" w:hAnsi="Arial" w:cs="Arial"/>
          <w:lang w:val="en-GB"/>
        </w:rPr>
        <w:t xml:space="preserve">. </w:t>
      </w:r>
    </w:p>
    <w:p w14:paraId="5B732A6F"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Kumari S, </w:t>
      </w:r>
      <w:proofErr w:type="spellStart"/>
      <w:r w:rsidRPr="00202911">
        <w:rPr>
          <w:rFonts w:ascii="Arial" w:hAnsi="Arial" w:cs="Arial"/>
          <w:lang w:val="en-GB"/>
        </w:rPr>
        <w:t>Sehrawat</w:t>
      </w:r>
      <w:proofErr w:type="spellEnd"/>
      <w:r w:rsidRPr="00202911">
        <w:rPr>
          <w:rFonts w:ascii="Arial" w:hAnsi="Arial" w:cs="Arial"/>
          <w:lang w:val="en-GB"/>
        </w:rPr>
        <w:t xml:space="preserve"> K, Phogat D, </w:t>
      </w:r>
      <w:proofErr w:type="spellStart"/>
      <w:r w:rsidRPr="00202911">
        <w:rPr>
          <w:rFonts w:ascii="Arial" w:hAnsi="Arial" w:cs="Arial"/>
          <w:lang w:val="en-GB"/>
        </w:rPr>
        <w:t>Sehrawat</w:t>
      </w:r>
      <w:proofErr w:type="spellEnd"/>
      <w:r w:rsidRPr="00202911">
        <w:rPr>
          <w:rFonts w:ascii="Arial" w:hAnsi="Arial" w:cs="Arial"/>
          <w:lang w:val="en-GB"/>
        </w:rPr>
        <w:t xml:space="preserve"> A, Chaudhary R, </w:t>
      </w:r>
      <w:proofErr w:type="spellStart"/>
      <w:r w:rsidRPr="00202911">
        <w:rPr>
          <w:rFonts w:ascii="Arial" w:hAnsi="Arial" w:cs="Arial"/>
          <w:lang w:val="en-GB"/>
        </w:rPr>
        <w:t>Sushkova</w:t>
      </w:r>
      <w:proofErr w:type="spellEnd"/>
      <w:r w:rsidRPr="00202911">
        <w:rPr>
          <w:rFonts w:ascii="Arial" w:hAnsi="Arial" w:cs="Arial"/>
          <w:lang w:val="en-GB"/>
        </w:rPr>
        <w:t xml:space="preserve"> S, et al. </w:t>
      </w:r>
      <w:r w:rsidRPr="00202911">
        <w:rPr>
          <w:rFonts w:ascii="Arial" w:hAnsi="Arial" w:cs="Arial"/>
          <w:i/>
          <w:iCs/>
          <w:lang w:val="en-GB"/>
        </w:rPr>
        <w:t xml:space="preserve">Ascophyllum nodosum </w:t>
      </w:r>
      <w:r w:rsidRPr="00202911">
        <w:rPr>
          <w:rFonts w:ascii="Arial" w:hAnsi="Arial" w:cs="Arial"/>
          <w:lang w:val="en-GB"/>
        </w:rPr>
        <w:t xml:space="preserve">(L.) Le </w:t>
      </w:r>
      <w:proofErr w:type="spellStart"/>
      <w:r w:rsidRPr="00202911">
        <w:rPr>
          <w:rFonts w:ascii="Arial" w:hAnsi="Arial" w:cs="Arial"/>
          <w:lang w:val="en-GB"/>
        </w:rPr>
        <w:t>Jolis</w:t>
      </w:r>
      <w:proofErr w:type="spellEnd"/>
      <w:r w:rsidRPr="00202911">
        <w:rPr>
          <w:rFonts w:ascii="Arial" w:hAnsi="Arial" w:cs="Arial"/>
          <w:lang w:val="en-GB"/>
        </w:rPr>
        <w:t xml:space="preserve">, a pivotal </w:t>
      </w:r>
      <w:proofErr w:type="spellStart"/>
      <w:r w:rsidRPr="00202911">
        <w:rPr>
          <w:rFonts w:ascii="Arial" w:hAnsi="Arial" w:cs="Arial"/>
          <w:lang w:val="en-GB"/>
        </w:rPr>
        <w:t>biostimulant</w:t>
      </w:r>
      <w:proofErr w:type="spellEnd"/>
      <w:r w:rsidRPr="00202911">
        <w:rPr>
          <w:rFonts w:ascii="Arial" w:hAnsi="Arial" w:cs="Arial"/>
          <w:lang w:val="en-GB"/>
        </w:rPr>
        <w:t xml:space="preserve"> toward sustainable agriculture: A comprehensive review. </w:t>
      </w:r>
      <w:r w:rsidRPr="00202911">
        <w:rPr>
          <w:rFonts w:ascii="Arial" w:hAnsi="Arial" w:cs="Arial"/>
          <w:i/>
          <w:iCs/>
          <w:lang w:val="en-GB"/>
        </w:rPr>
        <w:t>Agriculture.</w:t>
      </w:r>
      <w:r w:rsidRPr="00202911">
        <w:rPr>
          <w:rFonts w:ascii="Arial" w:hAnsi="Arial" w:cs="Arial"/>
          <w:lang w:val="en-GB"/>
        </w:rPr>
        <w:t xml:space="preserve"> 2023. </w:t>
      </w:r>
    </w:p>
    <w:p w14:paraId="6C2FCE92" w14:textId="12378570"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Lestari F, Dewi K. Effects of humic acid on vegetative growth, yield, oxalic acid, and betacyanin content of red amaranth (</w:t>
      </w:r>
      <w:r w:rsidRPr="00202911">
        <w:rPr>
          <w:rFonts w:ascii="Arial" w:hAnsi="Arial" w:cs="Arial"/>
          <w:i/>
          <w:iCs/>
          <w:lang w:val="en-GB"/>
        </w:rPr>
        <w:t xml:space="preserve">Amaranthus </w:t>
      </w:r>
      <w:proofErr w:type="spellStart"/>
      <w:r w:rsidRPr="00202911">
        <w:rPr>
          <w:rFonts w:ascii="Arial" w:hAnsi="Arial" w:cs="Arial"/>
          <w:i/>
          <w:iCs/>
          <w:lang w:val="en-GB"/>
        </w:rPr>
        <w:t>tricolor</w:t>
      </w:r>
      <w:proofErr w:type="spellEnd"/>
      <w:r w:rsidRPr="00202911">
        <w:rPr>
          <w:rFonts w:ascii="Arial" w:hAnsi="Arial" w:cs="Arial"/>
          <w:i/>
          <w:iCs/>
          <w:lang w:val="en-GB"/>
        </w:rPr>
        <w:t xml:space="preserve"> </w:t>
      </w:r>
      <w:r w:rsidRPr="00202911">
        <w:rPr>
          <w:rFonts w:ascii="Arial" w:hAnsi="Arial" w:cs="Arial"/>
          <w:lang w:val="en-GB"/>
        </w:rPr>
        <w:t xml:space="preserve">L.). </w:t>
      </w:r>
      <w:r w:rsidRPr="00202911">
        <w:rPr>
          <w:rFonts w:ascii="Arial" w:hAnsi="Arial" w:cs="Arial"/>
          <w:i/>
          <w:iCs/>
          <w:lang w:val="en-GB"/>
        </w:rPr>
        <w:t xml:space="preserve">Proceedings of the AIP </w:t>
      </w:r>
      <w:r w:rsidR="00333944" w:rsidRPr="00202911">
        <w:rPr>
          <w:rFonts w:ascii="Arial" w:hAnsi="Arial" w:cs="Arial"/>
          <w:i/>
          <w:iCs/>
          <w:lang w:val="en-GB"/>
        </w:rPr>
        <w:t>Conference;</w:t>
      </w:r>
      <w:r w:rsidRPr="00202911">
        <w:rPr>
          <w:rFonts w:ascii="Arial" w:hAnsi="Arial" w:cs="Arial"/>
          <w:lang w:val="en-GB"/>
        </w:rPr>
        <w:t xml:space="preserve"> 16 September 2020. p. 030011. </w:t>
      </w:r>
      <w:hyperlink r:id="rId46" w:tgtFrame="_blank" w:history="1">
        <w:r w:rsidRPr="00202911">
          <w:rPr>
            <w:rStyle w:val="Hyperlink"/>
            <w:rFonts w:ascii="Arial" w:hAnsi="Arial" w:cs="Arial"/>
            <w:lang w:val="en-GB"/>
          </w:rPr>
          <w:t xml:space="preserve">https://doi.org/10.1063/5.0015774 </w:t>
        </w:r>
      </w:hyperlink>
      <w:r w:rsidRPr="00202911">
        <w:rPr>
          <w:rFonts w:ascii="Arial" w:hAnsi="Arial" w:cs="Arial"/>
          <w:lang w:val="en-GB"/>
        </w:rPr>
        <w:t>.</w:t>
      </w:r>
    </w:p>
    <w:p w14:paraId="104873FC" w14:textId="77777777"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Mashamaite</w:t>
      </w:r>
      <w:proofErr w:type="spellEnd"/>
      <w:r w:rsidRPr="00202911">
        <w:rPr>
          <w:rFonts w:ascii="Arial" w:hAnsi="Arial" w:cs="Arial"/>
          <w:lang w:val="en-GB"/>
        </w:rPr>
        <w:t xml:space="preserve"> CV, Ngcobo BL, </w:t>
      </w:r>
      <w:proofErr w:type="spellStart"/>
      <w:r w:rsidRPr="00202911">
        <w:rPr>
          <w:rFonts w:ascii="Arial" w:hAnsi="Arial" w:cs="Arial"/>
          <w:lang w:val="en-GB"/>
        </w:rPr>
        <w:t>Manyevere</w:t>
      </w:r>
      <w:proofErr w:type="spellEnd"/>
      <w:r w:rsidRPr="00202911">
        <w:rPr>
          <w:rFonts w:ascii="Arial" w:hAnsi="Arial" w:cs="Arial"/>
          <w:lang w:val="en-GB"/>
        </w:rPr>
        <w:t xml:space="preserve"> A, Bertling I, Fawole OA. Assessing the usefulness of </w:t>
      </w:r>
      <w:r w:rsidRPr="00202911">
        <w:rPr>
          <w:rFonts w:ascii="Arial" w:hAnsi="Arial" w:cs="Arial"/>
          <w:i/>
          <w:iCs/>
          <w:lang w:val="en-GB"/>
        </w:rPr>
        <w:t xml:space="preserve">Moringa oleifera </w:t>
      </w:r>
      <w:r w:rsidRPr="00202911">
        <w:rPr>
          <w:rFonts w:ascii="Arial" w:hAnsi="Arial" w:cs="Arial"/>
          <w:lang w:val="en-GB"/>
        </w:rPr>
        <w:t xml:space="preserve">leaf extract as a </w:t>
      </w:r>
      <w:proofErr w:type="spellStart"/>
      <w:r w:rsidRPr="00202911">
        <w:rPr>
          <w:rFonts w:ascii="Arial" w:hAnsi="Arial" w:cs="Arial"/>
          <w:lang w:val="en-GB"/>
        </w:rPr>
        <w:t>biostimulant</w:t>
      </w:r>
      <w:proofErr w:type="spellEnd"/>
      <w:r w:rsidRPr="00202911">
        <w:rPr>
          <w:rFonts w:ascii="Arial" w:hAnsi="Arial" w:cs="Arial"/>
          <w:lang w:val="en-GB"/>
        </w:rPr>
        <w:t xml:space="preserve"> to supplement synthetic fertilizers: A review. </w:t>
      </w:r>
      <w:r w:rsidRPr="00202911">
        <w:rPr>
          <w:rFonts w:ascii="Arial" w:hAnsi="Arial" w:cs="Arial"/>
          <w:i/>
          <w:iCs/>
          <w:lang w:val="en-GB"/>
        </w:rPr>
        <w:t>Plants.</w:t>
      </w:r>
      <w:r w:rsidRPr="00202911">
        <w:rPr>
          <w:rFonts w:ascii="Arial" w:hAnsi="Arial" w:cs="Arial"/>
          <w:lang w:val="en-GB"/>
        </w:rPr>
        <w:t xml:space="preserve"> 2022;11(17):2214. </w:t>
      </w:r>
      <w:hyperlink r:id="rId47" w:tgtFrame="_blank" w:history="1">
        <w:r w:rsidRPr="00202911">
          <w:rPr>
            <w:rStyle w:val="Hyperlink"/>
            <w:rFonts w:ascii="Arial" w:hAnsi="Arial" w:cs="Arial"/>
            <w:lang w:val="en-GB"/>
          </w:rPr>
          <w:t xml:space="preserve">https://doi.org/10.3390/plants11172214 </w:t>
        </w:r>
      </w:hyperlink>
      <w:r w:rsidRPr="00202911">
        <w:rPr>
          <w:rFonts w:ascii="Arial" w:hAnsi="Arial" w:cs="Arial"/>
          <w:lang w:val="en-GB"/>
        </w:rPr>
        <w:t xml:space="preserve">. </w:t>
      </w:r>
    </w:p>
    <w:p w14:paraId="46963EB3" w14:textId="65F31211"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Merwad</w:t>
      </w:r>
      <w:proofErr w:type="spellEnd"/>
      <w:r w:rsidRPr="00202911">
        <w:rPr>
          <w:rFonts w:ascii="Arial" w:hAnsi="Arial" w:cs="Arial"/>
          <w:lang w:val="en-GB"/>
        </w:rPr>
        <w:t xml:space="preserve"> AMA. Effect of </w:t>
      </w:r>
      <w:r w:rsidRPr="00202911">
        <w:rPr>
          <w:rFonts w:ascii="Arial" w:hAnsi="Arial" w:cs="Arial"/>
          <w:i/>
          <w:iCs/>
          <w:lang w:val="en-GB"/>
        </w:rPr>
        <w:t xml:space="preserve">Moringa oleifera </w:t>
      </w:r>
      <w:r w:rsidRPr="00202911">
        <w:rPr>
          <w:rFonts w:ascii="Arial" w:hAnsi="Arial" w:cs="Arial"/>
          <w:lang w:val="en-GB"/>
        </w:rPr>
        <w:t>extracts on the growth, yield, and nutrient uptake of spinach (</w:t>
      </w:r>
      <w:r w:rsidRPr="00202911">
        <w:rPr>
          <w:rFonts w:ascii="Arial" w:hAnsi="Arial" w:cs="Arial"/>
          <w:i/>
          <w:iCs/>
          <w:lang w:val="en-GB"/>
        </w:rPr>
        <w:t xml:space="preserve">Spinacia oleracea </w:t>
      </w:r>
      <w:r w:rsidRPr="00202911">
        <w:rPr>
          <w:rFonts w:ascii="Arial" w:hAnsi="Arial" w:cs="Arial"/>
          <w:lang w:val="en-GB"/>
        </w:rPr>
        <w:t xml:space="preserve">L.). </w:t>
      </w:r>
      <w:r w:rsidRPr="00202911">
        <w:rPr>
          <w:rFonts w:ascii="Arial" w:hAnsi="Arial" w:cs="Arial"/>
          <w:i/>
          <w:iCs/>
          <w:lang w:val="en-GB"/>
        </w:rPr>
        <w:t xml:space="preserve">Greener J Soil Sci Plant </w:t>
      </w:r>
      <w:proofErr w:type="spellStart"/>
      <w:r w:rsidR="00333944" w:rsidRPr="00202911">
        <w:rPr>
          <w:rFonts w:ascii="Arial" w:hAnsi="Arial" w:cs="Arial"/>
          <w:i/>
          <w:iCs/>
          <w:lang w:val="en-GB"/>
        </w:rPr>
        <w:t>Nutr</w:t>
      </w:r>
      <w:proofErr w:type="spellEnd"/>
      <w:r w:rsidR="00333944" w:rsidRPr="00202911">
        <w:rPr>
          <w:rFonts w:ascii="Arial" w:hAnsi="Arial" w:cs="Arial"/>
          <w:i/>
          <w:iCs/>
          <w:lang w:val="en-GB"/>
        </w:rPr>
        <w:t>.</w:t>
      </w:r>
      <w:r w:rsidRPr="00202911">
        <w:rPr>
          <w:rFonts w:ascii="Arial" w:hAnsi="Arial" w:cs="Arial"/>
          <w:lang w:val="en-GB"/>
        </w:rPr>
        <w:t xml:space="preserve"> 2015;2(1):16-22. </w:t>
      </w:r>
      <w:hyperlink r:id="rId48" w:tgtFrame="_blank" w:history="1">
        <w:r w:rsidRPr="00202911">
          <w:rPr>
            <w:rStyle w:val="Hyperlink"/>
            <w:rFonts w:ascii="Arial" w:hAnsi="Arial" w:cs="Arial"/>
            <w:lang w:val="en-GB"/>
          </w:rPr>
          <w:t xml:space="preserve">https://doi.org/10.15580/GJSSPN.2015.1.021615032 </w:t>
        </w:r>
      </w:hyperlink>
      <w:r w:rsidRPr="00202911">
        <w:rPr>
          <w:rFonts w:ascii="Arial" w:hAnsi="Arial" w:cs="Arial"/>
          <w:lang w:val="en-GB"/>
        </w:rPr>
        <w:t xml:space="preserve">. </w:t>
      </w:r>
    </w:p>
    <w:p w14:paraId="0CF02831" w14:textId="2AD1AA94"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Merwad</w:t>
      </w:r>
      <w:proofErr w:type="spellEnd"/>
      <w:r w:rsidRPr="00202911">
        <w:rPr>
          <w:rFonts w:ascii="Arial" w:hAnsi="Arial" w:cs="Arial"/>
          <w:lang w:val="en-GB"/>
        </w:rPr>
        <w:t xml:space="preserve"> AR. Using </w:t>
      </w:r>
      <w:r w:rsidRPr="00202911">
        <w:rPr>
          <w:rFonts w:ascii="Arial" w:hAnsi="Arial" w:cs="Arial"/>
          <w:i/>
          <w:iCs/>
          <w:lang w:val="en-GB"/>
        </w:rPr>
        <w:t xml:space="preserve">Moringa oleifera </w:t>
      </w:r>
      <w:r w:rsidRPr="00202911">
        <w:rPr>
          <w:rFonts w:ascii="Arial" w:hAnsi="Arial" w:cs="Arial"/>
          <w:lang w:val="en-GB"/>
        </w:rPr>
        <w:t xml:space="preserve">extract as a </w:t>
      </w:r>
      <w:proofErr w:type="spellStart"/>
      <w:r w:rsidRPr="00202911">
        <w:rPr>
          <w:rFonts w:ascii="Arial" w:hAnsi="Arial" w:cs="Arial"/>
          <w:lang w:val="en-GB"/>
        </w:rPr>
        <w:t>biostimulant</w:t>
      </w:r>
      <w:proofErr w:type="spellEnd"/>
      <w:r w:rsidRPr="00202911">
        <w:rPr>
          <w:rFonts w:ascii="Arial" w:hAnsi="Arial" w:cs="Arial"/>
          <w:lang w:val="en-GB"/>
        </w:rPr>
        <w:t xml:space="preserve"> to enhance the growth, yield, and nutrient accumulation of pea plants. </w:t>
      </w:r>
      <w:r w:rsidRPr="00202911">
        <w:rPr>
          <w:rFonts w:ascii="Arial" w:hAnsi="Arial" w:cs="Arial"/>
          <w:i/>
          <w:iCs/>
          <w:lang w:val="en-GB"/>
        </w:rPr>
        <w:t xml:space="preserve">J Plant </w:t>
      </w:r>
      <w:proofErr w:type="spellStart"/>
      <w:r w:rsidR="00333944" w:rsidRPr="00202911">
        <w:rPr>
          <w:rFonts w:ascii="Arial" w:hAnsi="Arial" w:cs="Arial"/>
          <w:i/>
          <w:iCs/>
          <w:lang w:val="en-GB"/>
        </w:rPr>
        <w:t>Nutr</w:t>
      </w:r>
      <w:proofErr w:type="spellEnd"/>
      <w:r w:rsidR="00333944" w:rsidRPr="00202911">
        <w:rPr>
          <w:rFonts w:ascii="Arial" w:hAnsi="Arial" w:cs="Arial"/>
          <w:i/>
          <w:iCs/>
          <w:lang w:val="en-GB"/>
        </w:rPr>
        <w:t>.</w:t>
      </w:r>
      <w:r w:rsidRPr="00202911">
        <w:rPr>
          <w:rFonts w:ascii="Arial" w:hAnsi="Arial" w:cs="Arial"/>
          <w:lang w:val="en-GB"/>
        </w:rPr>
        <w:t xml:space="preserve"> 2017;41. </w:t>
      </w:r>
      <w:hyperlink r:id="rId49" w:tgtFrame="_blank" w:history="1">
        <w:r w:rsidRPr="00202911">
          <w:rPr>
            <w:rStyle w:val="Hyperlink"/>
            <w:rFonts w:ascii="Arial" w:hAnsi="Arial" w:cs="Arial"/>
            <w:lang w:val="en-GB"/>
          </w:rPr>
          <w:t xml:space="preserve">https://doi.org/10.1080/01904167.2017.1384012 </w:t>
        </w:r>
      </w:hyperlink>
      <w:r w:rsidRPr="00202911">
        <w:rPr>
          <w:rFonts w:ascii="Arial" w:hAnsi="Arial" w:cs="Arial"/>
          <w:lang w:val="en-GB"/>
        </w:rPr>
        <w:t xml:space="preserve">. </w:t>
      </w:r>
    </w:p>
    <w:p w14:paraId="7442A2C9" w14:textId="7BC4BFC0"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Nikbakht A, Kafi M, </w:t>
      </w:r>
      <w:proofErr w:type="spellStart"/>
      <w:r w:rsidRPr="00202911">
        <w:rPr>
          <w:rFonts w:ascii="Arial" w:hAnsi="Arial" w:cs="Arial"/>
          <w:lang w:val="en-GB"/>
        </w:rPr>
        <w:t>Babalar</w:t>
      </w:r>
      <w:proofErr w:type="spellEnd"/>
      <w:r w:rsidRPr="00202911">
        <w:rPr>
          <w:rFonts w:ascii="Arial" w:hAnsi="Arial" w:cs="Arial"/>
          <w:lang w:val="en-GB"/>
        </w:rPr>
        <w:t xml:space="preserve"> M, Xia Y, Luo A, Etemadi N. Effect of humic acid on plant growth, nutrient uptake, and postharvest life of Gerbera. </w:t>
      </w:r>
      <w:r w:rsidRPr="00202911">
        <w:rPr>
          <w:rFonts w:ascii="Arial" w:hAnsi="Arial" w:cs="Arial"/>
          <w:i/>
          <w:iCs/>
          <w:lang w:val="en-GB"/>
        </w:rPr>
        <w:t xml:space="preserve">J Plant </w:t>
      </w:r>
      <w:proofErr w:type="spellStart"/>
      <w:r w:rsidR="00333944" w:rsidRPr="00202911">
        <w:rPr>
          <w:rFonts w:ascii="Arial" w:hAnsi="Arial" w:cs="Arial"/>
          <w:i/>
          <w:iCs/>
          <w:lang w:val="en-GB"/>
        </w:rPr>
        <w:t>Nutr</w:t>
      </w:r>
      <w:proofErr w:type="spellEnd"/>
      <w:r w:rsidR="00333944" w:rsidRPr="00202911">
        <w:rPr>
          <w:rFonts w:ascii="Arial" w:hAnsi="Arial" w:cs="Arial"/>
          <w:i/>
          <w:iCs/>
          <w:lang w:val="en-GB"/>
        </w:rPr>
        <w:t>.</w:t>
      </w:r>
      <w:r w:rsidRPr="00202911">
        <w:rPr>
          <w:rFonts w:ascii="Arial" w:hAnsi="Arial" w:cs="Arial"/>
          <w:lang w:val="en-GB"/>
        </w:rPr>
        <w:t xml:space="preserve"> 2008;31. </w:t>
      </w:r>
      <w:hyperlink r:id="rId50" w:tgtFrame="_blank" w:history="1">
        <w:r w:rsidRPr="00202911">
          <w:rPr>
            <w:rStyle w:val="Hyperlink"/>
            <w:rFonts w:ascii="Arial" w:hAnsi="Arial" w:cs="Arial"/>
            <w:lang w:val="en-GB"/>
          </w:rPr>
          <w:t xml:space="preserve">https://doi.org/10.1080/01904160802462819 </w:t>
        </w:r>
      </w:hyperlink>
      <w:r w:rsidRPr="00202911">
        <w:rPr>
          <w:rFonts w:ascii="Arial" w:hAnsi="Arial" w:cs="Arial"/>
          <w:lang w:val="en-GB"/>
        </w:rPr>
        <w:t>.</w:t>
      </w:r>
    </w:p>
    <w:p w14:paraId="34BE3A10" w14:textId="089082AA"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Orlov DS, </w:t>
      </w:r>
      <w:proofErr w:type="spellStart"/>
      <w:r w:rsidRPr="00202911">
        <w:rPr>
          <w:rFonts w:ascii="Arial" w:hAnsi="Arial" w:cs="Arial"/>
          <w:lang w:val="en-GB"/>
        </w:rPr>
        <w:t>Sadovnikova</w:t>
      </w:r>
      <w:proofErr w:type="spellEnd"/>
      <w:r w:rsidRPr="00202911">
        <w:rPr>
          <w:rFonts w:ascii="Arial" w:hAnsi="Arial" w:cs="Arial"/>
          <w:lang w:val="en-GB"/>
        </w:rPr>
        <w:t xml:space="preserve"> LK. Soil organic matter and protective functions of humic. In: </w:t>
      </w:r>
      <w:r w:rsidRPr="00202911">
        <w:rPr>
          <w:rFonts w:ascii="Arial" w:hAnsi="Arial" w:cs="Arial"/>
          <w:i/>
          <w:iCs/>
          <w:lang w:val="en-GB"/>
        </w:rPr>
        <w:t xml:space="preserve">Use of humic substances to remediate polluted environments: from theory to </w:t>
      </w:r>
      <w:r w:rsidR="00333944" w:rsidRPr="00202911">
        <w:rPr>
          <w:rFonts w:ascii="Arial" w:hAnsi="Arial" w:cs="Arial"/>
          <w:i/>
          <w:iCs/>
          <w:lang w:val="en-GB"/>
        </w:rPr>
        <w:t>practice.</w:t>
      </w:r>
      <w:r w:rsidRPr="00202911">
        <w:rPr>
          <w:rFonts w:ascii="Arial" w:hAnsi="Arial" w:cs="Arial"/>
          <w:lang w:val="en-GB"/>
        </w:rPr>
        <w:t xml:space="preserve"> 2005. p. 37.</w:t>
      </w:r>
    </w:p>
    <w:p w14:paraId="00C64DD6" w14:textId="5D8E7F13"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Pacheco AC, Sobral LA, </w:t>
      </w:r>
      <w:proofErr w:type="spellStart"/>
      <w:r w:rsidRPr="00202911">
        <w:rPr>
          <w:rFonts w:ascii="Arial" w:hAnsi="Arial" w:cs="Arial"/>
          <w:lang w:val="en-GB"/>
        </w:rPr>
        <w:t>Gorni</w:t>
      </w:r>
      <w:proofErr w:type="spellEnd"/>
      <w:r w:rsidRPr="00202911">
        <w:rPr>
          <w:rFonts w:ascii="Arial" w:hAnsi="Arial" w:cs="Arial"/>
          <w:lang w:val="en-GB"/>
        </w:rPr>
        <w:t xml:space="preserve"> PH, Carvalho MEA. </w:t>
      </w:r>
      <w:r w:rsidRPr="00202911">
        <w:rPr>
          <w:rFonts w:ascii="Arial" w:hAnsi="Arial" w:cs="Arial"/>
          <w:i/>
          <w:iCs/>
          <w:lang w:val="en-GB"/>
        </w:rPr>
        <w:t xml:space="preserve">Ascophyllum nodosum </w:t>
      </w:r>
      <w:r w:rsidRPr="00202911">
        <w:rPr>
          <w:rFonts w:ascii="Arial" w:hAnsi="Arial" w:cs="Arial"/>
          <w:lang w:val="en-GB"/>
        </w:rPr>
        <w:t xml:space="preserve">extract improves phenolic compound content and antioxidant activity of medicinal and functional food plant </w:t>
      </w:r>
      <w:r w:rsidRPr="00202911">
        <w:rPr>
          <w:rFonts w:ascii="Arial" w:hAnsi="Arial" w:cs="Arial"/>
          <w:i/>
          <w:iCs/>
          <w:lang w:val="en-GB"/>
        </w:rPr>
        <w:t xml:space="preserve">Achillea millefolium </w:t>
      </w:r>
      <w:r w:rsidRPr="00202911">
        <w:rPr>
          <w:rFonts w:ascii="Arial" w:hAnsi="Arial" w:cs="Arial"/>
          <w:lang w:val="en-GB"/>
        </w:rPr>
        <w:t xml:space="preserve">L. </w:t>
      </w:r>
      <w:r w:rsidRPr="00202911">
        <w:rPr>
          <w:rFonts w:ascii="Arial" w:hAnsi="Arial" w:cs="Arial"/>
          <w:i/>
          <w:iCs/>
          <w:lang w:val="en-GB"/>
        </w:rPr>
        <w:t xml:space="preserve">Austral J Crop </w:t>
      </w:r>
      <w:r w:rsidR="00333944" w:rsidRPr="00202911">
        <w:rPr>
          <w:rFonts w:ascii="Arial" w:hAnsi="Arial" w:cs="Arial"/>
          <w:i/>
          <w:iCs/>
          <w:lang w:val="en-GB"/>
        </w:rPr>
        <w:t>Sci.</w:t>
      </w:r>
      <w:r w:rsidRPr="00202911">
        <w:rPr>
          <w:rFonts w:ascii="Arial" w:hAnsi="Arial" w:cs="Arial"/>
          <w:lang w:val="en-GB"/>
        </w:rPr>
        <w:t xml:space="preserve"> 2019;13(3):418-423. </w:t>
      </w:r>
      <w:hyperlink r:id="rId51" w:tgtFrame="_blank" w:history="1">
        <w:r w:rsidRPr="00202911">
          <w:rPr>
            <w:rStyle w:val="Hyperlink"/>
            <w:rFonts w:ascii="Arial" w:hAnsi="Arial" w:cs="Arial"/>
            <w:lang w:val="en-GB"/>
          </w:rPr>
          <w:t xml:space="preserve">https://doi.org/10.21475/ajcs.19.13.03.p1342 </w:t>
        </w:r>
      </w:hyperlink>
      <w:r w:rsidRPr="00202911">
        <w:rPr>
          <w:rFonts w:ascii="Arial" w:hAnsi="Arial" w:cs="Arial"/>
          <w:lang w:val="en-GB"/>
        </w:rPr>
        <w:t xml:space="preserve">. </w:t>
      </w:r>
    </w:p>
    <w:p w14:paraId="52A4ABEF" w14:textId="7214BD16"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Posmyk</w:t>
      </w:r>
      <w:proofErr w:type="spellEnd"/>
      <w:r w:rsidRPr="00202911">
        <w:rPr>
          <w:rFonts w:ascii="Arial" w:hAnsi="Arial" w:cs="Arial"/>
          <w:lang w:val="en-GB"/>
        </w:rPr>
        <w:t xml:space="preserve"> MM, Szafrańska K. Biostimulators: a new trend toward solving an old problem. </w:t>
      </w:r>
      <w:r w:rsidRPr="00202911">
        <w:rPr>
          <w:rFonts w:ascii="Arial" w:hAnsi="Arial" w:cs="Arial"/>
          <w:i/>
          <w:iCs/>
          <w:lang w:val="en-GB"/>
        </w:rPr>
        <w:t xml:space="preserve">Front Plant </w:t>
      </w:r>
      <w:r w:rsidR="00333944" w:rsidRPr="00202911">
        <w:rPr>
          <w:rFonts w:ascii="Arial" w:hAnsi="Arial" w:cs="Arial"/>
          <w:i/>
          <w:iCs/>
          <w:lang w:val="en-GB"/>
        </w:rPr>
        <w:t>Sci.</w:t>
      </w:r>
      <w:r w:rsidRPr="00202911">
        <w:rPr>
          <w:rFonts w:ascii="Arial" w:hAnsi="Arial" w:cs="Arial"/>
          <w:lang w:val="en-GB"/>
        </w:rPr>
        <w:t xml:space="preserve"> </w:t>
      </w:r>
      <w:r w:rsidR="00333944" w:rsidRPr="00202911">
        <w:rPr>
          <w:rFonts w:ascii="Arial" w:hAnsi="Arial" w:cs="Arial"/>
          <w:lang w:val="en-GB"/>
        </w:rPr>
        <w:t>2016; 7:748</w:t>
      </w:r>
      <w:r w:rsidRPr="00202911">
        <w:rPr>
          <w:rFonts w:ascii="Arial" w:hAnsi="Arial" w:cs="Arial"/>
          <w:lang w:val="en-GB"/>
        </w:rPr>
        <w:t xml:space="preserve">. </w:t>
      </w:r>
      <w:hyperlink r:id="rId52" w:tgtFrame="_blank" w:history="1">
        <w:r w:rsidRPr="00202911">
          <w:rPr>
            <w:rStyle w:val="Hyperlink"/>
            <w:rFonts w:ascii="Arial" w:hAnsi="Arial" w:cs="Arial"/>
            <w:lang w:val="en-GB"/>
          </w:rPr>
          <w:t xml:space="preserve">https://doi.org/10.3389/fpls.2016.00748 </w:t>
        </w:r>
      </w:hyperlink>
      <w:r w:rsidRPr="00202911">
        <w:rPr>
          <w:rFonts w:ascii="Arial" w:hAnsi="Arial" w:cs="Arial"/>
          <w:lang w:val="en-GB"/>
        </w:rPr>
        <w:t xml:space="preserve">. </w:t>
      </w:r>
    </w:p>
    <w:p w14:paraId="1264DB93" w14:textId="71B1284C"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Rady MM, Mohamed GF, Abdalla AM, Ahmed YH. Integrated application of salicylic acid and </w:t>
      </w:r>
      <w:r w:rsidRPr="00202911">
        <w:rPr>
          <w:rFonts w:ascii="Arial" w:hAnsi="Arial" w:cs="Arial"/>
          <w:i/>
          <w:iCs/>
          <w:lang w:val="en-GB"/>
        </w:rPr>
        <w:t xml:space="preserve">Moringa oleifera </w:t>
      </w:r>
      <w:r w:rsidRPr="00202911">
        <w:rPr>
          <w:rFonts w:ascii="Arial" w:hAnsi="Arial" w:cs="Arial"/>
          <w:lang w:val="en-GB"/>
        </w:rPr>
        <w:t xml:space="preserve">leaf extract alleviates the salt-induced adverse effects in common bean plants. </w:t>
      </w:r>
      <w:r w:rsidRPr="00202911">
        <w:rPr>
          <w:rFonts w:ascii="Arial" w:hAnsi="Arial" w:cs="Arial"/>
          <w:i/>
          <w:iCs/>
          <w:lang w:val="en-GB"/>
        </w:rPr>
        <w:t xml:space="preserve">Int J Agric </w:t>
      </w:r>
      <w:r w:rsidR="00333944" w:rsidRPr="00202911">
        <w:rPr>
          <w:rFonts w:ascii="Arial" w:hAnsi="Arial" w:cs="Arial"/>
          <w:i/>
          <w:iCs/>
          <w:lang w:val="en-GB"/>
        </w:rPr>
        <w:t>Technol.</w:t>
      </w:r>
      <w:r w:rsidRPr="00202911">
        <w:rPr>
          <w:rFonts w:ascii="Arial" w:hAnsi="Arial" w:cs="Arial"/>
          <w:lang w:val="en-GB"/>
        </w:rPr>
        <w:t xml:space="preserve"> 2015;11(7):1595-1614. </w:t>
      </w:r>
    </w:p>
    <w:p w14:paraId="42485CFC" w14:textId="342DBCEA"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Rahni NM. </w:t>
      </w:r>
      <w:proofErr w:type="spellStart"/>
      <w:r w:rsidRPr="00202911">
        <w:rPr>
          <w:rFonts w:ascii="Arial" w:hAnsi="Arial" w:cs="Arial"/>
          <w:lang w:val="en-GB"/>
        </w:rPr>
        <w:t>Efek</w:t>
      </w:r>
      <w:proofErr w:type="spellEnd"/>
      <w:r w:rsidRPr="00202911">
        <w:rPr>
          <w:rFonts w:ascii="Arial" w:hAnsi="Arial" w:cs="Arial"/>
          <w:lang w:val="en-GB"/>
        </w:rPr>
        <w:t xml:space="preserve"> </w:t>
      </w:r>
      <w:proofErr w:type="spellStart"/>
      <w:r w:rsidRPr="00202911">
        <w:rPr>
          <w:rFonts w:ascii="Arial" w:hAnsi="Arial" w:cs="Arial"/>
          <w:lang w:val="en-GB"/>
        </w:rPr>
        <w:t>fitohormon</w:t>
      </w:r>
      <w:proofErr w:type="spellEnd"/>
      <w:r w:rsidRPr="00202911">
        <w:rPr>
          <w:rFonts w:ascii="Arial" w:hAnsi="Arial" w:cs="Arial"/>
          <w:lang w:val="en-GB"/>
        </w:rPr>
        <w:t xml:space="preserve"> PGPR </w:t>
      </w:r>
      <w:proofErr w:type="spellStart"/>
      <w:r w:rsidRPr="00202911">
        <w:rPr>
          <w:rFonts w:ascii="Arial" w:hAnsi="Arial" w:cs="Arial"/>
          <w:lang w:val="en-GB"/>
        </w:rPr>
        <w:t>terhadap</w:t>
      </w:r>
      <w:proofErr w:type="spellEnd"/>
      <w:r w:rsidRPr="00202911">
        <w:rPr>
          <w:rFonts w:ascii="Arial" w:hAnsi="Arial" w:cs="Arial"/>
          <w:lang w:val="en-GB"/>
        </w:rPr>
        <w:t xml:space="preserve"> </w:t>
      </w:r>
      <w:proofErr w:type="spellStart"/>
      <w:r w:rsidRPr="00202911">
        <w:rPr>
          <w:rFonts w:ascii="Arial" w:hAnsi="Arial" w:cs="Arial"/>
          <w:lang w:val="en-GB"/>
        </w:rPr>
        <w:t>pertumbuhan</w:t>
      </w:r>
      <w:proofErr w:type="spellEnd"/>
      <w:r w:rsidRPr="00202911">
        <w:rPr>
          <w:rFonts w:ascii="Arial" w:hAnsi="Arial" w:cs="Arial"/>
          <w:lang w:val="en-GB"/>
        </w:rPr>
        <w:t xml:space="preserve"> </w:t>
      </w:r>
      <w:proofErr w:type="spellStart"/>
      <w:r w:rsidRPr="00202911">
        <w:rPr>
          <w:rFonts w:ascii="Arial" w:hAnsi="Arial" w:cs="Arial"/>
          <w:lang w:val="en-GB"/>
        </w:rPr>
        <w:t>tanaman</w:t>
      </w:r>
      <w:proofErr w:type="spellEnd"/>
      <w:r w:rsidRPr="00202911">
        <w:rPr>
          <w:rFonts w:ascii="Arial" w:hAnsi="Arial" w:cs="Arial"/>
          <w:lang w:val="en-GB"/>
        </w:rPr>
        <w:t xml:space="preserve"> </w:t>
      </w:r>
      <w:proofErr w:type="spellStart"/>
      <w:r w:rsidRPr="00202911">
        <w:rPr>
          <w:rFonts w:ascii="Arial" w:hAnsi="Arial" w:cs="Arial"/>
          <w:lang w:val="en-GB"/>
        </w:rPr>
        <w:t>jagung</w:t>
      </w:r>
      <w:proofErr w:type="spellEnd"/>
      <w:r w:rsidRPr="00202911">
        <w:rPr>
          <w:rFonts w:ascii="Arial" w:hAnsi="Arial" w:cs="Arial"/>
          <w:lang w:val="en-GB"/>
        </w:rPr>
        <w:t xml:space="preserve"> (</w:t>
      </w:r>
      <w:proofErr w:type="spellStart"/>
      <w:r w:rsidRPr="00202911">
        <w:rPr>
          <w:rFonts w:ascii="Arial" w:hAnsi="Arial" w:cs="Arial"/>
          <w:i/>
          <w:iCs/>
          <w:lang w:val="en-GB"/>
        </w:rPr>
        <w:t>Zea</w:t>
      </w:r>
      <w:proofErr w:type="spellEnd"/>
      <w:r w:rsidRPr="00202911">
        <w:rPr>
          <w:rFonts w:ascii="Arial" w:hAnsi="Arial" w:cs="Arial"/>
          <w:i/>
          <w:iCs/>
          <w:lang w:val="en-GB"/>
        </w:rPr>
        <w:t xml:space="preserve"> </w:t>
      </w:r>
      <w:r w:rsidR="00333944" w:rsidRPr="00202911">
        <w:rPr>
          <w:rFonts w:ascii="Arial" w:hAnsi="Arial" w:cs="Arial"/>
          <w:i/>
          <w:iCs/>
          <w:lang w:val="en-GB"/>
        </w:rPr>
        <w:t>mays)</w:t>
      </w:r>
      <w:r w:rsidRPr="00202911">
        <w:rPr>
          <w:rFonts w:ascii="Arial" w:hAnsi="Arial" w:cs="Arial"/>
          <w:lang w:val="en-GB"/>
        </w:rPr>
        <w:t xml:space="preserve">. </w:t>
      </w:r>
      <w:r w:rsidRPr="00202911">
        <w:rPr>
          <w:rFonts w:ascii="Arial" w:hAnsi="Arial" w:cs="Arial"/>
          <w:i/>
          <w:iCs/>
          <w:lang w:val="en-GB"/>
        </w:rPr>
        <w:t xml:space="preserve">CEFARS: J </w:t>
      </w:r>
      <w:proofErr w:type="spellStart"/>
      <w:r w:rsidRPr="00202911">
        <w:rPr>
          <w:rFonts w:ascii="Arial" w:hAnsi="Arial" w:cs="Arial"/>
          <w:i/>
          <w:iCs/>
          <w:lang w:val="en-GB"/>
        </w:rPr>
        <w:t>Agribisnis</w:t>
      </w:r>
      <w:proofErr w:type="spellEnd"/>
      <w:r w:rsidRPr="00202911">
        <w:rPr>
          <w:rFonts w:ascii="Arial" w:hAnsi="Arial" w:cs="Arial"/>
          <w:i/>
          <w:iCs/>
          <w:lang w:val="en-GB"/>
        </w:rPr>
        <w:t xml:space="preserve"> dan </w:t>
      </w:r>
      <w:proofErr w:type="spellStart"/>
      <w:r w:rsidRPr="00202911">
        <w:rPr>
          <w:rFonts w:ascii="Arial" w:hAnsi="Arial" w:cs="Arial"/>
          <w:i/>
          <w:iCs/>
          <w:lang w:val="en-GB"/>
        </w:rPr>
        <w:t>Pengembangan</w:t>
      </w:r>
      <w:proofErr w:type="spellEnd"/>
      <w:r w:rsidRPr="00202911">
        <w:rPr>
          <w:rFonts w:ascii="Arial" w:hAnsi="Arial" w:cs="Arial"/>
          <w:i/>
          <w:iCs/>
          <w:lang w:val="en-GB"/>
        </w:rPr>
        <w:t xml:space="preserve"> </w:t>
      </w:r>
      <w:r w:rsidR="00333944" w:rsidRPr="00202911">
        <w:rPr>
          <w:rFonts w:ascii="Arial" w:hAnsi="Arial" w:cs="Arial"/>
          <w:i/>
          <w:iCs/>
          <w:lang w:val="en-GB"/>
        </w:rPr>
        <w:t>Wilayah.</w:t>
      </w:r>
      <w:r w:rsidRPr="00202911">
        <w:rPr>
          <w:rFonts w:ascii="Arial" w:hAnsi="Arial" w:cs="Arial"/>
          <w:lang w:val="en-GB"/>
        </w:rPr>
        <w:t xml:space="preserve"> 2012;3(2):27-35. Indonesian.</w:t>
      </w:r>
    </w:p>
    <w:p w14:paraId="6D240D6E" w14:textId="05E01221"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Ruth O, Unathi K, </w:t>
      </w:r>
      <w:proofErr w:type="spellStart"/>
      <w:r w:rsidRPr="00202911">
        <w:rPr>
          <w:rFonts w:ascii="Arial" w:hAnsi="Arial" w:cs="Arial"/>
          <w:lang w:val="en-GB"/>
        </w:rPr>
        <w:t>Nomali</w:t>
      </w:r>
      <w:proofErr w:type="spellEnd"/>
      <w:r w:rsidRPr="00202911">
        <w:rPr>
          <w:rFonts w:ascii="Arial" w:hAnsi="Arial" w:cs="Arial"/>
          <w:lang w:val="en-GB"/>
        </w:rPr>
        <w:t xml:space="preserve"> N, </w:t>
      </w:r>
      <w:proofErr w:type="spellStart"/>
      <w:r w:rsidRPr="00202911">
        <w:rPr>
          <w:rFonts w:ascii="Arial" w:hAnsi="Arial" w:cs="Arial"/>
          <w:lang w:val="en-GB"/>
        </w:rPr>
        <w:t>Chinsamy</w:t>
      </w:r>
      <w:proofErr w:type="spellEnd"/>
      <w:r w:rsidRPr="00202911">
        <w:rPr>
          <w:rFonts w:ascii="Arial" w:hAnsi="Arial" w:cs="Arial"/>
          <w:lang w:val="en-GB"/>
        </w:rPr>
        <w:t xml:space="preserve"> M. Underutilization versus nutritional-nutraceutical potential of the </w:t>
      </w:r>
      <w:r w:rsidRPr="00202911">
        <w:rPr>
          <w:rFonts w:ascii="Arial" w:hAnsi="Arial" w:cs="Arial"/>
          <w:i/>
          <w:iCs/>
          <w:lang w:val="en-GB"/>
        </w:rPr>
        <w:t xml:space="preserve">Amaranthus </w:t>
      </w:r>
      <w:r w:rsidRPr="00202911">
        <w:rPr>
          <w:rFonts w:ascii="Arial" w:hAnsi="Arial" w:cs="Arial"/>
          <w:lang w:val="en-GB"/>
        </w:rPr>
        <w:t xml:space="preserve">food plant: A mini-review. </w:t>
      </w:r>
      <w:r w:rsidRPr="00202911">
        <w:rPr>
          <w:rFonts w:ascii="Arial" w:hAnsi="Arial" w:cs="Arial"/>
          <w:i/>
          <w:iCs/>
          <w:lang w:val="en-GB"/>
        </w:rPr>
        <w:t xml:space="preserve">Appl </w:t>
      </w:r>
      <w:r w:rsidR="00737E73" w:rsidRPr="00202911">
        <w:rPr>
          <w:rFonts w:ascii="Arial" w:hAnsi="Arial" w:cs="Arial"/>
          <w:i/>
          <w:iCs/>
          <w:lang w:val="en-GB"/>
        </w:rPr>
        <w:t>Sci.</w:t>
      </w:r>
      <w:r w:rsidRPr="00202911">
        <w:rPr>
          <w:rFonts w:ascii="Arial" w:hAnsi="Arial" w:cs="Arial"/>
          <w:lang w:val="en-GB"/>
        </w:rPr>
        <w:t xml:space="preserve"> </w:t>
      </w:r>
      <w:r w:rsidR="00333944" w:rsidRPr="00202911">
        <w:rPr>
          <w:rFonts w:ascii="Arial" w:hAnsi="Arial" w:cs="Arial"/>
          <w:lang w:val="en-GB"/>
        </w:rPr>
        <w:t>2021; 11:56879</w:t>
      </w:r>
      <w:r w:rsidRPr="00202911">
        <w:rPr>
          <w:rFonts w:ascii="Arial" w:hAnsi="Arial" w:cs="Arial"/>
          <w:lang w:val="en-GB"/>
        </w:rPr>
        <w:t xml:space="preserve">. </w:t>
      </w:r>
      <w:hyperlink r:id="rId53" w:tgtFrame="_blank" w:history="1">
        <w:r w:rsidRPr="00202911">
          <w:rPr>
            <w:rStyle w:val="Hyperlink"/>
            <w:rFonts w:ascii="Arial" w:hAnsi="Arial" w:cs="Arial"/>
            <w:lang w:val="en-GB"/>
          </w:rPr>
          <w:t xml:space="preserve">https://doi.org/10.3390/app11156879 </w:t>
        </w:r>
      </w:hyperlink>
      <w:r w:rsidRPr="00202911">
        <w:rPr>
          <w:rFonts w:ascii="Arial" w:hAnsi="Arial" w:cs="Arial"/>
          <w:lang w:val="en-GB"/>
        </w:rPr>
        <w:t xml:space="preserve">. </w:t>
      </w:r>
    </w:p>
    <w:p w14:paraId="1B2425A8" w14:textId="34F31BFF"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Saadallah K, Drevon JJ, </w:t>
      </w:r>
      <w:proofErr w:type="spellStart"/>
      <w:r w:rsidRPr="00202911">
        <w:rPr>
          <w:rFonts w:ascii="Arial" w:hAnsi="Arial" w:cs="Arial"/>
          <w:lang w:val="en-GB"/>
        </w:rPr>
        <w:t>Abdelly</w:t>
      </w:r>
      <w:proofErr w:type="spellEnd"/>
      <w:r w:rsidRPr="00202911">
        <w:rPr>
          <w:rFonts w:ascii="Arial" w:hAnsi="Arial" w:cs="Arial"/>
          <w:lang w:val="en-GB"/>
        </w:rPr>
        <w:t xml:space="preserve"> C. Nodulation et </w:t>
      </w:r>
      <w:proofErr w:type="spellStart"/>
      <w:r w:rsidRPr="00202911">
        <w:rPr>
          <w:rFonts w:ascii="Arial" w:hAnsi="Arial" w:cs="Arial"/>
          <w:lang w:val="en-GB"/>
        </w:rPr>
        <w:t>croissance</w:t>
      </w:r>
      <w:proofErr w:type="spellEnd"/>
      <w:r w:rsidRPr="00202911">
        <w:rPr>
          <w:rFonts w:ascii="Arial" w:hAnsi="Arial" w:cs="Arial"/>
          <w:lang w:val="en-GB"/>
        </w:rPr>
        <w:t xml:space="preserve"> </w:t>
      </w:r>
      <w:proofErr w:type="spellStart"/>
      <w:r w:rsidRPr="00202911">
        <w:rPr>
          <w:rFonts w:ascii="Arial" w:hAnsi="Arial" w:cs="Arial"/>
          <w:lang w:val="en-GB"/>
        </w:rPr>
        <w:t>nodulaire</w:t>
      </w:r>
      <w:proofErr w:type="spellEnd"/>
      <w:r w:rsidRPr="00202911">
        <w:rPr>
          <w:rFonts w:ascii="Arial" w:hAnsi="Arial" w:cs="Arial"/>
          <w:lang w:val="en-GB"/>
        </w:rPr>
        <w:t xml:space="preserve"> chez le haricot (</w:t>
      </w:r>
      <w:r w:rsidRPr="00202911">
        <w:rPr>
          <w:rFonts w:ascii="Arial" w:hAnsi="Arial" w:cs="Arial"/>
          <w:i/>
          <w:iCs/>
          <w:lang w:val="en-GB"/>
        </w:rPr>
        <w:t xml:space="preserve">Phaseolus </w:t>
      </w:r>
      <w:r w:rsidR="00737E73" w:rsidRPr="00202911">
        <w:rPr>
          <w:rFonts w:ascii="Arial" w:hAnsi="Arial" w:cs="Arial"/>
          <w:i/>
          <w:iCs/>
          <w:lang w:val="en-GB"/>
        </w:rPr>
        <w:t>vulgaris)</w:t>
      </w:r>
      <w:r w:rsidRPr="00202911">
        <w:rPr>
          <w:rFonts w:ascii="Arial" w:hAnsi="Arial" w:cs="Arial"/>
          <w:lang w:val="en-GB"/>
        </w:rPr>
        <w:t xml:space="preserve"> sous </w:t>
      </w:r>
      <w:proofErr w:type="spellStart"/>
      <w:r w:rsidRPr="00202911">
        <w:rPr>
          <w:rFonts w:ascii="Arial" w:hAnsi="Arial" w:cs="Arial"/>
          <w:lang w:val="en-GB"/>
        </w:rPr>
        <w:t>contrainte</w:t>
      </w:r>
      <w:proofErr w:type="spellEnd"/>
      <w:r w:rsidRPr="00202911">
        <w:rPr>
          <w:rFonts w:ascii="Arial" w:hAnsi="Arial" w:cs="Arial"/>
          <w:lang w:val="en-GB"/>
        </w:rPr>
        <w:t xml:space="preserve"> saline. </w:t>
      </w:r>
      <w:proofErr w:type="spellStart"/>
      <w:r w:rsidR="00333944" w:rsidRPr="00202911">
        <w:rPr>
          <w:rFonts w:ascii="Arial" w:hAnsi="Arial" w:cs="Arial"/>
          <w:i/>
          <w:iCs/>
          <w:lang w:val="en-GB"/>
        </w:rPr>
        <w:t>Agronomie</w:t>
      </w:r>
      <w:proofErr w:type="spellEnd"/>
      <w:r w:rsidR="00333944" w:rsidRPr="00202911">
        <w:rPr>
          <w:rFonts w:ascii="Arial" w:hAnsi="Arial" w:cs="Arial"/>
          <w:i/>
          <w:iCs/>
          <w:lang w:val="en-GB"/>
        </w:rPr>
        <w:t>.</w:t>
      </w:r>
      <w:r w:rsidRPr="00202911">
        <w:rPr>
          <w:rFonts w:ascii="Arial" w:hAnsi="Arial" w:cs="Arial"/>
          <w:lang w:val="en-GB"/>
        </w:rPr>
        <w:t xml:space="preserve"> 2001;21(6-7):627-634. </w:t>
      </w:r>
      <w:hyperlink r:id="rId54" w:tgtFrame="_blank" w:history="1">
        <w:r w:rsidRPr="00202911">
          <w:rPr>
            <w:rStyle w:val="Hyperlink"/>
            <w:rFonts w:ascii="Arial" w:hAnsi="Arial" w:cs="Arial"/>
            <w:lang w:val="en-GB"/>
          </w:rPr>
          <w:t xml:space="preserve">https://doi.org/10.1051/agro:2001154 </w:t>
        </w:r>
      </w:hyperlink>
      <w:r w:rsidRPr="00202911">
        <w:rPr>
          <w:rFonts w:ascii="Arial" w:hAnsi="Arial" w:cs="Arial"/>
          <w:lang w:val="en-GB"/>
        </w:rPr>
        <w:t>. French</w:t>
      </w:r>
    </w:p>
    <w:p w14:paraId="54C558B3" w14:textId="60987189"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Saravanan S, </w:t>
      </w:r>
      <w:proofErr w:type="spellStart"/>
      <w:r w:rsidRPr="00202911">
        <w:rPr>
          <w:rFonts w:ascii="Arial" w:hAnsi="Arial" w:cs="Arial"/>
          <w:lang w:val="en-GB"/>
        </w:rPr>
        <w:t>Thamburaj</w:t>
      </w:r>
      <w:proofErr w:type="spellEnd"/>
      <w:r w:rsidRPr="00202911">
        <w:rPr>
          <w:rFonts w:ascii="Arial" w:hAnsi="Arial" w:cs="Arial"/>
          <w:lang w:val="en-GB"/>
        </w:rPr>
        <w:t xml:space="preserve"> S, </w:t>
      </w:r>
      <w:proofErr w:type="spellStart"/>
      <w:r w:rsidRPr="00202911">
        <w:rPr>
          <w:rFonts w:ascii="Arial" w:hAnsi="Arial" w:cs="Arial"/>
          <w:lang w:val="en-GB"/>
        </w:rPr>
        <w:t>Veeraragavathatham</w:t>
      </w:r>
      <w:proofErr w:type="spellEnd"/>
      <w:r w:rsidRPr="00202911">
        <w:rPr>
          <w:rFonts w:ascii="Arial" w:hAnsi="Arial" w:cs="Arial"/>
          <w:lang w:val="en-GB"/>
        </w:rPr>
        <w:t xml:space="preserve"> D, Subbiah A. Effect of seaweed extract and </w:t>
      </w:r>
      <w:proofErr w:type="spellStart"/>
      <w:r w:rsidRPr="00202911">
        <w:rPr>
          <w:rFonts w:ascii="Arial" w:hAnsi="Arial" w:cs="Arial"/>
          <w:lang w:val="en-GB"/>
        </w:rPr>
        <w:t>chlormequat</w:t>
      </w:r>
      <w:proofErr w:type="spellEnd"/>
      <w:r w:rsidRPr="00202911">
        <w:rPr>
          <w:rFonts w:ascii="Arial" w:hAnsi="Arial" w:cs="Arial"/>
          <w:lang w:val="en-GB"/>
        </w:rPr>
        <w:t xml:space="preserve"> on growth and fruit yield of tomato (</w:t>
      </w:r>
      <w:r w:rsidRPr="00202911">
        <w:rPr>
          <w:rFonts w:ascii="Arial" w:hAnsi="Arial" w:cs="Arial"/>
          <w:i/>
          <w:iCs/>
          <w:lang w:val="en-GB"/>
        </w:rPr>
        <w:t xml:space="preserve">Lycopersicon esculentum </w:t>
      </w:r>
      <w:r w:rsidRPr="00202911">
        <w:rPr>
          <w:rFonts w:ascii="Arial" w:hAnsi="Arial" w:cs="Arial"/>
          <w:lang w:val="en-GB"/>
        </w:rPr>
        <w:t xml:space="preserve">Mill.). </w:t>
      </w:r>
      <w:r w:rsidRPr="00202911">
        <w:rPr>
          <w:rFonts w:ascii="Arial" w:hAnsi="Arial" w:cs="Arial"/>
          <w:i/>
          <w:iCs/>
          <w:lang w:val="en-GB"/>
        </w:rPr>
        <w:t xml:space="preserve">Indian J Agric </w:t>
      </w:r>
      <w:r w:rsidR="00737E73" w:rsidRPr="00202911">
        <w:rPr>
          <w:rFonts w:ascii="Arial" w:hAnsi="Arial" w:cs="Arial"/>
          <w:i/>
          <w:iCs/>
          <w:lang w:val="en-GB"/>
        </w:rPr>
        <w:t>Res.</w:t>
      </w:r>
      <w:r w:rsidRPr="00202911">
        <w:rPr>
          <w:rFonts w:ascii="Arial" w:hAnsi="Arial" w:cs="Arial"/>
          <w:lang w:val="en-GB"/>
        </w:rPr>
        <w:t xml:space="preserve"> 2003;37(2):79-87.</w:t>
      </w:r>
    </w:p>
    <w:p w14:paraId="31E8AD7C" w14:textId="095EFED6"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Seni A. Insect pests of </w:t>
      </w:r>
      <w:r w:rsidRPr="00202911">
        <w:rPr>
          <w:rFonts w:ascii="Arial" w:hAnsi="Arial" w:cs="Arial"/>
          <w:i/>
          <w:iCs/>
          <w:lang w:val="en-GB"/>
        </w:rPr>
        <w:t xml:space="preserve">Amaranthus </w:t>
      </w:r>
      <w:r w:rsidRPr="00202911">
        <w:rPr>
          <w:rFonts w:ascii="Arial" w:hAnsi="Arial" w:cs="Arial"/>
          <w:lang w:val="en-GB"/>
        </w:rPr>
        <w:t xml:space="preserve">and their management. </w:t>
      </w:r>
      <w:r w:rsidRPr="00202911">
        <w:rPr>
          <w:rFonts w:ascii="Arial" w:hAnsi="Arial" w:cs="Arial"/>
          <w:i/>
          <w:iCs/>
          <w:lang w:val="en-GB"/>
        </w:rPr>
        <w:t xml:space="preserve">Int J Environ Agric </w:t>
      </w:r>
      <w:proofErr w:type="spellStart"/>
      <w:proofErr w:type="gramStart"/>
      <w:r w:rsidRPr="00202911">
        <w:rPr>
          <w:rFonts w:ascii="Arial" w:hAnsi="Arial" w:cs="Arial"/>
          <w:i/>
          <w:iCs/>
          <w:lang w:val="en-GB"/>
        </w:rPr>
        <w:t>Biotechnol</w:t>
      </w:r>
      <w:proofErr w:type="spellEnd"/>
      <w:r w:rsidRPr="00202911">
        <w:rPr>
          <w:rFonts w:ascii="Arial" w:hAnsi="Arial" w:cs="Arial"/>
          <w:i/>
          <w:iCs/>
          <w:lang w:val="en-GB"/>
        </w:rPr>
        <w:t xml:space="preserve"> </w:t>
      </w:r>
      <w:r w:rsidRPr="00202911">
        <w:rPr>
          <w:rFonts w:ascii="Arial" w:hAnsi="Arial" w:cs="Arial"/>
          <w:lang w:val="en-GB"/>
        </w:rPr>
        <w:t>.</w:t>
      </w:r>
      <w:proofErr w:type="gramEnd"/>
      <w:r w:rsidRPr="00202911">
        <w:rPr>
          <w:rFonts w:ascii="Arial" w:hAnsi="Arial" w:cs="Arial"/>
          <w:lang w:val="en-GB"/>
        </w:rPr>
        <w:t xml:space="preserve"> </w:t>
      </w:r>
      <w:r w:rsidR="00737E73" w:rsidRPr="00202911">
        <w:rPr>
          <w:rFonts w:ascii="Arial" w:hAnsi="Arial" w:cs="Arial"/>
          <w:lang w:val="en-GB"/>
        </w:rPr>
        <w:t>2018; 3:264379</w:t>
      </w:r>
      <w:r w:rsidRPr="00202911">
        <w:rPr>
          <w:rFonts w:ascii="Arial" w:hAnsi="Arial" w:cs="Arial"/>
          <w:lang w:val="en-GB"/>
        </w:rPr>
        <w:t xml:space="preserve">. </w:t>
      </w:r>
      <w:hyperlink r:id="rId55" w:tgtFrame="_blank" w:history="1">
        <w:r w:rsidRPr="00202911">
          <w:rPr>
            <w:rStyle w:val="Hyperlink"/>
            <w:rFonts w:ascii="Arial" w:hAnsi="Arial" w:cs="Arial"/>
            <w:lang w:val="en-GB"/>
          </w:rPr>
          <w:t xml:space="preserve">https://doi.org/10.22161/IJEAB/3.3.50 </w:t>
        </w:r>
      </w:hyperlink>
      <w:r w:rsidRPr="00202911">
        <w:rPr>
          <w:rFonts w:ascii="Arial" w:hAnsi="Arial" w:cs="Arial"/>
          <w:lang w:val="en-GB"/>
        </w:rPr>
        <w:t>.</w:t>
      </w:r>
    </w:p>
    <w:p w14:paraId="46543B73" w14:textId="14FE926E"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Sherinlincy</w:t>
      </w:r>
      <w:proofErr w:type="spellEnd"/>
      <w:r w:rsidRPr="00202911">
        <w:rPr>
          <w:rFonts w:ascii="Arial" w:hAnsi="Arial" w:cs="Arial"/>
          <w:lang w:val="en-GB"/>
        </w:rPr>
        <w:t xml:space="preserve"> A, </w:t>
      </w:r>
      <w:proofErr w:type="spellStart"/>
      <w:r w:rsidRPr="00202911">
        <w:rPr>
          <w:rFonts w:ascii="Arial" w:hAnsi="Arial" w:cs="Arial"/>
          <w:lang w:val="en-GB"/>
        </w:rPr>
        <w:t>Rafeekher</w:t>
      </w:r>
      <w:proofErr w:type="spellEnd"/>
      <w:r w:rsidRPr="00202911">
        <w:rPr>
          <w:rFonts w:ascii="Arial" w:hAnsi="Arial" w:cs="Arial"/>
          <w:lang w:val="en-GB"/>
        </w:rPr>
        <w:t xml:space="preserve"> M, Sarada S. Evaluation of </w:t>
      </w:r>
      <w:proofErr w:type="spellStart"/>
      <w:r w:rsidRPr="00202911">
        <w:rPr>
          <w:rFonts w:ascii="Arial" w:hAnsi="Arial" w:cs="Arial"/>
          <w:lang w:val="en-GB"/>
        </w:rPr>
        <w:t>biostimulants</w:t>
      </w:r>
      <w:proofErr w:type="spellEnd"/>
      <w:r w:rsidRPr="00202911">
        <w:rPr>
          <w:rFonts w:ascii="Arial" w:hAnsi="Arial" w:cs="Arial"/>
          <w:lang w:val="en-GB"/>
        </w:rPr>
        <w:t xml:space="preserve"> in growbag culture of organic </w:t>
      </w:r>
      <w:r w:rsidRPr="00202911">
        <w:rPr>
          <w:rFonts w:ascii="Arial" w:hAnsi="Arial" w:cs="Arial"/>
          <w:i/>
          <w:iCs/>
          <w:lang w:val="en-GB"/>
        </w:rPr>
        <w:t xml:space="preserve">Amaranthus </w:t>
      </w:r>
      <w:r w:rsidRPr="00202911">
        <w:rPr>
          <w:rFonts w:ascii="Arial" w:hAnsi="Arial" w:cs="Arial"/>
          <w:lang w:val="en-GB"/>
        </w:rPr>
        <w:t>(</w:t>
      </w:r>
      <w:r w:rsidRPr="00202911">
        <w:rPr>
          <w:rFonts w:ascii="Arial" w:hAnsi="Arial" w:cs="Arial"/>
          <w:i/>
          <w:iCs/>
          <w:lang w:val="en-GB"/>
        </w:rPr>
        <w:t xml:space="preserve">Amaranthus </w:t>
      </w:r>
      <w:proofErr w:type="spellStart"/>
      <w:r w:rsidRPr="00202911">
        <w:rPr>
          <w:rFonts w:ascii="Arial" w:hAnsi="Arial" w:cs="Arial"/>
          <w:i/>
          <w:iCs/>
          <w:lang w:val="en-GB"/>
        </w:rPr>
        <w:t>tricolor</w:t>
      </w:r>
      <w:proofErr w:type="spellEnd"/>
      <w:r w:rsidRPr="00202911">
        <w:rPr>
          <w:rFonts w:ascii="Arial" w:hAnsi="Arial" w:cs="Arial"/>
          <w:i/>
          <w:iCs/>
          <w:lang w:val="en-GB"/>
        </w:rPr>
        <w:t xml:space="preserve"> </w:t>
      </w:r>
      <w:r w:rsidRPr="00202911">
        <w:rPr>
          <w:rFonts w:ascii="Arial" w:hAnsi="Arial" w:cs="Arial"/>
          <w:lang w:val="en-GB"/>
        </w:rPr>
        <w:t xml:space="preserve">L.). </w:t>
      </w:r>
      <w:r w:rsidRPr="00202911">
        <w:rPr>
          <w:rFonts w:ascii="Arial" w:hAnsi="Arial" w:cs="Arial"/>
          <w:i/>
          <w:iCs/>
          <w:lang w:val="en-GB"/>
        </w:rPr>
        <w:t xml:space="preserve">Int J Curr </w:t>
      </w:r>
      <w:proofErr w:type="spellStart"/>
      <w:r w:rsidRPr="00202911">
        <w:rPr>
          <w:rFonts w:ascii="Arial" w:hAnsi="Arial" w:cs="Arial"/>
          <w:i/>
          <w:iCs/>
          <w:lang w:val="en-GB"/>
        </w:rPr>
        <w:t>Microbiol</w:t>
      </w:r>
      <w:proofErr w:type="spellEnd"/>
      <w:r w:rsidRPr="00202911">
        <w:rPr>
          <w:rFonts w:ascii="Arial" w:hAnsi="Arial" w:cs="Arial"/>
          <w:i/>
          <w:iCs/>
          <w:lang w:val="en-GB"/>
        </w:rPr>
        <w:t xml:space="preserve"> Appl </w:t>
      </w:r>
      <w:r w:rsidR="00737E73" w:rsidRPr="00202911">
        <w:rPr>
          <w:rFonts w:ascii="Arial" w:hAnsi="Arial" w:cs="Arial"/>
          <w:i/>
          <w:iCs/>
          <w:lang w:val="en-GB"/>
        </w:rPr>
        <w:t>Sci.</w:t>
      </w:r>
      <w:r w:rsidRPr="00202911">
        <w:rPr>
          <w:rFonts w:ascii="Arial" w:hAnsi="Arial" w:cs="Arial"/>
          <w:lang w:val="en-GB"/>
        </w:rPr>
        <w:t xml:space="preserve"> </w:t>
      </w:r>
      <w:r w:rsidR="00737E73" w:rsidRPr="00202911">
        <w:rPr>
          <w:rFonts w:ascii="Arial" w:hAnsi="Arial" w:cs="Arial"/>
          <w:lang w:val="en-GB"/>
        </w:rPr>
        <w:t>2020; 9:2916</w:t>
      </w:r>
      <w:r w:rsidRPr="00202911">
        <w:rPr>
          <w:rFonts w:ascii="Arial" w:hAnsi="Arial" w:cs="Arial"/>
          <w:lang w:val="en-GB"/>
        </w:rPr>
        <w:t xml:space="preserve">-2922. </w:t>
      </w:r>
      <w:hyperlink r:id="rId56" w:tgtFrame="_blank" w:history="1">
        <w:r w:rsidRPr="00202911">
          <w:rPr>
            <w:rStyle w:val="Hyperlink"/>
            <w:rFonts w:ascii="Arial" w:hAnsi="Arial" w:cs="Arial"/>
            <w:lang w:val="en-GB"/>
          </w:rPr>
          <w:t xml:space="preserve">https://doi.org/10.20546/IJCMAS.2020.912.346 </w:t>
        </w:r>
      </w:hyperlink>
      <w:r w:rsidRPr="00202911">
        <w:rPr>
          <w:rFonts w:ascii="Arial" w:hAnsi="Arial" w:cs="Arial"/>
          <w:lang w:val="en-GB"/>
        </w:rPr>
        <w:t>.</w:t>
      </w:r>
    </w:p>
    <w:p w14:paraId="2879769B" w14:textId="77777777"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lastRenderedPageBreak/>
        <w:t>Shuqin</w:t>
      </w:r>
      <w:proofErr w:type="spellEnd"/>
      <w:r w:rsidRPr="00202911">
        <w:rPr>
          <w:rFonts w:ascii="Arial" w:hAnsi="Arial" w:cs="Arial"/>
          <w:lang w:val="en-GB"/>
        </w:rPr>
        <w:t xml:space="preserve"> L. Effect of humic acid on nitrate accumulation in leaf vegetables. </w:t>
      </w:r>
      <w:r w:rsidRPr="00202911">
        <w:rPr>
          <w:rFonts w:ascii="Arial" w:hAnsi="Arial" w:cs="Arial"/>
          <w:i/>
          <w:iCs/>
          <w:lang w:val="en-GB"/>
        </w:rPr>
        <w:t xml:space="preserve">J Northeast Agric </w:t>
      </w:r>
      <w:proofErr w:type="spellStart"/>
      <w:proofErr w:type="gramStart"/>
      <w:r w:rsidRPr="00202911">
        <w:rPr>
          <w:rFonts w:ascii="Arial" w:hAnsi="Arial" w:cs="Arial"/>
          <w:i/>
          <w:iCs/>
          <w:lang w:val="en-GB"/>
        </w:rPr>
        <w:t>Univ</w:t>
      </w:r>
      <w:proofErr w:type="spellEnd"/>
      <w:r w:rsidRPr="00202911">
        <w:rPr>
          <w:rFonts w:ascii="Arial" w:hAnsi="Arial" w:cs="Arial"/>
          <w:i/>
          <w:iCs/>
          <w:lang w:val="en-GB"/>
        </w:rPr>
        <w:t xml:space="preserve"> </w:t>
      </w:r>
      <w:r w:rsidRPr="00202911">
        <w:rPr>
          <w:rFonts w:ascii="Arial" w:hAnsi="Arial" w:cs="Arial"/>
          <w:lang w:val="en-GB"/>
        </w:rPr>
        <w:t>.</w:t>
      </w:r>
      <w:proofErr w:type="gramEnd"/>
      <w:r w:rsidRPr="00202911">
        <w:rPr>
          <w:rFonts w:ascii="Arial" w:hAnsi="Arial" w:cs="Arial"/>
          <w:lang w:val="en-GB"/>
        </w:rPr>
        <w:t xml:space="preserve"> 2008. </w:t>
      </w:r>
      <w:hyperlink r:id="rId57" w:tgtFrame="_blank" w:history="1">
        <w:r w:rsidRPr="00202911">
          <w:rPr>
            <w:rStyle w:val="Hyperlink"/>
            <w:rFonts w:ascii="Arial" w:hAnsi="Arial" w:cs="Arial"/>
            <w:lang w:val="en-GB"/>
          </w:rPr>
          <w:t xml:space="preserve">http://dx.doi.org/10.9734/IJPSS/2024/v36i64603 </w:t>
        </w:r>
      </w:hyperlink>
      <w:r w:rsidRPr="00202911">
        <w:rPr>
          <w:rFonts w:ascii="Arial" w:hAnsi="Arial" w:cs="Arial"/>
          <w:lang w:val="en-GB"/>
        </w:rPr>
        <w:t>.</w:t>
      </w:r>
    </w:p>
    <w:p w14:paraId="56C7EB41" w14:textId="11C33F7A"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Shyfa</w:t>
      </w:r>
      <w:proofErr w:type="spellEnd"/>
      <w:r w:rsidRPr="00202911">
        <w:rPr>
          <w:rFonts w:ascii="Arial" w:hAnsi="Arial" w:cs="Arial"/>
          <w:lang w:val="en-GB"/>
        </w:rPr>
        <w:t xml:space="preserve"> C, Dewi K. Growth, oxalate, and vitamin C content of red amaranth (</w:t>
      </w:r>
      <w:r w:rsidRPr="00202911">
        <w:rPr>
          <w:rFonts w:ascii="Arial" w:hAnsi="Arial" w:cs="Arial"/>
          <w:i/>
          <w:iCs/>
          <w:lang w:val="en-GB"/>
        </w:rPr>
        <w:t xml:space="preserve">Amaranthus </w:t>
      </w:r>
      <w:proofErr w:type="spellStart"/>
      <w:r w:rsidRPr="00202911">
        <w:rPr>
          <w:rFonts w:ascii="Arial" w:hAnsi="Arial" w:cs="Arial"/>
          <w:i/>
          <w:iCs/>
          <w:lang w:val="en-GB"/>
        </w:rPr>
        <w:t>tricolor</w:t>
      </w:r>
      <w:proofErr w:type="spellEnd"/>
      <w:r w:rsidRPr="00202911">
        <w:rPr>
          <w:rFonts w:ascii="Arial" w:hAnsi="Arial" w:cs="Arial"/>
          <w:i/>
          <w:iCs/>
          <w:lang w:val="en-GB"/>
        </w:rPr>
        <w:t xml:space="preserve"> </w:t>
      </w:r>
      <w:r w:rsidRPr="00202911">
        <w:rPr>
          <w:rFonts w:ascii="Arial" w:hAnsi="Arial" w:cs="Arial"/>
          <w:lang w:val="en-GB"/>
        </w:rPr>
        <w:t xml:space="preserve">L.) treated with salicylic acid. </w:t>
      </w:r>
      <w:proofErr w:type="spellStart"/>
      <w:r w:rsidRPr="00202911">
        <w:rPr>
          <w:rFonts w:ascii="Arial" w:hAnsi="Arial" w:cs="Arial"/>
          <w:i/>
          <w:iCs/>
          <w:lang w:val="en-GB"/>
        </w:rPr>
        <w:t>Indones</w:t>
      </w:r>
      <w:proofErr w:type="spellEnd"/>
      <w:r w:rsidRPr="00202911">
        <w:rPr>
          <w:rFonts w:ascii="Arial" w:hAnsi="Arial" w:cs="Arial"/>
          <w:i/>
          <w:iCs/>
          <w:lang w:val="en-GB"/>
        </w:rPr>
        <w:t xml:space="preserve"> J Agric </w:t>
      </w:r>
      <w:r w:rsidR="00737E73" w:rsidRPr="00202911">
        <w:rPr>
          <w:rFonts w:ascii="Arial" w:hAnsi="Arial" w:cs="Arial"/>
          <w:i/>
          <w:iCs/>
          <w:lang w:val="en-GB"/>
        </w:rPr>
        <w:t>Sci.</w:t>
      </w:r>
      <w:r w:rsidRPr="00202911">
        <w:rPr>
          <w:rFonts w:ascii="Arial" w:hAnsi="Arial" w:cs="Arial"/>
          <w:lang w:val="en-GB"/>
        </w:rPr>
        <w:t xml:space="preserve"> 2021. </w:t>
      </w:r>
      <w:hyperlink r:id="rId58" w:tgtFrame="_blank" w:history="1">
        <w:r w:rsidRPr="00202911">
          <w:rPr>
            <w:rStyle w:val="Hyperlink"/>
            <w:rFonts w:ascii="Arial" w:hAnsi="Arial" w:cs="Arial"/>
            <w:lang w:val="en-GB"/>
          </w:rPr>
          <w:t xml:space="preserve">https://doi.org/10.4308/hjb.28.1.23 </w:t>
        </w:r>
      </w:hyperlink>
      <w:r w:rsidRPr="00202911">
        <w:rPr>
          <w:rFonts w:ascii="Arial" w:hAnsi="Arial" w:cs="Arial"/>
          <w:lang w:val="en-GB"/>
        </w:rPr>
        <w:t>.</w:t>
      </w:r>
    </w:p>
    <w:p w14:paraId="4E98F960" w14:textId="198FD15C"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Singleton VL, Rossi JA. Colorimetry of total phenolics with phosphomolybdic-</w:t>
      </w:r>
      <w:proofErr w:type="spellStart"/>
      <w:r w:rsidRPr="00202911">
        <w:rPr>
          <w:rFonts w:ascii="Arial" w:hAnsi="Arial" w:cs="Arial"/>
          <w:lang w:val="en-GB"/>
        </w:rPr>
        <w:t>phosphotungstic</w:t>
      </w:r>
      <w:proofErr w:type="spellEnd"/>
      <w:r w:rsidRPr="00202911">
        <w:rPr>
          <w:rFonts w:ascii="Arial" w:hAnsi="Arial" w:cs="Arial"/>
          <w:lang w:val="en-GB"/>
        </w:rPr>
        <w:t xml:space="preserve"> acid reagents. </w:t>
      </w:r>
      <w:r w:rsidRPr="00202911">
        <w:rPr>
          <w:rFonts w:ascii="Arial" w:hAnsi="Arial" w:cs="Arial"/>
          <w:i/>
          <w:iCs/>
          <w:lang w:val="en-GB"/>
        </w:rPr>
        <w:t xml:space="preserve">Am J Enol </w:t>
      </w:r>
      <w:proofErr w:type="spellStart"/>
      <w:r w:rsidR="00737E73" w:rsidRPr="00202911">
        <w:rPr>
          <w:rFonts w:ascii="Arial" w:hAnsi="Arial" w:cs="Arial"/>
          <w:i/>
          <w:iCs/>
          <w:lang w:val="en-GB"/>
        </w:rPr>
        <w:t>Vitic</w:t>
      </w:r>
      <w:proofErr w:type="spellEnd"/>
      <w:r w:rsidR="00737E73" w:rsidRPr="00202911">
        <w:rPr>
          <w:rFonts w:ascii="Arial" w:hAnsi="Arial" w:cs="Arial"/>
          <w:i/>
          <w:iCs/>
          <w:lang w:val="en-GB"/>
        </w:rPr>
        <w:t>.</w:t>
      </w:r>
      <w:r w:rsidRPr="00202911">
        <w:rPr>
          <w:rFonts w:ascii="Arial" w:hAnsi="Arial" w:cs="Arial"/>
          <w:lang w:val="en-GB"/>
        </w:rPr>
        <w:t xml:space="preserve"> 1965;16(3):144-158. </w:t>
      </w:r>
      <w:hyperlink r:id="rId59" w:tgtFrame="_blank" w:history="1">
        <w:r w:rsidRPr="00202911">
          <w:rPr>
            <w:rStyle w:val="Hyperlink"/>
            <w:rFonts w:ascii="Arial" w:hAnsi="Arial" w:cs="Arial"/>
            <w:lang w:val="en-GB"/>
          </w:rPr>
          <w:t xml:space="preserve">https://doi.org/10.5344/ajev.1965.16.3.144 </w:t>
        </w:r>
      </w:hyperlink>
      <w:r w:rsidRPr="00202911">
        <w:rPr>
          <w:rFonts w:ascii="Arial" w:hAnsi="Arial" w:cs="Arial"/>
          <w:lang w:val="en-GB"/>
        </w:rPr>
        <w:t>.</w:t>
      </w:r>
    </w:p>
    <w:p w14:paraId="5DA3ACC4" w14:textId="464B6F1D"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Soliman W, Zakria Y, Abdel-Rahman S, </w:t>
      </w:r>
      <w:proofErr w:type="spellStart"/>
      <w:r w:rsidRPr="00202911">
        <w:rPr>
          <w:rFonts w:ascii="Arial" w:hAnsi="Arial" w:cs="Arial"/>
          <w:lang w:val="en-GB"/>
        </w:rPr>
        <w:t>Salaheldin</w:t>
      </w:r>
      <w:proofErr w:type="spellEnd"/>
      <w:r w:rsidRPr="00202911">
        <w:rPr>
          <w:rFonts w:ascii="Arial" w:hAnsi="Arial" w:cs="Arial"/>
          <w:lang w:val="en-GB"/>
        </w:rPr>
        <w:t xml:space="preserve"> S. Effect of salicylic acid, </w:t>
      </w:r>
      <w:r w:rsidRPr="00202911">
        <w:rPr>
          <w:rFonts w:ascii="Arial" w:hAnsi="Arial" w:cs="Arial"/>
          <w:i/>
          <w:iCs/>
          <w:lang w:val="en-GB"/>
        </w:rPr>
        <w:t xml:space="preserve">Moringa </w:t>
      </w:r>
      <w:r w:rsidRPr="00202911">
        <w:rPr>
          <w:rFonts w:ascii="Arial" w:hAnsi="Arial" w:cs="Arial"/>
          <w:lang w:val="en-GB"/>
        </w:rPr>
        <w:t>leaves extract, and seaweed extract on growth, yield, and quality of roselle (</w:t>
      </w:r>
      <w:r w:rsidRPr="00202911">
        <w:rPr>
          <w:rFonts w:ascii="Arial" w:hAnsi="Arial" w:cs="Arial"/>
          <w:i/>
          <w:iCs/>
          <w:lang w:val="en-GB"/>
        </w:rPr>
        <w:t xml:space="preserve">Hibiscus sabdariffa </w:t>
      </w:r>
      <w:r w:rsidRPr="00202911">
        <w:rPr>
          <w:rFonts w:ascii="Arial" w:hAnsi="Arial" w:cs="Arial"/>
          <w:lang w:val="en-GB"/>
        </w:rPr>
        <w:t xml:space="preserve">L.) under Aswan conditions. </w:t>
      </w:r>
      <w:r w:rsidRPr="00202911">
        <w:rPr>
          <w:rFonts w:ascii="Arial" w:hAnsi="Arial" w:cs="Arial"/>
          <w:i/>
          <w:iCs/>
          <w:lang w:val="en-GB"/>
        </w:rPr>
        <w:t xml:space="preserve">Sustainable Agriculture Research </w:t>
      </w:r>
      <w:r w:rsidR="00737E73" w:rsidRPr="00202911">
        <w:rPr>
          <w:rFonts w:ascii="Arial" w:hAnsi="Arial" w:cs="Arial"/>
          <w:i/>
          <w:iCs/>
          <w:lang w:val="en-GB"/>
        </w:rPr>
        <w:t>Journal.</w:t>
      </w:r>
      <w:r w:rsidRPr="00202911">
        <w:rPr>
          <w:rFonts w:ascii="Arial" w:hAnsi="Arial" w:cs="Arial"/>
          <w:lang w:val="en-GB"/>
        </w:rPr>
        <w:t xml:space="preserve"> 2020. </w:t>
      </w:r>
      <w:hyperlink r:id="rId60" w:tgtFrame="_blank" w:history="1">
        <w:r w:rsidRPr="00202911">
          <w:rPr>
            <w:rStyle w:val="Hyperlink"/>
            <w:rFonts w:ascii="Arial" w:hAnsi="Arial" w:cs="Arial"/>
            <w:lang w:val="en-GB"/>
          </w:rPr>
          <w:t xml:space="preserve">https://doi.org/10.21608/svuijas.2020.52563.1061 </w:t>
        </w:r>
      </w:hyperlink>
      <w:r w:rsidRPr="00202911">
        <w:rPr>
          <w:rFonts w:ascii="Arial" w:hAnsi="Arial" w:cs="Arial"/>
          <w:lang w:val="en-GB"/>
        </w:rPr>
        <w:t>.</w:t>
      </w:r>
    </w:p>
    <w:p w14:paraId="6B27D3AF" w14:textId="77777777"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Srivastava MP, Tandon RN. Influence of temperature on </w:t>
      </w:r>
      <w:proofErr w:type="spellStart"/>
      <w:r w:rsidRPr="00202911">
        <w:rPr>
          <w:rFonts w:ascii="Arial" w:hAnsi="Arial" w:cs="Arial"/>
          <w:i/>
          <w:iCs/>
          <w:lang w:val="en-GB"/>
        </w:rPr>
        <w:t>Botryodiplodia</w:t>
      </w:r>
      <w:proofErr w:type="spellEnd"/>
      <w:r w:rsidRPr="00202911">
        <w:rPr>
          <w:rFonts w:ascii="Arial" w:hAnsi="Arial" w:cs="Arial"/>
          <w:i/>
          <w:iCs/>
          <w:lang w:val="en-GB"/>
        </w:rPr>
        <w:t xml:space="preserve"> </w:t>
      </w:r>
      <w:r w:rsidRPr="00202911">
        <w:rPr>
          <w:rFonts w:ascii="Arial" w:hAnsi="Arial" w:cs="Arial"/>
          <w:lang w:val="en-GB"/>
        </w:rPr>
        <w:t xml:space="preserve">rot of Citrus and Sapodilla. </w:t>
      </w:r>
      <w:r w:rsidRPr="00202911">
        <w:rPr>
          <w:rFonts w:ascii="Arial" w:hAnsi="Arial" w:cs="Arial"/>
          <w:i/>
          <w:iCs/>
          <w:lang w:val="en-GB"/>
        </w:rPr>
        <w:t xml:space="preserve">Indian </w:t>
      </w:r>
      <w:proofErr w:type="spellStart"/>
      <w:proofErr w:type="gramStart"/>
      <w:r w:rsidRPr="00202911">
        <w:rPr>
          <w:rFonts w:ascii="Arial" w:hAnsi="Arial" w:cs="Arial"/>
          <w:i/>
          <w:iCs/>
          <w:lang w:val="en-GB"/>
        </w:rPr>
        <w:t>Phytopath</w:t>
      </w:r>
      <w:proofErr w:type="spellEnd"/>
      <w:r w:rsidRPr="00202911">
        <w:rPr>
          <w:rFonts w:ascii="Arial" w:hAnsi="Arial" w:cs="Arial"/>
          <w:i/>
          <w:iCs/>
          <w:lang w:val="en-GB"/>
        </w:rPr>
        <w:t xml:space="preserve"> </w:t>
      </w:r>
      <w:r w:rsidRPr="00202911">
        <w:rPr>
          <w:rFonts w:ascii="Arial" w:hAnsi="Arial" w:cs="Arial"/>
          <w:lang w:val="en-GB"/>
        </w:rPr>
        <w:t>.</w:t>
      </w:r>
      <w:proofErr w:type="gramEnd"/>
      <w:r w:rsidRPr="00202911">
        <w:rPr>
          <w:rFonts w:ascii="Arial" w:hAnsi="Arial" w:cs="Arial"/>
          <w:lang w:val="en-GB"/>
        </w:rPr>
        <w:t xml:space="preserve"> 1968;21(2):195–197. </w:t>
      </w:r>
    </w:p>
    <w:p w14:paraId="71F0E3C5" w14:textId="7BF10980"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Toscano S, Ferrante A, Branca F, Romano D. Enhancing the quality of two species of baby leaves sprayed with </w:t>
      </w:r>
      <w:r w:rsidRPr="00202911">
        <w:rPr>
          <w:rFonts w:ascii="Arial" w:hAnsi="Arial" w:cs="Arial"/>
          <w:i/>
          <w:iCs/>
          <w:lang w:val="en-GB"/>
        </w:rPr>
        <w:t xml:space="preserve">Moringa </w:t>
      </w:r>
      <w:r w:rsidRPr="00202911">
        <w:rPr>
          <w:rFonts w:ascii="Arial" w:hAnsi="Arial" w:cs="Arial"/>
          <w:lang w:val="en-GB"/>
        </w:rPr>
        <w:t xml:space="preserve">leaf extract as a </w:t>
      </w:r>
      <w:proofErr w:type="spellStart"/>
      <w:r w:rsidRPr="00202911">
        <w:rPr>
          <w:rFonts w:ascii="Arial" w:hAnsi="Arial" w:cs="Arial"/>
          <w:lang w:val="en-GB"/>
        </w:rPr>
        <w:t>biostimulant</w:t>
      </w:r>
      <w:proofErr w:type="spellEnd"/>
      <w:r w:rsidRPr="00202911">
        <w:rPr>
          <w:rFonts w:ascii="Arial" w:hAnsi="Arial" w:cs="Arial"/>
          <w:lang w:val="en-GB"/>
        </w:rPr>
        <w:t xml:space="preserve">. </w:t>
      </w:r>
      <w:r w:rsidR="00737E73" w:rsidRPr="00202911">
        <w:rPr>
          <w:rFonts w:ascii="Arial" w:hAnsi="Arial" w:cs="Arial"/>
          <w:i/>
          <w:iCs/>
          <w:lang w:val="en-GB"/>
        </w:rPr>
        <w:t>Agronomy.</w:t>
      </w:r>
      <w:r w:rsidRPr="00202911">
        <w:rPr>
          <w:rFonts w:ascii="Arial" w:hAnsi="Arial" w:cs="Arial"/>
          <w:lang w:val="en-GB"/>
        </w:rPr>
        <w:t xml:space="preserve"> 2021;11(7):1399. </w:t>
      </w:r>
      <w:hyperlink r:id="rId61" w:tgtFrame="_blank" w:history="1">
        <w:r w:rsidRPr="00202911">
          <w:rPr>
            <w:rStyle w:val="Hyperlink"/>
            <w:rFonts w:ascii="Arial" w:hAnsi="Arial" w:cs="Arial"/>
            <w:lang w:val="en-GB"/>
          </w:rPr>
          <w:t xml:space="preserve">https://doi.org/10.3390/agronomy11071399 </w:t>
        </w:r>
      </w:hyperlink>
      <w:r w:rsidRPr="00202911">
        <w:rPr>
          <w:rFonts w:ascii="Arial" w:hAnsi="Arial" w:cs="Arial"/>
          <w:lang w:val="en-GB"/>
        </w:rPr>
        <w:t xml:space="preserve">. </w:t>
      </w:r>
    </w:p>
    <w:p w14:paraId="415EFEDE" w14:textId="4ACCB5FB"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Ugur A, Demirtas B, Caglar S, Zambi O, Turkmen M. Effect of humic acid application on yield and quality in green vegetables. </w:t>
      </w:r>
      <w:r w:rsidRPr="00202911">
        <w:rPr>
          <w:rFonts w:ascii="Arial" w:hAnsi="Arial" w:cs="Arial"/>
          <w:i/>
          <w:iCs/>
          <w:lang w:val="en-GB"/>
        </w:rPr>
        <w:t xml:space="preserve">Proceedings of the 24th International Scientific-Expert-Conference of Agriculture and Food </w:t>
      </w:r>
      <w:r w:rsidR="00737E73" w:rsidRPr="00202911">
        <w:rPr>
          <w:rFonts w:ascii="Arial" w:hAnsi="Arial" w:cs="Arial"/>
          <w:i/>
          <w:iCs/>
          <w:lang w:val="en-GB"/>
        </w:rPr>
        <w:t>Industry;</w:t>
      </w:r>
      <w:r w:rsidRPr="00202911">
        <w:rPr>
          <w:rFonts w:ascii="Arial" w:hAnsi="Arial" w:cs="Arial"/>
          <w:lang w:val="en-GB"/>
        </w:rPr>
        <w:t xml:space="preserve"> 25-28 September 2013; Sarajevo, Bosnia and Herzegovina. p. 381-385.</w:t>
      </w:r>
    </w:p>
    <w:p w14:paraId="74645FB0" w14:textId="7B73C095"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Van </w:t>
      </w:r>
      <w:proofErr w:type="spellStart"/>
      <w:r w:rsidRPr="00202911">
        <w:rPr>
          <w:rFonts w:ascii="Arial" w:hAnsi="Arial" w:cs="Arial"/>
          <w:lang w:val="en-GB"/>
        </w:rPr>
        <w:t>Oosten</w:t>
      </w:r>
      <w:proofErr w:type="spellEnd"/>
      <w:r w:rsidRPr="00202911">
        <w:rPr>
          <w:rFonts w:ascii="Arial" w:hAnsi="Arial" w:cs="Arial"/>
          <w:lang w:val="en-GB"/>
        </w:rPr>
        <w:t xml:space="preserve"> MJ, Pepe O, De Pascale S, Silletti S, Maggio A. The role of </w:t>
      </w:r>
      <w:proofErr w:type="spellStart"/>
      <w:r w:rsidRPr="00202911">
        <w:rPr>
          <w:rFonts w:ascii="Arial" w:hAnsi="Arial" w:cs="Arial"/>
          <w:lang w:val="en-GB"/>
        </w:rPr>
        <w:t>biostimulants</w:t>
      </w:r>
      <w:proofErr w:type="spellEnd"/>
      <w:r w:rsidRPr="00202911">
        <w:rPr>
          <w:rFonts w:ascii="Arial" w:hAnsi="Arial" w:cs="Arial"/>
          <w:lang w:val="en-GB"/>
        </w:rPr>
        <w:t xml:space="preserve"> and </w:t>
      </w:r>
      <w:proofErr w:type="spellStart"/>
      <w:r w:rsidRPr="00202911">
        <w:rPr>
          <w:rFonts w:ascii="Arial" w:hAnsi="Arial" w:cs="Arial"/>
          <w:lang w:val="en-GB"/>
        </w:rPr>
        <w:t>bioeffectors</w:t>
      </w:r>
      <w:proofErr w:type="spellEnd"/>
      <w:r w:rsidRPr="00202911">
        <w:rPr>
          <w:rFonts w:ascii="Arial" w:hAnsi="Arial" w:cs="Arial"/>
          <w:lang w:val="en-GB"/>
        </w:rPr>
        <w:t xml:space="preserve"> as alleviators of abiotic stress in crop plants. </w:t>
      </w:r>
      <w:r w:rsidRPr="00202911">
        <w:rPr>
          <w:rFonts w:ascii="Arial" w:hAnsi="Arial" w:cs="Arial"/>
          <w:i/>
          <w:iCs/>
          <w:lang w:val="en-GB"/>
        </w:rPr>
        <w:t xml:space="preserve">Chem </w:t>
      </w:r>
      <w:proofErr w:type="spellStart"/>
      <w:r w:rsidRPr="00202911">
        <w:rPr>
          <w:rFonts w:ascii="Arial" w:hAnsi="Arial" w:cs="Arial"/>
          <w:i/>
          <w:iCs/>
          <w:lang w:val="en-GB"/>
        </w:rPr>
        <w:t>Biol</w:t>
      </w:r>
      <w:proofErr w:type="spellEnd"/>
      <w:r w:rsidRPr="00202911">
        <w:rPr>
          <w:rFonts w:ascii="Arial" w:hAnsi="Arial" w:cs="Arial"/>
          <w:i/>
          <w:iCs/>
          <w:lang w:val="en-GB"/>
        </w:rPr>
        <w:t xml:space="preserve"> </w:t>
      </w:r>
      <w:proofErr w:type="spellStart"/>
      <w:r w:rsidRPr="00202911">
        <w:rPr>
          <w:rFonts w:ascii="Arial" w:hAnsi="Arial" w:cs="Arial"/>
          <w:i/>
          <w:iCs/>
          <w:lang w:val="en-GB"/>
        </w:rPr>
        <w:t>Technol</w:t>
      </w:r>
      <w:proofErr w:type="spellEnd"/>
      <w:r w:rsidRPr="00202911">
        <w:rPr>
          <w:rFonts w:ascii="Arial" w:hAnsi="Arial" w:cs="Arial"/>
          <w:i/>
          <w:iCs/>
          <w:lang w:val="en-GB"/>
        </w:rPr>
        <w:t xml:space="preserve"> </w:t>
      </w:r>
      <w:r w:rsidR="00737E73" w:rsidRPr="00202911">
        <w:rPr>
          <w:rFonts w:ascii="Arial" w:hAnsi="Arial" w:cs="Arial"/>
          <w:i/>
          <w:iCs/>
          <w:lang w:val="en-GB"/>
        </w:rPr>
        <w:t>Agric.</w:t>
      </w:r>
      <w:r w:rsidRPr="00202911">
        <w:rPr>
          <w:rFonts w:ascii="Arial" w:hAnsi="Arial" w:cs="Arial"/>
          <w:lang w:val="en-GB"/>
        </w:rPr>
        <w:t xml:space="preserve"> 2017;4(1):1-12. </w:t>
      </w:r>
      <w:hyperlink r:id="rId62" w:tgtFrame="_blank" w:history="1">
        <w:r w:rsidRPr="00202911">
          <w:rPr>
            <w:rStyle w:val="Hyperlink"/>
            <w:rFonts w:ascii="Arial" w:hAnsi="Arial" w:cs="Arial"/>
            <w:lang w:val="en-GB"/>
          </w:rPr>
          <w:t xml:space="preserve">https://doi.org/10.1186/s40538-017-0089-5 </w:t>
        </w:r>
      </w:hyperlink>
      <w:r w:rsidRPr="00202911">
        <w:rPr>
          <w:rFonts w:ascii="Arial" w:hAnsi="Arial" w:cs="Arial"/>
          <w:lang w:val="en-GB"/>
        </w:rPr>
        <w:t>.</w:t>
      </w:r>
    </w:p>
    <w:p w14:paraId="49B7E95C" w14:textId="3D14FC32"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Wellburn AR. The spectral determination of chlorophylls </w:t>
      </w:r>
      <w:r w:rsidRPr="00202911">
        <w:rPr>
          <w:rFonts w:ascii="Arial" w:hAnsi="Arial" w:cs="Arial"/>
          <w:i/>
          <w:iCs/>
          <w:lang w:val="en-GB"/>
        </w:rPr>
        <w:t xml:space="preserve">a </w:t>
      </w:r>
      <w:r w:rsidRPr="00202911">
        <w:rPr>
          <w:rFonts w:ascii="Arial" w:hAnsi="Arial" w:cs="Arial"/>
          <w:lang w:val="en-GB"/>
        </w:rPr>
        <w:t xml:space="preserve">and </w:t>
      </w:r>
      <w:r w:rsidR="00333944" w:rsidRPr="00202911">
        <w:rPr>
          <w:rFonts w:ascii="Arial" w:hAnsi="Arial" w:cs="Arial"/>
          <w:i/>
          <w:iCs/>
          <w:lang w:val="en-GB"/>
        </w:rPr>
        <w:t>b,</w:t>
      </w:r>
      <w:r w:rsidRPr="00202911">
        <w:rPr>
          <w:rFonts w:ascii="Arial" w:hAnsi="Arial" w:cs="Arial"/>
          <w:lang w:val="en-GB"/>
        </w:rPr>
        <w:t xml:space="preserve"> as well as total carotenoids, using various solvents with spectrophotometers of different resolution. </w:t>
      </w:r>
      <w:r w:rsidRPr="00202911">
        <w:rPr>
          <w:rFonts w:ascii="Arial" w:hAnsi="Arial" w:cs="Arial"/>
          <w:i/>
          <w:iCs/>
          <w:lang w:val="en-GB"/>
        </w:rPr>
        <w:t xml:space="preserve">J Plant </w:t>
      </w:r>
      <w:proofErr w:type="spellStart"/>
      <w:proofErr w:type="gramStart"/>
      <w:r w:rsidRPr="00202911">
        <w:rPr>
          <w:rFonts w:ascii="Arial" w:hAnsi="Arial" w:cs="Arial"/>
          <w:i/>
          <w:iCs/>
          <w:lang w:val="en-GB"/>
        </w:rPr>
        <w:t>Physiol</w:t>
      </w:r>
      <w:proofErr w:type="spellEnd"/>
      <w:r w:rsidRPr="00202911">
        <w:rPr>
          <w:rFonts w:ascii="Arial" w:hAnsi="Arial" w:cs="Arial"/>
          <w:i/>
          <w:iCs/>
          <w:lang w:val="en-GB"/>
        </w:rPr>
        <w:t xml:space="preserve"> </w:t>
      </w:r>
      <w:r w:rsidRPr="00202911">
        <w:rPr>
          <w:rFonts w:ascii="Arial" w:hAnsi="Arial" w:cs="Arial"/>
          <w:lang w:val="en-GB"/>
        </w:rPr>
        <w:t>.</w:t>
      </w:r>
      <w:proofErr w:type="gramEnd"/>
      <w:r w:rsidRPr="00202911">
        <w:rPr>
          <w:rFonts w:ascii="Arial" w:hAnsi="Arial" w:cs="Arial"/>
          <w:lang w:val="en-GB"/>
        </w:rPr>
        <w:t xml:space="preserve"> 1994;144(3):307-313. </w:t>
      </w:r>
      <w:hyperlink r:id="rId63" w:tgtFrame="_blank" w:history="1">
        <w:r w:rsidRPr="00202911">
          <w:rPr>
            <w:rStyle w:val="Hyperlink"/>
            <w:rFonts w:ascii="Arial" w:hAnsi="Arial" w:cs="Arial"/>
            <w:lang w:val="en-GB"/>
          </w:rPr>
          <w:t xml:space="preserve">https://doi.org/10.1016/S0176-1617(11)81192-2 </w:t>
        </w:r>
      </w:hyperlink>
      <w:r w:rsidRPr="00202911">
        <w:rPr>
          <w:rFonts w:ascii="Arial" w:hAnsi="Arial" w:cs="Arial"/>
          <w:lang w:val="en-GB"/>
        </w:rPr>
        <w:t xml:space="preserve">. </w:t>
      </w:r>
    </w:p>
    <w:p w14:paraId="2F80432B" w14:textId="3C8A9303"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Whapham CA, Blunden G, Jenkins T, Hankins SD. Significance of betaines in the increased chlorophyll content of plants treated with seaweed extract. </w:t>
      </w:r>
      <w:r w:rsidRPr="00202911">
        <w:rPr>
          <w:rFonts w:ascii="Arial" w:hAnsi="Arial" w:cs="Arial"/>
          <w:i/>
          <w:iCs/>
          <w:lang w:val="en-GB"/>
        </w:rPr>
        <w:t xml:space="preserve">J Appl </w:t>
      </w:r>
      <w:proofErr w:type="spellStart"/>
      <w:proofErr w:type="gramStart"/>
      <w:r w:rsidRPr="00202911">
        <w:rPr>
          <w:rFonts w:ascii="Arial" w:hAnsi="Arial" w:cs="Arial"/>
          <w:i/>
          <w:iCs/>
          <w:lang w:val="en-GB"/>
        </w:rPr>
        <w:t>Phycol</w:t>
      </w:r>
      <w:proofErr w:type="spellEnd"/>
      <w:r w:rsidRPr="00202911">
        <w:rPr>
          <w:rFonts w:ascii="Arial" w:hAnsi="Arial" w:cs="Arial"/>
          <w:i/>
          <w:iCs/>
          <w:lang w:val="en-GB"/>
        </w:rPr>
        <w:t xml:space="preserve"> </w:t>
      </w:r>
      <w:r w:rsidRPr="00202911">
        <w:rPr>
          <w:rFonts w:ascii="Arial" w:hAnsi="Arial" w:cs="Arial"/>
          <w:lang w:val="en-GB"/>
        </w:rPr>
        <w:t>.</w:t>
      </w:r>
      <w:proofErr w:type="gramEnd"/>
      <w:r w:rsidRPr="00202911">
        <w:rPr>
          <w:rFonts w:ascii="Arial" w:hAnsi="Arial" w:cs="Arial"/>
          <w:lang w:val="en-GB"/>
        </w:rPr>
        <w:t xml:space="preserve"> </w:t>
      </w:r>
      <w:r w:rsidR="00737E73" w:rsidRPr="00202911">
        <w:rPr>
          <w:rFonts w:ascii="Arial" w:hAnsi="Arial" w:cs="Arial"/>
          <w:lang w:val="en-GB"/>
        </w:rPr>
        <w:t>1993; 5:231</w:t>
      </w:r>
      <w:r w:rsidRPr="00202911">
        <w:rPr>
          <w:rFonts w:ascii="Arial" w:hAnsi="Arial" w:cs="Arial"/>
          <w:lang w:val="en-GB"/>
        </w:rPr>
        <w:t xml:space="preserve">-234. </w:t>
      </w:r>
      <w:hyperlink r:id="rId64" w:tgtFrame="_blank" w:history="1">
        <w:r w:rsidRPr="00202911">
          <w:rPr>
            <w:rStyle w:val="Hyperlink"/>
            <w:rFonts w:ascii="Arial" w:hAnsi="Arial" w:cs="Arial"/>
            <w:lang w:val="en-GB"/>
          </w:rPr>
          <w:t xml:space="preserve">https://doi.org/10.1007/BF00004023 </w:t>
        </w:r>
      </w:hyperlink>
      <w:r w:rsidRPr="00202911">
        <w:rPr>
          <w:rFonts w:ascii="Arial" w:hAnsi="Arial" w:cs="Arial"/>
          <w:lang w:val="en-GB"/>
        </w:rPr>
        <w:t xml:space="preserve">. </w:t>
      </w:r>
    </w:p>
    <w:p w14:paraId="669D8CCE" w14:textId="7BBCBD85" w:rsidR="00202911" w:rsidRPr="00202911" w:rsidRDefault="00202911" w:rsidP="00737E73">
      <w:pPr>
        <w:pStyle w:val="Body"/>
        <w:spacing w:after="0"/>
        <w:ind w:left="720" w:hanging="360"/>
        <w:rPr>
          <w:rFonts w:ascii="Arial" w:hAnsi="Arial" w:cs="Arial"/>
          <w:lang w:val="en-GB"/>
        </w:rPr>
      </w:pPr>
      <w:proofErr w:type="spellStart"/>
      <w:r w:rsidRPr="00202911">
        <w:rPr>
          <w:rFonts w:ascii="Arial" w:hAnsi="Arial" w:cs="Arial"/>
          <w:lang w:val="en-GB"/>
        </w:rPr>
        <w:t>Yuniati</w:t>
      </w:r>
      <w:proofErr w:type="spellEnd"/>
      <w:r w:rsidRPr="00202911">
        <w:rPr>
          <w:rFonts w:ascii="Arial" w:hAnsi="Arial" w:cs="Arial"/>
          <w:lang w:val="en-GB"/>
        </w:rPr>
        <w:t xml:space="preserve"> N, </w:t>
      </w:r>
      <w:proofErr w:type="spellStart"/>
      <w:r w:rsidRPr="00202911">
        <w:rPr>
          <w:rFonts w:ascii="Arial" w:hAnsi="Arial" w:cs="Arial"/>
          <w:lang w:val="en-GB"/>
        </w:rPr>
        <w:t>Kusumiyati</w:t>
      </w:r>
      <w:proofErr w:type="spellEnd"/>
      <w:r w:rsidRPr="00202911">
        <w:rPr>
          <w:rFonts w:ascii="Arial" w:hAnsi="Arial" w:cs="Arial"/>
          <w:lang w:val="en-GB"/>
        </w:rPr>
        <w:t xml:space="preserve"> K, </w:t>
      </w:r>
      <w:proofErr w:type="spellStart"/>
      <w:r w:rsidRPr="00202911">
        <w:rPr>
          <w:rFonts w:ascii="Arial" w:hAnsi="Arial" w:cs="Arial"/>
          <w:lang w:val="en-GB"/>
        </w:rPr>
        <w:t>Mubarok</w:t>
      </w:r>
      <w:proofErr w:type="spellEnd"/>
      <w:r w:rsidRPr="00202911">
        <w:rPr>
          <w:rFonts w:ascii="Arial" w:hAnsi="Arial" w:cs="Arial"/>
          <w:lang w:val="en-GB"/>
        </w:rPr>
        <w:t xml:space="preserve"> S, </w:t>
      </w:r>
      <w:proofErr w:type="spellStart"/>
      <w:r w:rsidRPr="00202911">
        <w:rPr>
          <w:rFonts w:ascii="Arial" w:hAnsi="Arial" w:cs="Arial"/>
          <w:lang w:val="en-GB"/>
        </w:rPr>
        <w:t>Nurhadi</w:t>
      </w:r>
      <w:proofErr w:type="spellEnd"/>
      <w:r w:rsidRPr="00202911">
        <w:rPr>
          <w:rFonts w:ascii="Arial" w:hAnsi="Arial" w:cs="Arial"/>
          <w:lang w:val="en-GB"/>
        </w:rPr>
        <w:t xml:space="preserve"> B. Assessment of </w:t>
      </w:r>
      <w:proofErr w:type="spellStart"/>
      <w:r w:rsidRPr="00202911">
        <w:rPr>
          <w:rFonts w:ascii="Arial" w:hAnsi="Arial" w:cs="Arial"/>
          <w:lang w:val="en-GB"/>
        </w:rPr>
        <w:t>biostimulant</w:t>
      </w:r>
      <w:proofErr w:type="spellEnd"/>
      <w:r w:rsidRPr="00202911">
        <w:rPr>
          <w:rFonts w:ascii="Arial" w:hAnsi="Arial" w:cs="Arial"/>
          <w:lang w:val="en-GB"/>
        </w:rPr>
        <w:t xml:space="preserve"> derived from </w:t>
      </w:r>
      <w:r w:rsidRPr="00202911">
        <w:rPr>
          <w:rFonts w:ascii="Arial" w:hAnsi="Arial" w:cs="Arial"/>
          <w:i/>
          <w:iCs/>
          <w:lang w:val="en-GB"/>
        </w:rPr>
        <w:t xml:space="preserve">Moringa </w:t>
      </w:r>
      <w:r w:rsidRPr="00202911">
        <w:rPr>
          <w:rFonts w:ascii="Arial" w:hAnsi="Arial" w:cs="Arial"/>
          <w:lang w:val="en-GB"/>
        </w:rPr>
        <w:t xml:space="preserve">leaf extract on growth, physiology, yield, and quality of green chili pepper. </w:t>
      </w:r>
      <w:r w:rsidR="00737E73" w:rsidRPr="00202911">
        <w:rPr>
          <w:rFonts w:ascii="Arial" w:hAnsi="Arial" w:cs="Arial"/>
          <w:i/>
          <w:iCs/>
          <w:lang w:val="en-GB"/>
        </w:rPr>
        <w:t>Sustainability.</w:t>
      </w:r>
      <w:r w:rsidRPr="00202911">
        <w:rPr>
          <w:rFonts w:ascii="Arial" w:hAnsi="Arial" w:cs="Arial"/>
          <w:lang w:val="en-GB"/>
        </w:rPr>
        <w:t xml:space="preserve"> 2023;15(9):7113. </w:t>
      </w:r>
      <w:hyperlink r:id="rId65" w:tgtFrame="_blank" w:history="1">
        <w:r w:rsidRPr="00202911">
          <w:rPr>
            <w:rStyle w:val="Hyperlink"/>
            <w:rFonts w:ascii="Arial" w:hAnsi="Arial" w:cs="Arial"/>
            <w:lang w:val="en-GB"/>
          </w:rPr>
          <w:t xml:space="preserve">https://doi.org/10.3390/su15097113 </w:t>
        </w:r>
      </w:hyperlink>
      <w:r w:rsidRPr="00202911">
        <w:rPr>
          <w:rFonts w:ascii="Arial" w:hAnsi="Arial" w:cs="Arial"/>
          <w:lang w:val="en-GB"/>
        </w:rPr>
        <w:t xml:space="preserve">. </w:t>
      </w:r>
    </w:p>
    <w:p w14:paraId="452F9FEA" w14:textId="2C6A0C5D" w:rsidR="00202911" w:rsidRPr="00202911" w:rsidRDefault="00202911" w:rsidP="00737E73">
      <w:pPr>
        <w:pStyle w:val="Body"/>
        <w:spacing w:after="0"/>
        <w:ind w:left="720" w:hanging="360"/>
        <w:rPr>
          <w:rFonts w:ascii="Arial" w:hAnsi="Arial" w:cs="Arial"/>
          <w:lang w:val="en-GB"/>
        </w:rPr>
      </w:pPr>
      <w:r w:rsidRPr="00202911">
        <w:rPr>
          <w:rFonts w:ascii="Arial" w:hAnsi="Arial" w:cs="Arial"/>
          <w:lang w:val="en-GB"/>
        </w:rPr>
        <w:t xml:space="preserve">Zandonadi DB, Canellas LP, </w:t>
      </w:r>
      <w:proofErr w:type="spellStart"/>
      <w:r w:rsidRPr="00202911">
        <w:rPr>
          <w:rFonts w:ascii="Arial" w:hAnsi="Arial" w:cs="Arial"/>
          <w:lang w:val="en-GB"/>
        </w:rPr>
        <w:t>Façanha</w:t>
      </w:r>
      <w:proofErr w:type="spellEnd"/>
      <w:r w:rsidRPr="00202911">
        <w:rPr>
          <w:rFonts w:ascii="Arial" w:hAnsi="Arial" w:cs="Arial"/>
          <w:lang w:val="en-GB"/>
        </w:rPr>
        <w:t xml:space="preserve"> AR. </w:t>
      </w:r>
      <w:proofErr w:type="spellStart"/>
      <w:r w:rsidRPr="00202911">
        <w:rPr>
          <w:rFonts w:ascii="Arial" w:hAnsi="Arial" w:cs="Arial"/>
          <w:lang w:val="en-GB"/>
        </w:rPr>
        <w:t>Indolacetic</w:t>
      </w:r>
      <w:proofErr w:type="spellEnd"/>
      <w:r w:rsidRPr="00202911">
        <w:rPr>
          <w:rFonts w:ascii="Arial" w:hAnsi="Arial" w:cs="Arial"/>
          <w:lang w:val="en-GB"/>
        </w:rPr>
        <w:t xml:space="preserve"> and humic acids induce lateral root development through a concerted plasmalemma and tonoplast H</w:t>
      </w:r>
      <w:r w:rsidRPr="00202911">
        <w:rPr>
          <w:rFonts w:ascii="Cambria Math" w:hAnsi="Cambria Math" w:cs="Cambria Math"/>
          <w:lang w:val="en-GB"/>
        </w:rPr>
        <w:t>⁺</w:t>
      </w:r>
      <w:r w:rsidRPr="00202911">
        <w:rPr>
          <w:rFonts w:ascii="Arial" w:hAnsi="Arial" w:cs="Arial"/>
          <w:lang w:val="en-GB"/>
        </w:rPr>
        <w:t xml:space="preserve"> pumps activation. </w:t>
      </w:r>
      <w:r w:rsidR="00737E73" w:rsidRPr="00202911">
        <w:rPr>
          <w:rFonts w:ascii="Arial" w:hAnsi="Arial" w:cs="Arial"/>
          <w:i/>
          <w:iCs/>
          <w:lang w:val="en-GB"/>
        </w:rPr>
        <w:t>Planta.</w:t>
      </w:r>
      <w:r w:rsidRPr="00202911">
        <w:rPr>
          <w:rFonts w:ascii="Arial" w:hAnsi="Arial" w:cs="Arial"/>
          <w:lang w:val="en-GB"/>
        </w:rPr>
        <w:t xml:space="preserve"> 2007;225(6):1583-1595. </w:t>
      </w:r>
      <w:hyperlink r:id="rId66" w:tgtFrame="_blank" w:history="1">
        <w:r w:rsidRPr="00202911">
          <w:rPr>
            <w:rStyle w:val="Hyperlink"/>
            <w:rFonts w:ascii="Arial" w:hAnsi="Arial" w:cs="Arial"/>
            <w:lang w:val="en-GB"/>
          </w:rPr>
          <w:t xml:space="preserve">https://doi.org/10.1007/s00425-006-0454-2 </w:t>
        </w:r>
      </w:hyperlink>
      <w:r w:rsidRPr="00202911">
        <w:rPr>
          <w:rFonts w:ascii="Arial" w:hAnsi="Arial" w:cs="Arial"/>
          <w:lang w:val="en-GB"/>
        </w:rPr>
        <w:t xml:space="preserve">. </w:t>
      </w:r>
    </w:p>
    <w:p w14:paraId="7EE76F19" w14:textId="79DC6E44" w:rsidR="004D4277" w:rsidRPr="00FB3A86" w:rsidRDefault="004D4277" w:rsidP="00441B6F">
      <w:pPr>
        <w:pStyle w:val="Appendix"/>
        <w:spacing w:after="0"/>
        <w:jc w:val="both"/>
        <w:rPr>
          <w:rFonts w:ascii="Arial" w:hAnsi="Arial" w:cs="Arial"/>
          <w:b w:val="0"/>
        </w:rPr>
        <w:sectPr w:rsidR="004D4277" w:rsidRPr="00FB3A86" w:rsidSect="001237DB">
          <w:headerReference w:type="even" r:id="rId67"/>
          <w:headerReference w:type="default" r:id="rId68"/>
          <w:footerReference w:type="default" r:id="rId69"/>
          <w:headerReference w:type="first" r:id="rId70"/>
          <w:type w:val="continuous"/>
          <w:pgSz w:w="12240" w:h="15840"/>
          <w:pgMar w:top="1440" w:right="2016" w:bottom="2016" w:left="2016" w:header="720" w:footer="1123" w:gutter="0"/>
          <w:cols w:space="720"/>
          <w:docGrid w:linePitch="272"/>
        </w:sectPr>
      </w:pPr>
    </w:p>
    <w:p w14:paraId="0F9E1CA1" w14:textId="77777777" w:rsidR="00B01FCD" w:rsidRPr="00FB3A86" w:rsidRDefault="00B01FCD" w:rsidP="00441B6F">
      <w:pPr>
        <w:pStyle w:val="Appendix"/>
        <w:spacing w:after="0"/>
        <w:jc w:val="both"/>
        <w:rPr>
          <w:rFonts w:ascii="Arial" w:hAnsi="Arial" w:cs="Arial"/>
          <w:b w:val="0"/>
        </w:rPr>
      </w:pPr>
    </w:p>
    <w:sectPr w:rsidR="00B01FCD" w:rsidRPr="00FB3A86" w:rsidSect="001237D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BF424" w14:textId="77777777" w:rsidR="00B52E31" w:rsidRDefault="00B52E31" w:rsidP="00C37E61">
      <w:r>
        <w:separator/>
      </w:r>
    </w:p>
  </w:endnote>
  <w:endnote w:type="continuationSeparator" w:id="0">
    <w:p w14:paraId="3EF87916" w14:textId="77777777" w:rsidR="00B52E31" w:rsidRDefault="00B52E3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6B715" w14:textId="77777777" w:rsidR="001237DB" w:rsidRDefault="00123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E26B8" w14:textId="77777777" w:rsidR="001237DB" w:rsidRDefault="001237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AF950" w14:textId="77777777" w:rsidR="009E048A" w:rsidRDefault="009E048A">
    <w:pPr>
      <w:pStyle w:val="Footer"/>
      <w:rPr>
        <w:rFonts w:ascii="Arial" w:hAnsi="Arial" w:cs="Arial"/>
        <w:sz w:val="16"/>
      </w:rPr>
    </w:pPr>
  </w:p>
  <w:p w14:paraId="37BB646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B07A474" w14:textId="77777777" w:rsidR="009E048A" w:rsidRDefault="009E048A">
    <w:pPr>
      <w:pStyle w:val="Footer"/>
      <w:rPr>
        <w:rFonts w:ascii="Arial" w:hAnsi="Arial" w:cs="Arial"/>
        <w:sz w:val="16"/>
      </w:rPr>
    </w:pPr>
  </w:p>
  <w:p w14:paraId="5F3CB23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2F15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71E2D" w14:textId="77777777" w:rsidR="00B52E31" w:rsidRDefault="00B52E31" w:rsidP="00C37E61">
      <w:r>
        <w:separator/>
      </w:r>
    </w:p>
  </w:footnote>
  <w:footnote w:type="continuationSeparator" w:id="0">
    <w:p w14:paraId="2512B24B" w14:textId="77777777" w:rsidR="00B52E31" w:rsidRDefault="00B52E3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16C63" w14:textId="5EED7554" w:rsidR="001237DB" w:rsidRDefault="00000000">
    <w:pPr>
      <w:pStyle w:val="Header"/>
    </w:pPr>
    <w:r>
      <w:rPr>
        <w:noProof/>
      </w:rPr>
      <w:pict w14:anchorId="3FC0B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4817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E00DA" w14:textId="23662F30" w:rsidR="001237DB" w:rsidRDefault="00000000">
    <w:pPr>
      <w:pStyle w:val="Header"/>
    </w:pPr>
    <w:r>
      <w:rPr>
        <w:noProof/>
      </w:rPr>
      <w:pict w14:anchorId="002EE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4817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33AA8" w14:textId="011EBE52" w:rsidR="00296529" w:rsidRPr="00296529" w:rsidRDefault="00000000" w:rsidP="00296529">
    <w:pPr>
      <w:ind w:left="2160"/>
      <w:jc w:val="center"/>
      <w:rPr>
        <w:rFonts w:ascii="Times New Roman" w:eastAsia="Calibri" w:hAnsi="Times New Roman"/>
        <w:i/>
        <w:sz w:val="18"/>
        <w:szCs w:val="22"/>
      </w:rPr>
    </w:pPr>
    <w:r>
      <w:rPr>
        <w:noProof/>
      </w:rPr>
      <w:pict w14:anchorId="311EA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4817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81E1B3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60610A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BA899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C3CA63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DC26A3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670D98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667A7" w14:textId="09797D23" w:rsidR="001237DB" w:rsidRDefault="00000000">
    <w:pPr>
      <w:pStyle w:val="Header"/>
    </w:pPr>
    <w:r>
      <w:rPr>
        <w:noProof/>
      </w:rPr>
      <w:pict w14:anchorId="0A80C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4817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F8747" w14:textId="56542B97" w:rsidR="001237DB" w:rsidRDefault="00000000">
    <w:pPr>
      <w:pStyle w:val="Header"/>
    </w:pPr>
    <w:r>
      <w:rPr>
        <w:noProof/>
      </w:rPr>
      <w:pict w14:anchorId="3AA49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4817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A2CA4" w14:textId="1126A284" w:rsidR="001237DB" w:rsidRDefault="00000000">
    <w:pPr>
      <w:pStyle w:val="Header"/>
    </w:pPr>
    <w:r>
      <w:rPr>
        <w:noProof/>
      </w:rPr>
      <w:pict w14:anchorId="4FC9F0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4817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8C7ACA"/>
    <w:multiLevelType w:val="hybridMultilevel"/>
    <w:tmpl w:val="A22629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591358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11769431">
    <w:abstractNumId w:val="16"/>
  </w:num>
  <w:num w:numId="3" w16cid:durableId="1509061939">
    <w:abstractNumId w:val="24"/>
  </w:num>
  <w:num w:numId="4" w16cid:durableId="179262314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110784184">
    <w:abstractNumId w:val="7"/>
  </w:num>
  <w:num w:numId="6" w16cid:durableId="922420150">
    <w:abstractNumId w:val="6"/>
  </w:num>
  <w:num w:numId="7" w16cid:durableId="926813681">
    <w:abstractNumId w:val="1"/>
  </w:num>
  <w:num w:numId="8" w16cid:durableId="416950850">
    <w:abstractNumId w:val="13"/>
  </w:num>
  <w:num w:numId="9" w16cid:durableId="1746993420">
    <w:abstractNumId w:val="26"/>
  </w:num>
  <w:num w:numId="10" w16cid:durableId="1179808610">
    <w:abstractNumId w:val="2"/>
  </w:num>
  <w:num w:numId="11" w16cid:durableId="283773084">
    <w:abstractNumId w:val="19"/>
  </w:num>
  <w:num w:numId="12" w16cid:durableId="27723707">
    <w:abstractNumId w:val="3"/>
  </w:num>
  <w:num w:numId="13" w16cid:durableId="711417271">
    <w:abstractNumId w:val="18"/>
  </w:num>
  <w:num w:numId="14" w16cid:durableId="13969540">
    <w:abstractNumId w:val="8"/>
  </w:num>
  <w:num w:numId="15" w16cid:durableId="1325859615">
    <w:abstractNumId w:val="22"/>
  </w:num>
  <w:num w:numId="16" w16cid:durableId="1389382138">
    <w:abstractNumId w:val="5"/>
  </w:num>
  <w:num w:numId="17" w16cid:durableId="161700601">
    <w:abstractNumId w:val="23"/>
  </w:num>
  <w:num w:numId="18" w16cid:durableId="977874699">
    <w:abstractNumId w:val="15"/>
  </w:num>
  <w:num w:numId="19" w16cid:durableId="2122721888">
    <w:abstractNumId w:val="29"/>
  </w:num>
  <w:num w:numId="20" w16cid:durableId="1838573028">
    <w:abstractNumId w:val="12"/>
  </w:num>
  <w:num w:numId="21" w16cid:durableId="1577011324">
    <w:abstractNumId w:val="9"/>
  </w:num>
  <w:num w:numId="22" w16cid:durableId="1312322306">
    <w:abstractNumId w:val="14"/>
  </w:num>
  <w:num w:numId="23" w16cid:durableId="1659110261">
    <w:abstractNumId w:val="20"/>
  </w:num>
  <w:num w:numId="24" w16cid:durableId="555432582">
    <w:abstractNumId w:val="27"/>
  </w:num>
  <w:num w:numId="25" w16cid:durableId="114952038">
    <w:abstractNumId w:val="4"/>
  </w:num>
  <w:num w:numId="26" w16cid:durableId="1616208544">
    <w:abstractNumId w:val="17"/>
  </w:num>
  <w:num w:numId="27" w16cid:durableId="1393116681">
    <w:abstractNumId w:val="21"/>
  </w:num>
  <w:num w:numId="28" w16cid:durableId="1935555768">
    <w:abstractNumId w:val="28"/>
  </w:num>
  <w:num w:numId="29" w16cid:durableId="288898391">
    <w:abstractNumId w:val="25"/>
  </w:num>
  <w:num w:numId="30" w16cid:durableId="502626088">
    <w:abstractNumId w:val="11"/>
  </w:num>
  <w:num w:numId="31" w16cid:durableId="6164536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6D93"/>
    <w:rsid w:val="00037420"/>
    <w:rsid w:val="0004559E"/>
    <w:rsid w:val="0004579C"/>
    <w:rsid w:val="00051FFE"/>
    <w:rsid w:val="000A47FA"/>
    <w:rsid w:val="000A65D3"/>
    <w:rsid w:val="000B1E33"/>
    <w:rsid w:val="000D689F"/>
    <w:rsid w:val="000E3AAD"/>
    <w:rsid w:val="000E7B7B"/>
    <w:rsid w:val="000E7D62"/>
    <w:rsid w:val="00103357"/>
    <w:rsid w:val="001237DB"/>
    <w:rsid w:val="00123C9F"/>
    <w:rsid w:val="00126190"/>
    <w:rsid w:val="00130F17"/>
    <w:rsid w:val="001320BF"/>
    <w:rsid w:val="0014051C"/>
    <w:rsid w:val="00151FF1"/>
    <w:rsid w:val="00163BC4"/>
    <w:rsid w:val="0018701E"/>
    <w:rsid w:val="00191062"/>
    <w:rsid w:val="00192B72"/>
    <w:rsid w:val="001A29D8"/>
    <w:rsid w:val="001A3FB9"/>
    <w:rsid w:val="001A5CAA"/>
    <w:rsid w:val="001B0427"/>
    <w:rsid w:val="001D3A51"/>
    <w:rsid w:val="001E10D2"/>
    <w:rsid w:val="001E1A26"/>
    <w:rsid w:val="001E25B4"/>
    <w:rsid w:val="001E44FE"/>
    <w:rsid w:val="001F653D"/>
    <w:rsid w:val="00200595"/>
    <w:rsid w:val="00202911"/>
    <w:rsid w:val="00204835"/>
    <w:rsid w:val="00231920"/>
    <w:rsid w:val="0023195C"/>
    <w:rsid w:val="0024282C"/>
    <w:rsid w:val="002460DC"/>
    <w:rsid w:val="00246EF9"/>
    <w:rsid w:val="00250985"/>
    <w:rsid w:val="002556F6"/>
    <w:rsid w:val="00266C17"/>
    <w:rsid w:val="0027278A"/>
    <w:rsid w:val="00283105"/>
    <w:rsid w:val="00284C4C"/>
    <w:rsid w:val="00287E68"/>
    <w:rsid w:val="00296529"/>
    <w:rsid w:val="002A4C64"/>
    <w:rsid w:val="002B27FB"/>
    <w:rsid w:val="002B5B5E"/>
    <w:rsid w:val="002B685A"/>
    <w:rsid w:val="002C57D2"/>
    <w:rsid w:val="002D1B1E"/>
    <w:rsid w:val="002E05F9"/>
    <w:rsid w:val="002E0D56"/>
    <w:rsid w:val="00315186"/>
    <w:rsid w:val="00321B75"/>
    <w:rsid w:val="0033343E"/>
    <w:rsid w:val="00333944"/>
    <w:rsid w:val="003512C2"/>
    <w:rsid w:val="00355432"/>
    <w:rsid w:val="00371FB6"/>
    <w:rsid w:val="00375C3B"/>
    <w:rsid w:val="003763C1"/>
    <w:rsid w:val="00376BBE"/>
    <w:rsid w:val="0039224F"/>
    <w:rsid w:val="003A1611"/>
    <w:rsid w:val="003A43A4"/>
    <w:rsid w:val="003A7E18"/>
    <w:rsid w:val="003B470A"/>
    <w:rsid w:val="003B4B7F"/>
    <w:rsid w:val="003C0457"/>
    <w:rsid w:val="003C4C86"/>
    <w:rsid w:val="003C6258"/>
    <w:rsid w:val="003E2904"/>
    <w:rsid w:val="003E6728"/>
    <w:rsid w:val="003E6D1F"/>
    <w:rsid w:val="00401927"/>
    <w:rsid w:val="0041027F"/>
    <w:rsid w:val="00412475"/>
    <w:rsid w:val="00421973"/>
    <w:rsid w:val="00423789"/>
    <w:rsid w:val="0043249B"/>
    <w:rsid w:val="00435852"/>
    <w:rsid w:val="00440F43"/>
    <w:rsid w:val="00441B6F"/>
    <w:rsid w:val="00446221"/>
    <w:rsid w:val="00450E62"/>
    <w:rsid w:val="004539DB"/>
    <w:rsid w:val="00471A80"/>
    <w:rsid w:val="00477AB9"/>
    <w:rsid w:val="0049009A"/>
    <w:rsid w:val="004D305E"/>
    <w:rsid w:val="004D4277"/>
    <w:rsid w:val="00502516"/>
    <w:rsid w:val="005047F1"/>
    <w:rsid w:val="00505F06"/>
    <w:rsid w:val="00506828"/>
    <w:rsid w:val="00515E23"/>
    <w:rsid w:val="0053056E"/>
    <w:rsid w:val="00534899"/>
    <w:rsid w:val="0054393A"/>
    <w:rsid w:val="00554FDA"/>
    <w:rsid w:val="00582726"/>
    <w:rsid w:val="00594112"/>
    <w:rsid w:val="00596CB0"/>
    <w:rsid w:val="005C784C"/>
    <w:rsid w:val="005D17F6"/>
    <w:rsid w:val="005E01F2"/>
    <w:rsid w:val="005E5539"/>
    <w:rsid w:val="00602BF5"/>
    <w:rsid w:val="00617FDD"/>
    <w:rsid w:val="00627B19"/>
    <w:rsid w:val="00633614"/>
    <w:rsid w:val="00633F68"/>
    <w:rsid w:val="00636EB2"/>
    <w:rsid w:val="006375B8"/>
    <w:rsid w:val="0066510A"/>
    <w:rsid w:val="006700EB"/>
    <w:rsid w:val="00672E61"/>
    <w:rsid w:val="00672E6E"/>
    <w:rsid w:val="00673F9F"/>
    <w:rsid w:val="006867EB"/>
    <w:rsid w:val="00686953"/>
    <w:rsid w:val="00687DEA"/>
    <w:rsid w:val="00687E67"/>
    <w:rsid w:val="00690F4D"/>
    <w:rsid w:val="006967F7"/>
    <w:rsid w:val="006A250C"/>
    <w:rsid w:val="006B21D3"/>
    <w:rsid w:val="006B57D0"/>
    <w:rsid w:val="006C66CA"/>
    <w:rsid w:val="006D30FF"/>
    <w:rsid w:val="006D6940"/>
    <w:rsid w:val="006E6409"/>
    <w:rsid w:val="006F11EC"/>
    <w:rsid w:val="0070082C"/>
    <w:rsid w:val="00724E45"/>
    <w:rsid w:val="007369E6"/>
    <w:rsid w:val="00737E73"/>
    <w:rsid w:val="00746E59"/>
    <w:rsid w:val="00754C9A"/>
    <w:rsid w:val="0075599A"/>
    <w:rsid w:val="00761D52"/>
    <w:rsid w:val="0077749E"/>
    <w:rsid w:val="00790ADA"/>
    <w:rsid w:val="007D2288"/>
    <w:rsid w:val="007E088F"/>
    <w:rsid w:val="007F2B43"/>
    <w:rsid w:val="007F7B32"/>
    <w:rsid w:val="00804BC2"/>
    <w:rsid w:val="0081389E"/>
    <w:rsid w:val="0081431A"/>
    <w:rsid w:val="0083216F"/>
    <w:rsid w:val="00854DD2"/>
    <w:rsid w:val="00860000"/>
    <w:rsid w:val="00863BD3"/>
    <w:rsid w:val="008641ED"/>
    <w:rsid w:val="00866D66"/>
    <w:rsid w:val="008671C6"/>
    <w:rsid w:val="00872004"/>
    <w:rsid w:val="00875803"/>
    <w:rsid w:val="00884B31"/>
    <w:rsid w:val="00884FD3"/>
    <w:rsid w:val="0089211D"/>
    <w:rsid w:val="008B459E"/>
    <w:rsid w:val="008C1194"/>
    <w:rsid w:val="008E13AE"/>
    <w:rsid w:val="008E1506"/>
    <w:rsid w:val="008E710C"/>
    <w:rsid w:val="008F4315"/>
    <w:rsid w:val="008F69D6"/>
    <w:rsid w:val="00902823"/>
    <w:rsid w:val="00915CA6"/>
    <w:rsid w:val="00927834"/>
    <w:rsid w:val="009500A6"/>
    <w:rsid w:val="00951B28"/>
    <w:rsid w:val="00957C18"/>
    <w:rsid w:val="009613BC"/>
    <w:rsid w:val="009659BA"/>
    <w:rsid w:val="00965B45"/>
    <w:rsid w:val="00983040"/>
    <w:rsid w:val="009A7852"/>
    <w:rsid w:val="009B3FB9"/>
    <w:rsid w:val="009C0BEA"/>
    <w:rsid w:val="009C2465"/>
    <w:rsid w:val="009D35A0"/>
    <w:rsid w:val="009D7EB7"/>
    <w:rsid w:val="009E0463"/>
    <w:rsid w:val="009E048A"/>
    <w:rsid w:val="009E08E9"/>
    <w:rsid w:val="009E3DB9"/>
    <w:rsid w:val="009E6E35"/>
    <w:rsid w:val="009F0EDA"/>
    <w:rsid w:val="00A03B96"/>
    <w:rsid w:val="00A056A2"/>
    <w:rsid w:val="00A05B19"/>
    <w:rsid w:val="00A1134E"/>
    <w:rsid w:val="00A24E7E"/>
    <w:rsid w:val="00A258C3"/>
    <w:rsid w:val="00A347C0"/>
    <w:rsid w:val="00A51431"/>
    <w:rsid w:val="00A539AD"/>
    <w:rsid w:val="00A8304A"/>
    <w:rsid w:val="00A9380F"/>
    <w:rsid w:val="00A94063"/>
    <w:rsid w:val="00AA6219"/>
    <w:rsid w:val="00AA74E0"/>
    <w:rsid w:val="00AB703F"/>
    <w:rsid w:val="00AC020B"/>
    <w:rsid w:val="00AC6BB8"/>
    <w:rsid w:val="00AE008F"/>
    <w:rsid w:val="00B01FCD"/>
    <w:rsid w:val="00B12B44"/>
    <w:rsid w:val="00B1776C"/>
    <w:rsid w:val="00B52583"/>
    <w:rsid w:val="00B52896"/>
    <w:rsid w:val="00B52E31"/>
    <w:rsid w:val="00B63DFD"/>
    <w:rsid w:val="00B64E36"/>
    <w:rsid w:val="00B71AD3"/>
    <w:rsid w:val="00B73F73"/>
    <w:rsid w:val="00B95236"/>
    <w:rsid w:val="00B96BD9"/>
    <w:rsid w:val="00BA1B01"/>
    <w:rsid w:val="00BA2641"/>
    <w:rsid w:val="00BB0607"/>
    <w:rsid w:val="00BB37AA"/>
    <w:rsid w:val="00BC1E71"/>
    <w:rsid w:val="00BC53A0"/>
    <w:rsid w:val="00BE62AD"/>
    <w:rsid w:val="00BF121F"/>
    <w:rsid w:val="00BF1F80"/>
    <w:rsid w:val="00BF5715"/>
    <w:rsid w:val="00C166EF"/>
    <w:rsid w:val="00C17EB0"/>
    <w:rsid w:val="00C200C9"/>
    <w:rsid w:val="00C2208B"/>
    <w:rsid w:val="00C24F29"/>
    <w:rsid w:val="00C27A22"/>
    <w:rsid w:val="00C27F5F"/>
    <w:rsid w:val="00C30A0F"/>
    <w:rsid w:val="00C37E61"/>
    <w:rsid w:val="00C470B7"/>
    <w:rsid w:val="00C70F1B"/>
    <w:rsid w:val="00C71A47"/>
    <w:rsid w:val="00C7464C"/>
    <w:rsid w:val="00C81E97"/>
    <w:rsid w:val="00C85588"/>
    <w:rsid w:val="00CA7D3E"/>
    <w:rsid w:val="00CD6755"/>
    <w:rsid w:val="00CD6856"/>
    <w:rsid w:val="00CE0089"/>
    <w:rsid w:val="00CE21C1"/>
    <w:rsid w:val="00CE62F9"/>
    <w:rsid w:val="00CE793C"/>
    <w:rsid w:val="00CF193C"/>
    <w:rsid w:val="00D1447C"/>
    <w:rsid w:val="00D173F1"/>
    <w:rsid w:val="00D44B52"/>
    <w:rsid w:val="00D645D3"/>
    <w:rsid w:val="00D74CB0"/>
    <w:rsid w:val="00D8295D"/>
    <w:rsid w:val="00DA4B3F"/>
    <w:rsid w:val="00DC2A65"/>
    <w:rsid w:val="00DE15F0"/>
    <w:rsid w:val="00DE5663"/>
    <w:rsid w:val="00DE78AA"/>
    <w:rsid w:val="00DF6810"/>
    <w:rsid w:val="00E053D0"/>
    <w:rsid w:val="00E15994"/>
    <w:rsid w:val="00E3114E"/>
    <w:rsid w:val="00E31A70"/>
    <w:rsid w:val="00E35B02"/>
    <w:rsid w:val="00E52E16"/>
    <w:rsid w:val="00E66496"/>
    <w:rsid w:val="00E66B35"/>
    <w:rsid w:val="00E66E10"/>
    <w:rsid w:val="00E769F6"/>
    <w:rsid w:val="00E8407C"/>
    <w:rsid w:val="00E84F3C"/>
    <w:rsid w:val="00E9770B"/>
    <w:rsid w:val="00EA012C"/>
    <w:rsid w:val="00EC6A55"/>
    <w:rsid w:val="00ED0288"/>
    <w:rsid w:val="00ED1EFD"/>
    <w:rsid w:val="00EE52CB"/>
    <w:rsid w:val="00EF581D"/>
    <w:rsid w:val="00EF7FD8"/>
    <w:rsid w:val="00F02B72"/>
    <w:rsid w:val="00F02ED3"/>
    <w:rsid w:val="00F06F59"/>
    <w:rsid w:val="00F17988"/>
    <w:rsid w:val="00F23199"/>
    <w:rsid w:val="00F41993"/>
    <w:rsid w:val="00F469F0"/>
    <w:rsid w:val="00F53273"/>
    <w:rsid w:val="00F755E4"/>
    <w:rsid w:val="00F77D02"/>
    <w:rsid w:val="00F91F10"/>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F84A7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8C119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2187602">
      <w:bodyDiv w:val="1"/>
      <w:marLeft w:val="0"/>
      <w:marRight w:val="0"/>
      <w:marTop w:val="0"/>
      <w:marBottom w:val="0"/>
      <w:divBdr>
        <w:top w:val="none" w:sz="0" w:space="0" w:color="auto"/>
        <w:left w:val="none" w:sz="0" w:space="0" w:color="auto"/>
        <w:bottom w:val="none" w:sz="0" w:space="0" w:color="auto"/>
        <w:right w:val="none" w:sz="0" w:space="0" w:color="auto"/>
      </w:divBdr>
    </w:div>
    <w:div w:id="15676866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2049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371/journal.pone.0216710" TargetMode="External"/><Relationship Id="rId21" Type="http://schemas.openxmlformats.org/officeDocument/2006/relationships/image" Target="media/image8.png"/><Relationship Id="rId42" Type="http://schemas.openxmlformats.org/officeDocument/2006/relationships/hyperlink" Target="https://doi.org/10.22034/iuvs.2020.63701.1016" TargetMode="External"/><Relationship Id="rId47" Type="http://schemas.openxmlformats.org/officeDocument/2006/relationships/hyperlink" Target="https://doi.org/10.3390/plants11172214" TargetMode="External"/><Relationship Id="rId63" Type="http://schemas.openxmlformats.org/officeDocument/2006/relationships/hyperlink" Target="https://doi.org/10.1016/S0176-1617(11)81192-2" TargetMode="External"/><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3390/agronomy11061032" TargetMode="External"/><Relationship Id="rId11" Type="http://schemas.openxmlformats.org/officeDocument/2006/relationships/footer" Target="footer2.xml"/><Relationship Id="rId24" Type="http://schemas.openxmlformats.org/officeDocument/2006/relationships/hyperlink" Target="https://doi.org/10.5897/IJPPB2012.026" TargetMode="External"/><Relationship Id="rId32" Type="http://schemas.openxmlformats.org/officeDocument/2006/relationships/hyperlink" Target="http://dx.doi.org/10.5897/AJB10.1599" TargetMode="External"/><Relationship Id="rId37" Type="http://schemas.openxmlformats.org/officeDocument/2006/relationships/hyperlink" Target="https://doi.org/10.4136/ambi-agua.2808" TargetMode="External"/><Relationship Id="rId40" Type="http://schemas.openxmlformats.org/officeDocument/2006/relationships/hyperlink" Target="https://doi.org/10.1016/j.bbamcr.2006.05.014" TargetMode="External"/><Relationship Id="rId45" Type="http://schemas.openxmlformats.org/officeDocument/2006/relationships/hyperlink" Target="https://doi.org/10.18805/LR-4527" TargetMode="External"/><Relationship Id="rId53" Type="http://schemas.openxmlformats.org/officeDocument/2006/relationships/hyperlink" Target="https://doi.org/10.3390/app11156879" TargetMode="External"/><Relationship Id="rId58" Type="http://schemas.openxmlformats.org/officeDocument/2006/relationships/hyperlink" Target="https://doi.org/10.4308/hjb.28.1.23" TargetMode="External"/><Relationship Id="rId66" Type="http://schemas.openxmlformats.org/officeDocument/2006/relationships/hyperlink" Target="https://doi.org/10.1007/s00425-006-0454-2" TargetMode="External"/><Relationship Id="rId5" Type="http://schemas.openxmlformats.org/officeDocument/2006/relationships/webSettings" Target="webSettings.xml"/><Relationship Id="rId61" Type="http://schemas.openxmlformats.org/officeDocument/2006/relationships/hyperlink" Target="https://doi.org/10.3390/agronomy11071399"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doi.org/10.1104/pp.24.1.1" TargetMode="External"/><Relationship Id="rId30" Type="http://schemas.openxmlformats.org/officeDocument/2006/relationships/hyperlink" Target="http://dx.doi.org/10.1071/BI9620413" TargetMode="External"/><Relationship Id="rId35" Type="http://schemas.openxmlformats.org/officeDocument/2006/relationships/hyperlink" Target="https://doi.org/10.6000/1927-5129.2018.14.19" TargetMode="External"/><Relationship Id="rId43" Type="http://schemas.openxmlformats.org/officeDocument/2006/relationships/hyperlink" Target="https://doi.org/10.21608/ejbo.2017.596.1027" TargetMode="External"/><Relationship Id="rId48" Type="http://schemas.openxmlformats.org/officeDocument/2006/relationships/hyperlink" Target="https://doi.org/10.15580/GJSSPN.2015.1.021615032" TargetMode="External"/><Relationship Id="rId56" Type="http://schemas.openxmlformats.org/officeDocument/2006/relationships/hyperlink" Target="https://doi.org/10.20546/IJCMAS.2020.912.346" TargetMode="External"/><Relationship Id="rId64" Type="http://schemas.openxmlformats.org/officeDocument/2006/relationships/hyperlink" Target="https://doi.org/10.1007/BF00004023" TargetMode="External"/><Relationship Id="rId69"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doi.org/10.21475/ajcs.19.13.03.p1342"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dx.doi.org/10.21608/jpp.2015.52096" TargetMode="External"/><Relationship Id="rId33" Type="http://schemas.openxmlformats.org/officeDocument/2006/relationships/hyperlink" Target="https://doi.org/10.1007/s11104-014-2131-8" TargetMode="External"/><Relationship Id="rId38" Type="http://schemas.openxmlformats.org/officeDocument/2006/relationships/hyperlink" Target="https://www.semanticscholar.org/paper/eaa67040fe3dc2941d694bdd246b10c10fc2dec9%20" TargetMode="External"/><Relationship Id="rId46" Type="http://schemas.openxmlformats.org/officeDocument/2006/relationships/hyperlink" Target="https://doi.org/10.1063/5.0015774" TargetMode="External"/><Relationship Id="rId59" Type="http://schemas.openxmlformats.org/officeDocument/2006/relationships/hyperlink" Target="https://doi.org/10.5344/ajev.1965.16.3.144" TargetMode="External"/><Relationship Id="rId67"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hyperlink" Target="https://doi.org/10.1016/j.jplph.2021.153437" TargetMode="External"/><Relationship Id="rId54" Type="http://schemas.openxmlformats.org/officeDocument/2006/relationships/hyperlink" Target="https://doi.org/10.1051/agro:2001154" TargetMode="External"/><Relationship Id="rId62" Type="http://schemas.openxmlformats.org/officeDocument/2006/relationships/hyperlink" Target="https://doi.org/10.1186/s40538-017-0089-5" TargetMode="Externa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016/j.agwat.2017.08.004" TargetMode="External"/><Relationship Id="rId28" Type="http://schemas.openxmlformats.org/officeDocument/2006/relationships/hyperlink" Target="https://doi.org/10.5423/PPJ.OA.03.2019.0066" TargetMode="External"/><Relationship Id="rId36" Type="http://schemas.openxmlformats.org/officeDocument/2006/relationships/hyperlink" Target="https://doi.org/10.1002/jsfa.9139" TargetMode="External"/><Relationship Id="rId49" Type="http://schemas.openxmlformats.org/officeDocument/2006/relationships/hyperlink" Target="https://doi.org/10.1080/01904167.2017.1384012" TargetMode="External"/><Relationship Id="rId57" Type="http://schemas.openxmlformats.org/officeDocument/2006/relationships/hyperlink" Target="http://dx.doi.org/10.9734/IJPSS/2024/v36i64603" TargetMode="External"/><Relationship Id="rId10" Type="http://schemas.openxmlformats.org/officeDocument/2006/relationships/footer" Target="footer1.xml"/><Relationship Id="rId31" Type="http://schemas.openxmlformats.org/officeDocument/2006/relationships/hyperlink" Target="https://doi.org/10.1016/j.sajb.2019.08.040" TargetMode="External"/><Relationship Id="rId44" Type="http://schemas.openxmlformats.org/officeDocument/2006/relationships/hyperlink" Target="https://doi.org/10.18805/LR-470" TargetMode="External"/><Relationship Id="rId52" Type="http://schemas.openxmlformats.org/officeDocument/2006/relationships/hyperlink" Target="https://doi.org/10.3389/fpls.2016.00748" TargetMode="External"/><Relationship Id="rId60" Type="http://schemas.openxmlformats.org/officeDocument/2006/relationships/hyperlink" Target="https://doi.org/10.21608/svuijas.2020.52563.1061?spm=5aebb161.23e75741.0.0.359ac921dE1NhU&amp;file=svuijas.2020.52563.1061" TargetMode="External"/><Relationship Id="rId65" Type="http://schemas.openxmlformats.org/officeDocument/2006/relationships/hyperlink" Target="https://doi.org/10.3390/su15097113"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doi.org/10.1016/j.jssas.2013.01.001" TargetMode="External"/><Relationship Id="rId34" Type="http://schemas.openxmlformats.org/officeDocument/2006/relationships/hyperlink" Target="https://doi.org/10.1104/pp.007088" TargetMode="External"/><Relationship Id="rId50" Type="http://schemas.openxmlformats.org/officeDocument/2006/relationships/hyperlink" Target="https://doi.org/10.1080/01904160802462819" TargetMode="External"/><Relationship Id="rId55" Type="http://schemas.openxmlformats.org/officeDocument/2006/relationships/hyperlink" Target="https://doi.org/10.22161/IJEAB/3.3.5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43813-2962-4717-ABCE-1B77E2A16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1004</TotalTime>
  <Pages>21</Pages>
  <Words>8347</Words>
  <Characters>47166</Characters>
  <Application>Microsoft Office Word</Application>
  <DocSecurity>0</DocSecurity>
  <Lines>1347</Lines>
  <Paragraphs>660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54853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Anbu Sezhian</cp:lastModifiedBy>
  <cp:revision>29</cp:revision>
  <cp:lastPrinted>1999-07-06T11:00:00Z</cp:lastPrinted>
  <dcterms:created xsi:type="dcterms:W3CDTF">2025-03-09T18:01:00Z</dcterms:created>
  <dcterms:modified xsi:type="dcterms:W3CDTF">2025-03-11T11:06:00Z</dcterms:modified>
</cp:coreProperties>
</file>