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13404" w14:textId="63E3ABA8" w:rsidR="00F4716C" w:rsidRDefault="005D1F7E">
      <w:pPr>
        <w:jc w:val="center"/>
        <w:rPr>
          <w:rFonts w:ascii="Times New Roman" w:hAnsi="Times New Roman" w:cs="Times New Roman"/>
          <w:b/>
          <w:bCs/>
          <w:sz w:val="30"/>
          <w:szCs w:val="30"/>
        </w:rPr>
      </w:pPr>
      <w:r w:rsidRPr="005D1F7E">
        <w:rPr>
          <w:rFonts w:ascii="Times New Roman" w:hAnsi="Times New Roman" w:cs="Times New Roman"/>
          <w:b/>
          <w:bCs/>
          <w:sz w:val="30"/>
          <w:szCs w:val="30"/>
        </w:rPr>
        <w:t>Evaluation of Profitability in Chinese Snack Food Enterprises: An Empirical Study Based on the DuPont Analysis</w:t>
      </w:r>
    </w:p>
    <w:p w14:paraId="38BCA153" w14:textId="77777777" w:rsidR="005D1F7E" w:rsidRDefault="005D1F7E">
      <w:pPr>
        <w:jc w:val="center"/>
        <w:rPr>
          <w:rFonts w:ascii="Times New Roman" w:hAnsi="Times New Roman" w:cs="Times New Roman"/>
          <w:sz w:val="24"/>
        </w:rPr>
      </w:pPr>
    </w:p>
    <w:p w14:paraId="49E82AD0" w14:textId="77777777" w:rsidR="00F4716C" w:rsidRDefault="00F4716C">
      <w:pPr>
        <w:spacing w:line="360" w:lineRule="auto"/>
        <w:rPr>
          <w:rFonts w:ascii="Times New Roman" w:hAnsi="Times New Roman" w:cs="Times New Roman"/>
          <w:i/>
          <w:iCs/>
          <w:sz w:val="24"/>
        </w:rPr>
      </w:pPr>
    </w:p>
    <w:p w14:paraId="6ABF386A" w14:textId="50750B10" w:rsidR="00F4716C" w:rsidRDefault="00304B20">
      <w:pPr>
        <w:rPr>
          <w:rFonts w:ascii="Times New Roman" w:eastAsia="SimSun" w:hAnsi="Times New Roman" w:cs="Times New Roman"/>
          <w:b/>
          <w:bCs/>
          <w:sz w:val="24"/>
        </w:rPr>
      </w:pPr>
      <w:r>
        <w:rPr>
          <w:rFonts w:ascii="Times New Roman" w:eastAsia="SimSun" w:hAnsi="Times New Roman" w:cs="Times New Roman" w:hint="eastAsia"/>
          <w:b/>
          <w:bCs/>
          <w:sz w:val="24"/>
        </w:rPr>
        <w:t>ABSTR</w:t>
      </w:r>
      <w:r w:rsidR="007475A2">
        <w:rPr>
          <w:rFonts w:ascii="Times New Roman" w:eastAsia="SimSun" w:hAnsi="Times New Roman" w:cs="Times New Roman"/>
          <w:b/>
          <w:bCs/>
          <w:sz w:val="24"/>
        </w:rPr>
        <w:t>A</w:t>
      </w:r>
      <w:r>
        <w:rPr>
          <w:rFonts w:ascii="Times New Roman" w:eastAsia="SimSun" w:hAnsi="Times New Roman" w:cs="Times New Roman" w:hint="eastAsia"/>
          <w:b/>
          <w:bCs/>
          <w:sz w:val="24"/>
        </w:rPr>
        <w:t>CT</w:t>
      </w:r>
    </w:p>
    <w:p w14:paraId="44E425F4" w14:textId="77777777" w:rsidR="00F4716C" w:rsidRDefault="00F4716C">
      <w:pPr>
        <w:rPr>
          <w:rFonts w:ascii="Times New Roman" w:eastAsia="SimSun" w:hAnsi="Times New Roman" w:cs="Times New Roman"/>
          <w:b/>
          <w:bCs/>
          <w:sz w:val="24"/>
        </w:rPr>
      </w:pPr>
    </w:p>
    <w:p w14:paraId="7F90ED9C" w14:textId="77777777" w:rsidR="00F4716C" w:rsidRDefault="00304B20">
      <w:pPr>
        <w:spacing w:line="360" w:lineRule="auto"/>
        <w:ind w:firstLineChars="200" w:firstLine="480"/>
        <w:rPr>
          <w:rFonts w:ascii="Times New Roman" w:eastAsia="SimSun" w:hAnsi="Times New Roman" w:cs="Times New Roman"/>
          <w:b/>
          <w:bCs/>
          <w:sz w:val="24"/>
        </w:rPr>
      </w:pPr>
      <w:r>
        <w:rPr>
          <w:rFonts w:ascii="Times New Roman" w:eastAsia="SimSun" w:hAnsi="Times New Roman" w:cs="Times New Roman"/>
          <w:sz w:val="24"/>
        </w:rPr>
        <w:t xml:space="preserve">With the improvement in Chinese residents' consumption capacity and the leisure food market's scale surpassing one trillion yuan, the industry has shown rapid growth. However, domestic companies still face challenges in areas such as brand influence, technological research and development, and management experience. This paper takes Three Squirrels, </w:t>
      </w:r>
      <w:proofErr w:type="spellStart"/>
      <w:r>
        <w:rPr>
          <w:rFonts w:ascii="Times New Roman" w:eastAsia="SimSun" w:hAnsi="Times New Roman" w:cs="Times New Roman"/>
          <w:sz w:val="24"/>
        </w:rPr>
        <w:t>Bestore</w:t>
      </w:r>
      <w:proofErr w:type="spellEnd"/>
      <w:r>
        <w:rPr>
          <w:rFonts w:ascii="Times New Roman" w:eastAsia="SimSun" w:hAnsi="Times New Roman" w:cs="Times New Roman"/>
          <w:sz w:val="24"/>
        </w:rPr>
        <w:t xml:space="preserve">, and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as research subjects and systematically evaluates the differences in profitability and their driving factors from 2019 to 2023 using the DuPont analysis method. The net return on equity (ROE) is decomposed into net profit margin, total asset turnover, and equity multiplier. The study finds that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by optimizing cost control and adopting a differentiated product strategy, increased its ROE from 17.93% in 2019 to 39.34% in 2023, demonstrating strong profit potential. </w:t>
      </w:r>
      <w:proofErr w:type="spellStart"/>
      <w:r>
        <w:rPr>
          <w:rFonts w:ascii="Times New Roman" w:eastAsia="SimSun" w:hAnsi="Times New Roman" w:cs="Times New Roman"/>
          <w:sz w:val="24"/>
        </w:rPr>
        <w:t>Bestore</w:t>
      </w:r>
      <w:proofErr w:type="spellEnd"/>
      <w:r>
        <w:rPr>
          <w:rFonts w:ascii="Times New Roman" w:eastAsia="SimSun" w:hAnsi="Times New Roman" w:cs="Times New Roman"/>
          <w:sz w:val="24"/>
        </w:rPr>
        <w:t>, due to intensified market competition and cost pressures, saw its ROE decrease continuously from 27.02% to 7.32%, highlighting the sustainability risks of its profit model. Three Squirrels' ROE exhibited cyclical fluctuations, with a decline in asset turnover efficiency and tighter financial leverage causing its ROE to drop sharply to 5.61% in 2022. However, its capital structure stability improved. Further analysis indicates that the differences in corporate profitability stem from variations in market positioning, asset operation efficiency, and financial leverage strategies. Based on this, this paper suggests constructing a differentiated product structure, expanding diverse consumption scenarios, strengthening multi-channel synergies, and innovating marketing strategies to help companies balance financial risks and growth needs, thereby enhancing industry competitiveness. This study provides theoretical and empirical evidence for leisure food companies to optimize their profit models and achieve sustainable development.</w:t>
      </w:r>
    </w:p>
    <w:p w14:paraId="75F8700E" w14:textId="77777777" w:rsidR="00F4716C" w:rsidRDefault="00304B20">
      <w:pPr>
        <w:rPr>
          <w:rFonts w:ascii="Times New Roman" w:eastAsia="serif" w:hAnsi="Times New Roman" w:cs="Times New Roman"/>
          <w:b/>
          <w:bCs/>
          <w:i/>
          <w:iCs/>
          <w:sz w:val="24"/>
          <w:shd w:val="clear" w:color="auto" w:fill="FFFFFF"/>
        </w:rPr>
      </w:pPr>
      <w:r>
        <w:rPr>
          <w:rFonts w:ascii="Times New Roman" w:eastAsia="serif" w:hAnsi="Times New Roman" w:cs="Times New Roman"/>
          <w:b/>
          <w:bCs/>
          <w:i/>
          <w:iCs/>
          <w:sz w:val="24"/>
          <w:shd w:val="clear" w:color="auto" w:fill="FFFFFF"/>
        </w:rPr>
        <w:t>Keywords:</w:t>
      </w:r>
      <w:r>
        <w:rPr>
          <w:rFonts w:ascii="Times New Roman" w:eastAsia="SimSun" w:hAnsi="Times New Roman" w:cs="Times New Roman" w:hint="eastAsia"/>
          <w:b/>
          <w:bCs/>
          <w:i/>
          <w:iCs/>
          <w:sz w:val="24"/>
          <w:shd w:val="clear" w:color="auto" w:fill="FFFFFF"/>
        </w:rPr>
        <w:t xml:space="preserve"> </w:t>
      </w:r>
      <w:r>
        <w:rPr>
          <w:rFonts w:ascii="Times New Roman" w:eastAsia="serif" w:hAnsi="Times New Roman" w:cs="Times New Roman" w:hint="eastAsia"/>
          <w:sz w:val="24"/>
          <w:shd w:val="clear" w:color="auto" w:fill="FFFFFF"/>
        </w:rPr>
        <w:t xml:space="preserve">Snack Foods; DuPont Analysis; Profitability; Chain Substitution Method; </w:t>
      </w:r>
      <w:r>
        <w:rPr>
          <w:rFonts w:ascii="Times New Roman" w:eastAsia="serif" w:hAnsi="Times New Roman" w:cs="Times New Roman" w:hint="eastAsia"/>
          <w:sz w:val="24"/>
          <w:shd w:val="clear" w:color="auto" w:fill="FFFFFF"/>
        </w:rPr>
        <w:lastRenderedPageBreak/>
        <w:t>Enterprise Evaluation</w:t>
      </w:r>
    </w:p>
    <w:p w14:paraId="56EFC8FD" w14:textId="77777777" w:rsidR="00F4716C" w:rsidRDefault="00F4716C">
      <w:pPr>
        <w:rPr>
          <w:rFonts w:ascii="SimSun" w:eastAsia="SimSun" w:hAnsi="SimSun" w:cs="SimSun"/>
          <w:b/>
          <w:bCs/>
          <w:sz w:val="24"/>
          <w:shd w:val="clear" w:color="auto" w:fill="FFFFFF"/>
        </w:rPr>
      </w:pPr>
    </w:p>
    <w:p w14:paraId="47FE6E26" w14:textId="77777777" w:rsidR="00F4716C" w:rsidRDefault="00304B20">
      <w:pPr>
        <w:rPr>
          <w:rFonts w:ascii="SimSun" w:eastAsia="SimSun" w:hAnsi="SimSun" w:cs="SimSun"/>
          <w:sz w:val="24"/>
        </w:rPr>
      </w:pPr>
      <w:r>
        <w:rPr>
          <w:rFonts w:ascii="Times New Roman" w:eastAsia="SimSun" w:hAnsi="Times New Roman" w:cs="Times New Roman"/>
          <w:b/>
          <w:bCs/>
          <w:sz w:val="28"/>
          <w:szCs w:val="28"/>
        </w:rPr>
        <w:t>1 Introduction</w:t>
      </w:r>
    </w:p>
    <w:p w14:paraId="06D4724A" w14:textId="02B662E1" w:rsidR="00F4716C" w:rsidRDefault="00304B2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With the steady improvement of China's economic level and the rapid development of the tourism industry, residents' purchasing power has significantly increased, leading to a continuous growth in demand for snack foods.</w:t>
      </w:r>
      <w:r w:rsidR="005814BC">
        <w:rPr>
          <w:rFonts w:ascii="Times New Roman" w:eastAsia="SimSun" w:hAnsi="Times New Roman" w:cs="Times New Roman" w:hint="eastAsia"/>
          <w:sz w:val="24"/>
        </w:rPr>
        <w:t xml:space="preserve"> </w:t>
      </w:r>
      <w:r>
        <w:rPr>
          <w:rFonts w:ascii="Times New Roman" w:eastAsia="SimSun" w:hAnsi="Times New Roman" w:cs="Times New Roman"/>
          <w:sz w:val="24"/>
        </w:rPr>
        <w:t>Snack foods, characterized by their convenience, speed, and delicious taste, have gradually become an essential part of daily consumption.</w:t>
      </w:r>
      <w:r>
        <w:rPr>
          <w:rFonts w:ascii="Times New Roman" w:eastAsia="SimSun" w:hAnsi="Times New Roman" w:cs="Times New Roman" w:hint="eastAsia"/>
          <w:sz w:val="24"/>
        </w:rPr>
        <w:t xml:space="preserve"> </w:t>
      </w:r>
      <w:r>
        <w:rPr>
          <w:rFonts w:ascii="Times New Roman" w:eastAsia="SimSun" w:hAnsi="Times New Roman" w:cs="Times New Roman"/>
          <w:sz w:val="24"/>
        </w:rPr>
        <w:t>From nuts and puffed foods to baked pastries and functional snacks, the variety of products on the market has been expanding, catering to the personalized needs of different consumers.</w:t>
      </w:r>
      <w:r>
        <w:rPr>
          <w:rFonts w:ascii="Times New Roman" w:eastAsia="SimSun" w:hAnsi="Times New Roman" w:cs="Times New Roman" w:hint="eastAsia"/>
          <w:sz w:val="24"/>
        </w:rPr>
        <w:t xml:space="preserve"> </w:t>
      </w:r>
      <w:commentRangeStart w:id="0"/>
      <w:r>
        <w:rPr>
          <w:rFonts w:ascii="Times New Roman" w:eastAsia="SimSun" w:hAnsi="Times New Roman" w:cs="Times New Roman"/>
          <w:sz w:val="24"/>
        </w:rPr>
        <w:t>In recent years, the annual demand for China's snack food market has exceeded one trillion yuan, with the market expanding at a geometric rate.</w:t>
      </w:r>
      <w:commentRangeEnd w:id="0"/>
      <w:r w:rsidR="00E71AD6">
        <w:rPr>
          <w:rStyle w:val="CommentReference"/>
        </w:rPr>
        <w:commentReference w:id="0"/>
      </w:r>
      <w:r>
        <w:rPr>
          <w:rFonts w:ascii="Times New Roman" w:eastAsia="SimSun" w:hAnsi="Times New Roman" w:cs="Times New Roman"/>
          <w:sz w:val="24"/>
        </w:rPr>
        <w:t xml:space="preserve"> The average annual growth rate of the consumer market has reached approximately 25%, demonstrating strong growth potential.</w:t>
      </w:r>
      <w:r w:rsidR="005814BC">
        <w:rPr>
          <w:rFonts w:ascii="Times New Roman" w:eastAsia="SimSun" w:hAnsi="Times New Roman" w:cs="Times New Roman" w:hint="eastAsia"/>
          <w:sz w:val="24"/>
        </w:rPr>
        <w:t xml:space="preserve"> </w:t>
      </w:r>
      <w:r>
        <w:rPr>
          <w:rFonts w:ascii="Times New Roman" w:eastAsia="SimSun" w:hAnsi="Times New Roman" w:cs="Times New Roman"/>
          <w:sz w:val="24"/>
        </w:rPr>
        <w:t xml:space="preserve">Although China's snack food industry has developed rapidly, with many market participants, domestic enterprises still </w:t>
      </w:r>
      <w:proofErr w:type="gramStart"/>
      <w:r>
        <w:rPr>
          <w:rFonts w:ascii="Times New Roman" w:eastAsia="SimSun" w:hAnsi="Times New Roman" w:cs="Times New Roman"/>
          <w:sz w:val="24"/>
        </w:rPr>
        <w:t>lag behind</w:t>
      </w:r>
      <w:proofErr w:type="gramEnd"/>
      <w:r>
        <w:rPr>
          <w:rFonts w:ascii="Times New Roman" w:eastAsia="SimSun" w:hAnsi="Times New Roman" w:cs="Times New Roman"/>
          <w:sz w:val="24"/>
        </w:rPr>
        <w:t xml:space="preserve"> international brands in terms of brand influence, technological research and development, and management experience.</w:t>
      </w:r>
      <w:r>
        <w:rPr>
          <w:rFonts w:ascii="Times New Roman" w:eastAsia="SimSun" w:hAnsi="Times New Roman" w:cs="Times New Roman" w:hint="eastAsia"/>
          <w:sz w:val="24"/>
        </w:rPr>
        <w:t xml:space="preserve"> </w:t>
      </w:r>
      <w:r>
        <w:rPr>
          <w:rFonts w:ascii="Times New Roman" w:eastAsia="SimSun" w:hAnsi="Times New Roman" w:cs="Times New Roman"/>
          <w:sz w:val="24"/>
        </w:rPr>
        <w:t xml:space="preserve">The industry </w:t>
      </w:r>
      <w:proofErr w:type="gramStart"/>
      <w:r>
        <w:rPr>
          <w:rFonts w:ascii="Times New Roman" w:eastAsia="SimSun" w:hAnsi="Times New Roman" w:cs="Times New Roman"/>
          <w:sz w:val="24"/>
        </w:rPr>
        <w:t>as a whole has</w:t>
      </w:r>
      <w:proofErr w:type="gramEnd"/>
      <w:r>
        <w:rPr>
          <w:rFonts w:ascii="Times New Roman" w:eastAsia="SimSun" w:hAnsi="Times New Roman" w:cs="Times New Roman"/>
          <w:sz w:val="24"/>
        </w:rPr>
        <w:t xml:space="preserve"> a relatively short history and weaker competitive strength, with homogeneous competition among enterprises being a common phenomenon.</w:t>
      </w:r>
      <w:r>
        <w:rPr>
          <w:rFonts w:ascii="Times New Roman" w:eastAsia="SimSun" w:hAnsi="Times New Roman" w:cs="Times New Roman" w:hint="eastAsia"/>
          <w:sz w:val="24"/>
        </w:rPr>
        <w:t xml:space="preserve"> </w:t>
      </w:r>
      <w:commentRangeStart w:id="1"/>
      <w:r>
        <w:rPr>
          <w:rFonts w:ascii="Times New Roman" w:eastAsia="SimSun" w:hAnsi="Times New Roman" w:cs="Times New Roman"/>
          <w:sz w:val="24"/>
        </w:rPr>
        <w:t>According to statistics, the annual demand for China's snack food market has reached one trillion yuan, and this figure continues to grow.</w:t>
      </w:r>
      <w:commentRangeEnd w:id="1"/>
      <w:r w:rsidR="00A12D50">
        <w:rPr>
          <w:rStyle w:val="CommentReference"/>
        </w:rPr>
        <w:commentReference w:id="1"/>
      </w:r>
      <w:r w:rsidR="005814BC">
        <w:rPr>
          <w:rFonts w:ascii="Times New Roman" w:eastAsia="SimSun" w:hAnsi="Times New Roman" w:cs="Times New Roman" w:hint="eastAsia"/>
          <w:sz w:val="24"/>
        </w:rPr>
        <w:t xml:space="preserve"> </w:t>
      </w:r>
      <w:r>
        <w:rPr>
          <w:rFonts w:ascii="Times New Roman" w:eastAsia="SimSun" w:hAnsi="Times New Roman" w:cs="Times New Roman"/>
          <w:sz w:val="24"/>
        </w:rPr>
        <w:t>With the rise of trends toward healthier, functional, and personalized consumption, market potential has been further stimulated.</w:t>
      </w:r>
      <w:r>
        <w:rPr>
          <w:rFonts w:ascii="Times New Roman" w:eastAsia="SimSun" w:hAnsi="Times New Roman" w:cs="Times New Roman" w:hint="eastAsia"/>
          <w:sz w:val="24"/>
        </w:rPr>
        <w:t xml:space="preserve"> </w:t>
      </w:r>
      <w:r>
        <w:rPr>
          <w:rFonts w:ascii="Times New Roman" w:eastAsia="SimSun" w:hAnsi="Times New Roman" w:cs="Times New Roman"/>
          <w:sz w:val="24"/>
        </w:rPr>
        <w:t>If domestic enterprises can seize this strategic opportunity by deeply understanding market demand, optimizing product structures, and enhancing operational efficiency, they are likely to achieve rapid development and breakthrough progress.</w:t>
      </w:r>
    </w:p>
    <w:p w14:paraId="1F312321" w14:textId="77777777" w:rsidR="00F4716C" w:rsidRDefault="00304B2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The profit model is not only the key to gaining a competitive advantage but also the foundation for a company's survival and development.</w:t>
      </w:r>
      <w:r>
        <w:rPr>
          <w:rFonts w:ascii="Times New Roman" w:eastAsia="SimSun" w:hAnsi="Times New Roman" w:cs="Times New Roman" w:hint="eastAsia"/>
          <w:sz w:val="24"/>
        </w:rPr>
        <w:t xml:space="preserve"> </w:t>
      </w:r>
      <w:commentRangeStart w:id="2"/>
      <w:r>
        <w:rPr>
          <w:rFonts w:ascii="Times New Roman" w:eastAsia="SimSun" w:hAnsi="Times New Roman" w:cs="Times New Roman"/>
          <w:sz w:val="24"/>
        </w:rPr>
        <w:fldChar w:fldCharType="begin"/>
      </w:r>
      <w:r>
        <w:rPr>
          <w:rFonts w:ascii="Times New Roman" w:eastAsia="SimSun" w:hAnsi="Times New Roman" w:cs="Times New Roman"/>
          <w:sz w:val="24"/>
        </w:rPr>
        <w:instrText xml:space="preserve"> ADDIN ZOTERO_ITEM CSL_CITATION {"citationID":"S4ht4UhW","properties":{"formattedCitation":"(Delmar et al., 2013)","plainCitation":"(Delmar et al., 2013)","noteIndex":0},"citationItems":[{"id":1294,"uris":["http://zotero.org/users/local/e4ezAbND/items/EQGQP8G9"],"itemData":{"id":1294,"type":"article-journal","abstract":"The performance of new firms is important for economic development but research has produced limited knowledge about the key relationships among growth, profitability, and survival for new firms. Based on evolutionary theory, we develop a model about how new firms resolve uncertainty about their ability to prosper in a market by monitoring changes in profitability. Our model predicts selection pressures to weed out underperforming firms and learning in order to allow survivors to improve performance and grow. We test our theory using a unique panel of knowledge-intensive new firms in Sweden. We find strong support for the notion that profitability enhances both survival and growth, and growth helps profitability but has a negative effect on survival. Implications are discussed.","collection-title":"Technology Entrepreneurship: A Special Issue in Memory of Bruce A. Kirchhoff","container-title":"Technovation","DOI":"10.1016/j.technovation.2013.02.003","ISSN":"0166-4972","issue":"8","journalAbbreviation":"Technovation","page":"276-291","source":"ScienceDirect","title":"Untangling the relationships among growth, profitability and survival in new firms","volume":"33","author":[{"family":"Delmar","given":"Frédéric"},{"family":"McKelvie","given":"Alexander"},{"family":"Wennberg","given":"Karl"}],"issued":{"date-parts":[["2013",8,1]]}}}],"schema":"https://github.com/citation-style-language/schema/raw/master/csl-citation.json"} </w:instrText>
      </w:r>
      <w:r>
        <w:rPr>
          <w:rFonts w:ascii="Times New Roman" w:eastAsia="SimSun" w:hAnsi="Times New Roman" w:cs="Times New Roman"/>
          <w:sz w:val="24"/>
        </w:rPr>
        <w:fldChar w:fldCharType="separate"/>
      </w:r>
      <w:r>
        <w:rPr>
          <w:rFonts w:ascii="Times New Roman" w:hAnsi="Times New Roman" w:cs="Times New Roman"/>
          <w:sz w:val="24"/>
        </w:rPr>
        <w:t>(Delmar et al., 2013)</w:t>
      </w:r>
      <w:r>
        <w:rPr>
          <w:rFonts w:ascii="Times New Roman" w:eastAsia="SimSun" w:hAnsi="Times New Roman" w:cs="Times New Roman"/>
          <w:sz w:val="24"/>
        </w:rPr>
        <w:fldChar w:fldCharType="end"/>
      </w:r>
      <w:r>
        <w:rPr>
          <w:rFonts w:ascii="Times New Roman" w:eastAsia="SimSun" w:hAnsi="Times New Roman" w:cs="Times New Roman"/>
          <w:sz w:val="24"/>
        </w:rPr>
        <w:t xml:space="preserve"> </w:t>
      </w:r>
      <w:commentRangeEnd w:id="2"/>
      <w:r w:rsidR="00D249D0">
        <w:rPr>
          <w:rStyle w:val="CommentReference"/>
        </w:rPr>
        <w:commentReference w:id="2"/>
      </w:r>
      <w:r>
        <w:rPr>
          <w:rFonts w:ascii="Times New Roman" w:eastAsia="SimSun" w:hAnsi="Times New Roman" w:cs="Times New Roman"/>
          <w:sz w:val="24"/>
        </w:rPr>
        <w:t>argued that a company's profitability serves as the driving force for continuous growth, while sustained growth, in turn, enhances its profitability.</w:t>
      </w:r>
      <w:r>
        <w:rPr>
          <w:rFonts w:ascii="Times New Roman" w:eastAsia="SimSun" w:hAnsi="Times New Roman" w:cs="Times New Roman" w:hint="eastAsia"/>
          <w:sz w:val="24"/>
        </w:rPr>
        <w:t xml:space="preserve"> </w:t>
      </w:r>
      <w:r>
        <w:rPr>
          <w:rFonts w:ascii="Times New Roman" w:eastAsia="SimSun" w:hAnsi="Times New Roman" w:cs="Times New Roman"/>
          <w:sz w:val="24"/>
        </w:rPr>
        <w:fldChar w:fldCharType="begin"/>
      </w:r>
      <w:r>
        <w:rPr>
          <w:rFonts w:ascii="Times New Roman" w:eastAsia="SimSun" w:hAnsi="Times New Roman" w:cs="Times New Roman"/>
          <w:sz w:val="24"/>
        </w:rPr>
        <w:instrText xml:space="preserve"> ADDIN ZOTERO_ITEM CSL_CITATION {"citationID":"Eac0j5Pl","properties":{"formattedCitation":"(Ball et al., 2015)","plainCitation":"(Ball et al., 2015)","noteIndex":0},"citationItems":[{"id":1297,"uris":["http://zotero.org/users/local/e4ezAbND/items/LLFMCF8Z"],"itemData":{"id":1297,"type":"article-journal","abstract":"Gross profit scaled by book value of total assets predicts the cross section of average returns. Novy-Marx (2013) concludes that it outperforms other measures of profitability such as bottom line net income, cash flows, and dividends. One potential explanation for the measure׳s predictive ability is that its numerator (gross profit) is a cleaner measure of economic profitability. An alternative explanation lies in the measure׳s deflator. We find that net income equals gross profit in predictive power when they have consistent deflators. Deflating profit by the book value of total assets results in a variable that is the product of profitability and the ratio of the market value of equity to the book value of total assets, which is priced. We then construct an alternative measure of profitability, operating profitability, which better matches current expenses with current revenue. This measure exhibits a far stronger link with expected returns than either net income or gross profit. It predicts returns as far as ten years ahead, seemingly inconsistent with irrational pricing explanations.","container-title":"Journal of Financial Economics","DOI":"10.1016/j.jfineco.2015.02.004","ISSN":"0304-405X","issue":"2","journalAbbreviation":"Journal of Financial Economics","page":"225-248","source":"ScienceDirect","title":"Deflating profitability","volume":"117","author":[{"family":"Ball","given":"Ray"},{"family":"Gerakos","given":"Joseph"},{"family":"Linnainmaa","given":"Juhani T."},{"family":"Nikolaev","given":"Valeri V."}],"issued":{"date-parts":[["2015",8,1]]}}}],"schema":"https://github.com/citation-style-language/schema/raw/master/csl-citation.json"} </w:instrText>
      </w:r>
      <w:r>
        <w:rPr>
          <w:rFonts w:ascii="Times New Roman" w:eastAsia="SimSun" w:hAnsi="Times New Roman" w:cs="Times New Roman"/>
          <w:sz w:val="24"/>
        </w:rPr>
        <w:fldChar w:fldCharType="separate"/>
      </w:r>
      <w:r>
        <w:rPr>
          <w:rFonts w:ascii="Times New Roman" w:hAnsi="Times New Roman" w:cs="Times New Roman"/>
          <w:sz w:val="24"/>
        </w:rPr>
        <w:t>(Ball et al., 2015)</w:t>
      </w:r>
      <w:r>
        <w:rPr>
          <w:rFonts w:ascii="Times New Roman" w:eastAsia="SimSun" w:hAnsi="Times New Roman" w:cs="Times New Roman"/>
          <w:sz w:val="24"/>
        </w:rPr>
        <w:fldChar w:fldCharType="end"/>
      </w:r>
      <w:r>
        <w:rPr>
          <w:rFonts w:ascii="Times New Roman" w:eastAsia="SimSun" w:hAnsi="Times New Roman" w:cs="Times New Roman"/>
          <w:sz w:val="24"/>
        </w:rPr>
        <w:t xml:space="preserve"> found that profitability can be analyzed through business operations, investment, and financing, </w:t>
      </w:r>
      <w:r>
        <w:rPr>
          <w:rFonts w:ascii="Times New Roman" w:eastAsia="SimSun" w:hAnsi="Times New Roman" w:cs="Times New Roman"/>
          <w:sz w:val="24"/>
        </w:rPr>
        <w:lastRenderedPageBreak/>
        <w:t>and that these factors can be used to predict a company's future profitability.</w:t>
      </w:r>
      <w:r>
        <w:rPr>
          <w:rFonts w:ascii="Times New Roman" w:eastAsia="SimSun" w:hAnsi="Times New Roman" w:cs="Times New Roman" w:hint="eastAsia"/>
          <w:sz w:val="24"/>
        </w:rPr>
        <w:t xml:space="preserve"> </w:t>
      </w:r>
      <w:r>
        <w:rPr>
          <w:rFonts w:ascii="Times New Roman" w:eastAsia="SimSun" w:hAnsi="Times New Roman" w:cs="Times New Roman"/>
          <w:sz w:val="24"/>
        </w:rPr>
        <w:fldChar w:fldCharType="begin"/>
      </w:r>
      <w:r>
        <w:rPr>
          <w:rFonts w:ascii="Times New Roman" w:eastAsia="SimSun" w:hAnsi="Times New Roman" w:cs="Times New Roman"/>
          <w:sz w:val="24"/>
        </w:rPr>
        <w:instrText xml:space="preserve"> ADDIN ZOTERO_ITEM CSL_CITATION {"citationID":"n81fUItX","properties":{"formattedCitation":"(Kim, 2016)","plainCitation":"(Kim, 2016)","noteIndex":0},"citationItems":[{"id":1300,"uris":["http://zotero.org/users/local/e4ezAbND/items/AH3WYKKU"],"itemData":{"id":1300,"type":"article-journal","abstract":"This study attempts to measure the financial performance of the food distribution company. In order to achieve the goal, this study have measured the ratios of ROE, ROA applying the DuPont analysis, which have been demonstrated with tables to show the change periodically. DuPont analysis is based on analysis of Return on Equity (ROE) &amp; Return on Investment (ROI). The return on equity disaggregate performance into three components: Net Profit Margin, Total Asset Turnover, and the Equity Multiplier. The return on investment consists of Assets Turnover (Operating Income&lt;TEX&gt;${\\times}$&lt;/TEX&gt;Total Assets) and Profit Margin (EBIT&lt;TEX&gt;${\\times}$&lt;/TEX&gt;Operating Income). From the study it if found that Hyundae Green Food's Financial performance is high followed by Foodmerce and then Dongwon home food and Lotte Food. The four companies are significant at their level. In conclusion, ROE &amp; ROI is the most comprehensive measure of profitability of a firm. It considers the operating and investing decisions can be made as well as the financing and their leverage-related decisions.","container-title":"Culinary science and hospitality research","ISSN":"2466-0752","issue":"6","language":"en-US","note":"publisher: Culinary Society of Korean Academy","page":"52-60","source":"koreascience.kr","title":"A study of financial performance using DuPont analysis in food distribution market","volume":"22","author":[{"family":"Kim","given":"Hak-Seon"}],"issued":{"date-parts":[["2016"]]}}}],"schema":"https://github.com/citation-style-language/schema/raw/master/csl-citation.json"} </w:instrText>
      </w:r>
      <w:r>
        <w:rPr>
          <w:rFonts w:ascii="Times New Roman" w:eastAsia="SimSun" w:hAnsi="Times New Roman" w:cs="Times New Roman"/>
          <w:sz w:val="24"/>
        </w:rPr>
        <w:fldChar w:fldCharType="separate"/>
      </w:r>
      <w:r>
        <w:rPr>
          <w:rFonts w:ascii="Times New Roman" w:hAnsi="Times New Roman" w:cs="Times New Roman"/>
          <w:sz w:val="24"/>
        </w:rPr>
        <w:t>(Kim, 2016)</w:t>
      </w:r>
      <w:r>
        <w:rPr>
          <w:rFonts w:ascii="Times New Roman" w:eastAsia="SimSun" w:hAnsi="Times New Roman" w:cs="Times New Roman"/>
          <w:sz w:val="24"/>
        </w:rPr>
        <w:fldChar w:fldCharType="end"/>
      </w:r>
      <w:r>
        <w:rPr>
          <w:rFonts w:ascii="Times New Roman" w:eastAsia="SimSun" w:hAnsi="Times New Roman" w:cs="Times New Roman"/>
          <w:sz w:val="24"/>
        </w:rPr>
        <w:t xml:space="preserve"> applied the DuPont analysis method to measure the ratio of ROE to ROA and presented its cyclical variations in tabular form. The study found that profitability can be comprehensively analyzed using ROE and ROI indicators, as this method considers the impact of operational investment and financial leverage on profitability.</w:t>
      </w:r>
      <w:r>
        <w:rPr>
          <w:rFonts w:ascii="Times New Roman" w:eastAsia="SimSun" w:hAnsi="Times New Roman" w:cs="Times New Roman" w:hint="eastAsia"/>
          <w:sz w:val="24"/>
        </w:rPr>
        <w:t xml:space="preserve"> </w:t>
      </w:r>
      <w:r>
        <w:rPr>
          <w:rFonts w:ascii="Times New Roman" w:eastAsia="SimSun" w:hAnsi="Times New Roman" w:cs="Times New Roman"/>
          <w:sz w:val="24"/>
        </w:rPr>
        <w:fldChar w:fldCharType="begin"/>
      </w:r>
      <w:r>
        <w:rPr>
          <w:rFonts w:ascii="Times New Roman" w:eastAsia="SimSun" w:hAnsi="Times New Roman" w:cs="Times New Roman"/>
          <w:sz w:val="24"/>
        </w:rPr>
        <w:instrText xml:space="preserve"> ADDIN ZOTERO_ITEM CSL_CITATION {"citationID":"yHXPg0j6","properties":{"formattedCitation":"(Wu et al., 2021)","plainCitation":"(Wu et al., 2021)","noteIndex":0},"citationItems":[{"id":1292,"uris":["http://zotero.org/users/local/e4ezAbND/items/II8RGHFQ"],"itemData":{"id":1292,"type":"article-journal","abstract":"Corporate social responsibility (CSR) is among the dominant multi-attribute methods of comprehensively representing the competitiveness of a company. A large number of studies have commonly found that profitability can positively affect CSR. However, positivity depends on firm type and the economy, and there is little research in this area. The objective of this paper is to study and verify whether the profitability of different types of companies has a comparable impact on CSR measures in Chinese appliance listed companies. A specific multi-attribute AHP (analytic hierarchy process) model was proposed to determine the CSR for the conditions of Chines appliance listed companies. The interactive regression model serves to analyse the impact of a firm type. The specific multi-attribute AHP model was verified as a suitable tool for CSR evaluation of Chines appliance listed companies. The regression results show that for family firms, the impact of profitability on CSR is significant, while for non-family firms, the impact was not confirmed. Thus, evidence that family firms fulfil better CSR than non-family firms in the investigated Chinese sector is offered. The findings provide proof that it is essential to distinguish firm types, and the generalised findings are simplified and not valid.","container-title":"Energies","DOI":"10.3390/en14010227","ISSN":"1996-1073","issue":"1","language":"en","license":"http://creativecommons.org/licenses/by/3.0/","note":"number: 1\npublisher: Multidisciplinary Digital Publishing Institute","page":"227","source":"www.mdpi.com","title":"Corporate social responsibility and profitability: The moderating role of firm type in Chinese appliance listed companies","title-short":"Corporate Social Responsibility and Profitability","volume":"14","author":[{"family":"Wu","given":"Xiaojuan"},{"family":"Dluhošová","given":"Dana"},{"family":"Zmeškal","given":"Zdeněk"}],"issued":{"date-parts":[["2021",1]]}}}],"schema":"https://github.com/citation-style-language/schema/raw/master/csl-citation.json"} </w:instrText>
      </w:r>
      <w:r>
        <w:rPr>
          <w:rFonts w:ascii="Times New Roman" w:eastAsia="SimSun" w:hAnsi="Times New Roman" w:cs="Times New Roman"/>
          <w:sz w:val="24"/>
        </w:rPr>
        <w:fldChar w:fldCharType="separate"/>
      </w:r>
      <w:r>
        <w:rPr>
          <w:rFonts w:ascii="Times New Roman" w:hAnsi="Times New Roman" w:cs="Times New Roman"/>
          <w:sz w:val="24"/>
        </w:rPr>
        <w:t>(Wu et al., 2021)</w:t>
      </w:r>
      <w:r>
        <w:rPr>
          <w:rFonts w:ascii="Times New Roman" w:eastAsia="SimSun" w:hAnsi="Times New Roman" w:cs="Times New Roman"/>
          <w:sz w:val="24"/>
        </w:rPr>
        <w:fldChar w:fldCharType="end"/>
      </w:r>
      <w:r>
        <w:rPr>
          <w:rFonts w:ascii="Times New Roman" w:eastAsia="SimSun" w:hAnsi="Times New Roman" w:cs="Times New Roman"/>
          <w:sz w:val="24"/>
        </w:rPr>
        <w:t xml:space="preserve"> found that a company's profitability has a positive impact on corporate social responsibility, and the extent to which a company fulfills its social responsibilities can, to some extent, reflect its profitability.</w:t>
      </w:r>
    </w:p>
    <w:p w14:paraId="3B1D5CD7" w14:textId="77777777" w:rsidR="00F4716C" w:rsidRDefault="00304B2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 xml:space="preserve">Currently, Chinese scholars primarily focus on two main directions in the study of corporate profitability analysis: On the one hand, research based on factor analysis and hierarchical analysis methods. For instance, </w:t>
      </w:r>
      <w:r>
        <w:rPr>
          <w:rFonts w:ascii="Times New Roman" w:eastAsia="SimSun" w:hAnsi="Times New Roman" w:cs="Times New Roman"/>
          <w:sz w:val="24"/>
        </w:rPr>
        <w:fldChar w:fldCharType="begin"/>
      </w:r>
      <w:r>
        <w:rPr>
          <w:rFonts w:ascii="Times New Roman" w:eastAsia="SimSun" w:hAnsi="Times New Roman" w:cs="Times New Roman"/>
          <w:sz w:val="24"/>
        </w:rPr>
        <w:instrText xml:space="preserve"> ADDIN ZOTERO_ITEM CSL_CITATION {"citationID":"ucy8Hxtu","properties":{"formattedCitation":"(Zhu, 2021)","plainCitation":"(Zhu, 2021)","noteIndex":0},"citationItems":[{"id":1278,"uris":["http://zotero.org/users/local/e4ezAbND/items/RASI9KZN"],"itemData":{</w:instrText>
      </w:r>
      <w:r>
        <w:rPr>
          <w:rFonts w:ascii="Times New Roman" w:eastAsia="SimSun" w:hAnsi="Times New Roman" w:cs="Times New Roman" w:hint="eastAsia"/>
          <w:sz w:val="24"/>
        </w:rPr>
        <w:instrText>"id":1278,"type":"thesis","abstract":"</w:instrText>
      </w:r>
      <w:r>
        <w:rPr>
          <w:rFonts w:ascii="Times New Roman" w:eastAsia="SimSun" w:hAnsi="Times New Roman" w:cs="Times New Roman" w:hint="eastAsia"/>
          <w:sz w:val="24"/>
        </w:rPr>
        <w:instrText>能源是推动人类社会繁荣和发展的根本动力。现代文明的不断发展使人们意识到传统能源对自然环境和人类可持续发展的危害</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世界各国政府出台相应政策以支持新能源产业发展。在这样的背景下</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新能源企业</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公司迎来了巨大的发展机遇。但由于该公司步入新能源整车行业时间不长</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还未实现规模化生产</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技术成本仍然较高</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政府对新能源汽车的补贴资金不断退坡</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公司的发展存在太多的不确定性。因此</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本文选取</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公司作为研究对象</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采取文献研究法、比较分析法和实证分析法对</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公司盈利能力展开全面的评价</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保证企业能够可持续健康发展。本文通过文献研究法、比较分析法和实证研究法对</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公司的盈利能力进行评价</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通过对盈利能力的相关内容进行概述</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阐明了</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公司盈利能力评价研究的理论框架</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然后依据盈利能力指标选取原则</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结合新能源行业特点</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分别从盈利数量性、盈利获现性、盈利成长性和收益质量四个方面构建</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公司盈利能力综合指标体系。通过计算和整理</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w:instrText>
      </w:r>
      <w:r>
        <w:rPr>
          <w:rFonts w:ascii="Times New Roman" w:eastAsia="SimSun" w:hAnsi="Times New Roman" w:cs="Times New Roman" w:hint="eastAsia"/>
          <w:sz w:val="24"/>
        </w:rPr>
        <w:instrText>2014</w:instrText>
      </w:r>
      <w:r>
        <w:rPr>
          <w:rFonts w:ascii="Times New Roman" w:eastAsia="SimSun" w:hAnsi="Times New Roman" w:cs="Times New Roman" w:hint="eastAsia"/>
          <w:sz w:val="24"/>
        </w:rPr>
        <w:instrText>年至</w:instrText>
      </w:r>
      <w:r>
        <w:rPr>
          <w:rFonts w:ascii="Times New Roman" w:eastAsia="SimSun" w:hAnsi="Times New Roman" w:cs="Times New Roman" w:hint="eastAsia"/>
          <w:sz w:val="24"/>
        </w:rPr>
        <w:instrText>2018</w:instrText>
      </w:r>
      <w:r>
        <w:rPr>
          <w:rFonts w:ascii="Times New Roman" w:eastAsia="SimSun" w:hAnsi="Times New Roman" w:cs="Times New Roman" w:hint="eastAsia"/>
          <w:sz w:val="24"/>
        </w:rPr>
        <w:instrText>年的评价指标</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将其与同行业</w:instrText>
      </w:r>
      <w:r>
        <w:rPr>
          <w:rFonts w:ascii="Times New Roman" w:eastAsia="SimSun" w:hAnsi="Times New Roman" w:cs="Times New Roman" w:hint="eastAsia"/>
          <w:sz w:val="24"/>
        </w:rPr>
        <w:instrText>30</w:instrText>
      </w:r>
      <w:r>
        <w:rPr>
          <w:rFonts w:ascii="Times New Roman" w:eastAsia="SimSun" w:hAnsi="Times New Roman" w:cs="Times New Roman" w:hint="eastAsia"/>
          <w:sz w:val="24"/>
        </w:rPr>
        <w:instrText>家新能源化工企业评价指标的平均值进行对比</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通过对指标的对比分析</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发现</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公司大部分指标数值低于同行业平均值</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部分盈利能力指标存在数据持续下滑现象。为更加综合全面的分析企业的盈利能力</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本文基于因子分析法构建了</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公司盈利能力评价模型</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提取盈利能力数量因子、盈利能力获现因子和盈利能力成长因子为主因子</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并对</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公司的盈利能力进行打分。根据综合得分及排名结果</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发现</w:instrText>
      </w:r>
      <w:r>
        <w:rPr>
          <w:rFonts w:ascii="Times New Roman" w:eastAsia="SimSun" w:hAnsi="Times New Roman" w:cs="Times New Roman" w:hint="eastAsia"/>
          <w:sz w:val="24"/>
        </w:rPr>
        <w:instrText>D</w:instrText>
      </w:r>
      <w:r>
        <w:rPr>
          <w:rFonts w:ascii="Times New Roman" w:eastAsia="SimSun" w:hAnsi="Times New Roman" w:cs="Times New Roman" w:hint="eastAsia"/>
          <w:sz w:val="24"/>
        </w:rPr>
        <w:instrText>公司盈利能力水平在行业中排名较低</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通过对主因子进行分析</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发现影响企业盈利能力的主要因素有成本控制、应收账款管理、政府补贴和研发创新投入四个方面</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通过以上分析</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本文有针对性的提出加强成本管理、健全应收账款保障机制、以市场为导向推进整车项目的发展以及加大研发创新投入的建议</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为提高企业的盈利能力提供参考。</w:instrText>
      </w:r>
      <w:r>
        <w:rPr>
          <w:rFonts w:ascii="Times New Roman" w:eastAsia="SimSun" w:hAnsi="Times New Roman" w:cs="Times New Roman" w:hint="eastAsia"/>
          <w:sz w:val="24"/>
        </w:rPr>
        <w:instrText xml:space="preserve">","genre":"Dissertation for the Professional Master Degree","language":"zh-CN","note":"DOI: 10.27010/d.cnki.gdbnu.2020.000548\nmajor: </w:instrText>
      </w:r>
      <w:r>
        <w:rPr>
          <w:rFonts w:ascii="Times New Roman" w:eastAsia="SimSun" w:hAnsi="Times New Roman" w:cs="Times New Roman" w:hint="eastAsia"/>
          <w:sz w:val="24"/>
        </w:rPr>
        <w:instrText>会计硕士（专业学位）</w:instrText>
      </w:r>
      <w:r>
        <w:rPr>
          <w:rFonts w:ascii="Times New Roman" w:eastAsia="SimSun" w:hAnsi="Times New Roman" w:cs="Times New Roman" w:hint="eastAsia"/>
          <w:sz w:val="24"/>
        </w:rPr>
        <w:instrText xml:space="preserve">\ndownload: 1699\nalbum: </w:instrText>
      </w:r>
      <w:r>
        <w:rPr>
          <w:rFonts w:ascii="Times New Roman" w:eastAsia="SimSun" w:hAnsi="Times New Roman" w:cs="Times New Roman" w:hint="eastAsia"/>
          <w:sz w:val="24"/>
        </w:rPr>
        <w:instrText>工程科技Ⅱ辑</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经济与管理科学</w:instrText>
      </w:r>
      <w:r>
        <w:rPr>
          <w:rFonts w:ascii="Times New Roman" w:eastAsia="SimSun" w:hAnsi="Times New Roman" w:cs="Times New Roman" w:hint="eastAsia"/>
          <w:sz w:val="24"/>
        </w:rPr>
        <w:instrText>\nCLC: F426.471;F406.7\ndbcode: CMFD\ndbname: CMFD2</w:instrText>
      </w:r>
      <w:r>
        <w:rPr>
          <w:rFonts w:ascii="Times New Roman" w:eastAsia="SimSun" w:hAnsi="Times New Roman" w:cs="Times New Roman"/>
          <w:sz w:val="24"/>
        </w:rPr>
        <w:instrText xml:space="preserve">02101\nfilename: 1020078427.nh","number-of-pages":"58","publisher":"Northeast Agricultural University","source":"CNKI","title":"Research on Profitability Evaluation  of D Company","URL":"https://doi.org/10.27010/d.cnki.gdbnu.2020.000548","author":[{"family":"Zhu","given":"Yining"}],"contributor":[{"family":"Chen","given":"Fengxia"},{"family":"Guo","given":"Maolin"}],"accessed":{"date-parts":[["2025",1,4]]},"issued":{"date-parts":[["2021"]]}}}],"schema":"https://github.com/citation-style-language/schema/raw/master/csl-citation.json"} </w:instrText>
      </w:r>
      <w:r>
        <w:rPr>
          <w:rFonts w:ascii="Times New Roman" w:eastAsia="SimSun" w:hAnsi="Times New Roman" w:cs="Times New Roman"/>
          <w:sz w:val="24"/>
        </w:rPr>
        <w:fldChar w:fldCharType="separate"/>
      </w:r>
      <w:r>
        <w:rPr>
          <w:rFonts w:ascii="Times New Roman" w:hAnsi="Times New Roman" w:cs="Times New Roman"/>
          <w:sz w:val="24"/>
        </w:rPr>
        <w:t>(Zhu, 2021)</w:t>
      </w:r>
      <w:r>
        <w:rPr>
          <w:rFonts w:ascii="Times New Roman" w:eastAsia="SimSun" w:hAnsi="Times New Roman" w:cs="Times New Roman"/>
          <w:sz w:val="24"/>
        </w:rPr>
        <w:fldChar w:fldCharType="end"/>
      </w:r>
      <w:r>
        <w:rPr>
          <w:rFonts w:ascii="Times New Roman" w:eastAsia="SimSun" w:hAnsi="Times New Roman" w:cs="Times New Roman"/>
          <w:sz w:val="24"/>
        </w:rPr>
        <w:t xml:space="preserve"> evaluated the profitability of Company D using factor analysis, while </w:t>
      </w:r>
      <w:r>
        <w:rPr>
          <w:rFonts w:ascii="Times New Roman" w:eastAsia="SimSun" w:hAnsi="Times New Roman" w:cs="Times New Roman"/>
          <w:sz w:val="24"/>
        </w:rPr>
        <w:fldChar w:fldCharType="begin"/>
      </w:r>
      <w:r>
        <w:rPr>
          <w:rFonts w:ascii="Times New Roman" w:eastAsia="SimSun" w:hAnsi="Times New Roman" w:cs="Times New Roman"/>
          <w:sz w:val="24"/>
        </w:rPr>
        <w:instrText xml:space="preserve"> ADDIN ZOTERO_ITEM CSL_CITATION {"citationID":"XOKMSwzX","properties":{"formattedCitation":"(Shao, 2023)","plainCitation":"(Shao, 2023)","noteIndex":0},"citationItems":[{"id":1280,"uris":["http://zotero.org/users/local/e4ezAbND/items/ZTZPTDD2"],"itemData"</w:instrText>
      </w:r>
      <w:r>
        <w:rPr>
          <w:rFonts w:ascii="Times New Roman" w:eastAsia="SimSun" w:hAnsi="Times New Roman" w:cs="Times New Roman" w:hint="eastAsia"/>
          <w:sz w:val="24"/>
        </w:rPr>
        <w:instrText>:{"id":1280,"type":"article-journal","abstract":"</w:instrText>
      </w:r>
      <w:r>
        <w:rPr>
          <w:rFonts w:ascii="Times New Roman" w:eastAsia="SimSun" w:hAnsi="Times New Roman" w:cs="Times New Roman" w:hint="eastAsia"/>
          <w:sz w:val="24"/>
        </w:rPr>
        <w:instrText>公司的盈利能力是衡量公司发展状况的重要标志。选取国内</w:instrText>
      </w:r>
      <w:r>
        <w:rPr>
          <w:rFonts w:ascii="Times New Roman" w:eastAsia="SimSun" w:hAnsi="Times New Roman" w:cs="Times New Roman" w:hint="eastAsia"/>
          <w:sz w:val="24"/>
        </w:rPr>
        <w:instrText>35</w:instrText>
      </w:r>
      <w:r>
        <w:rPr>
          <w:rFonts w:ascii="Times New Roman" w:eastAsia="SimSun" w:hAnsi="Times New Roman" w:cs="Times New Roman" w:hint="eastAsia"/>
          <w:sz w:val="24"/>
        </w:rPr>
        <w:instrText>家上市物流公司为研究样本，运用因子分析法对公司盈利能力测度指标进行评分与排序，以此分析公司盈利能力中存在的一些问题并给出相应的建议。</w:instrText>
      </w:r>
      <w:r>
        <w:rPr>
          <w:rFonts w:ascii="Times New Roman" w:eastAsia="SimSun" w:hAnsi="Times New Roman" w:cs="Times New Roman" w:hint="eastAsia"/>
          <w:sz w:val="24"/>
        </w:rPr>
        <w:instrText xml:space="preserve">","container-title":"Logistics Technology","issue":"10","language":"zh-CN","note":"download: 1108\nalbum: </w:instrText>
      </w:r>
      <w:r>
        <w:rPr>
          <w:rFonts w:ascii="Times New Roman" w:eastAsia="SimSun" w:hAnsi="Times New Roman" w:cs="Times New Roman" w:hint="eastAsia"/>
          <w:sz w:val="24"/>
        </w:rPr>
        <w:instrText>经济与管理科学</w:instrText>
      </w:r>
      <w:r>
        <w:rPr>
          <w:rFonts w:ascii="Times New Roman" w:eastAsia="SimSun" w:hAnsi="Times New Roman" w:cs="Times New Roman" w:hint="eastAsia"/>
          <w:sz w:val="24"/>
        </w:rPr>
        <w:instrText>\nCLC: F832.51;F253.7;F259.23\ndbcode: CJFQ\ndbname: CJFDLAST2023\nfilename: WLJS202310012","page":"46-49","source":"CNKI","title":"Evaluation of Profitability of Listed Logistics Companies Based on Factor Analysis","volume":"42","author":[{"family":"Sha</w:instrText>
      </w:r>
      <w:r>
        <w:rPr>
          <w:rFonts w:ascii="Times New Roman" w:eastAsia="SimSun" w:hAnsi="Times New Roman" w:cs="Times New Roman"/>
          <w:sz w:val="24"/>
        </w:rPr>
        <w:instrText xml:space="preserve">o","given":"Keying"}],"issued":{"date-parts":[["2023"]]}}}],"schema":"https://github.com/citation-style-language/schema/raw/master/csl-citation.json"} </w:instrText>
      </w:r>
      <w:r>
        <w:rPr>
          <w:rFonts w:ascii="Times New Roman" w:eastAsia="SimSun" w:hAnsi="Times New Roman" w:cs="Times New Roman"/>
          <w:sz w:val="24"/>
        </w:rPr>
        <w:fldChar w:fldCharType="separate"/>
      </w:r>
      <w:r>
        <w:rPr>
          <w:rFonts w:ascii="Times New Roman" w:hAnsi="Times New Roman" w:cs="Times New Roman"/>
          <w:sz w:val="24"/>
        </w:rPr>
        <w:t>(Shao, 2023)</w:t>
      </w:r>
      <w:r>
        <w:rPr>
          <w:rFonts w:ascii="Times New Roman" w:eastAsia="SimSun" w:hAnsi="Times New Roman" w:cs="Times New Roman"/>
          <w:sz w:val="24"/>
        </w:rPr>
        <w:fldChar w:fldCharType="end"/>
      </w:r>
      <w:r>
        <w:rPr>
          <w:rFonts w:ascii="Times New Roman" w:eastAsia="SimSun" w:hAnsi="Times New Roman" w:cs="Times New Roman"/>
          <w:sz w:val="24"/>
        </w:rPr>
        <w:t xml:space="preserve"> applied the same method to study the profitability of logistics enterprises. In contrast, </w:t>
      </w:r>
      <w:r>
        <w:rPr>
          <w:rFonts w:ascii="Times New Roman" w:eastAsia="SimSun" w:hAnsi="Times New Roman" w:cs="Times New Roman"/>
          <w:sz w:val="24"/>
        </w:rPr>
        <w:fldChar w:fldCharType="begin"/>
      </w:r>
      <w:r>
        <w:rPr>
          <w:rFonts w:ascii="Times New Roman" w:eastAsia="SimSun" w:hAnsi="Times New Roman" w:cs="Times New Roman"/>
          <w:sz w:val="24"/>
        </w:rPr>
        <w:instrText xml:space="preserve"> ADDIN ZOTERO_ITEM CSL_CITATION {"citationID":"8vyOzuO4","properties":{"formattedCitation":"(Chen, 2019)","plainCitation":"(Chen, 2019)","noteIndex":0},"citationItems":[{"id":1284,"uris":["http://zotero.org/users/local/e4ezAbND/items/V6GLS7BP"],"itemData"</w:instrText>
      </w:r>
      <w:r>
        <w:rPr>
          <w:rFonts w:ascii="Times New Roman" w:eastAsia="SimSun" w:hAnsi="Times New Roman" w:cs="Times New Roman" w:hint="eastAsia"/>
          <w:sz w:val="24"/>
        </w:rPr>
        <w:instrText>:{"id":1284,"type":"article-journal","abstract":"</w:instrText>
      </w:r>
      <w:r>
        <w:rPr>
          <w:rFonts w:ascii="Times New Roman" w:eastAsia="SimSun" w:hAnsi="Times New Roman" w:cs="Times New Roman" w:hint="eastAsia"/>
          <w:sz w:val="24"/>
        </w:rPr>
        <w:instrText>本文在借鉴已有理论成果的基础上</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结合上市互联网企业特点构建盈利能力评价指标体系</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从不同维度对企业盈利能力进行测量</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分析企业轻资产运营特点</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并从客户资源、科技创新及人才培养等角度提出提升盈利能力的意见建议</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以期帮助互联网上市企业提升管理水平、增强盈利能力</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助推企业健康发展。</w:instrText>
      </w:r>
      <w:r>
        <w:rPr>
          <w:rFonts w:ascii="Times New Roman" w:eastAsia="SimSun" w:hAnsi="Times New Roman" w:cs="Times New Roman" w:hint="eastAsia"/>
          <w:sz w:val="24"/>
        </w:rPr>
        <w:instrText xml:space="preserve">","container-title":"Communication of Finance and Accounting","DOI":"10.16144/j.cnki.issn1002-8072.2019.17.013","issue":"17","language":"zh-CN","note":"download: 11882\nalbum: </w:instrText>
      </w:r>
      <w:r>
        <w:rPr>
          <w:rFonts w:ascii="Times New Roman" w:eastAsia="SimSun" w:hAnsi="Times New Roman" w:cs="Times New Roman" w:hint="eastAsia"/>
          <w:sz w:val="24"/>
        </w:rPr>
        <w:instrText>经济与管理科学</w:instrText>
      </w:r>
      <w:r>
        <w:rPr>
          <w:rFonts w:ascii="Times New Roman" w:eastAsia="SimSun" w:hAnsi="Times New Roman" w:cs="Times New Roman" w:hint="eastAsia"/>
          <w:sz w:val="24"/>
        </w:rPr>
        <w:instrText>\nCLC: F275;F49;F832.51\ndbcode: CJFQ\ndbname: CJFDLAST2019\nfilename: CKTX201917014","page":"58-62","source":"CNKI","title":"Profitability An</w:instrText>
      </w:r>
      <w:r>
        <w:rPr>
          <w:rFonts w:ascii="Times New Roman" w:eastAsia="SimSun" w:hAnsi="Times New Roman" w:cs="Times New Roman"/>
          <w:sz w:val="24"/>
        </w:rPr>
        <w:instrText xml:space="preserve">alysis of Internet-Listed Companies under the Asset-Light Model","author":[{"family":"Chen","given":"Xinzi"}],"issued":{"date-parts":[["2019"]]}}}],"schema":"https://github.com/citation-style-language/schema/raw/master/csl-citation.json"} </w:instrText>
      </w:r>
      <w:r>
        <w:rPr>
          <w:rFonts w:ascii="Times New Roman" w:eastAsia="SimSun" w:hAnsi="Times New Roman" w:cs="Times New Roman"/>
          <w:sz w:val="24"/>
        </w:rPr>
        <w:fldChar w:fldCharType="separate"/>
      </w:r>
      <w:r>
        <w:rPr>
          <w:rFonts w:ascii="Times New Roman" w:hAnsi="Times New Roman" w:cs="Times New Roman"/>
          <w:sz w:val="24"/>
        </w:rPr>
        <w:t>(Chen, 2019)</w:t>
      </w:r>
      <w:r>
        <w:rPr>
          <w:rFonts w:ascii="Times New Roman" w:eastAsia="SimSun" w:hAnsi="Times New Roman" w:cs="Times New Roman"/>
          <w:sz w:val="24"/>
        </w:rPr>
        <w:fldChar w:fldCharType="end"/>
      </w:r>
      <w:r>
        <w:rPr>
          <w:rFonts w:ascii="Times New Roman" w:eastAsia="SimSun" w:hAnsi="Times New Roman" w:cs="Times New Roman"/>
          <w:sz w:val="24"/>
        </w:rPr>
        <w:t xml:space="preserve"> and other scholars employed hierarchical analysis to assess the profitability of internet-listed companies operating under an asset-light model and shared bicycle enterprises.</w:t>
      </w:r>
      <w:r>
        <w:rPr>
          <w:rFonts w:ascii="Times New Roman" w:eastAsia="SimSun" w:hAnsi="Times New Roman" w:cs="Times New Roman" w:hint="eastAsia"/>
          <w:sz w:val="24"/>
        </w:rPr>
        <w:t xml:space="preserve"> </w:t>
      </w:r>
      <w:r>
        <w:rPr>
          <w:rFonts w:ascii="Times New Roman" w:eastAsia="SimSun" w:hAnsi="Times New Roman" w:cs="Times New Roman"/>
          <w:sz w:val="24"/>
        </w:rPr>
        <w:t xml:space="preserve">On the other hand, research based on the DuPont analysis method is also widely conducted. </w:t>
      </w:r>
      <w:r>
        <w:rPr>
          <w:rFonts w:ascii="Times New Roman" w:eastAsia="SimSun" w:hAnsi="Times New Roman" w:cs="Times New Roman"/>
          <w:sz w:val="24"/>
        </w:rPr>
        <w:fldChar w:fldCharType="begin"/>
      </w:r>
      <w:r>
        <w:rPr>
          <w:rFonts w:ascii="Times New Roman" w:eastAsia="SimSun" w:hAnsi="Times New Roman" w:cs="Times New Roman"/>
          <w:sz w:val="24"/>
        </w:rPr>
        <w:instrText xml:space="preserve"> ADDIN ZOTERO_ITEM CSL_CITATION {"citationID":"c1kjhPo8","properties":{"formattedCitation":"(Gao, 2020)","plainCitation":"(Gao, 2020)","noteIndex":0},"citationItems":[{"id":1286,"uris":["http://zotero.org/users/local/e4ezAbND/items/79ADYH69"],"itemData":{</w:instrText>
      </w:r>
      <w:r>
        <w:rPr>
          <w:rFonts w:ascii="Times New Roman" w:eastAsia="SimSun" w:hAnsi="Times New Roman" w:cs="Times New Roman" w:hint="eastAsia"/>
          <w:sz w:val="24"/>
        </w:rPr>
        <w:instrText>"id":1286,"type":"article-journal","abstract":"</w:instrText>
      </w:r>
      <w:r>
        <w:rPr>
          <w:rFonts w:ascii="Times New Roman" w:eastAsia="SimSun" w:hAnsi="Times New Roman" w:cs="Times New Roman" w:hint="eastAsia"/>
          <w:sz w:val="24"/>
        </w:rPr>
        <w:instrText>当前</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我国现代市场经济在快速的发展</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对企业在财务管理方面的要求越来越高</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企业必须建立起财务分析体系。杜邦财务分析体系能帮助企业管理者对于财务综合情况的深度分析和评价</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杜邦财务分析体系是目前企业较为常用的一种方法。本文分析了杜邦财务分析体系相关的各个文献资料</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在这个基础上面在根据目前经济的主要发展方向</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对以往传统型的杜邦财务分析体系当中所存在的一些问题进行分析</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针对这些问题提出相关的建议与改进策略</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很大程度地扩展开了财务分析方面的研究内容</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为以后研究提供的参考方向</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以期为现代企业对财务管理的优化提供一定的参考价值。</w:instrText>
      </w:r>
      <w:r>
        <w:rPr>
          <w:rFonts w:ascii="Times New Roman" w:eastAsia="SimSun" w:hAnsi="Times New Roman" w:cs="Times New Roman" w:hint="eastAsia"/>
          <w:sz w:val="24"/>
        </w:rPr>
        <w:instrText xml:space="preserve">","container-title":"China Circulation Economy","DOI":"10.16834/j.cnki.issn1009-5292.2020.01.091","issue":"1","language":"zh-CN","note":"download: 2517\nalbum: </w:instrText>
      </w:r>
      <w:r>
        <w:rPr>
          <w:rFonts w:ascii="Times New Roman" w:eastAsia="SimSun" w:hAnsi="Times New Roman" w:cs="Times New Roman" w:hint="eastAsia"/>
          <w:sz w:val="24"/>
        </w:rPr>
        <w:instrText>经济与管理科学</w:instrText>
      </w:r>
      <w:r>
        <w:rPr>
          <w:rFonts w:ascii="Times New Roman" w:eastAsia="SimSun" w:hAnsi="Times New Roman" w:cs="Times New Roman" w:hint="eastAsia"/>
          <w:sz w:val="24"/>
        </w:rPr>
        <w:instrText>\nCLC: F275\ndbcode: CJFQ\ndbname: CJ</w:instrText>
      </w:r>
      <w:r>
        <w:rPr>
          <w:rFonts w:ascii="Times New Roman" w:eastAsia="SimSun" w:hAnsi="Times New Roman" w:cs="Times New Roman"/>
          <w:sz w:val="24"/>
        </w:rPr>
        <w:instrText xml:space="preserve">FDLAST2020\nfilename: QGSQ202001092","page":"189-190","source":"CNKI","title":"Improvements and Developments in the DuPont Financial Analysis System","author":[{"family":"Gao","given":"Yixuan"}],"issued":{"date-parts":[["2020"]]}}}],"schema":"https://github.com/citation-style-language/schema/raw/master/csl-citation.json"} </w:instrText>
      </w:r>
      <w:r>
        <w:rPr>
          <w:rFonts w:ascii="Times New Roman" w:eastAsia="SimSun" w:hAnsi="Times New Roman" w:cs="Times New Roman"/>
          <w:sz w:val="24"/>
        </w:rPr>
        <w:fldChar w:fldCharType="separate"/>
      </w:r>
      <w:r>
        <w:rPr>
          <w:rFonts w:ascii="Times New Roman" w:hAnsi="Times New Roman" w:cs="Times New Roman"/>
          <w:sz w:val="24"/>
        </w:rPr>
        <w:t>(Gao, 2020)</w:t>
      </w:r>
      <w:r>
        <w:rPr>
          <w:rFonts w:ascii="Times New Roman" w:eastAsia="SimSun" w:hAnsi="Times New Roman" w:cs="Times New Roman"/>
          <w:sz w:val="24"/>
        </w:rPr>
        <w:fldChar w:fldCharType="end"/>
      </w:r>
      <w:r>
        <w:rPr>
          <w:rFonts w:ascii="Times New Roman" w:eastAsia="SimSun" w:hAnsi="Times New Roman" w:cs="Times New Roman"/>
          <w:sz w:val="24"/>
        </w:rPr>
        <w:t xml:space="preserve"> proposed incorporating targeted financial indicators into the DuPont analysis framework to evaluate corporate development capabilities. Additionally, the inclusion of cash flow indicators enhances the dynamism of financial analysis, thereby improving its comprehensiveness and scientific rigor.</w:t>
      </w:r>
      <w:r>
        <w:rPr>
          <w:rFonts w:ascii="Times New Roman" w:eastAsia="SimSun" w:hAnsi="Times New Roman" w:cs="Times New Roman" w:hint="eastAsia"/>
          <w:sz w:val="24"/>
        </w:rPr>
        <w:t xml:space="preserve"> </w:t>
      </w:r>
      <w:r>
        <w:rPr>
          <w:rFonts w:ascii="Times New Roman" w:eastAsia="SimSun" w:hAnsi="Times New Roman" w:cs="Times New Roman"/>
          <w:sz w:val="24"/>
        </w:rPr>
        <w:fldChar w:fldCharType="begin"/>
      </w:r>
      <w:r>
        <w:rPr>
          <w:rFonts w:ascii="Times New Roman" w:eastAsia="SimSun" w:hAnsi="Times New Roman" w:cs="Times New Roman"/>
          <w:sz w:val="24"/>
        </w:rPr>
        <w:instrText xml:space="preserve"> ADDIN ZOTERO_ITEM CSL_CITATION {"citationID":"9v2gmqLD","properties":{"formattedCitation":"(Wang, 2020)","plainCitation":"(Wang, 2020)","noteIndex":0},"citationItems":[{"id":1288,"uris":["http://zotero.org/users/local/e4ezAbND/items/UDCWILWT"],"itemData"</w:instrText>
      </w:r>
      <w:r>
        <w:rPr>
          <w:rFonts w:ascii="Times New Roman" w:eastAsia="SimSun" w:hAnsi="Times New Roman" w:cs="Times New Roman" w:hint="eastAsia"/>
          <w:sz w:val="24"/>
        </w:rPr>
        <w:instrText>:{"id":1288,"type":"article-journal","abstract":"</w:instrText>
      </w:r>
      <w:r>
        <w:rPr>
          <w:rFonts w:ascii="Times New Roman" w:eastAsia="SimSun" w:hAnsi="Times New Roman" w:cs="Times New Roman" w:hint="eastAsia"/>
          <w:sz w:val="24"/>
        </w:rPr>
        <w:instrText>杜邦财务分析体系主要是以权益净利率为核心</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分解为总资产收益率、销售净利率和权益乘数三个基础的财务指标。对杜邦财务分析体系的分解</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不仅可以反映出企业的财务策略</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还能体现出企业的战略经营方针。但是随时现代化企业发展日益复杂</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传统的杜邦财务分析体系已经不能全面满足企业财务分析的需求。本文从引入可持续增长率和现金流量状况两个方面</w:instrText>
      </w:r>
      <w:r>
        <w:rPr>
          <w:rFonts w:ascii="Times New Roman" w:eastAsia="SimSun" w:hAnsi="Times New Roman" w:cs="Times New Roman" w:hint="eastAsia"/>
          <w:sz w:val="24"/>
        </w:rPr>
        <w:instrText>,</w:instrText>
      </w:r>
      <w:r>
        <w:rPr>
          <w:rFonts w:ascii="Times New Roman" w:eastAsia="SimSun" w:hAnsi="Times New Roman" w:cs="Times New Roman" w:hint="eastAsia"/>
          <w:sz w:val="24"/>
        </w:rPr>
        <w:instrText>进一步完善传统杜邦财务分析体系。</w:instrText>
      </w:r>
      <w:r>
        <w:rPr>
          <w:rFonts w:ascii="Times New Roman" w:eastAsia="SimSun" w:hAnsi="Times New Roman" w:cs="Times New Roman" w:hint="eastAsia"/>
          <w:sz w:val="24"/>
        </w:rPr>
        <w:instrText xml:space="preserve">","container-title":"Money Chian","issue":"25","language":"zh-CN","note":"download: 1004\nalbum: </w:instrText>
      </w:r>
      <w:r>
        <w:rPr>
          <w:rFonts w:ascii="Times New Roman" w:eastAsia="SimSun" w:hAnsi="Times New Roman" w:cs="Times New Roman" w:hint="eastAsia"/>
          <w:sz w:val="24"/>
        </w:rPr>
        <w:instrText>经济与管理科学</w:instrText>
      </w:r>
      <w:r>
        <w:rPr>
          <w:rFonts w:ascii="Times New Roman" w:eastAsia="SimSun" w:hAnsi="Times New Roman" w:cs="Times New Roman" w:hint="eastAsia"/>
          <w:sz w:val="24"/>
        </w:rPr>
        <w:instrText>\nCLC: F275\ndbcode: CJFQ\ndbname: CJFDLAST2020\nfilename: CJJI202025082","page":"141-142","source":"CNKI","title":"Research on the Improved DuPont Financial Analysis System","aut</w:instrText>
      </w:r>
      <w:r>
        <w:rPr>
          <w:rFonts w:ascii="Times New Roman" w:eastAsia="SimSun" w:hAnsi="Times New Roman" w:cs="Times New Roman"/>
          <w:sz w:val="24"/>
        </w:rPr>
        <w:instrText xml:space="preserve">hor":[{"family":"Wang","given":"Gangxu"}],"issued":{"date-parts":[["2020"]]}}}],"schema":"https://github.com/citation-style-language/schema/raw/master/csl-citation.json"} </w:instrText>
      </w:r>
      <w:r>
        <w:rPr>
          <w:rFonts w:ascii="Times New Roman" w:eastAsia="SimSun" w:hAnsi="Times New Roman" w:cs="Times New Roman"/>
          <w:sz w:val="24"/>
        </w:rPr>
        <w:fldChar w:fldCharType="separate"/>
      </w:r>
      <w:r>
        <w:rPr>
          <w:rFonts w:ascii="Times New Roman" w:hAnsi="Times New Roman" w:cs="Times New Roman"/>
          <w:sz w:val="24"/>
        </w:rPr>
        <w:t>(Wang, 2020)</w:t>
      </w:r>
      <w:r>
        <w:rPr>
          <w:rFonts w:ascii="Times New Roman" w:eastAsia="SimSun" w:hAnsi="Times New Roman" w:cs="Times New Roman"/>
          <w:sz w:val="24"/>
        </w:rPr>
        <w:fldChar w:fldCharType="end"/>
      </w:r>
      <w:r>
        <w:rPr>
          <w:rFonts w:ascii="Times New Roman" w:eastAsia="SimSun" w:hAnsi="Times New Roman" w:cs="Times New Roman"/>
          <w:sz w:val="24"/>
        </w:rPr>
        <w:t xml:space="preserve"> further suggested incorporating the sustainable growth rate and cash flow indicators into the analytical framework to enhance the rationality and systematic nature of financial analysis.</w:t>
      </w:r>
      <w:r>
        <w:rPr>
          <w:rFonts w:ascii="Times New Roman" w:eastAsia="SimSun" w:hAnsi="Times New Roman" w:cs="Times New Roman" w:hint="eastAsia"/>
          <w:sz w:val="24"/>
        </w:rPr>
        <w:t xml:space="preserve"> </w:t>
      </w:r>
      <w:r>
        <w:rPr>
          <w:rFonts w:ascii="Times New Roman" w:eastAsia="SimSun" w:hAnsi="Times New Roman" w:cs="Times New Roman"/>
          <w:sz w:val="24"/>
        </w:rPr>
        <w:t>These studies provide a theoretical foundation and methodological support for the multidimensional evaluation of corporate profitability, highlighting the advantages and characteristics of different analytical approaches in practical applications.</w:t>
      </w:r>
    </w:p>
    <w:p w14:paraId="707F7241" w14:textId="77777777" w:rsidR="00F4716C" w:rsidRDefault="00304B2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 xml:space="preserve">Based on this, this study selects Three Squirrels, </w:t>
      </w:r>
      <w:proofErr w:type="spellStart"/>
      <w:r>
        <w:rPr>
          <w:rFonts w:ascii="Times New Roman" w:eastAsia="SimSun" w:hAnsi="Times New Roman" w:cs="Times New Roman"/>
          <w:sz w:val="24"/>
        </w:rPr>
        <w:t>Bestore</w:t>
      </w:r>
      <w:proofErr w:type="spellEnd"/>
      <w:r>
        <w:rPr>
          <w:rFonts w:ascii="Times New Roman" w:eastAsia="SimSun" w:hAnsi="Times New Roman" w:cs="Times New Roman"/>
          <w:sz w:val="24"/>
        </w:rPr>
        <w:t xml:space="preserve">, and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as research subjects and systematically analyzes the components of their profit models from 2019 to 2023. The study utilizes financial data and relevant business information, combined with the DuPont analysis method, to compare the profitability of the three companies by examining key indicators such as return on equity (ROE), profit margin </w:t>
      </w:r>
      <w:r>
        <w:rPr>
          <w:rFonts w:ascii="Times New Roman" w:eastAsia="SimSun" w:hAnsi="Times New Roman" w:cs="Times New Roman"/>
          <w:sz w:val="24"/>
        </w:rPr>
        <w:lastRenderedPageBreak/>
        <w:t>(PM), asset turnover ratio (ATO), and equity multiplier (EM). Additionally, by considering the current state and development trends of the snack food industry, this study explores the strengths and weaknesses of these enterprises in market competition, providing insights for industry development.</w:t>
      </w:r>
    </w:p>
    <w:p w14:paraId="644F12C2" w14:textId="77777777" w:rsidR="00F4716C" w:rsidRDefault="00F4716C">
      <w:pPr>
        <w:spacing w:line="360" w:lineRule="auto"/>
        <w:ind w:firstLineChars="200" w:firstLine="480"/>
        <w:rPr>
          <w:rFonts w:ascii="Times New Roman" w:eastAsia="SimSun" w:hAnsi="Times New Roman" w:cs="Times New Roman"/>
          <w:sz w:val="24"/>
        </w:rPr>
      </w:pPr>
    </w:p>
    <w:p w14:paraId="488F9316" w14:textId="77777777" w:rsidR="00F4716C" w:rsidRDefault="00304B20">
      <w:pPr>
        <w:spacing w:line="360" w:lineRule="auto"/>
        <w:rPr>
          <w:rFonts w:ascii="Times New Roman" w:eastAsia="SimSun" w:hAnsi="Times New Roman" w:cs="Times New Roman"/>
          <w:b/>
          <w:bCs/>
          <w:sz w:val="28"/>
          <w:szCs w:val="28"/>
        </w:rPr>
      </w:pPr>
      <w:r>
        <w:rPr>
          <w:rFonts w:ascii="Times New Roman" w:eastAsia="SimSun" w:hAnsi="Times New Roman" w:cs="Times New Roman"/>
          <w:b/>
          <w:bCs/>
          <w:sz w:val="28"/>
          <w:szCs w:val="28"/>
        </w:rPr>
        <w:t>2</w:t>
      </w:r>
      <w:r>
        <w:rPr>
          <w:rFonts w:ascii="Times New Roman" w:eastAsia="SimSun" w:hAnsi="Times New Roman" w:cs="Times New Roman" w:hint="eastAsia"/>
          <w:b/>
          <w:bCs/>
          <w:sz w:val="28"/>
          <w:szCs w:val="28"/>
        </w:rPr>
        <w:t xml:space="preserve"> </w:t>
      </w:r>
      <w:r>
        <w:rPr>
          <w:rFonts w:ascii="Times New Roman" w:eastAsia="SimSun" w:hAnsi="Times New Roman" w:cs="Times New Roman"/>
          <w:b/>
          <w:bCs/>
          <w:sz w:val="28"/>
          <w:szCs w:val="28"/>
        </w:rPr>
        <w:t>Research Foundation</w:t>
      </w:r>
    </w:p>
    <w:p w14:paraId="470AA170" w14:textId="77777777" w:rsidR="00F4716C" w:rsidRDefault="00304B20">
      <w:pPr>
        <w:spacing w:line="360" w:lineRule="auto"/>
        <w:rPr>
          <w:rFonts w:ascii="Times New Roman" w:eastAsia="SimSun" w:hAnsi="Times New Roman" w:cs="Times New Roman"/>
          <w:b/>
          <w:bCs/>
          <w:color w:val="000000"/>
          <w:sz w:val="24"/>
        </w:rPr>
      </w:pPr>
      <w:r>
        <w:rPr>
          <w:rFonts w:ascii="Times New Roman" w:eastAsia="SimSun" w:hAnsi="Times New Roman" w:cs="Times New Roman" w:hint="eastAsia"/>
          <w:b/>
          <w:bCs/>
          <w:color w:val="000000"/>
          <w:sz w:val="24"/>
        </w:rPr>
        <w:t>2.1 Research methodology</w:t>
      </w:r>
    </w:p>
    <w:p w14:paraId="7DE0157C" w14:textId="77777777" w:rsidR="00F4716C" w:rsidRDefault="00304B20">
      <w:pPr>
        <w:spacing w:line="360" w:lineRule="auto"/>
        <w:ind w:firstLineChars="200" w:firstLine="480"/>
        <w:rPr>
          <w:rFonts w:ascii="Times New Roman" w:eastAsia="SimSun" w:hAnsi="Times New Roman" w:cs="Times New Roman"/>
          <w:sz w:val="24"/>
        </w:rPr>
      </w:pPr>
      <w:commentRangeStart w:id="3"/>
      <w:r>
        <w:rPr>
          <w:rFonts w:ascii="Times New Roman" w:eastAsia="SimSun" w:hAnsi="Times New Roman" w:cs="Times New Roman"/>
          <w:sz w:val="24"/>
        </w:rPr>
        <w:t>DuPont Analysis is a comprehensive financial analysis tool that was first introduced by DuPont Corporation in the early 20th century.</w:t>
      </w:r>
      <w:commentRangeEnd w:id="3"/>
      <w:r w:rsidR="002605FF">
        <w:rPr>
          <w:rStyle w:val="CommentReference"/>
        </w:rPr>
        <w:commentReference w:id="3"/>
      </w:r>
      <w:r>
        <w:rPr>
          <w:rFonts w:ascii="Times New Roman" w:eastAsia="SimSun" w:hAnsi="Times New Roman" w:cs="Times New Roman"/>
          <w:sz w:val="24"/>
        </w:rPr>
        <w:t xml:space="preserve"> This method systematically breaks down a company's financial performance, helping analysts gain a deeper understanding of the interrelationships between profitability, operational efficiency, and financial leverage. As a result, it provides a more comprehensive assessment of financial health for company management, investors, and other stakeholders. DuPont Analysis does not focus solely on a single financial ratio; instead, it integrates multiple financial indicators to reveal a more detailed picture of financial performance. Specifically, DuPont Analysis deconstructs Return on Equity (ROE), allowing management to clearly identify how various factors influence a company’s overall profitability. ROE is a key indicator of shareholder investment returns, making it highly significant for investors and shareholders. DuPont Analysis breaks ROE down into three main components: net profit margin, total asset turnover, and the equity multiplier. These components represent a company's profitability, asset utilization efficiency, and the leverage effect of its capital structure, respectively. By deconstructing ROE in this way, DuPont Analysis not only helps analysts assess a company’s financial condition but also provides guidance on improving performance in each aspect to enhance overall financial performance. The formula for DuPont Analysis is as follows:</w:t>
      </w:r>
    </w:p>
    <w:p w14:paraId="18A5210C" w14:textId="77777777" w:rsidR="00F4716C" w:rsidRDefault="00F4716C">
      <w:pPr>
        <w:spacing w:line="360" w:lineRule="auto"/>
        <w:ind w:firstLineChars="200" w:firstLine="480"/>
        <w:rPr>
          <w:rFonts w:ascii="Times New Roman" w:eastAsia="SimSun" w:hAnsi="Times New Roman" w:cs="Times New Roman"/>
          <w:sz w:val="24"/>
        </w:rPr>
      </w:pPr>
    </w:p>
    <w:p w14:paraId="11F18B86" w14:textId="77777777" w:rsidR="00F4716C" w:rsidRDefault="00304B20">
      <w:pPr>
        <w:spacing w:line="360" w:lineRule="auto"/>
        <w:rPr>
          <w:rFonts w:ascii="Times New Roman" w:eastAsia="SimSun" w:hAnsi="Times New Roman" w:cs="Times New Roman"/>
          <w:color w:val="000000"/>
          <w:sz w:val="24"/>
        </w:rPr>
      </w:pPr>
      <w:r>
        <w:rPr>
          <w:rFonts w:ascii="Times New Roman" w:eastAsia="SimSun" w:hAnsi="Times New Roman" w:cs="Times New Roman" w:hint="eastAsia"/>
          <w:color w:val="000000"/>
          <w:sz w:val="24"/>
        </w:rPr>
        <w:t>（</w:t>
      </w:r>
      <w:r>
        <w:rPr>
          <w:rFonts w:ascii="Times New Roman" w:eastAsia="SimSun" w:hAnsi="Times New Roman" w:cs="Times New Roman" w:hint="eastAsia"/>
          <w:color w:val="000000"/>
          <w:sz w:val="24"/>
        </w:rPr>
        <w:t>1</w:t>
      </w:r>
      <w:r>
        <w:rPr>
          <w:rFonts w:ascii="Times New Roman" w:eastAsia="SimSun" w:hAnsi="Times New Roman" w:cs="Times New Roman" w:hint="eastAsia"/>
          <w:color w:val="000000"/>
          <w:sz w:val="24"/>
        </w:rPr>
        <w:t>）</w:t>
      </w:r>
      <w:r>
        <w:rPr>
          <w:rFonts w:ascii="Times New Roman" w:eastAsia="SimSun" w:hAnsi="Times New Roman" w:cs="Times New Roman"/>
          <w:color w:val="000000"/>
          <w:sz w:val="24"/>
        </w:rPr>
        <w:t>Core Formula:</w:t>
      </w:r>
    </w:p>
    <w:p w14:paraId="7A825610" w14:textId="77777777" w:rsidR="00F4716C" w:rsidRDefault="00304B20">
      <w:pPr>
        <w:spacing w:line="360" w:lineRule="auto"/>
        <w:ind w:firstLineChars="200" w:firstLine="480"/>
        <w:rPr>
          <w:rFonts w:ascii="Times New Roman" w:eastAsia="SimSun" w:hAnsi="Times New Roman" w:cs="Times New Roman"/>
          <w:color w:val="000000"/>
          <w:sz w:val="24"/>
        </w:rPr>
      </w:pPr>
      <w:r>
        <w:rPr>
          <w:rFonts w:ascii="Times New Roman" w:eastAsia="SimSun" w:hAnsi="Times New Roman" w:cs="Times New Roman"/>
          <w:color w:val="000000"/>
          <w:sz w:val="24"/>
        </w:rPr>
        <w:t xml:space="preserve">The core of DuPont analysis is the Return on Equity (ROE) decomposition </w:t>
      </w:r>
      <w:r>
        <w:rPr>
          <w:rFonts w:ascii="Times New Roman" w:eastAsia="SimSun" w:hAnsi="Times New Roman" w:cs="Times New Roman"/>
          <w:color w:val="000000"/>
          <w:sz w:val="24"/>
        </w:rPr>
        <w:lastRenderedPageBreak/>
        <w:t>formula:</w:t>
      </w:r>
    </w:p>
    <w:p w14:paraId="752CA177" w14:textId="77777777" w:rsidR="00F4716C" w:rsidRDefault="00A713EE">
      <w:pPr>
        <w:spacing w:line="360" w:lineRule="auto"/>
        <w:rPr>
          <w:rFonts w:ascii="Times New Roman" w:eastAsia="SimSun" w:hAnsi="Times New Roman" w:cs="Times New Roman"/>
          <w:color w:val="000000"/>
          <w:sz w:val="24"/>
        </w:rPr>
      </w:pPr>
      <m:oMathPara>
        <m:oMath>
          <m:eqArr>
            <m:eqArrPr>
              <m:maxDist m:val="1"/>
              <m:ctrlPr>
                <w:rPr>
                  <w:rFonts w:ascii="Cambria Math" w:eastAsia="SimSun" w:hAnsi="Cambria Math" w:cs="Times New Roman"/>
                  <w:i/>
                  <w:color w:val="000000"/>
                  <w:sz w:val="24"/>
                </w:rPr>
              </m:ctrlPr>
            </m:eqArrPr>
            <m:e>
              <m:r>
                <w:rPr>
                  <w:rFonts w:ascii="Cambria Math" w:eastAsia="SimSun" w:hAnsi="Cambria Math" w:cs="Times New Roman"/>
                  <w:color w:val="000000"/>
                  <w:sz w:val="24"/>
                </w:rPr>
                <m:t>ROE=</m:t>
              </m:r>
              <m:r>
                <m:rPr>
                  <m:nor/>
                </m:rPr>
                <w:rPr>
                  <w:rFonts w:ascii="Times New Roman" w:eastAsia="SimSun" w:hAnsi="Times New Roman" w:cs="Times New Roman"/>
                  <w:color w:val="000000"/>
                  <w:sz w:val="24"/>
                </w:rPr>
                <m:t>Net Profit Margin</m:t>
              </m:r>
              <m:r>
                <w:rPr>
                  <w:rFonts w:ascii="Cambria Math" w:eastAsia="SimSun" w:hAnsi="Cambria Math" w:cs="Times New Roman"/>
                  <w:color w:val="000000"/>
                  <w:sz w:val="24"/>
                </w:rPr>
                <m:t>×</m:t>
              </m:r>
              <m:r>
                <m:rPr>
                  <m:nor/>
                </m:rPr>
                <w:rPr>
                  <w:rFonts w:ascii="Times New Roman" w:eastAsia="SimSun" w:hAnsi="Times New Roman" w:cs="Times New Roman"/>
                  <w:color w:val="000000"/>
                  <w:sz w:val="24"/>
                </w:rPr>
                <m:t>Total Asset Turnover</m:t>
              </m:r>
              <m:r>
                <w:rPr>
                  <w:rFonts w:ascii="Cambria Math" w:eastAsia="SimSun" w:hAnsi="Cambria Math" w:cs="Times New Roman"/>
                  <w:color w:val="000000"/>
                  <w:sz w:val="24"/>
                </w:rPr>
                <m:t>×</m:t>
              </m:r>
              <m:r>
                <m:rPr>
                  <m:nor/>
                </m:rPr>
                <w:rPr>
                  <w:rFonts w:ascii="Times New Roman" w:eastAsia="SimSun" w:hAnsi="Times New Roman" w:cs="Times New Roman"/>
                  <w:color w:val="000000"/>
                  <w:sz w:val="24"/>
                </w:rPr>
                <m:t>Equity Multiplier</m:t>
              </m:r>
              <m:r>
                <w:rPr>
                  <w:rFonts w:ascii="Cambria Math" w:eastAsia="SimSun" w:hAnsi="Cambria Math" w:cs="Times New Roman"/>
                  <w:color w:val="000000"/>
                  <w:sz w:val="24"/>
                </w:rPr>
                <m:t>#</m:t>
              </m:r>
              <m:d>
                <m:dPr>
                  <m:begChr m:val="（"/>
                  <m:endChr m:val="）"/>
                  <m:ctrlPr>
                    <w:rPr>
                      <w:rFonts w:ascii="Cambria Math" w:eastAsia="SimSun" w:hAnsi="Cambria Math" w:cs="Times New Roman"/>
                      <w:i/>
                      <w:color w:val="000000"/>
                      <w:sz w:val="24"/>
                    </w:rPr>
                  </m:ctrlPr>
                </m:dPr>
                <m:e>
                  <m:r>
                    <w:rPr>
                      <w:rFonts w:ascii="Cambria Math" w:eastAsia="SimSun" w:hAnsi="Cambria Math" w:cs="Times New Roman"/>
                      <w:color w:val="000000"/>
                      <w:sz w:val="24"/>
                    </w:rPr>
                    <m:t>1</m:t>
                  </m:r>
                </m:e>
              </m:d>
            </m:e>
          </m:eqArr>
        </m:oMath>
      </m:oMathPara>
    </w:p>
    <w:p w14:paraId="4C3B4399" w14:textId="77777777" w:rsidR="00F4716C" w:rsidRDefault="00304B20">
      <w:pPr>
        <w:spacing w:line="360" w:lineRule="auto"/>
        <w:rPr>
          <w:rFonts w:ascii="Times New Roman" w:eastAsia="SimSun" w:hAnsi="Times New Roman" w:cs="Times New Roman"/>
          <w:color w:val="000000"/>
          <w:sz w:val="24"/>
        </w:rPr>
      </w:pPr>
      <w:r>
        <w:rPr>
          <w:rFonts w:ascii="Times New Roman" w:eastAsia="SimSun" w:hAnsi="Times New Roman" w:cs="Times New Roman" w:hint="eastAsia"/>
          <w:color w:val="000000"/>
          <w:sz w:val="24"/>
        </w:rPr>
        <w:t>（</w:t>
      </w:r>
      <w:r>
        <w:rPr>
          <w:rFonts w:ascii="Times New Roman" w:eastAsia="SimSun" w:hAnsi="Times New Roman" w:cs="Times New Roman" w:hint="eastAsia"/>
          <w:color w:val="000000"/>
          <w:sz w:val="24"/>
        </w:rPr>
        <w:t>2</w:t>
      </w:r>
      <w:r>
        <w:rPr>
          <w:rFonts w:ascii="Times New Roman" w:eastAsia="SimSun" w:hAnsi="Times New Roman" w:cs="Times New Roman" w:hint="eastAsia"/>
          <w:color w:val="000000"/>
          <w:sz w:val="24"/>
        </w:rPr>
        <w:t>）</w:t>
      </w:r>
      <w:r>
        <w:rPr>
          <w:rFonts w:ascii="Times New Roman" w:eastAsia="SimSun" w:hAnsi="Times New Roman" w:cs="Times New Roman"/>
          <w:color w:val="000000"/>
          <w:sz w:val="24"/>
        </w:rPr>
        <w:t>Net Profit Margin</w:t>
      </w:r>
    </w:p>
    <w:p w14:paraId="189D17AE" w14:textId="77777777" w:rsidR="00F4716C" w:rsidRDefault="00304B20">
      <w:pPr>
        <w:spacing w:line="360" w:lineRule="auto"/>
        <w:ind w:firstLineChars="200" w:firstLine="480"/>
        <w:rPr>
          <w:rFonts w:ascii="Times New Roman" w:eastAsia="SimSun" w:hAnsi="Times New Roman" w:cs="Times New Roman"/>
          <w:color w:val="000000"/>
          <w:sz w:val="24"/>
        </w:rPr>
      </w:pPr>
      <w:r>
        <w:rPr>
          <w:rFonts w:ascii="Times New Roman" w:eastAsia="SimSun" w:hAnsi="Times New Roman" w:cs="Times New Roman"/>
          <w:color w:val="000000"/>
          <w:sz w:val="24"/>
        </w:rPr>
        <w:t>Reflects the company's ability to generate profit from its sales activities, representing profitability:</w:t>
      </w:r>
    </w:p>
    <w:p w14:paraId="5DA2328B" w14:textId="77777777" w:rsidR="00F4716C" w:rsidRDefault="00A713EE">
      <w:pPr>
        <w:spacing w:line="360" w:lineRule="auto"/>
        <w:ind w:firstLineChars="200" w:firstLine="480"/>
        <w:rPr>
          <w:rFonts w:ascii="Times New Roman" w:eastAsia="SimSun" w:hAnsi="Times New Roman" w:cs="Times New Roman"/>
          <w:color w:val="000000"/>
          <w:sz w:val="24"/>
        </w:rPr>
      </w:pPr>
      <m:oMathPara>
        <m:oMath>
          <m:eqArr>
            <m:eqArrPr>
              <m:maxDist m:val="1"/>
              <m:ctrlPr>
                <w:rPr>
                  <w:rFonts w:ascii="Cambria Math" w:eastAsia="SimSun" w:hAnsi="Cambria Math" w:cs="Times New Roman"/>
                  <w:i/>
                  <w:color w:val="000000"/>
                  <w:sz w:val="24"/>
                </w:rPr>
              </m:ctrlPr>
            </m:eqArrPr>
            <m:e>
              <m:r>
                <m:rPr>
                  <m:nor/>
                </m:rPr>
                <w:rPr>
                  <w:rFonts w:ascii="Cambria Math" w:eastAsia="SimSun" w:hAnsi="Cambria Math" w:cs="Times New Roman"/>
                  <w:color w:val="000000"/>
                  <w:sz w:val="24"/>
                </w:rPr>
                <m:t>Net Profit Margin</m:t>
              </m:r>
              <m:r>
                <w:rPr>
                  <w:rFonts w:ascii="Cambria Math" w:eastAsia="SimSun" w:hAnsi="Cambria Math" w:cs="Times New Roman"/>
                  <w:color w:val="000000"/>
                  <w:sz w:val="24"/>
                </w:rPr>
                <m:t>=</m:t>
              </m:r>
              <m:f>
                <m:fPr>
                  <m:ctrlPr>
                    <w:rPr>
                      <w:rFonts w:ascii="Cambria Math" w:eastAsia="SimSun" w:hAnsi="Cambria Math" w:cs="Times New Roman"/>
                      <w:color w:val="000000"/>
                      <w:sz w:val="24"/>
                    </w:rPr>
                  </m:ctrlPr>
                </m:fPr>
                <m:num>
                  <m:r>
                    <m:rPr>
                      <m:sty m:val="p"/>
                    </m:rPr>
                    <w:rPr>
                      <w:rFonts w:ascii="Cambria Math" w:eastAsia="SimSun" w:hAnsi="Cambria Math" w:cs="Times New Roman"/>
                      <w:color w:val="000000"/>
                      <w:sz w:val="24"/>
                    </w:rPr>
                    <m:t>NetProfit</m:t>
                  </m:r>
                </m:num>
                <m:den>
                  <m:r>
                    <m:rPr>
                      <m:nor/>
                    </m:rPr>
                    <w:rPr>
                      <w:rFonts w:ascii="Cambria Math" w:eastAsia="SimSun" w:hAnsi="Cambria Math" w:cs="Times New Roman"/>
                      <w:color w:val="000000"/>
                      <w:sz w:val="24"/>
                    </w:rPr>
                    <m:t>Sales Revenue</m:t>
                  </m:r>
                </m:den>
              </m:f>
              <m:r>
                <w:rPr>
                  <w:rFonts w:ascii="Cambria Math" w:eastAsia="SimSun" w:hAnsi="Cambria Math" w:cs="Times New Roman"/>
                  <w:color w:val="000000"/>
                  <w:sz w:val="24"/>
                </w:rPr>
                <m:t>#</m:t>
              </m:r>
              <m:d>
                <m:dPr>
                  <m:begChr m:val="（"/>
                  <m:endChr m:val="）"/>
                  <m:ctrlPr>
                    <w:rPr>
                      <w:rFonts w:ascii="Cambria Math" w:eastAsia="SimSun" w:hAnsi="Cambria Math" w:cs="Times New Roman"/>
                      <w:i/>
                      <w:color w:val="000000"/>
                      <w:sz w:val="24"/>
                    </w:rPr>
                  </m:ctrlPr>
                </m:dPr>
                <m:e>
                  <m:r>
                    <w:rPr>
                      <w:rFonts w:ascii="Cambria Math" w:eastAsia="SimSun" w:hAnsi="Cambria Math" w:cs="Times New Roman"/>
                      <w:color w:val="000000"/>
                      <w:sz w:val="24"/>
                    </w:rPr>
                    <m:t>2</m:t>
                  </m:r>
                </m:e>
              </m:d>
            </m:e>
          </m:eqArr>
        </m:oMath>
      </m:oMathPara>
    </w:p>
    <w:p w14:paraId="3279F183" w14:textId="77777777" w:rsidR="00F4716C" w:rsidRDefault="00304B20">
      <w:pPr>
        <w:snapToGrid w:val="0"/>
        <w:spacing w:line="360" w:lineRule="auto"/>
        <w:rPr>
          <w:rFonts w:ascii="Times New Roman" w:eastAsia="SimSun" w:hAnsi="Times New Roman" w:cs="Times New Roman"/>
          <w:color w:val="000000"/>
          <w:sz w:val="24"/>
        </w:rPr>
      </w:pPr>
      <w:r>
        <w:rPr>
          <w:rFonts w:ascii="Times New Roman" w:eastAsia="SimSun" w:hAnsi="Times New Roman" w:cs="Times New Roman"/>
          <w:color w:val="000000"/>
          <w:sz w:val="24"/>
        </w:rPr>
        <w:t>（</w:t>
      </w:r>
      <w:r>
        <w:rPr>
          <w:rFonts w:ascii="Times New Roman" w:eastAsia="SimSun" w:hAnsi="Times New Roman" w:cs="Times New Roman"/>
          <w:color w:val="000000"/>
          <w:sz w:val="24"/>
        </w:rPr>
        <w:t>3</w:t>
      </w:r>
      <w:r>
        <w:rPr>
          <w:rFonts w:ascii="Times New Roman" w:eastAsia="SimSun" w:hAnsi="Times New Roman" w:cs="Times New Roman"/>
          <w:color w:val="000000"/>
          <w:sz w:val="24"/>
        </w:rPr>
        <w:t>）</w:t>
      </w:r>
      <w:r>
        <w:rPr>
          <w:rFonts w:ascii="Times New Roman" w:eastAsia="SimSun" w:hAnsi="Times New Roman" w:cs="Times New Roman"/>
          <w:color w:val="000000"/>
          <w:sz w:val="24"/>
        </w:rPr>
        <w:t>Total Asset Turnover</w:t>
      </w:r>
    </w:p>
    <w:p w14:paraId="0B330177" w14:textId="77777777" w:rsidR="00F4716C" w:rsidRDefault="00304B20">
      <w:pPr>
        <w:snapToGrid w:val="0"/>
        <w:spacing w:line="360" w:lineRule="auto"/>
        <w:ind w:firstLineChars="200" w:firstLine="480"/>
        <w:rPr>
          <w:rFonts w:ascii="Times New Roman" w:eastAsia="SimSun" w:hAnsi="Times New Roman" w:cs="Times New Roman"/>
          <w:color w:val="000000"/>
          <w:sz w:val="24"/>
        </w:rPr>
      </w:pPr>
      <w:r>
        <w:rPr>
          <w:rFonts w:ascii="Times New Roman" w:eastAsia="SimSun" w:hAnsi="Times New Roman" w:cs="Times New Roman" w:hint="eastAsia"/>
          <w:color w:val="000000"/>
          <w:sz w:val="24"/>
        </w:rPr>
        <w:t>Measures the efficiency of asset use, indicating how much sales revenue is generated from each unit of assets:</w:t>
      </w:r>
    </w:p>
    <w:p w14:paraId="3ECBE1A9" w14:textId="77777777" w:rsidR="00F4716C" w:rsidRDefault="00A713EE">
      <w:pPr>
        <w:spacing w:line="360" w:lineRule="auto"/>
        <w:ind w:firstLineChars="200" w:firstLine="480"/>
        <w:rPr>
          <w:rFonts w:ascii="Times New Roman" w:eastAsia="SimSun" w:hAnsi="Times New Roman" w:cs="Times New Roman"/>
          <w:color w:val="000000"/>
          <w:sz w:val="24"/>
        </w:rPr>
      </w:pPr>
      <m:oMathPara>
        <m:oMath>
          <m:eqArr>
            <m:eqArrPr>
              <m:maxDist m:val="1"/>
              <m:ctrlPr>
                <w:rPr>
                  <w:rFonts w:ascii="Cambria Math" w:eastAsia="SimSun" w:hAnsi="Cambria Math" w:cs="Times New Roman"/>
                  <w:i/>
                  <w:color w:val="000000"/>
                  <w:sz w:val="24"/>
                </w:rPr>
              </m:ctrlPr>
            </m:eqArrPr>
            <m:e>
              <m:r>
                <m:rPr>
                  <m:nor/>
                </m:rPr>
                <w:rPr>
                  <w:rFonts w:ascii="Cambria Math" w:eastAsia="SimSun" w:hAnsi="Cambria Math" w:cs="Times New Roman"/>
                  <w:color w:val="000000"/>
                  <w:sz w:val="24"/>
                </w:rPr>
                <m:t>Total Asset Turnover</m:t>
              </m:r>
              <m:r>
                <w:rPr>
                  <w:rFonts w:ascii="Cambria Math" w:eastAsia="SimSun" w:hAnsi="Cambria Math" w:cs="Times New Roman"/>
                  <w:color w:val="000000"/>
                  <w:sz w:val="24"/>
                </w:rPr>
                <m:t>=</m:t>
              </m:r>
              <m:f>
                <m:fPr>
                  <m:ctrlPr>
                    <w:rPr>
                      <w:rFonts w:ascii="Cambria Math" w:eastAsia="SimSun" w:hAnsi="Cambria Math" w:cs="Times New Roman"/>
                      <w:color w:val="000000"/>
                      <w:sz w:val="24"/>
                    </w:rPr>
                  </m:ctrlPr>
                </m:fPr>
                <m:num>
                  <m:r>
                    <m:rPr>
                      <m:nor/>
                    </m:rPr>
                    <w:rPr>
                      <w:rFonts w:ascii="Cambria Math" w:eastAsia="SimSun" w:hAnsi="Cambria Math" w:cs="Times New Roman"/>
                      <w:color w:val="000000"/>
                      <w:sz w:val="24"/>
                    </w:rPr>
                    <m:t>Sales Revenue</m:t>
                  </m:r>
                </m:num>
                <m:den>
                  <m:r>
                    <m:rPr>
                      <m:nor/>
                    </m:rPr>
                    <w:rPr>
                      <w:rFonts w:ascii="Cambria Math" w:eastAsia="SimSun" w:hAnsi="Cambria Math" w:cs="Times New Roman"/>
                      <w:color w:val="000000"/>
                      <w:sz w:val="24"/>
                    </w:rPr>
                    <m:t>Total Assets</m:t>
                  </m:r>
                </m:den>
              </m:f>
              <m:r>
                <w:rPr>
                  <w:rFonts w:ascii="Cambria Math" w:eastAsia="SimSun" w:hAnsi="Cambria Math" w:cs="Times New Roman"/>
                  <w:color w:val="000000"/>
                  <w:sz w:val="24"/>
                </w:rPr>
                <m:t>#</m:t>
              </m:r>
              <m:d>
                <m:dPr>
                  <m:begChr m:val="（"/>
                  <m:endChr m:val="）"/>
                  <m:ctrlPr>
                    <w:rPr>
                      <w:rFonts w:ascii="Cambria Math" w:eastAsia="SimSun" w:hAnsi="Cambria Math" w:cs="Times New Roman"/>
                      <w:i/>
                      <w:color w:val="000000"/>
                      <w:sz w:val="24"/>
                    </w:rPr>
                  </m:ctrlPr>
                </m:dPr>
                <m:e>
                  <m:r>
                    <w:rPr>
                      <w:rFonts w:ascii="Cambria Math" w:eastAsia="SimSun" w:hAnsi="Cambria Math" w:cs="Times New Roman"/>
                      <w:color w:val="000000"/>
                      <w:sz w:val="24"/>
                    </w:rPr>
                    <m:t>3</m:t>
                  </m:r>
                </m:e>
              </m:d>
            </m:e>
          </m:eqArr>
        </m:oMath>
      </m:oMathPara>
    </w:p>
    <w:p w14:paraId="2E9CE969" w14:textId="77777777" w:rsidR="00F4716C" w:rsidRDefault="00304B20">
      <w:pPr>
        <w:numPr>
          <w:ilvl w:val="0"/>
          <w:numId w:val="1"/>
        </w:numPr>
        <w:rPr>
          <w:rFonts w:ascii="Times New Roman" w:eastAsia="SimSun" w:hAnsi="Times New Roman" w:cs="Times New Roman"/>
          <w:color w:val="000000"/>
          <w:sz w:val="24"/>
        </w:rPr>
      </w:pPr>
      <w:r>
        <w:rPr>
          <w:rFonts w:ascii="Times New Roman" w:eastAsia="SimSun" w:hAnsi="Times New Roman" w:cs="Times New Roman"/>
          <w:color w:val="000000"/>
          <w:sz w:val="24"/>
        </w:rPr>
        <w:t>Equity Multiplier</w:t>
      </w:r>
    </w:p>
    <w:p w14:paraId="54B332E4" w14:textId="77777777" w:rsidR="00F4716C" w:rsidRDefault="00304B20">
      <w:pPr>
        <w:spacing w:line="360" w:lineRule="auto"/>
        <w:ind w:firstLineChars="200" w:firstLine="480"/>
        <w:rPr>
          <w:rFonts w:ascii="Times New Roman" w:eastAsia="SimSun" w:hAnsi="Times New Roman" w:cs="Times New Roman"/>
          <w:color w:val="000000"/>
          <w:sz w:val="24"/>
        </w:rPr>
      </w:pPr>
      <w:r>
        <w:rPr>
          <w:rFonts w:ascii="Times New Roman" w:eastAsia="SimSun" w:hAnsi="Times New Roman" w:cs="Times New Roman"/>
          <w:color w:val="000000"/>
          <w:sz w:val="24"/>
        </w:rPr>
        <w:t>Reflects the financial leverage of the company, showing the magnifying effect of assets on equity:</w:t>
      </w:r>
    </w:p>
    <w:p w14:paraId="79B4352F" w14:textId="77777777" w:rsidR="00F4716C" w:rsidRDefault="00A713EE">
      <w:pPr>
        <w:spacing w:line="360" w:lineRule="auto"/>
        <w:ind w:firstLineChars="200" w:firstLine="480"/>
        <w:rPr>
          <w:rFonts w:eastAsia="SimSun" w:hAnsi="Cambria Math" w:cs="Times New Roman"/>
          <w:color w:val="000000"/>
          <w:sz w:val="24"/>
        </w:rPr>
      </w:pPr>
      <m:oMathPara>
        <m:oMath>
          <m:eqArr>
            <m:eqArrPr>
              <m:maxDist m:val="1"/>
              <m:ctrlPr>
                <w:rPr>
                  <w:rFonts w:ascii="Cambria Math" w:eastAsia="SimSun" w:hAnsi="Cambria Math" w:cs="Times New Roman"/>
                  <w:i/>
                  <w:color w:val="000000"/>
                  <w:sz w:val="24"/>
                </w:rPr>
              </m:ctrlPr>
            </m:eqArrPr>
            <m:e>
              <m:r>
                <m:rPr>
                  <m:nor/>
                </m:rPr>
                <w:rPr>
                  <w:rFonts w:ascii="Cambria Math" w:eastAsia="SimSun" w:hAnsi="Cambria Math" w:cs="Times New Roman"/>
                  <w:color w:val="000000"/>
                  <w:sz w:val="24"/>
                </w:rPr>
                <m:t>Equity Multiplier</m:t>
              </m:r>
              <m:r>
                <w:rPr>
                  <w:rFonts w:ascii="Cambria Math" w:eastAsia="SimSun" w:hAnsi="Cambria Math" w:cs="Times New Roman"/>
                  <w:color w:val="000000"/>
                  <w:sz w:val="24"/>
                </w:rPr>
                <m:t>=</m:t>
              </m:r>
              <m:f>
                <m:fPr>
                  <m:ctrlPr>
                    <w:rPr>
                      <w:rFonts w:ascii="Cambria Math" w:eastAsia="SimSun" w:hAnsi="Cambria Math" w:cs="Times New Roman"/>
                      <w:color w:val="000000"/>
                      <w:sz w:val="24"/>
                    </w:rPr>
                  </m:ctrlPr>
                </m:fPr>
                <m:num>
                  <m:r>
                    <m:rPr>
                      <m:nor/>
                    </m:rPr>
                    <w:rPr>
                      <w:rFonts w:ascii="Cambria Math" w:eastAsia="SimSun" w:hAnsi="Cambria Math" w:cs="Times New Roman"/>
                      <w:color w:val="000000"/>
                      <w:sz w:val="24"/>
                    </w:rPr>
                    <m:t>Total Assets</m:t>
                  </m:r>
                </m:num>
                <m:den>
                  <m:r>
                    <m:rPr>
                      <m:nor/>
                    </m:rPr>
                    <w:rPr>
                      <w:rFonts w:ascii="Cambria Math" w:eastAsia="SimSun" w:hAnsi="Cambria Math" w:cs="Times New Roman"/>
                      <w:color w:val="000000"/>
                      <w:sz w:val="24"/>
                    </w:rPr>
                    <m:t>Owner's Equity</m:t>
                  </m:r>
                </m:den>
              </m:f>
              <m:r>
                <w:rPr>
                  <w:rFonts w:ascii="Cambria Math" w:eastAsia="SimSun" w:hAnsi="Cambria Math" w:cs="Times New Roman"/>
                  <w:color w:val="000000"/>
                  <w:sz w:val="24"/>
                </w:rPr>
                <m:t>#</m:t>
              </m:r>
              <m:d>
                <m:dPr>
                  <m:begChr m:val="（"/>
                  <m:endChr m:val="）"/>
                  <m:ctrlPr>
                    <w:rPr>
                      <w:rFonts w:ascii="Cambria Math" w:eastAsia="SimSun" w:hAnsi="Cambria Math" w:cs="Times New Roman"/>
                      <w:i/>
                      <w:color w:val="000000"/>
                      <w:sz w:val="24"/>
                    </w:rPr>
                  </m:ctrlPr>
                </m:dPr>
                <m:e>
                  <m:r>
                    <w:rPr>
                      <w:rFonts w:ascii="Cambria Math" w:eastAsia="SimSun" w:hAnsi="Cambria Math" w:cs="Times New Roman"/>
                      <w:color w:val="000000"/>
                      <w:sz w:val="24"/>
                    </w:rPr>
                    <m:t>4</m:t>
                  </m:r>
                </m:e>
              </m:d>
            </m:e>
          </m:eqArr>
        </m:oMath>
      </m:oMathPara>
    </w:p>
    <w:p w14:paraId="11693C8B" w14:textId="29FBFAE0" w:rsidR="00F4716C" w:rsidRDefault="00304B20">
      <w:pPr>
        <w:spacing w:line="360" w:lineRule="auto"/>
        <w:ind w:firstLineChars="200" w:firstLine="480"/>
        <w:rPr>
          <w:rFonts w:eastAsia="SimSun" w:hAnsi="Cambria Math" w:cs="Times New Roman"/>
          <w:color w:val="000000"/>
          <w:sz w:val="24"/>
        </w:rPr>
      </w:pPr>
      <w:r>
        <w:rPr>
          <w:rFonts w:ascii="Times New Roman" w:eastAsia="SimSun" w:hAnsi="Times New Roman" w:cs="Times New Roman"/>
          <w:sz w:val="24"/>
        </w:rPr>
        <w:t xml:space="preserve">The framework of DuPont Analysis can be summarized in the following aspects. </w:t>
      </w:r>
      <w:proofErr w:type="gramStart"/>
      <w:r>
        <w:rPr>
          <w:rFonts w:ascii="Times New Roman" w:eastAsia="SimSun" w:hAnsi="Times New Roman" w:cs="Times New Roman"/>
          <w:sz w:val="24"/>
        </w:rPr>
        <w:t>the</w:t>
      </w:r>
      <w:proofErr w:type="gramEnd"/>
      <w:r>
        <w:rPr>
          <w:rFonts w:ascii="Times New Roman" w:eastAsia="SimSun" w:hAnsi="Times New Roman" w:cs="Times New Roman"/>
          <w:sz w:val="24"/>
        </w:rPr>
        <w:t xml:space="preserve"> core of the DuPont Analysis system is Return on Equity (ROE), which serves as the most comprehensive financial analysis indicator. Operating net profit margin is one of the key indicators of a company’s profitability, referring to the ratio of net profit to operating revenue, which directly reflects how much net profit can be generated from each unit of operating revenue. Generally, the higher the operating net profit margin, the stronger the company’s profitability, indicating superior cost control and business model; conversely, it suggests that the company may face higher costs, sales strategy adjustments, or market competition pressures during its operations. Total asset turnover is an important indicator for measuring the relationship between a company’s asset investment scale and sales level, typically referring to the ratio of net sales revenue to average total assets over a certain period. In short, this indicator reflects the turnover of a company’s total assets, i.e., the efficiency with which the company utilizes its total assets for business activities. Generally, the higher the total asset turnover, the higher the company’s asset utilization efficiency and the faster the capital turnover. This means </w:t>
      </w:r>
      <w:r>
        <w:rPr>
          <w:rFonts w:ascii="Times New Roman" w:eastAsia="SimSun" w:hAnsi="Times New Roman" w:cs="Times New Roman"/>
          <w:sz w:val="24"/>
        </w:rPr>
        <w:lastRenderedPageBreak/>
        <w:t>that the company can more effectively use existing assets for production and operations, thereby creating greater value. Therefore, this indicator holds significant reference value in corporate operations management. The equity multiplier, also known as the capital multiplier or equity-to-total-assets ratio, is the ratio between a company’s total assets and total shareholders' equity. This indicator is used to measure the proportion of a company’s total assets that is financed by shareholders' equity, while also reflecting the degree to which the company’s assets depend on equity. In other words, the equity multiplier represents how many times the company’s total assets are relative to its equity, reflecting the company’s financial leverage effect.</w:t>
      </w:r>
      <w:r w:rsidR="005814BC">
        <w:rPr>
          <w:rFonts w:ascii="Times New Roman" w:eastAsia="SimSun" w:hAnsi="Times New Roman" w:cs="Times New Roman" w:hint="eastAsia"/>
          <w:sz w:val="24"/>
        </w:rPr>
        <w:t xml:space="preserve"> </w:t>
      </w:r>
      <w:r>
        <w:rPr>
          <w:rFonts w:ascii="Times New Roman" w:eastAsia="SimSun" w:hAnsi="Times New Roman" w:cs="Times New Roman"/>
          <w:sz w:val="24"/>
        </w:rPr>
        <w:t xml:space="preserve">Typically, the larger the </w:t>
      </w:r>
      <w:proofErr w:type="gramStart"/>
      <w:r>
        <w:rPr>
          <w:rFonts w:ascii="Times New Roman" w:eastAsia="SimSun" w:hAnsi="Times New Roman" w:cs="Times New Roman"/>
          <w:sz w:val="24"/>
        </w:rPr>
        <w:t>equity multiplier</w:t>
      </w:r>
      <w:proofErr w:type="gramEnd"/>
      <w:r>
        <w:rPr>
          <w:rFonts w:ascii="Times New Roman" w:eastAsia="SimSun" w:hAnsi="Times New Roman" w:cs="Times New Roman"/>
          <w:sz w:val="24"/>
        </w:rPr>
        <w:t>, the lower the proportion of shareholders’ equity in total assets, and the higher the debt level. This means the company uses less equity to support a larger operational scale, demonstrating significant financial leverage. Moderate financial leverage can help a company expand its scale and improve profitability, but excessive leverage can lead to greater financial risk and increased debt repayment pressure. Therefore, when formulating capital structure and financing strategies, a company must strike a balance between returns and risks. The financial indicator relationships in DuPont Analysis are illustrated in Figure 1.</w:t>
      </w:r>
    </w:p>
    <w:p w14:paraId="0D446CB4" w14:textId="77777777" w:rsidR="00F4716C" w:rsidRDefault="00304B20">
      <w:pPr>
        <w:jc w:val="center"/>
        <w:rPr>
          <w:rFonts w:ascii="Times New Roman" w:eastAsia="SimSun" w:hAnsi="Times New Roman" w:cs="Times New Roman"/>
          <w:b/>
          <w:bCs/>
          <w:i/>
          <w:iCs/>
          <w:sz w:val="24"/>
          <w:shd w:val="clear" w:color="auto" w:fill="FFFFFF"/>
        </w:rPr>
      </w:pPr>
      <w:r>
        <w:rPr>
          <w:noProof/>
        </w:rPr>
        <w:lastRenderedPageBreak/>
        <w:drawing>
          <wp:inline distT="0" distB="0" distL="114300" distR="114300" wp14:anchorId="0F082F75" wp14:editId="48115B1E">
            <wp:extent cx="5270500" cy="3846195"/>
            <wp:effectExtent l="0" t="0" r="2540" b="952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3"/>
                    <a:stretch>
                      <a:fillRect/>
                    </a:stretch>
                  </pic:blipFill>
                  <pic:spPr>
                    <a:xfrm>
                      <a:off x="0" y="0"/>
                      <a:ext cx="5270500" cy="3846195"/>
                    </a:xfrm>
                    <a:prstGeom prst="rect">
                      <a:avLst/>
                    </a:prstGeom>
                    <a:noFill/>
                    <a:ln>
                      <a:noFill/>
                    </a:ln>
                  </pic:spPr>
                </pic:pic>
              </a:graphicData>
            </a:graphic>
          </wp:inline>
        </w:drawing>
      </w:r>
    </w:p>
    <w:p w14:paraId="150ADE74" w14:textId="77777777" w:rsidR="00F4716C" w:rsidRDefault="00304B20">
      <w:pPr>
        <w:jc w:val="center"/>
        <w:rPr>
          <w:rFonts w:ascii="Times New Roman" w:eastAsia="SimSun" w:hAnsi="Times New Roman" w:cs="Times New Roman"/>
          <w:sz w:val="24"/>
        </w:rPr>
      </w:pPr>
      <w:commentRangeStart w:id="4"/>
      <w:r>
        <w:rPr>
          <w:rFonts w:ascii="Times New Roman" w:eastAsia="SimSun" w:hAnsi="Times New Roman" w:cs="Times New Roman"/>
          <w:b/>
          <w:bCs/>
          <w:sz w:val="24"/>
        </w:rPr>
        <w:t>Fig.1.</w:t>
      </w:r>
      <w:r>
        <w:rPr>
          <w:rFonts w:ascii="Times New Roman" w:eastAsia="SimSun" w:hAnsi="Times New Roman" w:cs="Times New Roman" w:hint="eastAsia"/>
          <w:b/>
          <w:bCs/>
          <w:sz w:val="24"/>
        </w:rPr>
        <w:t xml:space="preserve"> </w:t>
      </w:r>
      <w:r>
        <w:rPr>
          <w:rFonts w:ascii="Times New Roman" w:eastAsia="SimSun" w:hAnsi="Times New Roman" w:cs="Times New Roman" w:hint="eastAsia"/>
          <w:sz w:val="24"/>
        </w:rPr>
        <w:t>DuPont Financial Analysis Chart</w:t>
      </w:r>
      <w:commentRangeEnd w:id="4"/>
      <w:r w:rsidR="001C4AA7">
        <w:rPr>
          <w:rStyle w:val="CommentReference"/>
        </w:rPr>
        <w:commentReference w:id="4"/>
      </w:r>
    </w:p>
    <w:p w14:paraId="5D04D04C" w14:textId="77777777" w:rsidR="00F4716C" w:rsidRDefault="00F4716C">
      <w:pPr>
        <w:rPr>
          <w:rFonts w:ascii="Times New Roman" w:eastAsia="SimSun" w:hAnsi="Times New Roman" w:cs="Times New Roman"/>
          <w:sz w:val="24"/>
        </w:rPr>
      </w:pPr>
    </w:p>
    <w:p w14:paraId="1CB7CA61" w14:textId="77777777" w:rsidR="00F4716C" w:rsidRDefault="00304B20">
      <w:pPr>
        <w:rPr>
          <w:rFonts w:ascii="Times New Roman" w:eastAsia="SimSun" w:hAnsi="Times New Roman" w:cs="Times New Roman"/>
          <w:b/>
          <w:bCs/>
          <w:sz w:val="24"/>
        </w:rPr>
      </w:pPr>
      <w:r>
        <w:rPr>
          <w:rFonts w:ascii="Times New Roman" w:eastAsia="SimSun" w:hAnsi="Times New Roman" w:cs="Times New Roman"/>
          <w:b/>
          <w:bCs/>
          <w:sz w:val="24"/>
        </w:rPr>
        <w:t>2.</w:t>
      </w:r>
      <w:proofErr w:type="gramStart"/>
      <w:r>
        <w:rPr>
          <w:rFonts w:ascii="Times New Roman" w:eastAsia="SimSun" w:hAnsi="Times New Roman" w:cs="Times New Roman"/>
          <w:b/>
          <w:bCs/>
          <w:sz w:val="24"/>
        </w:rPr>
        <w:t>2.Research</w:t>
      </w:r>
      <w:proofErr w:type="gramEnd"/>
      <w:r>
        <w:rPr>
          <w:rFonts w:ascii="Times New Roman" w:eastAsia="SimSun" w:hAnsi="Times New Roman" w:cs="Times New Roman"/>
          <w:b/>
          <w:bCs/>
          <w:sz w:val="24"/>
        </w:rPr>
        <w:t xml:space="preserve"> Data</w:t>
      </w:r>
    </w:p>
    <w:p w14:paraId="51DBABC0" w14:textId="77777777" w:rsidR="00F4716C" w:rsidRDefault="00304B2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 xml:space="preserve">This study selects Three Squirrels, </w:t>
      </w:r>
      <w:proofErr w:type="spellStart"/>
      <w:r>
        <w:rPr>
          <w:rFonts w:ascii="Times New Roman" w:eastAsia="SimSun" w:hAnsi="Times New Roman" w:cs="Times New Roman"/>
          <w:sz w:val="24"/>
        </w:rPr>
        <w:t>Bestore</w:t>
      </w:r>
      <w:proofErr w:type="spellEnd"/>
      <w:r>
        <w:rPr>
          <w:rFonts w:ascii="Times New Roman" w:eastAsia="SimSun" w:hAnsi="Times New Roman" w:cs="Times New Roman"/>
          <w:sz w:val="24"/>
        </w:rPr>
        <w:t xml:space="preserve">, and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as research subjects, aiming to conduct an in-depth analysis of their operational performance and profit models. These three companies have held significant market </w:t>
      </w:r>
      <w:proofErr w:type="gramStart"/>
      <w:r>
        <w:rPr>
          <w:rFonts w:ascii="Times New Roman" w:eastAsia="SimSun" w:hAnsi="Times New Roman" w:cs="Times New Roman"/>
          <w:sz w:val="24"/>
        </w:rPr>
        <w:t>shares</w:t>
      </w:r>
      <w:proofErr w:type="gramEnd"/>
      <w:r>
        <w:rPr>
          <w:rFonts w:ascii="Times New Roman" w:eastAsia="SimSun" w:hAnsi="Times New Roman" w:cs="Times New Roman"/>
          <w:sz w:val="24"/>
        </w:rPr>
        <w:t xml:space="preserve"> and brand influence in the snack industry in recent years, making them highly representative and valuable for research. </w:t>
      </w:r>
      <w:commentRangeStart w:id="5"/>
      <w:r>
        <w:rPr>
          <w:rFonts w:ascii="Times New Roman" w:eastAsia="SimSun" w:hAnsi="Times New Roman" w:cs="Times New Roman"/>
          <w:sz w:val="24"/>
        </w:rPr>
        <w:t>To ensure objectivity and accuracy, this study relies on data from the annual reports of these companies.</w:t>
      </w:r>
      <w:commentRangeEnd w:id="5"/>
      <w:r w:rsidR="001C4AA7">
        <w:rPr>
          <w:rStyle w:val="CommentReference"/>
        </w:rPr>
        <w:commentReference w:id="5"/>
      </w:r>
      <w:r>
        <w:rPr>
          <w:rFonts w:ascii="Times New Roman" w:eastAsia="SimSun" w:hAnsi="Times New Roman" w:cs="Times New Roman"/>
          <w:sz w:val="24"/>
        </w:rPr>
        <w:t xml:space="preserve"> These reports provide comprehensive insights into financial data, operational status, and market strategies, making them authoritative and highly valuable as references. The study covers the period from 2019 to 2023, a timeframe that includes industry fluctuations and corporate strategic adjustments. This comprehensive perspective helps reveal the evolution and development of corporate profit models.</w:t>
      </w:r>
    </w:p>
    <w:p w14:paraId="7358CDA6" w14:textId="77777777" w:rsidR="00F4716C" w:rsidRDefault="00F4716C">
      <w:pPr>
        <w:spacing w:line="360" w:lineRule="auto"/>
        <w:ind w:firstLineChars="200" w:firstLine="480"/>
        <w:rPr>
          <w:rFonts w:ascii="Times New Roman" w:eastAsia="SimSun" w:hAnsi="Times New Roman" w:cs="Times New Roman"/>
          <w:sz w:val="24"/>
        </w:rPr>
      </w:pPr>
    </w:p>
    <w:p w14:paraId="30D63E89" w14:textId="77777777" w:rsidR="00F4716C" w:rsidRDefault="00304B20">
      <w:pPr>
        <w:spacing w:line="360" w:lineRule="auto"/>
        <w:rPr>
          <w:rFonts w:ascii="Times New Roman" w:eastAsia="SimSun" w:hAnsi="Times New Roman" w:cs="Times New Roman"/>
          <w:b/>
          <w:bCs/>
          <w:sz w:val="28"/>
          <w:szCs w:val="28"/>
        </w:rPr>
      </w:pPr>
      <w:r>
        <w:rPr>
          <w:rFonts w:ascii="Times New Roman" w:eastAsia="SimSun" w:hAnsi="Times New Roman" w:cs="Times New Roman"/>
          <w:b/>
          <w:bCs/>
          <w:sz w:val="28"/>
          <w:szCs w:val="28"/>
        </w:rPr>
        <w:t>3</w:t>
      </w:r>
      <w:r>
        <w:rPr>
          <w:rFonts w:ascii="Times New Roman" w:eastAsia="SimSun" w:hAnsi="Times New Roman" w:cs="Times New Roman" w:hint="eastAsia"/>
          <w:b/>
          <w:bCs/>
          <w:sz w:val="28"/>
          <w:szCs w:val="28"/>
        </w:rPr>
        <w:t xml:space="preserve"> Research Analysis</w:t>
      </w:r>
    </w:p>
    <w:p w14:paraId="2629D088" w14:textId="77777777" w:rsidR="00F4716C" w:rsidRDefault="00304B20">
      <w:pPr>
        <w:spacing w:line="360" w:lineRule="auto"/>
        <w:rPr>
          <w:rFonts w:ascii="Times New Roman" w:eastAsia="SimSun" w:hAnsi="Times New Roman" w:cs="Times New Roman"/>
          <w:b/>
          <w:bCs/>
          <w:sz w:val="24"/>
        </w:rPr>
      </w:pPr>
      <w:r>
        <w:rPr>
          <w:rFonts w:ascii="Times New Roman" w:eastAsia="SimSun" w:hAnsi="Times New Roman" w:cs="Times New Roman"/>
          <w:b/>
          <w:bCs/>
          <w:sz w:val="24"/>
        </w:rPr>
        <w:t>3.1 Overall Analysis</w:t>
      </w:r>
    </w:p>
    <w:p w14:paraId="2D31C52D" w14:textId="12BCE55C" w:rsidR="00F4716C" w:rsidRDefault="00304B2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lastRenderedPageBreak/>
        <w:t xml:space="preserve">The Return on Equity (ROE) of Three Squirrels remained relatively stable from 2019 to 2021 (15.88%, 15.1%, and 18.88%, respectively). However, it experienced a sharp decline to 5.61% in 2022, followed by a slight recovery to 9.05% in 2023, indicating periodic fluctuations in profitability. The ROE of </w:t>
      </w:r>
      <w:proofErr w:type="spellStart"/>
      <w:r>
        <w:rPr>
          <w:rFonts w:ascii="Times New Roman" w:eastAsia="SimSun" w:hAnsi="Times New Roman" w:cs="Times New Roman"/>
          <w:sz w:val="24"/>
        </w:rPr>
        <w:t>Bestore</w:t>
      </w:r>
      <w:proofErr w:type="spellEnd"/>
      <w:r>
        <w:rPr>
          <w:rFonts w:ascii="Times New Roman" w:eastAsia="SimSun" w:hAnsi="Times New Roman" w:cs="Times New Roman"/>
          <w:sz w:val="24"/>
        </w:rPr>
        <w:t xml:space="preserve"> exhibited a continuous downward trend, declining from 27.02% in 2019 to 7.32% in 2023, suggesting a gradual weakening of profitability, possibly due to market competition and cost pressures. The ROE of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exhibited significant fluctuations. It stood at 17.93% in 2019, surged to 29.44% in 2020, then declined to 17.65% in 2021. However, it rebounded sharply to 29.72% in 2022 and further increased to 39.34% in 2023, demonstrating strong profitability and growth potential. These differences reflect variations in market positioning, operational strategies, and cost control among these companies. The specific details are presented in Table 1.</w:t>
      </w:r>
    </w:p>
    <w:p w14:paraId="6815C80B" w14:textId="77777777" w:rsidR="005814BC" w:rsidRDefault="005814BC">
      <w:pPr>
        <w:spacing w:line="360" w:lineRule="auto"/>
        <w:ind w:firstLineChars="200" w:firstLine="480"/>
        <w:rPr>
          <w:rFonts w:ascii="Times New Roman" w:eastAsia="SimSun" w:hAnsi="Times New Roman" w:cs="Times New Roman"/>
          <w:sz w:val="24"/>
        </w:rPr>
      </w:pPr>
    </w:p>
    <w:p w14:paraId="69662C08" w14:textId="77777777" w:rsidR="00F4716C" w:rsidRDefault="00304B20">
      <w:pPr>
        <w:spacing w:line="360" w:lineRule="auto"/>
        <w:jc w:val="center"/>
        <w:rPr>
          <w:rFonts w:ascii="Times New Roman" w:eastAsia="SimSun" w:hAnsi="Times New Roman" w:cs="Times New Roman"/>
          <w:b/>
          <w:bCs/>
          <w:sz w:val="24"/>
        </w:rPr>
      </w:pPr>
      <w:r>
        <w:rPr>
          <w:rFonts w:ascii="Times New Roman" w:eastAsia="SimSun" w:hAnsi="Times New Roman" w:cs="Times New Roman"/>
          <w:b/>
          <w:bCs/>
          <w:sz w:val="24"/>
        </w:rPr>
        <w:t>Table 1.</w:t>
      </w:r>
      <w:r>
        <w:rPr>
          <w:rFonts w:ascii="Times New Roman" w:eastAsia="SimSun" w:hAnsi="Times New Roman" w:cs="Times New Roman" w:hint="eastAsia"/>
          <w:b/>
          <w:bCs/>
          <w:sz w:val="24"/>
        </w:rPr>
        <w:t xml:space="preserve"> </w:t>
      </w:r>
      <w:r>
        <w:rPr>
          <w:rFonts w:ascii="Times New Roman" w:eastAsia="SimSun" w:hAnsi="Times New Roman" w:cs="Times New Roman"/>
          <w:sz w:val="24"/>
        </w:rPr>
        <w:t>Comparison of Return on Equity (ROE) Indicators Among Industry Peers</w:t>
      </w:r>
    </w:p>
    <w:tbl>
      <w:tblPr>
        <w:tblStyle w:val="TableGrid"/>
        <w:tblW w:w="868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1417"/>
        <w:gridCol w:w="1417"/>
        <w:gridCol w:w="1417"/>
        <w:gridCol w:w="1417"/>
        <w:gridCol w:w="1417"/>
      </w:tblGrid>
      <w:tr w:rsidR="00F4716C" w14:paraId="725B14E2" w14:textId="77777777">
        <w:trPr>
          <w:jc w:val="center"/>
        </w:trPr>
        <w:tc>
          <w:tcPr>
            <w:tcW w:w="1596" w:type="dxa"/>
            <w:tcBorders>
              <w:bottom w:val="single" w:sz="4" w:space="0" w:color="auto"/>
            </w:tcBorders>
            <w:vAlign w:val="center"/>
          </w:tcPr>
          <w:p w14:paraId="0FB42333" w14:textId="77777777" w:rsidR="00F4716C" w:rsidRPr="005814BC" w:rsidRDefault="00F4716C">
            <w:pPr>
              <w:widowControl/>
              <w:jc w:val="center"/>
              <w:textAlignment w:val="center"/>
              <w:rPr>
                <w:rFonts w:ascii="Times New Roman" w:eastAsia="SimSun" w:hAnsi="Times New Roman" w:cs="Times New Roman"/>
                <w:color w:val="000000"/>
                <w:kern w:val="0"/>
                <w:szCs w:val="21"/>
                <w:lang w:bidi="ar"/>
              </w:rPr>
            </w:pPr>
          </w:p>
        </w:tc>
        <w:tc>
          <w:tcPr>
            <w:tcW w:w="1417" w:type="dxa"/>
            <w:tcBorders>
              <w:bottom w:val="single" w:sz="4" w:space="0" w:color="auto"/>
            </w:tcBorders>
            <w:vAlign w:val="center"/>
          </w:tcPr>
          <w:p w14:paraId="0CB70B69"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2019</w:t>
            </w:r>
          </w:p>
        </w:tc>
        <w:tc>
          <w:tcPr>
            <w:tcW w:w="1417" w:type="dxa"/>
            <w:tcBorders>
              <w:bottom w:val="single" w:sz="4" w:space="0" w:color="auto"/>
            </w:tcBorders>
            <w:vAlign w:val="center"/>
          </w:tcPr>
          <w:p w14:paraId="653D713E"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2020</w:t>
            </w:r>
          </w:p>
        </w:tc>
        <w:tc>
          <w:tcPr>
            <w:tcW w:w="1417" w:type="dxa"/>
            <w:tcBorders>
              <w:bottom w:val="single" w:sz="4" w:space="0" w:color="auto"/>
            </w:tcBorders>
            <w:vAlign w:val="center"/>
          </w:tcPr>
          <w:p w14:paraId="012E36E9"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2021</w:t>
            </w:r>
          </w:p>
        </w:tc>
        <w:tc>
          <w:tcPr>
            <w:tcW w:w="1417" w:type="dxa"/>
            <w:tcBorders>
              <w:bottom w:val="single" w:sz="4" w:space="0" w:color="auto"/>
            </w:tcBorders>
            <w:vAlign w:val="center"/>
          </w:tcPr>
          <w:p w14:paraId="64FD44E3"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2022</w:t>
            </w:r>
          </w:p>
        </w:tc>
        <w:tc>
          <w:tcPr>
            <w:tcW w:w="1417" w:type="dxa"/>
            <w:tcBorders>
              <w:bottom w:val="single" w:sz="4" w:space="0" w:color="auto"/>
            </w:tcBorders>
            <w:vAlign w:val="center"/>
          </w:tcPr>
          <w:p w14:paraId="634893CD"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2023</w:t>
            </w:r>
          </w:p>
        </w:tc>
      </w:tr>
      <w:tr w:rsidR="00F4716C" w14:paraId="3DAB6A7C" w14:textId="77777777">
        <w:trPr>
          <w:jc w:val="center"/>
        </w:trPr>
        <w:tc>
          <w:tcPr>
            <w:tcW w:w="1596" w:type="dxa"/>
            <w:tcBorders>
              <w:top w:val="single" w:sz="4" w:space="0" w:color="auto"/>
              <w:tl2br w:val="nil"/>
              <w:tr2bl w:val="nil"/>
            </w:tcBorders>
            <w:vAlign w:val="center"/>
          </w:tcPr>
          <w:p w14:paraId="2B3D1425" w14:textId="77777777" w:rsidR="00F4716C" w:rsidRPr="005814BC" w:rsidRDefault="00304B20">
            <w:pPr>
              <w:widowControl/>
              <w:jc w:val="center"/>
              <w:textAlignment w:val="center"/>
              <w:rPr>
                <w:rFonts w:ascii="Times New Roman" w:eastAsia="SimSun" w:hAnsi="Times New Roman" w:cs="Times New Roman"/>
                <w:color w:val="000000"/>
                <w:kern w:val="0"/>
                <w:szCs w:val="21"/>
                <w:lang w:bidi="ar"/>
              </w:rPr>
            </w:pPr>
            <w:r w:rsidRPr="005814BC">
              <w:rPr>
                <w:rFonts w:ascii="Times New Roman" w:eastAsia="SimSun" w:hAnsi="Times New Roman" w:cs="Times New Roman"/>
                <w:szCs w:val="21"/>
              </w:rPr>
              <w:t>Three Squirrels</w:t>
            </w:r>
          </w:p>
        </w:tc>
        <w:tc>
          <w:tcPr>
            <w:tcW w:w="1417" w:type="dxa"/>
            <w:tcBorders>
              <w:top w:val="single" w:sz="4" w:space="0" w:color="auto"/>
              <w:tl2br w:val="nil"/>
              <w:tr2bl w:val="nil"/>
            </w:tcBorders>
            <w:vAlign w:val="center"/>
          </w:tcPr>
          <w:p w14:paraId="613A9499"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15.88</w:t>
            </w:r>
          </w:p>
        </w:tc>
        <w:tc>
          <w:tcPr>
            <w:tcW w:w="1417" w:type="dxa"/>
            <w:tcBorders>
              <w:top w:val="single" w:sz="4" w:space="0" w:color="auto"/>
              <w:tl2br w:val="nil"/>
              <w:tr2bl w:val="nil"/>
            </w:tcBorders>
            <w:vAlign w:val="center"/>
          </w:tcPr>
          <w:p w14:paraId="1F63A486"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15.1</w:t>
            </w:r>
          </w:p>
        </w:tc>
        <w:tc>
          <w:tcPr>
            <w:tcW w:w="1417" w:type="dxa"/>
            <w:tcBorders>
              <w:top w:val="single" w:sz="4" w:space="0" w:color="auto"/>
              <w:tl2br w:val="nil"/>
              <w:tr2bl w:val="nil"/>
            </w:tcBorders>
            <w:vAlign w:val="center"/>
          </w:tcPr>
          <w:p w14:paraId="4CAB7495"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18.88</w:t>
            </w:r>
          </w:p>
        </w:tc>
        <w:tc>
          <w:tcPr>
            <w:tcW w:w="1417" w:type="dxa"/>
            <w:tcBorders>
              <w:top w:val="single" w:sz="4" w:space="0" w:color="auto"/>
              <w:tl2br w:val="nil"/>
              <w:tr2bl w:val="nil"/>
            </w:tcBorders>
            <w:vAlign w:val="center"/>
          </w:tcPr>
          <w:p w14:paraId="68A4520A"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5.61</w:t>
            </w:r>
          </w:p>
        </w:tc>
        <w:tc>
          <w:tcPr>
            <w:tcW w:w="1417" w:type="dxa"/>
            <w:tcBorders>
              <w:top w:val="single" w:sz="4" w:space="0" w:color="auto"/>
              <w:tl2br w:val="nil"/>
              <w:tr2bl w:val="nil"/>
            </w:tcBorders>
            <w:vAlign w:val="center"/>
          </w:tcPr>
          <w:p w14:paraId="02EC48A4"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9.05</w:t>
            </w:r>
          </w:p>
        </w:tc>
      </w:tr>
      <w:tr w:rsidR="00F4716C" w14:paraId="0BCC7AE5" w14:textId="77777777">
        <w:trPr>
          <w:jc w:val="center"/>
        </w:trPr>
        <w:tc>
          <w:tcPr>
            <w:tcW w:w="1596" w:type="dxa"/>
            <w:tcBorders>
              <w:tl2br w:val="nil"/>
              <w:tr2bl w:val="nil"/>
            </w:tcBorders>
            <w:vAlign w:val="center"/>
          </w:tcPr>
          <w:p w14:paraId="7420E5A5" w14:textId="77777777" w:rsidR="00F4716C" w:rsidRPr="005814BC" w:rsidRDefault="00304B20">
            <w:pPr>
              <w:widowControl/>
              <w:jc w:val="center"/>
              <w:textAlignment w:val="center"/>
              <w:rPr>
                <w:rFonts w:ascii="Times New Roman" w:eastAsia="SimSun" w:hAnsi="Times New Roman" w:cs="Times New Roman"/>
                <w:color w:val="000000"/>
                <w:kern w:val="0"/>
                <w:szCs w:val="21"/>
                <w:lang w:bidi="ar"/>
              </w:rPr>
            </w:pPr>
            <w:proofErr w:type="spellStart"/>
            <w:r w:rsidRPr="005814BC">
              <w:rPr>
                <w:rFonts w:ascii="Times New Roman" w:eastAsia="SimSun" w:hAnsi="Times New Roman" w:cs="Times New Roman"/>
                <w:szCs w:val="21"/>
              </w:rPr>
              <w:t>Bestore</w:t>
            </w:r>
            <w:proofErr w:type="spellEnd"/>
          </w:p>
        </w:tc>
        <w:tc>
          <w:tcPr>
            <w:tcW w:w="1417" w:type="dxa"/>
            <w:tcBorders>
              <w:tl2br w:val="nil"/>
              <w:tr2bl w:val="nil"/>
            </w:tcBorders>
            <w:vAlign w:val="center"/>
          </w:tcPr>
          <w:p w14:paraId="2D16F08A"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27.02</w:t>
            </w:r>
          </w:p>
        </w:tc>
        <w:tc>
          <w:tcPr>
            <w:tcW w:w="1417" w:type="dxa"/>
            <w:tcBorders>
              <w:tl2br w:val="nil"/>
              <w:tr2bl w:val="nil"/>
            </w:tcBorders>
            <w:vAlign w:val="center"/>
          </w:tcPr>
          <w:p w14:paraId="6416B2E0"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19.39</w:t>
            </w:r>
          </w:p>
        </w:tc>
        <w:tc>
          <w:tcPr>
            <w:tcW w:w="1417" w:type="dxa"/>
            <w:tcBorders>
              <w:tl2br w:val="nil"/>
              <w:tr2bl w:val="nil"/>
            </w:tcBorders>
            <w:vAlign w:val="center"/>
          </w:tcPr>
          <w:p w14:paraId="55D925EC"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13.34</w:t>
            </w:r>
          </w:p>
        </w:tc>
        <w:tc>
          <w:tcPr>
            <w:tcW w:w="1417" w:type="dxa"/>
            <w:tcBorders>
              <w:tl2br w:val="nil"/>
              <w:tr2bl w:val="nil"/>
            </w:tcBorders>
            <w:vAlign w:val="center"/>
          </w:tcPr>
          <w:p w14:paraId="0690B3D1"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14.66</w:t>
            </w:r>
          </w:p>
        </w:tc>
        <w:tc>
          <w:tcPr>
            <w:tcW w:w="1417" w:type="dxa"/>
            <w:tcBorders>
              <w:tl2br w:val="nil"/>
              <w:tr2bl w:val="nil"/>
            </w:tcBorders>
            <w:vAlign w:val="center"/>
          </w:tcPr>
          <w:p w14:paraId="784F0DAC"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7.32</w:t>
            </w:r>
          </w:p>
        </w:tc>
      </w:tr>
      <w:tr w:rsidR="00F4716C" w14:paraId="2C477BEC" w14:textId="77777777">
        <w:trPr>
          <w:jc w:val="center"/>
        </w:trPr>
        <w:tc>
          <w:tcPr>
            <w:tcW w:w="1596" w:type="dxa"/>
            <w:tcBorders>
              <w:tl2br w:val="nil"/>
              <w:tr2bl w:val="nil"/>
            </w:tcBorders>
            <w:vAlign w:val="center"/>
          </w:tcPr>
          <w:p w14:paraId="3E935CF6" w14:textId="77777777" w:rsidR="00F4716C" w:rsidRPr="005814BC" w:rsidRDefault="00304B20">
            <w:pPr>
              <w:widowControl/>
              <w:jc w:val="center"/>
              <w:textAlignment w:val="center"/>
              <w:rPr>
                <w:rFonts w:ascii="Times New Roman" w:eastAsia="SimSun" w:hAnsi="Times New Roman" w:cs="Times New Roman"/>
                <w:color w:val="000000"/>
                <w:kern w:val="0"/>
                <w:szCs w:val="21"/>
                <w:lang w:bidi="ar"/>
              </w:rPr>
            </w:pPr>
            <w:proofErr w:type="spellStart"/>
            <w:r w:rsidRPr="005814BC">
              <w:rPr>
                <w:rFonts w:ascii="Times New Roman" w:eastAsia="SimSun" w:hAnsi="Times New Roman" w:cs="Times New Roman"/>
                <w:szCs w:val="21"/>
              </w:rPr>
              <w:t>YanJin</w:t>
            </w:r>
            <w:proofErr w:type="spellEnd"/>
            <w:r w:rsidRPr="005814BC">
              <w:rPr>
                <w:rFonts w:ascii="Times New Roman" w:eastAsia="SimSun" w:hAnsi="Times New Roman" w:cs="Times New Roman"/>
                <w:szCs w:val="21"/>
              </w:rPr>
              <w:t xml:space="preserve"> Shop</w:t>
            </w:r>
          </w:p>
        </w:tc>
        <w:tc>
          <w:tcPr>
            <w:tcW w:w="1417" w:type="dxa"/>
            <w:tcBorders>
              <w:tl2br w:val="nil"/>
              <w:tr2bl w:val="nil"/>
            </w:tcBorders>
            <w:vAlign w:val="center"/>
          </w:tcPr>
          <w:p w14:paraId="366224EE"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17.93</w:t>
            </w:r>
          </w:p>
        </w:tc>
        <w:tc>
          <w:tcPr>
            <w:tcW w:w="1417" w:type="dxa"/>
            <w:tcBorders>
              <w:tl2br w:val="nil"/>
              <w:tr2bl w:val="nil"/>
            </w:tcBorders>
            <w:vAlign w:val="center"/>
          </w:tcPr>
          <w:p w14:paraId="6E2F96F3"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29.44</w:t>
            </w:r>
          </w:p>
        </w:tc>
        <w:tc>
          <w:tcPr>
            <w:tcW w:w="1417" w:type="dxa"/>
            <w:tcBorders>
              <w:tl2br w:val="nil"/>
              <w:tr2bl w:val="nil"/>
            </w:tcBorders>
            <w:vAlign w:val="center"/>
          </w:tcPr>
          <w:p w14:paraId="32BED5F9"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17.65</w:t>
            </w:r>
          </w:p>
        </w:tc>
        <w:tc>
          <w:tcPr>
            <w:tcW w:w="1417" w:type="dxa"/>
            <w:tcBorders>
              <w:tl2br w:val="nil"/>
              <w:tr2bl w:val="nil"/>
            </w:tcBorders>
            <w:vAlign w:val="center"/>
          </w:tcPr>
          <w:p w14:paraId="5E23884C"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29.72</w:t>
            </w:r>
          </w:p>
        </w:tc>
        <w:tc>
          <w:tcPr>
            <w:tcW w:w="1417" w:type="dxa"/>
            <w:tcBorders>
              <w:tl2br w:val="nil"/>
              <w:tr2bl w:val="nil"/>
            </w:tcBorders>
            <w:vAlign w:val="center"/>
          </w:tcPr>
          <w:p w14:paraId="1430B975" w14:textId="77777777" w:rsidR="00F4716C" w:rsidRPr="005814BC" w:rsidRDefault="00304B20">
            <w:pPr>
              <w:widowControl/>
              <w:jc w:val="center"/>
              <w:textAlignment w:val="center"/>
              <w:rPr>
                <w:rFonts w:ascii="Times New Roman" w:eastAsia="SimSun" w:hAnsi="Times New Roman" w:cs="Times New Roman"/>
                <w:b/>
                <w:bCs/>
                <w:szCs w:val="21"/>
              </w:rPr>
            </w:pPr>
            <w:r w:rsidRPr="005814BC">
              <w:rPr>
                <w:rFonts w:ascii="Times New Roman" w:eastAsia="SimSun" w:hAnsi="Times New Roman" w:cs="Times New Roman"/>
                <w:color w:val="000000"/>
                <w:kern w:val="0"/>
                <w:szCs w:val="21"/>
                <w:lang w:bidi="ar"/>
              </w:rPr>
              <w:t>39.34</w:t>
            </w:r>
          </w:p>
        </w:tc>
      </w:tr>
    </w:tbl>
    <w:p w14:paraId="4D69CBF9" w14:textId="77777777" w:rsidR="00F4716C" w:rsidRPr="009B5082" w:rsidRDefault="00F4716C">
      <w:pPr>
        <w:rPr>
          <w:color w:val="FF0000"/>
        </w:rPr>
      </w:pPr>
    </w:p>
    <w:p w14:paraId="6EC2F4FB" w14:textId="77777777" w:rsidR="00F4716C" w:rsidRDefault="00304B20">
      <w:pPr>
        <w:spacing w:line="360" w:lineRule="auto"/>
        <w:rPr>
          <w:rFonts w:ascii="Times New Roman" w:eastAsia="SimSun" w:hAnsi="Times New Roman" w:cs="Times New Roman"/>
          <w:b/>
          <w:bCs/>
          <w:sz w:val="24"/>
        </w:rPr>
      </w:pPr>
      <w:r>
        <w:rPr>
          <w:rFonts w:ascii="Times New Roman" w:eastAsia="SimSun" w:hAnsi="Times New Roman" w:cs="Times New Roman" w:hint="eastAsia"/>
          <w:b/>
          <w:bCs/>
          <w:sz w:val="24"/>
        </w:rPr>
        <w:t xml:space="preserve">3.2 </w:t>
      </w:r>
      <w:r>
        <w:rPr>
          <w:rFonts w:ascii="Times New Roman" w:eastAsia="SimSun" w:hAnsi="Times New Roman" w:cs="Times New Roman"/>
          <w:b/>
          <w:bCs/>
          <w:sz w:val="24"/>
        </w:rPr>
        <w:t>Three Squirrels</w:t>
      </w:r>
    </w:p>
    <w:p w14:paraId="483D461B" w14:textId="77777777" w:rsidR="00F4716C" w:rsidRDefault="00304B20">
      <w:pPr>
        <w:pStyle w:val="NormalWeb"/>
        <w:widowControl/>
        <w:spacing w:beforeAutospacing="0" w:afterAutospacing="0" w:line="360" w:lineRule="auto"/>
        <w:ind w:firstLineChars="200" w:firstLine="480"/>
        <w:jc w:val="both"/>
        <w:rPr>
          <w:rFonts w:ascii="Times New Roman" w:hAnsi="Times New Roman"/>
        </w:rPr>
      </w:pPr>
      <w:r>
        <w:rPr>
          <w:rFonts w:ascii="Times New Roman" w:hAnsi="Times New Roman"/>
        </w:rPr>
        <w:t xml:space="preserve">As shown in Figure 2, from 2019 to 2023, Three Squirrels' operating net profit margin, total asset turnover, and equity multiplier exhibited certain fluctuations, reflecting changes in the company’s profitability, asset utilization efficiency, and capital structure management. Specifically, Three Squirrels' operating net profit margin increased from 2.35% in 2019 to 4.21% in </w:t>
      </w:r>
      <w:proofErr w:type="gramStart"/>
      <w:r>
        <w:rPr>
          <w:rFonts w:ascii="Times New Roman" w:hAnsi="Times New Roman"/>
        </w:rPr>
        <w:t>2024, and</w:t>
      </w:r>
      <w:proofErr w:type="gramEnd"/>
      <w:r>
        <w:rPr>
          <w:rFonts w:ascii="Times New Roman" w:hAnsi="Times New Roman"/>
        </w:rPr>
        <w:t xml:space="preserve"> then decreased to 3.09% in 2023. This change reflects the profitability fluctuations Three Squirrels has faced in recent years, with the significant decline in operating net profit </w:t>
      </w:r>
      <w:proofErr w:type="gramStart"/>
      <w:r>
        <w:rPr>
          <w:rFonts w:ascii="Times New Roman" w:hAnsi="Times New Roman"/>
        </w:rPr>
        <w:t>margin likely</w:t>
      </w:r>
      <w:proofErr w:type="gramEnd"/>
      <w:r>
        <w:rPr>
          <w:rFonts w:ascii="Times New Roman" w:hAnsi="Times New Roman"/>
        </w:rPr>
        <w:t xml:space="preserve"> linked to increased market competition, rising raw material costs, and adjustments in the company's sales strategy. Specifically, the significant reduction in operating costs was offset by the increase in sales expenses, leading to only a minor change in total costs. However, due to the intensifying industry competition, Three Squirrels' operating </w:t>
      </w:r>
      <w:r>
        <w:rPr>
          <w:rFonts w:ascii="Times New Roman" w:hAnsi="Times New Roman"/>
        </w:rPr>
        <w:lastRenderedPageBreak/>
        <w:t>revenue experienced a slight decline, particularly in its online channels, where customer acquisition costs rose sharply. The steady changes in revenue were partially attributed to the increase in non-operating income and investment returns, indicating that the company is compensating for the decline in its core business through non-core operations, which further exposes Three Squirrels’ growth bottleneck amid changes in the market environment. This bottleneck reflects that, under the dual pressures of increased competition and rising costs, the company’s adjustments to its business model have not yet resulted in significant breakthroughs.</w:t>
      </w:r>
    </w:p>
    <w:p w14:paraId="71B75CA3" w14:textId="26A84775" w:rsidR="00F4716C" w:rsidRDefault="00304B20">
      <w:pPr>
        <w:pStyle w:val="NormalWeb"/>
        <w:widowControl/>
        <w:spacing w:beforeAutospacing="0" w:afterAutospacing="0" w:line="360" w:lineRule="auto"/>
        <w:ind w:firstLineChars="200" w:firstLine="480"/>
        <w:jc w:val="both"/>
        <w:rPr>
          <w:rFonts w:ascii="Times New Roman" w:eastAsia="SimSun" w:hAnsi="Times New Roman"/>
        </w:rPr>
      </w:pPr>
      <w:r>
        <w:rPr>
          <w:rFonts w:ascii="Times New Roman" w:eastAsia="SimSun" w:hAnsi="Times New Roman"/>
        </w:rPr>
        <w:t>Total asset turnover is an important indicator for measuring the efficiency of a company's asset utilization. Three Squirrels' total asset turnover was 2.56 times in 2019, and it declined year by year, reaching 1.41 times in 2023. The continued decline in total asset turnover indicates that the company is facing certain challenges in improving asset utilization efficiency. This decline may be related to the expansion of asset scale, but the growth in sales revenue has not kept pace, resulting in a decrease in asset utilization efficiency. Additionally, the decrease in accounts receivable turnover may be another reason for the decline in total asset turnover. As the company’s sales scale expands, especially with the increase in online business, the difficulty of managing accounts receivable has increased. Loosening credit sales policies may result in delays in collecting receivables, thus affecting the performance of total asset turnover.</w:t>
      </w:r>
      <w:r w:rsidR="005814BC">
        <w:rPr>
          <w:rFonts w:ascii="Times New Roman" w:eastAsia="SimSun" w:hAnsi="Times New Roman" w:hint="eastAsia"/>
        </w:rPr>
        <w:t xml:space="preserve"> </w:t>
      </w:r>
      <w:r>
        <w:rPr>
          <w:rFonts w:ascii="Times New Roman" w:eastAsia="SimSun" w:hAnsi="Times New Roman"/>
        </w:rPr>
        <w:t>Return on assets (ROA) is directly influenced by both total asset turnover and operating net profit margin. In the above analysis, difficulties in inventory turnover have worsened the turnover speed of total assets, and the decline in inventory turnover further exacerbates Three Squirrels' brand reputation issues, while also increasing customer acquisition costs, which further impacts the company's profitability.</w:t>
      </w:r>
    </w:p>
    <w:p w14:paraId="2269C976" w14:textId="77777777" w:rsidR="00F4716C" w:rsidRDefault="00304B2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 xml:space="preserve">In terms of capital structure, Three Squirrels' equity multiplier decreased from 2.64 in 2019 to 2.1 in 2023, reflecting a gradual tightening of financial leverage and the stabilization of its capital structure. The decrease in the equity multiplier indicates that Three Squirrels has reduced its reliance on external debt, thereby lowering the risks associated with financial leverage. This change may be a result of the company realizing, after experiencing a more complex market environment, the financial risks and debt </w:t>
      </w:r>
      <w:r>
        <w:rPr>
          <w:rFonts w:ascii="Times New Roman" w:eastAsia="SimSun" w:hAnsi="Times New Roman" w:cs="Times New Roman"/>
          <w:sz w:val="24"/>
        </w:rPr>
        <w:lastRenderedPageBreak/>
        <w:t>repayment pressures associated with excessive reliance on leverage. Therefore, the company has gradually adjusted its capital structure to enhance financial stability. However, although a lower equity multiplier has alleviated financial risks, it may also, to some extent, limit the company's expansion speed. Reduced external debt financing may place pressure on the company's ability to acquire capital, especially in situations requiring rapid expansion. Finding a balance between stability and growth will be crucial for the company's future development.</w:t>
      </w:r>
    </w:p>
    <w:p w14:paraId="4F626B3D" w14:textId="77777777" w:rsidR="00F4716C" w:rsidRDefault="00304B20">
      <w:pPr>
        <w:jc w:val="center"/>
        <w:rPr>
          <w:rFonts w:ascii="Times New Roman" w:eastAsia="SimSun" w:hAnsi="Times New Roman" w:cs="Times New Roman"/>
          <w:b/>
          <w:bCs/>
          <w:sz w:val="24"/>
        </w:rPr>
      </w:pPr>
      <w:commentRangeStart w:id="6"/>
      <w:r>
        <w:rPr>
          <w:rFonts w:ascii="Times New Roman" w:eastAsia="SimSun" w:hAnsi="Times New Roman" w:cs="Times New Roman" w:hint="eastAsia"/>
          <w:b/>
          <w:bCs/>
          <w:noProof/>
          <w:sz w:val="24"/>
        </w:rPr>
        <w:drawing>
          <wp:inline distT="0" distB="0" distL="114300" distR="114300" wp14:anchorId="5CE16FE7" wp14:editId="4F8EE13C">
            <wp:extent cx="5273675" cy="4069080"/>
            <wp:effectExtent l="0" t="0" r="14605" b="0"/>
            <wp:docPr id="2" name="图片 2" descr="三只松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三只松鼠"/>
                    <pic:cNvPicPr>
                      <a:picLocks noChangeAspect="1"/>
                    </pic:cNvPicPr>
                  </pic:nvPicPr>
                  <pic:blipFill>
                    <a:blip r:embed="rId14"/>
                    <a:stretch>
                      <a:fillRect/>
                    </a:stretch>
                  </pic:blipFill>
                  <pic:spPr>
                    <a:xfrm>
                      <a:off x="0" y="0"/>
                      <a:ext cx="5273675" cy="4069080"/>
                    </a:xfrm>
                    <a:prstGeom prst="rect">
                      <a:avLst/>
                    </a:prstGeom>
                  </pic:spPr>
                </pic:pic>
              </a:graphicData>
            </a:graphic>
          </wp:inline>
        </w:drawing>
      </w:r>
      <w:commentRangeEnd w:id="6"/>
      <w:r w:rsidR="00427902">
        <w:rPr>
          <w:rStyle w:val="CommentReference"/>
        </w:rPr>
        <w:commentReference w:id="6"/>
      </w:r>
    </w:p>
    <w:p w14:paraId="0DB8E5EB" w14:textId="77777777" w:rsidR="00F4716C" w:rsidRDefault="00304B20">
      <w:pPr>
        <w:spacing w:line="360" w:lineRule="auto"/>
        <w:jc w:val="center"/>
        <w:rPr>
          <w:rFonts w:ascii="Times New Roman" w:eastAsia="SimSun" w:hAnsi="Times New Roman" w:cs="Times New Roman"/>
          <w:b/>
          <w:bCs/>
          <w:sz w:val="24"/>
        </w:rPr>
      </w:pPr>
      <w:r>
        <w:rPr>
          <w:rFonts w:ascii="Times New Roman" w:eastAsia="SimSun" w:hAnsi="Times New Roman" w:cs="Times New Roman"/>
          <w:b/>
          <w:bCs/>
          <w:sz w:val="24"/>
        </w:rPr>
        <w:t>Fig.</w:t>
      </w:r>
      <w:r>
        <w:rPr>
          <w:rFonts w:ascii="Times New Roman" w:eastAsia="SimSun" w:hAnsi="Times New Roman" w:cs="Times New Roman" w:hint="eastAsia"/>
          <w:b/>
          <w:bCs/>
          <w:sz w:val="24"/>
        </w:rPr>
        <w:t>2</w:t>
      </w:r>
      <w:r>
        <w:rPr>
          <w:rFonts w:ascii="Times New Roman" w:eastAsia="SimSun" w:hAnsi="Times New Roman" w:cs="Times New Roman"/>
          <w:b/>
          <w:bCs/>
          <w:sz w:val="24"/>
        </w:rPr>
        <w:t xml:space="preserve">. </w:t>
      </w:r>
      <w:r>
        <w:rPr>
          <w:rFonts w:ascii="Times New Roman" w:eastAsia="SimSun" w:hAnsi="Times New Roman" w:cs="Times New Roman"/>
          <w:sz w:val="24"/>
        </w:rPr>
        <w:t>Key Financial Indicators of Three Squirrels</w:t>
      </w:r>
    </w:p>
    <w:p w14:paraId="09592B49" w14:textId="77777777" w:rsidR="00F4716C" w:rsidRDefault="00F4716C">
      <w:pPr>
        <w:spacing w:line="360" w:lineRule="auto"/>
        <w:rPr>
          <w:rFonts w:ascii="Times New Roman" w:eastAsia="SimSun" w:hAnsi="Times New Roman" w:cs="Times New Roman"/>
          <w:b/>
          <w:bCs/>
          <w:sz w:val="24"/>
        </w:rPr>
      </w:pPr>
    </w:p>
    <w:p w14:paraId="3CDE4ADD" w14:textId="77777777" w:rsidR="00F4716C" w:rsidRDefault="00304B20">
      <w:pPr>
        <w:spacing w:line="360" w:lineRule="auto"/>
        <w:rPr>
          <w:rFonts w:ascii="Times New Roman" w:eastAsia="SimSun" w:hAnsi="Times New Roman" w:cs="Times New Roman"/>
          <w:b/>
          <w:bCs/>
          <w:sz w:val="24"/>
        </w:rPr>
      </w:pPr>
      <w:r>
        <w:rPr>
          <w:rFonts w:ascii="Times New Roman" w:eastAsia="SimSun" w:hAnsi="Times New Roman" w:cs="Times New Roman" w:hint="eastAsia"/>
          <w:b/>
          <w:bCs/>
          <w:sz w:val="24"/>
        </w:rPr>
        <w:t xml:space="preserve">3.3 </w:t>
      </w:r>
      <w:proofErr w:type="spellStart"/>
      <w:r>
        <w:rPr>
          <w:rFonts w:ascii="Times New Roman" w:eastAsia="SimSun" w:hAnsi="Times New Roman" w:cs="Times New Roman"/>
          <w:b/>
          <w:bCs/>
          <w:sz w:val="24"/>
        </w:rPr>
        <w:t>Bestore</w:t>
      </w:r>
      <w:proofErr w:type="spellEnd"/>
    </w:p>
    <w:p w14:paraId="36EAD4BB" w14:textId="77777777" w:rsidR="00F4716C" w:rsidRDefault="00304B20">
      <w:pPr>
        <w:pStyle w:val="NormalWeb"/>
        <w:widowControl/>
        <w:spacing w:beforeAutospacing="0" w:afterAutospacing="0" w:line="360" w:lineRule="auto"/>
        <w:ind w:firstLineChars="200" w:firstLine="480"/>
        <w:jc w:val="both"/>
        <w:rPr>
          <w:rFonts w:ascii="Times New Roman" w:eastAsia="SimSun" w:hAnsi="Times New Roman"/>
        </w:rPr>
      </w:pPr>
      <w:r>
        <w:rPr>
          <w:rFonts w:ascii="Times New Roman" w:eastAsia="SimSun" w:hAnsi="Times New Roman"/>
        </w:rPr>
        <w:t xml:space="preserve">As shown in Figure 3, from 2019 to 2023, the operating net profit margin, total asset turnover, and equity multiplier of </w:t>
      </w:r>
      <w:proofErr w:type="spellStart"/>
      <w:r>
        <w:rPr>
          <w:rFonts w:ascii="Times New Roman" w:eastAsia="SimSun" w:hAnsi="Times New Roman"/>
        </w:rPr>
        <w:t>Bestore</w:t>
      </w:r>
      <w:proofErr w:type="spellEnd"/>
      <w:r>
        <w:rPr>
          <w:rFonts w:ascii="Times New Roman" w:eastAsia="SimSun" w:hAnsi="Times New Roman"/>
        </w:rPr>
        <w:t xml:space="preserve"> all showed a downward trend. Among these, the decrease in the equity multiplier was relatively small, while the declines in operating net profit margin and total asset turnover were more significant. Due to the combined effects of these three indicators, </w:t>
      </w:r>
      <w:proofErr w:type="spellStart"/>
      <w:r>
        <w:rPr>
          <w:rFonts w:ascii="Times New Roman" w:eastAsia="SimSun" w:hAnsi="Times New Roman"/>
        </w:rPr>
        <w:t>Bestore's</w:t>
      </w:r>
      <w:proofErr w:type="spellEnd"/>
      <w:r>
        <w:rPr>
          <w:rFonts w:ascii="Times New Roman" w:eastAsia="SimSun" w:hAnsi="Times New Roman"/>
        </w:rPr>
        <w:t xml:space="preserve"> return on equity (ROE) showed an overall downward trend during this period. Particularly in 2023, the ROE decreased by </w:t>
      </w:r>
      <w:r>
        <w:rPr>
          <w:rFonts w:ascii="Times New Roman" w:eastAsia="SimSun" w:hAnsi="Times New Roman"/>
        </w:rPr>
        <w:lastRenderedPageBreak/>
        <w:t xml:space="preserve">as much as 50% compared to 2022, mainly due to the decline in operating income and net profit. This change may be related to </w:t>
      </w:r>
      <w:proofErr w:type="spellStart"/>
      <w:proofErr w:type="gramStart"/>
      <w:r>
        <w:rPr>
          <w:rFonts w:ascii="Times New Roman" w:eastAsia="SimSun" w:hAnsi="Times New Roman"/>
        </w:rPr>
        <w:t>Bestore's</w:t>
      </w:r>
      <w:proofErr w:type="spellEnd"/>
      <w:proofErr w:type="gramEnd"/>
      <w:r>
        <w:rPr>
          <w:rFonts w:ascii="Times New Roman" w:eastAsia="SimSun" w:hAnsi="Times New Roman"/>
        </w:rPr>
        <w:t xml:space="preserve"> adjustment of its business strategy in 2023. The company implemented a "high quality at affordable prices" pricing strategy, reducing the prices of over 300 products. While this helped improve market competitiveness, it also somewhat suppressed the growth of operating income. Additionally, from 2019 to 2023, the changes in </w:t>
      </w:r>
      <w:proofErr w:type="spellStart"/>
      <w:r>
        <w:rPr>
          <w:rFonts w:ascii="Times New Roman" w:eastAsia="SimSun" w:hAnsi="Times New Roman"/>
        </w:rPr>
        <w:t>Bestore's</w:t>
      </w:r>
      <w:proofErr w:type="spellEnd"/>
      <w:r>
        <w:rPr>
          <w:rFonts w:ascii="Times New Roman" w:eastAsia="SimSun" w:hAnsi="Times New Roman"/>
        </w:rPr>
        <w:t xml:space="preserve"> equity multiplier were minimal, indicating that its capital structure remained </w:t>
      </w:r>
      <w:proofErr w:type="gramStart"/>
      <w:r>
        <w:rPr>
          <w:rFonts w:ascii="Times New Roman" w:eastAsia="SimSun" w:hAnsi="Times New Roman"/>
        </w:rPr>
        <w:t>stable</w:t>
      </w:r>
      <w:proofErr w:type="gramEnd"/>
      <w:r>
        <w:rPr>
          <w:rFonts w:ascii="Times New Roman" w:eastAsia="SimSun" w:hAnsi="Times New Roman"/>
        </w:rPr>
        <w:t xml:space="preserve"> and it maintained a relatively good development momentum.</w:t>
      </w:r>
    </w:p>
    <w:p w14:paraId="69EFD89B" w14:textId="77777777" w:rsidR="00F4716C" w:rsidRDefault="00304B20">
      <w:pPr>
        <w:pStyle w:val="NormalWeb"/>
        <w:widowControl/>
        <w:spacing w:beforeAutospacing="0" w:afterAutospacing="0" w:line="360" w:lineRule="auto"/>
        <w:ind w:firstLineChars="200" w:firstLine="480"/>
        <w:jc w:val="both"/>
        <w:rPr>
          <w:rFonts w:ascii="Times New Roman" w:eastAsia="SimSun" w:hAnsi="Times New Roman"/>
        </w:rPr>
      </w:pPr>
      <w:r>
        <w:rPr>
          <w:rFonts w:ascii="Times New Roman" w:eastAsia="SimSun" w:hAnsi="Times New Roman"/>
        </w:rPr>
        <w:t xml:space="preserve">In terms of operating net profit margin, as shown in Figure 3, </w:t>
      </w:r>
      <w:proofErr w:type="spellStart"/>
      <w:r>
        <w:rPr>
          <w:rFonts w:ascii="Times New Roman" w:eastAsia="SimSun" w:hAnsi="Times New Roman"/>
        </w:rPr>
        <w:t>Bestore's</w:t>
      </w:r>
      <w:proofErr w:type="spellEnd"/>
      <w:r>
        <w:rPr>
          <w:rFonts w:ascii="Times New Roman" w:eastAsia="SimSun" w:hAnsi="Times New Roman"/>
        </w:rPr>
        <w:t xml:space="preserve"> operating net profit margin exhibited a continuous downward trend from 2019 to 2021, rebounded in 2022, but declined again in 2023. This indicates that the company's profitability has fluctuated in recent years and is generally on a downward trajectory. In contrast, Salted Fish Shop's operating net profit margin has shown a fluctuating upward trend over the past five years, indicating its stability and growth potential in terms of profitability. The further decline in </w:t>
      </w:r>
      <w:proofErr w:type="spellStart"/>
      <w:r>
        <w:rPr>
          <w:rFonts w:ascii="Times New Roman" w:eastAsia="SimSun" w:hAnsi="Times New Roman"/>
        </w:rPr>
        <w:t>Bestore's</w:t>
      </w:r>
      <w:proofErr w:type="spellEnd"/>
      <w:r>
        <w:rPr>
          <w:rFonts w:ascii="Times New Roman" w:eastAsia="SimSun" w:hAnsi="Times New Roman"/>
        </w:rPr>
        <w:t xml:space="preserve"> operating net profit margin in 2023 was mainly due to the reduction in operating income and the decline in net profit. Further analysis reveals that in 2023, </w:t>
      </w:r>
      <w:proofErr w:type="spellStart"/>
      <w:r>
        <w:rPr>
          <w:rFonts w:ascii="Times New Roman" w:eastAsia="SimSun" w:hAnsi="Times New Roman"/>
        </w:rPr>
        <w:t>Bestore</w:t>
      </w:r>
      <w:proofErr w:type="spellEnd"/>
      <w:r>
        <w:rPr>
          <w:rFonts w:ascii="Times New Roman" w:eastAsia="SimSun" w:hAnsi="Times New Roman"/>
        </w:rPr>
        <w:t xml:space="preserve"> implemented a large-scale price reduction strategy centered on the concept of "high quality at affordable prices," lowering the prices of over 300 products. This strategy has, to some extent, enhanced market competitiveness, attracted more consumers, and may have driven sales growth. However, the price reduction directly led to a decline in gross margin, thereby adversely affecting the company's overall profitability. While price reductions may stimulate short-term sales growth, without proper cost control and efficient operational management, the compression of profit margins will further exacerbate the decline in the company's profitability. In addition, </w:t>
      </w:r>
      <w:proofErr w:type="spellStart"/>
      <w:r>
        <w:rPr>
          <w:rFonts w:ascii="Times New Roman" w:eastAsia="SimSun" w:hAnsi="Times New Roman"/>
        </w:rPr>
        <w:t>Bestore's</w:t>
      </w:r>
      <w:proofErr w:type="spellEnd"/>
      <w:r>
        <w:rPr>
          <w:rFonts w:ascii="Times New Roman" w:eastAsia="SimSun" w:hAnsi="Times New Roman"/>
        </w:rPr>
        <w:t xml:space="preserve"> operating costs are relatively high, further squeezing its profit margins, resulting in a greater impact on net profit and operating net profit margin. From a long-term development perspective, </w:t>
      </w:r>
      <w:proofErr w:type="spellStart"/>
      <w:r>
        <w:rPr>
          <w:rFonts w:ascii="Times New Roman" w:eastAsia="SimSun" w:hAnsi="Times New Roman"/>
        </w:rPr>
        <w:t>Bestore</w:t>
      </w:r>
      <w:proofErr w:type="spellEnd"/>
      <w:r>
        <w:rPr>
          <w:rFonts w:ascii="Times New Roman" w:eastAsia="SimSun" w:hAnsi="Times New Roman"/>
        </w:rPr>
        <w:t xml:space="preserve"> still has considerable room for improvement in optimizing supply chain management, implementing lean production models, and strengthening refined operational cost control. By further reducing procurement and production costs, improving operational efficiency, and enhancing the precision of </w:t>
      </w:r>
      <w:r>
        <w:rPr>
          <w:rFonts w:ascii="Times New Roman" w:eastAsia="SimSun" w:hAnsi="Times New Roman"/>
        </w:rPr>
        <w:lastRenderedPageBreak/>
        <w:t>marketing strategies, the company may improve profitability and strengthen market competitiveness. At the same time, a reasonable pricing strategy should align with brand value and market positioning to ensure a balance between profit and market share, thus promoting the company's sustainable growth.</w:t>
      </w:r>
    </w:p>
    <w:p w14:paraId="3155A7DF" w14:textId="77777777" w:rsidR="00F4716C" w:rsidRDefault="00304B20">
      <w:pPr>
        <w:pStyle w:val="NormalWeb"/>
        <w:widowControl/>
        <w:spacing w:beforeAutospacing="0" w:afterAutospacing="0" w:line="360" w:lineRule="auto"/>
        <w:ind w:firstLineChars="200" w:firstLine="480"/>
        <w:jc w:val="both"/>
        <w:rPr>
          <w:rFonts w:ascii="Times New Roman" w:eastAsia="SimSun" w:hAnsi="Times New Roman"/>
        </w:rPr>
      </w:pPr>
      <w:r>
        <w:rPr>
          <w:rFonts w:ascii="Times New Roman" w:eastAsia="SimSun" w:hAnsi="Times New Roman"/>
        </w:rPr>
        <w:t xml:space="preserve">In terms of total asset turnover, as shown in Figure 3, </w:t>
      </w:r>
      <w:proofErr w:type="spellStart"/>
      <w:r>
        <w:rPr>
          <w:rFonts w:ascii="Times New Roman" w:eastAsia="SimSun" w:hAnsi="Times New Roman"/>
        </w:rPr>
        <w:t>Bestore’s</w:t>
      </w:r>
      <w:proofErr w:type="spellEnd"/>
      <w:r>
        <w:rPr>
          <w:rFonts w:ascii="Times New Roman" w:eastAsia="SimSun" w:hAnsi="Times New Roman"/>
        </w:rPr>
        <w:t xml:space="preserve"> total asset turnover rate continued to decline from 2019 to 2023, reaching its lowest value of 1.52 in 2023, whereas its industry peer, Salted Fish Shop, exhibited a continuously rising trend in total asset turnover. This comparison indicates that </w:t>
      </w:r>
      <w:proofErr w:type="spellStart"/>
      <w:r>
        <w:rPr>
          <w:rFonts w:ascii="Times New Roman" w:eastAsia="SimSun" w:hAnsi="Times New Roman"/>
        </w:rPr>
        <w:t>Bestore’s</w:t>
      </w:r>
      <w:proofErr w:type="spellEnd"/>
      <w:r>
        <w:rPr>
          <w:rFonts w:ascii="Times New Roman" w:eastAsia="SimSun" w:hAnsi="Times New Roman"/>
        </w:rPr>
        <w:t xml:space="preserve"> asset management capabilities and asset utilization efficiency are declining, suggesting that the company may be facing challenges in resource management and operational efficiency. The decline in total asset turnover may imply that the company has room for improvement in enhancing asset utilization efficiency, optimizing production and operational processes, and improving cash flow turnover. Further analysis reveals that one key factor affecting </w:t>
      </w:r>
      <w:proofErr w:type="spellStart"/>
      <w:r>
        <w:rPr>
          <w:rFonts w:ascii="Times New Roman" w:eastAsia="SimSun" w:hAnsi="Times New Roman"/>
        </w:rPr>
        <w:t>Bestore’s</w:t>
      </w:r>
      <w:proofErr w:type="spellEnd"/>
      <w:r>
        <w:rPr>
          <w:rFonts w:ascii="Times New Roman" w:eastAsia="SimSun" w:hAnsi="Times New Roman"/>
        </w:rPr>
        <w:t xml:space="preserve"> total asset turnover is the accounts receivable turnover rate. From 2019 to 2023, </w:t>
      </w:r>
      <w:proofErr w:type="spellStart"/>
      <w:r>
        <w:rPr>
          <w:rFonts w:ascii="Times New Roman" w:eastAsia="SimSun" w:hAnsi="Times New Roman"/>
        </w:rPr>
        <w:t>Bestore’s</w:t>
      </w:r>
      <w:proofErr w:type="spellEnd"/>
      <w:r>
        <w:rPr>
          <w:rFonts w:ascii="Times New Roman" w:eastAsia="SimSun" w:hAnsi="Times New Roman"/>
        </w:rPr>
        <w:t xml:space="preserve"> accounts receivable turnover rate showed an overall downward trend. This may indicate inefficiencies in the company’s collection process, longer customer payment cycles, or a relatively lenient credit sales policy, leading to a significant amount of capital being tied up </w:t>
      </w:r>
      <w:proofErr w:type="gramStart"/>
      <w:r>
        <w:rPr>
          <w:rFonts w:ascii="Times New Roman" w:eastAsia="SimSun" w:hAnsi="Times New Roman"/>
        </w:rPr>
        <w:t>in</w:t>
      </w:r>
      <w:proofErr w:type="gramEnd"/>
      <w:r>
        <w:rPr>
          <w:rFonts w:ascii="Times New Roman" w:eastAsia="SimSun" w:hAnsi="Times New Roman"/>
        </w:rPr>
        <w:t xml:space="preserve"> accounts receivable and not promptly converted into cash for reinvestment or operational use. This not only increases the company’s risk of bad debts but also, to some extent, limits its ability to use these funds for business expansion or operational improvements. From a long-term development perspective, </w:t>
      </w:r>
      <w:proofErr w:type="spellStart"/>
      <w:r>
        <w:rPr>
          <w:rFonts w:ascii="Times New Roman" w:eastAsia="SimSun" w:hAnsi="Times New Roman"/>
        </w:rPr>
        <w:t>Bestore</w:t>
      </w:r>
      <w:proofErr w:type="spellEnd"/>
      <w:r>
        <w:rPr>
          <w:rFonts w:ascii="Times New Roman" w:eastAsia="SimSun" w:hAnsi="Times New Roman"/>
        </w:rPr>
        <w:t xml:space="preserve"> needs to optimize asset management and improve capital turnover efficiency. </w:t>
      </w:r>
    </w:p>
    <w:p w14:paraId="3E15EFA0" w14:textId="77777777" w:rsidR="00F4716C" w:rsidRDefault="00304B20">
      <w:pPr>
        <w:pStyle w:val="NormalWeb"/>
        <w:widowControl/>
        <w:spacing w:beforeAutospacing="0" w:afterAutospacing="0" w:line="360" w:lineRule="auto"/>
        <w:ind w:firstLineChars="200" w:firstLine="480"/>
        <w:jc w:val="both"/>
        <w:rPr>
          <w:rFonts w:ascii="Times New Roman" w:eastAsia="SimSun" w:hAnsi="Times New Roman"/>
        </w:rPr>
      </w:pPr>
      <w:r>
        <w:rPr>
          <w:rFonts w:ascii="Times New Roman" w:eastAsia="SimSun" w:hAnsi="Times New Roman"/>
        </w:rPr>
        <w:t xml:space="preserve">In terms of the equity multiplier, as shown in Figure 3, </w:t>
      </w:r>
      <w:proofErr w:type="spellStart"/>
      <w:r>
        <w:rPr>
          <w:rFonts w:ascii="Times New Roman" w:eastAsia="SimSun" w:hAnsi="Times New Roman"/>
        </w:rPr>
        <w:t>Bestore's</w:t>
      </w:r>
      <w:proofErr w:type="spellEnd"/>
      <w:r>
        <w:rPr>
          <w:rFonts w:ascii="Times New Roman" w:eastAsia="SimSun" w:hAnsi="Times New Roman"/>
        </w:rPr>
        <w:t xml:space="preserve"> equity multiplier reached its highest point in 2019, remained relatively stable with minor fluctuations from 2020 to 2022, and then declined to its lowest level in 2023, aligning with the values of two other companies in the same industry. This trend indicates that as a leading company in the snack food industry, </w:t>
      </w:r>
      <w:proofErr w:type="spellStart"/>
      <w:r>
        <w:rPr>
          <w:rFonts w:ascii="Times New Roman" w:eastAsia="SimSun" w:hAnsi="Times New Roman"/>
        </w:rPr>
        <w:t>Bestore</w:t>
      </w:r>
      <w:proofErr w:type="spellEnd"/>
      <w:r>
        <w:rPr>
          <w:rFonts w:ascii="Times New Roman" w:eastAsia="SimSun" w:hAnsi="Times New Roman"/>
        </w:rPr>
        <w:t xml:space="preserve"> has demonstrated a high level of foresight and financial stability in its financial management. In recent years, the company has deliberately controlled its financial leverage by reducing its asset-liability </w:t>
      </w:r>
      <w:r>
        <w:rPr>
          <w:rFonts w:ascii="Times New Roman" w:eastAsia="SimSun" w:hAnsi="Times New Roman"/>
        </w:rPr>
        <w:lastRenderedPageBreak/>
        <w:t xml:space="preserve">ratio to optimize its capital structure, a strategy that is directly reflected in the decline of its equity multiplier. From a financial management perspective, the decline in the equity multiplier indicates that the company is relying more on its own capital rather than external debt to support operations and expansion, thereby reducing the potential risks associated with financial leverage to some extent. While a lower equity multiplier may indicate reduced reliance on external financing, it may also constrain the company's expansion pace. Therefore, in managing its capital structure in the future, </w:t>
      </w:r>
      <w:proofErr w:type="spellStart"/>
      <w:r>
        <w:rPr>
          <w:rFonts w:ascii="Times New Roman" w:eastAsia="SimSun" w:hAnsi="Times New Roman"/>
        </w:rPr>
        <w:t>Bestore</w:t>
      </w:r>
      <w:proofErr w:type="spellEnd"/>
      <w:r>
        <w:rPr>
          <w:rFonts w:ascii="Times New Roman" w:eastAsia="SimSun" w:hAnsi="Times New Roman"/>
        </w:rPr>
        <w:t xml:space="preserve"> needs to balance stability and growth. It should maintain a reasonable level of financial leverage to mitigate financial risks while effectively utilizing appropriate external financing to enhance capital efficiency and drive sustainable development.</w:t>
      </w:r>
    </w:p>
    <w:p w14:paraId="6A96B041" w14:textId="77777777" w:rsidR="00F4716C" w:rsidRDefault="00304B20">
      <w:pPr>
        <w:spacing w:line="360" w:lineRule="auto"/>
        <w:rPr>
          <w:rFonts w:ascii="Times New Roman" w:eastAsia="SimSun" w:hAnsi="Times New Roman" w:cs="Times New Roman"/>
          <w:b/>
          <w:bCs/>
          <w:sz w:val="24"/>
        </w:rPr>
      </w:pPr>
      <w:r>
        <w:rPr>
          <w:rFonts w:ascii="Times New Roman" w:eastAsia="SimSun" w:hAnsi="Times New Roman" w:cs="Times New Roman" w:hint="eastAsia"/>
          <w:b/>
          <w:bCs/>
          <w:noProof/>
          <w:sz w:val="24"/>
        </w:rPr>
        <w:drawing>
          <wp:inline distT="0" distB="0" distL="114300" distR="114300" wp14:anchorId="37639F5A" wp14:editId="03E51066">
            <wp:extent cx="5270500" cy="4032250"/>
            <wp:effectExtent l="0" t="0" r="2540" b="6350"/>
            <wp:docPr id="3" name="图片 3" descr="良品铺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良品铺子"/>
                    <pic:cNvPicPr>
                      <a:picLocks noChangeAspect="1"/>
                    </pic:cNvPicPr>
                  </pic:nvPicPr>
                  <pic:blipFill>
                    <a:blip r:embed="rId15"/>
                    <a:stretch>
                      <a:fillRect/>
                    </a:stretch>
                  </pic:blipFill>
                  <pic:spPr>
                    <a:xfrm>
                      <a:off x="0" y="0"/>
                      <a:ext cx="5270500" cy="4032250"/>
                    </a:xfrm>
                    <a:prstGeom prst="rect">
                      <a:avLst/>
                    </a:prstGeom>
                  </pic:spPr>
                </pic:pic>
              </a:graphicData>
            </a:graphic>
          </wp:inline>
        </w:drawing>
      </w:r>
    </w:p>
    <w:p w14:paraId="31F4935E" w14:textId="77777777" w:rsidR="00F4716C" w:rsidRDefault="00304B20">
      <w:pPr>
        <w:spacing w:line="360" w:lineRule="auto"/>
        <w:jc w:val="center"/>
        <w:rPr>
          <w:rFonts w:ascii="Times New Roman" w:eastAsia="SimSun" w:hAnsi="Times New Roman" w:cs="Times New Roman"/>
          <w:sz w:val="24"/>
        </w:rPr>
      </w:pPr>
      <w:r>
        <w:rPr>
          <w:rFonts w:ascii="Times New Roman" w:eastAsia="SimSun" w:hAnsi="Times New Roman" w:cs="Times New Roman"/>
          <w:b/>
          <w:bCs/>
          <w:sz w:val="24"/>
        </w:rPr>
        <w:t>Fig.</w:t>
      </w:r>
      <w:r>
        <w:rPr>
          <w:rFonts w:ascii="Times New Roman" w:eastAsia="SimSun" w:hAnsi="Times New Roman" w:cs="Times New Roman" w:hint="eastAsia"/>
          <w:b/>
          <w:bCs/>
          <w:sz w:val="24"/>
        </w:rPr>
        <w:t>3</w:t>
      </w:r>
      <w:r>
        <w:rPr>
          <w:rFonts w:ascii="Times New Roman" w:eastAsia="SimSun" w:hAnsi="Times New Roman" w:cs="Times New Roman"/>
          <w:b/>
          <w:bCs/>
          <w:sz w:val="24"/>
        </w:rPr>
        <w:t xml:space="preserve">. </w:t>
      </w:r>
      <w:r>
        <w:rPr>
          <w:rFonts w:ascii="Times New Roman" w:eastAsia="SimSun" w:hAnsi="Times New Roman" w:cs="Times New Roman"/>
          <w:sz w:val="24"/>
        </w:rPr>
        <w:t xml:space="preserve">Key Financial Indicators of </w:t>
      </w:r>
      <w:proofErr w:type="spellStart"/>
      <w:r>
        <w:rPr>
          <w:rFonts w:ascii="Times New Roman" w:eastAsia="SimSun" w:hAnsi="Times New Roman" w:cs="Times New Roman"/>
          <w:sz w:val="24"/>
        </w:rPr>
        <w:t>Bestore</w:t>
      </w:r>
      <w:proofErr w:type="spellEnd"/>
    </w:p>
    <w:p w14:paraId="0EC64A41" w14:textId="77777777" w:rsidR="00F4716C" w:rsidRDefault="00F4716C">
      <w:pPr>
        <w:spacing w:line="360" w:lineRule="auto"/>
        <w:rPr>
          <w:rFonts w:ascii="Times New Roman" w:eastAsia="SimSun" w:hAnsi="Times New Roman" w:cs="Times New Roman"/>
          <w:sz w:val="24"/>
        </w:rPr>
      </w:pPr>
    </w:p>
    <w:p w14:paraId="681B4F91" w14:textId="77777777" w:rsidR="00F4716C" w:rsidRDefault="00304B20">
      <w:pPr>
        <w:spacing w:line="360" w:lineRule="auto"/>
        <w:rPr>
          <w:rFonts w:ascii="Times New Roman" w:eastAsia="SimSun" w:hAnsi="Times New Roman" w:cs="Times New Roman"/>
          <w:b/>
          <w:bCs/>
          <w:sz w:val="24"/>
        </w:rPr>
      </w:pPr>
      <w:r>
        <w:rPr>
          <w:rFonts w:ascii="Times New Roman" w:eastAsia="SimSun" w:hAnsi="Times New Roman" w:cs="Times New Roman" w:hint="eastAsia"/>
          <w:b/>
          <w:bCs/>
          <w:sz w:val="24"/>
        </w:rPr>
        <w:t xml:space="preserve">3.4 </w:t>
      </w:r>
      <w:proofErr w:type="spellStart"/>
      <w:r>
        <w:rPr>
          <w:rFonts w:ascii="Times New Roman" w:eastAsia="SimSun" w:hAnsi="Times New Roman" w:cs="Times New Roman"/>
          <w:b/>
          <w:bCs/>
          <w:sz w:val="24"/>
        </w:rPr>
        <w:t>YanJin</w:t>
      </w:r>
      <w:proofErr w:type="spellEnd"/>
      <w:r>
        <w:rPr>
          <w:rFonts w:ascii="Times New Roman" w:eastAsia="SimSun" w:hAnsi="Times New Roman" w:cs="Times New Roman"/>
          <w:b/>
          <w:bCs/>
          <w:sz w:val="24"/>
        </w:rPr>
        <w:t xml:space="preserve"> Shop</w:t>
      </w:r>
    </w:p>
    <w:p w14:paraId="7AC8511A" w14:textId="77777777" w:rsidR="00F4716C" w:rsidRDefault="00304B2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 xml:space="preserve">As shown in Figure 4, from 2019 to 2023,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Shop's operating net profit margin, total asset turnover ratio, and equity multiplier exhibited a steady upward trend, reflecting the company's positive performance in profitability, asset utilization </w:t>
      </w:r>
      <w:r>
        <w:rPr>
          <w:rFonts w:ascii="Times New Roman" w:eastAsia="SimSun" w:hAnsi="Times New Roman" w:cs="Times New Roman"/>
          <w:sz w:val="24"/>
        </w:rPr>
        <w:lastRenderedPageBreak/>
        <w:t xml:space="preserve">efficiency, and capital structure optimization. Specifically,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Shop's operating net profit margin increased from 9.2% in 2019 to 12.47% in 2023. This growth trend indicates that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has effectively enhanced its profitability over the past few years, particularly achieving significant success in cost control and profit model optimization. </w:t>
      </w:r>
      <w:proofErr w:type="gramStart"/>
      <w:r>
        <w:rPr>
          <w:rFonts w:ascii="Times New Roman" w:eastAsia="SimSun" w:hAnsi="Times New Roman" w:cs="Times New Roman"/>
          <w:sz w:val="24"/>
        </w:rPr>
        <w:t>In particular, regarding</w:t>
      </w:r>
      <w:proofErr w:type="gramEnd"/>
      <w:r>
        <w:rPr>
          <w:rFonts w:ascii="Times New Roman" w:eastAsia="SimSun" w:hAnsi="Times New Roman" w:cs="Times New Roman"/>
          <w:sz w:val="24"/>
        </w:rPr>
        <w:t xml:space="preserve"> sales strategy and product pricing,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has effectively responded to industry competition pressure through precise market positioning and a differentiated product strategy, thereby improving its operating net profit margin.</w:t>
      </w:r>
    </w:p>
    <w:p w14:paraId="71DC5412" w14:textId="77777777" w:rsidR="00F4716C" w:rsidRDefault="00304B2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 xml:space="preserve">In terms of total asset turnover,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Shop's ratio gradually increased from 0.99 in 2019 to 1.55 in 2023, demonstrating the company's active efforts to enhance asset utilization efficiency. The continuous increase in total asset turnover reflects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Shop’s gradual improvement in asset utilization efficiency through measures such as optimizing supply chain management, accelerating inventory turnover, and strengthening accounts receivable management. In particular, the optimization of its supply chain management has enabled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to better respond to market demand fluctuations, effectively reduce inventory backlog, and further improve capital utilization efficiency.</w:t>
      </w:r>
    </w:p>
    <w:p w14:paraId="2C9219AC" w14:textId="77777777" w:rsidR="00F4716C" w:rsidRDefault="00304B2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 xml:space="preserve">In terms of capital structure,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Shop's equity multiplier increased from 1.98 in 2019 to 2.04 in 2023, indicating a growing reliance on external debt in its capital structure management. By leveraging financial leverage,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has been able to expand its business scale and enhance profitability. However, as the equity multiplier rises, the company also faces greater financial risks, particularly in an environment of increasing market uncertainty. In the future,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must strike a balance between leveraging financial debt and managing financial risk to ensure that expansion does not come at the cost of financial stability.</w:t>
      </w:r>
    </w:p>
    <w:p w14:paraId="7BEF9AF2" w14:textId="77777777" w:rsidR="00F4716C" w:rsidRDefault="00304B20">
      <w:pPr>
        <w:spacing w:line="360" w:lineRule="auto"/>
        <w:rPr>
          <w:rFonts w:ascii="Times New Roman" w:eastAsia="SimSun" w:hAnsi="Times New Roman" w:cs="Times New Roman"/>
          <w:b/>
          <w:bCs/>
          <w:sz w:val="24"/>
        </w:rPr>
      </w:pPr>
      <w:r>
        <w:rPr>
          <w:rFonts w:ascii="Times New Roman" w:eastAsia="SimSun" w:hAnsi="Times New Roman" w:cs="Times New Roman" w:hint="eastAsia"/>
          <w:b/>
          <w:bCs/>
          <w:noProof/>
          <w:sz w:val="24"/>
        </w:rPr>
        <w:lastRenderedPageBreak/>
        <w:drawing>
          <wp:inline distT="0" distB="0" distL="114300" distR="114300" wp14:anchorId="05B2BE39" wp14:editId="353847C8">
            <wp:extent cx="5269865" cy="3977640"/>
            <wp:effectExtent l="0" t="0" r="3175" b="0"/>
            <wp:docPr id="4" name="图片 4" descr="盐津铺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盐津铺子"/>
                    <pic:cNvPicPr>
                      <a:picLocks noChangeAspect="1"/>
                    </pic:cNvPicPr>
                  </pic:nvPicPr>
                  <pic:blipFill>
                    <a:blip r:embed="rId16"/>
                    <a:stretch>
                      <a:fillRect/>
                    </a:stretch>
                  </pic:blipFill>
                  <pic:spPr>
                    <a:xfrm>
                      <a:off x="0" y="0"/>
                      <a:ext cx="5269865" cy="3977640"/>
                    </a:xfrm>
                    <a:prstGeom prst="rect">
                      <a:avLst/>
                    </a:prstGeom>
                  </pic:spPr>
                </pic:pic>
              </a:graphicData>
            </a:graphic>
          </wp:inline>
        </w:drawing>
      </w:r>
    </w:p>
    <w:p w14:paraId="32183059" w14:textId="77777777" w:rsidR="00F4716C" w:rsidRDefault="00304B20">
      <w:pPr>
        <w:jc w:val="center"/>
        <w:rPr>
          <w:rFonts w:ascii="Times New Roman" w:eastAsia="SimSun" w:hAnsi="Times New Roman" w:cs="Times New Roman"/>
          <w:sz w:val="24"/>
        </w:rPr>
      </w:pPr>
      <w:r>
        <w:rPr>
          <w:rFonts w:ascii="Times New Roman" w:eastAsia="SimSun" w:hAnsi="Times New Roman" w:cs="Times New Roman"/>
          <w:b/>
          <w:bCs/>
          <w:sz w:val="24"/>
        </w:rPr>
        <w:t>Fig.</w:t>
      </w:r>
      <w:r>
        <w:rPr>
          <w:rFonts w:ascii="Times New Roman" w:eastAsia="SimSun" w:hAnsi="Times New Roman" w:cs="Times New Roman" w:hint="eastAsia"/>
          <w:b/>
          <w:bCs/>
          <w:sz w:val="24"/>
        </w:rPr>
        <w:t>4</w:t>
      </w:r>
      <w:r>
        <w:rPr>
          <w:rFonts w:ascii="Times New Roman" w:eastAsia="SimSun" w:hAnsi="Times New Roman" w:cs="Times New Roman"/>
          <w:b/>
          <w:bCs/>
          <w:sz w:val="24"/>
        </w:rPr>
        <w:t xml:space="preserve">. </w:t>
      </w:r>
      <w:r>
        <w:rPr>
          <w:rFonts w:ascii="Times New Roman" w:eastAsia="SimSun" w:hAnsi="Times New Roman" w:cs="Times New Roman"/>
          <w:sz w:val="24"/>
        </w:rPr>
        <w:t xml:space="preserve">Key Financial Indicators of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w:t>
      </w:r>
    </w:p>
    <w:p w14:paraId="650398AD" w14:textId="77777777" w:rsidR="00F4716C" w:rsidRDefault="00304B20">
      <w:pPr>
        <w:spacing w:line="360" w:lineRule="auto"/>
        <w:ind w:firstLineChars="200" w:firstLine="480"/>
        <w:rPr>
          <w:rFonts w:ascii="Times New Roman" w:eastAsia="SimSun" w:hAnsi="Times New Roman" w:cs="Times New Roman"/>
          <w:bCs/>
          <w:sz w:val="24"/>
        </w:rPr>
      </w:pPr>
      <w:r>
        <w:rPr>
          <w:rStyle w:val="Strong"/>
          <w:rFonts w:ascii="Times New Roman" w:eastAsia="SimSun" w:hAnsi="Times New Roman" w:cs="Times New Roman"/>
          <w:b w:val="0"/>
          <w:bCs/>
          <w:sz w:val="24"/>
        </w:rPr>
        <w:t xml:space="preserve">Analysis of </w:t>
      </w:r>
      <w:proofErr w:type="spellStart"/>
      <w:r>
        <w:rPr>
          <w:rStyle w:val="Strong"/>
          <w:rFonts w:ascii="Times New Roman" w:eastAsia="SimSun" w:hAnsi="Times New Roman" w:cs="Times New Roman"/>
          <w:b w:val="0"/>
          <w:bCs/>
          <w:sz w:val="24"/>
        </w:rPr>
        <w:t>Yanjin</w:t>
      </w:r>
      <w:proofErr w:type="spellEnd"/>
      <w:r>
        <w:rPr>
          <w:rStyle w:val="Strong"/>
          <w:rFonts w:ascii="Times New Roman" w:eastAsia="SimSun" w:hAnsi="Times New Roman" w:cs="Times New Roman"/>
          <w:b w:val="0"/>
          <w:bCs/>
          <w:sz w:val="24"/>
        </w:rPr>
        <w:t xml:space="preserve"> Shop’s Target Consumer Segments.</w:t>
      </w:r>
      <w:r>
        <w:rPr>
          <w:rFonts w:ascii="Times New Roman" w:eastAsia="SimSun" w:hAnsi="Times New Roman" w:cs="Times New Roman"/>
          <w:bCs/>
          <w:sz w:val="24"/>
        </w:rPr>
        <w:t xml:space="preserve"> </w:t>
      </w:r>
      <w:proofErr w:type="spellStart"/>
      <w:r>
        <w:rPr>
          <w:rFonts w:ascii="Times New Roman" w:eastAsia="SimSun" w:hAnsi="Times New Roman" w:cs="Times New Roman"/>
          <w:bCs/>
          <w:sz w:val="24"/>
        </w:rPr>
        <w:t>Yanjin</w:t>
      </w:r>
      <w:proofErr w:type="spellEnd"/>
      <w:r>
        <w:rPr>
          <w:rFonts w:ascii="Times New Roman" w:eastAsia="SimSun" w:hAnsi="Times New Roman" w:cs="Times New Roman"/>
          <w:bCs/>
          <w:sz w:val="24"/>
        </w:rPr>
        <w:t xml:space="preserve"> Shop's primary target consumer segments consist of children and young adults, with different snack food production lines and marketing channels catering to distinct demographic groups. Specifically, the traditional specialty savory snack production line primarily targets young adults, whereas the leisure baking pastry production line is aimed at children, thereby expanding the scope of its target consumers. Previously, </w:t>
      </w:r>
      <w:proofErr w:type="spellStart"/>
      <w:r>
        <w:rPr>
          <w:rFonts w:ascii="Times New Roman" w:eastAsia="SimSun" w:hAnsi="Times New Roman" w:cs="Times New Roman"/>
          <w:bCs/>
          <w:sz w:val="24"/>
        </w:rPr>
        <w:t>Yanjin</w:t>
      </w:r>
      <w:proofErr w:type="spellEnd"/>
      <w:r>
        <w:rPr>
          <w:rFonts w:ascii="Times New Roman" w:eastAsia="SimSun" w:hAnsi="Times New Roman" w:cs="Times New Roman"/>
          <w:bCs/>
          <w:sz w:val="24"/>
        </w:rPr>
        <w:t xml:space="preserve"> Shop primarily adopted a supermarket-based sales model and maintained long-term cooperation with major retail chains, making frequent supermarket shoppers its key profit-generating customer base. </w:t>
      </w:r>
      <w:r>
        <w:rPr>
          <w:rStyle w:val="Strong"/>
          <w:rFonts w:ascii="Times New Roman" w:eastAsia="SimSun" w:hAnsi="Times New Roman" w:cs="Times New Roman"/>
          <w:b w:val="0"/>
          <w:bCs/>
          <w:sz w:val="24"/>
        </w:rPr>
        <w:t xml:space="preserve">Analysis of </w:t>
      </w:r>
      <w:proofErr w:type="spellStart"/>
      <w:r>
        <w:rPr>
          <w:rStyle w:val="Strong"/>
          <w:rFonts w:ascii="Times New Roman" w:eastAsia="SimSun" w:hAnsi="Times New Roman" w:cs="Times New Roman"/>
          <w:b w:val="0"/>
          <w:bCs/>
          <w:sz w:val="24"/>
        </w:rPr>
        <w:t>Yanjin</w:t>
      </w:r>
      <w:proofErr w:type="spellEnd"/>
      <w:r>
        <w:rPr>
          <w:rStyle w:val="Strong"/>
          <w:rFonts w:ascii="Times New Roman" w:eastAsia="SimSun" w:hAnsi="Times New Roman" w:cs="Times New Roman"/>
          <w:b w:val="0"/>
          <w:bCs/>
          <w:sz w:val="24"/>
        </w:rPr>
        <w:t xml:space="preserve"> Shop’s Revenue Sources.</w:t>
      </w:r>
      <w:r>
        <w:rPr>
          <w:rFonts w:ascii="Times New Roman" w:eastAsia="SimSun" w:hAnsi="Times New Roman" w:cs="Times New Roman"/>
          <w:bCs/>
          <w:sz w:val="24"/>
        </w:rPr>
        <w:t xml:space="preserve"> </w:t>
      </w:r>
      <w:proofErr w:type="spellStart"/>
      <w:r>
        <w:rPr>
          <w:rFonts w:ascii="Times New Roman" w:eastAsia="SimSun" w:hAnsi="Times New Roman" w:cs="Times New Roman"/>
          <w:bCs/>
          <w:sz w:val="24"/>
        </w:rPr>
        <w:t>Yanjin</w:t>
      </w:r>
      <w:proofErr w:type="spellEnd"/>
      <w:r>
        <w:rPr>
          <w:rFonts w:ascii="Times New Roman" w:eastAsia="SimSun" w:hAnsi="Times New Roman" w:cs="Times New Roman"/>
          <w:bCs/>
          <w:sz w:val="24"/>
        </w:rPr>
        <w:t xml:space="preserve"> Shop primarily relies on a supermarket-based sales model, maintaining long-term and stable cooperation with major domestic retail chains such as </w:t>
      </w:r>
      <w:proofErr w:type="spellStart"/>
      <w:r>
        <w:rPr>
          <w:rFonts w:ascii="Times New Roman" w:eastAsia="SimSun" w:hAnsi="Times New Roman" w:cs="Times New Roman"/>
          <w:bCs/>
          <w:sz w:val="24"/>
        </w:rPr>
        <w:t>Yonghui</w:t>
      </w:r>
      <w:proofErr w:type="spellEnd"/>
      <w:r>
        <w:rPr>
          <w:rFonts w:ascii="Times New Roman" w:eastAsia="SimSun" w:hAnsi="Times New Roman" w:cs="Times New Roman"/>
          <w:bCs/>
          <w:sz w:val="24"/>
        </w:rPr>
        <w:t xml:space="preserve"> Superstores, Carrefour, and Rainbow Department Store. The company supplies products to these retail giants and establishes dedicated display shelves within supermarkets to generate revenue through wholesale and retail sales. However, as the expansion potential of the supermarket model has become increasingly limited, </w:t>
      </w:r>
      <w:proofErr w:type="spellStart"/>
      <w:r>
        <w:rPr>
          <w:rFonts w:ascii="Times New Roman" w:eastAsia="SimSun" w:hAnsi="Times New Roman" w:cs="Times New Roman"/>
          <w:bCs/>
          <w:sz w:val="24"/>
        </w:rPr>
        <w:t>Yanjin</w:t>
      </w:r>
      <w:proofErr w:type="spellEnd"/>
      <w:r>
        <w:rPr>
          <w:rFonts w:ascii="Times New Roman" w:eastAsia="SimSun" w:hAnsi="Times New Roman" w:cs="Times New Roman"/>
          <w:bCs/>
          <w:sz w:val="24"/>
        </w:rPr>
        <w:t xml:space="preserve"> Shop is actively </w:t>
      </w:r>
      <w:r>
        <w:rPr>
          <w:rFonts w:ascii="Times New Roman" w:eastAsia="SimSun" w:hAnsi="Times New Roman" w:cs="Times New Roman"/>
          <w:bCs/>
          <w:sz w:val="24"/>
        </w:rPr>
        <w:lastRenderedPageBreak/>
        <w:t xml:space="preserve">accelerating its transition toward an omnichannel sales approach that integrates both online and offline platforms. </w:t>
      </w:r>
      <w:r>
        <w:rPr>
          <w:rStyle w:val="Strong"/>
          <w:rFonts w:ascii="Times New Roman" w:eastAsia="SimSun" w:hAnsi="Times New Roman" w:cs="Times New Roman"/>
          <w:b w:val="0"/>
          <w:bCs/>
          <w:sz w:val="24"/>
        </w:rPr>
        <w:t xml:space="preserve">Analysis of </w:t>
      </w:r>
      <w:proofErr w:type="spellStart"/>
      <w:r>
        <w:rPr>
          <w:rStyle w:val="Strong"/>
          <w:rFonts w:ascii="Times New Roman" w:eastAsia="SimSun" w:hAnsi="Times New Roman" w:cs="Times New Roman"/>
          <w:b w:val="0"/>
          <w:bCs/>
          <w:sz w:val="24"/>
        </w:rPr>
        <w:t>Yanjin</w:t>
      </w:r>
      <w:proofErr w:type="spellEnd"/>
      <w:r>
        <w:rPr>
          <w:rStyle w:val="Strong"/>
          <w:rFonts w:ascii="Times New Roman" w:eastAsia="SimSun" w:hAnsi="Times New Roman" w:cs="Times New Roman"/>
          <w:b w:val="0"/>
          <w:bCs/>
          <w:sz w:val="24"/>
        </w:rPr>
        <w:t xml:space="preserve"> Shop’s Profit Drivers.</w:t>
      </w:r>
      <w:r>
        <w:rPr>
          <w:rFonts w:ascii="Times New Roman" w:eastAsia="SimSun" w:hAnsi="Times New Roman" w:cs="Times New Roman"/>
          <w:bCs/>
          <w:sz w:val="24"/>
        </w:rPr>
        <w:t xml:space="preserve"> </w:t>
      </w:r>
      <w:proofErr w:type="spellStart"/>
      <w:r>
        <w:rPr>
          <w:rFonts w:ascii="Times New Roman" w:eastAsia="SimSun" w:hAnsi="Times New Roman" w:cs="Times New Roman"/>
          <w:bCs/>
          <w:sz w:val="24"/>
        </w:rPr>
        <w:t>Yanjin</w:t>
      </w:r>
      <w:proofErr w:type="spellEnd"/>
      <w:r>
        <w:rPr>
          <w:rFonts w:ascii="Times New Roman" w:eastAsia="SimSun" w:hAnsi="Times New Roman" w:cs="Times New Roman"/>
          <w:bCs/>
          <w:sz w:val="24"/>
        </w:rPr>
        <w:t xml:space="preserve"> Shop's primary profit drivers are derived from three major production lines: the first focuses on traditional specialty savory snacks, the second on leisure baking pastries, and the third on spicy marinated snack products. Among these, traditional savory snacks, leisure pastries, and spicy marinated snacks constitute the core sources of the company's revenue. Furthermore, </w:t>
      </w:r>
      <w:proofErr w:type="spellStart"/>
      <w:r>
        <w:rPr>
          <w:rFonts w:ascii="Times New Roman" w:eastAsia="SimSun" w:hAnsi="Times New Roman" w:cs="Times New Roman"/>
          <w:bCs/>
          <w:sz w:val="24"/>
        </w:rPr>
        <w:t>Yanjin</w:t>
      </w:r>
      <w:proofErr w:type="spellEnd"/>
      <w:r>
        <w:rPr>
          <w:rFonts w:ascii="Times New Roman" w:eastAsia="SimSun" w:hAnsi="Times New Roman" w:cs="Times New Roman"/>
          <w:bCs/>
          <w:sz w:val="24"/>
        </w:rPr>
        <w:t xml:space="preserve"> Shop has capitalized on the rising popularity of fish tofu products by launching its sub-brand “31° Fresh,” specializing in the research, development, and production of deep-sea snack products, thereby further enhancing its revenue stream.</w:t>
      </w:r>
    </w:p>
    <w:p w14:paraId="56051696" w14:textId="77777777" w:rsidR="00F4716C" w:rsidRDefault="00F4716C">
      <w:pPr>
        <w:spacing w:line="360" w:lineRule="auto"/>
        <w:rPr>
          <w:rFonts w:ascii="Times New Roman" w:eastAsia="SimSun" w:hAnsi="Times New Roman" w:cs="Times New Roman"/>
          <w:bCs/>
          <w:sz w:val="24"/>
        </w:rPr>
      </w:pPr>
    </w:p>
    <w:p w14:paraId="1C406E5B" w14:textId="77777777" w:rsidR="00F4716C" w:rsidRDefault="00304B20">
      <w:pPr>
        <w:rPr>
          <w:rFonts w:ascii="Times New Roman" w:eastAsia="SimSun" w:hAnsi="Times New Roman" w:cs="Times New Roman"/>
          <w:b/>
          <w:bCs/>
          <w:sz w:val="28"/>
          <w:szCs w:val="28"/>
        </w:rPr>
      </w:pPr>
      <w:r>
        <w:rPr>
          <w:rFonts w:ascii="Times New Roman" w:eastAsia="SimSun" w:hAnsi="Times New Roman" w:cs="Times New Roman"/>
          <w:b/>
          <w:bCs/>
          <w:sz w:val="28"/>
          <w:szCs w:val="28"/>
        </w:rPr>
        <w:t>4 Implications</w:t>
      </w:r>
    </w:p>
    <w:p w14:paraId="6ED6682E" w14:textId="77777777" w:rsidR="00F4716C" w:rsidRDefault="00304B20">
      <w:pPr>
        <w:pStyle w:val="NormalWeb"/>
        <w:widowControl/>
        <w:spacing w:beforeAutospacing="0" w:afterAutospacing="0" w:line="360" w:lineRule="auto"/>
        <w:rPr>
          <w:rFonts w:ascii="Times New Roman" w:eastAsia="SimSun" w:hAnsi="Times New Roman"/>
          <w:b/>
          <w:bCs/>
        </w:rPr>
      </w:pPr>
      <w:r>
        <w:rPr>
          <w:rFonts w:ascii="Times New Roman" w:eastAsia="SimSun" w:hAnsi="Times New Roman"/>
          <w:b/>
          <w:bCs/>
        </w:rPr>
        <w:t>4.1 Constructing a Differentiated Product Structure Based on the New Retail Business Model</w:t>
      </w:r>
    </w:p>
    <w:p w14:paraId="3267A5B9" w14:textId="77777777" w:rsidR="00F4716C" w:rsidRDefault="00304B20">
      <w:pPr>
        <w:pStyle w:val="NormalWeb"/>
        <w:widowControl/>
        <w:spacing w:beforeAutospacing="0" w:afterAutospacing="0" w:line="360" w:lineRule="auto"/>
        <w:ind w:firstLineChars="200" w:firstLine="480"/>
        <w:jc w:val="both"/>
        <w:rPr>
          <w:rFonts w:ascii="Times New Roman" w:eastAsia="SimSun" w:hAnsi="Times New Roman"/>
          <w:b/>
          <w:bCs/>
        </w:rPr>
      </w:pPr>
      <w:r>
        <w:rPr>
          <w:rFonts w:ascii="Times New Roman" w:eastAsia="SimSun" w:hAnsi="Times New Roman"/>
        </w:rPr>
        <w:t xml:space="preserve">Analyzing the profit models of </w:t>
      </w:r>
      <w:proofErr w:type="spellStart"/>
      <w:r>
        <w:rPr>
          <w:rFonts w:ascii="Times New Roman" w:eastAsia="SimSun" w:hAnsi="Times New Roman"/>
        </w:rPr>
        <w:t>Bestore</w:t>
      </w:r>
      <w:proofErr w:type="spellEnd"/>
      <w:r>
        <w:rPr>
          <w:rFonts w:ascii="Times New Roman" w:eastAsia="SimSun" w:hAnsi="Times New Roman"/>
        </w:rPr>
        <w:t xml:space="preserve"> and </w:t>
      </w:r>
      <w:proofErr w:type="spellStart"/>
      <w:r>
        <w:rPr>
          <w:rFonts w:ascii="Times New Roman" w:eastAsia="SimSun" w:hAnsi="Times New Roman"/>
        </w:rPr>
        <w:t>Yanjin</w:t>
      </w:r>
      <w:proofErr w:type="spellEnd"/>
      <w:r>
        <w:rPr>
          <w:rFonts w:ascii="Times New Roman" w:eastAsia="SimSun" w:hAnsi="Times New Roman"/>
        </w:rPr>
        <w:t xml:space="preserve"> Shop clearly reveals that the new retail business model demonstrates significant vitality and innovation potential in today's market environment. Online sales channels have become a crucial marketing avenue in the snack food industry. As a comprehensive omnichannel strategy, the new retail model not only focuses on the development of online platforms but also emphasizes the meticulous planning and optimization of offline store layouts. This model achieves a seamless integration of online and offline channels, offering consumers a more convenient and personalized shopping experience. Against this backdrop, snack food enterprises should continuously refine their marketing strategies, deeply analyze consumer demand patterns in the digital age, and develop a differentiated product portfolio tailored to diverse consumer segments. Through precise market segmentation, enterprises can offer products that cater to various age groups and consumption levels while implementing personalized innovations in product design and service models. This approach strengthens consumer engagement and loyalty. Establishing a differentiated product structure not only enables enterprises to stand out </w:t>
      </w:r>
      <w:r>
        <w:rPr>
          <w:rFonts w:ascii="Times New Roman" w:eastAsia="SimSun" w:hAnsi="Times New Roman"/>
        </w:rPr>
        <w:lastRenderedPageBreak/>
        <w:t>in a highly competitive market but also enhances their operational efficiency and overall market competitiveness. Furthermore, snack food enterprises should actively promote an omnichannel sales model that integrates online and offline platforms. By leveraging data-driven precision marketing and optimized supply chain management, companies can enhance customer satisfaction and shopping experiences. This model allows businesses to effectively respond to market demand fluctuations, improve resource allocation efficiency, and drive sustainable growth and long-term competitiveness. Therefore, constructing a differentiated product structure within the framework of the new retail business model is not only a key strategy for improving business performance but also serves as a critical foundation for securing long-term competitive advantages in an increasingly competitive market.</w:t>
      </w:r>
    </w:p>
    <w:p w14:paraId="4D4D6B2B" w14:textId="77777777" w:rsidR="00F4716C" w:rsidRDefault="00F4716C">
      <w:pPr>
        <w:rPr>
          <w:rFonts w:ascii="Times New Roman" w:eastAsia="SimSun" w:hAnsi="Times New Roman" w:cs="Times New Roman"/>
          <w:sz w:val="24"/>
        </w:rPr>
      </w:pPr>
    </w:p>
    <w:p w14:paraId="2E153CF8" w14:textId="77777777" w:rsidR="00F4716C" w:rsidRDefault="00304B20">
      <w:pPr>
        <w:spacing w:line="360" w:lineRule="auto"/>
        <w:rPr>
          <w:rFonts w:ascii="Times New Roman" w:eastAsia="SimSun" w:hAnsi="Times New Roman" w:cs="Times New Roman"/>
          <w:b/>
          <w:bCs/>
          <w:sz w:val="24"/>
        </w:rPr>
      </w:pPr>
      <w:r>
        <w:rPr>
          <w:rFonts w:ascii="Times New Roman" w:eastAsia="SimSun" w:hAnsi="Times New Roman" w:cs="Times New Roman"/>
          <w:b/>
          <w:bCs/>
          <w:sz w:val="24"/>
        </w:rPr>
        <w:t>4.2 Constructing Diversified Consumption Scenarios Based on Differences in Profit Target Demands</w:t>
      </w:r>
    </w:p>
    <w:p w14:paraId="7FD0C298" w14:textId="77777777" w:rsidR="00F4716C" w:rsidRDefault="00304B2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 xml:space="preserve">Different enterprises adopt differentiated market engagement strategies based on the specific demand characteristics of their profit targets, thereby optimizing resource allocation and facilitating market expansion. </w:t>
      </w:r>
      <w:proofErr w:type="spellStart"/>
      <w:r>
        <w:rPr>
          <w:rFonts w:ascii="Times New Roman" w:eastAsia="SimSun" w:hAnsi="Times New Roman" w:cs="Times New Roman"/>
          <w:sz w:val="24"/>
        </w:rPr>
        <w:t>Bestore</w:t>
      </w:r>
      <w:proofErr w:type="spellEnd"/>
      <w:r>
        <w:rPr>
          <w:rFonts w:ascii="Times New Roman" w:eastAsia="SimSun" w:hAnsi="Times New Roman" w:cs="Times New Roman"/>
          <w:sz w:val="24"/>
        </w:rPr>
        <w:t xml:space="preserve"> precisely targets young consumers who frequently shop online, attracting its target audience through online campaigns and digital marketing strategies while leveraging social media platforms and e-commerce channels for product promotion. In contrast, </w:t>
      </w:r>
      <w:proofErr w:type="spellStart"/>
      <w:r>
        <w:rPr>
          <w:rFonts w:ascii="Times New Roman" w:eastAsia="SimSun" w:hAnsi="Times New Roman" w:cs="Times New Roman"/>
          <w:sz w:val="24"/>
        </w:rPr>
        <w:t>Yanjin</w:t>
      </w:r>
      <w:proofErr w:type="spellEnd"/>
      <w:r>
        <w:rPr>
          <w:rFonts w:ascii="Times New Roman" w:eastAsia="SimSun" w:hAnsi="Times New Roman" w:cs="Times New Roman"/>
          <w:sz w:val="24"/>
        </w:rPr>
        <w:t xml:space="preserve"> Shop focuses on a broader consumer group that primarily engages in offline shopping. Its marketing efforts are predominantly offline, aiming to enhance in-store consumer </w:t>
      </w:r>
      <w:proofErr w:type="gramStart"/>
      <w:r>
        <w:rPr>
          <w:rFonts w:ascii="Times New Roman" w:eastAsia="SimSun" w:hAnsi="Times New Roman" w:cs="Times New Roman"/>
          <w:sz w:val="24"/>
        </w:rPr>
        <w:t>experiences</w:t>
      </w:r>
      <w:proofErr w:type="gramEnd"/>
      <w:r>
        <w:rPr>
          <w:rFonts w:ascii="Times New Roman" w:eastAsia="SimSun" w:hAnsi="Times New Roman" w:cs="Times New Roman"/>
          <w:sz w:val="24"/>
        </w:rPr>
        <w:t xml:space="preserve"> and expand the target audience across different age groups. Both marketing models have achieved remarkable success within their respective profit frameworks. The key reason lies in their ability to construct consumption scenarios that closely align with consumer needs and expectations, thereby effectively meeting actual consumer demands in specific purchasing environments. Therefore, snack food enterprises should actively explore and develop diversified consumption scenarios to better cater to the varied needs of different consumer segments. By designing rich and engaging consumption scenarios, enterprises can offer consumers a personalized and immersive shopping experience, </w:t>
      </w:r>
      <w:r>
        <w:rPr>
          <w:rFonts w:ascii="Times New Roman" w:eastAsia="SimSun" w:hAnsi="Times New Roman" w:cs="Times New Roman"/>
          <w:sz w:val="24"/>
        </w:rPr>
        <w:lastRenderedPageBreak/>
        <w:t>thereby strengthening brand competitiveness and customer loyalty. Specifically, enterprises should integrate online platforms such as WeChat Mini Programs and shopping apps with offline channels such as community stores and regional flagship stores to achieve a seamless online-offline synergy that meets consumer needs across various consumption scenarios. Additionally, enterprises can conduct in-depth analyses of consumer shopping behaviors and preferences to offer customized products and services tailored to different consumer groups, ultimately enhancing overall customer satisfaction and brand loyalty. As the market environment continues to evolve, enterprises must consistently innovate their consumption scenarios and adapt their marketing strategies flexibly to develop a more diversified market structure, thereby driving sustained business growth and expanding market share.</w:t>
      </w:r>
    </w:p>
    <w:p w14:paraId="06C62C85" w14:textId="77777777" w:rsidR="00F4716C" w:rsidRDefault="00F4716C">
      <w:pPr>
        <w:spacing w:line="360" w:lineRule="auto"/>
        <w:ind w:firstLineChars="200" w:firstLine="480"/>
        <w:rPr>
          <w:rFonts w:ascii="Times New Roman" w:eastAsia="SimSun" w:hAnsi="Times New Roman" w:cs="Times New Roman"/>
          <w:sz w:val="24"/>
        </w:rPr>
      </w:pPr>
    </w:p>
    <w:p w14:paraId="7BA6A1FC" w14:textId="77777777" w:rsidR="00F4716C" w:rsidRDefault="00304B20">
      <w:pPr>
        <w:spacing w:line="360" w:lineRule="auto"/>
        <w:rPr>
          <w:rFonts w:ascii="Times New Roman" w:eastAsia="SimSun" w:hAnsi="Times New Roman" w:cs="Times New Roman"/>
          <w:b/>
          <w:bCs/>
          <w:sz w:val="24"/>
        </w:rPr>
      </w:pPr>
      <w:r>
        <w:rPr>
          <w:rFonts w:ascii="Times New Roman" w:eastAsia="SimSun" w:hAnsi="Times New Roman" w:cs="Times New Roman"/>
          <w:b/>
          <w:bCs/>
          <w:sz w:val="24"/>
        </w:rPr>
        <w:t>4.3 Strengthening the Collaborative Effect of Multiple Stakeholders in Marketing Channel Construction</w:t>
      </w:r>
    </w:p>
    <w:p w14:paraId="42A13F2D" w14:textId="77777777" w:rsidR="00F4716C" w:rsidRDefault="00304B2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 xml:space="preserve">Snack food enterprises should focus on strengthening the collaborative involvement of multiple stakeholders and constructing an effective marketing channel system aimed at achieving balanced development of both online and offline channels. First, in terms of physical store layout, enterprises should consider the ready-to-eat nature of snack foods, combining sensory experiences such as touch, vision, smell, and taste to optimize the in-store experience from multiple dimensions. This ensures that consumers receive a distinct, real-world shopping experience when visiting the store, motivating immediate consumption. Through this approach, enterprises can enhance consumers' immersion in the shopping experience, thereby increasing their purchase conversion rate. Secondly, enterprises should actively explore and promote the implementation of the innovative “community + delivery” sales model. In this model, enterprises can establish offline stores in communities and create convenient online shopping channels through online platforms, allowing consumers to place orders online directly at community stores for nearby delivery. This model not only utilizes community stores as inventory management centers to improve product turnover efficiency but also leverages the advantages of new media and social e-commerce, </w:t>
      </w:r>
      <w:r>
        <w:rPr>
          <w:rFonts w:ascii="Times New Roman" w:eastAsia="SimSun" w:hAnsi="Times New Roman" w:cs="Times New Roman"/>
          <w:sz w:val="24"/>
        </w:rPr>
        <w:lastRenderedPageBreak/>
        <w:t>enabling enterprises to respond quickly to market demand and improve inventory turnover. Through diversified channel construction and effective resource integration, snack food enterprises can achieve the organic integration of online and offline businesses, enhancing consumer convenience and overall shopping experience, thereby standing out in a highly competitive market environment. At the same time, the construction of these collaborative marketing channels helps enterprises accelerate product circulation, improve operational efficiency, and thereby promote sustainable development.</w:t>
      </w:r>
    </w:p>
    <w:p w14:paraId="3F017A4A" w14:textId="77777777" w:rsidR="00F4716C" w:rsidRDefault="00F4716C">
      <w:pPr>
        <w:rPr>
          <w:rFonts w:ascii="Times New Roman" w:eastAsia="SimSun" w:hAnsi="Times New Roman" w:cs="Times New Roman"/>
          <w:sz w:val="24"/>
        </w:rPr>
      </w:pPr>
    </w:p>
    <w:p w14:paraId="36BD33AA" w14:textId="77777777" w:rsidR="00F4716C" w:rsidRDefault="00304B20">
      <w:pPr>
        <w:spacing w:line="360" w:lineRule="auto"/>
        <w:rPr>
          <w:rFonts w:ascii="Times New Roman" w:eastAsia="SimSun" w:hAnsi="Times New Roman" w:cs="Times New Roman"/>
          <w:b/>
          <w:bCs/>
          <w:sz w:val="24"/>
        </w:rPr>
      </w:pPr>
      <w:r>
        <w:rPr>
          <w:rFonts w:ascii="Times New Roman" w:eastAsia="SimSun" w:hAnsi="Times New Roman" w:cs="Times New Roman"/>
          <w:b/>
          <w:bCs/>
          <w:sz w:val="24"/>
        </w:rPr>
        <w:t>4.4 Expanding Revenue Sources Using Modern Marketing Strategies</w:t>
      </w:r>
    </w:p>
    <w:p w14:paraId="1373BEE0" w14:textId="77777777" w:rsidR="00F4716C" w:rsidRDefault="00304B2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sz w:val="24"/>
        </w:rPr>
        <w:t>One of the core strategies for enhancing a company’s profitability is to expand revenue sources. By adopting a multi-channel revenue model, the company can maintain a stable overall revenue level even if a specific income channel faces issues. In addition to traditional sales services, snack food enterprises should actively develop and offer derivative products and services. For instance, companies could develop merchandise based on the mascots and packaging designs of snack foods and offer these items as giveaways or promotional tools in marketing activities. This can attract consumer attention, especially during new product launches, where such derivatives can help drive more traffic and achieve more efficient marketing results. Moreover, with the rapid development of internet e-commerce, snack food enterprises should precisely grasp this trend and optimize their business layout on major e-commerce platforms. By expanding online marketing channels, they can further increase their revenue sources. Leveraging the traffic advantage of e-commerce platforms, enterprises can reach a broader consumer base, enhance brand exposure, and use platform data analytics to fine-tune marketing strategies, thereby maximizing revenue potential. By comprehensively utilizing modern marketing approaches, enterprises can not only diversify their revenue sources but also enhance market competitiveness and brand influence, leading to sustainable profit growth.</w:t>
      </w:r>
    </w:p>
    <w:p w14:paraId="5A6E611A" w14:textId="4AE0E737" w:rsidR="00F4716C" w:rsidRPr="00427902" w:rsidRDefault="00427902">
      <w:pPr>
        <w:spacing w:line="360" w:lineRule="auto"/>
        <w:ind w:firstLineChars="200" w:firstLine="480"/>
        <w:rPr>
          <w:rFonts w:ascii="Times New Roman" w:eastAsia="ＭＳ 明朝" w:hAnsi="Times New Roman" w:cs="Times New Roman" w:hint="eastAsia"/>
          <w:color w:val="FF0000"/>
          <w:sz w:val="24"/>
          <w:lang w:eastAsia="ja-JP"/>
        </w:rPr>
      </w:pPr>
      <w:r>
        <w:rPr>
          <w:rFonts w:ascii="Times New Roman" w:eastAsia="ＭＳ 明朝" w:hAnsi="Times New Roman" w:cs="Times New Roman" w:hint="eastAsia"/>
          <w:color w:val="FF0000"/>
          <w:sz w:val="24"/>
          <w:lang w:eastAsia="ja-JP"/>
        </w:rPr>
        <w:t xml:space="preserve">Where is Conclusion? </w:t>
      </w:r>
    </w:p>
    <w:p w14:paraId="57901875" w14:textId="77777777" w:rsidR="00F4716C" w:rsidRDefault="00304B20">
      <w:pPr>
        <w:spacing w:line="360" w:lineRule="auto"/>
        <w:rPr>
          <w:rFonts w:ascii="Times New Roman" w:eastAsia="SimSun" w:hAnsi="Times New Roman" w:cs="Times New Roman"/>
          <w:b/>
          <w:bCs/>
          <w:sz w:val="24"/>
        </w:rPr>
      </w:pPr>
      <w:r>
        <w:rPr>
          <w:rFonts w:ascii="Times New Roman" w:eastAsia="SimSun" w:hAnsi="Times New Roman" w:cs="Times New Roman" w:hint="eastAsia"/>
          <w:b/>
          <w:bCs/>
          <w:sz w:val="24"/>
        </w:rPr>
        <w:t>DISCLAIMER (ARTIFICIAL INTELLIGENCE)</w:t>
      </w:r>
    </w:p>
    <w:p w14:paraId="4E071D90" w14:textId="20CA17D7" w:rsidR="00F4716C" w:rsidRDefault="00304B2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hint="eastAsia"/>
          <w:sz w:val="24"/>
        </w:rPr>
        <w:lastRenderedPageBreak/>
        <w:t>The author(s)declare that only generative Al tools (e.g., GPT)</w:t>
      </w:r>
      <w:r w:rsidR="005814BC">
        <w:rPr>
          <w:rFonts w:ascii="Times New Roman" w:eastAsia="SimSun" w:hAnsi="Times New Roman" w:cs="Times New Roman" w:hint="eastAsia"/>
          <w:sz w:val="24"/>
        </w:rPr>
        <w:t xml:space="preserve"> </w:t>
      </w:r>
      <w:r>
        <w:rPr>
          <w:rFonts w:ascii="Times New Roman" w:eastAsia="SimSun" w:hAnsi="Times New Roman" w:cs="Times New Roman" w:hint="eastAsia"/>
          <w:sz w:val="24"/>
        </w:rPr>
        <w:t>were used for translation purposes. No generative Al technologies were employed in the writing or editing of the other content in this manuscript.</w:t>
      </w:r>
    </w:p>
    <w:p w14:paraId="02060E15" w14:textId="54E43146" w:rsidR="00F4716C" w:rsidRPr="008A74E9" w:rsidRDefault="00F4716C">
      <w:pPr>
        <w:spacing w:line="360" w:lineRule="auto"/>
        <w:rPr>
          <w:rFonts w:ascii="Times New Roman" w:eastAsia="ＭＳ 明朝" w:hAnsi="Times New Roman" w:cs="Times New Roman"/>
          <w:sz w:val="24"/>
          <w:lang w:eastAsia="ja-JP"/>
        </w:rPr>
      </w:pPr>
    </w:p>
    <w:p w14:paraId="3D56FD44" w14:textId="77777777" w:rsidR="00F4716C" w:rsidRDefault="00304B20">
      <w:pPr>
        <w:spacing w:line="360" w:lineRule="auto"/>
        <w:rPr>
          <w:rFonts w:ascii="Times New Roman" w:eastAsia="SimSun" w:hAnsi="Times New Roman" w:cs="Times New Roman"/>
          <w:b/>
          <w:bCs/>
          <w:sz w:val="24"/>
        </w:rPr>
      </w:pPr>
      <w:r>
        <w:rPr>
          <w:rFonts w:ascii="Times New Roman" w:eastAsia="SimSun" w:hAnsi="Times New Roman" w:cs="Times New Roman" w:hint="eastAsia"/>
          <w:b/>
          <w:bCs/>
          <w:sz w:val="24"/>
        </w:rPr>
        <w:t>COMPETING INTERESTS</w:t>
      </w:r>
    </w:p>
    <w:p w14:paraId="4D3EF80A" w14:textId="77777777" w:rsidR="00F4716C" w:rsidRDefault="00304B20">
      <w:pPr>
        <w:spacing w:line="360" w:lineRule="auto"/>
        <w:ind w:firstLineChars="200" w:firstLine="480"/>
        <w:rPr>
          <w:rFonts w:ascii="Times New Roman" w:eastAsia="SimSun" w:hAnsi="Times New Roman" w:cs="Times New Roman"/>
          <w:sz w:val="24"/>
        </w:rPr>
      </w:pPr>
      <w:r>
        <w:rPr>
          <w:rFonts w:ascii="Times New Roman" w:eastAsia="SimSun" w:hAnsi="Times New Roman" w:cs="Times New Roman" w:hint="eastAsia"/>
          <w:sz w:val="24"/>
        </w:rPr>
        <w:t>Authors have declared that no competing interests exist.</w:t>
      </w:r>
    </w:p>
    <w:p w14:paraId="26925E32" w14:textId="77777777" w:rsidR="002A3D20" w:rsidRDefault="002A3D20">
      <w:pPr>
        <w:spacing w:line="360" w:lineRule="auto"/>
        <w:ind w:firstLineChars="200" w:firstLine="480"/>
        <w:rPr>
          <w:rFonts w:ascii="Times New Roman" w:eastAsia="SimSun" w:hAnsi="Times New Roman" w:cs="Times New Roman"/>
          <w:sz w:val="24"/>
        </w:rPr>
      </w:pPr>
    </w:p>
    <w:p w14:paraId="1C787418" w14:textId="77777777" w:rsidR="002A3D20" w:rsidRPr="002A3D20" w:rsidRDefault="002A3D20" w:rsidP="002A3D20">
      <w:pPr>
        <w:spacing w:line="360" w:lineRule="auto"/>
        <w:ind w:firstLineChars="200" w:firstLine="480"/>
        <w:rPr>
          <w:rFonts w:ascii="Times New Roman" w:eastAsia="SimSun" w:hAnsi="Times New Roman" w:cs="Times New Roman"/>
          <w:sz w:val="24"/>
        </w:rPr>
      </w:pPr>
      <w:r w:rsidRPr="002A3D20">
        <w:rPr>
          <w:rFonts w:ascii="Times New Roman" w:eastAsia="SimSun" w:hAnsi="Times New Roman" w:cs="Times New Roman"/>
          <w:sz w:val="24"/>
        </w:rPr>
        <w:t>COMPETING INTERESTS DISCLAIMER:</w:t>
      </w:r>
    </w:p>
    <w:p w14:paraId="540A6B53" w14:textId="77777777" w:rsidR="002A3D20" w:rsidRPr="002A3D20" w:rsidRDefault="002A3D20" w:rsidP="002A3D20">
      <w:pPr>
        <w:spacing w:line="360" w:lineRule="auto"/>
        <w:ind w:firstLineChars="200" w:firstLine="480"/>
        <w:rPr>
          <w:rFonts w:ascii="Times New Roman" w:eastAsia="SimSun" w:hAnsi="Times New Roman" w:cs="Times New Roman"/>
          <w:sz w:val="24"/>
        </w:rPr>
      </w:pPr>
      <w:r w:rsidRPr="002A3D20">
        <w:rPr>
          <w:rFonts w:ascii="Times New Roman" w:eastAsia="SimSun" w:hAnsi="Times New Roman" w:cs="Times New Roman"/>
          <w:sz w:val="24"/>
        </w:rPr>
        <w:t>Authors have declared that they have no known competing financial interests OR non-financial interests OR personal relationships that could have appeared to influence the work reported in this paper.</w:t>
      </w:r>
    </w:p>
    <w:p w14:paraId="2EC4283E" w14:textId="77777777" w:rsidR="002A3D20" w:rsidRPr="002A3D20" w:rsidRDefault="002A3D20" w:rsidP="002A3D20">
      <w:pPr>
        <w:spacing w:line="360" w:lineRule="auto"/>
        <w:ind w:firstLineChars="200" w:firstLine="480"/>
        <w:rPr>
          <w:rFonts w:ascii="Times New Roman" w:eastAsia="SimSun" w:hAnsi="Times New Roman" w:cs="Times New Roman"/>
          <w:sz w:val="24"/>
        </w:rPr>
      </w:pPr>
    </w:p>
    <w:p w14:paraId="6D63259B" w14:textId="77777777" w:rsidR="002A3D20" w:rsidRDefault="002A3D20">
      <w:pPr>
        <w:spacing w:line="360" w:lineRule="auto"/>
        <w:ind w:firstLineChars="200" w:firstLine="480"/>
        <w:rPr>
          <w:rFonts w:ascii="Times New Roman" w:eastAsia="SimSun" w:hAnsi="Times New Roman" w:cs="Times New Roman"/>
          <w:sz w:val="24"/>
        </w:rPr>
      </w:pPr>
    </w:p>
    <w:p w14:paraId="03BE7C6A" w14:textId="77777777" w:rsidR="00F4716C" w:rsidRDefault="00F4716C">
      <w:pPr>
        <w:rPr>
          <w:rFonts w:ascii="Times New Roman" w:eastAsia="SimSun" w:hAnsi="Times New Roman" w:cs="Times New Roman"/>
          <w:sz w:val="24"/>
        </w:rPr>
      </w:pPr>
    </w:p>
    <w:p w14:paraId="3DB7ADBF" w14:textId="77777777" w:rsidR="00F4716C" w:rsidRDefault="00304B20">
      <w:pPr>
        <w:rPr>
          <w:rFonts w:ascii="Times New Roman" w:eastAsia="SimSun" w:hAnsi="Times New Roman" w:cs="Times New Roman"/>
          <w:b/>
          <w:bCs/>
          <w:sz w:val="28"/>
          <w:szCs w:val="28"/>
        </w:rPr>
      </w:pPr>
      <w:r>
        <w:rPr>
          <w:rFonts w:ascii="Times New Roman" w:eastAsia="SimSun" w:hAnsi="Times New Roman" w:cs="Times New Roman"/>
          <w:b/>
          <w:bCs/>
          <w:sz w:val="28"/>
          <w:szCs w:val="28"/>
        </w:rPr>
        <w:t>REFERENCES</w:t>
      </w:r>
    </w:p>
    <w:p w14:paraId="4A915DEA" w14:textId="77777777" w:rsidR="00F4716C" w:rsidRDefault="00304B20">
      <w:pPr>
        <w:pStyle w:val="1"/>
        <w:spacing w:line="360" w:lineRule="auto"/>
        <w:ind w:left="482" w:hangingChars="200" w:hanging="482"/>
        <w:rPr>
          <w:rFonts w:ascii="Times New Roman" w:hAnsi="Times New Roman" w:cs="Times New Roman"/>
          <w:sz w:val="24"/>
        </w:rPr>
      </w:pPr>
      <w:r>
        <w:rPr>
          <w:rFonts w:ascii="Times New Roman" w:eastAsia="SimSun" w:hAnsi="Times New Roman" w:cs="Times New Roman"/>
          <w:b/>
          <w:bCs/>
          <w:sz w:val="24"/>
        </w:rPr>
        <w:fldChar w:fldCharType="begin"/>
      </w:r>
      <w:r>
        <w:rPr>
          <w:rFonts w:ascii="Times New Roman" w:eastAsia="SimSun" w:hAnsi="Times New Roman" w:cs="Times New Roman"/>
          <w:b/>
          <w:bCs/>
          <w:sz w:val="24"/>
        </w:rPr>
        <w:instrText xml:space="preserve"> ADDIN ZOTERO_BIBL {"uncited":[],"omitted":[],"custom":[]} CSL_BIBLIOGRAPHY </w:instrText>
      </w:r>
      <w:r>
        <w:rPr>
          <w:rFonts w:ascii="Times New Roman" w:eastAsia="SimSun" w:hAnsi="Times New Roman" w:cs="Times New Roman"/>
          <w:b/>
          <w:bCs/>
          <w:sz w:val="24"/>
        </w:rPr>
        <w:fldChar w:fldCharType="separate"/>
      </w:r>
      <w:r>
        <w:rPr>
          <w:rFonts w:ascii="Times New Roman" w:hAnsi="Times New Roman" w:cs="Times New Roman"/>
          <w:sz w:val="24"/>
        </w:rPr>
        <w:t>Ball, R., Gerakos, J., Linnainmaa, J.T., Nikolaev, V.V., 2015. Deflating profitability. Journal of Financial Economics 117, 225–248. https://doi.org/10.1016/j.jfineco.2015.02.004</w:t>
      </w:r>
    </w:p>
    <w:p w14:paraId="45CCB891" w14:textId="77777777" w:rsidR="00F4716C" w:rsidRDefault="00304B20">
      <w:pPr>
        <w:pStyle w:val="1"/>
        <w:spacing w:line="360" w:lineRule="auto"/>
        <w:ind w:left="480" w:hangingChars="200" w:hanging="480"/>
        <w:rPr>
          <w:rFonts w:ascii="Times New Roman" w:hAnsi="Times New Roman" w:cs="Times New Roman"/>
          <w:sz w:val="24"/>
        </w:rPr>
      </w:pPr>
      <w:r>
        <w:rPr>
          <w:rFonts w:ascii="Times New Roman" w:hAnsi="Times New Roman" w:cs="Times New Roman"/>
          <w:sz w:val="24"/>
        </w:rPr>
        <w:t>Chen X., 2019. Profitability Analysis of Internet-Listed Companies under the Asset-Light Model. Communication of Finance and Accounting 58–62. https://doi.org/10.16144/j.cnki.issn1002-8072.2019.17.013</w:t>
      </w:r>
    </w:p>
    <w:p w14:paraId="59D1755B" w14:textId="77777777" w:rsidR="00F4716C" w:rsidRDefault="00304B20">
      <w:pPr>
        <w:pStyle w:val="1"/>
        <w:spacing w:line="360" w:lineRule="auto"/>
        <w:ind w:left="480" w:hangingChars="200" w:hanging="480"/>
        <w:rPr>
          <w:rFonts w:ascii="Times New Roman" w:hAnsi="Times New Roman" w:cs="Times New Roman"/>
          <w:sz w:val="24"/>
        </w:rPr>
      </w:pPr>
      <w:r>
        <w:rPr>
          <w:rFonts w:ascii="Times New Roman" w:hAnsi="Times New Roman" w:cs="Times New Roman"/>
          <w:sz w:val="24"/>
        </w:rPr>
        <w:t>Delmar, F., McKelvie, A., Wennberg, K., 2013. Untangling the relationships among growth, profitability and survival in new firms. Technovation, Technology Entrepreneurship: A Special Issue in Memory of Bruce A. Kirchhoff 33, 276–291. https://doi.org/10.1016/j.technovation.2013.02.003</w:t>
      </w:r>
    </w:p>
    <w:p w14:paraId="5390065D" w14:textId="77777777" w:rsidR="00F4716C" w:rsidRDefault="00304B20">
      <w:pPr>
        <w:pStyle w:val="1"/>
        <w:spacing w:line="360" w:lineRule="auto"/>
        <w:ind w:left="480" w:hangingChars="200" w:hanging="480"/>
        <w:rPr>
          <w:rFonts w:ascii="Times New Roman" w:hAnsi="Times New Roman" w:cs="Times New Roman"/>
          <w:sz w:val="24"/>
        </w:rPr>
      </w:pPr>
      <w:r>
        <w:rPr>
          <w:rFonts w:ascii="Times New Roman" w:hAnsi="Times New Roman" w:cs="Times New Roman"/>
          <w:sz w:val="24"/>
        </w:rPr>
        <w:t>Gao Y., 2020. Improvements and Developments in the DuPont Financial Analysis System. China Circulation Economy 189–190. https://doi.org/10.16834/j.cnki.issn1009-5292.2020.01.091</w:t>
      </w:r>
    </w:p>
    <w:p w14:paraId="5751039D" w14:textId="77777777" w:rsidR="00F4716C" w:rsidRDefault="00304B20">
      <w:pPr>
        <w:pStyle w:val="1"/>
        <w:spacing w:line="360" w:lineRule="auto"/>
        <w:ind w:left="480" w:hangingChars="200" w:hanging="480"/>
        <w:rPr>
          <w:rFonts w:ascii="Times New Roman" w:hAnsi="Times New Roman" w:cs="Times New Roman"/>
          <w:sz w:val="24"/>
        </w:rPr>
      </w:pPr>
      <w:r>
        <w:rPr>
          <w:rFonts w:ascii="Times New Roman" w:hAnsi="Times New Roman" w:cs="Times New Roman"/>
          <w:sz w:val="24"/>
        </w:rPr>
        <w:t>Kim, H.-S., 2016. A study of financial performance using DuPont analysis in food distribution market. Culinary science and hospitality research 22, 52–60.</w:t>
      </w:r>
    </w:p>
    <w:p w14:paraId="5A04721A" w14:textId="77777777" w:rsidR="00F4716C" w:rsidRDefault="00304B20">
      <w:pPr>
        <w:pStyle w:val="1"/>
        <w:spacing w:line="360" w:lineRule="auto"/>
        <w:ind w:left="480" w:hangingChars="200" w:hanging="480"/>
        <w:rPr>
          <w:rFonts w:ascii="Times New Roman" w:hAnsi="Times New Roman" w:cs="Times New Roman"/>
          <w:sz w:val="24"/>
        </w:rPr>
      </w:pPr>
      <w:r>
        <w:rPr>
          <w:rFonts w:ascii="Times New Roman" w:hAnsi="Times New Roman" w:cs="Times New Roman"/>
          <w:sz w:val="24"/>
        </w:rPr>
        <w:lastRenderedPageBreak/>
        <w:t>Shao K., 2023. Evaluation of Profitability of Listed Logistics Companies Based on Factor Analysis. Logistics Technology 42, 46–49.</w:t>
      </w:r>
    </w:p>
    <w:p w14:paraId="779A4800" w14:textId="77777777" w:rsidR="00F4716C" w:rsidRDefault="00304B20">
      <w:pPr>
        <w:pStyle w:val="1"/>
        <w:spacing w:line="360" w:lineRule="auto"/>
        <w:ind w:left="480" w:hangingChars="200" w:hanging="480"/>
        <w:rPr>
          <w:rFonts w:ascii="Times New Roman" w:hAnsi="Times New Roman" w:cs="Times New Roman"/>
          <w:sz w:val="24"/>
        </w:rPr>
      </w:pPr>
      <w:r>
        <w:rPr>
          <w:rFonts w:ascii="Times New Roman" w:hAnsi="Times New Roman" w:cs="Times New Roman"/>
          <w:sz w:val="24"/>
        </w:rPr>
        <w:t>Wang G., 2020. Research on the Improved DuPont Financial Analysis System. Money Chian 141–142.</w:t>
      </w:r>
    </w:p>
    <w:p w14:paraId="74C9322A" w14:textId="77777777" w:rsidR="00F4716C" w:rsidRDefault="00304B20">
      <w:pPr>
        <w:pStyle w:val="1"/>
        <w:spacing w:line="360" w:lineRule="auto"/>
        <w:ind w:left="480" w:hangingChars="200" w:hanging="480"/>
        <w:rPr>
          <w:rFonts w:ascii="Times New Roman" w:hAnsi="Times New Roman" w:cs="Times New Roman"/>
          <w:sz w:val="24"/>
        </w:rPr>
      </w:pPr>
      <w:r>
        <w:rPr>
          <w:rFonts w:ascii="Times New Roman" w:hAnsi="Times New Roman" w:cs="Times New Roman"/>
          <w:sz w:val="24"/>
        </w:rPr>
        <w:t>Wu, X., Dluhošová, D., Zmeškal, Z., 2021. Corporate social responsibility and profitability: The moderating role of firm type in Chinese appliance listed companies. Energies 14, 227. https://doi.org/10.3390/en14010227</w:t>
      </w:r>
    </w:p>
    <w:p w14:paraId="6596735C" w14:textId="77777777" w:rsidR="00F4716C" w:rsidRDefault="00304B20">
      <w:pPr>
        <w:pStyle w:val="1"/>
        <w:spacing w:line="360" w:lineRule="auto"/>
        <w:ind w:left="480" w:hangingChars="200" w:hanging="480"/>
        <w:rPr>
          <w:rFonts w:ascii="Times New Roman" w:hAnsi="Times New Roman" w:cs="Times New Roman"/>
          <w:sz w:val="24"/>
        </w:rPr>
      </w:pPr>
      <w:r>
        <w:rPr>
          <w:rFonts w:ascii="Times New Roman" w:hAnsi="Times New Roman" w:cs="Times New Roman"/>
          <w:sz w:val="24"/>
        </w:rPr>
        <w:t>Zhu Y., 2021. Research on Profitability Evaluation of D Company (Dissertation for the Professional Master Degree). Northeast Agricultural University. https://doi.org/10.27010/d.cnki.gdbnu.2020.000548</w:t>
      </w:r>
    </w:p>
    <w:p w14:paraId="57D4853C" w14:textId="77777777" w:rsidR="00F4716C" w:rsidRDefault="00304B20">
      <w:pPr>
        <w:spacing w:line="360" w:lineRule="auto"/>
        <w:ind w:left="482" w:hangingChars="200" w:hanging="482"/>
        <w:rPr>
          <w:rFonts w:ascii="Times New Roman" w:eastAsia="serif" w:hAnsi="Times New Roman" w:cs="Times New Roman"/>
          <w:b/>
          <w:bCs/>
          <w:i/>
          <w:iCs/>
          <w:sz w:val="24"/>
          <w:shd w:val="clear" w:color="auto" w:fill="FFFFFF"/>
        </w:rPr>
      </w:pPr>
      <w:r>
        <w:rPr>
          <w:rFonts w:ascii="Times New Roman" w:eastAsia="SimSun" w:hAnsi="Times New Roman" w:cs="Times New Roman"/>
          <w:b/>
          <w:bCs/>
          <w:sz w:val="24"/>
        </w:rPr>
        <w:fldChar w:fldCharType="end"/>
      </w:r>
    </w:p>
    <w:sectPr w:rsidR="00F4716C">
      <w:headerReference w:type="even" r:id="rId17"/>
      <w:headerReference w:type="default" r:id="rId18"/>
      <w:footerReference w:type="even" r:id="rId19"/>
      <w:footerReference w:type="default" r:id="rId20"/>
      <w:headerReference w:type="first" r:id="rId21"/>
      <w:footerReference w:type="first" r:id="rId22"/>
      <w:footnotePr>
        <w:numFmt w:val="chicago"/>
      </w:footnotePr>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ohan Phuyal" w:date="2025-03-13T10:13:00Z" w:initials="MP">
    <w:p w14:paraId="44A67C49" w14:textId="77777777" w:rsidR="00D249D0" w:rsidRDefault="00E71AD6" w:rsidP="00D249D0">
      <w:pPr>
        <w:pStyle w:val="CommentText"/>
      </w:pPr>
      <w:r>
        <w:rPr>
          <w:rStyle w:val="CommentReference"/>
        </w:rPr>
        <w:annotationRef/>
      </w:r>
      <w:r w:rsidR="00D249D0">
        <w:t xml:space="preserve">What is the primary source for this sentence? </w:t>
      </w:r>
    </w:p>
  </w:comment>
  <w:comment w:id="1" w:author="Mohan Phuyal" w:date="2025-03-12T15:31:00Z" w:initials="MP">
    <w:p w14:paraId="125956D7" w14:textId="3E02A948" w:rsidR="00D249D0" w:rsidRDefault="00A12D50" w:rsidP="00D249D0">
      <w:pPr>
        <w:pStyle w:val="CommentText"/>
      </w:pPr>
      <w:r>
        <w:rPr>
          <w:rStyle w:val="CommentReference"/>
        </w:rPr>
        <w:annotationRef/>
      </w:r>
      <w:r w:rsidR="00D249D0">
        <w:rPr>
          <w:lang w:val="ne-NP"/>
        </w:rPr>
        <w:t xml:space="preserve">Which year's statistics? Please specify the exact source of the data used in your research. </w:t>
      </w:r>
    </w:p>
  </w:comment>
  <w:comment w:id="2" w:author="Mohan Phuyal" w:date="2025-03-13T12:16:00Z" w:initials="MP">
    <w:p w14:paraId="7B075671" w14:textId="5F1F59A7" w:rsidR="00D249D0" w:rsidRDefault="00D249D0" w:rsidP="00D249D0">
      <w:pPr>
        <w:pStyle w:val="CommentText"/>
      </w:pPr>
      <w:r>
        <w:rPr>
          <w:rStyle w:val="CommentReference"/>
        </w:rPr>
        <w:annotationRef/>
      </w:r>
      <w:r>
        <w:t xml:space="preserve">(Delmar et al., 2013) or Delmar et al (2013) ? Please visit the Journal Referencing Guidelines and follow the referencing pattern from past journals. </w:t>
      </w:r>
    </w:p>
  </w:comment>
  <w:comment w:id="3" w:author="Mohan Phuyal" w:date="2025-03-12T15:45:00Z" w:initials="MP">
    <w:p w14:paraId="1A480FB8" w14:textId="77777777" w:rsidR="0093659F" w:rsidRDefault="002605FF" w:rsidP="0093659F">
      <w:pPr>
        <w:pStyle w:val="CommentText"/>
      </w:pPr>
      <w:r>
        <w:rPr>
          <w:rStyle w:val="CommentReference"/>
        </w:rPr>
        <w:annotationRef/>
      </w:r>
      <w:r w:rsidR="0093659F">
        <w:t xml:space="preserve">What is the primary source for this sentence? If there are any references available, please provide them. </w:t>
      </w:r>
    </w:p>
  </w:comment>
  <w:comment w:id="4" w:author="Mohan Phuyal" w:date="2025-03-12T15:54:00Z" w:initials="MP">
    <w:p w14:paraId="287C1779" w14:textId="63495585" w:rsidR="001C4AA7" w:rsidRDefault="001C4AA7" w:rsidP="001C4AA7">
      <w:pPr>
        <w:pStyle w:val="CommentText"/>
      </w:pPr>
      <w:r>
        <w:rPr>
          <w:rStyle w:val="CommentReference"/>
        </w:rPr>
        <w:annotationRef/>
      </w:r>
      <w:r>
        <w:t xml:space="preserve">Add the source for Fig. 1. </w:t>
      </w:r>
    </w:p>
  </w:comment>
  <w:comment w:id="5" w:author="Mohan Phuyal" w:date="2025-03-12T16:01:00Z" w:initials="MP">
    <w:p w14:paraId="40E030EA" w14:textId="77777777" w:rsidR="0093659F" w:rsidRDefault="001C4AA7" w:rsidP="0093659F">
      <w:pPr>
        <w:pStyle w:val="CommentText"/>
      </w:pPr>
      <w:r>
        <w:rPr>
          <w:rStyle w:val="CommentReference"/>
        </w:rPr>
        <w:annotationRef/>
      </w:r>
      <w:r w:rsidR="0093659F">
        <w:t xml:space="preserve">Include the sources of annual reports. Data sources should be clearly stated along with their respective timeframes. </w:t>
      </w:r>
    </w:p>
  </w:comment>
  <w:comment w:id="6" w:author="Mohan Phuyal" w:date="2025-03-13T12:36:00Z" w:initials="MP">
    <w:p w14:paraId="7E868F24" w14:textId="77777777" w:rsidR="00427902" w:rsidRDefault="00427902" w:rsidP="00427902">
      <w:pPr>
        <w:pStyle w:val="CommentText"/>
      </w:pPr>
      <w:r>
        <w:rPr>
          <w:rStyle w:val="CommentReference"/>
        </w:rPr>
        <w:annotationRef/>
      </w:r>
      <w:r>
        <w:t xml:space="preserve">Figure 2: Did you create this Figure? If not, please generate the figure yourself.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4A67C49" w15:done="0"/>
  <w15:commentEx w15:paraId="125956D7" w15:done="0"/>
  <w15:commentEx w15:paraId="7B075671" w15:done="0"/>
  <w15:commentEx w15:paraId="1A480FB8" w15:done="0"/>
  <w15:commentEx w15:paraId="287C1779" w15:done="0"/>
  <w15:commentEx w15:paraId="40E030EA" w15:done="0"/>
  <w15:commentEx w15:paraId="7E868F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E4A2D3" w16cex:dateUtc="2025-03-13T01:13:00Z"/>
  <w16cex:commentExtensible w16cex:durableId="5D1A0EA9" w16cex:dateUtc="2025-03-12T06:31:00Z"/>
  <w16cex:commentExtensible w16cex:durableId="6A05D218" w16cex:dateUtc="2025-03-13T03:16:00Z"/>
  <w16cex:commentExtensible w16cex:durableId="053375C6" w16cex:dateUtc="2025-03-12T06:45:00Z"/>
  <w16cex:commentExtensible w16cex:durableId="6F682374" w16cex:dateUtc="2025-03-12T06:54:00Z"/>
  <w16cex:commentExtensible w16cex:durableId="670B5D35" w16cex:dateUtc="2025-03-12T07:01:00Z"/>
  <w16cex:commentExtensible w16cex:durableId="70BA0740" w16cex:dateUtc="2025-03-13T0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4A67C49" w16cid:durableId="25E4A2D3"/>
  <w16cid:commentId w16cid:paraId="125956D7" w16cid:durableId="5D1A0EA9"/>
  <w16cid:commentId w16cid:paraId="7B075671" w16cid:durableId="6A05D218"/>
  <w16cid:commentId w16cid:paraId="1A480FB8" w16cid:durableId="053375C6"/>
  <w16cid:commentId w16cid:paraId="287C1779" w16cid:durableId="6F682374"/>
  <w16cid:commentId w16cid:paraId="40E030EA" w16cid:durableId="670B5D35"/>
  <w16cid:commentId w16cid:paraId="7E868F24" w16cid:durableId="70BA07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B9016" w14:textId="77777777" w:rsidR="00304B20" w:rsidRDefault="00304B20">
      <w:r>
        <w:separator/>
      </w:r>
    </w:p>
  </w:endnote>
  <w:endnote w:type="continuationSeparator" w:id="0">
    <w:p w14:paraId="4007AEE1" w14:textId="77777777" w:rsidR="00304B20" w:rsidRDefault="0030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rif">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00424" w14:textId="77777777" w:rsidR="000305B3" w:rsidRDefault="000305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A3E26" w14:textId="77777777" w:rsidR="00F4716C" w:rsidRDefault="00304B20">
    <w:pPr>
      <w:pStyle w:val="Footer"/>
    </w:pPr>
    <w:r>
      <w:rPr>
        <w:noProof/>
      </w:rPr>
      <mc:AlternateContent>
        <mc:Choice Requires="wps">
          <w:drawing>
            <wp:anchor distT="0" distB="0" distL="114300" distR="114300" simplePos="0" relativeHeight="251656192" behindDoc="0" locked="0" layoutInCell="1" allowOverlap="1" wp14:anchorId="5814D7F9" wp14:editId="32AE5C7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06AC5" w14:textId="77777777" w:rsidR="00F4716C" w:rsidRDefault="00304B2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14D7F9" id="_x0000_t202" coordsize="21600,21600" o:spt="202" path="m,l,21600r21600,l21600,xe">
              <v:stroke joinstyle="miter"/>
              <v:path gradientshapeok="t" o:connecttype="rect"/>
            </v:shapetype>
            <v:shape id="文本框 1" o:spid="_x0000_s1028" type="#_x0000_t202" style="position:absolute;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0E206AC5" w14:textId="77777777" w:rsidR="00F4716C" w:rsidRDefault="00304B20">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F63ED" w14:textId="77777777" w:rsidR="000305B3" w:rsidRDefault="00030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FDC4A" w14:textId="77777777" w:rsidR="00304B20" w:rsidRDefault="00304B20">
      <w:r>
        <w:separator/>
      </w:r>
    </w:p>
  </w:footnote>
  <w:footnote w:type="continuationSeparator" w:id="0">
    <w:p w14:paraId="73A2A483" w14:textId="77777777" w:rsidR="00304B20" w:rsidRDefault="0030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3AE42" w14:textId="31412609" w:rsidR="000305B3" w:rsidRDefault="000A76D2">
    <w:pPr>
      <w:pStyle w:val="Header"/>
    </w:pPr>
    <w:r>
      <w:rPr>
        <w:noProof/>
      </w:rPr>
      <mc:AlternateContent>
        <mc:Choice Requires="wps">
          <w:drawing>
            <wp:anchor distT="0" distB="0" distL="114300" distR="114300" simplePos="0" relativeHeight="251657216" behindDoc="1" locked="0" layoutInCell="0" allowOverlap="1" wp14:anchorId="12C73E88" wp14:editId="0E717278">
              <wp:simplePos x="0" y="0"/>
              <wp:positionH relativeFrom="margin">
                <wp:align>center</wp:align>
              </wp:positionH>
              <wp:positionV relativeFrom="margin">
                <wp:align>center</wp:align>
              </wp:positionV>
              <wp:extent cx="6261735" cy="1174115"/>
              <wp:effectExtent l="0" t="1943100" r="0" b="1711960"/>
              <wp:wrapNone/>
              <wp:docPr id="60315551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61735" cy="1174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E62E49" w14:textId="77777777" w:rsidR="000A76D2" w:rsidRDefault="000A76D2" w:rsidP="000A76D2">
                          <w:pPr>
                            <w:jc w:val="center"/>
                            <w:rPr>
                              <w:rFonts w:ascii="Calibri" w:eastAsia="Calibri" w:hAnsi="Calibri" w:cs="Calibri"/>
                              <w:color w:val="C0C0C0"/>
                              <w:kern w:val="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2C73E88" id="_x0000_t202" coordsize="21600,21600" o:spt="202" path="m,l,21600r21600,l21600,xe">
              <v:stroke joinstyle="miter"/>
              <v:path gradientshapeok="t" o:connecttype="rect"/>
            </v:shapetype>
            <v:shape id="WordArt 2" o:spid="_x0000_s1026" type="#_x0000_t202" style="position:absolute;left:0;text-align:left;margin-left:0;margin-top:0;width:493.05pt;height:92.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" o:allowincell="f" filled="f" stroked="f">
              <v:stroke joinstyle="round"/>
              <o:lock v:ext="edit" shapetype="t"/>
              <v:textbox style="mso-fit-shape-to-text:t">
                <w:txbxContent>
                  <w:p w14:paraId="36E62E49" w14:textId="77777777" w:rsidR="000A76D2" w:rsidRDefault="000A76D2" w:rsidP="000A76D2">
                    <w:pPr>
                      <w:jc w:val="center"/>
                      <w:rPr>
                        <w:rFonts w:ascii="Calibri" w:eastAsia="Calibri" w:hAnsi="Calibri" w:cs="Calibri"/>
                        <w:color w:val="C0C0C0"/>
                        <w:kern w:val="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16974" w14:textId="2FD69E03" w:rsidR="000305B3" w:rsidRDefault="000A76D2">
    <w:pPr>
      <w:pStyle w:val="Header"/>
    </w:pPr>
    <w:r>
      <w:rPr>
        <w:noProof/>
      </w:rPr>
      <mc:AlternateContent>
        <mc:Choice Requires="wps">
          <w:drawing>
            <wp:anchor distT="0" distB="0" distL="114300" distR="114300" simplePos="0" relativeHeight="251658240" behindDoc="1" locked="0" layoutInCell="0" allowOverlap="1" wp14:anchorId="3B389273" wp14:editId="204FC8CA">
              <wp:simplePos x="0" y="0"/>
              <wp:positionH relativeFrom="margin">
                <wp:align>center</wp:align>
              </wp:positionH>
              <wp:positionV relativeFrom="margin">
                <wp:align>center</wp:align>
              </wp:positionV>
              <wp:extent cx="6261735" cy="1174115"/>
              <wp:effectExtent l="0" t="1943100" r="0" b="1711960"/>
              <wp:wrapNone/>
              <wp:docPr id="168129494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61735" cy="1174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CFC805" w14:textId="77777777" w:rsidR="000A76D2" w:rsidRDefault="000A76D2" w:rsidP="000A76D2">
                          <w:pPr>
                            <w:jc w:val="center"/>
                            <w:rPr>
                              <w:rFonts w:ascii="Calibri" w:eastAsia="Calibri" w:hAnsi="Calibri" w:cs="Calibri"/>
                              <w:color w:val="C0C0C0"/>
                              <w:kern w:val="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389273" id="_x0000_t202" coordsize="21600,21600" o:spt="202" path="m,l,21600r21600,l21600,xe">
              <v:stroke joinstyle="miter"/>
              <v:path gradientshapeok="t" o:connecttype="rect"/>
            </v:shapetype>
            <v:shape id="WordArt 3" o:spid="_x0000_s1027" type="#_x0000_t202" style="position:absolute;left:0;text-align:left;margin-left:0;margin-top:0;width:493.05pt;height:92.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" o:allowincell="f" filled="f" stroked="f">
              <v:stroke joinstyle="round"/>
              <o:lock v:ext="edit" shapetype="t"/>
              <v:textbox style="mso-fit-shape-to-text:t">
                <w:txbxContent>
                  <w:p w14:paraId="62CFC805" w14:textId="77777777" w:rsidR="000A76D2" w:rsidRDefault="000A76D2" w:rsidP="000A76D2">
                    <w:pPr>
                      <w:jc w:val="center"/>
                      <w:rPr>
                        <w:rFonts w:ascii="Calibri" w:eastAsia="Calibri" w:hAnsi="Calibri" w:cs="Calibri"/>
                        <w:color w:val="C0C0C0"/>
                        <w:kern w:val="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624F6" w14:textId="33579021" w:rsidR="000305B3" w:rsidRDefault="00A713EE">
    <w:pPr>
      <w:pStyle w:val="Header"/>
    </w:pPr>
    <w:r>
      <w:rPr>
        <w:noProof/>
      </w:rPr>
      <w:pict w14:anchorId="57E2D0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7FCC08"/>
    <w:multiLevelType w:val="singleLevel"/>
    <w:tmpl w:val="EE7FCC08"/>
    <w:lvl w:ilvl="0">
      <w:start w:val="4"/>
      <w:numFmt w:val="decimal"/>
      <w:suff w:val="nothing"/>
      <w:lvlText w:val="（%1）"/>
      <w:lvlJc w:val="left"/>
    </w:lvl>
  </w:abstractNum>
  <w:num w:numId="1" w16cid:durableId="38191049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han Phuyal">
    <w15:presenceInfo w15:providerId="Windows Live" w15:userId="e2554c66985d27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v:textbox inset="5.85pt,.7pt,5.85pt,.7pt"/>
    </o:shapedefaults>
    <o:shapelayout v:ext="edit">
      <o:idmap v:ext="edit" data="2"/>
    </o:shapelayout>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1FA1AAF"/>
    <w:rsid w:val="000305B3"/>
    <w:rsid w:val="0006201F"/>
    <w:rsid w:val="00066251"/>
    <w:rsid w:val="000A76D2"/>
    <w:rsid w:val="000D35F1"/>
    <w:rsid w:val="001A43CF"/>
    <w:rsid w:val="001A59FC"/>
    <w:rsid w:val="001C4AA7"/>
    <w:rsid w:val="00251766"/>
    <w:rsid w:val="002605FF"/>
    <w:rsid w:val="00265498"/>
    <w:rsid w:val="002A3D20"/>
    <w:rsid w:val="00304B20"/>
    <w:rsid w:val="003573B9"/>
    <w:rsid w:val="00387279"/>
    <w:rsid w:val="003A24F0"/>
    <w:rsid w:val="003E526B"/>
    <w:rsid w:val="00427902"/>
    <w:rsid w:val="0046739D"/>
    <w:rsid w:val="004741F1"/>
    <w:rsid w:val="00495224"/>
    <w:rsid w:val="00545E6C"/>
    <w:rsid w:val="00564FB8"/>
    <w:rsid w:val="00567BD4"/>
    <w:rsid w:val="00575FF8"/>
    <w:rsid w:val="005814BC"/>
    <w:rsid w:val="00595A60"/>
    <w:rsid w:val="005D1F7E"/>
    <w:rsid w:val="00642FF8"/>
    <w:rsid w:val="00677706"/>
    <w:rsid w:val="00692B46"/>
    <w:rsid w:val="007244C9"/>
    <w:rsid w:val="007475A2"/>
    <w:rsid w:val="007D2978"/>
    <w:rsid w:val="008A74E9"/>
    <w:rsid w:val="009324D8"/>
    <w:rsid w:val="0093659F"/>
    <w:rsid w:val="0095188D"/>
    <w:rsid w:val="009B5082"/>
    <w:rsid w:val="00A12D50"/>
    <w:rsid w:val="00A55459"/>
    <w:rsid w:val="00A65518"/>
    <w:rsid w:val="00A713EE"/>
    <w:rsid w:val="00AE65FE"/>
    <w:rsid w:val="00CF703F"/>
    <w:rsid w:val="00D07873"/>
    <w:rsid w:val="00D249D0"/>
    <w:rsid w:val="00DA71EF"/>
    <w:rsid w:val="00DB1C62"/>
    <w:rsid w:val="00E56D99"/>
    <w:rsid w:val="00E71AD6"/>
    <w:rsid w:val="00EB4C6F"/>
    <w:rsid w:val="00EF61AE"/>
    <w:rsid w:val="00F13EE5"/>
    <w:rsid w:val="00F4716C"/>
    <w:rsid w:val="00F80639"/>
    <w:rsid w:val="0227311A"/>
    <w:rsid w:val="03CA6F85"/>
    <w:rsid w:val="04AE18D1"/>
    <w:rsid w:val="060E6ACB"/>
    <w:rsid w:val="081D1247"/>
    <w:rsid w:val="095C5D9F"/>
    <w:rsid w:val="0E032C8D"/>
    <w:rsid w:val="0E7476E7"/>
    <w:rsid w:val="0EE52393"/>
    <w:rsid w:val="0F87344A"/>
    <w:rsid w:val="108160EB"/>
    <w:rsid w:val="11F50B3F"/>
    <w:rsid w:val="128F4AEF"/>
    <w:rsid w:val="12AA7B7B"/>
    <w:rsid w:val="1A0F4768"/>
    <w:rsid w:val="1DFD14A7"/>
    <w:rsid w:val="213C22E6"/>
    <w:rsid w:val="242D5F16"/>
    <w:rsid w:val="252F3F10"/>
    <w:rsid w:val="25787665"/>
    <w:rsid w:val="26085AF6"/>
    <w:rsid w:val="2859377E"/>
    <w:rsid w:val="2B7E1BD5"/>
    <w:rsid w:val="2C9917B7"/>
    <w:rsid w:val="2EE01961"/>
    <w:rsid w:val="30AE4883"/>
    <w:rsid w:val="31AC272E"/>
    <w:rsid w:val="31C12394"/>
    <w:rsid w:val="340F5638"/>
    <w:rsid w:val="3505772E"/>
    <w:rsid w:val="362C2598"/>
    <w:rsid w:val="3848463C"/>
    <w:rsid w:val="385A1469"/>
    <w:rsid w:val="3B554279"/>
    <w:rsid w:val="401A063A"/>
    <w:rsid w:val="403C5A07"/>
    <w:rsid w:val="41FA1AAF"/>
    <w:rsid w:val="43DA0191"/>
    <w:rsid w:val="45464C32"/>
    <w:rsid w:val="4A360986"/>
    <w:rsid w:val="4BE807F1"/>
    <w:rsid w:val="4CC21042"/>
    <w:rsid w:val="4D04165B"/>
    <w:rsid w:val="4D565C2E"/>
    <w:rsid w:val="5187285A"/>
    <w:rsid w:val="526E44CD"/>
    <w:rsid w:val="52A411FB"/>
    <w:rsid w:val="559E63C4"/>
    <w:rsid w:val="5705494D"/>
    <w:rsid w:val="57B974E6"/>
    <w:rsid w:val="5AE26D53"/>
    <w:rsid w:val="5B3A6DC6"/>
    <w:rsid w:val="68183DB4"/>
    <w:rsid w:val="68751207"/>
    <w:rsid w:val="6BB169FA"/>
    <w:rsid w:val="6E895A0C"/>
    <w:rsid w:val="6EF45CF4"/>
    <w:rsid w:val="6FA02431"/>
    <w:rsid w:val="6FBD3BBF"/>
    <w:rsid w:val="725E2D0C"/>
    <w:rsid w:val="72A5093A"/>
    <w:rsid w:val="73702CF6"/>
    <w:rsid w:val="73A51128"/>
    <w:rsid w:val="76E732D0"/>
    <w:rsid w:val="77AD4FDD"/>
    <w:rsid w:val="7A0F3ECF"/>
    <w:rsid w:val="7B4C4049"/>
    <w:rsid w:val="7BA84B8C"/>
    <w:rsid w:val="7C014E34"/>
    <w:rsid w:val="7C9E08D4"/>
    <w:rsid w:val="7ECA5050"/>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BA9D8C1"/>
  <w15:docId w15:val="{790CCEC9-1BC7-459C-B5FE-4A272E37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paragraph" w:styleId="Heading3">
    <w:name w:val="heading 3"/>
    <w:basedOn w:val="Normal"/>
    <w:next w:val="Normal"/>
    <w:semiHidden/>
    <w:unhideWhenUsed/>
    <w:qFormat/>
    <w:pPr>
      <w:spacing w:beforeAutospacing="1" w:afterAutospacing="1"/>
      <w:jc w:val="left"/>
      <w:outlineLvl w:val="2"/>
    </w:pPr>
    <w:rPr>
      <w:rFonts w:ascii="SimSun" w:eastAsia="SimSun" w:hAnsi="SimSun" w:cs="Times New Roman" w:hint="eastAsia"/>
      <w:b/>
      <w:bCs/>
      <w:kern w:val="0"/>
      <w:sz w:val="27"/>
      <w:szCs w:val="27"/>
    </w:rPr>
  </w:style>
  <w:style w:type="paragraph" w:styleId="Heading5">
    <w:name w:val="heading 5"/>
    <w:basedOn w:val="Normal"/>
    <w:next w:val="Normal"/>
    <w:semiHidden/>
    <w:unhideWhenUsed/>
    <w:qFormat/>
    <w:pPr>
      <w:spacing w:beforeAutospacing="1" w:afterAutospacing="1"/>
      <w:jc w:val="left"/>
      <w:outlineLvl w:val="4"/>
    </w:pPr>
    <w:rPr>
      <w:rFonts w:ascii="SimSun" w:eastAsia="SimSun" w:hAnsi="SimSun" w:cs="Times New Roman" w:hint="eastAsia"/>
      <w:b/>
      <w:bCs/>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noteText">
    <w:name w:val="footnote text"/>
    <w:basedOn w:val="Normal"/>
    <w:qFormat/>
    <w:pPr>
      <w:snapToGrid w:val="0"/>
      <w:jc w:val="left"/>
    </w:pPr>
    <w:rPr>
      <w:sz w:val="18"/>
    </w:rPr>
  </w:style>
  <w:style w:type="paragraph" w:styleId="NormalWeb">
    <w:name w:val="Normal (Web)"/>
    <w:basedOn w:val="Normal"/>
    <w:qFormat/>
    <w:pPr>
      <w:spacing w:beforeAutospacing="1" w:afterAutospacing="1"/>
      <w:jc w:val="left"/>
    </w:pPr>
    <w:rPr>
      <w:rFonts w:cs="Times New Roman"/>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FootnoteReference">
    <w:name w:val="footnote reference"/>
    <w:basedOn w:val="DefaultParagraphFont"/>
    <w:qFormat/>
    <w:rPr>
      <w:vertAlign w:val="superscript"/>
    </w:rPr>
  </w:style>
  <w:style w:type="paragraph" w:customStyle="1" w:styleId="1">
    <w:name w:val="书目1"/>
    <w:basedOn w:val="Normal"/>
    <w:next w:val="Normal"/>
    <w:uiPriority w:val="37"/>
    <w:unhideWhenUsed/>
    <w:qFormat/>
    <w:pPr>
      <w:ind w:left="720" w:hanging="720"/>
    </w:pPr>
  </w:style>
  <w:style w:type="character" w:styleId="Hyperlink">
    <w:name w:val="Hyperlink"/>
    <w:basedOn w:val="DefaultParagraphFont"/>
    <w:rsid w:val="00692B46"/>
    <w:rPr>
      <w:color w:val="0026E5" w:themeColor="hyperlink"/>
      <w:u w:val="single"/>
    </w:rPr>
  </w:style>
  <w:style w:type="character" w:styleId="UnresolvedMention">
    <w:name w:val="Unresolved Mention"/>
    <w:basedOn w:val="DefaultParagraphFont"/>
    <w:uiPriority w:val="99"/>
    <w:semiHidden/>
    <w:unhideWhenUsed/>
    <w:rsid w:val="00692B46"/>
    <w:rPr>
      <w:color w:val="605E5C"/>
      <w:shd w:val="clear" w:color="auto" w:fill="E1DFDD"/>
    </w:rPr>
  </w:style>
  <w:style w:type="character" w:styleId="CommentReference">
    <w:name w:val="annotation reference"/>
    <w:basedOn w:val="DefaultParagraphFont"/>
    <w:rsid w:val="00A12D50"/>
    <w:rPr>
      <w:sz w:val="18"/>
      <w:szCs w:val="18"/>
    </w:rPr>
  </w:style>
  <w:style w:type="paragraph" w:styleId="CommentText">
    <w:name w:val="annotation text"/>
    <w:basedOn w:val="Normal"/>
    <w:link w:val="CommentTextChar"/>
    <w:rsid w:val="00A12D50"/>
    <w:pPr>
      <w:jc w:val="left"/>
    </w:pPr>
  </w:style>
  <w:style w:type="character" w:customStyle="1" w:styleId="CommentTextChar">
    <w:name w:val="Comment Text Char"/>
    <w:basedOn w:val="DefaultParagraphFont"/>
    <w:link w:val="CommentText"/>
    <w:rsid w:val="00A12D50"/>
    <w:rPr>
      <w:rFonts w:asciiTheme="minorHAnsi" w:eastAsiaTheme="minorEastAsia" w:hAnsiTheme="minorHAnsi" w:cstheme="minorBidi"/>
      <w:kern w:val="2"/>
      <w:sz w:val="21"/>
      <w:szCs w:val="24"/>
    </w:rPr>
  </w:style>
  <w:style w:type="paragraph" w:styleId="CommentSubject">
    <w:name w:val="annotation subject"/>
    <w:basedOn w:val="CommentText"/>
    <w:next w:val="CommentText"/>
    <w:link w:val="CommentSubjectChar"/>
    <w:rsid w:val="00A12D50"/>
    <w:rPr>
      <w:b/>
      <w:bCs/>
    </w:rPr>
  </w:style>
  <w:style w:type="character" w:customStyle="1" w:styleId="CommentSubjectChar">
    <w:name w:val="Comment Subject Char"/>
    <w:basedOn w:val="CommentTextChar"/>
    <w:link w:val="CommentSubject"/>
    <w:rsid w:val="00A12D50"/>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938DC7-DA42-4B2A-BE70-F61E12A3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21</Pages>
  <Words>5488</Words>
  <Characters>47773</Characters>
  <Application>Microsoft Office Word</Application>
  <DocSecurity>0</DocSecurity>
  <Lines>398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WPS_1539008377</dc:creator>
  <cp:lastModifiedBy>Mohan Phuyal</cp:lastModifiedBy>
  <cp:revision>6</cp:revision>
  <dcterms:created xsi:type="dcterms:W3CDTF">2025-03-12T04:31:00Z</dcterms:created>
  <dcterms:modified xsi:type="dcterms:W3CDTF">2025-03-13T04:02:00Z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7DE83EDE664A476FAA636C1EC2B9A012_11</vt:lpwstr>
  </property>
  <property fmtid="{D5CDD505-2E9C-101B-9397-08002B2CF9AE}" pid="4" name="KSOTemplateDocerSaveRecord">
    <vt:lpwstr>eyJoZGlkIjoiNWI3MDhlZDg5ZDI5NmQyNzhiNDMwYjFiYmYwNWUwMDgiLCJ1c2VySWQiOiI0MTQzNTM0OTUifQ==</vt:lpwstr>
  </property>
  <property fmtid="{D5CDD505-2E9C-101B-9397-08002B2CF9AE}" pid="5" name="ZOTERO_PREF_1">
    <vt:lpwstr>&lt;data data-version="3" zotero-version="7.0.11"&gt;&lt;session id="HcsT4XqI"/&gt;&lt;style id="http://www.zotero.org/styles/journal-of-environmental-sciences" hasBibliography="1" bibliographyStyleHasBeenSet="1"/&gt;&lt;prefs&gt;&lt;pref name="fieldType" value="Field"/&gt;&lt;/prefs&gt;&lt;/d</vt:lpwstr>
  </property>
  <property fmtid="{D5CDD505-2E9C-101B-9397-08002B2CF9AE}" pid="6" name="ZOTERO_PREF_2">
    <vt:lpwstr>ata&gt;</vt:lpwstr>
  </property>
</Properties>
</file>