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3A16A" w14:textId="77777777" w:rsidR="00172537" w:rsidRPr="00FA3A22" w:rsidRDefault="00172537" w:rsidP="00FA3A22">
      <w:pPr>
        <w:spacing w:line="240" w:lineRule="auto"/>
        <w:jc w:val="right"/>
        <w:rPr>
          <w:rFonts w:ascii="Arial" w:hAnsi="Arial" w:cs="Arial"/>
          <w:b/>
          <w:bCs/>
          <w:i/>
          <w:iCs/>
          <w:color w:val="0D0D0D" w:themeColor="text1" w:themeTint="F2"/>
          <w:sz w:val="32"/>
          <w:u w:val="single"/>
          <w:lang w:val="en-US"/>
        </w:rPr>
      </w:pPr>
      <w:r w:rsidRPr="00FA3A22">
        <w:rPr>
          <w:rFonts w:ascii="Arial" w:hAnsi="Arial" w:cs="Arial"/>
          <w:b/>
          <w:bCs/>
          <w:i/>
          <w:iCs/>
          <w:color w:val="0D0D0D" w:themeColor="text1" w:themeTint="F2"/>
          <w:sz w:val="32"/>
          <w:u w:val="single"/>
          <w:lang w:val="en-US"/>
        </w:rPr>
        <w:t>Original Research Article</w:t>
      </w:r>
    </w:p>
    <w:p w14:paraId="4B2267D5" w14:textId="09C68856" w:rsidR="00625DB3" w:rsidRPr="00FA3A22" w:rsidRDefault="00625DB3" w:rsidP="00FA3A22">
      <w:pPr>
        <w:spacing w:line="240" w:lineRule="auto"/>
        <w:jc w:val="right"/>
        <w:rPr>
          <w:rFonts w:ascii="Arial" w:hAnsi="Arial" w:cs="Arial"/>
          <w:b/>
          <w:bCs/>
          <w:color w:val="0D0D0D" w:themeColor="text1" w:themeTint="F2"/>
          <w:sz w:val="32"/>
        </w:rPr>
      </w:pPr>
      <w:r w:rsidRPr="00FA3A22">
        <w:rPr>
          <w:rFonts w:ascii="Arial" w:hAnsi="Arial" w:cs="Arial"/>
          <w:b/>
          <w:bCs/>
          <w:color w:val="0D0D0D" w:themeColor="text1" w:themeTint="F2"/>
          <w:sz w:val="32"/>
        </w:rPr>
        <w:t xml:space="preserve">Soil Nutrient Dynamics Under the </w:t>
      </w:r>
      <w:r w:rsidR="00F92A7B" w:rsidRPr="00FA3A22">
        <w:rPr>
          <w:rFonts w:ascii="Arial" w:hAnsi="Arial" w:cs="Arial"/>
          <w:b/>
          <w:bCs/>
          <w:color w:val="0D0D0D" w:themeColor="text1" w:themeTint="F2"/>
          <w:sz w:val="32"/>
        </w:rPr>
        <w:t>Haritha Haram</w:t>
      </w:r>
      <w:r w:rsidRPr="00FA3A22">
        <w:rPr>
          <w:rFonts w:ascii="Arial" w:hAnsi="Arial" w:cs="Arial"/>
          <w:b/>
          <w:bCs/>
          <w:color w:val="0D0D0D" w:themeColor="text1" w:themeTint="F2"/>
          <w:sz w:val="32"/>
        </w:rPr>
        <w:t xml:space="preserve"> Ecosystem in Telangana State</w:t>
      </w:r>
    </w:p>
    <w:p w14:paraId="721240A5" w14:textId="77777777" w:rsidR="0078741C" w:rsidRPr="00FA3A22" w:rsidRDefault="0078741C" w:rsidP="00FA3A22">
      <w:pPr>
        <w:spacing w:line="240" w:lineRule="auto"/>
        <w:jc w:val="both"/>
        <w:rPr>
          <w:rFonts w:ascii="Arial" w:hAnsi="Arial" w:cs="Arial"/>
          <w:b/>
          <w:bCs/>
          <w:sz w:val="20"/>
        </w:rPr>
      </w:pPr>
      <w:r w:rsidRPr="00FA3A22">
        <w:rPr>
          <w:rFonts w:ascii="Arial" w:hAnsi="Arial" w:cs="Arial"/>
          <w:b/>
          <w:bCs/>
          <w:sz w:val="20"/>
        </w:rPr>
        <w:t>Abstract</w:t>
      </w:r>
    </w:p>
    <w:p w14:paraId="5F69BD7F" w14:textId="0EB052AD" w:rsidR="0078741C" w:rsidRPr="00FA3A22" w:rsidRDefault="0078741C" w:rsidP="00FA3A22">
      <w:pPr>
        <w:spacing w:line="240" w:lineRule="auto"/>
        <w:jc w:val="both"/>
        <w:rPr>
          <w:rFonts w:ascii="Arial" w:hAnsi="Arial" w:cs="Arial"/>
          <w:sz w:val="20"/>
        </w:rPr>
      </w:pPr>
      <w:commentRangeStart w:id="0"/>
      <w:r w:rsidRPr="00FA3A22">
        <w:rPr>
          <w:rFonts w:ascii="Arial" w:hAnsi="Arial" w:cs="Arial"/>
          <w:sz w:val="20"/>
        </w:rPr>
        <w:t xml:space="preserve">Soil fertility plays a crucial role in sustaining ecosystem productivity and biodiversity. The </w:t>
      </w:r>
      <w:r w:rsidR="002658B0" w:rsidRPr="00FA3A22">
        <w:rPr>
          <w:rFonts w:ascii="Arial" w:hAnsi="Arial" w:cs="Arial"/>
          <w:sz w:val="20"/>
        </w:rPr>
        <w:t>“</w:t>
      </w:r>
      <w:r w:rsidRPr="00FA3A22">
        <w:rPr>
          <w:rFonts w:ascii="Arial" w:hAnsi="Arial" w:cs="Arial"/>
          <w:sz w:val="20"/>
        </w:rPr>
        <w:t xml:space="preserve">Telangana Ku </w:t>
      </w:r>
      <w:r w:rsidR="00F92A7B" w:rsidRPr="00FA3A22">
        <w:rPr>
          <w:rFonts w:ascii="Arial" w:hAnsi="Arial" w:cs="Arial"/>
          <w:sz w:val="20"/>
        </w:rPr>
        <w:t>Haritha Haram</w:t>
      </w:r>
      <w:r w:rsidR="002658B0" w:rsidRPr="00FA3A22">
        <w:rPr>
          <w:rFonts w:ascii="Arial" w:hAnsi="Arial" w:cs="Arial"/>
          <w:sz w:val="20"/>
        </w:rPr>
        <w:t>”</w:t>
      </w:r>
      <w:r w:rsidRPr="00FA3A22">
        <w:rPr>
          <w:rFonts w:ascii="Arial" w:hAnsi="Arial" w:cs="Arial"/>
          <w:sz w:val="20"/>
        </w:rPr>
        <w:t xml:space="preserve"> afforestation program, initiated in 2015-16, aims to enhance green cover and improve soil health through large-scale tree planting. This study evaluates changes in soil nutrient dynamics across six </w:t>
      </w:r>
      <w:r w:rsidR="00F92A7B" w:rsidRPr="00FA3A22">
        <w:rPr>
          <w:rFonts w:ascii="Arial" w:hAnsi="Arial" w:cs="Arial"/>
          <w:sz w:val="20"/>
        </w:rPr>
        <w:t>Haritha Haram</w:t>
      </w:r>
      <w:r w:rsidRPr="00FA3A22">
        <w:rPr>
          <w:rFonts w:ascii="Arial" w:hAnsi="Arial" w:cs="Arial"/>
          <w:sz w:val="20"/>
        </w:rPr>
        <w:t xml:space="preserve"> locations in Telangana between May 2023 and April 2024. Soil samples collected at a depth of 0-30 cm were analyzed for macronutrients (</w:t>
      </w:r>
      <w:r w:rsidR="00D20151" w:rsidRPr="00FA3A22">
        <w:rPr>
          <w:rFonts w:ascii="Arial" w:hAnsi="Arial" w:cs="Arial"/>
          <w:sz w:val="20"/>
        </w:rPr>
        <w:t>Nitrogen (</w:t>
      </w:r>
      <w:r w:rsidRPr="00FA3A22">
        <w:rPr>
          <w:rFonts w:ascii="Arial" w:hAnsi="Arial" w:cs="Arial"/>
          <w:sz w:val="20"/>
        </w:rPr>
        <w:t>N</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Phosphorus (</w:t>
      </w:r>
      <w:r w:rsidRPr="00FA3A22">
        <w:rPr>
          <w:rFonts w:ascii="Arial" w:hAnsi="Arial" w:cs="Arial"/>
          <w:sz w:val="20"/>
        </w:rPr>
        <w:t>P</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Potassium (</w:t>
      </w:r>
      <w:r w:rsidRPr="00FA3A22">
        <w:rPr>
          <w:rFonts w:ascii="Arial" w:hAnsi="Arial" w:cs="Arial"/>
          <w:sz w:val="20"/>
        </w:rPr>
        <w:t>K), micronutrients (</w:t>
      </w:r>
      <w:r w:rsidR="00D20151" w:rsidRPr="00FA3A22">
        <w:rPr>
          <w:rFonts w:ascii="Arial" w:hAnsi="Arial" w:cs="Arial"/>
          <w:sz w:val="20"/>
        </w:rPr>
        <w:t>Iron (</w:t>
      </w:r>
      <w:r w:rsidRPr="00FA3A22">
        <w:rPr>
          <w:rFonts w:ascii="Arial" w:hAnsi="Arial" w:cs="Arial"/>
          <w:sz w:val="20"/>
        </w:rPr>
        <w:t>Fe</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Copper (</w:t>
      </w:r>
      <w:r w:rsidRPr="00FA3A22">
        <w:rPr>
          <w:rFonts w:ascii="Arial" w:hAnsi="Arial" w:cs="Arial"/>
          <w:sz w:val="20"/>
        </w:rPr>
        <w:t>Cu</w:t>
      </w:r>
      <w:r w:rsidR="00D20151" w:rsidRPr="00FA3A22">
        <w:rPr>
          <w:rFonts w:ascii="Arial" w:hAnsi="Arial" w:cs="Arial"/>
          <w:sz w:val="20"/>
        </w:rPr>
        <w:t>)</w:t>
      </w:r>
      <w:r w:rsidRPr="00FA3A22">
        <w:rPr>
          <w:rFonts w:ascii="Arial" w:hAnsi="Arial" w:cs="Arial"/>
          <w:sz w:val="20"/>
        </w:rPr>
        <w:t xml:space="preserve">, </w:t>
      </w:r>
      <w:r w:rsidR="00D20151" w:rsidRPr="00FA3A22">
        <w:rPr>
          <w:rFonts w:ascii="Arial" w:hAnsi="Arial" w:cs="Arial"/>
          <w:sz w:val="20"/>
        </w:rPr>
        <w:t>Manganese (</w:t>
      </w:r>
      <w:r w:rsidRPr="00FA3A22">
        <w:rPr>
          <w:rFonts w:ascii="Arial" w:hAnsi="Arial" w:cs="Arial"/>
          <w:sz w:val="20"/>
        </w:rPr>
        <w:t>Mn</w:t>
      </w:r>
      <w:r w:rsidR="00D20151" w:rsidRPr="00FA3A22">
        <w:rPr>
          <w:rFonts w:ascii="Arial" w:hAnsi="Arial" w:cs="Arial"/>
          <w:sz w:val="20"/>
        </w:rPr>
        <w:t>)</w:t>
      </w:r>
      <w:r w:rsidRPr="00FA3A22">
        <w:rPr>
          <w:rFonts w:ascii="Arial" w:hAnsi="Arial" w:cs="Arial"/>
          <w:sz w:val="20"/>
        </w:rPr>
        <w:t>,</w:t>
      </w:r>
      <w:r w:rsidR="00D20151" w:rsidRPr="00FA3A22">
        <w:rPr>
          <w:rFonts w:ascii="Arial" w:hAnsi="Arial" w:cs="Arial"/>
          <w:sz w:val="20"/>
        </w:rPr>
        <w:t xml:space="preserve"> Zinc (</w:t>
      </w:r>
      <w:r w:rsidRPr="00FA3A22">
        <w:rPr>
          <w:rFonts w:ascii="Arial" w:hAnsi="Arial" w:cs="Arial"/>
          <w:sz w:val="20"/>
        </w:rPr>
        <w:t>Zn</w:t>
      </w:r>
      <w:r w:rsidR="00D20151" w:rsidRPr="00FA3A22">
        <w:rPr>
          <w:rFonts w:ascii="Arial" w:hAnsi="Arial" w:cs="Arial"/>
          <w:sz w:val="20"/>
        </w:rPr>
        <w:t>)</w:t>
      </w:r>
      <w:r w:rsidRPr="00FA3A22">
        <w:rPr>
          <w:rFonts w:ascii="Arial" w:hAnsi="Arial" w:cs="Arial"/>
          <w:sz w:val="20"/>
        </w:rPr>
        <w:t>, B</w:t>
      </w:r>
      <w:r w:rsidR="00D20151" w:rsidRPr="00FA3A22">
        <w:rPr>
          <w:rFonts w:ascii="Arial" w:hAnsi="Arial" w:cs="Arial"/>
          <w:sz w:val="20"/>
        </w:rPr>
        <w:t>oron (B)</w:t>
      </w:r>
      <w:r w:rsidRPr="00FA3A22">
        <w:rPr>
          <w:rFonts w:ascii="Arial" w:hAnsi="Arial" w:cs="Arial"/>
          <w:sz w:val="20"/>
        </w:rPr>
        <w:t xml:space="preserve">, </w:t>
      </w:r>
      <w:r w:rsidR="00D20151" w:rsidRPr="00FA3A22">
        <w:rPr>
          <w:rFonts w:ascii="Arial" w:hAnsi="Arial" w:cs="Arial"/>
          <w:sz w:val="20"/>
        </w:rPr>
        <w:t>Molybdenum (</w:t>
      </w:r>
      <w:r w:rsidRPr="00FA3A22">
        <w:rPr>
          <w:rFonts w:ascii="Arial" w:hAnsi="Arial" w:cs="Arial"/>
          <w:sz w:val="20"/>
        </w:rPr>
        <w:t>Mo), and organic matter components (</w:t>
      </w:r>
      <w:r w:rsidR="0005668C" w:rsidRPr="00FA3A22">
        <w:rPr>
          <w:rFonts w:ascii="Arial" w:hAnsi="Arial" w:cs="Arial"/>
          <w:sz w:val="20"/>
        </w:rPr>
        <w:t>H</w:t>
      </w:r>
      <w:r w:rsidRPr="00FA3A22">
        <w:rPr>
          <w:rFonts w:ascii="Arial" w:hAnsi="Arial" w:cs="Arial"/>
          <w:sz w:val="20"/>
        </w:rPr>
        <w:t xml:space="preserve">umic </w:t>
      </w:r>
      <w:r w:rsidR="0005668C" w:rsidRPr="00FA3A22">
        <w:rPr>
          <w:rFonts w:ascii="Arial" w:hAnsi="Arial" w:cs="Arial"/>
          <w:sz w:val="20"/>
        </w:rPr>
        <w:t xml:space="preserve">Acid </w:t>
      </w:r>
      <w:r w:rsidRPr="00FA3A22">
        <w:rPr>
          <w:rFonts w:ascii="Arial" w:hAnsi="Arial" w:cs="Arial"/>
          <w:sz w:val="20"/>
        </w:rPr>
        <w:t xml:space="preserve">and </w:t>
      </w:r>
      <w:r w:rsidR="0005668C" w:rsidRPr="00FA3A22">
        <w:rPr>
          <w:rFonts w:ascii="Arial" w:hAnsi="Arial" w:cs="Arial"/>
          <w:sz w:val="20"/>
        </w:rPr>
        <w:t>F</w:t>
      </w:r>
      <w:r w:rsidRPr="00FA3A22">
        <w:rPr>
          <w:rFonts w:ascii="Arial" w:hAnsi="Arial" w:cs="Arial"/>
          <w:sz w:val="20"/>
        </w:rPr>
        <w:t xml:space="preserve">ulvic </w:t>
      </w:r>
      <w:r w:rsidR="0005668C" w:rsidRPr="00FA3A22">
        <w:rPr>
          <w:rFonts w:ascii="Arial" w:hAnsi="Arial" w:cs="Arial"/>
          <w:sz w:val="20"/>
        </w:rPr>
        <w:t>A</w:t>
      </w:r>
      <w:r w:rsidRPr="00FA3A22">
        <w:rPr>
          <w:rFonts w:ascii="Arial" w:hAnsi="Arial" w:cs="Arial"/>
          <w:sz w:val="20"/>
        </w:rPr>
        <w:t>cid</w:t>
      </w:r>
      <w:r w:rsidR="0005668C" w:rsidRPr="00FA3A22">
        <w:rPr>
          <w:rFonts w:ascii="Arial" w:hAnsi="Arial" w:cs="Arial"/>
          <w:sz w:val="20"/>
        </w:rPr>
        <w:t>)</w:t>
      </w:r>
      <w:r w:rsidRPr="00FA3A22">
        <w:rPr>
          <w:rFonts w:ascii="Arial" w:hAnsi="Arial" w:cs="Arial"/>
          <w:sz w:val="20"/>
        </w:rPr>
        <w:t xml:space="preserve"> using standard analytical methods. A significant increase in available nitrogen (252 to 284 kg ha</w:t>
      </w:r>
      <w:r w:rsidRPr="00FA3A22">
        <w:rPr>
          <w:rFonts w:ascii="Cambria Math" w:hAnsi="Cambria Math" w:cs="Cambria Math"/>
          <w:sz w:val="20"/>
        </w:rPr>
        <w:t>⁻</w:t>
      </w:r>
      <w:r w:rsidRPr="00FA3A22">
        <w:rPr>
          <w:rFonts w:ascii="Arial" w:hAnsi="Arial" w:cs="Arial"/>
          <w:sz w:val="20"/>
        </w:rPr>
        <w:t>¹), phosphorus (41.5 to 44.1 kg ha</w:t>
      </w:r>
      <w:r w:rsidRPr="00FA3A22">
        <w:rPr>
          <w:rFonts w:ascii="Cambria Math" w:hAnsi="Cambria Math" w:cs="Cambria Math"/>
          <w:sz w:val="20"/>
        </w:rPr>
        <w:t>⁻</w:t>
      </w:r>
      <w:r w:rsidRPr="00FA3A22">
        <w:rPr>
          <w:rFonts w:ascii="Arial" w:hAnsi="Arial" w:cs="Arial"/>
          <w:sz w:val="20"/>
        </w:rPr>
        <w:t>¹), and potassium (385 to 402 kg ha</w:t>
      </w:r>
      <w:r w:rsidRPr="00FA3A22">
        <w:rPr>
          <w:rFonts w:ascii="Cambria Math" w:hAnsi="Cambria Math" w:cs="Cambria Math"/>
          <w:sz w:val="20"/>
        </w:rPr>
        <w:t>⁻</w:t>
      </w:r>
      <w:r w:rsidRPr="00FA3A22">
        <w:rPr>
          <w:rFonts w:ascii="Arial" w:hAnsi="Arial" w:cs="Arial"/>
          <w:sz w:val="20"/>
        </w:rPr>
        <w:t xml:space="preserve">¹) was observed. Micronutrient concentrations also increased. Additionally, humic and fulvic acid contents exhibited a slight </w:t>
      </w:r>
      <w:r w:rsidR="003D1455" w:rsidRPr="00FA3A22">
        <w:rPr>
          <w:rFonts w:ascii="Arial" w:hAnsi="Arial" w:cs="Arial"/>
          <w:sz w:val="20"/>
        </w:rPr>
        <w:t xml:space="preserve">increase. </w:t>
      </w:r>
      <w:r w:rsidRPr="00FA3A22">
        <w:rPr>
          <w:rFonts w:ascii="Arial" w:hAnsi="Arial" w:cs="Arial"/>
          <w:sz w:val="20"/>
        </w:rPr>
        <w:t>These changes are attributed to continuous organic matter accumulation from leaf litter and microbial decomposition, leading to enhanced nutrient availability. The findings highlight the positive impact of afforestation on soil fertility and emphasize the role of organic inputs in sustainable nutrient management within afforested ecosystems.</w:t>
      </w:r>
      <w:commentRangeEnd w:id="0"/>
      <w:r w:rsidR="00FA3A22">
        <w:rPr>
          <w:rStyle w:val="CommentReference"/>
        </w:rPr>
        <w:commentReference w:id="0"/>
      </w:r>
    </w:p>
    <w:p w14:paraId="5ADA707B" w14:textId="1677285A" w:rsidR="0078741C" w:rsidRPr="00FA3A22" w:rsidRDefault="0078741C" w:rsidP="00FA3A22">
      <w:pPr>
        <w:spacing w:line="240" w:lineRule="auto"/>
        <w:jc w:val="both"/>
        <w:rPr>
          <w:rFonts w:ascii="Arial" w:hAnsi="Arial" w:cs="Arial"/>
          <w:i/>
          <w:sz w:val="20"/>
        </w:rPr>
      </w:pPr>
      <w:r w:rsidRPr="00FA3A22">
        <w:rPr>
          <w:rFonts w:ascii="Arial" w:hAnsi="Arial" w:cs="Arial"/>
          <w:b/>
          <w:i/>
          <w:sz w:val="20"/>
        </w:rPr>
        <w:t>Keywords:</w:t>
      </w:r>
      <w:r w:rsidRPr="00FA3A22">
        <w:rPr>
          <w:rFonts w:ascii="Arial" w:hAnsi="Arial" w:cs="Arial"/>
          <w:i/>
          <w:sz w:val="20"/>
        </w:rPr>
        <w:t xml:space="preserve"> Fulvic acid, </w:t>
      </w:r>
      <w:r w:rsidR="00F92A7B" w:rsidRPr="00FA3A22">
        <w:rPr>
          <w:rFonts w:ascii="Arial" w:hAnsi="Arial" w:cs="Arial"/>
          <w:i/>
          <w:sz w:val="20"/>
        </w:rPr>
        <w:t>Haritha Haram</w:t>
      </w:r>
      <w:r w:rsidRPr="00FA3A22">
        <w:rPr>
          <w:rFonts w:ascii="Arial" w:hAnsi="Arial" w:cs="Arial"/>
          <w:i/>
          <w:sz w:val="20"/>
        </w:rPr>
        <w:t>, humic acid, macronutrients and micronutrients.</w:t>
      </w:r>
    </w:p>
    <w:p w14:paraId="11892EFC" w14:textId="77777777" w:rsidR="0015601B" w:rsidRPr="00FA3A22" w:rsidRDefault="0015601B" w:rsidP="00FA3A22">
      <w:pPr>
        <w:spacing w:line="240" w:lineRule="auto"/>
        <w:jc w:val="both"/>
        <w:rPr>
          <w:rFonts w:ascii="Arial" w:hAnsi="Arial" w:cs="Arial"/>
          <w:b/>
          <w:bCs/>
          <w:sz w:val="20"/>
        </w:rPr>
      </w:pPr>
    </w:p>
    <w:p w14:paraId="5E897BD1" w14:textId="763282AA" w:rsidR="00890850" w:rsidRPr="00FA3A22" w:rsidRDefault="00890850" w:rsidP="00FA3A22">
      <w:pPr>
        <w:spacing w:line="240" w:lineRule="auto"/>
        <w:jc w:val="both"/>
        <w:rPr>
          <w:rFonts w:ascii="Arial" w:hAnsi="Arial" w:cs="Arial"/>
          <w:b/>
          <w:bCs/>
          <w:sz w:val="20"/>
        </w:rPr>
      </w:pPr>
      <w:r w:rsidRPr="00FA3A22">
        <w:rPr>
          <w:rFonts w:ascii="Arial" w:hAnsi="Arial" w:cs="Arial"/>
          <w:b/>
          <w:bCs/>
          <w:sz w:val="20"/>
        </w:rPr>
        <w:t>Introduction</w:t>
      </w:r>
    </w:p>
    <w:p w14:paraId="5B5FF1B1" w14:textId="4F1A3020" w:rsidR="00890850" w:rsidRPr="00FA3A22" w:rsidRDefault="00890850" w:rsidP="00FA3A22">
      <w:pPr>
        <w:spacing w:line="240" w:lineRule="auto"/>
        <w:ind w:firstLine="720"/>
        <w:jc w:val="both"/>
        <w:rPr>
          <w:rFonts w:ascii="Arial" w:hAnsi="Arial" w:cs="Arial"/>
          <w:sz w:val="20"/>
        </w:rPr>
      </w:pPr>
      <w:commentRangeStart w:id="1"/>
      <w:r w:rsidRPr="00FA3A22">
        <w:rPr>
          <w:rFonts w:ascii="Arial" w:hAnsi="Arial" w:cs="Arial"/>
          <w:sz w:val="20"/>
        </w:rPr>
        <w:t xml:space="preserve">Soil fertility is a crucial factor influencing plant growth, productivity, and overall ecosystem sustainability. The availability of essential nutrients in soil determines the capacity of an ecosystem to support vegetation and maintain ecological balance. In this regard, assessing the nutrient dynamics in afforested regions such as the </w:t>
      </w:r>
      <w:r w:rsidR="00F92A7B" w:rsidRPr="00FA3A22">
        <w:rPr>
          <w:rFonts w:ascii="Arial" w:hAnsi="Arial" w:cs="Arial"/>
          <w:sz w:val="20"/>
        </w:rPr>
        <w:t>Haritha Haram</w:t>
      </w:r>
      <w:r w:rsidRPr="00FA3A22">
        <w:rPr>
          <w:rFonts w:ascii="Arial" w:hAnsi="Arial" w:cs="Arial"/>
          <w:sz w:val="20"/>
        </w:rPr>
        <w:t xml:space="preserve"> ecosystem provides valuable insights into soil health and fertility status over time.</w:t>
      </w:r>
    </w:p>
    <w:p w14:paraId="0AC7FB4E" w14:textId="2AC2BE7F" w:rsidR="00890850" w:rsidRPr="00FA3A22" w:rsidRDefault="0050410A" w:rsidP="00FA3A22">
      <w:pPr>
        <w:spacing w:line="240" w:lineRule="auto"/>
        <w:ind w:firstLine="720"/>
        <w:jc w:val="both"/>
        <w:rPr>
          <w:rFonts w:ascii="Arial" w:hAnsi="Arial" w:cs="Arial"/>
          <w:sz w:val="20"/>
        </w:rPr>
      </w:pPr>
      <w:r w:rsidRPr="00FA3A22">
        <w:rPr>
          <w:rFonts w:ascii="Arial" w:hAnsi="Arial" w:cs="Arial"/>
          <w:sz w:val="20"/>
        </w:rPr>
        <w:t xml:space="preserve">The Government of Telangana launched the flagship Programme ‘‘Telangana Ku Haritha Haram (Green Garland for Telangana)’’ in 2015-16. It </w:t>
      </w:r>
      <w:r w:rsidR="00890850" w:rsidRPr="00FA3A22">
        <w:rPr>
          <w:rFonts w:ascii="Arial" w:hAnsi="Arial" w:cs="Arial"/>
          <w:sz w:val="20"/>
        </w:rPr>
        <w:t>is a large-scale afforestation program aimed at improving green cover, enhancing biodiversity, and promoting sustainable soil management. As vegetation establishes and matures, it contributes significantly to soil nutrient enrichment through the continuous input of organic matter in the form of leaf litter, fallen branches, and decomposed plant material</w:t>
      </w:r>
      <w:r w:rsidR="00995839" w:rsidRPr="00FA3A22">
        <w:rPr>
          <w:rFonts w:ascii="Arial" w:hAnsi="Arial" w:cs="Arial"/>
          <w:sz w:val="20"/>
        </w:rPr>
        <w:t xml:space="preserve"> (</w:t>
      </w:r>
      <w:r w:rsidR="00995839" w:rsidRPr="00FA3A22">
        <w:rPr>
          <w:rFonts w:ascii="Arial" w:hAnsi="Arial" w:cs="Arial"/>
          <w:color w:val="0D0D0D" w:themeColor="text1" w:themeTint="F2"/>
          <w:sz w:val="20"/>
        </w:rPr>
        <w:t>Nivethadevi et al., 2021)</w:t>
      </w:r>
      <w:r w:rsidR="00890850" w:rsidRPr="00FA3A22">
        <w:rPr>
          <w:rFonts w:ascii="Arial" w:hAnsi="Arial" w:cs="Arial"/>
          <w:sz w:val="20"/>
        </w:rPr>
        <w:t>. This organic matter undergoes microbial decomposition, releasing essential nutrients into the soil. Understanding the changes in soil nutrient content in such ecosystems is essential for evaluating their role in long-term carbon sequestration and soil fertility enhancement.</w:t>
      </w:r>
    </w:p>
    <w:p w14:paraId="3500974F" w14:textId="77777777"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Nitrogen (N), phosphorus (P), and potassium (K) are primary macronutrients that play vital roles in plant nutrition. Nitrogen is a key component of chlorophyll, amino acids, and proteins, influencing plant growth and productivity. Phosphorus is involved in energy transfer and root development, while potassium contributes to enzyme activation, water regulation, and stress tolerance in plants. Apart from macronutrients, micronutrients such as iron (Fe), copper (Cu), manganese (Mn), zinc (Zn), boron (B), and molybdenum (Mo) are also essential for various physiological and biochemical processes in plants. Their availability in soil is influenced by organic matter decomposition, microbial activity, and environmental conditions.</w:t>
      </w:r>
    </w:p>
    <w:p w14:paraId="7DA4B259" w14:textId="62ACD943" w:rsidR="00890850" w:rsidRPr="00FA3A22" w:rsidRDefault="00890850" w:rsidP="00FA3A22">
      <w:pPr>
        <w:spacing w:line="240" w:lineRule="auto"/>
        <w:ind w:firstLine="720"/>
        <w:jc w:val="both"/>
        <w:rPr>
          <w:rFonts w:ascii="Arial" w:hAnsi="Arial" w:cs="Arial"/>
          <w:sz w:val="20"/>
        </w:rPr>
      </w:pPr>
      <w:r w:rsidRPr="00FA3A22">
        <w:rPr>
          <w:rFonts w:ascii="Arial" w:hAnsi="Arial" w:cs="Arial"/>
          <w:sz w:val="20"/>
        </w:rPr>
        <w:t>Several studies have highlighted the impact of afforestation on soil nutrient dynamics. Continuous organic matter accumulation through leaf litter deposition and microbial decomposition leads to enhanced nutrient availability over time. The decomposition process facilitates the mineralization of organic-bound nutrients, making them available for plant uptake. Seasonal variations, microbial activity, and environmental conditions further influence</w:t>
      </w:r>
      <w:r w:rsidR="00BA438A" w:rsidRPr="00FA3A22">
        <w:rPr>
          <w:rFonts w:ascii="Arial" w:hAnsi="Arial" w:cs="Arial"/>
          <w:sz w:val="20"/>
        </w:rPr>
        <w:t xml:space="preserve"> nutrient cycling processes in such </w:t>
      </w:r>
      <w:commentRangeStart w:id="2"/>
      <w:r w:rsidR="00BA438A" w:rsidRPr="00FA3A22">
        <w:rPr>
          <w:rFonts w:ascii="Arial" w:hAnsi="Arial" w:cs="Arial"/>
          <w:sz w:val="20"/>
        </w:rPr>
        <w:t>ecosystems</w:t>
      </w:r>
      <w:commentRangeEnd w:id="2"/>
      <w:r w:rsidR="00FA3A22">
        <w:rPr>
          <w:rStyle w:val="CommentReference"/>
        </w:rPr>
        <w:commentReference w:id="2"/>
      </w:r>
      <w:r w:rsidR="00BA438A" w:rsidRPr="00FA3A22">
        <w:rPr>
          <w:rFonts w:ascii="Arial" w:hAnsi="Arial" w:cs="Arial"/>
          <w:sz w:val="20"/>
        </w:rPr>
        <w:t>.</w:t>
      </w:r>
      <w:r w:rsidRPr="00FA3A22">
        <w:rPr>
          <w:rFonts w:ascii="Arial" w:hAnsi="Arial" w:cs="Arial"/>
          <w:sz w:val="20"/>
        </w:rPr>
        <w:t xml:space="preserve"> </w:t>
      </w:r>
      <w:commentRangeEnd w:id="1"/>
      <w:r w:rsidR="00FA3A22">
        <w:rPr>
          <w:rStyle w:val="CommentReference"/>
        </w:rPr>
        <w:commentReference w:id="1"/>
      </w:r>
    </w:p>
    <w:p w14:paraId="07666DCE" w14:textId="2163684A" w:rsidR="00B363F4" w:rsidRPr="00FA3A22" w:rsidRDefault="00B363F4" w:rsidP="00FA3A22">
      <w:pPr>
        <w:spacing w:line="240" w:lineRule="auto"/>
        <w:jc w:val="both"/>
        <w:rPr>
          <w:rFonts w:ascii="Arial" w:hAnsi="Arial" w:cs="Arial"/>
          <w:b/>
          <w:bCs/>
          <w:sz w:val="20"/>
        </w:rPr>
      </w:pPr>
      <w:r w:rsidRPr="00FA3A22">
        <w:rPr>
          <w:rFonts w:ascii="Arial" w:hAnsi="Arial" w:cs="Arial"/>
          <w:b/>
          <w:bCs/>
          <w:sz w:val="20"/>
        </w:rPr>
        <w:t>Material and methods</w:t>
      </w:r>
    </w:p>
    <w:p w14:paraId="7F8F1953" w14:textId="717DD578" w:rsidR="00B363F4" w:rsidRPr="00FA3A22" w:rsidRDefault="00B363F4" w:rsidP="00FA3A22">
      <w:pPr>
        <w:spacing w:line="240" w:lineRule="auto"/>
        <w:ind w:firstLine="720"/>
        <w:jc w:val="both"/>
        <w:rPr>
          <w:rFonts w:ascii="Arial" w:hAnsi="Arial" w:cs="Arial"/>
          <w:sz w:val="20"/>
        </w:rPr>
      </w:pPr>
      <w:r w:rsidRPr="00FA3A22">
        <w:rPr>
          <w:rFonts w:ascii="Arial" w:hAnsi="Arial" w:cs="Arial"/>
          <w:sz w:val="20"/>
        </w:rPr>
        <w:lastRenderedPageBreak/>
        <w:t xml:space="preserve">A study was conducted to identify the variation in available nutrient content in six different </w:t>
      </w:r>
      <w:r w:rsidR="00F92A7B" w:rsidRPr="00FA3A22">
        <w:rPr>
          <w:rFonts w:ascii="Arial" w:hAnsi="Arial" w:cs="Arial"/>
          <w:sz w:val="20"/>
        </w:rPr>
        <w:t>Haritha Haram</w:t>
      </w:r>
      <w:r w:rsidRPr="00FA3A22">
        <w:rPr>
          <w:rFonts w:ascii="Arial" w:hAnsi="Arial" w:cs="Arial"/>
          <w:sz w:val="20"/>
        </w:rPr>
        <w:t xml:space="preserve"> locations of Telangana state in </w:t>
      </w:r>
      <w:r w:rsidR="00836FDA" w:rsidRPr="00FA3A22">
        <w:rPr>
          <w:rFonts w:ascii="Arial" w:hAnsi="Arial" w:cs="Arial"/>
          <w:sz w:val="20"/>
        </w:rPr>
        <w:t>May</w:t>
      </w:r>
      <w:r w:rsidRPr="00FA3A22">
        <w:rPr>
          <w:rFonts w:ascii="Arial" w:hAnsi="Arial" w:cs="Arial"/>
          <w:sz w:val="20"/>
        </w:rPr>
        <w:t xml:space="preserve"> 2023 and </w:t>
      </w:r>
      <w:r w:rsidR="00836FDA" w:rsidRPr="00FA3A22">
        <w:rPr>
          <w:rFonts w:ascii="Arial" w:hAnsi="Arial" w:cs="Arial"/>
          <w:sz w:val="20"/>
        </w:rPr>
        <w:t xml:space="preserve">April </w:t>
      </w:r>
      <w:r w:rsidRPr="00FA3A22">
        <w:rPr>
          <w:rFonts w:ascii="Arial" w:hAnsi="Arial" w:cs="Arial"/>
          <w:sz w:val="20"/>
        </w:rPr>
        <w:t xml:space="preserve">2024. </w:t>
      </w:r>
      <w:r w:rsidR="00781761" w:rsidRPr="00FA3A22">
        <w:rPr>
          <w:rFonts w:ascii="Arial" w:hAnsi="Arial" w:cs="Arial"/>
          <w:sz w:val="20"/>
        </w:rPr>
        <w:t xml:space="preserve">The trees that are planted under </w:t>
      </w:r>
      <w:r w:rsidR="00F92A7B" w:rsidRPr="00FA3A22">
        <w:rPr>
          <w:rFonts w:ascii="Arial" w:hAnsi="Arial" w:cs="Arial"/>
          <w:sz w:val="20"/>
        </w:rPr>
        <w:t>Haritha Haram</w:t>
      </w:r>
      <w:r w:rsidR="00781761" w:rsidRPr="00FA3A22">
        <w:rPr>
          <w:rFonts w:ascii="Arial" w:hAnsi="Arial" w:cs="Arial"/>
          <w:sz w:val="20"/>
        </w:rPr>
        <w:t xml:space="preserve"> program varies based on the planting model adopted. Different tress such as neem, teak, peepal, banyan, tamarind, eucalyptus, </w:t>
      </w:r>
      <w:proofErr w:type="spellStart"/>
      <w:r w:rsidR="00781761" w:rsidRPr="00FA3A22">
        <w:rPr>
          <w:rFonts w:ascii="Arial" w:hAnsi="Arial" w:cs="Arial"/>
          <w:sz w:val="20"/>
        </w:rPr>
        <w:t>albizia</w:t>
      </w:r>
      <w:proofErr w:type="spellEnd"/>
      <w:r w:rsidR="00781761" w:rsidRPr="00FA3A22">
        <w:rPr>
          <w:rFonts w:ascii="Arial" w:hAnsi="Arial" w:cs="Arial"/>
          <w:sz w:val="20"/>
        </w:rPr>
        <w:t xml:space="preserve">, acacia, </w:t>
      </w:r>
      <w:proofErr w:type="spellStart"/>
      <w:r w:rsidR="00781761" w:rsidRPr="00FA3A22">
        <w:rPr>
          <w:rFonts w:ascii="Arial" w:hAnsi="Arial" w:cs="Arial"/>
          <w:sz w:val="20"/>
        </w:rPr>
        <w:t>sisso</w:t>
      </w:r>
      <w:proofErr w:type="spellEnd"/>
      <w:r w:rsidR="00781761" w:rsidRPr="00FA3A22">
        <w:rPr>
          <w:rFonts w:ascii="Arial" w:hAnsi="Arial" w:cs="Arial"/>
          <w:sz w:val="20"/>
        </w:rPr>
        <w:t xml:space="preserve">, jamun, river tamarind, </w:t>
      </w:r>
      <w:r w:rsidR="00E368CF" w:rsidRPr="00FA3A22">
        <w:rPr>
          <w:rFonts w:ascii="Arial" w:hAnsi="Arial" w:cs="Arial"/>
          <w:i/>
          <w:iCs/>
          <w:sz w:val="20"/>
        </w:rPr>
        <w:t>Gliricidia</w:t>
      </w:r>
      <w:r w:rsidR="00781761" w:rsidRPr="00FA3A22">
        <w:rPr>
          <w:rFonts w:ascii="Arial" w:hAnsi="Arial" w:cs="Arial"/>
          <w:sz w:val="20"/>
        </w:rPr>
        <w:t xml:space="preserve"> etc. are planted under Haritha Haram programme. </w:t>
      </w:r>
      <w:r w:rsidRPr="00FA3A22">
        <w:rPr>
          <w:rFonts w:ascii="Arial" w:hAnsi="Arial" w:cs="Arial"/>
          <w:sz w:val="20"/>
        </w:rPr>
        <w:t xml:space="preserve">Soil samples were collected </w:t>
      </w:r>
      <w:r w:rsidR="00477860" w:rsidRPr="00FA3A22">
        <w:rPr>
          <w:rFonts w:ascii="Arial" w:hAnsi="Arial" w:cs="Arial"/>
          <w:sz w:val="20"/>
        </w:rPr>
        <w:t xml:space="preserve">from five </w:t>
      </w:r>
      <w:r w:rsidR="00F92A7B" w:rsidRPr="00FA3A22">
        <w:rPr>
          <w:rFonts w:ascii="Arial" w:hAnsi="Arial" w:cs="Arial"/>
          <w:sz w:val="20"/>
        </w:rPr>
        <w:t>Haritha Haram</w:t>
      </w:r>
      <w:r w:rsidR="00477860" w:rsidRPr="00FA3A22">
        <w:rPr>
          <w:rFonts w:ascii="Arial" w:hAnsi="Arial" w:cs="Arial"/>
          <w:sz w:val="20"/>
        </w:rPr>
        <w:t xml:space="preserve"> locations </w:t>
      </w:r>
      <w:r w:rsidRPr="00FA3A22">
        <w:rPr>
          <w:rFonts w:ascii="Arial" w:hAnsi="Arial" w:cs="Arial"/>
          <w:sz w:val="20"/>
        </w:rPr>
        <w:t>at a depth of 0-</w:t>
      </w:r>
      <w:r w:rsidR="00193F8E" w:rsidRPr="00FA3A22">
        <w:rPr>
          <w:rFonts w:ascii="Arial" w:hAnsi="Arial" w:cs="Arial"/>
          <w:sz w:val="20"/>
        </w:rPr>
        <w:t>30</w:t>
      </w:r>
      <w:r w:rsidRPr="00FA3A22">
        <w:rPr>
          <w:rFonts w:ascii="Arial" w:hAnsi="Arial" w:cs="Arial"/>
          <w:sz w:val="20"/>
        </w:rPr>
        <w:t xml:space="preserve"> cm. The</w:t>
      </w:r>
      <w:r w:rsidR="00CF4C1B" w:rsidRPr="00FA3A22">
        <w:rPr>
          <w:rFonts w:ascii="Arial" w:hAnsi="Arial" w:cs="Arial"/>
          <w:sz w:val="20"/>
        </w:rPr>
        <w:t>se</w:t>
      </w:r>
      <w:r w:rsidRPr="00FA3A22">
        <w:rPr>
          <w:rFonts w:ascii="Arial" w:hAnsi="Arial" w:cs="Arial"/>
          <w:sz w:val="20"/>
        </w:rPr>
        <w:t xml:space="preserve"> collected soil samples were air dried during which stones, visible root fragments and other debris were removed. Each sample was then ground and sieved through both 2 mm sieve for the analysis of various parameters using standard protocols</w:t>
      </w:r>
      <w:r w:rsidR="001E29C8" w:rsidRPr="00FA3A22">
        <w:rPr>
          <w:rFonts w:ascii="Arial" w:hAnsi="Arial" w:cs="Arial"/>
          <w:sz w:val="20"/>
        </w:rPr>
        <w:t>.</w:t>
      </w:r>
    </w:p>
    <w:p w14:paraId="52199480" w14:textId="14DDD1FD" w:rsidR="00CF4C1B" w:rsidRPr="00FA3A22" w:rsidRDefault="00CF4C1B" w:rsidP="00FA3A22">
      <w:pPr>
        <w:spacing w:line="240" w:lineRule="auto"/>
        <w:ind w:firstLine="720"/>
        <w:jc w:val="both"/>
        <w:rPr>
          <w:rFonts w:ascii="Arial" w:hAnsi="Arial" w:cs="Arial"/>
          <w:sz w:val="20"/>
        </w:rPr>
      </w:pPr>
      <w:r w:rsidRPr="00FA3A22">
        <w:rPr>
          <w:rFonts w:ascii="Arial" w:hAnsi="Arial" w:cs="Arial"/>
          <w:sz w:val="20"/>
        </w:rPr>
        <w:t>The collected soil samples were analyzed for nutrient availability using standard methods. Available nitrogen was determined using the alkaline potassium permanganate method (Subbiah and Asija, 1956), with results expressed in kg ha</w:t>
      </w:r>
      <w:r w:rsidRPr="00FA3A22">
        <w:rPr>
          <w:rFonts w:ascii="Cambria Math" w:hAnsi="Cambria Math" w:cs="Cambria Math"/>
          <w:sz w:val="20"/>
        </w:rPr>
        <w:t>⁻</w:t>
      </w:r>
      <w:r w:rsidRPr="00FA3A22">
        <w:rPr>
          <w:rFonts w:ascii="Arial" w:hAnsi="Arial" w:cs="Arial"/>
          <w:sz w:val="20"/>
        </w:rPr>
        <w:t>¹. Available phosphorus content (kg ha</w:t>
      </w:r>
      <w:r w:rsidRPr="00FA3A22">
        <w:rPr>
          <w:rFonts w:ascii="Cambria Math" w:hAnsi="Cambria Math" w:cs="Cambria Math"/>
          <w:sz w:val="20"/>
        </w:rPr>
        <w:t>⁻</w:t>
      </w:r>
      <w:r w:rsidRPr="00FA3A22">
        <w:rPr>
          <w:rFonts w:ascii="Arial" w:hAnsi="Arial" w:cs="Arial"/>
          <w:sz w:val="20"/>
        </w:rPr>
        <w:t>¹) was measured following Olsen’s method (Olsen et al., 1954), while available potassium (kg ha</w:t>
      </w:r>
      <w:r w:rsidRPr="00FA3A22">
        <w:rPr>
          <w:rFonts w:ascii="Cambria Math" w:hAnsi="Cambria Math" w:cs="Cambria Math"/>
          <w:sz w:val="20"/>
        </w:rPr>
        <w:t>⁻</w:t>
      </w:r>
      <w:r w:rsidRPr="00FA3A22">
        <w:rPr>
          <w:rFonts w:ascii="Arial" w:hAnsi="Arial" w:cs="Arial"/>
          <w:sz w:val="20"/>
        </w:rPr>
        <w:t>¹) was estimated using the flame photometer method (Jackson, 1973). The micronutrients iron (Fe), copper (Cu), manganese (Mn), and zinc (Zn) were extracted using a solution containing 0.005 M Diethylene Triamine Penta Acetic Acid (DTPA), 0.01 M calcium chloride dihydrate, and 0.1 M Triethanolamine (TEA) buffered at pH 7.3 (Lindsay and Norvell, 1978). Available boron and molybdenum were extracted using the AB-DTPA method (</w:t>
      </w:r>
      <w:proofErr w:type="spellStart"/>
      <w:r w:rsidRPr="00FA3A22">
        <w:rPr>
          <w:rFonts w:ascii="Arial" w:hAnsi="Arial" w:cs="Arial"/>
          <w:sz w:val="20"/>
        </w:rPr>
        <w:t>Gestring</w:t>
      </w:r>
      <w:proofErr w:type="spellEnd"/>
      <w:r w:rsidRPr="00FA3A22">
        <w:rPr>
          <w:rFonts w:ascii="Arial" w:hAnsi="Arial" w:cs="Arial"/>
          <w:sz w:val="20"/>
        </w:rPr>
        <w:t xml:space="preserve"> and </w:t>
      </w:r>
      <w:proofErr w:type="spellStart"/>
      <w:r w:rsidRPr="00FA3A22">
        <w:rPr>
          <w:rFonts w:ascii="Arial" w:hAnsi="Arial" w:cs="Arial"/>
          <w:sz w:val="20"/>
        </w:rPr>
        <w:t>Soltanpur</w:t>
      </w:r>
      <w:proofErr w:type="spellEnd"/>
      <w:r w:rsidRPr="00FA3A22">
        <w:rPr>
          <w:rFonts w:ascii="Arial" w:hAnsi="Arial" w:cs="Arial"/>
          <w:sz w:val="20"/>
        </w:rPr>
        <w:t xml:space="preserve">, 1984) and </w:t>
      </w:r>
      <w:proofErr w:type="spellStart"/>
      <w:r w:rsidRPr="00FA3A22">
        <w:rPr>
          <w:rFonts w:ascii="Arial" w:hAnsi="Arial" w:cs="Arial"/>
          <w:sz w:val="20"/>
        </w:rPr>
        <w:t>analyzed</w:t>
      </w:r>
      <w:proofErr w:type="spellEnd"/>
      <w:r w:rsidRPr="00FA3A22">
        <w:rPr>
          <w:rFonts w:ascii="Arial" w:hAnsi="Arial" w:cs="Arial"/>
          <w:sz w:val="20"/>
        </w:rPr>
        <w:t xml:space="preserve"> through Inductively Coupled Plasma Optical Emission Spectroscopy (ICP-OES). Significant variation in nutrient content in May 2023 and April 2024 was statistically analysed by paired t test.</w:t>
      </w:r>
    </w:p>
    <w:p w14:paraId="5A7B747B" w14:textId="4FFA5848" w:rsidR="00C02712" w:rsidRPr="00FA3A22" w:rsidRDefault="006A4CEB" w:rsidP="00FA3A22">
      <w:pPr>
        <w:spacing w:line="240" w:lineRule="auto"/>
        <w:jc w:val="both"/>
        <w:rPr>
          <w:rFonts w:ascii="Arial" w:hAnsi="Arial" w:cs="Arial"/>
          <w:b/>
          <w:bCs/>
          <w:sz w:val="20"/>
          <w:lang w:val="en-US"/>
        </w:rPr>
      </w:pPr>
      <w:r w:rsidRPr="00FA3A22">
        <w:rPr>
          <w:rFonts w:ascii="Arial" w:hAnsi="Arial" w:cs="Arial"/>
          <w:b/>
          <w:bCs/>
          <w:sz w:val="20"/>
          <w:lang w:val="en-US"/>
        </w:rPr>
        <w:t>Results and Discussion</w:t>
      </w:r>
    </w:p>
    <w:p w14:paraId="19B66DA3" w14:textId="359DECA3"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Nitrogen</w:t>
      </w:r>
    </w:p>
    <w:p w14:paraId="068BF0B3" w14:textId="62F394BD" w:rsidR="0081412D" w:rsidRPr="00FA3A22" w:rsidRDefault="0081412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nitrogen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nitrogen content across these locations increased from 252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284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nitrogen content of 280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 slight increase in available nitrogen content was observed in all the locations during this period.</w:t>
      </w:r>
      <w:r w:rsidR="0024006C" w:rsidRPr="00FA3A22">
        <w:rPr>
          <w:rFonts w:ascii="Arial" w:hAnsi="Arial" w:cs="Arial"/>
          <w:color w:val="000000" w:themeColor="text1"/>
          <w:sz w:val="20"/>
        </w:rPr>
        <w:t xml:space="preserve"> The increase in available nitrogen content from May 2023 to April 2024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ecosystem might be due to continuous accumulation of large amount of organic matter in the form of leaf litter, fallen branches and decaying wood. The decomposition of this organic matter by </w:t>
      </w:r>
      <w:proofErr w:type="gramStart"/>
      <w:r w:rsidR="0024006C" w:rsidRPr="00FA3A22">
        <w:rPr>
          <w:rFonts w:ascii="Arial" w:hAnsi="Arial" w:cs="Arial"/>
          <w:color w:val="000000" w:themeColor="text1"/>
          <w:sz w:val="20"/>
        </w:rPr>
        <w:t>microbes</w:t>
      </w:r>
      <w:proofErr w:type="gramEnd"/>
      <w:r w:rsidR="0024006C" w:rsidRPr="00FA3A22">
        <w:rPr>
          <w:rFonts w:ascii="Arial" w:hAnsi="Arial" w:cs="Arial"/>
          <w:color w:val="000000" w:themeColor="text1"/>
          <w:sz w:val="20"/>
        </w:rPr>
        <w:t xml:space="preserve"> releases nitrogen into the soil (Assefa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xml:space="preserve">., 2017). </w:t>
      </w:r>
    </w:p>
    <w:p w14:paraId="5D7D9565" w14:textId="77777777" w:rsidR="00477860" w:rsidRPr="00FA3A22" w:rsidRDefault="00477860" w:rsidP="00FA3A22">
      <w:pPr>
        <w:spacing w:line="240" w:lineRule="auto"/>
        <w:jc w:val="both"/>
        <w:rPr>
          <w:rFonts w:ascii="Arial" w:hAnsi="Arial" w:cs="Arial"/>
          <w:b/>
          <w:bCs/>
          <w:sz w:val="20"/>
          <w:lang w:val="en-US"/>
        </w:rPr>
      </w:pPr>
    </w:p>
    <w:p w14:paraId="4622B1AE" w14:textId="004B22AA" w:rsidR="006A4CEB" w:rsidRPr="00FA3A22" w:rsidRDefault="0081412D" w:rsidP="00FA3A22">
      <w:pPr>
        <w:spacing w:line="240" w:lineRule="auto"/>
        <w:jc w:val="both"/>
        <w:rPr>
          <w:rFonts w:ascii="Arial" w:hAnsi="Arial" w:cs="Arial"/>
          <w:b/>
          <w:bCs/>
          <w:sz w:val="20"/>
          <w:lang w:val="en-US"/>
        </w:rPr>
      </w:pPr>
      <w:r w:rsidRPr="00FA3A22">
        <w:rPr>
          <w:rFonts w:ascii="Arial" w:hAnsi="Arial" w:cs="Arial"/>
          <w:b/>
          <w:bCs/>
          <w:sz w:val="20"/>
          <w:lang w:val="en-US"/>
        </w:rPr>
        <w:t>Available Phosphorus</w:t>
      </w:r>
    </w:p>
    <w:p w14:paraId="438756A2" w14:textId="02C805A5"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Between May 2023 and April 2024, there was a significant increase in available phosphorus content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phosphorus content across these locations increased from 41.5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44.1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Among the locations, Rajendranagar had recorded the higher levels of available phosphorus content of 48.5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and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April 2024. A slight increase in available phosphorus content was observed in all the locations during this period. </w:t>
      </w:r>
      <w:r w:rsidR="0024006C" w:rsidRPr="00FA3A22">
        <w:rPr>
          <w:rFonts w:ascii="Arial" w:hAnsi="Arial" w:cs="Arial"/>
          <w:color w:val="000000" w:themeColor="text1"/>
          <w:sz w:val="20"/>
        </w:rPr>
        <w:t xml:space="preserve">The increase in available phosphorus content in </w:t>
      </w:r>
      <w:r w:rsidR="00F92A7B" w:rsidRPr="00FA3A22">
        <w:rPr>
          <w:rFonts w:ascii="Arial" w:hAnsi="Arial" w:cs="Arial"/>
          <w:color w:val="000000" w:themeColor="text1"/>
          <w:sz w:val="20"/>
        </w:rPr>
        <w:t>Haritha Haram</w:t>
      </w:r>
      <w:r w:rsidR="0024006C" w:rsidRPr="00FA3A22">
        <w:rPr>
          <w:rFonts w:ascii="Arial" w:hAnsi="Arial" w:cs="Arial"/>
          <w:color w:val="000000" w:themeColor="text1"/>
          <w:sz w:val="20"/>
        </w:rPr>
        <w:t xml:space="preserve"> locations could be attributed to continuous accumulation of organic matter in the form of leaf litter. Additionally, microbial activity and seasonal weather conditions might have influenced phosphorus availability (Yang </w:t>
      </w:r>
      <w:r w:rsidR="0024006C" w:rsidRPr="00FA3A22">
        <w:rPr>
          <w:rFonts w:ascii="Arial" w:hAnsi="Arial" w:cs="Arial"/>
          <w:i/>
          <w:iCs/>
          <w:color w:val="000000" w:themeColor="text1"/>
          <w:sz w:val="20"/>
        </w:rPr>
        <w:t>et al</w:t>
      </w:r>
      <w:r w:rsidR="0024006C" w:rsidRPr="00FA3A22">
        <w:rPr>
          <w:rFonts w:ascii="Arial" w:hAnsi="Arial" w:cs="Arial"/>
          <w:color w:val="000000" w:themeColor="text1"/>
          <w:sz w:val="20"/>
        </w:rPr>
        <w:t>., 2019).</w:t>
      </w:r>
    </w:p>
    <w:p w14:paraId="165224E3" w14:textId="26A640DE" w:rsidR="00E47B5D" w:rsidRPr="00FA3A22" w:rsidRDefault="00E47B5D" w:rsidP="00FA3A22">
      <w:pPr>
        <w:spacing w:line="240" w:lineRule="auto"/>
        <w:jc w:val="both"/>
        <w:rPr>
          <w:rFonts w:ascii="Arial" w:hAnsi="Arial" w:cs="Arial"/>
          <w:b/>
          <w:bCs/>
          <w:sz w:val="20"/>
          <w:lang w:val="en-US"/>
        </w:rPr>
      </w:pPr>
      <w:r w:rsidRPr="00FA3A22">
        <w:rPr>
          <w:rFonts w:ascii="Arial" w:hAnsi="Arial" w:cs="Arial"/>
          <w:b/>
          <w:bCs/>
          <w:sz w:val="20"/>
          <w:lang w:val="en-US"/>
        </w:rPr>
        <w:t>Available Potassium</w:t>
      </w:r>
    </w:p>
    <w:p w14:paraId="25AD1AA8" w14:textId="65DFF52F" w:rsidR="00E47B5D" w:rsidRPr="00FA3A22" w:rsidRDefault="00E47B5D"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Available potassium content was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FA0A6B" w:rsidRPr="00FA3A22">
        <w:rPr>
          <w:rFonts w:ascii="Arial" w:hAnsi="Arial" w:cs="Arial"/>
          <w:color w:val="000000" w:themeColor="text1"/>
          <w:sz w:val="20"/>
        </w:rPr>
        <w:t xml:space="preserve"> (Table 1)</w:t>
      </w:r>
      <w:r w:rsidRPr="00FA3A22">
        <w:rPr>
          <w:rFonts w:ascii="Arial" w:hAnsi="Arial" w:cs="Arial"/>
          <w:color w:val="000000" w:themeColor="text1"/>
          <w:sz w:val="20"/>
        </w:rPr>
        <w:t>. The mean available potassium content across these locations increased from 385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May 2023 to 402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in April 2024. Rajendranagar had recorded the higher available potassium content of 418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in May 2023 and April 2024, respectively. Available potassium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Increase in available potassium content from May 2023 to April 2024 might be due to the continuous input of organic matter in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accumulation and decomposition of leaf litter, twigs, and plant residues contribute to the steady release of nutrients, including potassium into the soil. This natural recycling process enhances soil fertility and replenishes potassium reserves over time (Gaisie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2016).</w:t>
      </w:r>
    </w:p>
    <w:p w14:paraId="021D0833" w14:textId="4859B09B" w:rsidR="00FA0A6B" w:rsidRPr="00FA3A22" w:rsidRDefault="00FA0A6B" w:rsidP="00FA3A22">
      <w:pPr>
        <w:spacing w:line="240" w:lineRule="auto"/>
        <w:jc w:val="both"/>
        <w:rPr>
          <w:rFonts w:ascii="Arial" w:hAnsi="Arial" w:cs="Arial"/>
          <w:b/>
          <w:bCs/>
          <w:sz w:val="20"/>
          <w:lang w:val="en-US"/>
        </w:rPr>
      </w:pPr>
      <w:commentRangeStart w:id="3"/>
      <w:r w:rsidRPr="00FA3A22">
        <w:rPr>
          <w:rFonts w:ascii="Arial" w:hAnsi="Arial" w:cs="Arial"/>
          <w:b/>
          <w:bCs/>
          <w:sz w:val="20"/>
          <w:lang w:val="en-US"/>
        </w:rPr>
        <w:t>Micronutrients</w:t>
      </w:r>
    </w:p>
    <w:p w14:paraId="26504530" w14:textId="092483B4" w:rsidR="00FA0A6B" w:rsidRPr="00FA3A22" w:rsidRDefault="00D26515" w:rsidP="00FA3A22">
      <w:pPr>
        <w:spacing w:line="240" w:lineRule="auto"/>
        <w:ind w:firstLine="720"/>
        <w:jc w:val="both"/>
        <w:rPr>
          <w:rFonts w:ascii="Arial" w:hAnsi="Arial" w:cs="Arial"/>
          <w:sz w:val="20"/>
          <w:lang w:val="en-US"/>
        </w:rPr>
      </w:pPr>
      <w:r w:rsidRPr="00FA3A22">
        <w:rPr>
          <w:rFonts w:ascii="Arial" w:hAnsi="Arial" w:cs="Arial"/>
          <w:sz w:val="20"/>
          <w:lang w:val="en-US"/>
        </w:rPr>
        <w:lastRenderedPageBreak/>
        <w:t xml:space="preserve">Micronutrients like Fe, Cu, Mn, Zn, B and Mo concentrations were found to be increased significantly from May 2023 to April 2024 in various </w:t>
      </w:r>
      <w:r w:rsidR="00F92A7B" w:rsidRPr="00FA3A22">
        <w:rPr>
          <w:rFonts w:ascii="Arial" w:hAnsi="Arial" w:cs="Arial"/>
          <w:sz w:val="20"/>
          <w:lang w:val="en-US"/>
        </w:rPr>
        <w:t>Haritha Haram</w:t>
      </w:r>
      <w:r w:rsidRPr="00FA3A22">
        <w:rPr>
          <w:rFonts w:ascii="Arial" w:hAnsi="Arial" w:cs="Arial"/>
          <w:sz w:val="20"/>
          <w:lang w:val="en-US"/>
        </w:rPr>
        <w:t xml:space="preserve"> locations </w:t>
      </w:r>
      <w:r w:rsidRPr="00FA3A22">
        <w:rPr>
          <w:rFonts w:ascii="Arial" w:hAnsi="Arial" w:cs="Arial"/>
          <w:color w:val="000000" w:themeColor="text1"/>
          <w:sz w:val="20"/>
        </w:rPr>
        <w:t>(Table 2)</w:t>
      </w:r>
    </w:p>
    <w:p w14:paraId="6FA18995" w14:textId="5964910A" w:rsidR="006D762C" w:rsidRPr="00FA3A22" w:rsidRDefault="006D762C" w:rsidP="00FA3A22">
      <w:pPr>
        <w:spacing w:line="240" w:lineRule="auto"/>
        <w:jc w:val="both"/>
        <w:rPr>
          <w:rFonts w:ascii="Arial" w:hAnsi="Arial" w:cs="Arial"/>
          <w:b/>
          <w:bCs/>
          <w:sz w:val="20"/>
          <w:lang w:val="en-US"/>
        </w:rPr>
      </w:pPr>
      <w:r w:rsidRPr="00FA3A22">
        <w:rPr>
          <w:rFonts w:ascii="Arial" w:hAnsi="Arial" w:cs="Arial"/>
          <w:b/>
          <w:bCs/>
          <w:sz w:val="20"/>
          <w:lang w:val="en-US"/>
        </w:rPr>
        <w:t>Available Iron</w:t>
      </w:r>
    </w:p>
    <w:p w14:paraId="482DC193" w14:textId="35D92207" w:rsidR="0075006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Iron content showed an overall increase, with the mean concentration increased from 3.65 ppm in May 2023 to 3.72 ppm in April 2024. The highest Fe concentration was recorded at Rajendranagar (5.68 ppm) in April 2024, compared to 5.62 ppm in May 2023, while the lowest was at Tholkatta (2.75 ppm in April 2024 and 2.64 ppm in May 2023). </w:t>
      </w:r>
    </w:p>
    <w:p w14:paraId="529C930B" w14:textId="5627993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Copper</w:t>
      </w:r>
    </w:p>
    <w:p w14:paraId="6E923EFB" w14:textId="0534B8A7"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concentration of copper in the soil increased slightly from an initial average of 2.42 ppm in May 2023 to 2.47 ppm in April 2024. This indicates a consistent increase in copper levels across the locations. The highest Cu concentration was observed at Rajendranagar (2.88 ppm) in April 2024, compared to 2.84 ppm in May 2023, while the lowest was at Tholkatta (1.88 ppm in April 2024 and 1.84 ppm in May 2023).</w:t>
      </w:r>
    </w:p>
    <w:p w14:paraId="68E8BEFC"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Manganese</w:t>
      </w:r>
    </w:p>
    <w:p w14:paraId="7B871FB6" w14:textId="0859679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The mean manganese concentrations showed a significant increase from 7.63 ppm in May 2023 to 7.67 ppm in April 2024. The highest Mn concentration was observed at Rajendranagar (8.95 ppm) in April 2024, compared to 8.88 ppm in May 2023, while the lowest was at Tholkatta (6.45 ppm in April 2024 and 6.40 ppm in May 2023).</w:t>
      </w:r>
    </w:p>
    <w:p w14:paraId="3D20645A"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Zinc</w:t>
      </w:r>
    </w:p>
    <w:p w14:paraId="09D88521" w14:textId="1EB6988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Zinc concentration increased significantly from a mean of 1.41 ppm in May 2023 to 1.49 ppm in April 2024. The highest Zn concentration was found at Rajendranagar (1.96 ppm) in April 2024, compared to 1.87 ppm in May 2023, while the lowest was at Tholkatta (0.88 ppm in April 2024 and 0.84 ppm in May 2023).</w:t>
      </w:r>
    </w:p>
    <w:p w14:paraId="604BF3C3" w14:textId="77777777" w:rsidR="006D762C" w:rsidRPr="00FA3A22" w:rsidRDefault="006D762C" w:rsidP="00FA3A22">
      <w:pPr>
        <w:spacing w:line="240" w:lineRule="auto"/>
        <w:jc w:val="both"/>
        <w:rPr>
          <w:rFonts w:ascii="Arial" w:hAnsi="Arial" w:cs="Arial"/>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Boron</w:t>
      </w:r>
    </w:p>
    <w:p w14:paraId="5277E7C7" w14:textId="2E4320BE"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Boron concentration increased significantly, from an average of 0.51 ppm in May 2023 to 0.54 ppm in April 2024. The highest B concentration was observed at Rajendranagar (0.63 ppm) in April 2024, compared to 0.61 ppm in May 2023, while the lowest was at Tholkatta (0.48 ppm in April 2024 and 0.45 ppm in May 2023).</w:t>
      </w:r>
      <w:commentRangeEnd w:id="3"/>
      <w:r w:rsidR="00FA3A22">
        <w:rPr>
          <w:rStyle w:val="CommentReference"/>
        </w:rPr>
        <w:commentReference w:id="3"/>
      </w:r>
    </w:p>
    <w:p w14:paraId="49A3D68E" w14:textId="77777777" w:rsidR="006D762C" w:rsidRPr="00FA3A22" w:rsidRDefault="006D762C" w:rsidP="00FA3A22">
      <w:pPr>
        <w:spacing w:line="240" w:lineRule="auto"/>
        <w:jc w:val="both"/>
        <w:rPr>
          <w:rFonts w:ascii="Arial" w:hAnsi="Arial" w:cs="Arial"/>
          <w:b/>
          <w:bCs/>
          <w:color w:val="000000" w:themeColor="text1"/>
          <w:sz w:val="20"/>
        </w:rPr>
      </w:pPr>
      <w:r w:rsidRPr="00FA3A22">
        <w:rPr>
          <w:rFonts w:ascii="Arial" w:hAnsi="Arial" w:cs="Arial"/>
          <w:b/>
          <w:bCs/>
          <w:sz w:val="20"/>
          <w:lang w:val="en-US"/>
        </w:rPr>
        <w:t>Available</w:t>
      </w:r>
      <w:r w:rsidRPr="00FA3A22">
        <w:rPr>
          <w:rFonts w:ascii="Arial" w:hAnsi="Arial" w:cs="Arial"/>
          <w:b/>
          <w:bCs/>
          <w:color w:val="000000" w:themeColor="text1"/>
          <w:sz w:val="20"/>
        </w:rPr>
        <w:t xml:space="preserve"> Molybdenum </w:t>
      </w:r>
    </w:p>
    <w:p w14:paraId="5D039E40" w14:textId="40243F79" w:rsidR="006D762C" w:rsidRPr="00FA3A22" w:rsidRDefault="006D762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A significant increase in molybdenum concentration was observed between May 2023 to April 2024. The mean Mo concentration increased from 0.34 ppm in May 2023 to 0.37 ppm in April 2024. The highest Mo concentration was recorded at Rajendranagar (0.48 ppm in April 2024 and 0.45 ppm in May 2023), while the lowest was at Tholkatta (0.28 ppm in April 2024 and 0.25 ppm in May 2023).</w:t>
      </w:r>
    </w:p>
    <w:p w14:paraId="7CF52FC9" w14:textId="3C47C466" w:rsidR="005A148A" w:rsidRPr="00FA3A22" w:rsidRDefault="005A148A"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A significant increase in the micronutrients content, including Fe, Cu, Mn, Zn, B and Mo was observed between May 2023 and April 2024 in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might be due to continuous supply of leaf litter, decaying plant material, and microbial activity, leading to increased mineralization and nutrient release into the soil. The decomposition of organic matter likely contributed to the higher availability of micronutrients, particularly Fe, Cu, Mn, Zn, B, and Mo (Dhaliwal </w:t>
      </w:r>
      <w:r w:rsidRPr="00FA3A22">
        <w:rPr>
          <w:rFonts w:ascii="Arial" w:hAnsi="Arial" w:cs="Arial"/>
          <w:i/>
          <w:iCs/>
          <w:color w:val="000000" w:themeColor="text1"/>
          <w:sz w:val="20"/>
        </w:rPr>
        <w:t>et al</w:t>
      </w:r>
      <w:r w:rsidRPr="00FA3A22">
        <w:rPr>
          <w:rFonts w:ascii="Arial" w:hAnsi="Arial" w:cs="Arial"/>
          <w:color w:val="000000" w:themeColor="text1"/>
          <w:sz w:val="20"/>
        </w:rPr>
        <w:t>., 2019).</w:t>
      </w:r>
    </w:p>
    <w:p w14:paraId="55248539" w14:textId="3A8E5110" w:rsidR="0024006C" w:rsidRPr="00FA3A22" w:rsidRDefault="0024006C" w:rsidP="00FA3A22">
      <w:pPr>
        <w:spacing w:line="240" w:lineRule="auto"/>
        <w:jc w:val="both"/>
        <w:rPr>
          <w:rFonts w:ascii="Arial" w:hAnsi="Arial" w:cs="Arial"/>
          <w:b/>
          <w:bCs/>
          <w:color w:val="000000" w:themeColor="text1"/>
          <w:sz w:val="20"/>
        </w:rPr>
      </w:pPr>
      <w:r w:rsidRPr="00FA3A22">
        <w:rPr>
          <w:rFonts w:ascii="Arial" w:hAnsi="Arial" w:cs="Arial"/>
          <w:b/>
          <w:bCs/>
          <w:color w:val="000000" w:themeColor="text1"/>
          <w:sz w:val="20"/>
        </w:rPr>
        <w:t>Humic Acid and Fulvic Acid</w:t>
      </w:r>
    </w:p>
    <w:p w14:paraId="25533570" w14:textId="2441DC50" w:rsidR="00625DB3" w:rsidRPr="00FA3A22" w:rsidRDefault="0024006C"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Humic acid and fulvic acid content was significantly increased from May 2023 and April 2024 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w:t>
      </w:r>
      <w:r w:rsidR="00B6014F" w:rsidRPr="00FA3A22">
        <w:rPr>
          <w:rFonts w:ascii="Arial" w:hAnsi="Arial" w:cs="Arial"/>
          <w:color w:val="000000" w:themeColor="text1"/>
          <w:sz w:val="20"/>
        </w:rPr>
        <w:t xml:space="preserve"> (Table 3)</w:t>
      </w:r>
      <w:r w:rsidRPr="00FA3A22">
        <w:rPr>
          <w:rFonts w:ascii="Arial" w:hAnsi="Arial" w:cs="Arial"/>
          <w:color w:val="000000" w:themeColor="text1"/>
          <w:sz w:val="20"/>
        </w:rPr>
        <w:t>. The mean humic acid content across these locations increased from 1.53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1.56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Rajendranagar had recorded the higher humic acid content of 1.70 and 1.73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The mean fulvic acid content across these locations increased from 1.07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to 1.09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April 2024. Rajendranagar had recorded the higher fulvic acid content of 1.13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and 1.15 g kg</w:t>
      </w:r>
      <w:r w:rsidRPr="00FA3A22">
        <w:rPr>
          <w:rFonts w:ascii="Arial" w:hAnsi="Arial" w:cs="Arial"/>
          <w:color w:val="000000" w:themeColor="text1"/>
          <w:sz w:val="20"/>
          <w:vertAlign w:val="superscript"/>
        </w:rPr>
        <w:t>-1</w:t>
      </w:r>
      <w:r w:rsidRPr="00FA3A22">
        <w:rPr>
          <w:rFonts w:ascii="Arial" w:hAnsi="Arial" w:cs="Arial"/>
          <w:color w:val="000000" w:themeColor="text1"/>
          <w:sz w:val="20"/>
        </w:rPr>
        <w:t xml:space="preserve"> in May 2023 and April 2024, respectively. Humic acid and fulvic acid content was observed to be increased in all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locations from May 2023 to April 2024.</w:t>
      </w:r>
      <w:r w:rsidR="00CB00A1" w:rsidRPr="00FA3A22">
        <w:rPr>
          <w:rFonts w:ascii="Arial" w:hAnsi="Arial" w:cs="Arial"/>
          <w:color w:val="000000" w:themeColor="text1"/>
          <w:sz w:val="20"/>
        </w:rPr>
        <w:t xml:space="preserve"> Humic acid and fulvic acid content was also found to be increased in all the </w:t>
      </w:r>
      <w:r w:rsidR="00F92A7B" w:rsidRPr="00FA3A22">
        <w:rPr>
          <w:rFonts w:ascii="Arial" w:hAnsi="Arial" w:cs="Arial"/>
          <w:color w:val="000000" w:themeColor="text1"/>
          <w:sz w:val="20"/>
        </w:rPr>
        <w:t>Haritha Haram</w:t>
      </w:r>
      <w:r w:rsidR="00CB00A1" w:rsidRPr="00FA3A22">
        <w:rPr>
          <w:rFonts w:ascii="Arial" w:hAnsi="Arial" w:cs="Arial"/>
          <w:color w:val="000000" w:themeColor="text1"/>
          <w:sz w:val="20"/>
        </w:rPr>
        <w:t xml:space="preserve"> ecosystem. The increase in humic and fulvic acid content from May 2023 to April 2024 can be attributed to the continuous input of organic matter through leaf </w:t>
      </w:r>
      <w:r w:rsidR="00CB00A1" w:rsidRPr="00FA3A22">
        <w:rPr>
          <w:rFonts w:ascii="Arial" w:hAnsi="Arial" w:cs="Arial"/>
          <w:color w:val="000000" w:themeColor="text1"/>
          <w:sz w:val="20"/>
        </w:rPr>
        <w:lastRenderedPageBreak/>
        <w:t xml:space="preserve">litter deposition and minimal soil disturbance. The slow decomposition of lignin-rich plant residues promotes humus formation, leading to the enrichment of humic and fulvic acids (Bai </w:t>
      </w:r>
      <w:r w:rsidR="00CB00A1" w:rsidRPr="00FA3A22">
        <w:rPr>
          <w:rFonts w:ascii="Arial" w:hAnsi="Arial" w:cs="Arial"/>
          <w:i/>
          <w:iCs/>
          <w:color w:val="000000" w:themeColor="text1"/>
          <w:sz w:val="20"/>
        </w:rPr>
        <w:t>et al</w:t>
      </w:r>
      <w:r w:rsidR="00CB00A1" w:rsidRPr="00FA3A22">
        <w:rPr>
          <w:rFonts w:ascii="Arial" w:hAnsi="Arial" w:cs="Arial"/>
          <w:color w:val="000000" w:themeColor="text1"/>
          <w:sz w:val="20"/>
        </w:rPr>
        <w:t xml:space="preserve">., 2020). </w:t>
      </w:r>
    </w:p>
    <w:p w14:paraId="7C9AEBAE" w14:textId="2EF9197A" w:rsidR="00625DB3" w:rsidRPr="00FA3A22" w:rsidRDefault="00625DB3" w:rsidP="00FA3A22">
      <w:pPr>
        <w:spacing w:line="240" w:lineRule="auto"/>
        <w:jc w:val="both"/>
        <w:rPr>
          <w:rFonts w:ascii="Arial" w:hAnsi="Arial" w:cs="Arial"/>
          <w:b/>
          <w:bCs/>
          <w:color w:val="000000" w:themeColor="text1"/>
          <w:sz w:val="20"/>
        </w:rPr>
      </w:pPr>
      <w:commentRangeStart w:id="4"/>
      <w:r w:rsidRPr="00FA3A22">
        <w:rPr>
          <w:rFonts w:ascii="Arial" w:hAnsi="Arial" w:cs="Arial"/>
          <w:b/>
          <w:bCs/>
          <w:color w:val="000000" w:themeColor="text1"/>
          <w:sz w:val="20"/>
        </w:rPr>
        <w:t>Conclusions</w:t>
      </w:r>
      <w:commentRangeEnd w:id="4"/>
      <w:r w:rsidR="00FA3A22">
        <w:rPr>
          <w:rStyle w:val="CommentReference"/>
        </w:rPr>
        <w:commentReference w:id="4"/>
      </w:r>
    </w:p>
    <w:p w14:paraId="5868D9B2" w14:textId="1EA1B789" w:rsidR="00FA0A6B" w:rsidRPr="00FA3A22" w:rsidRDefault="00625DB3" w:rsidP="00FA3A22">
      <w:pPr>
        <w:spacing w:line="240" w:lineRule="auto"/>
        <w:ind w:firstLine="720"/>
        <w:jc w:val="both"/>
        <w:rPr>
          <w:rFonts w:ascii="Arial" w:hAnsi="Arial" w:cs="Arial"/>
          <w:color w:val="000000" w:themeColor="text1"/>
          <w:sz w:val="20"/>
        </w:rPr>
      </w:pPr>
      <w:r w:rsidRPr="00FA3A22">
        <w:rPr>
          <w:rFonts w:ascii="Arial" w:hAnsi="Arial" w:cs="Arial"/>
          <w:color w:val="000000" w:themeColor="text1"/>
          <w:sz w:val="20"/>
        </w:rPr>
        <w:t xml:space="preserve">The study highlights the significant improvements in soil fertility within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ecosystem due to afforestation efforts. The observed increase in available macronutrients (N, P, K) and micronutrients (Fe, Cu, Mn, Zn, B, Mo) from May 2023 to April 2024 demonstrates the positive impact of continuous organic matter accumulation and microbial decomposition. Among the studied locations, Rajendranagar recorded the highest nutrient concentrations, with available nitrogen increasing from 280 to 303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phosphorus from 48.5 to 50.4 kg ha</w:t>
      </w:r>
      <w:r w:rsidRPr="00FA3A22">
        <w:rPr>
          <w:rFonts w:ascii="Cambria Math" w:hAnsi="Cambria Math" w:cs="Cambria Math"/>
          <w:color w:val="000000" w:themeColor="text1"/>
          <w:sz w:val="20"/>
        </w:rPr>
        <w:t>⁻</w:t>
      </w:r>
      <w:r w:rsidRPr="00FA3A22">
        <w:rPr>
          <w:rFonts w:ascii="Arial" w:hAnsi="Arial" w:cs="Arial"/>
          <w:color w:val="000000" w:themeColor="text1"/>
          <w:sz w:val="20"/>
        </w:rPr>
        <w:t>¹, and potassium from 418 to 433 kg ha</w:t>
      </w:r>
      <w:r w:rsidRPr="00FA3A22">
        <w:rPr>
          <w:rFonts w:ascii="Cambria Math" w:hAnsi="Cambria Math" w:cs="Cambria Math"/>
          <w:color w:val="000000" w:themeColor="text1"/>
          <w:sz w:val="20"/>
        </w:rPr>
        <w:t>⁻</w:t>
      </w:r>
      <w:r w:rsidRPr="00FA3A22">
        <w:rPr>
          <w:rFonts w:ascii="Arial" w:hAnsi="Arial" w:cs="Arial"/>
          <w:color w:val="000000" w:themeColor="text1"/>
          <w:sz w:val="20"/>
        </w:rPr>
        <w:t xml:space="preserve">¹. Similarly, Rajendranagar exhibited the highest levels of micronutrients, including Fe (5.68 ppm), Cu (2.88 ppm), Mn (8.95 ppm), Zn (1.96 ppm), B (0.63 ppm), and Mo (0.48 ppm) in April 2024. The increase in humic and fulvic acid content further confirms enhanced organic matter dynamics, contributing to soil health and nutrient availability. These findings emphasize the role of afforestation in sustainable soil management and long-term carbon sequestration. The </w:t>
      </w:r>
      <w:r w:rsidR="00F92A7B" w:rsidRPr="00FA3A22">
        <w:rPr>
          <w:rFonts w:ascii="Arial" w:hAnsi="Arial" w:cs="Arial"/>
          <w:color w:val="000000" w:themeColor="text1"/>
          <w:sz w:val="20"/>
        </w:rPr>
        <w:t>Haritha Haram</w:t>
      </w:r>
      <w:r w:rsidRPr="00FA3A22">
        <w:rPr>
          <w:rFonts w:ascii="Arial" w:hAnsi="Arial" w:cs="Arial"/>
          <w:color w:val="000000" w:themeColor="text1"/>
          <w:sz w:val="20"/>
        </w:rPr>
        <w:t xml:space="preserve"> initiative has proven to be an effective strategy for improving soil quality, reinforcing the importance of afforestation programs in restoring degraded lands and promoting ecological balance. Future studies should focus on the long-term impacts of afforestation on soil microbial communities and nutrient cycling to optimize afforestation strategies for enhanced sustainability.</w:t>
      </w:r>
    </w:p>
    <w:p w14:paraId="483F555A" w14:textId="50182E7B" w:rsidR="00104CCA" w:rsidRPr="00FA3A22" w:rsidRDefault="00812F21" w:rsidP="00FA3A22">
      <w:pPr>
        <w:spacing w:line="240" w:lineRule="auto"/>
        <w:jc w:val="both"/>
        <w:rPr>
          <w:rFonts w:ascii="Arial" w:hAnsi="Arial" w:cs="Arial"/>
          <w:b/>
          <w:bCs/>
          <w:sz w:val="20"/>
        </w:rPr>
      </w:pPr>
      <w:commentRangeStart w:id="5"/>
      <w:r w:rsidRPr="00FA3A22">
        <w:rPr>
          <w:rFonts w:ascii="Arial" w:hAnsi="Arial" w:cs="Arial"/>
          <w:b/>
          <w:bCs/>
          <w:sz w:val="20"/>
        </w:rPr>
        <w:t xml:space="preserve">References </w:t>
      </w:r>
      <w:commentRangeEnd w:id="5"/>
      <w:r w:rsidR="00FA3A22">
        <w:rPr>
          <w:rStyle w:val="CommentReference"/>
        </w:rPr>
        <w:commentReference w:id="5"/>
      </w:r>
    </w:p>
    <w:p w14:paraId="473F1E4C"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Assefa, D., Rewald, B., </w:t>
      </w:r>
      <w:proofErr w:type="spellStart"/>
      <w:r w:rsidRPr="00FA3A22">
        <w:rPr>
          <w:rFonts w:ascii="Arial" w:hAnsi="Arial" w:cs="Arial"/>
          <w:color w:val="0D0D0D" w:themeColor="text1" w:themeTint="F2"/>
          <w:sz w:val="20"/>
        </w:rPr>
        <w:t>Sandén</w:t>
      </w:r>
      <w:proofErr w:type="spellEnd"/>
      <w:r w:rsidRPr="00FA3A22">
        <w:rPr>
          <w:rFonts w:ascii="Arial" w:hAnsi="Arial" w:cs="Arial"/>
          <w:color w:val="0D0D0D" w:themeColor="text1" w:themeTint="F2"/>
          <w:sz w:val="20"/>
        </w:rPr>
        <w:t xml:space="preserve">, H., Rosinger, C., </w:t>
      </w:r>
      <w:proofErr w:type="spellStart"/>
      <w:r w:rsidRPr="00FA3A22">
        <w:rPr>
          <w:rFonts w:ascii="Arial" w:hAnsi="Arial" w:cs="Arial"/>
          <w:color w:val="0D0D0D" w:themeColor="text1" w:themeTint="F2"/>
          <w:sz w:val="20"/>
        </w:rPr>
        <w:t>Abiyu</w:t>
      </w:r>
      <w:proofErr w:type="spellEnd"/>
      <w:r w:rsidRPr="00FA3A22">
        <w:rPr>
          <w:rFonts w:ascii="Arial" w:hAnsi="Arial" w:cs="Arial"/>
          <w:color w:val="0D0D0D" w:themeColor="text1" w:themeTint="F2"/>
          <w:sz w:val="20"/>
        </w:rPr>
        <w:t xml:space="preserve">, A., </w:t>
      </w:r>
      <w:proofErr w:type="spellStart"/>
      <w:r w:rsidRPr="00FA3A22">
        <w:rPr>
          <w:rFonts w:ascii="Arial" w:hAnsi="Arial" w:cs="Arial"/>
          <w:color w:val="0D0D0D" w:themeColor="text1" w:themeTint="F2"/>
          <w:sz w:val="20"/>
        </w:rPr>
        <w:t>Yitaferu</w:t>
      </w:r>
      <w:proofErr w:type="spellEnd"/>
      <w:r w:rsidRPr="00FA3A22">
        <w:rPr>
          <w:rFonts w:ascii="Arial" w:hAnsi="Arial" w:cs="Arial"/>
          <w:color w:val="0D0D0D" w:themeColor="text1" w:themeTint="F2"/>
          <w:sz w:val="20"/>
        </w:rPr>
        <w:t xml:space="preserve">, B and </w:t>
      </w:r>
      <w:proofErr w:type="spellStart"/>
      <w:r w:rsidRPr="00FA3A22">
        <w:rPr>
          <w:rFonts w:ascii="Arial" w:hAnsi="Arial" w:cs="Arial"/>
          <w:color w:val="0D0D0D" w:themeColor="text1" w:themeTint="F2"/>
          <w:sz w:val="20"/>
        </w:rPr>
        <w:t>Godbold</w:t>
      </w:r>
      <w:proofErr w:type="spellEnd"/>
      <w:r w:rsidRPr="00FA3A22">
        <w:rPr>
          <w:rFonts w:ascii="Arial" w:hAnsi="Arial" w:cs="Arial"/>
          <w:color w:val="0D0D0D" w:themeColor="text1" w:themeTint="F2"/>
          <w:sz w:val="20"/>
        </w:rPr>
        <w:t xml:space="preserve">, D.L. 2017. Deforestation and land use strongly effect soil organic carbon and nitrogen stock in Northwest Ethiopia.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153: 89-99.  </w:t>
      </w:r>
    </w:p>
    <w:p w14:paraId="5B7A1BF4"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Bai, X., Guo, Z., Huang, Y and An, S. 2020. Root cellulose drives soil fulvic acid carbon sequestration in the grassland restoration process. </w:t>
      </w:r>
      <w:r w:rsidRPr="00FA3A22">
        <w:rPr>
          <w:rFonts w:ascii="Arial" w:hAnsi="Arial" w:cs="Arial"/>
          <w:i/>
          <w:iCs/>
          <w:color w:val="0D0D0D" w:themeColor="text1" w:themeTint="F2"/>
          <w:sz w:val="20"/>
        </w:rPr>
        <w:t>Catena</w:t>
      </w:r>
      <w:r w:rsidRPr="00FA3A22">
        <w:rPr>
          <w:rFonts w:ascii="Arial" w:hAnsi="Arial" w:cs="Arial"/>
          <w:color w:val="0D0D0D" w:themeColor="text1" w:themeTint="F2"/>
          <w:sz w:val="20"/>
        </w:rPr>
        <w:t xml:space="preserve">. 191: 104575.  </w:t>
      </w:r>
    </w:p>
    <w:p w14:paraId="768F5161"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Dhaliwal, S.S., Naresh, R.K., Mandal, A., Singh, R and Dhaliwal, M.K. 2019. Dynamics and transformations of micronutrients in agricultural soils as influenced by organic matter build-up: A review. </w:t>
      </w:r>
      <w:r w:rsidRPr="00FA3A22">
        <w:rPr>
          <w:rFonts w:ascii="Arial" w:hAnsi="Arial" w:cs="Arial"/>
          <w:i/>
          <w:iCs/>
          <w:color w:val="0D0D0D" w:themeColor="text1" w:themeTint="F2"/>
          <w:sz w:val="20"/>
        </w:rPr>
        <w:t>Environmental and Sustainability Indicators</w:t>
      </w:r>
      <w:r w:rsidRPr="00FA3A22">
        <w:rPr>
          <w:rFonts w:ascii="Arial" w:hAnsi="Arial" w:cs="Arial"/>
          <w:color w:val="0D0D0D" w:themeColor="text1" w:themeTint="F2"/>
          <w:sz w:val="20"/>
        </w:rPr>
        <w:t xml:space="preserve">. 1: 100007.  </w:t>
      </w:r>
    </w:p>
    <w:p w14:paraId="7331EC19"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Gaisie, E., Sadick, A., Agyeman, K., Adjei-Gyapong, T and Quansah, G. 2016. Leaf decomposition and the nutrients release from multipurpose trees for crop production. </w:t>
      </w:r>
      <w:r w:rsidRPr="00FA3A22">
        <w:rPr>
          <w:rFonts w:ascii="Arial" w:hAnsi="Arial" w:cs="Arial"/>
          <w:i/>
          <w:iCs/>
          <w:color w:val="0D0D0D" w:themeColor="text1" w:themeTint="F2"/>
          <w:sz w:val="20"/>
        </w:rPr>
        <w:t>International Journal of Scientific Research in Science, Engineering and Technology</w:t>
      </w:r>
      <w:r w:rsidRPr="00FA3A22">
        <w:rPr>
          <w:rFonts w:ascii="Arial" w:hAnsi="Arial" w:cs="Arial"/>
          <w:color w:val="0D0D0D" w:themeColor="text1" w:themeTint="F2"/>
          <w:sz w:val="20"/>
        </w:rPr>
        <w:t xml:space="preserve">. 2(1): 345-352.  </w:t>
      </w:r>
    </w:p>
    <w:p w14:paraId="5D3B70A5"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proofErr w:type="spellStart"/>
      <w:r w:rsidRPr="00FA3A22">
        <w:rPr>
          <w:rFonts w:ascii="Arial" w:eastAsia="Times New Roman" w:hAnsi="Arial" w:cs="Arial"/>
          <w:color w:val="0D0D0D" w:themeColor="text1" w:themeTint="F2"/>
          <w:kern w:val="0"/>
          <w:sz w:val="20"/>
          <w:lang w:eastAsia="en-IN" w:bidi="ar-SA"/>
          <w14:ligatures w14:val="none"/>
        </w:rPr>
        <w:t>Gestring</w:t>
      </w:r>
      <w:proofErr w:type="spellEnd"/>
      <w:r w:rsidRPr="00FA3A22">
        <w:rPr>
          <w:rFonts w:ascii="Arial" w:eastAsia="Times New Roman" w:hAnsi="Arial" w:cs="Arial"/>
          <w:color w:val="0D0D0D" w:themeColor="text1" w:themeTint="F2"/>
          <w:kern w:val="0"/>
          <w:sz w:val="20"/>
          <w:lang w:eastAsia="en-IN" w:bidi="ar-SA"/>
          <w14:ligatures w14:val="none"/>
        </w:rPr>
        <w:t xml:space="preserve">, W and </w:t>
      </w:r>
      <w:proofErr w:type="spellStart"/>
      <w:r w:rsidRPr="00FA3A22">
        <w:rPr>
          <w:rFonts w:ascii="Arial" w:eastAsia="Times New Roman" w:hAnsi="Arial" w:cs="Arial"/>
          <w:color w:val="0D0D0D" w:themeColor="text1" w:themeTint="F2"/>
          <w:kern w:val="0"/>
          <w:sz w:val="20"/>
          <w:lang w:eastAsia="en-IN" w:bidi="ar-SA"/>
          <w14:ligatures w14:val="none"/>
        </w:rPr>
        <w:t>Soltanpour</w:t>
      </w:r>
      <w:proofErr w:type="spellEnd"/>
      <w:r w:rsidRPr="00FA3A22">
        <w:rPr>
          <w:rFonts w:ascii="Arial" w:eastAsia="Times New Roman" w:hAnsi="Arial" w:cs="Arial"/>
          <w:color w:val="0D0D0D" w:themeColor="text1" w:themeTint="F2"/>
          <w:kern w:val="0"/>
          <w:sz w:val="20"/>
          <w:lang w:eastAsia="en-IN" w:bidi="ar-SA"/>
          <w14:ligatures w14:val="none"/>
        </w:rPr>
        <w:t>, P.N. 1984. Evaluation of the ammonium bicarbonate</w:t>
      </w:r>
      <w:r w:rsidRPr="00FA3A22">
        <w:rPr>
          <w:rFonts w:ascii="Cambria Math" w:eastAsia="Times New Roman" w:hAnsi="Cambria Math" w:cs="Cambria Math"/>
          <w:color w:val="0D0D0D" w:themeColor="text1" w:themeTint="F2"/>
          <w:kern w:val="0"/>
          <w:sz w:val="20"/>
          <w:lang w:eastAsia="en-IN" w:bidi="ar-SA"/>
          <w14:ligatures w14:val="none"/>
        </w:rPr>
        <w:t>‐</w:t>
      </w:r>
      <w:r w:rsidRPr="00FA3A22">
        <w:rPr>
          <w:rFonts w:ascii="Arial" w:eastAsia="Times New Roman" w:hAnsi="Arial" w:cs="Arial"/>
          <w:color w:val="0D0D0D" w:themeColor="text1" w:themeTint="F2"/>
          <w:kern w:val="0"/>
          <w:sz w:val="20"/>
          <w:lang w:eastAsia="en-IN" w:bidi="ar-SA"/>
          <w14:ligatures w14:val="none"/>
        </w:rPr>
        <w:t>DTPA soil test for assessing boron availability to alfalfa. </w:t>
      </w:r>
      <w:r w:rsidRPr="00FA3A22">
        <w:rPr>
          <w:rFonts w:ascii="Arial" w:eastAsia="Times New Roman" w:hAnsi="Arial" w:cs="Arial"/>
          <w:i/>
          <w:iCs/>
          <w:color w:val="0D0D0D" w:themeColor="text1" w:themeTint="F2"/>
          <w:kern w:val="0"/>
          <w:sz w:val="20"/>
          <w:lang w:eastAsia="en-IN" w:bidi="ar-SA"/>
          <w14:ligatures w14:val="none"/>
        </w:rPr>
        <w:t>Soil Science Society of America Journal</w:t>
      </w:r>
      <w:r w:rsidRPr="00FA3A22">
        <w:rPr>
          <w:rFonts w:ascii="Arial" w:eastAsia="Times New Roman" w:hAnsi="Arial" w:cs="Arial"/>
          <w:color w:val="0D0D0D" w:themeColor="text1" w:themeTint="F2"/>
          <w:kern w:val="0"/>
          <w:sz w:val="20"/>
          <w:lang w:eastAsia="en-IN" w:bidi="ar-SA"/>
          <w14:ligatures w14:val="none"/>
        </w:rPr>
        <w:t>. 48(1): 96-100.</w:t>
      </w:r>
    </w:p>
    <w:p w14:paraId="4C5D43A1" w14:textId="77777777" w:rsidR="00CE4C23" w:rsidRPr="00FA3A22" w:rsidRDefault="00CE4C23" w:rsidP="00FA3A22">
      <w:pPr>
        <w:spacing w:after="0" w:line="240" w:lineRule="auto"/>
        <w:ind w:left="720" w:hanging="720"/>
        <w:jc w:val="both"/>
        <w:rPr>
          <w:rFonts w:ascii="Arial" w:hAnsi="Arial" w:cs="Arial"/>
          <w:sz w:val="20"/>
        </w:rPr>
      </w:pPr>
      <w:r w:rsidRPr="00FA3A22">
        <w:rPr>
          <w:rFonts w:ascii="Arial" w:hAnsi="Arial" w:cs="Arial"/>
          <w:sz w:val="20"/>
        </w:rPr>
        <w:t>Jackson, M.L. 1973. Soil chemical analysis. Prentice-Hall of India Private Limited, New Delhi</w:t>
      </w:r>
    </w:p>
    <w:p w14:paraId="30F86197"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Lindsay, W.L and Norvell, W.A. 1978. Development of DTPA soil test for zinc, iron, manganese and copper. Soil Science Society of America Journal. 42: 421-428.</w:t>
      </w:r>
    </w:p>
    <w:p w14:paraId="43C49920"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Nivethadevi, P., Swaminathan, C. and Kannan, P., 2021. Soil organic matter decomposition-roles, factors and mechanisms. </w:t>
      </w:r>
      <w:r w:rsidRPr="00FA3A22">
        <w:rPr>
          <w:rFonts w:ascii="Arial" w:hAnsi="Arial" w:cs="Arial"/>
          <w:i/>
          <w:iCs/>
          <w:color w:val="0D0D0D" w:themeColor="text1" w:themeTint="F2"/>
          <w:sz w:val="20"/>
        </w:rPr>
        <w:t>Sukul SP, ed.: Latest Trends in Soil Sciences volume 1Publisher: Integrated Publications, New Delhi</w:t>
      </w:r>
      <w:r w:rsidRPr="00FA3A22">
        <w:rPr>
          <w:rFonts w:ascii="Arial" w:hAnsi="Arial" w:cs="Arial"/>
          <w:color w:val="0D0D0D" w:themeColor="text1" w:themeTint="F2"/>
          <w:sz w:val="20"/>
        </w:rPr>
        <w:t>, </w:t>
      </w:r>
      <w:r w:rsidRPr="00FA3A22">
        <w:rPr>
          <w:rFonts w:ascii="Arial" w:hAnsi="Arial" w:cs="Arial"/>
          <w:i/>
          <w:iCs/>
          <w:color w:val="0D0D0D" w:themeColor="text1" w:themeTint="F2"/>
          <w:sz w:val="20"/>
        </w:rPr>
        <w:t>133</w:t>
      </w:r>
      <w:r w:rsidRPr="00FA3A22">
        <w:rPr>
          <w:rFonts w:ascii="Arial" w:hAnsi="Arial" w:cs="Arial"/>
          <w:color w:val="0D0D0D" w:themeColor="text1" w:themeTint="F2"/>
          <w:sz w:val="20"/>
        </w:rPr>
        <w:t>, p.61.</w:t>
      </w:r>
    </w:p>
    <w:p w14:paraId="68332E19"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Olsen, S.R., Cole, C.V., Watanabe, F.S and Dean, L.A. 1954. Estimation of available phosphorus in soils by extraction with sodium bicarbonate. Circular of United States Department of Agriculture. 939.</w:t>
      </w:r>
    </w:p>
    <w:p w14:paraId="0E7C6E3F" w14:textId="77777777" w:rsidR="00CE4C23" w:rsidRPr="00FA3A22" w:rsidRDefault="00CE4C23" w:rsidP="00FA3A22">
      <w:pPr>
        <w:spacing w:before="120" w:after="120" w:line="240" w:lineRule="auto"/>
        <w:ind w:left="720" w:hanging="720"/>
        <w:jc w:val="both"/>
        <w:rPr>
          <w:rFonts w:ascii="Arial" w:eastAsia="Times New Roman" w:hAnsi="Arial" w:cs="Arial"/>
          <w:color w:val="0D0D0D" w:themeColor="text1" w:themeTint="F2"/>
          <w:kern w:val="0"/>
          <w:sz w:val="20"/>
          <w:lang w:eastAsia="en-IN" w:bidi="ar-SA"/>
          <w14:ligatures w14:val="none"/>
        </w:rPr>
      </w:pPr>
      <w:r w:rsidRPr="00FA3A22">
        <w:rPr>
          <w:rFonts w:ascii="Arial" w:eastAsia="Times New Roman" w:hAnsi="Arial" w:cs="Arial"/>
          <w:color w:val="0D0D0D" w:themeColor="text1" w:themeTint="F2"/>
          <w:kern w:val="0"/>
          <w:sz w:val="20"/>
          <w:lang w:eastAsia="en-IN" w:bidi="ar-SA"/>
          <w14:ligatures w14:val="none"/>
        </w:rPr>
        <w:t>Subbiah, B.V and Asija, G.L. 1956. A rapid procedure for the estimation available N in the soils. Current Science. 25: 259.</w:t>
      </w:r>
    </w:p>
    <w:p w14:paraId="569E0F59" w14:textId="77777777" w:rsidR="00CE4C23" w:rsidRPr="00FA3A22" w:rsidRDefault="00CE4C23"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Yang, X., Chen, X and Yang, X. 2019. Effect of organic matter on phosphorus adsorption and desorption in a black soil from Northeast China. </w:t>
      </w:r>
      <w:r w:rsidRPr="00FA3A22">
        <w:rPr>
          <w:rFonts w:ascii="Arial" w:hAnsi="Arial" w:cs="Arial"/>
          <w:i/>
          <w:iCs/>
          <w:color w:val="0D0D0D" w:themeColor="text1" w:themeTint="F2"/>
          <w:sz w:val="20"/>
        </w:rPr>
        <w:t>Soil and Tillage Research</w:t>
      </w:r>
      <w:r w:rsidRPr="00FA3A22">
        <w:rPr>
          <w:rFonts w:ascii="Arial" w:hAnsi="Arial" w:cs="Arial"/>
          <w:color w:val="0D0D0D" w:themeColor="text1" w:themeTint="F2"/>
          <w:sz w:val="20"/>
        </w:rPr>
        <w:t xml:space="preserve">. 187: 85-91. </w:t>
      </w:r>
    </w:p>
    <w:p w14:paraId="4C0B91AA" w14:textId="5E7A2682" w:rsidR="002658B0"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1. Temporal variation in available nitrogen, available phosphorus and available   potassium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166" w:type="dxa"/>
        <w:tblLook w:val="04A0" w:firstRow="1" w:lastRow="0" w:firstColumn="1" w:lastColumn="0" w:noHBand="0" w:noVBand="1"/>
      </w:tblPr>
      <w:tblGrid>
        <w:gridCol w:w="1669"/>
        <w:gridCol w:w="1209"/>
        <w:gridCol w:w="1290"/>
        <w:gridCol w:w="1209"/>
        <w:gridCol w:w="1290"/>
        <w:gridCol w:w="1209"/>
        <w:gridCol w:w="1290"/>
      </w:tblGrid>
      <w:tr w:rsidR="00F25ADC" w:rsidRPr="00FA3A22" w14:paraId="7A6920E7" w14:textId="77777777" w:rsidTr="00F25ADC">
        <w:trPr>
          <w:trHeight w:val="299"/>
        </w:trPr>
        <w:tc>
          <w:tcPr>
            <w:tcW w:w="1669" w:type="dxa"/>
            <w:tcBorders>
              <w:top w:val="single" w:sz="4" w:space="0" w:color="auto"/>
              <w:left w:val="single" w:sz="4" w:space="0" w:color="auto"/>
              <w:bottom w:val="single" w:sz="4" w:space="0" w:color="auto"/>
              <w:right w:val="nil"/>
            </w:tcBorders>
            <w:shd w:val="clear" w:color="auto" w:fill="auto"/>
            <w:noWrap/>
            <w:vAlign w:val="center"/>
            <w:hideMark/>
          </w:tcPr>
          <w:p w14:paraId="0E5CCED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4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6A7C7"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Nitrogen</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F4931"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Phosphorus</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7DD1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Potassium</w:t>
            </w:r>
          </w:p>
        </w:tc>
      </w:tr>
      <w:tr w:rsidR="00F25ADC" w:rsidRPr="00FA3A22" w14:paraId="02F55FE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E2039A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lastRenderedPageBreak/>
              <w:t>Locations</w:t>
            </w:r>
          </w:p>
        </w:tc>
        <w:tc>
          <w:tcPr>
            <w:tcW w:w="1209" w:type="dxa"/>
            <w:tcBorders>
              <w:top w:val="nil"/>
              <w:left w:val="nil"/>
              <w:bottom w:val="single" w:sz="4" w:space="0" w:color="auto"/>
              <w:right w:val="single" w:sz="4" w:space="0" w:color="auto"/>
            </w:tcBorders>
            <w:shd w:val="clear" w:color="auto" w:fill="auto"/>
            <w:noWrap/>
            <w:vAlign w:val="center"/>
            <w:hideMark/>
          </w:tcPr>
          <w:p w14:paraId="254F84C5"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6A544A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3D4747E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729F552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209" w:type="dxa"/>
            <w:tcBorders>
              <w:top w:val="nil"/>
              <w:left w:val="nil"/>
              <w:bottom w:val="single" w:sz="4" w:space="0" w:color="auto"/>
              <w:right w:val="single" w:sz="4" w:space="0" w:color="auto"/>
            </w:tcBorders>
            <w:shd w:val="clear" w:color="auto" w:fill="auto"/>
            <w:noWrap/>
            <w:vAlign w:val="center"/>
            <w:hideMark/>
          </w:tcPr>
          <w:p w14:paraId="6592448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290" w:type="dxa"/>
            <w:tcBorders>
              <w:top w:val="nil"/>
              <w:left w:val="nil"/>
              <w:bottom w:val="single" w:sz="4" w:space="0" w:color="auto"/>
              <w:right w:val="single" w:sz="4" w:space="0" w:color="auto"/>
            </w:tcBorders>
            <w:shd w:val="clear" w:color="auto" w:fill="auto"/>
            <w:noWrap/>
            <w:vAlign w:val="center"/>
            <w:hideMark/>
          </w:tcPr>
          <w:p w14:paraId="375CECCE"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6B62421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1A6DA6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209" w:type="dxa"/>
            <w:tcBorders>
              <w:top w:val="nil"/>
              <w:left w:val="nil"/>
              <w:bottom w:val="single" w:sz="4" w:space="0" w:color="auto"/>
              <w:right w:val="single" w:sz="4" w:space="0" w:color="auto"/>
            </w:tcBorders>
            <w:shd w:val="clear" w:color="auto" w:fill="auto"/>
            <w:noWrap/>
            <w:vAlign w:val="center"/>
            <w:hideMark/>
          </w:tcPr>
          <w:p w14:paraId="7B934DF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280</w:t>
            </w:r>
          </w:p>
        </w:tc>
        <w:tc>
          <w:tcPr>
            <w:tcW w:w="1290" w:type="dxa"/>
            <w:tcBorders>
              <w:top w:val="nil"/>
              <w:left w:val="nil"/>
              <w:bottom w:val="single" w:sz="4" w:space="0" w:color="auto"/>
              <w:right w:val="single" w:sz="4" w:space="0" w:color="auto"/>
            </w:tcBorders>
            <w:shd w:val="clear" w:color="auto" w:fill="auto"/>
            <w:noWrap/>
            <w:vAlign w:val="center"/>
            <w:hideMark/>
          </w:tcPr>
          <w:p w14:paraId="5D23F9D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303</w:t>
            </w:r>
          </w:p>
        </w:tc>
        <w:tc>
          <w:tcPr>
            <w:tcW w:w="1209" w:type="dxa"/>
            <w:tcBorders>
              <w:top w:val="nil"/>
              <w:left w:val="nil"/>
              <w:bottom w:val="single" w:sz="4" w:space="0" w:color="auto"/>
              <w:right w:val="single" w:sz="4" w:space="0" w:color="auto"/>
            </w:tcBorders>
            <w:shd w:val="clear" w:color="auto" w:fill="auto"/>
            <w:noWrap/>
            <w:vAlign w:val="center"/>
            <w:hideMark/>
          </w:tcPr>
          <w:p w14:paraId="48339A2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48.5</w:t>
            </w:r>
          </w:p>
        </w:tc>
        <w:tc>
          <w:tcPr>
            <w:tcW w:w="1290" w:type="dxa"/>
            <w:tcBorders>
              <w:top w:val="nil"/>
              <w:left w:val="nil"/>
              <w:bottom w:val="single" w:sz="4" w:space="0" w:color="auto"/>
              <w:right w:val="single" w:sz="4" w:space="0" w:color="auto"/>
            </w:tcBorders>
            <w:shd w:val="clear" w:color="auto" w:fill="auto"/>
            <w:noWrap/>
            <w:vAlign w:val="center"/>
            <w:hideMark/>
          </w:tcPr>
          <w:p w14:paraId="7EAE5C4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50.4</w:t>
            </w:r>
          </w:p>
        </w:tc>
        <w:tc>
          <w:tcPr>
            <w:tcW w:w="1209" w:type="dxa"/>
            <w:tcBorders>
              <w:top w:val="nil"/>
              <w:left w:val="nil"/>
              <w:bottom w:val="single" w:sz="4" w:space="0" w:color="auto"/>
              <w:right w:val="single" w:sz="4" w:space="0" w:color="auto"/>
            </w:tcBorders>
            <w:shd w:val="clear" w:color="auto" w:fill="auto"/>
            <w:noWrap/>
            <w:vAlign w:val="center"/>
            <w:hideMark/>
          </w:tcPr>
          <w:p w14:paraId="0216146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328</w:t>
            </w:r>
          </w:p>
        </w:tc>
        <w:tc>
          <w:tcPr>
            <w:tcW w:w="1290" w:type="dxa"/>
            <w:tcBorders>
              <w:top w:val="nil"/>
              <w:left w:val="nil"/>
              <w:bottom w:val="single" w:sz="4" w:space="0" w:color="auto"/>
              <w:right w:val="single" w:sz="4" w:space="0" w:color="auto"/>
            </w:tcBorders>
            <w:shd w:val="clear" w:color="auto" w:fill="auto"/>
            <w:noWrap/>
            <w:vAlign w:val="center"/>
            <w:hideMark/>
          </w:tcPr>
          <w:p w14:paraId="2418E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335</w:t>
            </w:r>
          </w:p>
        </w:tc>
      </w:tr>
      <w:tr w:rsidR="00F25ADC" w:rsidRPr="00FA3A22" w14:paraId="5244612F"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38F3B9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209" w:type="dxa"/>
            <w:tcBorders>
              <w:top w:val="nil"/>
              <w:left w:val="nil"/>
              <w:bottom w:val="single" w:sz="4" w:space="0" w:color="auto"/>
              <w:right w:val="single" w:sz="4" w:space="0" w:color="auto"/>
            </w:tcBorders>
            <w:shd w:val="clear" w:color="auto" w:fill="auto"/>
            <w:noWrap/>
            <w:vAlign w:val="center"/>
            <w:hideMark/>
          </w:tcPr>
          <w:p w14:paraId="18EDB67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224</w:t>
            </w:r>
          </w:p>
        </w:tc>
        <w:tc>
          <w:tcPr>
            <w:tcW w:w="1290" w:type="dxa"/>
            <w:tcBorders>
              <w:top w:val="nil"/>
              <w:left w:val="nil"/>
              <w:bottom w:val="single" w:sz="4" w:space="0" w:color="auto"/>
              <w:right w:val="single" w:sz="4" w:space="0" w:color="auto"/>
            </w:tcBorders>
            <w:shd w:val="clear" w:color="auto" w:fill="auto"/>
            <w:noWrap/>
            <w:vAlign w:val="center"/>
            <w:hideMark/>
          </w:tcPr>
          <w:p w14:paraId="727CFBCB" w14:textId="7EF08438"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09" w:type="dxa"/>
            <w:tcBorders>
              <w:top w:val="nil"/>
              <w:left w:val="nil"/>
              <w:bottom w:val="single" w:sz="4" w:space="0" w:color="auto"/>
              <w:right w:val="single" w:sz="4" w:space="0" w:color="auto"/>
            </w:tcBorders>
            <w:shd w:val="clear" w:color="auto" w:fill="auto"/>
            <w:noWrap/>
            <w:vAlign w:val="center"/>
            <w:hideMark/>
          </w:tcPr>
          <w:p w14:paraId="3FD4866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33.7</w:t>
            </w:r>
          </w:p>
        </w:tc>
        <w:tc>
          <w:tcPr>
            <w:tcW w:w="1290" w:type="dxa"/>
            <w:tcBorders>
              <w:top w:val="nil"/>
              <w:left w:val="nil"/>
              <w:bottom w:val="single" w:sz="4" w:space="0" w:color="auto"/>
              <w:right w:val="single" w:sz="4" w:space="0" w:color="auto"/>
            </w:tcBorders>
            <w:shd w:val="clear" w:color="auto" w:fill="auto"/>
            <w:noWrap/>
            <w:vAlign w:val="center"/>
            <w:hideMark/>
          </w:tcPr>
          <w:p w14:paraId="5735917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35.80</w:t>
            </w:r>
          </w:p>
        </w:tc>
        <w:tc>
          <w:tcPr>
            <w:tcW w:w="1209" w:type="dxa"/>
            <w:tcBorders>
              <w:top w:val="nil"/>
              <w:left w:val="nil"/>
              <w:bottom w:val="single" w:sz="4" w:space="0" w:color="auto"/>
              <w:right w:val="single" w:sz="4" w:space="0" w:color="auto"/>
            </w:tcBorders>
            <w:shd w:val="clear" w:color="auto" w:fill="auto"/>
            <w:noWrap/>
            <w:vAlign w:val="center"/>
            <w:hideMark/>
          </w:tcPr>
          <w:p w14:paraId="3D1A26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342</w:t>
            </w:r>
          </w:p>
        </w:tc>
        <w:tc>
          <w:tcPr>
            <w:tcW w:w="1290" w:type="dxa"/>
            <w:tcBorders>
              <w:top w:val="nil"/>
              <w:left w:val="nil"/>
              <w:bottom w:val="single" w:sz="4" w:space="0" w:color="auto"/>
              <w:right w:val="single" w:sz="4" w:space="0" w:color="auto"/>
            </w:tcBorders>
            <w:shd w:val="clear" w:color="auto" w:fill="auto"/>
            <w:noWrap/>
            <w:vAlign w:val="center"/>
            <w:hideMark/>
          </w:tcPr>
          <w:p w14:paraId="2F43ACA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r>
      <w:tr w:rsidR="00F25ADC" w:rsidRPr="00FA3A22" w14:paraId="6C64F6B7"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45116F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209" w:type="dxa"/>
            <w:tcBorders>
              <w:top w:val="nil"/>
              <w:left w:val="nil"/>
              <w:bottom w:val="single" w:sz="4" w:space="0" w:color="auto"/>
              <w:right w:val="single" w:sz="4" w:space="0" w:color="auto"/>
            </w:tcBorders>
            <w:shd w:val="clear" w:color="auto" w:fill="auto"/>
            <w:noWrap/>
            <w:vAlign w:val="center"/>
            <w:hideMark/>
          </w:tcPr>
          <w:p w14:paraId="55EB32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266</w:t>
            </w:r>
          </w:p>
        </w:tc>
        <w:tc>
          <w:tcPr>
            <w:tcW w:w="1290" w:type="dxa"/>
            <w:tcBorders>
              <w:top w:val="nil"/>
              <w:left w:val="nil"/>
              <w:bottom w:val="single" w:sz="4" w:space="0" w:color="auto"/>
              <w:right w:val="single" w:sz="4" w:space="0" w:color="auto"/>
            </w:tcBorders>
            <w:shd w:val="clear" w:color="auto" w:fill="auto"/>
            <w:noWrap/>
            <w:vAlign w:val="center"/>
            <w:hideMark/>
          </w:tcPr>
          <w:p w14:paraId="3AFF8B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292</w:t>
            </w:r>
          </w:p>
        </w:tc>
        <w:tc>
          <w:tcPr>
            <w:tcW w:w="1209" w:type="dxa"/>
            <w:tcBorders>
              <w:top w:val="nil"/>
              <w:left w:val="nil"/>
              <w:bottom w:val="single" w:sz="4" w:space="0" w:color="auto"/>
              <w:right w:val="single" w:sz="4" w:space="0" w:color="auto"/>
            </w:tcBorders>
            <w:shd w:val="clear" w:color="auto" w:fill="auto"/>
            <w:noWrap/>
            <w:vAlign w:val="center"/>
            <w:hideMark/>
          </w:tcPr>
          <w:p w14:paraId="7899F79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45.8</w:t>
            </w:r>
          </w:p>
        </w:tc>
        <w:tc>
          <w:tcPr>
            <w:tcW w:w="1290" w:type="dxa"/>
            <w:tcBorders>
              <w:top w:val="nil"/>
              <w:left w:val="nil"/>
              <w:bottom w:val="single" w:sz="4" w:space="0" w:color="auto"/>
              <w:right w:val="single" w:sz="4" w:space="0" w:color="auto"/>
            </w:tcBorders>
            <w:shd w:val="clear" w:color="auto" w:fill="auto"/>
            <w:noWrap/>
            <w:vAlign w:val="center"/>
            <w:hideMark/>
          </w:tcPr>
          <w:p w14:paraId="45BB50D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49.3</w:t>
            </w:r>
          </w:p>
        </w:tc>
        <w:tc>
          <w:tcPr>
            <w:tcW w:w="1209" w:type="dxa"/>
            <w:tcBorders>
              <w:top w:val="nil"/>
              <w:left w:val="nil"/>
              <w:bottom w:val="single" w:sz="4" w:space="0" w:color="auto"/>
              <w:right w:val="single" w:sz="4" w:space="0" w:color="auto"/>
            </w:tcBorders>
            <w:shd w:val="clear" w:color="auto" w:fill="auto"/>
            <w:noWrap/>
            <w:vAlign w:val="center"/>
            <w:hideMark/>
          </w:tcPr>
          <w:p w14:paraId="3E1A0A5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356</w:t>
            </w:r>
          </w:p>
        </w:tc>
        <w:tc>
          <w:tcPr>
            <w:tcW w:w="1290" w:type="dxa"/>
            <w:tcBorders>
              <w:top w:val="nil"/>
              <w:left w:val="nil"/>
              <w:bottom w:val="single" w:sz="4" w:space="0" w:color="auto"/>
              <w:right w:val="single" w:sz="4" w:space="0" w:color="auto"/>
            </w:tcBorders>
            <w:shd w:val="clear" w:color="auto" w:fill="auto"/>
            <w:noWrap/>
            <w:vAlign w:val="center"/>
            <w:hideMark/>
          </w:tcPr>
          <w:p w14:paraId="080CC16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373</w:t>
            </w:r>
          </w:p>
        </w:tc>
      </w:tr>
      <w:tr w:rsidR="00F25ADC" w:rsidRPr="00FA3A22" w14:paraId="149B315D"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7859CA4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209" w:type="dxa"/>
            <w:tcBorders>
              <w:top w:val="nil"/>
              <w:left w:val="nil"/>
              <w:bottom w:val="single" w:sz="4" w:space="0" w:color="auto"/>
              <w:right w:val="single" w:sz="4" w:space="0" w:color="auto"/>
            </w:tcBorders>
            <w:shd w:val="clear" w:color="auto" w:fill="auto"/>
            <w:noWrap/>
            <w:vAlign w:val="center"/>
            <w:hideMark/>
          </w:tcPr>
          <w:p w14:paraId="27B30E0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253</w:t>
            </w:r>
          </w:p>
        </w:tc>
        <w:tc>
          <w:tcPr>
            <w:tcW w:w="1290" w:type="dxa"/>
            <w:tcBorders>
              <w:top w:val="nil"/>
              <w:left w:val="nil"/>
              <w:bottom w:val="single" w:sz="4" w:space="0" w:color="auto"/>
              <w:right w:val="single" w:sz="4" w:space="0" w:color="auto"/>
            </w:tcBorders>
            <w:shd w:val="clear" w:color="auto" w:fill="auto"/>
            <w:noWrap/>
            <w:vAlign w:val="center"/>
            <w:hideMark/>
          </w:tcPr>
          <w:p w14:paraId="1B2E91A4" w14:textId="47B99629"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64960B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42.3</w:t>
            </w:r>
          </w:p>
        </w:tc>
        <w:tc>
          <w:tcPr>
            <w:tcW w:w="1290" w:type="dxa"/>
            <w:tcBorders>
              <w:top w:val="nil"/>
              <w:left w:val="nil"/>
              <w:bottom w:val="single" w:sz="4" w:space="0" w:color="auto"/>
              <w:right w:val="single" w:sz="4" w:space="0" w:color="auto"/>
            </w:tcBorders>
            <w:shd w:val="clear" w:color="auto" w:fill="auto"/>
            <w:noWrap/>
            <w:vAlign w:val="center"/>
            <w:hideMark/>
          </w:tcPr>
          <w:p w14:paraId="6B4A06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44.60</w:t>
            </w:r>
          </w:p>
        </w:tc>
        <w:tc>
          <w:tcPr>
            <w:tcW w:w="1209" w:type="dxa"/>
            <w:tcBorders>
              <w:top w:val="nil"/>
              <w:left w:val="nil"/>
              <w:bottom w:val="single" w:sz="4" w:space="0" w:color="auto"/>
              <w:right w:val="single" w:sz="4" w:space="0" w:color="auto"/>
            </w:tcBorders>
            <w:shd w:val="clear" w:color="auto" w:fill="auto"/>
            <w:noWrap/>
            <w:vAlign w:val="center"/>
            <w:hideMark/>
          </w:tcPr>
          <w:p w14:paraId="11D5CD6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408</w:t>
            </w:r>
          </w:p>
        </w:tc>
        <w:tc>
          <w:tcPr>
            <w:tcW w:w="1290" w:type="dxa"/>
            <w:tcBorders>
              <w:top w:val="nil"/>
              <w:left w:val="nil"/>
              <w:bottom w:val="single" w:sz="4" w:space="0" w:color="auto"/>
              <w:right w:val="single" w:sz="4" w:space="0" w:color="auto"/>
            </w:tcBorders>
            <w:shd w:val="clear" w:color="auto" w:fill="auto"/>
            <w:noWrap/>
            <w:vAlign w:val="center"/>
            <w:hideMark/>
          </w:tcPr>
          <w:p w14:paraId="52369FB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418</w:t>
            </w:r>
          </w:p>
        </w:tc>
      </w:tr>
      <w:tr w:rsidR="00F25ADC" w:rsidRPr="00FA3A22" w14:paraId="467968A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0C1817F"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209" w:type="dxa"/>
            <w:tcBorders>
              <w:top w:val="nil"/>
              <w:left w:val="nil"/>
              <w:bottom w:val="single" w:sz="4" w:space="0" w:color="auto"/>
              <w:right w:val="single" w:sz="4" w:space="0" w:color="auto"/>
            </w:tcBorders>
            <w:shd w:val="clear" w:color="auto" w:fill="auto"/>
            <w:noWrap/>
            <w:vAlign w:val="center"/>
            <w:hideMark/>
          </w:tcPr>
          <w:p w14:paraId="3A91AE4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238</w:t>
            </w:r>
          </w:p>
        </w:tc>
        <w:tc>
          <w:tcPr>
            <w:tcW w:w="1290" w:type="dxa"/>
            <w:tcBorders>
              <w:top w:val="nil"/>
              <w:left w:val="nil"/>
              <w:bottom w:val="single" w:sz="4" w:space="0" w:color="auto"/>
              <w:right w:val="single" w:sz="4" w:space="0" w:color="auto"/>
            </w:tcBorders>
            <w:shd w:val="clear" w:color="auto" w:fill="auto"/>
            <w:noWrap/>
            <w:vAlign w:val="center"/>
            <w:hideMark/>
          </w:tcPr>
          <w:p w14:paraId="01D74B5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275</w:t>
            </w:r>
          </w:p>
        </w:tc>
        <w:tc>
          <w:tcPr>
            <w:tcW w:w="1209" w:type="dxa"/>
            <w:tcBorders>
              <w:top w:val="nil"/>
              <w:left w:val="nil"/>
              <w:bottom w:val="single" w:sz="4" w:space="0" w:color="auto"/>
              <w:right w:val="single" w:sz="4" w:space="0" w:color="auto"/>
            </w:tcBorders>
            <w:shd w:val="clear" w:color="auto" w:fill="auto"/>
            <w:noWrap/>
            <w:vAlign w:val="center"/>
            <w:hideMark/>
          </w:tcPr>
          <w:p w14:paraId="3B71D38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37.4</w:t>
            </w:r>
          </w:p>
        </w:tc>
        <w:tc>
          <w:tcPr>
            <w:tcW w:w="1290" w:type="dxa"/>
            <w:tcBorders>
              <w:top w:val="nil"/>
              <w:left w:val="nil"/>
              <w:bottom w:val="single" w:sz="4" w:space="0" w:color="auto"/>
              <w:right w:val="single" w:sz="4" w:space="0" w:color="auto"/>
            </w:tcBorders>
            <w:shd w:val="clear" w:color="auto" w:fill="auto"/>
            <w:noWrap/>
            <w:vAlign w:val="center"/>
            <w:hideMark/>
          </w:tcPr>
          <w:p w14:paraId="18CD694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40.5</w:t>
            </w:r>
          </w:p>
        </w:tc>
        <w:tc>
          <w:tcPr>
            <w:tcW w:w="1209" w:type="dxa"/>
            <w:tcBorders>
              <w:top w:val="nil"/>
              <w:left w:val="nil"/>
              <w:bottom w:val="single" w:sz="4" w:space="0" w:color="auto"/>
              <w:right w:val="single" w:sz="4" w:space="0" w:color="auto"/>
            </w:tcBorders>
            <w:shd w:val="clear" w:color="auto" w:fill="auto"/>
            <w:noWrap/>
            <w:vAlign w:val="center"/>
            <w:hideMark/>
          </w:tcPr>
          <w:p w14:paraId="1B4C4A8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382</w:t>
            </w:r>
          </w:p>
        </w:tc>
        <w:tc>
          <w:tcPr>
            <w:tcW w:w="1290" w:type="dxa"/>
            <w:tcBorders>
              <w:top w:val="nil"/>
              <w:left w:val="nil"/>
              <w:bottom w:val="single" w:sz="4" w:space="0" w:color="auto"/>
              <w:right w:val="single" w:sz="4" w:space="0" w:color="auto"/>
            </w:tcBorders>
            <w:shd w:val="clear" w:color="auto" w:fill="auto"/>
            <w:noWrap/>
            <w:vAlign w:val="center"/>
            <w:hideMark/>
          </w:tcPr>
          <w:p w14:paraId="58D38A9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395</w:t>
            </w:r>
          </w:p>
        </w:tc>
      </w:tr>
      <w:tr w:rsidR="00F25ADC" w:rsidRPr="00FA3A22" w14:paraId="7FD62F54"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3AB08A5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209" w:type="dxa"/>
            <w:tcBorders>
              <w:top w:val="nil"/>
              <w:left w:val="nil"/>
              <w:bottom w:val="single" w:sz="4" w:space="0" w:color="auto"/>
              <w:right w:val="single" w:sz="4" w:space="0" w:color="auto"/>
            </w:tcBorders>
            <w:shd w:val="clear" w:color="auto" w:fill="auto"/>
            <w:noWrap/>
            <w:vAlign w:val="center"/>
            <w:hideMark/>
          </w:tcPr>
          <w:p w14:paraId="21B6E90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252</w:t>
            </w:r>
          </w:p>
        </w:tc>
        <w:tc>
          <w:tcPr>
            <w:tcW w:w="1290" w:type="dxa"/>
            <w:tcBorders>
              <w:top w:val="nil"/>
              <w:left w:val="nil"/>
              <w:bottom w:val="single" w:sz="4" w:space="0" w:color="auto"/>
              <w:right w:val="single" w:sz="4" w:space="0" w:color="auto"/>
            </w:tcBorders>
            <w:shd w:val="clear" w:color="auto" w:fill="auto"/>
            <w:noWrap/>
            <w:vAlign w:val="center"/>
            <w:hideMark/>
          </w:tcPr>
          <w:p w14:paraId="0116230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284</w:t>
            </w:r>
          </w:p>
        </w:tc>
        <w:tc>
          <w:tcPr>
            <w:tcW w:w="1209" w:type="dxa"/>
            <w:tcBorders>
              <w:top w:val="nil"/>
              <w:left w:val="nil"/>
              <w:bottom w:val="single" w:sz="4" w:space="0" w:color="auto"/>
              <w:right w:val="single" w:sz="4" w:space="0" w:color="auto"/>
            </w:tcBorders>
            <w:shd w:val="clear" w:color="auto" w:fill="auto"/>
            <w:noWrap/>
            <w:vAlign w:val="center"/>
            <w:hideMark/>
          </w:tcPr>
          <w:p w14:paraId="4949D46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41.5</w:t>
            </w:r>
          </w:p>
        </w:tc>
        <w:tc>
          <w:tcPr>
            <w:tcW w:w="1290" w:type="dxa"/>
            <w:tcBorders>
              <w:top w:val="nil"/>
              <w:left w:val="nil"/>
              <w:bottom w:val="single" w:sz="4" w:space="0" w:color="auto"/>
              <w:right w:val="single" w:sz="4" w:space="0" w:color="auto"/>
            </w:tcBorders>
            <w:shd w:val="clear" w:color="auto" w:fill="auto"/>
            <w:noWrap/>
            <w:vAlign w:val="center"/>
            <w:hideMark/>
          </w:tcPr>
          <w:p w14:paraId="3067252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44.1</w:t>
            </w:r>
          </w:p>
        </w:tc>
        <w:tc>
          <w:tcPr>
            <w:tcW w:w="1209" w:type="dxa"/>
            <w:tcBorders>
              <w:top w:val="nil"/>
              <w:left w:val="nil"/>
              <w:bottom w:val="single" w:sz="4" w:space="0" w:color="auto"/>
              <w:right w:val="single" w:sz="4" w:space="0" w:color="auto"/>
            </w:tcBorders>
            <w:shd w:val="clear" w:color="auto" w:fill="auto"/>
            <w:noWrap/>
            <w:vAlign w:val="center"/>
            <w:hideMark/>
          </w:tcPr>
          <w:p w14:paraId="0008258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363</w:t>
            </w:r>
          </w:p>
        </w:tc>
        <w:tc>
          <w:tcPr>
            <w:tcW w:w="1290" w:type="dxa"/>
            <w:tcBorders>
              <w:top w:val="nil"/>
              <w:left w:val="nil"/>
              <w:bottom w:val="single" w:sz="4" w:space="0" w:color="auto"/>
              <w:right w:val="single" w:sz="4" w:space="0" w:color="auto"/>
            </w:tcBorders>
            <w:shd w:val="clear" w:color="auto" w:fill="auto"/>
            <w:noWrap/>
            <w:vAlign w:val="center"/>
            <w:hideMark/>
          </w:tcPr>
          <w:p w14:paraId="53946AE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375</w:t>
            </w:r>
          </w:p>
        </w:tc>
      </w:tr>
      <w:tr w:rsidR="00F25ADC" w:rsidRPr="00FA3A22" w14:paraId="147A090B"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56E2AA5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209" w:type="dxa"/>
            <w:tcBorders>
              <w:top w:val="nil"/>
              <w:left w:val="nil"/>
              <w:bottom w:val="single" w:sz="4" w:space="0" w:color="auto"/>
              <w:right w:val="single" w:sz="4" w:space="0" w:color="auto"/>
            </w:tcBorders>
            <w:shd w:val="clear" w:color="auto" w:fill="auto"/>
            <w:noWrap/>
            <w:vAlign w:val="center"/>
            <w:hideMark/>
          </w:tcPr>
          <w:p w14:paraId="50ACC8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9.13</w:t>
            </w:r>
          </w:p>
        </w:tc>
        <w:tc>
          <w:tcPr>
            <w:tcW w:w="1290" w:type="dxa"/>
            <w:tcBorders>
              <w:top w:val="nil"/>
              <w:left w:val="nil"/>
              <w:bottom w:val="single" w:sz="4" w:space="0" w:color="auto"/>
              <w:right w:val="single" w:sz="4" w:space="0" w:color="auto"/>
            </w:tcBorders>
            <w:shd w:val="clear" w:color="auto" w:fill="auto"/>
            <w:noWrap/>
            <w:vAlign w:val="center"/>
            <w:hideMark/>
          </w:tcPr>
          <w:p w14:paraId="0F96D558" w14:textId="7F9C518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288337B5"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8.40</w:t>
            </w:r>
          </w:p>
        </w:tc>
        <w:tc>
          <w:tcPr>
            <w:tcW w:w="1290" w:type="dxa"/>
            <w:tcBorders>
              <w:top w:val="nil"/>
              <w:left w:val="nil"/>
              <w:bottom w:val="single" w:sz="4" w:space="0" w:color="auto"/>
              <w:right w:val="single" w:sz="4" w:space="0" w:color="auto"/>
            </w:tcBorders>
            <w:shd w:val="clear" w:color="auto" w:fill="auto"/>
            <w:noWrap/>
            <w:vAlign w:val="center"/>
            <w:hideMark/>
          </w:tcPr>
          <w:p w14:paraId="4CFCF112" w14:textId="2AF041B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EB922F9"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7.12</w:t>
            </w:r>
          </w:p>
        </w:tc>
        <w:tc>
          <w:tcPr>
            <w:tcW w:w="1290" w:type="dxa"/>
            <w:tcBorders>
              <w:top w:val="nil"/>
              <w:left w:val="nil"/>
              <w:bottom w:val="single" w:sz="4" w:space="0" w:color="auto"/>
              <w:right w:val="single" w:sz="4" w:space="0" w:color="auto"/>
            </w:tcBorders>
            <w:shd w:val="clear" w:color="auto" w:fill="auto"/>
            <w:noWrap/>
            <w:vAlign w:val="center"/>
            <w:hideMark/>
          </w:tcPr>
          <w:p w14:paraId="3F7F5F5B" w14:textId="5E16FB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r w:rsidR="00F25ADC" w:rsidRPr="00FA3A22" w14:paraId="392BF626" w14:textId="77777777" w:rsidTr="00F25ADC">
        <w:trPr>
          <w:trHeight w:val="299"/>
        </w:trPr>
        <w:tc>
          <w:tcPr>
            <w:tcW w:w="1669" w:type="dxa"/>
            <w:tcBorders>
              <w:top w:val="nil"/>
              <w:left w:val="single" w:sz="4" w:space="0" w:color="auto"/>
              <w:bottom w:val="single" w:sz="4" w:space="0" w:color="auto"/>
              <w:right w:val="single" w:sz="4" w:space="0" w:color="auto"/>
            </w:tcBorders>
            <w:shd w:val="clear" w:color="auto" w:fill="auto"/>
            <w:noWrap/>
            <w:vAlign w:val="center"/>
            <w:hideMark/>
          </w:tcPr>
          <w:p w14:paraId="28B99C73"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209" w:type="dxa"/>
            <w:tcBorders>
              <w:top w:val="nil"/>
              <w:left w:val="nil"/>
              <w:bottom w:val="single" w:sz="4" w:space="0" w:color="auto"/>
              <w:right w:val="single" w:sz="4" w:space="0" w:color="auto"/>
            </w:tcBorders>
            <w:shd w:val="clear" w:color="auto" w:fill="auto"/>
            <w:noWrap/>
            <w:vAlign w:val="center"/>
            <w:hideMark/>
          </w:tcPr>
          <w:p w14:paraId="73B3BD1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516B23D4" w14:textId="32BD2EC9"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164A66A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3F506743" w14:textId="1EB8915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9" w:type="dxa"/>
            <w:tcBorders>
              <w:top w:val="nil"/>
              <w:left w:val="nil"/>
              <w:bottom w:val="single" w:sz="4" w:space="0" w:color="auto"/>
              <w:right w:val="single" w:sz="4" w:space="0" w:color="auto"/>
            </w:tcBorders>
            <w:shd w:val="clear" w:color="auto" w:fill="auto"/>
            <w:noWrap/>
            <w:vAlign w:val="center"/>
            <w:hideMark/>
          </w:tcPr>
          <w:p w14:paraId="0A964C56"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90" w:type="dxa"/>
            <w:tcBorders>
              <w:top w:val="nil"/>
              <w:left w:val="nil"/>
              <w:bottom w:val="single" w:sz="4" w:space="0" w:color="auto"/>
              <w:right w:val="single" w:sz="4" w:space="0" w:color="auto"/>
            </w:tcBorders>
            <w:shd w:val="clear" w:color="auto" w:fill="auto"/>
            <w:noWrap/>
            <w:vAlign w:val="center"/>
            <w:hideMark/>
          </w:tcPr>
          <w:p w14:paraId="42FB2E4C" w14:textId="29AC728D"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r>
    </w:tbl>
    <w:p w14:paraId="7909F65E" w14:textId="77777777" w:rsidR="00F25ADC" w:rsidRPr="00FA3A22" w:rsidRDefault="00F25ADC" w:rsidP="00FA3A22">
      <w:pPr>
        <w:spacing w:line="240" w:lineRule="auto"/>
        <w:ind w:left="720" w:hanging="720"/>
        <w:jc w:val="both"/>
        <w:rPr>
          <w:rFonts w:ascii="Arial" w:hAnsi="Arial" w:cs="Arial"/>
          <w:color w:val="0D0D0D" w:themeColor="text1" w:themeTint="F2"/>
          <w:sz w:val="20"/>
        </w:rPr>
      </w:pPr>
    </w:p>
    <w:p w14:paraId="67A027C9" w14:textId="77FA9980" w:rsidR="00B7272D" w:rsidRPr="00FA3A22" w:rsidRDefault="00B7272D"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2. Temporal variation in available iron, copper, manganese, zinc, boron and molybdenum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9610" w:type="dxa"/>
        <w:tblLook w:val="04A0" w:firstRow="1" w:lastRow="0" w:firstColumn="1" w:lastColumn="0" w:noHBand="0" w:noVBand="1"/>
      </w:tblPr>
      <w:tblGrid>
        <w:gridCol w:w="1659"/>
        <w:gridCol w:w="1127"/>
        <w:gridCol w:w="1177"/>
        <w:gridCol w:w="1201"/>
        <w:gridCol w:w="1255"/>
        <w:gridCol w:w="1562"/>
        <w:gridCol w:w="1629"/>
      </w:tblGrid>
      <w:tr w:rsidR="00F25ADC" w:rsidRPr="00FA3A22" w14:paraId="66EF3545" w14:textId="77777777" w:rsidTr="001842C2">
        <w:trPr>
          <w:trHeight w:val="361"/>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2A34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CCE337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iron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98DB7B" w14:textId="26AFB5E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Copper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28DE92" w14:textId="662B502D"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Manganese (ppm)</w:t>
            </w:r>
          </w:p>
        </w:tc>
      </w:tr>
      <w:tr w:rsidR="00F25ADC" w:rsidRPr="00FA3A22" w14:paraId="213D61E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1DB74AF"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5B17FE2B"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177" w:type="dxa"/>
            <w:tcBorders>
              <w:top w:val="nil"/>
              <w:left w:val="nil"/>
              <w:bottom w:val="single" w:sz="4" w:space="0" w:color="auto"/>
              <w:right w:val="single" w:sz="4" w:space="0" w:color="auto"/>
            </w:tcBorders>
            <w:shd w:val="clear" w:color="auto" w:fill="auto"/>
            <w:noWrap/>
            <w:vAlign w:val="center"/>
            <w:hideMark/>
          </w:tcPr>
          <w:p w14:paraId="427E91FD" w14:textId="39319485"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c>
          <w:tcPr>
            <w:tcW w:w="1201" w:type="dxa"/>
            <w:tcBorders>
              <w:top w:val="nil"/>
              <w:left w:val="nil"/>
              <w:bottom w:val="single" w:sz="4" w:space="0" w:color="auto"/>
              <w:right w:val="single" w:sz="4" w:space="0" w:color="auto"/>
            </w:tcBorders>
            <w:shd w:val="clear" w:color="auto" w:fill="auto"/>
            <w:noWrap/>
            <w:vAlign w:val="center"/>
            <w:hideMark/>
          </w:tcPr>
          <w:p w14:paraId="0CB363A4"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255" w:type="dxa"/>
            <w:tcBorders>
              <w:top w:val="nil"/>
              <w:left w:val="nil"/>
              <w:bottom w:val="single" w:sz="4" w:space="0" w:color="auto"/>
              <w:right w:val="single" w:sz="4" w:space="0" w:color="auto"/>
            </w:tcBorders>
            <w:shd w:val="clear" w:color="auto" w:fill="auto"/>
            <w:noWrap/>
            <w:vAlign w:val="center"/>
            <w:hideMark/>
          </w:tcPr>
          <w:p w14:paraId="59023E0D" w14:textId="3E1B90BA"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c>
          <w:tcPr>
            <w:tcW w:w="1562" w:type="dxa"/>
            <w:tcBorders>
              <w:top w:val="nil"/>
              <w:left w:val="nil"/>
              <w:bottom w:val="single" w:sz="4" w:space="0" w:color="auto"/>
              <w:right w:val="single" w:sz="4" w:space="0" w:color="auto"/>
            </w:tcBorders>
            <w:shd w:val="clear" w:color="auto" w:fill="auto"/>
            <w:noWrap/>
            <w:vAlign w:val="center"/>
            <w:hideMark/>
          </w:tcPr>
          <w:p w14:paraId="461370C2"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629" w:type="dxa"/>
            <w:tcBorders>
              <w:top w:val="nil"/>
              <w:left w:val="nil"/>
              <w:bottom w:val="single" w:sz="4" w:space="0" w:color="auto"/>
              <w:right w:val="single" w:sz="4" w:space="0" w:color="auto"/>
            </w:tcBorders>
            <w:shd w:val="clear" w:color="auto" w:fill="auto"/>
            <w:noWrap/>
            <w:vAlign w:val="center"/>
            <w:hideMark/>
          </w:tcPr>
          <w:p w14:paraId="72D99BDD" w14:textId="428C0450"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r>
      <w:tr w:rsidR="00AD12D1" w:rsidRPr="00FA3A22" w14:paraId="1D43F56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AE09A21"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bottom"/>
          </w:tcPr>
          <w:p w14:paraId="2585AFF8" w14:textId="052F5FC4"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5.62</w:t>
            </w:r>
          </w:p>
        </w:tc>
        <w:tc>
          <w:tcPr>
            <w:tcW w:w="1177" w:type="dxa"/>
            <w:tcBorders>
              <w:top w:val="nil"/>
              <w:left w:val="nil"/>
              <w:bottom w:val="single" w:sz="4" w:space="0" w:color="auto"/>
              <w:right w:val="single" w:sz="4" w:space="0" w:color="auto"/>
            </w:tcBorders>
            <w:shd w:val="clear" w:color="auto" w:fill="auto"/>
            <w:noWrap/>
            <w:vAlign w:val="bottom"/>
          </w:tcPr>
          <w:p w14:paraId="14BC779E" w14:textId="057993E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5.68</w:t>
            </w:r>
          </w:p>
        </w:tc>
        <w:tc>
          <w:tcPr>
            <w:tcW w:w="1201" w:type="dxa"/>
            <w:tcBorders>
              <w:top w:val="nil"/>
              <w:left w:val="nil"/>
              <w:bottom w:val="single" w:sz="4" w:space="0" w:color="auto"/>
              <w:right w:val="single" w:sz="4" w:space="0" w:color="auto"/>
            </w:tcBorders>
            <w:shd w:val="clear" w:color="auto" w:fill="auto"/>
            <w:noWrap/>
            <w:vAlign w:val="center"/>
            <w:hideMark/>
          </w:tcPr>
          <w:p w14:paraId="1D45968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2.84</w:t>
            </w:r>
          </w:p>
        </w:tc>
        <w:tc>
          <w:tcPr>
            <w:tcW w:w="1255" w:type="dxa"/>
            <w:tcBorders>
              <w:top w:val="nil"/>
              <w:left w:val="nil"/>
              <w:bottom w:val="single" w:sz="4" w:space="0" w:color="auto"/>
              <w:right w:val="single" w:sz="4" w:space="0" w:color="auto"/>
            </w:tcBorders>
            <w:shd w:val="clear" w:color="auto" w:fill="auto"/>
            <w:noWrap/>
            <w:vAlign w:val="center"/>
            <w:hideMark/>
          </w:tcPr>
          <w:p w14:paraId="11AD9B3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2.88</w:t>
            </w:r>
          </w:p>
        </w:tc>
        <w:tc>
          <w:tcPr>
            <w:tcW w:w="1562" w:type="dxa"/>
            <w:tcBorders>
              <w:top w:val="nil"/>
              <w:left w:val="nil"/>
              <w:bottom w:val="single" w:sz="4" w:space="0" w:color="auto"/>
              <w:right w:val="single" w:sz="4" w:space="0" w:color="auto"/>
            </w:tcBorders>
            <w:shd w:val="clear" w:color="auto" w:fill="auto"/>
            <w:noWrap/>
            <w:vAlign w:val="center"/>
            <w:hideMark/>
          </w:tcPr>
          <w:p w14:paraId="4C28F1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8.88</w:t>
            </w:r>
          </w:p>
        </w:tc>
        <w:tc>
          <w:tcPr>
            <w:tcW w:w="1629" w:type="dxa"/>
            <w:tcBorders>
              <w:top w:val="nil"/>
              <w:left w:val="nil"/>
              <w:bottom w:val="single" w:sz="4" w:space="0" w:color="auto"/>
              <w:right w:val="single" w:sz="4" w:space="0" w:color="auto"/>
            </w:tcBorders>
            <w:shd w:val="clear" w:color="auto" w:fill="auto"/>
            <w:noWrap/>
            <w:vAlign w:val="center"/>
            <w:hideMark/>
          </w:tcPr>
          <w:p w14:paraId="59C60894"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8.95</w:t>
            </w:r>
          </w:p>
        </w:tc>
      </w:tr>
      <w:tr w:rsidR="00AD12D1" w:rsidRPr="00FA3A22" w14:paraId="146432B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329350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bottom"/>
          </w:tcPr>
          <w:p w14:paraId="6EE3F627" w14:textId="242B08F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2.64</w:t>
            </w:r>
          </w:p>
        </w:tc>
        <w:tc>
          <w:tcPr>
            <w:tcW w:w="1177" w:type="dxa"/>
            <w:tcBorders>
              <w:top w:val="nil"/>
              <w:left w:val="nil"/>
              <w:bottom w:val="single" w:sz="4" w:space="0" w:color="auto"/>
              <w:right w:val="single" w:sz="4" w:space="0" w:color="auto"/>
            </w:tcBorders>
            <w:shd w:val="clear" w:color="auto" w:fill="auto"/>
            <w:noWrap/>
            <w:vAlign w:val="bottom"/>
          </w:tcPr>
          <w:p w14:paraId="3A67213E" w14:textId="22049B1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2.75</w:t>
            </w:r>
          </w:p>
        </w:tc>
        <w:tc>
          <w:tcPr>
            <w:tcW w:w="1201" w:type="dxa"/>
            <w:tcBorders>
              <w:top w:val="nil"/>
              <w:left w:val="nil"/>
              <w:bottom w:val="single" w:sz="4" w:space="0" w:color="auto"/>
              <w:right w:val="single" w:sz="4" w:space="0" w:color="auto"/>
            </w:tcBorders>
            <w:shd w:val="clear" w:color="auto" w:fill="auto"/>
            <w:noWrap/>
            <w:vAlign w:val="center"/>
            <w:hideMark/>
          </w:tcPr>
          <w:p w14:paraId="217310B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1.84</w:t>
            </w:r>
          </w:p>
        </w:tc>
        <w:tc>
          <w:tcPr>
            <w:tcW w:w="1255" w:type="dxa"/>
            <w:tcBorders>
              <w:top w:val="nil"/>
              <w:left w:val="nil"/>
              <w:bottom w:val="single" w:sz="4" w:space="0" w:color="auto"/>
              <w:right w:val="single" w:sz="4" w:space="0" w:color="auto"/>
            </w:tcBorders>
            <w:shd w:val="clear" w:color="auto" w:fill="auto"/>
            <w:noWrap/>
            <w:vAlign w:val="center"/>
            <w:hideMark/>
          </w:tcPr>
          <w:p w14:paraId="56559B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1.88</w:t>
            </w:r>
          </w:p>
        </w:tc>
        <w:tc>
          <w:tcPr>
            <w:tcW w:w="1562" w:type="dxa"/>
            <w:tcBorders>
              <w:top w:val="nil"/>
              <w:left w:val="nil"/>
              <w:bottom w:val="single" w:sz="4" w:space="0" w:color="auto"/>
              <w:right w:val="single" w:sz="4" w:space="0" w:color="auto"/>
            </w:tcBorders>
            <w:shd w:val="clear" w:color="auto" w:fill="auto"/>
            <w:noWrap/>
            <w:vAlign w:val="center"/>
            <w:hideMark/>
          </w:tcPr>
          <w:p w14:paraId="2D2E942B"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w:t>
            </w:r>
          </w:p>
        </w:tc>
        <w:tc>
          <w:tcPr>
            <w:tcW w:w="1629" w:type="dxa"/>
            <w:tcBorders>
              <w:top w:val="nil"/>
              <w:left w:val="nil"/>
              <w:bottom w:val="single" w:sz="4" w:space="0" w:color="auto"/>
              <w:right w:val="single" w:sz="4" w:space="0" w:color="auto"/>
            </w:tcBorders>
            <w:shd w:val="clear" w:color="auto" w:fill="auto"/>
            <w:noWrap/>
            <w:vAlign w:val="center"/>
            <w:hideMark/>
          </w:tcPr>
          <w:p w14:paraId="6EF6FD6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6.45</w:t>
            </w:r>
          </w:p>
        </w:tc>
      </w:tr>
      <w:tr w:rsidR="00AD12D1" w:rsidRPr="00FA3A22" w14:paraId="1FA51FB8"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2FA1EF2"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bottom"/>
          </w:tcPr>
          <w:p w14:paraId="308217E9" w14:textId="25BF9322"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4.36</w:t>
            </w:r>
          </w:p>
        </w:tc>
        <w:tc>
          <w:tcPr>
            <w:tcW w:w="1177" w:type="dxa"/>
            <w:tcBorders>
              <w:top w:val="nil"/>
              <w:left w:val="nil"/>
              <w:bottom w:val="single" w:sz="4" w:space="0" w:color="auto"/>
              <w:right w:val="single" w:sz="4" w:space="0" w:color="auto"/>
            </w:tcBorders>
            <w:shd w:val="clear" w:color="auto" w:fill="auto"/>
            <w:noWrap/>
            <w:vAlign w:val="bottom"/>
          </w:tcPr>
          <w:p w14:paraId="09DC1200" w14:textId="417C52E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4.41</w:t>
            </w:r>
          </w:p>
        </w:tc>
        <w:tc>
          <w:tcPr>
            <w:tcW w:w="1201" w:type="dxa"/>
            <w:tcBorders>
              <w:top w:val="nil"/>
              <w:left w:val="nil"/>
              <w:bottom w:val="single" w:sz="4" w:space="0" w:color="auto"/>
              <w:right w:val="single" w:sz="4" w:space="0" w:color="auto"/>
            </w:tcBorders>
            <w:shd w:val="clear" w:color="auto" w:fill="auto"/>
            <w:noWrap/>
            <w:vAlign w:val="center"/>
            <w:hideMark/>
          </w:tcPr>
          <w:p w14:paraId="5AAB40F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2.64</w:t>
            </w:r>
          </w:p>
        </w:tc>
        <w:tc>
          <w:tcPr>
            <w:tcW w:w="1255" w:type="dxa"/>
            <w:tcBorders>
              <w:top w:val="nil"/>
              <w:left w:val="nil"/>
              <w:bottom w:val="single" w:sz="4" w:space="0" w:color="auto"/>
              <w:right w:val="single" w:sz="4" w:space="0" w:color="auto"/>
            </w:tcBorders>
            <w:shd w:val="clear" w:color="auto" w:fill="auto"/>
            <w:noWrap/>
            <w:vAlign w:val="center"/>
            <w:hideMark/>
          </w:tcPr>
          <w:p w14:paraId="76E95CE9"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2.69</w:t>
            </w:r>
          </w:p>
        </w:tc>
        <w:tc>
          <w:tcPr>
            <w:tcW w:w="1562" w:type="dxa"/>
            <w:tcBorders>
              <w:top w:val="nil"/>
              <w:left w:val="nil"/>
              <w:bottom w:val="single" w:sz="4" w:space="0" w:color="auto"/>
              <w:right w:val="single" w:sz="4" w:space="0" w:color="auto"/>
            </w:tcBorders>
            <w:shd w:val="clear" w:color="auto" w:fill="auto"/>
            <w:noWrap/>
            <w:vAlign w:val="center"/>
            <w:hideMark/>
          </w:tcPr>
          <w:p w14:paraId="719E548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8.67</w:t>
            </w:r>
          </w:p>
        </w:tc>
        <w:tc>
          <w:tcPr>
            <w:tcW w:w="1629" w:type="dxa"/>
            <w:tcBorders>
              <w:top w:val="nil"/>
              <w:left w:val="nil"/>
              <w:bottom w:val="single" w:sz="4" w:space="0" w:color="auto"/>
              <w:right w:val="single" w:sz="4" w:space="0" w:color="auto"/>
            </w:tcBorders>
            <w:shd w:val="clear" w:color="auto" w:fill="auto"/>
            <w:noWrap/>
            <w:vAlign w:val="center"/>
            <w:hideMark/>
          </w:tcPr>
          <w:p w14:paraId="621D7883"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8.73</w:t>
            </w:r>
          </w:p>
        </w:tc>
      </w:tr>
      <w:tr w:rsidR="00AD12D1" w:rsidRPr="00FA3A22" w14:paraId="4C02037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CBE9F6D"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bottom"/>
          </w:tcPr>
          <w:p w14:paraId="57F6DA4F" w14:textId="59850956"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177" w:type="dxa"/>
            <w:tcBorders>
              <w:top w:val="nil"/>
              <w:left w:val="nil"/>
              <w:bottom w:val="single" w:sz="4" w:space="0" w:color="auto"/>
              <w:right w:val="single" w:sz="4" w:space="0" w:color="auto"/>
            </w:tcBorders>
            <w:shd w:val="clear" w:color="auto" w:fill="auto"/>
            <w:noWrap/>
            <w:vAlign w:val="bottom"/>
          </w:tcPr>
          <w:p w14:paraId="3421EE01" w14:textId="5FC4028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2.96</w:t>
            </w:r>
          </w:p>
        </w:tc>
        <w:tc>
          <w:tcPr>
            <w:tcW w:w="1201" w:type="dxa"/>
            <w:tcBorders>
              <w:top w:val="nil"/>
              <w:left w:val="nil"/>
              <w:bottom w:val="single" w:sz="4" w:space="0" w:color="auto"/>
              <w:right w:val="single" w:sz="4" w:space="0" w:color="auto"/>
            </w:tcBorders>
            <w:shd w:val="clear" w:color="auto" w:fill="auto"/>
            <w:noWrap/>
            <w:vAlign w:val="center"/>
            <w:hideMark/>
          </w:tcPr>
          <w:p w14:paraId="14B46605"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2.54</w:t>
            </w:r>
          </w:p>
        </w:tc>
        <w:tc>
          <w:tcPr>
            <w:tcW w:w="1255" w:type="dxa"/>
            <w:tcBorders>
              <w:top w:val="nil"/>
              <w:left w:val="nil"/>
              <w:bottom w:val="single" w:sz="4" w:space="0" w:color="auto"/>
              <w:right w:val="single" w:sz="4" w:space="0" w:color="auto"/>
            </w:tcBorders>
            <w:shd w:val="clear" w:color="auto" w:fill="auto"/>
            <w:noWrap/>
            <w:vAlign w:val="center"/>
            <w:hideMark/>
          </w:tcPr>
          <w:p w14:paraId="67BA967F"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2.58</w:t>
            </w:r>
          </w:p>
        </w:tc>
        <w:tc>
          <w:tcPr>
            <w:tcW w:w="1562" w:type="dxa"/>
            <w:tcBorders>
              <w:top w:val="nil"/>
              <w:left w:val="nil"/>
              <w:bottom w:val="single" w:sz="4" w:space="0" w:color="auto"/>
              <w:right w:val="single" w:sz="4" w:space="0" w:color="auto"/>
            </w:tcBorders>
            <w:shd w:val="clear" w:color="auto" w:fill="auto"/>
            <w:noWrap/>
            <w:vAlign w:val="center"/>
            <w:hideMark/>
          </w:tcPr>
          <w:p w14:paraId="7C2C675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7.22</w:t>
            </w:r>
          </w:p>
        </w:tc>
        <w:tc>
          <w:tcPr>
            <w:tcW w:w="1629" w:type="dxa"/>
            <w:tcBorders>
              <w:top w:val="nil"/>
              <w:left w:val="nil"/>
              <w:bottom w:val="single" w:sz="4" w:space="0" w:color="auto"/>
              <w:right w:val="single" w:sz="4" w:space="0" w:color="auto"/>
            </w:tcBorders>
            <w:shd w:val="clear" w:color="auto" w:fill="auto"/>
            <w:noWrap/>
            <w:vAlign w:val="center"/>
            <w:hideMark/>
          </w:tcPr>
          <w:p w14:paraId="4E847ED1"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7.25</w:t>
            </w:r>
          </w:p>
        </w:tc>
      </w:tr>
      <w:tr w:rsidR="00AD12D1" w:rsidRPr="00FA3A22" w14:paraId="1E0BE8ED"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44B1F5C"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bottom"/>
          </w:tcPr>
          <w:p w14:paraId="50FEB1F6" w14:textId="7DA1F08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2.69</w:t>
            </w:r>
          </w:p>
        </w:tc>
        <w:tc>
          <w:tcPr>
            <w:tcW w:w="1177" w:type="dxa"/>
            <w:tcBorders>
              <w:top w:val="nil"/>
              <w:left w:val="nil"/>
              <w:bottom w:val="single" w:sz="4" w:space="0" w:color="auto"/>
              <w:right w:val="single" w:sz="4" w:space="0" w:color="auto"/>
            </w:tcBorders>
            <w:shd w:val="clear" w:color="auto" w:fill="auto"/>
            <w:noWrap/>
            <w:vAlign w:val="bottom"/>
          </w:tcPr>
          <w:p w14:paraId="55FE0448" w14:textId="48952BB5"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sz w:val="20"/>
              </w:rPr>
              <w:t>2.78</w:t>
            </w:r>
          </w:p>
        </w:tc>
        <w:tc>
          <w:tcPr>
            <w:tcW w:w="1201" w:type="dxa"/>
            <w:tcBorders>
              <w:top w:val="nil"/>
              <w:left w:val="nil"/>
              <w:bottom w:val="single" w:sz="4" w:space="0" w:color="auto"/>
              <w:right w:val="single" w:sz="4" w:space="0" w:color="auto"/>
            </w:tcBorders>
            <w:shd w:val="clear" w:color="auto" w:fill="auto"/>
            <w:noWrap/>
            <w:vAlign w:val="center"/>
            <w:hideMark/>
          </w:tcPr>
          <w:p w14:paraId="0CF716CD"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2.23</w:t>
            </w:r>
          </w:p>
        </w:tc>
        <w:tc>
          <w:tcPr>
            <w:tcW w:w="1255" w:type="dxa"/>
            <w:tcBorders>
              <w:top w:val="nil"/>
              <w:left w:val="nil"/>
              <w:bottom w:val="single" w:sz="4" w:space="0" w:color="auto"/>
              <w:right w:val="single" w:sz="4" w:space="0" w:color="auto"/>
            </w:tcBorders>
            <w:shd w:val="clear" w:color="auto" w:fill="auto"/>
            <w:noWrap/>
            <w:vAlign w:val="center"/>
            <w:hideMark/>
          </w:tcPr>
          <w:p w14:paraId="7E326560"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2.31</w:t>
            </w:r>
          </w:p>
        </w:tc>
        <w:tc>
          <w:tcPr>
            <w:tcW w:w="1562" w:type="dxa"/>
            <w:tcBorders>
              <w:top w:val="nil"/>
              <w:left w:val="nil"/>
              <w:bottom w:val="single" w:sz="4" w:space="0" w:color="auto"/>
              <w:right w:val="single" w:sz="4" w:space="0" w:color="auto"/>
            </w:tcBorders>
            <w:shd w:val="clear" w:color="auto" w:fill="auto"/>
            <w:noWrap/>
            <w:vAlign w:val="center"/>
            <w:hideMark/>
          </w:tcPr>
          <w:p w14:paraId="6E6808D6"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6.99</w:t>
            </w:r>
          </w:p>
        </w:tc>
        <w:tc>
          <w:tcPr>
            <w:tcW w:w="1629" w:type="dxa"/>
            <w:tcBorders>
              <w:top w:val="nil"/>
              <w:left w:val="nil"/>
              <w:bottom w:val="single" w:sz="4" w:space="0" w:color="auto"/>
              <w:right w:val="single" w:sz="4" w:space="0" w:color="auto"/>
            </w:tcBorders>
            <w:shd w:val="clear" w:color="auto" w:fill="auto"/>
            <w:noWrap/>
            <w:vAlign w:val="center"/>
            <w:hideMark/>
          </w:tcPr>
          <w:p w14:paraId="2827E86A" w14:textId="77777777" w:rsidR="00AD12D1" w:rsidRPr="00FA3A22" w:rsidRDefault="00AD12D1"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6.98</w:t>
            </w:r>
          </w:p>
        </w:tc>
      </w:tr>
      <w:tr w:rsidR="00AD12D1" w:rsidRPr="00FA3A22" w14:paraId="6C650E6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F38B56"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bottom"/>
          </w:tcPr>
          <w:p w14:paraId="1F3547C6" w14:textId="1DBA8F4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3.65</w:t>
            </w:r>
          </w:p>
        </w:tc>
        <w:tc>
          <w:tcPr>
            <w:tcW w:w="1177" w:type="dxa"/>
            <w:tcBorders>
              <w:top w:val="nil"/>
              <w:left w:val="nil"/>
              <w:bottom w:val="single" w:sz="4" w:space="0" w:color="auto"/>
              <w:right w:val="single" w:sz="4" w:space="0" w:color="auto"/>
            </w:tcBorders>
            <w:shd w:val="clear" w:color="auto" w:fill="auto"/>
            <w:noWrap/>
            <w:vAlign w:val="bottom"/>
          </w:tcPr>
          <w:p w14:paraId="5A0F2F20" w14:textId="191860EE"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hAnsi="Arial" w:cs="Arial"/>
                <w:color w:val="000000"/>
                <w:sz w:val="20"/>
              </w:rPr>
              <w:t>3.72</w:t>
            </w:r>
          </w:p>
        </w:tc>
        <w:tc>
          <w:tcPr>
            <w:tcW w:w="1201" w:type="dxa"/>
            <w:tcBorders>
              <w:top w:val="nil"/>
              <w:left w:val="nil"/>
              <w:bottom w:val="single" w:sz="4" w:space="0" w:color="auto"/>
              <w:right w:val="single" w:sz="4" w:space="0" w:color="auto"/>
            </w:tcBorders>
            <w:shd w:val="clear" w:color="auto" w:fill="auto"/>
            <w:noWrap/>
            <w:vAlign w:val="center"/>
            <w:hideMark/>
          </w:tcPr>
          <w:p w14:paraId="138FC14F"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2.42</w:t>
            </w:r>
          </w:p>
        </w:tc>
        <w:tc>
          <w:tcPr>
            <w:tcW w:w="1255" w:type="dxa"/>
            <w:tcBorders>
              <w:top w:val="nil"/>
              <w:left w:val="nil"/>
              <w:bottom w:val="single" w:sz="4" w:space="0" w:color="auto"/>
              <w:right w:val="single" w:sz="4" w:space="0" w:color="auto"/>
            </w:tcBorders>
            <w:shd w:val="clear" w:color="auto" w:fill="auto"/>
            <w:noWrap/>
            <w:vAlign w:val="center"/>
            <w:hideMark/>
          </w:tcPr>
          <w:p w14:paraId="0CF7AFA5"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2.47</w:t>
            </w:r>
          </w:p>
        </w:tc>
        <w:tc>
          <w:tcPr>
            <w:tcW w:w="1562" w:type="dxa"/>
            <w:tcBorders>
              <w:top w:val="nil"/>
              <w:left w:val="nil"/>
              <w:bottom w:val="single" w:sz="4" w:space="0" w:color="auto"/>
              <w:right w:val="single" w:sz="4" w:space="0" w:color="auto"/>
            </w:tcBorders>
            <w:shd w:val="clear" w:color="auto" w:fill="auto"/>
            <w:noWrap/>
            <w:vAlign w:val="center"/>
            <w:hideMark/>
          </w:tcPr>
          <w:p w14:paraId="151A0C69"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7.63</w:t>
            </w:r>
          </w:p>
        </w:tc>
        <w:tc>
          <w:tcPr>
            <w:tcW w:w="1629" w:type="dxa"/>
            <w:tcBorders>
              <w:top w:val="nil"/>
              <w:left w:val="nil"/>
              <w:bottom w:val="single" w:sz="4" w:space="0" w:color="auto"/>
              <w:right w:val="single" w:sz="4" w:space="0" w:color="auto"/>
            </w:tcBorders>
            <w:shd w:val="clear" w:color="auto" w:fill="auto"/>
            <w:noWrap/>
            <w:vAlign w:val="center"/>
            <w:hideMark/>
          </w:tcPr>
          <w:p w14:paraId="235AC5DA" w14:textId="77777777"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7.67</w:t>
            </w:r>
          </w:p>
        </w:tc>
      </w:tr>
      <w:tr w:rsidR="00AD12D1" w:rsidRPr="00FA3A22" w14:paraId="37B8EBB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E5F621"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bottom"/>
          </w:tcPr>
          <w:p w14:paraId="40204E18" w14:textId="574B49C6"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3.30</w:t>
            </w:r>
          </w:p>
        </w:tc>
        <w:tc>
          <w:tcPr>
            <w:tcW w:w="1177" w:type="dxa"/>
            <w:tcBorders>
              <w:top w:val="nil"/>
              <w:left w:val="nil"/>
              <w:bottom w:val="single" w:sz="4" w:space="0" w:color="auto"/>
              <w:right w:val="single" w:sz="4" w:space="0" w:color="auto"/>
            </w:tcBorders>
            <w:shd w:val="clear" w:color="auto" w:fill="auto"/>
            <w:noWrap/>
            <w:vAlign w:val="bottom"/>
          </w:tcPr>
          <w:p w14:paraId="3260BD2B" w14:textId="7E5A1D6C"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4445FB47"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6.45</w:t>
            </w:r>
          </w:p>
        </w:tc>
        <w:tc>
          <w:tcPr>
            <w:tcW w:w="1255" w:type="dxa"/>
            <w:tcBorders>
              <w:top w:val="nil"/>
              <w:left w:val="nil"/>
              <w:bottom w:val="single" w:sz="4" w:space="0" w:color="auto"/>
              <w:right w:val="single" w:sz="4" w:space="0" w:color="auto"/>
            </w:tcBorders>
            <w:shd w:val="clear" w:color="auto" w:fill="auto"/>
            <w:noWrap/>
            <w:vAlign w:val="center"/>
            <w:hideMark/>
          </w:tcPr>
          <w:p w14:paraId="4BC5B8C5" w14:textId="405D54C0"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7B4E3F92"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2.83</w:t>
            </w:r>
          </w:p>
        </w:tc>
        <w:tc>
          <w:tcPr>
            <w:tcW w:w="1629" w:type="dxa"/>
            <w:tcBorders>
              <w:top w:val="nil"/>
              <w:left w:val="nil"/>
              <w:bottom w:val="single" w:sz="4" w:space="0" w:color="auto"/>
              <w:right w:val="single" w:sz="4" w:space="0" w:color="auto"/>
            </w:tcBorders>
            <w:shd w:val="clear" w:color="auto" w:fill="auto"/>
            <w:noWrap/>
            <w:vAlign w:val="center"/>
            <w:hideMark/>
          </w:tcPr>
          <w:p w14:paraId="03E9B45C" w14:textId="578924DD"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AD12D1" w:rsidRPr="00FA3A22" w14:paraId="354987F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C36969A"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bottom"/>
          </w:tcPr>
          <w:p w14:paraId="653C7FB7" w14:textId="6227B909"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2.78</w:t>
            </w:r>
          </w:p>
        </w:tc>
        <w:tc>
          <w:tcPr>
            <w:tcW w:w="1177" w:type="dxa"/>
            <w:tcBorders>
              <w:top w:val="nil"/>
              <w:left w:val="nil"/>
              <w:bottom w:val="single" w:sz="4" w:space="0" w:color="auto"/>
              <w:right w:val="single" w:sz="4" w:space="0" w:color="auto"/>
            </w:tcBorders>
            <w:shd w:val="clear" w:color="auto" w:fill="auto"/>
            <w:noWrap/>
            <w:vAlign w:val="bottom"/>
          </w:tcPr>
          <w:p w14:paraId="5CFC6D4A" w14:textId="28F2716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hAnsi="Arial" w:cs="Arial"/>
                <w:b/>
                <w:color w:val="000000"/>
                <w:sz w:val="20"/>
              </w:rPr>
              <w:t> </w:t>
            </w:r>
          </w:p>
        </w:tc>
        <w:tc>
          <w:tcPr>
            <w:tcW w:w="1201" w:type="dxa"/>
            <w:tcBorders>
              <w:top w:val="nil"/>
              <w:left w:val="nil"/>
              <w:bottom w:val="single" w:sz="4" w:space="0" w:color="auto"/>
              <w:right w:val="single" w:sz="4" w:space="0" w:color="auto"/>
            </w:tcBorders>
            <w:shd w:val="clear" w:color="auto" w:fill="auto"/>
            <w:noWrap/>
            <w:vAlign w:val="center"/>
            <w:hideMark/>
          </w:tcPr>
          <w:p w14:paraId="5AF9999B" w14:textId="77777777"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3486B476" w14:textId="231E0193"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2EC5F4F3" w14:textId="512F38FF" w:rsidR="00AD12D1" w:rsidRPr="00FA3A22" w:rsidRDefault="00AD12D1" w:rsidP="00FA3A22">
            <w:pPr>
              <w:spacing w:after="0" w:line="240" w:lineRule="auto"/>
              <w:jc w:val="both"/>
              <w:rPr>
                <w:rFonts w:ascii="Arial" w:eastAsia="Times New Roman" w:hAnsi="Arial" w:cs="Arial"/>
                <w:b/>
                <w:color w:val="000000"/>
                <w:kern w:val="0"/>
                <w:sz w:val="20"/>
                <w:lang w:eastAsia="en-IN" w:bidi="ar-SA"/>
                <w14:ligatures w14:val="none"/>
              </w:rPr>
            </w:pPr>
          </w:p>
        </w:tc>
        <w:tc>
          <w:tcPr>
            <w:tcW w:w="1629" w:type="dxa"/>
            <w:tcBorders>
              <w:top w:val="nil"/>
              <w:left w:val="nil"/>
              <w:bottom w:val="single" w:sz="4" w:space="0" w:color="auto"/>
              <w:right w:val="single" w:sz="4" w:space="0" w:color="auto"/>
            </w:tcBorders>
            <w:shd w:val="clear" w:color="auto" w:fill="auto"/>
            <w:noWrap/>
            <w:vAlign w:val="center"/>
            <w:hideMark/>
          </w:tcPr>
          <w:p w14:paraId="7B52DF32" w14:textId="1BAA6B40" w:rsidR="00AD12D1" w:rsidRPr="00FA3A22" w:rsidRDefault="00AD12D1"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63159829" w14:textId="77777777" w:rsidTr="001842C2">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0F1B983"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 </w:t>
            </w:r>
          </w:p>
        </w:tc>
        <w:tc>
          <w:tcPr>
            <w:tcW w:w="230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66CBEE" w14:textId="4B40205B"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Zinc (ppm)</w:t>
            </w:r>
          </w:p>
        </w:tc>
        <w:tc>
          <w:tcPr>
            <w:tcW w:w="24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AA2E2B" w14:textId="2FBC4EE4"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Boron (ppm)</w:t>
            </w:r>
          </w:p>
        </w:tc>
        <w:tc>
          <w:tcPr>
            <w:tcW w:w="319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BA171E" w14:textId="76262091"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Available Molybdenum (ppm)</w:t>
            </w:r>
          </w:p>
        </w:tc>
      </w:tr>
      <w:tr w:rsidR="00F25ADC" w:rsidRPr="00FA3A22" w14:paraId="6BCF40E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E7B5AEC"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127" w:type="dxa"/>
            <w:tcBorders>
              <w:top w:val="nil"/>
              <w:left w:val="nil"/>
              <w:bottom w:val="single" w:sz="4" w:space="0" w:color="auto"/>
              <w:right w:val="single" w:sz="4" w:space="0" w:color="auto"/>
            </w:tcBorders>
            <w:shd w:val="clear" w:color="auto" w:fill="auto"/>
            <w:noWrap/>
            <w:vAlign w:val="center"/>
            <w:hideMark/>
          </w:tcPr>
          <w:p w14:paraId="6D5BFD8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177" w:type="dxa"/>
            <w:tcBorders>
              <w:top w:val="nil"/>
              <w:left w:val="nil"/>
              <w:bottom w:val="single" w:sz="4" w:space="0" w:color="auto"/>
              <w:right w:val="single" w:sz="4" w:space="0" w:color="auto"/>
            </w:tcBorders>
            <w:shd w:val="clear" w:color="auto" w:fill="auto"/>
            <w:noWrap/>
            <w:vAlign w:val="center"/>
            <w:hideMark/>
          </w:tcPr>
          <w:p w14:paraId="7D191BAC" w14:textId="73E13D34"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c>
          <w:tcPr>
            <w:tcW w:w="1201" w:type="dxa"/>
            <w:tcBorders>
              <w:top w:val="nil"/>
              <w:left w:val="nil"/>
              <w:bottom w:val="single" w:sz="4" w:space="0" w:color="auto"/>
              <w:right w:val="single" w:sz="4" w:space="0" w:color="auto"/>
            </w:tcBorders>
            <w:shd w:val="clear" w:color="auto" w:fill="auto"/>
            <w:noWrap/>
            <w:vAlign w:val="center"/>
            <w:hideMark/>
          </w:tcPr>
          <w:p w14:paraId="47477F35"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255" w:type="dxa"/>
            <w:tcBorders>
              <w:top w:val="nil"/>
              <w:left w:val="nil"/>
              <w:bottom w:val="single" w:sz="4" w:space="0" w:color="auto"/>
              <w:right w:val="single" w:sz="4" w:space="0" w:color="auto"/>
            </w:tcBorders>
            <w:shd w:val="clear" w:color="auto" w:fill="auto"/>
            <w:noWrap/>
            <w:vAlign w:val="center"/>
            <w:hideMark/>
          </w:tcPr>
          <w:p w14:paraId="1CE7F97C" w14:textId="22F5F49F"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c>
          <w:tcPr>
            <w:tcW w:w="1562" w:type="dxa"/>
            <w:tcBorders>
              <w:top w:val="nil"/>
              <w:left w:val="nil"/>
              <w:bottom w:val="single" w:sz="4" w:space="0" w:color="auto"/>
              <w:right w:val="single" w:sz="4" w:space="0" w:color="auto"/>
            </w:tcBorders>
            <w:shd w:val="clear" w:color="auto" w:fill="auto"/>
            <w:noWrap/>
            <w:vAlign w:val="center"/>
            <w:hideMark/>
          </w:tcPr>
          <w:p w14:paraId="0A5ACCBD"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(Feb 2023)</w:t>
            </w:r>
          </w:p>
        </w:tc>
        <w:tc>
          <w:tcPr>
            <w:tcW w:w="1629" w:type="dxa"/>
            <w:tcBorders>
              <w:top w:val="nil"/>
              <w:left w:val="nil"/>
              <w:bottom w:val="single" w:sz="4" w:space="0" w:color="auto"/>
              <w:right w:val="single" w:sz="4" w:space="0" w:color="auto"/>
            </w:tcBorders>
            <w:shd w:val="clear" w:color="auto" w:fill="auto"/>
            <w:noWrap/>
            <w:vAlign w:val="center"/>
            <w:hideMark/>
          </w:tcPr>
          <w:p w14:paraId="586D1519" w14:textId="50B62DA2"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(Jan 2024)</w:t>
            </w:r>
          </w:p>
        </w:tc>
      </w:tr>
      <w:tr w:rsidR="00F25ADC" w:rsidRPr="00FA3A22" w14:paraId="20206D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08F9386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Rajendranagar</w:t>
            </w:r>
          </w:p>
        </w:tc>
        <w:tc>
          <w:tcPr>
            <w:tcW w:w="1127" w:type="dxa"/>
            <w:tcBorders>
              <w:top w:val="nil"/>
              <w:left w:val="nil"/>
              <w:bottom w:val="single" w:sz="4" w:space="0" w:color="auto"/>
              <w:right w:val="single" w:sz="4" w:space="0" w:color="auto"/>
            </w:tcBorders>
            <w:shd w:val="clear" w:color="auto" w:fill="auto"/>
            <w:noWrap/>
            <w:vAlign w:val="center"/>
            <w:hideMark/>
          </w:tcPr>
          <w:p w14:paraId="5BF4BB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1.87</w:t>
            </w:r>
          </w:p>
        </w:tc>
        <w:tc>
          <w:tcPr>
            <w:tcW w:w="1177" w:type="dxa"/>
            <w:tcBorders>
              <w:top w:val="nil"/>
              <w:left w:val="nil"/>
              <w:bottom w:val="single" w:sz="4" w:space="0" w:color="auto"/>
              <w:right w:val="single" w:sz="4" w:space="0" w:color="auto"/>
            </w:tcBorders>
            <w:shd w:val="clear" w:color="auto" w:fill="auto"/>
            <w:noWrap/>
            <w:vAlign w:val="center"/>
            <w:hideMark/>
          </w:tcPr>
          <w:p w14:paraId="56B9BFF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1.96</w:t>
            </w:r>
          </w:p>
        </w:tc>
        <w:tc>
          <w:tcPr>
            <w:tcW w:w="1201" w:type="dxa"/>
            <w:tcBorders>
              <w:top w:val="nil"/>
              <w:left w:val="nil"/>
              <w:bottom w:val="single" w:sz="4" w:space="0" w:color="auto"/>
              <w:right w:val="single" w:sz="4" w:space="0" w:color="auto"/>
            </w:tcBorders>
            <w:shd w:val="clear" w:color="auto" w:fill="auto"/>
            <w:noWrap/>
            <w:vAlign w:val="center"/>
            <w:hideMark/>
          </w:tcPr>
          <w:p w14:paraId="2F0533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0.61</w:t>
            </w:r>
          </w:p>
        </w:tc>
        <w:tc>
          <w:tcPr>
            <w:tcW w:w="1255" w:type="dxa"/>
            <w:tcBorders>
              <w:top w:val="nil"/>
              <w:left w:val="nil"/>
              <w:bottom w:val="single" w:sz="4" w:space="0" w:color="auto"/>
              <w:right w:val="single" w:sz="4" w:space="0" w:color="auto"/>
            </w:tcBorders>
            <w:shd w:val="clear" w:color="auto" w:fill="auto"/>
            <w:noWrap/>
            <w:vAlign w:val="center"/>
            <w:hideMark/>
          </w:tcPr>
          <w:p w14:paraId="759882F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0.63</w:t>
            </w:r>
          </w:p>
        </w:tc>
        <w:tc>
          <w:tcPr>
            <w:tcW w:w="1562" w:type="dxa"/>
            <w:tcBorders>
              <w:top w:val="nil"/>
              <w:left w:val="nil"/>
              <w:bottom w:val="single" w:sz="4" w:space="0" w:color="auto"/>
              <w:right w:val="single" w:sz="4" w:space="0" w:color="auto"/>
            </w:tcBorders>
            <w:shd w:val="clear" w:color="auto" w:fill="auto"/>
            <w:noWrap/>
            <w:vAlign w:val="center"/>
            <w:hideMark/>
          </w:tcPr>
          <w:p w14:paraId="76E6160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629" w:type="dxa"/>
            <w:tcBorders>
              <w:top w:val="nil"/>
              <w:left w:val="nil"/>
              <w:bottom w:val="single" w:sz="4" w:space="0" w:color="auto"/>
              <w:right w:val="single" w:sz="4" w:space="0" w:color="auto"/>
            </w:tcBorders>
            <w:shd w:val="clear" w:color="auto" w:fill="auto"/>
            <w:noWrap/>
            <w:vAlign w:val="center"/>
            <w:hideMark/>
          </w:tcPr>
          <w:p w14:paraId="73E7D69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r>
      <w:tr w:rsidR="00F25ADC" w:rsidRPr="00FA3A22" w14:paraId="7F206383"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707FBE3"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127" w:type="dxa"/>
            <w:tcBorders>
              <w:top w:val="nil"/>
              <w:left w:val="nil"/>
              <w:bottom w:val="single" w:sz="4" w:space="0" w:color="auto"/>
              <w:right w:val="single" w:sz="4" w:space="0" w:color="auto"/>
            </w:tcBorders>
            <w:shd w:val="clear" w:color="auto" w:fill="auto"/>
            <w:noWrap/>
            <w:vAlign w:val="center"/>
            <w:hideMark/>
          </w:tcPr>
          <w:p w14:paraId="2856E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0.84</w:t>
            </w:r>
          </w:p>
        </w:tc>
        <w:tc>
          <w:tcPr>
            <w:tcW w:w="1177" w:type="dxa"/>
            <w:tcBorders>
              <w:top w:val="nil"/>
              <w:left w:val="nil"/>
              <w:bottom w:val="single" w:sz="4" w:space="0" w:color="auto"/>
              <w:right w:val="single" w:sz="4" w:space="0" w:color="auto"/>
            </w:tcBorders>
            <w:shd w:val="clear" w:color="auto" w:fill="auto"/>
            <w:noWrap/>
            <w:vAlign w:val="center"/>
            <w:hideMark/>
          </w:tcPr>
          <w:p w14:paraId="28C11EE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0.88</w:t>
            </w:r>
          </w:p>
        </w:tc>
        <w:tc>
          <w:tcPr>
            <w:tcW w:w="1201" w:type="dxa"/>
            <w:tcBorders>
              <w:top w:val="nil"/>
              <w:left w:val="nil"/>
              <w:bottom w:val="single" w:sz="4" w:space="0" w:color="auto"/>
              <w:right w:val="single" w:sz="4" w:space="0" w:color="auto"/>
            </w:tcBorders>
            <w:shd w:val="clear" w:color="auto" w:fill="auto"/>
            <w:noWrap/>
            <w:vAlign w:val="center"/>
            <w:hideMark/>
          </w:tcPr>
          <w:p w14:paraId="13CB6C8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0.45</w:t>
            </w:r>
          </w:p>
        </w:tc>
        <w:tc>
          <w:tcPr>
            <w:tcW w:w="1255" w:type="dxa"/>
            <w:tcBorders>
              <w:top w:val="nil"/>
              <w:left w:val="nil"/>
              <w:bottom w:val="single" w:sz="4" w:space="0" w:color="auto"/>
              <w:right w:val="single" w:sz="4" w:space="0" w:color="auto"/>
            </w:tcBorders>
            <w:shd w:val="clear" w:color="auto" w:fill="auto"/>
            <w:noWrap/>
            <w:vAlign w:val="center"/>
            <w:hideMark/>
          </w:tcPr>
          <w:p w14:paraId="7E0EF3A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562" w:type="dxa"/>
            <w:tcBorders>
              <w:top w:val="nil"/>
              <w:left w:val="nil"/>
              <w:bottom w:val="single" w:sz="4" w:space="0" w:color="auto"/>
              <w:right w:val="single" w:sz="4" w:space="0" w:color="auto"/>
            </w:tcBorders>
            <w:shd w:val="clear" w:color="auto" w:fill="auto"/>
            <w:noWrap/>
            <w:vAlign w:val="center"/>
            <w:hideMark/>
          </w:tcPr>
          <w:p w14:paraId="1EA6E0A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0.25</w:t>
            </w:r>
          </w:p>
        </w:tc>
        <w:tc>
          <w:tcPr>
            <w:tcW w:w="1629" w:type="dxa"/>
            <w:tcBorders>
              <w:top w:val="nil"/>
              <w:left w:val="nil"/>
              <w:bottom w:val="single" w:sz="4" w:space="0" w:color="auto"/>
              <w:right w:val="single" w:sz="4" w:space="0" w:color="auto"/>
            </w:tcBorders>
            <w:shd w:val="clear" w:color="auto" w:fill="auto"/>
            <w:noWrap/>
            <w:vAlign w:val="center"/>
            <w:hideMark/>
          </w:tcPr>
          <w:p w14:paraId="030558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0.28</w:t>
            </w:r>
          </w:p>
        </w:tc>
      </w:tr>
      <w:tr w:rsidR="00F25ADC" w:rsidRPr="00FA3A22" w14:paraId="0A25082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189689F6"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127" w:type="dxa"/>
            <w:tcBorders>
              <w:top w:val="nil"/>
              <w:left w:val="nil"/>
              <w:bottom w:val="single" w:sz="4" w:space="0" w:color="auto"/>
              <w:right w:val="single" w:sz="4" w:space="0" w:color="auto"/>
            </w:tcBorders>
            <w:shd w:val="clear" w:color="auto" w:fill="auto"/>
            <w:noWrap/>
            <w:vAlign w:val="center"/>
            <w:hideMark/>
          </w:tcPr>
          <w:p w14:paraId="623766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177" w:type="dxa"/>
            <w:tcBorders>
              <w:top w:val="nil"/>
              <w:left w:val="nil"/>
              <w:bottom w:val="single" w:sz="4" w:space="0" w:color="auto"/>
              <w:right w:val="single" w:sz="4" w:space="0" w:color="auto"/>
            </w:tcBorders>
            <w:shd w:val="clear" w:color="auto" w:fill="auto"/>
            <w:noWrap/>
            <w:vAlign w:val="center"/>
            <w:hideMark/>
          </w:tcPr>
          <w:p w14:paraId="0251F53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1.8</w:t>
            </w:r>
          </w:p>
        </w:tc>
        <w:tc>
          <w:tcPr>
            <w:tcW w:w="1201" w:type="dxa"/>
            <w:tcBorders>
              <w:top w:val="nil"/>
              <w:left w:val="nil"/>
              <w:bottom w:val="single" w:sz="4" w:space="0" w:color="auto"/>
              <w:right w:val="single" w:sz="4" w:space="0" w:color="auto"/>
            </w:tcBorders>
            <w:shd w:val="clear" w:color="auto" w:fill="auto"/>
            <w:noWrap/>
            <w:vAlign w:val="center"/>
            <w:hideMark/>
          </w:tcPr>
          <w:p w14:paraId="1D38C3D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0.53</w:t>
            </w:r>
          </w:p>
        </w:tc>
        <w:tc>
          <w:tcPr>
            <w:tcW w:w="1255" w:type="dxa"/>
            <w:tcBorders>
              <w:top w:val="nil"/>
              <w:left w:val="nil"/>
              <w:bottom w:val="single" w:sz="4" w:space="0" w:color="auto"/>
              <w:right w:val="single" w:sz="4" w:space="0" w:color="auto"/>
            </w:tcBorders>
            <w:shd w:val="clear" w:color="auto" w:fill="auto"/>
            <w:noWrap/>
            <w:vAlign w:val="center"/>
            <w:hideMark/>
          </w:tcPr>
          <w:p w14:paraId="25BE549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0.55</w:t>
            </w:r>
          </w:p>
        </w:tc>
        <w:tc>
          <w:tcPr>
            <w:tcW w:w="1562" w:type="dxa"/>
            <w:tcBorders>
              <w:top w:val="nil"/>
              <w:left w:val="nil"/>
              <w:bottom w:val="single" w:sz="4" w:space="0" w:color="auto"/>
              <w:right w:val="single" w:sz="4" w:space="0" w:color="auto"/>
            </w:tcBorders>
            <w:shd w:val="clear" w:color="auto" w:fill="auto"/>
            <w:noWrap/>
            <w:vAlign w:val="center"/>
            <w:hideMark/>
          </w:tcPr>
          <w:p w14:paraId="11C11AC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0.38</w:t>
            </w:r>
          </w:p>
        </w:tc>
        <w:tc>
          <w:tcPr>
            <w:tcW w:w="1629" w:type="dxa"/>
            <w:tcBorders>
              <w:top w:val="nil"/>
              <w:left w:val="nil"/>
              <w:bottom w:val="single" w:sz="4" w:space="0" w:color="auto"/>
              <w:right w:val="single" w:sz="4" w:space="0" w:color="auto"/>
            </w:tcBorders>
            <w:shd w:val="clear" w:color="auto" w:fill="auto"/>
            <w:noWrap/>
            <w:vAlign w:val="center"/>
            <w:hideMark/>
          </w:tcPr>
          <w:p w14:paraId="382BFA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0.41</w:t>
            </w:r>
          </w:p>
        </w:tc>
      </w:tr>
      <w:tr w:rsidR="00F25ADC" w:rsidRPr="00FA3A22" w14:paraId="5C3E85F1"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9B5F5C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127" w:type="dxa"/>
            <w:tcBorders>
              <w:top w:val="nil"/>
              <w:left w:val="nil"/>
              <w:bottom w:val="single" w:sz="4" w:space="0" w:color="auto"/>
              <w:right w:val="single" w:sz="4" w:space="0" w:color="auto"/>
            </w:tcBorders>
            <w:shd w:val="clear" w:color="auto" w:fill="auto"/>
            <w:noWrap/>
            <w:vAlign w:val="center"/>
            <w:hideMark/>
          </w:tcPr>
          <w:p w14:paraId="64A22BE1"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177" w:type="dxa"/>
            <w:tcBorders>
              <w:top w:val="nil"/>
              <w:left w:val="nil"/>
              <w:bottom w:val="single" w:sz="4" w:space="0" w:color="auto"/>
              <w:right w:val="single" w:sz="4" w:space="0" w:color="auto"/>
            </w:tcBorders>
            <w:shd w:val="clear" w:color="auto" w:fill="auto"/>
            <w:noWrap/>
            <w:vAlign w:val="center"/>
            <w:hideMark/>
          </w:tcPr>
          <w:p w14:paraId="3C7A421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201" w:type="dxa"/>
            <w:tcBorders>
              <w:top w:val="nil"/>
              <w:left w:val="nil"/>
              <w:bottom w:val="single" w:sz="4" w:space="0" w:color="auto"/>
              <w:right w:val="single" w:sz="4" w:space="0" w:color="auto"/>
            </w:tcBorders>
            <w:shd w:val="clear" w:color="auto" w:fill="auto"/>
            <w:noWrap/>
            <w:vAlign w:val="center"/>
            <w:hideMark/>
          </w:tcPr>
          <w:p w14:paraId="3947112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255" w:type="dxa"/>
            <w:tcBorders>
              <w:top w:val="nil"/>
              <w:left w:val="nil"/>
              <w:bottom w:val="single" w:sz="4" w:space="0" w:color="auto"/>
              <w:right w:val="single" w:sz="4" w:space="0" w:color="auto"/>
            </w:tcBorders>
            <w:shd w:val="clear" w:color="auto" w:fill="auto"/>
            <w:noWrap/>
            <w:vAlign w:val="center"/>
            <w:hideMark/>
          </w:tcPr>
          <w:p w14:paraId="766ABF7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0.52</w:t>
            </w:r>
          </w:p>
        </w:tc>
        <w:tc>
          <w:tcPr>
            <w:tcW w:w="1562" w:type="dxa"/>
            <w:tcBorders>
              <w:top w:val="nil"/>
              <w:left w:val="nil"/>
              <w:bottom w:val="single" w:sz="4" w:space="0" w:color="auto"/>
              <w:right w:val="single" w:sz="4" w:space="0" w:color="auto"/>
            </w:tcBorders>
            <w:shd w:val="clear" w:color="auto" w:fill="auto"/>
            <w:noWrap/>
            <w:vAlign w:val="center"/>
            <w:hideMark/>
          </w:tcPr>
          <w:p w14:paraId="78411DE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0.33</w:t>
            </w:r>
          </w:p>
        </w:tc>
        <w:tc>
          <w:tcPr>
            <w:tcW w:w="1629" w:type="dxa"/>
            <w:tcBorders>
              <w:top w:val="nil"/>
              <w:left w:val="nil"/>
              <w:bottom w:val="single" w:sz="4" w:space="0" w:color="auto"/>
              <w:right w:val="single" w:sz="4" w:space="0" w:color="auto"/>
            </w:tcBorders>
            <w:shd w:val="clear" w:color="auto" w:fill="auto"/>
            <w:noWrap/>
            <w:vAlign w:val="center"/>
            <w:hideMark/>
          </w:tcPr>
          <w:p w14:paraId="7526600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0.35</w:t>
            </w:r>
          </w:p>
        </w:tc>
      </w:tr>
      <w:tr w:rsidR="00F25ADC" w:rsidRPr="00FA3A22" w14:paraId="31F5EAD9"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5A55E91"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127" w:type="dxa"/>
            <w:tcBorders>
              <w:top w:val="nil"/>
              <w:left w:val="nil"/>
              <w:bottom w:val="single" w:sz="4" w:space="0" w:color="auto"/>
              <w:right w:val="single" w:sz="4" w:space="0" w:color="auto"/>
            </w:tcBorders>
            <w:shd w:val="clear" w:color="auto" w:fill="auto"/>
            <w:noWrap/>
            <w:vAlign w:val="center"/>
            <w:hideMark/>
          </w:tcPr>
          <w:p w14:paraId="1429CFB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177" w:type="dxa"/>
            <w:tcBorders>
              <w:top w:val="nil"/>
              <w:left w:val="nil"/>
              <w:bottom w:val="single" w:sz="4" w:space="0" w:color="auto"/>
              <w:right w:val="single" w:sz="4" w:space="0" w:color="auto"/>
            </w:tcBorders>
            <w:shd w:val="clear" w:color="auto" w:fill="auto"/>
            <w:noWrap/>
            <w:vAlign w:val="center"/>
            <w:hideMark/>
          </w:tcPr>
          <w:p w14:paraId="2312A707"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1.23</w:t>
            </w:r>
          </w:p>
        </w:tc>
        <w:tc>
          <w:tcPr>
            <w:tcW w:w="1201" w:type="dxa"/>
            <w:tcBorders>
              <w:top w:val="nil"/>
              <w:left w:val="nil"/>
              <w:bottom w:val="single" w:sz="4" w:space="0" w:color="auto"/>
              <w:right w:val="single" w:sz="4" w:space="0" w:color="auto"/>
            </w:tcBorders>
            <w:shd w:val="clear" w:color="auto" w:fill="auto"/>
            <w:noWrap/>
            <w:vAlign w:val="center"/>
            <w:hideMark/>
          </w:tcPr>
          <w:p w14:paraId="1D9E819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0.48</w:t>
            </w:r>
          </w:p>
        </w:tc>
        <w:tc>
          <w:tcPr>
            <w:tcW w:w="1255" w:type="dxa"/>
            <w:tcBorders>
              <w:top w:val="nil"/>
              <w:left w:val="nil"/>
              <w:bottom w:val="single" w:sz="4" w:space="0" w:color="auto"/>
              <w:right w:val="single" w:sz="4" w:space="0" w:color="auto"/>
            </w:tcBorders>
            <w:shd w:val="clear" w:color="auto" w:fill="auto"/>
            <w:noWrap/>
            <w:vAlign w:val="center"/>
            <w:hideMark/>
          </w:tcPr>
          <w:p w14:paraId="64DDA98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0.5</w:t>
            </w:r>
          </w:p>
        </w:tc>
        <w:tc>
          <w:tcPr>
            <w:tcW w:w="1562" w:type="dxa"/>
            <w:tcBorders>
              <w:top w:val="nil"/>
              <w:left w:val="nil"/>
              <w:bottom w:val="single" w:sz="4" w:space="0" w:color="auto"/>
              <w:right w:val="single" w:sz="4" w:space="0" w:color="auto"/>
            </w:tcBorders>
            <w:shd w:val="clear" w:color="auto" w:fill="auto"/>
            <w:noWrap/>
            <w:vAlign w:val="center"/>
            <w:hideMark/>
          </w:tcPr>
          <w:p w14:paraId="26BEC5E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0.30</w:t>
            </w:r>
          </w:p>
        </w:tc>
        <w:tc>
          <w:tcPr>
            <w:tcW w:w="1629" w:type="dxa"/>
            <w:tcBorders>
              <w:top w:val="nil"/>
              <w:left w:val="nil"/>
              <w:bottom w:val="single" w:sz="4" w:space="0" w:color="auto"/>
              <w:right w:val="single" w:sz="4" w:space="0" w:color="auto"/>
            </w:tcBorders>
            <w:shd w:val="clear" w:color="auto" w:fill="auto"/>
            <w:noWrap/>
            <w:vAlign w:val="center"/>
            <w:hideMark/>
          </w:tcPr>
          <w:p w14:paraId="7FBA87BA"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0.32</w:t>
            </w:r>
          </w:p>
        </w:tc>
      </w:tr>
      <w:tr w:rsidR="00F25ADC" w:rsidRPr="00FA3A22" w14:paraId="08FD60C0"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423F5F7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127" w:type="dxa"/>
            <w:tcBorders>
              <w:top w:val="nil"/>
              <w:left w:val="nil"/>
              <w:bottom w:val="single" w:sz="4" w:space="0" w:color="auto"/>
              <w:right w:val="single" w:sz="4" w:space="0" w:color="auto"/>
            </w:tcBorders>
            <w:shd w:val="clear" w:color="auto" w:fill="auto"/>
            <w:noWrap/>
            <w:vAlign w:val="center"/>
            <w:hideMark/>
          </w:tcPr>
          <w:p w14:paraId="143E7A3A"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1.41</w:t>
            </w:r>
          </w:p>
        </w:tc>
        <w:tc>
          <w:tcPr>
            <w:tcW w:w="1177" w:type="dxa"/>
            <w:tcBorders>
              <w:top w:val="nil"/>
              <w:left w:val="nil"/>
              <w:bottom w:val="single" w:sz="4" w:space="0" w:color="auto"/>
              <w:right w:val="single" w:sz="4" w:space="0" w:color="auto"/>
            </w:tcBorders>
            <w:shd w:val="clear" w:color="auto" w:fill="auto"/>
            <w:noWrap/>
            <w:vAlign w:val="center"/>
            <w:hideMark/>
          </w:tcPr>
          <w:p w14:paraId="3BE3D1AC"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1.49</w:t>
            </w:r>
          </w:p>
        </w:tc>
        <w:tc>
          <w:tcPr>
            <w:tcW w:w="1201" w:type="dxa"/>
            <w:tcBorders>
              <w:top w:val="nil"/>
              <w:left w:val="nil"/>
              <w:bottom w:val="single" w:sz="4" w:space="0" w:color="auto"/>
              <w:right w:val="single" w:sz="4" w:space="0" w:color="auto"/>
            </w:tcBorders>
            <w:shd w:val="clear" w:color="auto" w:fill="auto"/>
            <w:noWrap/>
            <w:vAlign w:val="center"/>
            <w:hideMark/>
          </w:tcPr>
          <w:p w14:paraId="2DEF7BB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0.51</w:t>
            </w:r>
          </w:p>
        </w:tc>
        <w:tc>
          <w:tcPr>
            <w:tcW w:w="1255" w:type="dxa"/>
            <w:tcBorders>
              <w:top w:val="nil"/>
              <w:left w:val="nil"/>
              <w:bottom w:val="single" w:sz="4" w:space="0" w:color="auto"/>
              <w:right w:val="single" w:sz="4" w:space="0" w:color="auto"/>
            </w:tcBorders>
            <w:shd w:val="clear" w:color="auto" w:fill="auto"/>
            <w:noWrap/>
            <w:vAlign w:val="center"/>
            <w:hideMark/>
          </w:tcPr>
          <w:p w14:paraId="5769F937"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0.54</w:t>
            </w:r>
          </w:p>
        </w:tc>
        <w:tc>
          <w:tcPr>
            <w:tcW w:w="1562" w:type="dxa"/>
            <w:tcBorders>
              <w:top w:val="nil"/>
              <w:left w:val="nil"/>
              <w:bottom w:val="single" w:sz="4" w:space="0" w:color="auto"/>
              <w:right w:val="single" w:sz="4" w:space="0" w:color="auto"/>
            </w:tcBorders>
            <w:shd w:val="clear" w:color="auto" w:fill="auto"/>
            <w:noWrap/>
            <w:vAlign w:val="center"/>
            <w:hideMark/>
          </w:tcPr>
          <w:p w14:paraId="178A95B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0.34</w:t>
            </w:r>
          </w:p>
        </w:tc>
        <w:tc>
          <w:tcPr>
            <w:tcW w:w="1629" w:type="dxa"/>
            <w:tcBorders>
              <w:top w:val="nil"/>
              <w:left w:val="nil"/>
              <w:bottom w:val="single" w:sz="4" w:space="0" w:color="auto"/>
              <w:right w:val="single" w:sz="4" w:space="0" w:color="auto"/>
            </w:tcBorders>
            <w:shd w:val="clear" w:color="auto" w:fill="auto"/>
            <w:noWrap/>
            <w:vAlign w:val="center"/>
            <w:hideMark/>
          </w:tcPr>
          <w:p w14:paraId="3A9F3692"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0.37</w:t>
            </w:r>
          </w:p>
        </w:tc>
      </w:tr>
      <w:tr w:rsidR="00F25ADC" w:rsidRPr="00FA3A22" w14:paraId="0C7D4884"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B7553D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127" w:type="dxa"/>
            <w:tcBorders>
              <w:top w:val="nil"/>
              <w:left w:val="nil"/>
              <w:bottom w:val="single" w:sz="4" w:space="0" w:color="auto"/>
              <w:right w:val="single" w:sz="4" w:space="0" w:color="auto"/>
            </w:tcBorders>
            <w:shd w:val="clear" w:color="auto" w:fill="auto"/>
            <w:noWrap/>
            <w:vAlign w:val="center"/>
            <w:hideMark/>
          </w:tcPr>
          <w:p w14:paraId="5F1DE10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4.27</w:t>
            </w:r>
          </w:p>
        </w:tc>
        <w:tc>
          <w:tcPr>
            <w:tcW w:w="1177" w:type="dxa"/>
            <w:tcBorders>
              <w:top w:val="nil"/>
              <w:left w:val="nil"/>
              <w:bottom w:val="single" w:sz="4" w:space="0" w:color="auto"/>
              <w:right w:val="single" w:sz="4" w:space="0" w:color="auto"/>
            </w:tcBorders>
            <w:shd w:val="clear" w:color="auto" w:fill="auto"/>
            <w:noWrap/>
            <w:vAlign w:val="center"/>
            <w:hideMark/>
          </w:tcPr>
          <w:p w14:paraId="184FA570" w14:textId="780190B1"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428A7AE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11.0</w:t>
            </w:r>
          </w:p>
        </w:tc>
        <w:tc>
          <w:tcPr>
            <w:tcW w:w="1255" w:type="dxa"/>
            <w:tcBorders>
              <w:top w:val="nil"/>
              <w:left w:val="nil"/>
              <w:bottom w:val="single" w:sz="4" w:space="0" w:color="auto"/>
              <w:right w:val="single" w:sz="4" w:space="0" w:color="auto"/>
            </w:tcBorders>
            <w:shd w:val="clear" w:color="auto" w:fill="auto"/>
            <w:noWrap/>
            <w:vAlign w:val="center"/>
            <w:hideMark/>
          </w:tcPr>
          <w:p w14:paraId="5598BE43" w14:textId="6F18C544"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5FC7F6D7"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10.6</w:t>
            </w:r>
          </w:p>
        </w:tc>
        <w:tc>
          <w:tcPr>
            <w:tcW w:w="1629" w:type="dxa"/>
            <w:tcBorders>
              <w:top w:val="nil"/>
              <w:left w:val="nil"/>
              <w:bottom w:val="single" w:sz="4" w:space="0" w:color="auto"/>
              <w:right w:val="single" w:sz="4" w:space="0" w:color="auto"/>
            </w:tcBorders>
            <w:shd w:val="clear" w:color="auto" w:fill="auto"/>
            <w:noWrap/>
            <w:vAlign w:val="center"/>
            <w:hideMark/>
          </w:tcPr>
          <w:p w14:paraId="15558288" w14:textId="2454C25B"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3DBA6426" w14:textId="77777777" w:rsidTr="00AD12D1">
        <w:trPr>
          <w:trHeight w:val="361"/>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D53B0C4"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127" w:type="dxa"/>
            <w:tcBorders>
              <w:top w:val="nil"/>
              <w:left w:val="nil"/>
              <w:bottom w:val="single" w:sz="4" w:space="0" w:color="auto"/>
              <w:right w:val="single" w:sz="4" w:space="0" w:color="auto"/>
            </w:tcBorders>
            <w:shd w:val="clear" w:color="auto" w:fill="auto"/>
            <w:noWrap/>
            <w:vAlign w:val="center"/>
            <w:hideMark/>
          </w:tcPr>
          <w:p w14:paraId="4EB12D9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177" w:type="dxa"/>
            <w:tcBorders>
              <w:top w:val="nil"/>
              <w:left w:val="nil"/>
              <w:bottom w:val="single" w:sz="4" w:space="0" w:color="auto"/>
              <w:right w:val="single" w:sz="4" w:space="0" w:color="auto"/>
            </w:tcBorders>
            <w:shd w:val="clear" w:color="auto" w:fill="auto"/>
            <w:noWrap/>
            <w:vAlign w:val="center"/>
            <w:hideMark/>
          </w:tcPr>
          <w:p w14:paraId="7E2FB4C7" w14:textId="62B0F24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201" w:type="dxa"/>
            <w:tcBorders>
              <w:top w:val="nil"/>
              <w:left w:val="nil"/>
              <w:bottom w:val="single" w:sz="4" w:space="0" w:color="auto"/>
              <w:right w:val="single" w:sz="4" w:space="0" w:color="auto"/>
            </w:tcBorders>
            <w:shd w:val="clear" w:color="auto" w:fill="auto"/>
            <w:noWrap/>
            <w:vAlign w:val="center"/>
            <w:hideMark/>
          </w:tcPr>
          <w:p w14:paraId="073720D8"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255" w:type="dxa"/>
            <w:tcBorders>
              <w:top w:val="nil"/>
              <w:left w:val="nil"/>
              <w:bottom w:val="single" w:sz="4" w:space="0" w:color="auto"/>
              <w:right w:val="single" w:sz="4" w:space="0" w:color="auto"/>
            </w:tcBorders>
            <w:shd w:val="clear" w:color="auto" w:fill="auto"/>
            <w:noWrap/>
            <w:vAlign w:val="center"/>
            <w:hideMark/>
          </w:tcPr>
          <w:p w14:paraId="68F3BD55" w14:textId="394A6F3F"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562" w:type="dxa"/>
            <w:tcBorders>
              <w:top w:val="nil"/>
              <w:left w:val="nil"/>
              <w:bottom w:val="single" w:sz="4" w:space="0" w:color="auto"/>
              <w:right w:val="single" w:sz="4" w:space="0" w:color="auto"/>
            </w:tcBorders>
            <w:shd w:val="clear" w:color="auto" w:fill="auto"/>
            <w:noWrap/>
            <w:vAlign w:val="center"/>
            <w:hideMark/>
          </w:tcPr>
          <w:p w14:paraId="69B34EED"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629" w:type="dxa"/>
            <w:tcBorders>
              <w:top w:val="nil"/>
              <w:left w:val="nil"/>
              <w:bottom w:val="single" w:sz="4" w:space="0" w:color="auto"/>
              <w:right w:val="single" w:sz="4" w:space="0" w:color="auto"/>
            </w:tcBorders>
            <w:shd w:val="clear" w:color="auto" w:fill="auto"/>
            <w:noWrap/>
            <w:vAlign w:val="center"/>
            <w:hideMark/>
          </w:tcPr>
          <w:p w14:paraId="1EE7CD44" w14:textId="779A903C"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3D61E269" w14:textId="77777777" w:rsidR="00F25ADC" w:rsidRPr="00FA3A22" w:rsidRDefault="00F25ADC" w:rsidP="00FA3A22">
      <w:pPr>
        <w:spacing w:line="240" w:lineRule="auto"/>
        <w:jc w:val="both"/>
        <w:rPr>
          <w:rFonts w:ascii="Arial" w:hAnsi="Arial" w:cs="Arial"/>
          <w:color w:val="0D0D0D" w:themeColor="text1" w:themeTint="F2"/>
          <w:sz w:val="20"/>
        </w:rPr>
      </w:pPr>
    </w:p>
    <w:p w14:paraId="42E8DDB6" w14:textId="77777777" w:rsidR="0075006C" w:rsidRPr="00FA3A22" w:rsidRDefault="0075006C" w:rsidP="00FA3A22">
      <w:pPr>
        <w:spacing w:line="240" w:lineRule="auto"/>
        <w:ind w:left="993" w:hanging="993"/>
        <w:jc w:val="both"/>
        <w:rPr>
          <w:rFonts w:ascii="Arial" w:hAnsi="Arial" w:cs="Arial"/>
          <w:b/>
          <w:bCs/>
          <w:color w:val="0D0D0D" w:themeColor="text1" w:themeTint="F2"/>
          <w:sz w:val="20"/>
        </w:rPr>
      </w:pPr>
    </w:p>
    <w:p w14:paraId="2B844F9E" w14:textId="198EEBB6" w:rsidR="00F25ADC" w:rsidRPr="00FA3A22" w:rsidRDefault="00404CA7" w:rsidP="00FA3A22">
      <w:pPr>
        <w:spacing w:line="240" w:lineRule="auto"/>
        <w:ind w:left="993" w:hanging="993"/>
        <w:jc w:val="both"/>
        <w:rPr>
          <w:rFonts w:ascii="Arial" w:hAnsi="Arial" w:cs="Arial"/>
          <w:b/>
          <w:bCs/>
          <w:color w:val="0D0D0D" w:themeColor="text1" w:themeTint="F2"/>
          <w:sz w:val="20"/>
        </w:rPr>
      </w:pPr>
      <w:r w:rsidRPr="00FA3A22">
        <w:rPr>
          <w:rFonts w:ascii="Arial" w:hAnsi="Arial" w:cs="Arial"/>
          <w:b/>
          <w:bCs/>
          <w:color w:val="0D0D0D" w:themeColor="text1" w:themeTint="F2"/>
          <w:sz w:val="20"/>
        </w:rPr>
        <w:t xml:space="preserve">Table 3. Temporal variation in humic acid and fulvic acid content of soil in various </w:t>
      </w:r>
      <w:r w:rsidR="00F92A7B" w:rsidRPr="00FA3A22">
        <w:rPr>
          <w:rFonts w:ascii="Arial" w:hAnsi="Arial" w:cs="Arial"/>
          <w:b/>
          <w:bCs/>
          <w:color w:val="0D0D0D" w:themeColor="text1" w:themeTint="F2"/>
          <w:sz w:val="20"/>
        </w:rPr>
        <w:t>Haritha Haram</w:t>
      </w:r>
      <w:r w:rsidRPr="00FA3A22">
        <w:rPr>
          <w:rFonts w:ascii="Arial" w:hAnsi="Arial" w:cs="Arial"/>
          <w:b/>
          <w:bCs/>
          <w:color w:val="0D0D0D" w:themeColor="text1" w:themeTint="F2"/>
          <w:sz w:val="20"/>
        </w:rPr>
        <w:t xml:space="preserve"> locations</w:t>
      </w:r>
    </w:p>
    <w:tbl>
      <w:tblPr>
        <w:tblW w:w="8996" w:type="dxa"/>
        <w:tblLook w:val="04A0" w:firstRow="1" w:lastRow="0" w:firstColumn="1" w:lastColumn="0" w:noHBand="0" w:noVBand="1"/>
      </w:tblPr>
      <w:tblGrid>
        <w:gridCol w:w="2252"/>
        <w:gridCol w:w="1631"/>
        <w:gridCol w:w="1741"/>
        <w:gridCol w:w="1631"/>
        <w:gridCol w:w="1741"/>
      </w:tblGrid>
      <w:tr w:rsidR="00F25ADC" w:rsidRPr="00FA3A22" w14:paraId="0DF67790" w14:textId="77777777" w:rsidTr="00882911">
        <w:trPr>
          <w:trHeight w:val="348"/>
        </w:trPr>
        <w:tc>
          <w:tcPr>
            <w:tcW w:w="2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EFD8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 </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0EBE7"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Humic acid</w:t>
            </w:r>
          </w:p>
        </w:tc>
        <w:tc>
          <w:tcPr>
            <w:tcW w:w="33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F6B7D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Fulvic Acid</w:t>
            </w:r>
          </w:p>
        </w:tc>
      </w:tr>
      <w:tr w:rsidR="00F25ADC" w:rsidRPr="00FA3A22" w14:paraId="5F2BB014"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4355905A"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Locations</w:t>
            </w:r>
          </w:p>
        </w:tc>
        <w:tc>
          <w:tcPr>
            <w:tcW w:w="1631" w:type="dxa"/>
            <w:tcBorders>
              <w:top w:val="nil"/>
              <w:left w:val="nil"/>
              <w:bottom w:val="single" w:sz="4" w:space="0" w:color="auto"/>
              <w:right w:val="single" w:sz="4" w:space="0" w:color="auto"/>
            </w:tcBorders>
            <w:shd w:val="clear" w:color="auto" w:fill="auto"/>
            <w:noWrap/>
            <w:vAlign w:val="center"/>
            <w:hideMark/>
          </w:tcPr>
          <w:p w14:paraId="448F99A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4063DAF"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c>
          <w:tcPr>
            <w:tcW w:w="1631" w:type="dxa"/>
            <w:tcBorders>
              <w:top w:val="nil"/>
              <w:left w:val="nil"/>
              <w:bottom w:val="single" w:sz="4" w:space="0" w:color="auto"/>
              <w:right w:val="single" w:sz="4" w:space="0" w:color="auto"/>
            </w:tcBorders>
            <w:shd w:val="clear" w:color="auto" w:fill="auto"/>
            <w:noWrap/>
            <w:vAlign w:val="center"/>
            <w:hideMark/>
          </w:tcPr>
          <w:p w14:paraId="0E794E40"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(May 2023)</w:t>
            </w:r>
          </w:p>
        </w:tc>
        <w:tc>
          <w:tcPr>
            <w:tcW w:w="1740" w:type="dxa"/>
            <w:tcBorders>
              <w:top w:val="nil"/>
              <w:left w:val="nil"/>
              <w:bottom w:val="single" w:sz="4" w:space="0" w:color="auto"/>
              <w:right w:val="single" w:sz="4" w:space="0" w:color="auto"/>
            </w:tcBorders>
            <w:shd w:val="clear" w:color="auto" w:fill="auto"/>
            <w:noWrap/>
            <w:vAlign w:val="center"/>
            <w:hideMark/>
          </w:tcPr>
          <w:p w14:paraId="5EBBA166" w14:textId="77777777" w:rsidR="00F25ADC" w:rsidRPr="00FA3A22" w:rsidRDefault="00F25ADC" w:rsidP="00FA3A22">
            <w:pPr>
              <w:spacing w:after="0" w:line="240" w:lineRule="auto"/>
              <w:jc w:val="both"/>
              <w:rPr>
                <w:rFonts w:ascii="Arial" w:eastAsia="Times New Roman" w:hAnsi="Arial" w:cs="Arial"/>
                <w:b/>
                <w:bCs/>
                <w:color w:val="000000"/>
                <w:kern w:val="0"/>
                <w:sz w:val="20"/>
                <w:lang w:eastAsia="en-IN" w:bidi="ar-SA"/>
                <w14:ligatures w14:val="none"/>
              </w:rPr>
            </w:pPr>
            <w:r w:rsidRPr="00FA3A22">
              <w:rPr>
                <w:rFonts w:ascii="Arial" w:eastAsia="Times New Roman" w:hAnsi="Arial" w:cs="Arial"/>
                <w:b/>
                <w:bCs/>
                <w:color w:val="000000"/>
                <w:kern w:val="0"/>
                <w:sz w:val="20"/>
                <w:lang w:eastAsia="en-IN" w:bidi="ar-SA"/>
                <w14:ligatures w14:val="none"/>
              </w:rPr>
              <w:t>(April 2024)</w:t>
            </w:r>
          </w:p>
        </w:tc>
      </w:tr>
      <w:tr w:rsidR="00F25ADC" w:rsidRPr="00FA3A22" w14:paraId="507AD6F9"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A0EC9E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lastRenderedPageBreak/>
              <w:t>Rajendranagar</w:t>
            </w:r>
          </w:p>
        </w:tc>
        <w:tc>
          <w:tcPr>
            <w:tcW w:w="1631" w:type="dxa"/>
            <w:tcBorders>
              <w:top w:val="nil"/>
              <w:left w:val="nil"/>
              <w:bottom w:val="single" w:sz="4" w:space="0" w:color="auto"/>
              <w:right w:val="single" w:sz="4" w:space="0" w:color="auto"/>
            </w:tcBorders>
            <w:shd w:val="clear" w:color="auto" w:fill="auto"/>
            <w:noWrap/>
            <w:vAlign w:val="center"/>
            <w:hideMark/>
          </w:tcPr>
          <w:p w14:paraId="1465811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1.70</w:t>
            </w:r>
          </w:p>
        </w:tc>
        <w:tc>
          <w:tcPr>
            <w:tcW w:w="1740" w:type="dxa"/>
            <w:tcBorders>
              <w:top w:val="nil"/>
              <w:left w:val="nil"/>
              <w:bottom w:val="single" w:sz="4" w:space="0" w:color="auto"/>
              <w:right w:val="single" w:sz="4" w:space="0" w:color="auto"/>
            </w:tcBorders>
            <w:shd w:val="clear" w:color="auto" w:fill="auto"/>
            <w:noWrap/>
            <w:vAlign w:val="center"/>
            <w:hideMark/>
          </w:tcPr>
          <w:p w14:paraId="1514EEE0"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1.73</w:t>
            </w:r>
          </w:p>
        </w:tc>
        <w:tc>
          <w:tcPr>
            <w:tcW w:w="1631" w:type="dxa"/>
            <w:tcBorders>
              <w:top w:val="nil"/>
              <w:left w:val="nil"/>
              <w:bottom w:val="single" w:sz="4" w:space="0" w:color="auto"/>
              <w:right w:val="single" w:sz="4" w:space="0" w:color="auto"/>
            </w:tcBorders>
            <w:shd w:val="clear" w:color="auto" w:fill="auto"/>
            <w:noWrap/>
            <w:vAlign w:val="center"/>
            <w:hideMark/>
          </w:tcPr>
          <w:p w14:paraId="5F1CB35B"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1.13</w:t>
            </w:r>
          </w:p>
        </w:tc>
        <w:tc>
          <w:tcPr>
            <w:tcW w:w="1740" w:type="dxa"/>
            <w:tcBorders>
              <w:top w:val="nil"/>
              <w:left w:val="nil"/>
              <w:bottom w:val="single" w:sz="4" w:space="0" w:color="auto"/>
              <w:right w:val="single" w:sz="4" w:space="0" w:color="auto"/>
            </w:tcBorders>
            <w:shd w:val="clear" w:color="auto" w:fill="auto"/>
            <w:noWrap/>
            <w:vAlign w:val="center"/>
            <w:hideMark/>
          </w:tcPr>
          <w:p w14:paraId="6B199BCC"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1.15</w:t>
            </w:r>
          </w:p>
        </w:tc>
      </w:tr>
      <w:tr w:rsidR="00F25ADC" w:rsidRPr="00FA3A22" w14:paraId="0AF1208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395DDA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Tholkatta</w:t>
            </w:r>
          </w:p>
        </w:tc>
        <w:tc>
          <w:tcPr>
            <w:tcW w:w="1631" w:type="dxa"/>
            <w:tcBorders>
              <w:top w:val="nil"/>
              <w:left w:val="nil"/>
              <w:bottom w:val="single" w:sz="4" w:space="0" w:color="auto"/>
              <w:right w:val="single" w:sz="4" w:space="0" w:color="auto"/>
            </w:tcBorders>
            <w:shd w:val="clear" w:color="auto" w:fill="auto"/>
            <w:noWrap/>
            <w:vAlign w:val="center"/>
            <w:hideMark/>
          </w:tcPr>
          <w:p w14:paraId="77654FA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1.40</w:t>
            </w:r>
          </w:p>
        </w:tc>
        <w:tc>
          <w:tcPr>
            <w:tcW w:w="1740" w:type="dxa"/>
            <w:tcBorders>
              <w:top w:val="nil"/>
              <w:left w:val="nil"/>
              <w:bottom w:val="single" w:sz="4" w:space="0" w:color="auto"/>
              <w:right w:val="single" w:sz="4" w:space="0" w:color="auto"/>
            </w:tcBorders>
            <w:shd w:val="clear" w:color="auto" w:fill="auto"/>
            <w:noWrap/>
            <w:vAlign w:val="center"/>
            <w:hideMark/>
          </w:tcPr>
          <w:p w14:paraId="04AD501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1.43</w:t>
            </w:r>
          </w:p>
        </w:tc>
        <w:tc>
          <w:tcPr>
            <w:tcW w:w="1631" w:type="dxa"/>
            <w:tcBorders>
              <w:top w:val="nil"/>
              <w:left w:val="nil"/>
              <w:bottom w:val="single" w:sz="4" w:space="0" w:color="auto"/>
              <w:right w:val="single" w:sz="4" w:space="0" w:color="auto"/>
            </w:tcBorders>
            <w:shd w:val="clear" w:color="auto" w:fill="auto"/>
            <w:noWrap/>
            <w:vAlign w:val="center"/>
            <w:hideMark/>
          </w:tcPr>
          <w:p w14:paraId="07E5A85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1.01</w:t>
            </w:r>
          </w:p>
        </w:tc>
        <w:tc>
          <w:tcPr>
            <w:tcW w:w="1740" w:type="dxa"/>
            <w:tcBorders>
              <w:top w:val="nil"/>
              <w:left w:val="nil"/>
              <w:bottom w:val="single" w:sz="4" w:space="0" w:color="auto"/>
              <w:right w:val="single" w:sz="4" w:space="0" w:color="auto"/>
            </w:tcBorders>
            <w:shd w:val="clear" w:color="auto" w:fill="auto"/>
            <w:noWrap/>
            <w:vAlign w:val="center"/>
            <w:hideMark/>
          </w:tcPr>
          <w:p w14:paraId="1078F23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1.03</w:t>
            </w:r>
          </w:p>
        </w:tc>
      </w:tr>
      <w:tr w:rsidR="00F25ADC" w:rsidRPr="00FA3A22" w14:paraId="54BC48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F7A31F0"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Basthepur</w:t>
            </w:r>
          </w:p>
        </w:tc>
        <w:tc>
          <w:tcPr>
            <w:tcW w:w="1631" w:type="dxa"/>
            <w:tcBorders>
              <w:top w:val="nil"/>
              <w:left w:val="nil"/>
              <w:bottom w:val="single" w:sz="4" w:space="0" w:color="auto"/>
              <w:right w:val="single" w:sz="4" w:space="0" w:color="auto"/>
            </w:tcBorders>
            <w:shd w:val="clear" w:color="auto" w:fill="auto"/>
            <w:noWrap/>
            <w:vAlign w:val="center"/>
            <w:hideMark/>
          </w:tcPr>
          <w:p w14:paraId="6DDA9BED"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1.60</w:t>
            </w:r>
          </w:p>
        </w:tc>
        <w:tc>
          <w:tcPr>
            <w:tcW w:w="1740" w:type="dxa"/>
            <w:tcBorders>
              <w:top w:val="nil"/>
              <w:left w:val="nil"/>
              <w:bottom w:val="single" w:sz="4" w:space="0" w:color="auto"/>
              <w:right w:val="single" w:sz="4" w:space="0" w:color="auto"/>
            </w:tcBorders>
            <w:shd w:val="clear" w:color="auto" w:fill="auto"/>
            <w:noWrap/>
            <w:vAlign w:val="center"/>
            <w:hideMark/>
          </w:tcPr>
          <w:p w14:paraId="769CC7D5"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1.62</w:t>
            </w:r>
          </w:p>
        </w:tc>
        <w:tc>
          <w:tcPr>
            <w:tcW w:w="1631" w:type="dxa"/>
            <w:tcBorders>
              <w:top w:val="nil"/>
              <w:left w:val="nil"/>
              <w:bottom w:val="single" w:sz="4" w:space="0" w:color="auto"/>
              <w:right w:val="single" w:sz="4" w:space="0" w:color="auto"/>
            </w:tcBorders>
            <w:shd w:val="clear" w:color="auto" w:fill="auto"/>
            <w:noWrap/>
            <w:vAlign w:val="center"/>
            <w:hideMark/>
          </w:tcPr>
          <w:p w14:paraId="77AB3694"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1.10</w:t>
            </w:r>
          </w:p>
        </w:tc>
        <w:tc>
          <w:tcPr>
            <w:tcW w:w="1740" w:type="dxa"/>
            <w:tcBorders>
              <w:top w:val="nil"/>
              <w:left w:val="nil"/>
              <w:bottom w:val="single" w:sz="4" w:space="0" w:color="auto"/>
              <w:right w:val="single" w:sz="4" w:space="0" w:color="auto"/>
            </w:tcBorders>
            <w:shd w:val="clear" w:color="auto" w:fill="auto"/>
            <w:noWrap/>
            <w:vAlign w:val="center"/>
            <w:hideMark/>
          </w:tcPr>
          <w:p w14:paraId="7E59C3D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1.12</w:t>
            </w:r>
          </w:p>
        </w:tc>
      </w:tr>
      <w:tr w:rsidR="00F25ADC" w:rsidRPr="00FA3A22" w14:paraId="3A1D801E"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5641FE58"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Peerzadiguda</w:t>
            </w:r>
          </w:p>
        </w:tc>
        <w:tc>
          <w:tcPr>
            <w:tcW w:w="1631" w:type="dxa"/>
            <w:tcBorders>
              <w:top w:val="nil"/>
              <w:left w:val="nil"/>
              <w:bottom w:val="single" w:sz="4" w:space="0" w:color="auto"/>
              <w:right w:val="single" w:sz="4" w:space="0" w:color="auto"/>
            </w:tcBorders>
            <w:shd w:val="clear" w:color="auto" w:fill="auto"/>
            <w:noWrap/>
            <w:vAlign w:val="center"/>
            <w:hideMark/>
          </w:tcPr>
          <w:p w14:paraId="3CC76B4F"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1.50</w:t>
            </w:r>
          </w:p>
        </w:tc>
        <w:tc>
          <w:tcPr>
            <w:tcW w:w="1740" w:type="dxa"/>
            <w:tcBorders>
              <w:top w:val="nil"/>
              <w:left w:val="nil"/>
              <w:bottom w:val="single" w:sz="4" w:space="0" w:color="auto"/>
              <w:right w:val="single" w:sz="4" w:space="0" w:color="auto"/>
            </w:tcBorders>
            <w:shd w:val="clear" w:color="auto" w:fill="auto"/>
            <w:noWrap/>
            <w:vAlign w:val="center"/>
            <w:hideMark/>
          </w:tcPr>
          <w:p w14:paraId="496C7A69"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1.53</w:t>
            </w:r>
          </w:p>
        </w:tc>
        <w:tc>
          <w:tcPr>
            <w:tcW w:w="1631" w:type="dxa"/>
            <w:tcBorders>
              <w:top w:val="nil"/>
              <w:left w:val="nil"/>
              <w:bottom w:val="single" w:sz="4" w:space="0" w:color="auto"/>
              <w:right w:val="single" w:sz="4" w:space="0" w:color="auto"/>
            </w:tcBorders>
            <w:shd w:val="clear" w:color="auto" w:fill="auto"/>
            <w:noWrap/>
            <w:vAlign w:val="center"/>
            <w:hideMark/>
          </w:tcPr>
          <w:p w14:paraId="61A0D746"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726F7D0E"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1.09</w:t>
            </w:r>
          </w:p>
        </w:tc>
      </w:tr>
      <w:tr w:rsidR="00F25ADC" w:rsidRPr="00FA3A22" w14:paraId="1A75A2CF"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18C8C675"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Malkaram</w:t>
            </w:r>
          </w:p>
        </w:tc>
        <w:tc>
          <w:tcPr>
            <w:tcW w:w="1631" w:type="dxa"/>
            <w:tcBorders>
              <w:top w:val="nil"/>
              <w:left w:val="nil"/>
              <w:bottom w:val="single" w:sz="4" w:space="0" w:color="auto"/>
              <w:right w:val="single" w:sz="4" w:space="0" w:color="auto"/>
            </w:tcBorders>
            <w:shd w:val="clear" w:color="auto" w:fill="auto"/>
            <w:noWrap/>
            <w:vAlign w:val="center"/>
            <w:hideMark/>
          </w:tcPr>
          <w:p w14:paraId="69723BE3"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1.46</w:t>
            </w:r>
          </w:p>
        </w:tc>
        <w:tc>
          <w:tcPr>
            <w:tcW w:w="1740" w:type="dxa"/>
            <w:tcBorders>
              <w:top w:val="nil"/>
              <w:left w:val="nil"/>
              <w:bottom w:val="single" w:sz="4" w:space="0" w:color="auto"/>
              <w:right w:val="single" w:sz="4" w:space="0" w:color="auto"/>
            </w:tcBorders>
            <w:shd w:val="clear" w:color="auto" w:fill="auto"/>
            <w:noWrap/>
            <w:vAlign w:val="center"/>
            <w:hideMark/>
          </w:tcPr>
          <w:p w14:paraId="5E7054F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1.48</w:t>
            </w:r>
          </w:p>
        </w:tc>
        <w:tc>
          <w:tcPr>
            <w:tcW w:w="1631" w:type="dxa"/>
            <w:tcBorders>
              <w:top w:val="nil"/>
              <w:left w:val="nil"/>
              <w:bottom w:val="single" w:sz="4" w:space="0" w:color="auto"/>
              <w:right w:val="single" w:sz="4" w:space="0" w:color="auto"/>
            </w:tcBorders>
            <w:shd w:val="clear" w:color="auto" w:fill="auto"/>
            <w:noWrap/>
            <w:vAlign w:val="center"/>
            <w:hideMark/>
          </w:tcPr>
          <w:p w14:paraId="1677ADD2"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1.05</w:t>
            </w:r>
          </w:p>
        </w:tc>
        <w:tc>
          <w:tcPr>
            <w:tcW w:w="1740" w:type="dxa"/>
            <w:tcBorders>
              <w:top w:val="nil"/>
              <w:left w:val="nil"/>
              <w:bottom w:val="single" w:sz="4" w:space="0" w:color="auto"/>
              <w:right w:val="single" w:sz="4" w:space="0" w:color="auto"/>
            </w:tcBorders>
            <w:shd w:val="clear" w:color="auto" w:fill="auto"/>
            <w:noWrap/>
            <w:vAlign w:val="center"/>
            <w:hideMark/>
          </w:tcPr>
          <w:p w14:paraId="085405F8" w14:textId="77777777" w:rsidR="00F25ADC" w:rsidRPr="00FA3A22" w:rsidRDefault="00F25ADC" w:rsidP="00FA3A22">
            <w:pPr>
              <w:spacing w:after="0" w:line="240" w:lineRule="auto"/>
              <w:jc w:val="both"/>
              <w:rPr>
                <w:rFonts w:ascii="Arial" w:eastAsia="Times New Roman" w:hAnsi="Arial" w:cs="Arial"/>
                <w:kern w:val="0"/>
                <w:sz w:val="20"/>
                <w:lang w:eastAsia="en-IN" w:bidi="ar-SA"/>
                <w14:ligatures w14:val="none"/>
              </w:rPr>
            </w:pPr>
            <w:r w:rsidRPr="00FA3A22">
              <w:rPr>
                <w:rFonts w:ascii="Arial" w:eastAsia="Times New Roman" w:hAnsi="Arial" w:cs="Arial"/>
                <w:kern w:val="0"/>
                <w:sz w:val="20"/>
                <w:lang w:eastAsia="en-IN" w:bidi="ar-SA"/>
                <w14:ligatures w14:val="none"/>
              </w:rPr>
              <w:t>1.08</w:t>
            </w:r>
          </w:p>
        </w:tc>
      </w:tr>
      <w:tr w:rsidR="00F25ADC" w:rsidRPr="00FA3A22" w14:paraId="5B912603"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2DF39D04"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Mean</w:t>
            </w:r>
          </w:p>
        </w:tc>
        <w:tc>
          <w:tcPr>
            <w:tcW w:w="1631" w:type="dxa"/>
            <w:tcBorders>
              <w:top w:val="nil"/>
              <w:left w:val="nil"/>
              <w:bottom w:val="single" w:sz="4" w:space="0" w:color="auto"/>
              <w:right w:val="single" w:sz="4" w:space="0" w:color="auto"/>
            </w:tcBorders>
            <w:shd w:val="clear" w:color="auto" w:fill="auto"/>
            <w:noWrap/>
            <w:vAlign w:val="center"/>
            <w:hideMark/>
          </w:tcPr>
          <w:p w14:paraId="75DB76AB"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1.53</w:t>
            </w:r>
          </w:p>
        </w:tc>
        <w:tc>
          <w:tcPr>
            <w:tcW w:w="1740" w:type="dxa"/>
            <w:tcBorders>
              <w:top w:val="nil"/>
              <w:left w:val="nil"/>
              <w:bottom w:val="single" w:sz="4" w:space="0" w:color="auto"/>
              <w:right w:val="single" w:sz="4" w:space="0" w:color="auto"/>
            </w:tcBorders>
            <w:shd w:val="clear" w:color="auto" w:fill="auto"/>
            <w:noWrap/>
            <w:vAlign w:val="center"/>
            <w:hideMark/>
          </w:tcPr>
          <w:p w14:paraId="7F64849D"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1.56</w:t>
            </w:r>
          </w:p>
        </w:tc>
        <w:tc>
          <w:tcPr>
            <w:tcW w:w="1631" w:type="dxa"/>
            <w:tcBorders>
              <w:top w:val="nil"/>
              <w:left w:val="nil"/>
              <w:bottom w:val="single" w:sz="4" w:space="0" w:color="auto"/>
              <w:right w:val="single" w:sz="4" w:space="0" w:color="auto"/>
            </w:tcBorders>
            <w:shd w:val="clear" w:color="auto" w:fill="auto"/>
            <w:noWrap/>
            <w:vAlign w:val="center"/>
            <w:hideMark/>
          </w:tcPr>
          <w:p w14:paraId="4E407D09"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1.07</w:t>
            </w:r>
          </w:p>
        </w:tc>
        <w:tc>
          <w:tcPr>
            <w:tcW w:w="1740" w:type="dxa"/>
            <w:tcBorders>
              <w:top w:val="nil"/>
              <w:left w:val="nil"/>
              <w:bottom w:val="single" w:sz="4" w:space="0" w:color="auto"/>
              <w:right w:val="single" w:sz="4" w:space="0" w:color="auto"/>
            </w:tcBorders>
            <w:shd w:val="clear" w:color="auto" w:fill="auto"/>
            <w:noWrap/>
            <w:vAlign w:val="center"/>
            <w:hideMark/>
          </w:tcPr>
          <w:p w14:paraId="1B09A1CE" w14:textId="77777777"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r w:rsidRPr="00FA3A22">
              <w:rPr>
                <w:rFonts w:ascii="Arial" w:eastAsia="Times New Roman" w:hAnsi="Arial" w:cs="Arial"/>
                <w:color w:val="000000"/>
                <w:kern w:val="0"/>
                <w:sz w:val="20"/>
                <w:lang w:eastAsia="en-IN" w:bidi="ar-SA"/>
                <w14:ligatures w14:val="none"/>
              </w:rPr>
              <w:t>1.09</w:t>
            </w:r>
          </w:p>
        </w:tc>
      </w:tr>
      <w:tr w:rsidR="00F25ADC" w:rsidRPr="00FA3A22" w14:paraId="5B8DF5D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6A6C3A8C"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cal</w:t>
            </w:r>
          </w:p>
        </w:tc>
        <w:tc>
          <w:tcPr>
            <w:tcW w:w="1631" w:type="dxa"/>
            <w:tcBorders>
              <w:top w:val="nil"/>
              <w:left w:val="nil"/>
              <w:bottom w:val="single" w:sz="4" w:space="0" w:color="auto"/>
              <w:right w:val="single" w:sz="4" w:space="0" w:color="auto"/>
            </w:tcBorders>
            <w:shd w:val="clear" w:color="auto" w:fill="auto"/>
            <w:noWrap/>
            <w:vAlign w:val="center"/>
            <w:hideMark/>
          </w:tcPr>
          <w:p w14:paraId="550EF78E"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8.55</w:t>
            </w:r>
          </w:p>
        </w:tc>
        <w:tc>
          <w:tcPr>
            <w:tcW w:w="1740" w:type="dxa"/>
            <w:tcBorders>
              <w:top w:val="nil"/>
              <w:left w:val="nil"/>
              <w:bottom w:val="single" w:sz="4" w:space="0" w:color="auto"/>
              <w:right w:val="single" w:sz="4" w:space="0" w:color="auto"/>
            </w:tcBorders>
            <w:shd w:val="clear" w:color="auto" w:fill="auto"/>
            <w:noWrap/>
            <w:vAlign w:val="center"/>
            <w:hideMark/>
          </w:tcPr>
          <w:p w14:paraId="3A3BF59A" w14:textId="2C646735"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2949E7D1"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15.8</w:t>
            </w:r>
          </w:p>
        </w:tc>
        <w:tc>
          <w:tcPr>
            <w:tcW w:w="1740" w:type="dxa"/>
            <w:tcBorders>
              <w:top w:val="nil"/>
              <w:left w:val="nil"/>
              <w:bottom w:val="single" w:sz="4" w:space="0" w:color="auto"/>
              <w:right w:val="single" w:sz="4" w:space="0" w:color="auto"/>
            </w:tcBorders>
            <w:shd w:val="clear" w:color="auto" w:fill="auto"/>
            <w:noWrap/>
            <w:vAlign w:val="center"/>
            <w:hideMark/>
          </w:tcPr>
          <w:p w14:paraId="134F12B9" w14:textId="22D81C65"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r w:rsidR="00F25ADC" w:rsidRPr="00FA3A22" w14:paraId="4EBDAE0B" w14:textId="77777777" w:rsidTr="00882911">
        <w:trPr>
          <w:trHeight w:val="348"/>
        </w:trPr>
        <w:tc>
          <w:tcPr>
            <w:tcW w:w="2252" w:type="dxa"/>
            <w:tcBorders>
              <w:top w:val="nil"/>
              <w:left w:val="single" w:sz="4" w:space="0" w:color="auto"/>
              <w:bottom w:val="single" w:sz="4" w:space="0" w:color="auto"/>
              <w:right w:val="single" w:sz="4" w:space="0" w:color="auto"/>
            </w:tcBorders>
            <w:shd w:val="clear" w:color="auto" w:fill="auto"/>
            <w:noWrap/>
            <w:vAlign w:val="center"/>
            <w:hideMark/>
          </w:tcPr>
          <w:p w14:paraId="701DCAA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t tab</w:t>
            </w:r>
          </w:p>
        </w:tc>
        <w:tc>
          <w:tcPr>
            <w:tcW w:w="1631" w:type="dxa"/>
            <w:tcBorders>
              <w:top w:val="nil"/>
              <w:left w:val="nil"/>
              <w:bottom w:val="single" w:sz="4" w:space="0" w:color="auto"/>
              <w:right w:val="single" w:sz="4" w:space="0" w:color="auto"/>
            </w:tcBorders>
            <w:shd w:val="clear" w:color="auto" w:fill="auto"/>
            <w:noWrap/>
            <w:vAlign w:val="center"/>
            <w:hideMark/>
          </w:tcPr>
          <w:p w14:paraId="41F4E27B"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6AA152EF" w14:textId="57C614C0"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p>
        </w:tc>
        <w:tc>
          <w:tcPr>
            <w:tcW w:w="1631" w:type="dxa"/>
            <w:tcBorders>
              <w:top w:val="nil"/>
              <w:left w:val="nil"/>
              <w:bottom w:val="single" w:sz="4" w:space="0" w:color="auto"/>
              <w:right w:val="single" w:sz="4" w:space="0" w:color="auto"/>
            </w:tcBorders>
            <w:shd w:val="clear" w:color="auto" w:fill="auto"/>
            <w:noWrap/>
            <w:vAlign w:val="center"/>
            <w:hideMark/>
          </w:tcPr>
          <w:p w14:paraId="49F79B40" w14:textId="77777777" w:rsidR="00F25ADC" w:rsidRPr="00FA3A22" w:rsidRDefault="00F25ADC" w:rsidP="00FA3A22">
            <w:pPr>
              <w:spacing w:after="0" w:line="240" w:lineRule="auto"/>
              <w:jc w:val="both"/>
              <w:rPr>
                <w:rFonts w:ascii="Arial" w:eastAsia="Times New Roman" w:hAnsi="Arial" w:cs="Arial"/>
                <w:b/>
                <w:color w:val="000000"/>
                <w:kern w:val="0"/>
                <w:sz w:val="20"/>
                <w:lang w:eastAsia="en-IN" w:bidi="ar-SA"/>
                <w14:ligatures w14:val="none"/>
              </w:rPr>
            </w:pPr>
            <w:r w:rsidRPr="00FA3A22">
              <w:rPr>
                <w:rFonts w:ascii="Arial" w:eastAsia="Times New Roman" w:hAnsi="Arial" w:cs="Arial"/>
                <w:b/>
                <w:color w:val="000000"/>
                <w:kern w:val="0"/>
                <w:sz w:val="20"/>
                <w:lang w:eastAsia="en-IN" w:bidi="ar-SA"/>
                <w14:ligatures w14:val="none"/>
              </w:rPr>
              <w:t>2.78</w:t>
            </w:r>
          </w:p>
        </w:tc>
        <w:tc>
          <w:tcPr>
            <w:tcW w:w="1740" w:type="dxa"/>
            <w:tcBorders>
              <w:top w:val="nil"/>
              <w:left w:val="nil"/>
              <w:bottom w:val="single" w:sz="4" w:space="0" w:color="auto"/>
              <w:right w:val="single" w:sz="4" w:space="0" w:color="auto"/>
            </w:tcBorders>
            <w:shd w:val="clear" w:color="auto" w:fill="auto"/>
            <w:noWrap/>
            <w:vAlign w:val="center"/>
            <w:hideMark/>
          </w:tcPr>
          <w:p w14:paraId="3B0BCCD4" w14:textId="6516DD38" w:rsidR="00F25ADC" w:rsidRPr="00FA3A22" w:rsidRDefault="00F25ADC" w:rsidP="00FA3A22">
            <w:pPr>
              <w:spacing w:after="0" w:line="240" w:lineRule="auto"/>
              <w:jc w:val="both"/>
              <w:rPr>
                <w:rFonts w:ascii="Arial" w:eastAsia="Times New Roman" w:hAnsi="Arial" w:cs="Arial"/>
                <w:color w:val="000000"/>
                <w:kern w:val="0"/>
                <w:sz w:val="20"/>
                <w:lang w:eastAsia="en-IN" w:bidi="ar-SA"/>
                <w14:ligatures w14:val="none"/>
              </w:rPr>
            </w:pPr>
          </w:p>
        </w:tc>
      </w:tr>
    </w:tbl>
    <w:p w14:paraId="298976A6" w14:textId="431C3685" w:rsidR="00F25ADC" w:rsidRPr="00FA3A22" w:rsidRDefault="00F25ADC" w:rsidP="00FA3A22">
      <w:pPr>
        <w:spacing w:line="240" w:lineRule="auto"/>
        <w:ind w:left="720" w:hanging="720"/>
        <w:jc w:val="both"/>
        <w:rPr>
          <w:rFonts w:ascii="Arial" w:hAnsi="Arial" w:cs="Arial"/>
          <w:color w:val="0D0D0D" w:themeColor="text1" w:themeTint="F2"/>
          <w:sz w:val="20"/>
        </w:rPr>
      </w:pPr>
    </w:p>
    <w:p w14:paraId="7A30131D" w14:textId="77777777" w:rsidR="00A12231" w:rsidRPr="00FA3A22" w:rsidRDefault="00A12231" w:rsidP="00FA3A22">
      <w:pPr>
        <w:spacing w:line="240" w:lineRule="auto"/>
        <w:ind w:left="720" w:hanging="720"/>
        <w:jc w:val="both"/>
        <w:rPr>
          <w:rFonts w:ascii="Arial" w:hAnsi="Arial" w:cs="Arial"/>
          <w:color w:val="0D0D0D" w:themeColor="text1" w:themeTint="F2"/>
          <w:sz w:val="20"/>
        </w:rPr>
      </w:pPr>
    </w:p>
    <w:p w14:paraId="37E7A58C" w14:textId="6AFEDC59" w:rsidR="00104CCA" w:rsidRPr="00FA3A22" w:rsidRDefault="00104CCA" w:rsidP="00FA3A22">
      <w:pPr>
        <w:spacing w:line="240" w:lineRule="auto"/>
        <w:ind w:left="720" w:hanging="720"/>
        <w:jc w:val="both"/>
        <w:rPr>
          <w:rFonts w:ascii="Arial" w:hAnsi="Arial" w:cs="Arial"/>
          <w:color w:val="0D0D0D" w:themeColor="text1" w:themeTint="F2"/>
          <w:sz w:val="20"/>
        </w:rPr>
      </w:pPr>
      <w:r w:rsidRPr="00FA3A22">
        <w:rPr>
          <w:rFonts w:ascii="Arial" w:hAnsi="Arial" w:cs="Arial"/>
          <w:color w:val="0D0D0D" w:themeColor="text1" w:themeTint="F2"/>
          <w:sz w:val="20"/>
        </w:rPr>
        <w:t xml:space="preserve"> </w:t>
      </w:r>
    </w:p>
    <w:p w14:paraId="6981E97F" w14:textId="77777777" w:rsidR="00104CCA" w:rsidRPr="00FA3A22" w:rsidRDefault="00104CCA" w:rsidP="00FA3A22">
      <w:pPr>
        <w:spacing w:line="240" w:lineRule="auto"/>
        <w:ind w:left="720" w:hanging="720"/>
        <w:jc w:val="both"/>
        <w:rPr>
          <w:rFonts w:ascii="Arial" w:hAnsi="Arial" w:cs="Arial"/>
          <w:color w:val="0D0D0D" w:themeColor="text1" w:themeTint="F2"/>
          <w:sz w:val="20"/>
        </w:rPr>
      </w:pPr>
    </w:p>
    <w:p w14:paraId="692542CE" w14:textId="77777777" w:rsidR="0024006C" w:rsidRPr="00FA3A22" w:rsidRDefault="005711CD" w:rsidP="00FA3A22">
      <w:pPr>
        <w:spacing w:line="240" w:lineRule="auto"/>
        <w:jc w:val="both"/>
        <w:rPr>
          <w:rFonts w:ascii="Arial" w:hAnsi="Arial" w:cs="Arial"/>
          <w:color w:val="000000" w:themeColor="text1"/>
          <w:sz w:val="20"/>
        </w:rPr>
      </w:pPr>
      <w:commentRangeStart w:id="6"/>
      <w:commentRangeEnd w:id="6"/>
      <w:r>
        <w:rPr>
          <w:rStyle w:val="CommentReference"/>
        </w:rPr>
        <w:commentReference w:id="6"/>
      </w:r>
    </w:p>
    <w:p w14:paraId="3954356C" w14:textId="77777777" w:rsidR="006D762C" w:rsidRPr="00FA3A22" w:rsidRDefault="006D762C" w:rsidP="00FA3A22">
      <w:pPr>
        <w:spacing w:line="240" w:lineRule="auto"/>
        <w:ind w:firstLine="720"/>
        <w:jc w:val="both"/>
        <w:rPr>
          <w:rFonts w:ascii="Arial" w:hAnsi="Arial" w:cs="Arial"/>
          <w:color w:val="000000" w:themeColor="text1"/>
          <w:sz w:val="20"/>
        </w:rPr>
      </w:pPr>
    </w:p>
    <w:p w14:paraId="7BAC4A49" w14:textId="77777777" w:rsidR="006D762C" w:rsidRPr="00FA3A22" w:rsidRDefault="006D762C" w:rsidP="00FA3A22">
      <w:pPr>
        <w:spacing w:line="240" w:lineRule="auto"/>
        <w:jc w:val="both"/>
        <w:rPr>
          <w:rFonts w:ascii="Arial" w:hAnsi="Arial" w:cs="Arial"/>
          <w:b/>
          <w:bCs/>
          <w:sz w:val="20"/>
          <w:lang w:val="en-US"/>
        </w:rPr>
      </w:pPr>
    </w:p>
    <w:p w14:paraId="23CDCBCE" w14:textId="77777777" w:rsidR="0081412D" w:rsidRPr="00FA3A22" w:rsidRDefault="0081412D" w:rsidP="00FA3A22">
      <w:pPr>
        <w:spacing w:line="240" w:lineRule="auto"/>
        <w:jc w:val="both"/>
        <w:rPr>
          <w:rFonts w:ascii="Arial" w:hAnsi="Arial" w:cs="Arial"/>
          <w:b/>
          <w:bCs/>
          <w:sz w:val="20"/>
          <w:lang w:val="en-US"/>
        </w:rPr>
      </w:pPr>
    </w:p>
    <w:sectPr w:rsidR="0081412D" w:rsidRPr="00FA3A22" w:rsidSect="00C0271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JNEESH KUMAR" w:date="2025-03-19T11:15:00Z" w:initials="RK">
    <w:p w14:paraId="4263C1E6" w14:textId="0626FD43" w:rsidR="00FA3A22" w:rsidRDefault="00FA3A22">
      <w:pPr>
        <w:pStyle w:val="CommentText"/>
      </w:pPr>
      <w:r>
        <w:rPr>
          <w:rStyle w:val="CommentReference"/>
        </w:rPr>
        <w:annotationRef/>
      </w:r>
      <w:r>
        <w:t>Rewrite abstract in 250 words including background, methodologies, area and year of research with findings, conclusion and its future aspects</w:t>
      </w:r>
    </w:p>
  </w:comment>
  <w:comment w:id="2" w:author="RAJNEESH KUMAR" w:date="2025-03-19T11:16:00Z" w:initials="RK">
    <w:p w14:paraId="20CEA744" w14:textId="4F667484" w:rsidR="00FA3A22" w:rsidRDefault="00FA3A22">
      <w:pPr>
        <w:pStyle w:val="CommentText"/>
      </w:pPr>
      <w:r>
        <w:rPr>
          <w:rStyle w:val="CommentReference"/>
        </w:rPr>
        <w:annotationRef/>
      </w:r>
      <w:r>
        <w:t>Add objective of the study in last para</w:t>
      </w:r>
    </w:p>
  </w:comment>
  <w:comment w:id="1" w:author="RAJNEESH KUMAR" w:date="2025-03-19T11:13:00Z" w:initials="RK">
    <w:p w14:paraId="78B30F40" w14:textId="24BEAF9C" w:rsidR="00FA3A22" w:rsidRDefault="00FA3A22">
      <w:pPr>
        <w:pStyle w:val="CommentText"/>
      </w:pPr>
      <w:r>
        <w:rPr>
          <w:rStyle w:val="CommentReference"/>
        </w:rPr>
        <w:annotationRef/>
      </w:r>
      <w:r>
        <w:t>Very short introduction, elaborate it in 600 words including 15 latest references</w:t>
      </w:r>
    </w:p>
  </w:comment>
  <w:comment w:id="3" w:author="RAJNEESH KUMAR" w:date="2025-03-19T11:19:00Z" w:initials="RK">
    <w:p w14:paraId="6E62B421" w14:textId="2DD9942B" w:rsidR="00FA3A22" w:rsidRDefault="00FA3A22">
      <w:pPr>
        <w:pStyle w:val="CommentText"/>
      </w:pPr>
      <w:r>
        <w:rPr>
          <w:rStyle w:val="CommentReference"/>
        </w:rPr>
        <w:annotationRef/>
      </w:r>
      <w:r>
        <w:t>Discussion portion is missing, kindly add discussion with latest findings</w:t>
      </w:r>
    </w:p>
  </w:comment>
  <w:comment w:id="4" w:author="RAJNEESH KUMAR" w:date="2025-03-19T11:19:00Z" w:initials="RK">
    <w:p w14:paraId="0B5C25D6" w14:textId="1435C8BD" w:rsidR="00FA3A22" w:rsidRDefault="00FA3A22">
      <w:pPr>
        <w:pStyle w:val="CommentText"/>
      </w:pPr>
      <w:r>
        <w:rPr>
          <w:rStyle w:val="CommentReference"/>
        </w:rPr>
        <w:annotationRef/>
      </w:r>
      <w:r>
        <w:t>Don’t repeat the abstract</w:t>
      </w:r>
    </w:p>
  </w:comment>
  <w:comment w:id="5" w:author="RAJNEESH KUMAR" w:date="2025-03-19T11:18:00Z" w:initials="RK">
    <w:p w14:paraId="2890DB4C" w14:textId="34D2859A" w:rsidR="00FA3A22" w:rsidRDefault="00FA3A22">
      <w:pPr>
        <w:pStyle w:val="CommentText"/>
      </w:pPr>
      <w:r>
        <w:rPr>
          <w:rStyle w:val="CommentReference"/>
        </w:rPr>
        <w:annotationRef/>
      </w:r>
      <w:r>
        <w:t xml:space="preserve">Check journal guidelines of references and follow it strictly </w:t>
      </w:r>
    </w:p>
  </w:comment>
  <w:comment w:id="6" w:author="RAJNEESH KUMAR" w:date="2025-03-19T11:27:00Z" w:initials="RK">
    <w:p w14:paraId="29C42256" w14:textId="709ECE91" w:rsidR="005711CD" w:rsidRDefault="005711CD">
      <w:pPr>
        <w:pStyle w:val="CommentText"/>
      </w:pPr>
      <w:r>
        <w:rPr>
          <w:rStyle w:val="CommentReference"/>
        </w:rPr>
        <w:annotationRef/>
      </w:r>
      <w:r>
        <w:t>Add some figures or graphs</w:t>
      </w:r>
      <w:bookmarkStart w:id="7" w:name="_GoBack"/>
      <w:bookmarkEnd w:id="7"/>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63C1E6" w15:done="0"/>
  <w15:commentEx w15:paraId="20CEA744" w15:done="0"/>
  <w15:commentEx w15:paraId="78B30F40" w15:done="0"/>
  <w15:commentEx w15:paraId="6E62B421" w15:done="0"/>
  <w15:commentEx w15:paraId="0B5C25D6" w15:done="0"/>
  <w15:commentEx w15:paraId="2890DB4C" w15:done="0"/>
  <w15:commentEx w15:paraId="29C42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3C1E6" w16cid:durableId="2B8525E4"/>
  <w16cid:commentId w16cid:paraId="20CEA744" w16cid:durableId="2B852614"/>
  <w16cid:commentId w16cid:paraId="78B30F40" w16cid:durableId="2B852573"/>
  <w16cid:commentId w16cid:paraId="6E62B421" w16cid:durableId="2B8526C2"/>
  <w16cid:commentId w16cid:paraId="0B5C25D6" w16cid:durableId="2B8526A9"/>
  <w16cid:commentId w16cid:paraId="2890DB4C" w16cid:durableId="2B852689"/>
  <w16cid:commentId w16cid:paraId="29C42256" w16cid:durableId="2B8528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D5EE" w14:textId="77777777" w:rsidR="00350235" w:rsidRDefault="00350235" w:rsidP="00FA73B2">
      <w:pPr>
        <w:spacing w:after="0" w:line="240" w:lineRule="auto"/>
      </w:pPr>
      <w:r>
        <w:separator/>
      </w:r>
    </w:p>
  </w:endnote>
  <w:endnote w:type="continuationSeparator" w:id="0">
    <w:p w14:paraId="433C05DD" w14:textId="77777777" w:rsidR="00350235" w:rsidRDefault="00350235" w:rsidP="00FA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6DCD" w14:textId="77777777" w:rsidR="00FA73B2" w:rsidRDefault="00FA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D98E" w14:textId="77777777" w:rsidR="00FA73B2" w:rsidRDefault="00FA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8FE9" w14:textId="77777777" w:rsidR="00FA73B2" w:rsidRDefault="00FA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38E1E" w14:textId="77777777" w:rsidR="00350235" w:rsidRDefault="00350235" w:rsidP="00FA73B2">
      <w:pPr>
        <w:spacing w:after="0" w:line="240" w:lineRule="auto"/>
      </w:pPr>
      <w:r>
        <w:separator/>
      </w:r>
    </w:p>
  </w:footnote>
  <w:footnote w:type="continuationSeparator" w:id="0">
    <w:p w14:paraId="3B195524" w14:textId="77777777" w:rsidR="00350235" w:rsidRDefault="00350235" w:rsidP="00FA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5617" w14:textId="0A152C0D" w:rsidR="00FA73B2" w:rsidRDefault="00350235">
    <w:pPr>
      <w:pStyle w:val="Header"/>
    </w:pPr>
    <w:r>
      <w:rPr>
        <w:noProof/>
      </w:rPr>
      <w:pict w14:anchorId="291A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EA6A8" w14:textId="22D4ECD8" w:rsidR="00FA73B2" w:rsidRDefault="00350235">
    <w:pPr>
      <w:pStyle w:val="Header"/>
    </w:pPr>
    <w:r>
      <w:rPr>
        <w:noProof/>
      </w:rPr>
      <w:pict w14:anchorId="5236F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ACC" w14:textId="0CFC12DF" w:rsidR="00FA73B2" w:rsidRDefault="00350235">
    <w:pPr>
      <w:pStyle w:val="Header"/>
    </w:pPr>
    <w:r>
      <w:rPr>
        <w:noProof/>
      </w:rPr>
      <w:pict w14:anchorId="384A14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8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JNEESH KUMAR">
    <w15:presenceInfo w15:providerId="Windows Live" w15:userId="8115bab94ec58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EB"/>
    <w:rsid w:val="00042178"/>
    <w:rsid w:val="0005668C"/>
    <w:rsid w:val="00104CCA"/>
    <w:rsid w:val="0015601B"/>
    <w:rsid w:val="00172537"/>
    <w:rsid w:val="001842C2"/>
    <w:rsid w:val="00193F8E"/>
    <w:rsid w:val="001C31E0"/>
    <w:rsid w:val="001E29C8"/>
    <w:rsid w:val="0024006C"/>
    <w:rsid w:val="002658B0"/>
    <w:rsid w:val="00280436"/>
    <w:rsid w:val="00350235"/>
    <w:rsid w:val="00395ED4"/>
    <w:rsid w:val="003D1455"/>
    <w:rsid w:val="00404CA7"/>
    <w:rsid w:val="004724F1"/>
    <w:rsid w:val="00477860"/>
    <w:rsid w:val="00492248"/>
    <w:rsid w:val="004C3FE9"/>
    <w:rsid w:val="004D5FB1"/>
    <w:rsid w:val="004E53FD"/>
    <w:rsid w:val="004F2A72"/>
    <w:rsid w:val="0050410A"/>
    <w:rsid w:val="005711CD"/>
    <w:rsid w:val="00576414"/>
    <w:rsid w:val="005A148A"/>
    <w:rsid w:val="00625DB3"/>
    <w:rsid w:val="006A4CEB"/>
    <w:rsid w:val="006D762C"/>
    <w:rsid w:val="006E6CE3"/>
    <w:rsid w:val="00742AC8"/>
    <w:rsid w:val="0075006C"/>
    <w:rsid w:val="00781761"/>
    <w:rsid w:val="0078741C"/>
    <w:rsid w:val="007D7D6D"/>
    <w:rsid w:val="00812F21"/>
    <w:rsid w:val="0081412D"/>
    <w:rsid w:val="00836FDA"/>
    <w:rsid w:val="00882911"/>
    <w:rsid w:val="00890850"/>
    <w:rsid w:val="008B5F6E"/>
    <w:rsid w:val="00902C09"/>
    <w:rsid w:val="00932A13"/>
    <w:rsid w:val="00995839"/>
    <w:rsid w:val="00A12231"/>
    <w:rsid w:val="00A22750"/>
    <w:rsid w:val="00A74492"/>
    <w:rsid w:val="00AB5DA5"/>
    <w:rsid w:val="00AD12D1"/>
    <w:rsid w:val="00B0687E"/>
    <w:rsid w:val="00B13765"/>
    <w:rsid w:val="00B363F4"/>
    <w:rsid w:val="00B6014F"/>
    <w:rsid w:val="00B7272D"/>
    <w:rsid w:val="00BA35E0"/>
    <w:rsid w:val="00BA438A"/>
    <w:rsid w:val="00C02712"/>
    <w:rsid w:val="00C30F66"/>
    <w:rsid w:val="00C45A08"/>
    <w:rsid w:val="00CB00A1"/>
    <w:rsid w:val="00CD3A88"/>
    <w:rsid w:val="00CE4C23"/>
    <w:rsid w:val="00CE6207"/>
    <w:rsid w:val="00CF4C1B"/>
    <w:rsid w:val="00D1339A"/>
    <w:rsid w:val="00D20151"/>
    <w:rsid w:val="00D26515"/>
    <w:rsid w:val="00D5144B"/>
    <w:rsid w:val="00DA0424"/>
    <w:rsid w:val="00E368CF"/>
    <w:rsid w:val="00E47B5D"/>
    <w:rsid w:val="00E56F45"/>
    <w:rsid w:val="00EE2B16"/>
    <w:rsid w:val="00F25ADC"/>
    <w:rsid w:val="00F92A7B"/>
    <w:rsid w:val="00FA0A6B"/>
    <w:rsid w:val="00FA3A22"/>
    <w:rsid w:val="00FA73B2"/>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1A0EB"/>
  <w15:chartTrackingRefBased/>
  <w15:docId w15:val="{9F49F581-7E70-48A9-AE77-0BB13758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712"/>
  </w:style>
  <w:style w:type="paragraph" w:styleId="Heading1">
    <w:name w:val="heading 1"/>
    <w:basedOn w:val="Normal"/>
    <w:next w:val="Normal"/>
    <w:link w:val="Heading1Char"/>
    <w:uiPriority w:val="9"/>
    <w:qFormat/>
    <w:rsid w:val="006A4CE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A4CE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A4CE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A4C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4C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4C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C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C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C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E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A4CE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A4CE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A4C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4C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4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CEB"/>
    <w:rPr>
      <w:rFonts w:eastAsiaTheme="majorEastAsia" w:cstheme="majorBidi"/>
      <w:color w:val="272727" w:themeColor="text1" w:themeTint="D8"/>
    </w:rPr>
  </w:style>
  <w:style w:type="paragraph" w:styleId="Title">
    <w:name w:val="Title"/>
    <w:basedOn w:val="Normal"/>
    <w:next w:val="Normal"/>
    <w:link w:val="TitleChar"/>
    <w:uiPriority w:val="10"/>
    <w:qFormat/>
    <w:rsid w:val="006A4CE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A4CE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A4CE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A4CE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A4CEB"/>
    <w:pPr>
      <w:spacing w:before="160"/>
      <w:jc w:val="center"/>
    </w:pPr>
    <w:rPr>
      <w:i/>
      <w:iCs/>
      <w:color w:val="404040" w:themeColor="text1" w:themeTint="BF"/>
    </w:rPr>
  </w:style>
  <w:style w:type="character" w:customStyle="1" w:styleId="QuoteChar">
    <w:name w:val="Quote Char"/>
    <w:basedOn w:val="DefaultParagraphFont"/>
    <w:link w:val="Quote"/>
    <w:uiPriority w:val="29"/>
    <w:rsid w:val="006A4CEB"/>
    <w:rPr>
      <w:i/>
      <w:iCs/>
      <w:color w:val="404040" w:themeColor="text1" w:themeTint="BF"/>
    </w:rPr>
  </w:style>
  <w:style w:type="paragraph" w:styleId="ListParagraph">
    <w:name w:val="List Paragraph"/>
    <w:basedOn w:val="Normal"/>
    <w:uiPriority w:val="34"/>
    <w:qFormat/>
    <w:rsid w:val="006A4CEB"/>
    <w:pPr>
      <w:ind w:left="720"/>
      <w:contextualSpacing/>
    </w:pPr>
  </w:style>
  <w:style w:type="character" w:styleId="IntenseEmphasis">
    <w:name w:val="Intense Emphasis"/>
    <w:basedOn w:val="DefaultParagraphFont"/>
    <w:uiPriority w:val="21"/>
    <w:qFormat/>
    <w:rsid w:val="006A4CEB"/>
    <w:rPr>
      <w:i/>
      <w:iCs/>
      <w:color w:val="2F5496" w:themeColor="accent1" w:themeShade="BF"/>
    </w:rPr>
  </w:style>
  <w:style w:type="paragraph" w:styleId="IntenseQuote">
    <w:name w:val="Intense Quote"/>
    <w:basedOn w:val="Normal"/>
    <w:next w:val="Normal"/>
    <w:link w:val="IntenseQuoteChar"/>
    <w:uiPriority w:val="30"/>
    <w:qFormat/>
    <w:rsid w:val="006A4C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4CEB"/>
    <w:rPr>
      <w:i/>
      <w:iCs/>
      <w:color w:val="2F5496" w:themeColor="accent1" w:themeShade="BF"/>
    </w:rPr>
  </w:style>
  <w:style w:type="character" w:styleId="IntenseReference">
    <w:name w:val="Intense Reference"/>
    <w:basedOn w:val="DefaultParagraphFont"/>
    <w:uiPriority w:val="32"/>
    <w:qFormat/>
    <w:rsid w:val="006A4CEB"/>
    <w:rPr>
      <w:b/>
      <w:bCs/>
      <w:smallCaps/>
      <w:color w:val="2F5496" w:themeColor="accent1" w:themeShade="BF"/>
      <w:spacing w:val="5"/>
    </w:rPr>
  </w:style>
  <w:style w:type="character" w:styleId="Hyperlink">
    <w:name w:val="Hyperlink"/>
    <w:uiPriority w:val="99"/>
    <w:unhideWhenUsed/>
    <w:rsid w:val="00625DB3"/>
    <w:rPr>
      <w:color w:val="0563C1"/>
      <w:u w:val="single"/>
    </w:rPr>
  </w:style>
  <w:style w:type="paragraph" w:styleId="PlainText">
    <w:name w:val="Plain Text"/>
    <w:basedOn w:val="Normal"/>
    <w:link w:val="PlainTextChar"/>
    <w:rsid w:val="00625DB3"/>
    <w:pPr>
      <w:autoSpaceDE w:val="0"/>
      <w:autoSpaceDN w:val="0"/>
      <w:spacing w:after="0" w:line="240" w:lineRule="auto"/>
    </w:pPr>
    <w:rPr>
      <w:rFonts w:ascii="Courier New" w:eastAsia="SimSun" w:hAnsi="Courier New" w:cs="Times New Roman"/>
      <w:kern w:val="0"/>
      <w:sz w:val="20"/>
      <w:lang w:val="en-US" w:bidi="ar-SA"/>
    </w:rPr>
  </w:style>
  <w:style w:type="character" w:customStyle="1" w:styleId="PlainTextChar">
    <w:name w:val="Plain Text Char"/>
    <w:basedOn w:val="DefaultParagraphFont"/>
    <w:link w:val="PlainText"/>
    <w:rsid w:val="00625DB3"/>
    <w:rPr>
      <w:rFonts w:ascii="Courier New" w:eastAsia="SimSun" w:hAnsi="Courier New" w:cs="Times New Roman"/>
      <w:kern w:val="0"/>
      <w:sz w:val="20"/>
      <w:lang w:val="en-US" w:bidi="ar-SA"/>
    </w:rPr>
  </w:style>
  <w:style w:type="paragraph" w:styleId="NormalWeb">
    <w:name w:val="Normal (Web)"/>
    <w:basedOn w:val="Normal"/>
    <w:uiPriority w:val="99"/>
    <w:semiHidden/>
    <w:unhideWhenUsed/>
    <w:rsid w:val="00BA438A"/>
    <w:rPr>
      <w:rFonts w:ascii="Times New Roman" w:hAnsi="Times New Roman" w:cs="Mangal"/>
      <w:sz w:val="24"/>
      <w:szCs w:val="21"/>
    </w:rPr>
  </w:style>
  <w:style w:type="paragraph" w:styleId="Header">
    <w:name w:val="header"/>
    <w:basedOn w:val="Normal"/>
    <w:link w:val="HeaderChar"/>
    <w:uiPriority w:val="99"/>
    <w:unhideWhenUsed/>
    <w:rsid w:val="00FA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B2"/>
  </w:style>
  <w:style w:type="paragraph" w:styleId="Footer">
    <w:name w:val="footer"/>
    <w:basedOn w:val="Normal"/>
    <w:link w:val="FooterChar"/>
    <w:uiPriority w:val="99"/>
    <w:unhideWhenUsed/>
    <w:rsid w:val="00FA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B2"/>
  </w:style>
  <w:style w:type="character" w:styleId="CommentReference">
    <w:name w:val="annotation reference"/>
    <w:basedOn w:val="DefaultParagraphFont"/>
    <w:uiPriority w:val="99"/>
    <w:semiHidden/>
    <w:unhideWhenUsed/>
    <w:rsid w:val="00FA3A22"/>
    <w:rPr>
      <w:sz w:val="16"/>
      <w:szCs w:val="16"/>
    </w:rPr>
  </w:style>
  <w:style w:type="paragraph" w:styleId="CommentText">
    <w:name w:val="annotation text"/>
    <w:basedOn w:val="Normal"/>
    <w:link w:val="CommentTextChar"/>
    <w:uiPriority w:val="99"/>
    <w:semiHidden/>
    <w:unhideWhenUsed/>
    <w:rsid w:val="00FA3A22"/>
    <w:pPr>
      <w:spacing w:line="240" w:lineRule="auto"/>
    </w:pPr>
    <w:rPr>
      <w:sz w:val="20"/>
      <w:szCs w:val="18"/>
    </w:rPr>
  </w:style>
  <w:style w:type="character" w:customStyle="1" w:styleId="CommentTextChar">
    <w:name w:val="Comment Text Char"/>
    <w:basedOn w:val="DefaultParagraphFont"/>
    <w:link w:val="CommentText"/>
    <w:uiPriority w:val="99"/>
    <w:semiHidden/>
    <w:rsid w:val="00FA3A22"/>
    <w:rPr>
      <w:sz w:val="20"/>
      <w:szCs w:val="18"/>
    </w:rPr>
  </w:style>
  <w:style w:type="paragraph" w:styleId="CommentSubject">
    <w:name w:val="annotation subject"/>
    <w:basedOn w:val="CommentText"/>
    <w:next w:val="CommentText"/>
    <w:link w:val="CommentSubjectChar"/>
    <w:uiPriority w:val="99"/>
    <w:semiHidden/>
    <w:unhideWhenUsed/>
    <w:rsid w:val="00FA3A22"/>
    <w:rPr>
      <w:b/>
      <w:bCs/>
    </w:rPr>
  </w:style>
  <w:style w:type="character" w:customStyle="1" w:styleId="CommentSubjectChar">
    <w:name w:val="Comment Subject Char"/>
    <w:basedOn w:val="CommentTextChar"/>
    <w:link w:val="CommentSubject"/>
    <w:uiPriority w:val="99"/>
    <w:semiHidden/>
    <w:rsid w:val="00FA3A22"/>
    <w:rPr>
      <w:b/>
      <w:bCs/>
      <w:sz w:val="20"/>
      <w:szCs w:val="18"/>
    </w:rPr>
  </w:style>
  <w:style w:type="paragraph" w:styleId="BalloonText">
    <w:name w:val="Balloon Text"/>
    <w:basedOn w:val="Normal"/>
    <w:link w:val="BalloonTextChar"/>
    <w:uiPriority w:val="99"/>
    <w:semiHidden/>
    <w:unhideWhenUsed/>
    <w:rsid w:val="00FA3A2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A3A2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6324">
      <w:bodyDiv w:val="1"/>
      <w:marLeft w:val="0"/>
      <w:marRight w:val="0"/>
      <w:marTop w:val="0"/>
      <w:marBottom w:val="0"/>
      <w:divBdr>
        <w:top w:val="none" w:sz="0" w:space="0" w:color="auto"/>
        <w:left w:val="none" w:sz="0" w:space="0" w:color="auto"/>
        <w:bottom w:val="none" w:sz="0" w:space="0" w:color="auto"/>
        <w:right w:val="none" w:sz="0" w:space="0" w:color="auto"/>
      </w:divBdr>
    </w:div>
    <w:div w:id="392318443">
      <w:bodyDiv w:val="1"/>
      <w:marLeft w:val="0"/>
      <w:marRight w:val="0"/>
      <w:marTop w:val="0"/>
      <w:marBottom w:val="0"/>
      <w:divBdr>
        <w:top w:val="none" w:sz="0" w:space="0" w:color="auto"/>
        <w:left w:val="none" w:sz="0" w:space="0" w:color="auto"/>
        <w:bottom w:val="none" w:sz="0" w:space="0" w:color="auto"/>
        <w:right w:val="none" w:sz="0" w:space="0" w:color="auto"/>
      </w:divBdr>
    </w:div>
    <w:div w:id="436754346">
      <w:bodyDiv w:val="1"/>
      <w:marLeft w:val="0"/>
      <w:marRight w:val="0"/>
      <w:marTop w:val="0"/>
      <w:marBottom w:val="0"/>
      <w:divBdr>
        <w:top w:val="none" w:sz="0" w:space="0" w:color="auto"/>
        <w:left w:val="none" w:sz="0" w:space="0" w:color="auto"/>
        <w:bottom w:val="none" w:sz="0" w:space="0" w:color="auto"/>
        <w:right w:val="none" w:sz="0" w:space="0" w:color="auto"/>
      </w:divBdr>
    </w:div>
    <w:div w:id="568154094">
      <w:bodyDiv w:val="1"/>
      <w:marLeft w:val="0"/>
      <w:marRight w:val="0"/>
      <w:marTop w:val="0"/>
      <w:marBottom w:val="0"/>
      <w:divBdr>
        <w:top w:val="none" w:sz="0" w:space="0" w:color="auto"/>
        <w:left w:val="none" w:sz="0" w:space="0" w:color="auto"/>
        <w:bottom w:val="none" w:sz="0" w:space="0" w:color="auto"/>
        <w:right w:val="none" w:sz="0" w:space="0" w:color="auto"/>
      </w:divBdr>
    </w:div>
    <w:div w:id="575168455">
      <w:bodyDiv w:val="1"/>
      <w:marLeft w:val="0"/>
      <w:marRight w:val="0"/>
      <w:marTop w:val="0"/>
      <w:marBottom w:val="0"/>
      <w:divBdr>
        <w:top w:val="none" w:sz="0" w:space="0" w:color="auto"/>
        <w:left w:val="none" w:sz="0" w:space="0" w:color="auto"/>
        <w:bottom w:val="none" w:sz="0" w:space="0" w:color="auto"/>
        <w:right w:val="none" w:sz="0" w:space="0" w:color="auto"/>
      </w:divBdr>
    </w:div>
    <w:div w:id="718556578">
      <w:bodyDiv w:val="1"/>
      <w:marLeft w:val="0"/>
      <w:marRight w:val="0"/>
      <w:marTop w:val="0"/>
      <w:marBottom w:val="0"/>
      <w:divBdr>
        <w:top w:val="none" w:sz="0" w:space="0" w:color="auto"/>
        <w:left w:val="none" w:sz="0" w:space="0" w:color="auto"/>
        <w:bottom w:val="none" w:sz="0" w:space="0" w:color="auto"/>
        <w:right w:val="none" w:sz="0" w:space="0" w:color="auto"/>
      </w:divBdr>
    </w:div>
    <w:div w:id="789980580">
      <w:bodyDiv w:val="1"/>
      <w:marLeft w:val="0"/>
      <w:marRight w:val="0"/>
      <w:marTop w:val="0"/>
      <w:marBottom w:val="0"/>
      <w:divBdr>
        <w:top w:val="none" w:sz="0" w:space="0" w:color="auto"/>
        <w:left w:val="none" w:sz="0" w:space="0" w:color="auto"/>
        <w:bottom w:val="none" w:sz="0" w:space="0" w:color="auto"/>
        <w:right w:val="none" w:sz="0" w:space="0" w:color="auto"/>
      </w:divBdr>
    </w:div>
    <w:div w:id="866412162">
      <w:bodyDiv w:val="1"/>
      <w:marLeft w:val="0"/>
      <w:marRight w:val="0"/>
      <w:marTop w:val="0"/>
      <w:marBottom w:val="0"/>
      <w:divBdr>
        <w:top w:val="none" w:sz="0" w:space="0" w:color="auto"/>
        <w:left w:val="none" w:sz="0" w:space="0" w:color="auto"/>
        <w:bottom w:val="none" w:sz="0" w:space="0" w:color="auto"/>
        <w:right w:val="none" w:sz="0" w:space="0" w:color="auto"/>
      </w:divBdr>
    </w:div>
    <w:div w:id="896206671">
      <w:bodyDiv w:val="1"/>
      <w:marLeft w:val="0"/>
      <w:marRight w:val="0"/>
      <w:marTop w:val="0"/>
      <w:marBottom w:val="0"/>
      <w:divBdr>
        <w:top w:val="none" w:sz="0" w:space="0" w:color="auto"/>
        <w:left w:val="none" w:sz="0" w:space="0" w:color="auto"/>
        <w:bottom w:val="none" w:sz="0" w:space="0" w:color="auto"/>
        <w:right w:val="none" w:sz="0" w:space="0" w:color="auto"/>
      </w:divBdr>
    </w:div>
    <w:div w:id="904342733">
      <w:bodyDiv w:val="1"/>
      <w:marLeft w:val="0"/>
      <w:marRight w:val="0"/>
      <w:marTop w:val="0"/>
      <w:marBottom w:val="0"/>
      <w:divBdr>
        <w:top w:val="none" w:sz="0" w:space="0" w:color="auto"/>
        <w:left w:val="none" w:sz="0" w:space="0" w:color="auto"/>
        <w:bottom w:val="none" w:sz="0" w:space="0" w:color="auto"/>
        <w:right w:val="none" w:sz="0" w:space="0" w:color="auto"/>
      </w:divBdr>
    </w:div>
    <w:div w:id="960453596">
      <w:bodyDiv w:val="1"/>
      <w:marLeft w:val="0"/>
      <w:marRight w:val="0"/>
      <w:marTop w:val="0"/>
      <w:marBottom w:val="0"/>
      <w:divBdr>
        <w:top w:val="none" w:sz="0" w:space="0" w:color="auto"/>
        <w:left w:val="none" w:sz="0" w:space="0" w:color="auto"/>
        <w:bottom w:val="none" w:sz="0" w:space="0" w:color="auto"/>
        <w:right w:val="none" w:sz="0" w:space="0" w:color="auto"/>
      </w:divBdr>
    </w:div>
    <w:div w:id="1041515850">
      <w:bodyDiv w:val="1"/>
      <w:marLeft w:val="0"/>
      <w:marRight w:val="0"/>
      <w:marTop w:val="0"/>
      <w:marBottom w:val="0"/>
      <w:divBdr>
        <w:top w:val="none" w:sz="0" w:space="0" w:color="auto"/>
        <w:left w:val="none" w:sz="0" w:space="0" w:color="auto"/>
        <w:bottom w:val="none" w:sz="0" w:space="0" w:color="auto"/>
        <w:right w:val="none" w:sz="0" w:space="0" w:color="auto"/>
      </w:divBdr>
    </w:div>
    <w:div w:id="1323040929">
      <w:bodyDiv w:val="1"/>
      <w:marLeft w:val="0"/>
      <w:marRight w:val="0"/>
      <w:marTop w:val="0"/>
      <w:marBottom w:val="0"/>
      <w:divBdr>
        <w:top w:val="none" w:sz="0" w:space="0" w:color="auto"/>
        <w:left w:val="none" w:sz="0" w:space="0" w:color="auto"/>
        <w:bottom w:val="none" w:sz="0" w:space="0" w:color="auto"/>
        <w:right w:val="none" w:sz="0" w:space="0" w:color="auto"/>
      </w:divBdr>
    </w:div>
    <w:div w:id="1491487393">
      <w:bodyDiv w:val="1"/>
      <w:marLeft w:val="0"/>
      <w:marRight w:val="0"/>
      <w:marTop w:val="0"/>
      <w:marBottom w:val="0"/>
      <w:divBdr>
        <w:top w:val="none" w:sz="0" w:space="0" w:color="auto"/>
        <w:left w:val="none" w:sz="0" w:space="0" w:color="auto"/>
        <w:bottom w:val="none" w:sz="0" w:space="0" w:color="auto"/>
        <w:right w:val="none" w:sz="0" w:space="0" w:color="auto"/>
      </w:divBdr>
    </w:div>
    <w:div w:id="19367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 venkatesh</dc:creator>
  <cp:keywords/>
  <dc:description/>
  <cp:lastModifiedBy>RAJNEESH KUMAR</cp:lastModifiedBy>
  <cp:revision>71</cp:revision>
  <dcterms:created xsi:type="dcterms:W3CDTF">2025-03-13T17:00:00Z</dcterms:created>
  <dcterms:modified xsi:type="dcterms:W3CDTF">2025-03-19T05:57:00Z</dcterms:modified>
</cp:coreProperties>
</file>