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589E8">
      <w:pPr>
        <w:spacing w:after="0" w:line="240" w:lineRule="auto"/>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Impact of Sowing Dates and Weed Management Strategies on Wheat (</w:t>
      </w:r>
      <w:r>
        <w:rPr>
          <w:rFonts w:ascii="Times New Roman" w:hAnsi="Times New Roman" w:eastAsia="Times New Roman" w:cs="Times New Roman"/>
          <w:b/>
          <w:bCs/>
          <w:i/>
          <w:iCs/>
          <w:sz w:val="24"/>
          <w:szCs w:val="24"/>
          <w:lang w:eastAsia="en-GB" w:bidi="hi-IN"/>
        </w:rPr>
        <w:t>Triticum aestivum</w:t>
      </w:r>
      <w:r>
        <w:rPr>
          <w:rFonts w:ascii="Times New Roman" w:hAnsi="Times New Roman" w:eastAsia="Times New Roman" w:cs="Times New Roman"/>
          <w:b/>
          <w:bCs/>
          <w:sz w:val="24"/>
          <w:szCs w:val="24"/>
          <w:lang w:eastAsia="en-GB" w:bidi="hi-IN"/>
        </w:rPr>
        <w:t xml:space="preserve"> L.) Growth in Northern India</w:t>
      </w:r>
    </w:p>
    <w:p w14:paraId="17C863CC">
      <w:pPr>
        <w:spacing w:after="0" w:line="240" w:lineRule="auto"/>
        <w:jc w:val="center"/>
        <w:rPr>
          <w:rFonts w:ascii="Times New Roman" w:hAnsi="Times New Roman" w:eastAsia="Times New Roman" w:cs="Times New Roman"/>
          <w:b/>
          <w:bCs/>
          <w:sz w:val="24"/>
          <w:szCs w:val="24"/>
          <w:lang w:eastAsia="en-GB" w:bidi="hi-IN"/>
        </w:rPr>
      </w:pPr>
    </w:p>
    <w:p w14:paraId="198ADCEB">
      <w:pPr>
        <w:spacing w:after="0" w:line="240" w:lineRule="auto"/>
        <w:jc w:val="both"/>
        <w:rPr>
          <w:rFonts w:ascii="Times New Roman" w:hAnsi="Times New Roman" w:cs="Times New Roman"/>
          <w:sz w:val="24"/>
          <w:szCs w:val="24"/>
          <w:lang w:bidi="hi-IN"/>
        </w:rPr>
      </w:pPr>
    </w:p>
    <w:p w14:paraId="64887BAE">
      <w:pPr>
        <w:spacing w:after="0" w:line="240" w:lineRule="auto"/>
        <w:jc w:val="both"/>
        <w:rPr>
          <w:rFonts w:ascii="Times New Roman" w:hAnsi="Times New Roman" w:cs="Times New Roman"/>
          <w:sz w:val="24"/>
          <w:szCs w:val="24"/>
          <w:lang w:bidi="hi-IN"/>
        </w:rPr>
      </w:pPr>
    </w:p>
    <w:p w14:paraId="15DFBF78">
      <w:pPr>
        <w:pStyle w:val="8"/>
        <w:jc w:val="both"/>
        <w:rPr>
          <w:b/>
          <w:bCs/>
        </w:rPr>
      </w:pPr>
      <w:r>
        <w:rPr>
          <w:b/>
          <w:bCs/>
        </w:rPr>
        <w:t>Abstract:</w:t>
      </w:r>
    </w:p>
    <w:p w14:paraId="43C10C60">
      <w:pPr>
        <w:pStyle w:val="8"/>
        <w:ind w:firstLine="720"/>
        <w:jc w:val="both"/>
      </w:pPr>
      <w:r>
        <w:t>Wheat (</w:t>
      </w:r>
      <w:r>
        <w:rPr>
          <w:i/>
          <w:iCs/>
        </w:rPr>
        <w:t>Triticum aestivum</w:t>
      </w:r>
      <w:r>
        <w:t xml:space="preserve"> L.) is a globally important grain crop, particularly in India. It is the second largest wheat producer after China, accounting for over 13.5% of world production. Wheat faces challenges including heat stress, weed competition, and diseases, with climate change threatening productivity, especially during grain filling. A study was conducted at Pilikothi Farm, T. D. P. G. College, Jaunpur, Uttar Pradesh, India during </w:t>
      </w:r>
      <w:r>
        <w:rPr>
          <w:i/>
          <w:iCs/>
        </w:rPr>
        <w:t>Rabi</w:t>
      </w:r>
      <w:r>
        <w:t xml:space="preserve"> seasons 2018-19 and 2019-20. The experiment used a split-plot design with three replications. Main plot treatments included three sowing dates: November 15 (D</w:t>
      </w:r>
      <w:r>
        <w:rPr>
          <w:vertAlign w:val="subscript"/>
        </w:rPr>
        <w:t>1</w:t>
      </w:r>
      <w:r>
        <w:t>), 30 (D</w:t>
      </w:r>
      <w:r>
        <w:rPr>
          <w:vertAlign w:val="subscript"/>
        </w:rPr>
        <w:t>2</w:t>
      </w:r>
      <w:r>
        <w:t>), and December 15 (D</w:t>
      </w:r>
      <w:r>
        <w:rPr>
          <w:vertAlign w:val="subscript"/>
        </w:rPr>
        <w:t>3</w:t>
      </w:r>
      <w:r>
        <w:t>). Sub-plot treatments comprised six weed management practices: weedy check (W</w:t>
      </w:r>
      <w:r>
        <w:rPr>
          <w:vertAlign w:val="subscript"/>
        </w:rPr>
        <w:t>1</w:t>
      </w:r>
      <w:r>
        <w:t>), weed-free (W</w:t>
      </w:r>
      <w:r>
        <w:rPr>
          <w:vertAlign w:val="subscript"/>
        </w:rPr>
        <w:t>2</w:t>
      </w:r>
      <w:r>
        <w:t>), 2,4-DEE at 0.5 kg a.i./ha (W</w:t>
      </w:r>
      <w:r>
        <w:rPr>
          <w:vertAlign w:val="subscript"/>
        </w:rPr>
        <w:t>3</w:t>
      </w:r>
      <w:r>
        <w:t>), Carfentrazone at 0.025 kg a.i./ha (W</w:t>
      </w:r>
      <w:r>
        <w:rPr>
          <w:vertAlign w:val="subscript"/>
        </w:rPr>
        <w:t>4</w:t>
      </w:r>
      <w:r>
        <w:t>), Metsulfuron methyl at 0.004 kg a.i./ha (W</w:t>
      </w:r>
      <w:r>
        <w:rPr>
          <w:vertAlign w:val="subscript"/>
        </w:rPr>
        <w:t>5</w:t>
      </w:r>
      <w:r>
        <w:t>), and Arylex 20.85% + Florasulam 20% (W</w:t>
      </w:r>
      <w:r>
        <w:rPr>
          <w:vertAlign w:val="subscript"/>
        </w:rPr>
        <w:t>6</w:t>
      </w:r>
      <w:r>
        <w:t>). Wheat variety HD 2967 was planted using a seed drill at 100 kg ha</w:t>
      </w:r>
      <w:r>
        <w:rPr>
          <w:vertAlign w:val="superscript"/>
        </w:rPr>
        <w:t>-1</w:t>
      </w:r>
      <w:r>
        <w:t xml:space="preserve">. Field preparation involved tilling twice, followed by planking. Irrigation was performed as needed. Sowing dates and weed control methods significantly affected dry matter accumulation, crop growth rate (CGR), and relative growth rate (RGR) in wheat. Earlier sowing (November 15) led to higher dry matter accumulation. Hand weeding was most effective, with chemical methods outperforming the weedy check. Arylex 20.85% + Florasulam 20% (W6) was the most effective chemical treatment. CGR was highest for the earliest sowing date across all growth stages. The weed-free treatment showed the highest CGR, while the weedy check had the lowest. W6 and Carfentrazon performed best among chemical treatments. RGR showed no significant differences among sowing dates during early growth stages, but was highest for the earliest sowing date in the final stage (90 DAS-Harvest). Weed control measures had the most pronounced effect on RGR during the final stage. These findings emphasize the importance of early sowing and effective weed management for optimizing wheat growth and productivity, particularly when combining early sowing with appropriate chemical weed control measures, such as W6. The study demonstrates that early sowing dates and effective weed control measures, especially hand weeding and certain chemical herbicides like Arylex 20.85% + Florasulam 20%, significantly enhance dry matter accumulation, crop growth rate, and relative growth rate in wheat crops. </w:t>
      </w:r>
    </w:p>
    <w:p w14:paraId="6004980A">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Keywords: - Wheat production, Sowing dates, Herbicides, RGR, CGR</w:t>
      </w:r>
    </w:p>
    <w:p w14:paraId="2B499751">
      <w:pPr>
        <w:spacing w:after="0" w:line="240" w:lineRule="auto"/>
        <w:rPr>
          <w:rFonts w:ascii="Times New Roman" w:hAnsi="Times New Roman" w:eastAsia="Times New Roman" w:cs="Times New Roman"/>
          <w:sz w:val="24"/>
          <w:szCs w:val="24"/>
          <w:lang w:eastAsia="en-GB" w:bidi="hi-IN"/>
        </w:rPr>
      </w:pPr>
    </w:p>
    <w:p w14:paraId="413ED68B">
      <w:pPr>
        <w:spacing w:line="360" w:lineRule="auto"/>
        <w:jc w:val="both"/>
        <w:rPr>
          <w:rFonts w:ascii="Arial" w:hAnsi="Arial" w:cs="Arial"/>
          <w:b/>
          <w:bCs/>
        </w:rPr>
      </w:pPr>
      <w:r>
        <w:rPr>
          <w:rFonts w:ascii="Arial" w:hAnsi="Arial" w:cs="Arial"/>
          <w:b/>
          <w:bCs/>
        </w:rPr>
        <w:t>1. Introduction:</w:t>
      </w:r>
    </w:p>
    <w:p w14:paraId="22B95D5A">
      <w:pPr>
        <w:pStyle w:val="8"/>
        <w:ind w:firstLine="720"/>
        <w:jc w:val="both"/>
      </w:pPr>
      <w:r>
        <w:t>Wheat (</w:t>
      </w:r>
      <w:r>
        <w:rPr>
          <w:i/>
          <w:iCs/>
        </w:rPr>
        <w:t>Triticum aestivum</w:t>
      </w:r>
      <w:r>
        <w:t xml:space="preserve"> L.) is a globally significant grain crop that is particularly important in India. The country produced approximately 96.16 million tonnes of wheat from 30.33 million hectares, achieving an average yield of 3171 kg ha</w:t>
      </w:r>
      <w:r>
        <w:rPr>
          <w:vertAlign w:val="superscript"/>
        </w:rPr>
        <w:t>-1</w:t>
      </w:r>
      <w:r>
        <w:t xml:space="preserve"> (D</w:t>
      </w:r>
      <w:r>
        <w:commentReference w:id="0"/>
      </w:r>
      <w:r>
        <w:t>ES, 2020). Uttar Pradesh, a major wheat-producing state, contributed 32.59 million tonnes from 9.50 million hectares (DES, 2</w:t>
      </w:r>
      <w:r>
        <w:commentReference w:id="1"/>
      </w:r>
      <w:r>
        <w:t>020). Globally, India is the second-largest wheat producer after China, accounting for over 13.5% of the world's wheat production (FAO</w:t>
      </w:r>
      <w:r>
        <w:commentReference w:id="2"/>
      </w:r>
      <w:r>
        <w:t xml:space="preserve">, 2021). In India, wheat is the second most important food grain crop after rice, providing nearly 50% of the total calories and protein consumed (Choudhary and Suri, 2014). Globally, wheat production encounters various obstacles, including both biotic and abiotic factors that substantially affect crop yields. Heat stress is a significant issue affecting as much as 57% of wheat-growing regions in developing nations </w:t>
      </w:r>
      <w:commentRangeStart w:id="3"/>
      <w:r>
        <w:t xml:space="preserve">(Kosina </w:t>
      </w:r>
      <w:r>
        <w:rPr>
          <w:i/>
          <w:iCs/>
        </w:rPr>
        <w:t>et al</w:t>
      </w:r>
      <w:r>
        <w:t>., 2007)</w:t>
      </w:r>
      <w:commentRangeEnd w:id="3"/>
      <w:r>
        <w:commentReference w:id="3"/>
      </w:r>
      <w:r>
        <w:t xml:space="preserve">. Additional crucial challenges include weed competition and disease, each affecting up to 55% of the wheat-cultivated area (Kosina </w:t>
      </w:r>
      <w:r>
        <w:rPr>
          <w:i/>
          <w:iCs/>
        </w:rPr>
        <w:t>et al</w:t>
      </w:r>
      <w:r>
        <w:t xml:space="preserve">., 2007). Climate change and elevated temperatures pose considerable threats to wheat productivity, particularly during the grain-filling phase, at the time of the growing cycle (Newport </w:t>
      </w:r>
      <w:r>
        <w:rPr>
          <w:i/>
          <w:iCs/>
        </w:rPr>
        <w:t>et al</w:t>
      </w:r>
      <w:r>
        <w:t xml:space="preserve">., 2020). Increasing temperatures result in yield reductions, notably in eastern and central India (Chatrath </w:t>
      </w:r>
      <w:r>
        <w:rPr>
          <w:i/>
          <w:iCs/>
        </w:rPr>
        <w:t>et al</w:t>
      </w:r>
      <w:r>
        <w:t>. 2007). The Indo-Gangetic Plains have heightened heat stress, diminished irrigation water resources, and climate-related vulnerabilities (Dhanda</w:t>
      </w:r>
      <w:commentRangeStart w:id="4"/>
      <w:r>
        <w:t xml:space="preserve"> et al., </w:t>
      </w:r>
      <w:commentRangeEnd w:id="4"/>
      <w:r>
        <w:commentReference w:id="4"/>
      </w:r>
      <w:r>
        <w:t>2022).</w:t>
      </w:r>
    </w:p>
    <w:p w14:paraId="3C3F0AC8">
      <w:pPr>
        <w:pStyle w:val="8"/>
        <w:ind w:firstLine="720"/>
        <w:jc w:val="both"/>
      </w:pPr>
      <w:r>
        <w:t xml:space="preserve">The selection of wheat planting dates significantly influences wheat production, affecting various aspects of crop growth, development, and yield formation. Studies have demonstrated that grain yield exhibits high sensitivity to planting date, with research indicating a 0.97 ± 0.22% yield reduction for each day that deviates from the optimal planting period (Liu </w:t>
      </w:r>
      <w:r>
        <w:rPr>
          <w:i/>
          <w:iCs/>
        </w:rPr>
        <w:t>et al</w:t>
      </w:r>
      <w:r>
        <w:t xml:space="preserve">., 2023). Generally, delayed planting results in lower yields owing to abbreviated growth periods, adverse weather during critical developmental stages, and reduced biomass accumulation (Ahmed &amp; Fayyaz-Ul-Hassan, 2015; Liu </w:t>
      </w:r>
      <w:r>
        <w:rPr>
          <w:i/>
          <w:iCs/>
        </w:rPr>
        <w:t>et al</w:t>
      </w:r>
      <w:r>
        <w:t xml:space="preserve">., 2021). Notably, late planting can occasionally enhance certain grain quality parameters such as protein and ash content, particularly under conditions of high temperature and water stress (Ahmed &amp; Fayyaz-Ul-Hassan, 2015). However, this enhancement frequently occurs at the expense of an overall yield reduction.  The timing of planting influences the crop's exposure to environmental factors throughout its growth cycle. Earlier planting typically provides exposure of the crop to light and temperature resources during pre-winter growth, whereas later planting may subject the crop to heat stress during grain filling (Dubey </w:t>
      </w:r>
      <w:r>
        <w:rPr>
          <w:i/>
          <w:iCs/>
        </w:rPr>
        <w:t>et al</w:t>
      </w:r>
      <w:r>
        <w:t xml:space="preserve">., 2019; Liu </w:t>
      </w:r>
      <w:r>
        <w:rPr>
          <w:i/>
          <w:iCs/>
        </w:rPr>
        <w:t>et al</w:t>
      </w:r>
      <w:r>
        <w:t xml:space="preserve">., 2023). These effects can be mitigated by adjusting planting dates to accommodate local climatic conditions and utilizing heat-tolerant varieties (Dubey </w:t>
      </w:r>
      <w:r>
        <w:rPr>
          <w:i/>
          <w:iCs/>
        </w:rPr>
        <w:t>et al</w:t>
      </w:r>
      <w:r>
        <w:t xml:space="preserve">., 2019; Kamara </w:t>
      </w:r>
      <w:r>
        <w:rPr>
          <w:i/>
          <w:iCs/>
        </w:rPr>
        <w:t>et al</w:t>
      </w:r>
      <w:r>
        <w:t>., 2021).  In conclusion, optimizing planting date is crucial for maximizing wheat production and quality. The optimal planting window is determined by the local environmental conditions, varietal characteristics, and management practices. Agricultural practitioners and plant breeders should consider these factors to develop strategies that balance yield potential with environmental constraints and quality requirements.</w:t>
      </w:r>
    </w:p>
    <w:p w14:paraId="598D6043">
      <w:pPr>
        <w:pStyle w:val="8"/>
        <w:ind w:firstLine="720"/>
        <w:jc w:val="both"/>
      </w:pPr>
      <w:r>
        <w:t>Weed control is as critical as managing other aspects of wheat cultivation, as species such as small-seed canary grass can significantly reduce yields. The economic threshold for weed control is influenced by planting times, with mid-sown wheat requiring 6-7 plants/m</w:t>
      </w:r>
      <w:r>
        <w:rPr>
          <w:vertAlign w:val="superscript"/>
        </w:rPr>
        <w:t>2</w:t>
      </w:r>
      <w:r>
        <w:t xml:space="preserve"> and late-sown wheat necessitating 2.2-3.3 plants/m</w:t>
      </w:r>
      <w:r>
        <w:rPr>
          <w:vertAlign w:val="superscript"/>
        </w:rPr>
        <w:t>2</w:t>
      </w:r>
      <w:r>
        <w:t xml:space="preserve"> (Hussain </w:t>
      </w:r>
      <w:r>
        <w:rPr>
          <w:i/>
          <w:iCs/>
        </w:rPr>
        <w:t>et al</w:t>
      </w:r>
      <w:r>
        <w:t xml:space="preserve">., 2014). Effective weed management strategies encompass the utilization of competitive cultivars, increased seeding rates, and reduced row spacing, which have demonstrated efficacy in controlling weeds, such as rigid ryegrass </w:t>
      </w:r>
      <w:commentRangeStart w:id="5"/>
      <w:r>
        <w:t>(Paynter &amp; Hills, 2009)</w:t>
      </w:r>
      <w:commentRangeEnd w:id="5"/>
      <w:r>
        <w:commentReference w:id="5"/>
      </w:r>
      <w:r>
        <w:t xml:space="preserve">. Notably, increased crop density and uniform spacing could enhance weed suppression. In conclusion, optimizing planting dates and implementing effective weed control measures is essential for maximizing wheat production. Agricultural practitioners should consider local climate conditions, weed pressure, and crop management practices when determining the most appropriate planting dates and weed control techniques for specific regions. In wheat cultivation, the management of weeds through herbicides is essential, as weed infestations constitute one of the most significant biological challenges to wheat crops. Depending on the weed species, population density, and environmental factors, weeds can result in crop yield reductions of up to 100% (Khan </w:t>
      </w:r>
      <w:r>
        <w:rPr>
          <w:i/>
          <w:iCs/>
        </w:rPr>
        <w:t>et al</w:t>
      </w:r>
      <w:r>
        <w:t xml:space="preserve">., 2024). Among the various weed control strategies, the application of chemical herbicides remains the most widely adopted method in wheat fields due to its high efficacy and reliability (Hussain </w:t>
      </w:r>
      <w:r>
        <w:rPr>
          <w:i/>
          <w:iCs/>
        </w:rPr>
        <w:t>et al</w:t>
      </w:r>
      <w:r>
        <w:t>., 2021).</w:t>
      </w:r>
    </w:p>
    <w:p w14:paraId="1FB2E0BB">
      <w:pPr>
        <w:pStyle w:val="8"/>
        <w:spacing w:line="360" w:lineRule="auto"/>
        <w:jc w:val="both"/>
        <w:rPr>
          <w:rFonts w:ascii="Arial" w:hAnsi="Arial" w:cs="Arial"/>
          <w:b/>
          <w:bCs/>
        </w:rPr>
      </w:pPr>
      <w:r>
        <w:rPr>
          <w:rFonts w:ascii="Arial" w:hAnsi="Arial" w:cs="Arial"/>
          <w:b/>
          <w:bCs/>
        </w:rPr>
        <w:t>2. Materials and method:</w:t>
      </w:r>
    </w:p>
    <w:p w14:paraId="2C64191C">
      <w:pPr>
        <w:pStyle w:val="8"/>
        <w:jc w:val="both"/>
        <w:rPr>
          <w:rFonts w:ascii="Arial" w:hAnsi="Arial" w:cs="Arial"/>
          <w:b/>
          <w:bCs/>
        </w:rPr>
      </w:pPr>
      <w:r>
        <w:t xml:space="preserve">A study was conducted at the Pilikothi Farm of T. D. P. G. College, Jaunpur, U. P. during the </w:t>
      </w:r>
      <w:r>
        <w:rPr>
          <w:i/>
          <w:iCs/>
        </w:rPr>
        <w:t>Rabi</w:t>
      </w:r>
      <w:r>
        <w:t xml:space="preserve"> seasons of 2018-19 and 2019-20. The experiment employed in a split-plot design, with three replications. The main plot treatments consisted of three sowing dates: D</w:t>
      </w:r>
      <w:r>
        <w:rPr>
          <w:vertAlign w:val="subscript"/>
        </w:rPr>
        <w:t>1</w:t>
      </w:r>
      <w:r>
        <w:t>: (November 15), D</w:t>
      </w:r>
      <w:r>
        <w:rPr>
          <w:vertAlign w:val="subscript"/>
        </w:rPr>
        <w:t>2</w:t>
      </w:r>
      <w:r>
        <w:t>: (November 30), and D</w:t>
      </w:r>
      <w:r>
        <w:rPr>
          <w:vertAlign w:val="subscript"/>
        </w:rPr>
        <w:t>3</w:t>
      </w:r>
      <w:r>
        <w:t>: (December 15). The sub-plot treatments encompassed six weed management practices: W</w:t>
      </w:r>
      <w:r>
        <w:rPr>
          <w:vertAlign w:val="subscript"/>
        </w:rPr>
        <w:t>1</w:t>
      </w:r>
      <w:r>
        <w:t>: (weedy check), W</w:t>
      </w:r>
      <w:r>
        <w:rPr>
          <w:vertAlign w:val="subscript"/>
        </w:rPr>
        <w:t>2</w:t>
      </w:r>
      <w:r>
        <w:t>: (weed free), W</w:t>
      </w:r>
      <w:r>
        <w:rPr>
          <w:vertAlign w:val="subscript"/>
        </w:rPr>
        <w:t>3</w:t>
      </w:r>
      <w:r>
        <w:t>: (2, 4 DEE at 0.5 kg a.i./ha), W</w:t>
      </w:r>
      <w:r>
        <w:rPr>
          <w:vertAlign w:val="subscript"/>
        </w:rPr>
        <w:t>4</w:t>
      </w:r>
      <w:r>
        <w:t>: (Carfentrazone at 0.025 kg a.i./ha), W</w:t>
      </w:r>
      <w:r>
        <w:rPr>
          <w:vertAlign w:val="subscript"/>
        </w:rPr>
        <w:t>5</w:t>
      </w:r>
      <w:r>
        <w:t>: (Metsulfuron methyl at 0.004 kg a.i./ha), and W</w:t>
      </w:r>
      <w:r>
        <w:rPr>
          <w:vertAlign w:val="subscript"/>
        </w:rPr>
        <w:t>6</w:t>
      </w:r>
      <w:r>
        <w:t>: (Arylex 20.85% + Florasulam 20%). The climate of Jaunpur district corresponds to the Northern Plain and Central Highlands, including the Aravalli range, characterized by a hot semi-arid eco-region 4.3 and a hot dry ecoregion 9.2. Temperatures range from approximately 4 °C (39 °F) to 44 °C (111 °F), with an average annual precipitation of 1,098 mm (43.2 in). The monsoon typically occurs from mid-June to early October, with 46 annual rain days, 31 of which are during the monsoon season. The district frequently experiences droughts and pest infestations. The experimental field consisted of a sandy clay loam soil. Fertilizers were applied at a rate of 150:60:40 kg N, P</w:t>
      </w:r>
      <w:r>
        <w:rPr>
          <w:vertAlign w:val="subscript"/>
        </w:rPr>
        <w:t>2</w:t>
      </w:r>
      <w:r>
        <w:t>O</w:t>
      </w:r>
      <w:r>
        <w:rPr>
          <w:vertAlign w:val="subscript"/>
        </w:rPr>
        <w:t>5</w:t>
      </w:r>
      <w:r>
        <w:t>, and K</w:t>
      </w:r>
      <w:r>
        <w:rPr>
          <w:vertAlign w:val="subscript"/>
        </w:rPr>
        <w:t>2</w:t>
      </w:r>
      <w:r>
        <w:t>O per hectare. The entire P</w:t>
      </w:r>
      <w:r>
        <w:rPr>
          <w:vertAlign w:val="subscript"/>
        </w:rPr>
        <w:t>2</w:t>
      </w:r>
      <w:r>
        <w:t>O</w:t>
      </w:r>
      <w:r>
        <w:rPr>
          <w:vertAlign w:val="subscript"/>
        </w:rPr>
        <w:t>5</w:t>
      </w:r>
      <w:r>
        <w:t xml:space="preserve"> and K</w:t>
      </w:r>
      <w:r>
        <w:rPr>
          <w:vertAlign w:val="subscript"/>
        </w:rPr>
        <w:t>2</w:t>
      </w:r>
      <w:r>
        <w:t>O doses were applied as a basal application, while N was distributed in three parts: half as basal and the remainder in two equal portions after the first and second irrigations. Irrigation was performed as required. The field preparation involved tilling twice, followed by planking. Seeding was performed using a seed drill machine after pre-sowing irrigation. The wheat variety HD 2967 was planted according to treatment specifications at a seed rate of 100 kg ha</w:t>
      </w:r>
      <w:r>
        <w:rPr>
          <w:vertAlign w:val="superscript"/>
        </w:rPr>
        <w:t>-1</w:t>
      </w:r>
      <w:r>
        <w:t>.</w:t>
      </w:r>
    </w:p>
    <w:p w14:paraId="17242356">
      <w:pPr>
        <w:spacing w:line="360" w:lineRule="auto"/>
        <w:jc w:val="both"/>
        <w:rPr>
          <w:rFonts w:ascii="Arial" w:hAnsi="Arial" w:cs="Arial"/>
          <w:b/>
          <w:bCs/>
        </w:rPr>
      </w:pPr>
      <w:r>
        <w:rPr>
          <w:rFonts w:ascii="Arial" w:hAnsi="Arial" w:cs="Arial"/>
          <w:b/>
          <w:bCs/>
        </w:rPr>
        <w:t>3. Result:</w:t>
      </w:r>
    </w:p>
    <w:p w14:paraId="606C5DC0">
      <w:pPr>
        <w:spacing w:line="360" w:lineRule="auto"/>
        <w:jc w:val="both"/>
        <w:rPr>
          <w:rFonts w:ascii="Arial" w:hAnsi="Arial" w:cs="Arial"/>
          <w:b/>
          <w:bCs/>
        </w:rPr>
      </w:pPr>
      <w:r>
        <w:rPr>
          <w:rFonts w:ascii="Arial" w:hAnsi="Arial" w:cs="Arial"/>
          <w:b/>
          <w:bCs/>
        </w:rPr>
        <w:t>3.1 Dry matter accumulation</w:t>
      </w:r>
    </w:p>
    <w:p w14:paraId="385581D7">
      <w:pPr>
        <w:spacing w:before="100" w:beforeAutospacing="1" w:after="100" w:afterAutospacing="1" w:line="240" w:lineRule="auto"/>
        <w:jc w:val="both"/>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Table 1. presents data on dry matter accumulation, indicating that the timing of sowing and the methods of weed control significantly influenced dry matter accumulation at different observation stages. Generally, sowing earlier led to greater dry matter accumulation compared to later sowing dates. Hand weeding consistently resulted in the highest dry matter accumulation across all sowing dates and periods. Chemical weed control methods varied in effectiveness, typically outperforming the weedy check but not matching the results of hand weeding. The weedy checks consistently showed the lowest dry matter accumulation, underscoring the importance of weed management. In all treatments and sowing dates, dry matter accumulation increased over time. Wheat sown on November 15 recorded the highest dry matter accumulation at all observation stages compared to the other two sowing dates, November 30 and December 15. Among the chemical weed control options, Arylex 20.85% + Florasulam 20% (W6) achieved the highest dry matter at all observation stages, although it was statistically similar to carfentrazone @ 0.025 kg a.i./ha at 60 and 90 DAS and at harvest compared to the other treatments during both years of the study. At 30 DAS, all herbicidal weed control measures were statistically similar in the first year, while in the second year, W6 was comparable to treatments W3 and W4, followed by treatment W</w:t>
      </w:r>
      <w:r>
        <w:commentReference w:id="6"/>
      </w:r>
      <w:r>
        <w:rPr>
          <w:rFonts w:ascii="Times New Roman" w:hAnsi="Times New Roman" w:eastAsia="Times New Roman" w:cs="Times New Roman"/>
          <w:sz w:val="24"/>
          <w:szCs w:val="24"/>
          <w:lang w:eastAsia="en-GB" w:bidi="hi-IN"/>
        </w:rPr>
        <w:t>5.</w:t>
      </w:r>
    </w:p>
    <w:p w14:paraId="4362EEF2">
      <w:pPr>
        <w:pStyle w:val="10"/>
        <w:rPr>
          <w:rFonts w:ascii="Times New Roman" w:hAnsi="Times New Roman" w:cs="Times New Roman"/>
          <w:b/>
          <w:bCs/>
          <w:sz w:val="24"/>
          <w:szCs w:val="24"/>
        </w:rPr>
      </w:pPr>
      <w:r>
        <w:rPr>
          <w:rFonts w:ascii="Times New Roman" w:hAnsi="Times New Roman" w:cs="Times New Roman"/>
          <w:b/>
          <w:bCs/>
          <w:sz w:val="24"/>
          <w:szCs w:val="24"/>
        </w:rPr>
        <w:t>Table 1: Effect of date of sowing and weed control measures on dry matter accumulation (g m</w:t>
      </w:r>
      <w:r>
        <w:rPr>
          <w:rFonts w:ascii="Times New Roman" w:hAnsi="Times New Roman" w:cs="Times New Roman"/>
          <w:b/>
          <w:bCs/>
          <w:sz w:val="24"/>
          <w:szCs w:val="24"/>
          <w:vertAlign w:val="superscript"/>
        </w:rPr>
        <w:t>2</w:t>
      </w:r>
      <w:r>
        <w:rPr>
          <w:rFonts w:ascii="Times New Roman" w:hAnsi="Times New Roman" w:cs="Times New Roman"/>
          <w:b/>
          <w:bCs/>
          <w:sz w:val="24"/>
          <w:szCs w:val="24"/>
        </w:rPr>
        <w:t>) of wheat at various crop growth stages</w:t>
      </w:r>
    </w:p>
    <w:p w14:paraId="45758B96">
      <w:pPr>
        <w:rPr>
          <w:lang w:val="en-IN" w:eastAsia="en-IN"/>
        </w:rPr>
      </w:pPr>
    </w:p>
    <w:tbl>
      <w:tblPr>
        <w:tblStyle w:val="3"/>
        <w:tblW w:w="5523" w:type="pct"/>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1" w:type="dxa"/>
          <w:bottom w:w="0" w:type="dxa"/>
          <w:right w:w="14" w:type="dxa"/>
        </w:tblCellMar>
      </w:tblPr>
      <w:tblGrid>
        <w:gridCol w:w="2970"/>
        <w:gridCol w:w="813"/>
        <w:gridCol w:w="790"/>
        <w:gridCol w:w="846"/>
        <w:gridCol w:w="846"/>
        <w:gridCol w:w="958"/>
        <w:gridCol w:w="958"/>
        <w:gridCol w:w="958"/>
        <w:gridCol w:w="958"/>
      </w:tblGrid>
      <w:tr w14:paraId="797CC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vMerge w:val="restart"/>
            <w:shd w:val="clear" w:color="auto" w:fill="auto"/>
            <w:vAlign w:val="center"/>
          </w:tcPr>
          <w:p w14:paraId="4978D2E2">
            <w:pPr>
              <w:spacing w:after="0" w:line="240" w:lineRule="auto"/>
              <w:jc w:val="center"/>
              <w:rPr>
                <w:rFonts w:ascii="Times New Roman" w:hAnsi="Times New Roman"/>
                <w:b/>
                <w:sz w:val="24"/>
                <w:szCs w:val="24"/>
              </w:rPr>
            </w:pPr>
            <w:r>
              <w:rPr>
                <w:rFonts w:ascii="Times New Roman" w:hAnsi="Times New Roman"/>
                <w:b/>
                <w:sz w:val="24"/>
                <w:szCs w:val="24"/>
              </w:rPr>
              <w:t>Treatments</w:t>
            </w:r>
          </w:p>
        </w:tc>
        <w:tc>
          <w:tcPr>
            <w:tcW w:w="7029" w:type="dxa"/>
            <w:gridSpan w:val="8"/>
            <w:shd w:val="clear" w:color="auto" w:fill="auto"/>
            <w:vAlign w:val="center"/>
          </w:tcPr>
          <w:p w14:paraId="3B3EF654">
            <w:pPr>
              <w:spacing w:after="0" w:line="240" w:lineRule="auto"/>
              <w:jc w:val="center"/>
              <w:rPr>
                <w:rFonts w:ascii="Times New Roman" w:hAnsi="Times New Roman"/>
                <w:b/>
                <w:bCs/>
                <w:sz w:val="24"/>
                <w:szCs w:val="24"/>
              </w:rPr>
            </w:pPr>
            <w:r>
              <w:rPr>
                <w:rFonts w:ascii="Times New Roman" w:hAnsi="Times New Roman" w:cs="Times New Roman"/>
                <w:b/>
                <w:bCs/>
                <w:sz w:val="24"/>
                <w:szCs w:val="24"/>
              </w:rPr>
              <w:t>dry matter accumulation (g m</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tc>
      </w:tr>
      <w:tr w14:paraId="53F8B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vMerge w:val="continue"/>
            <w:shd w:val="clear" w:color="auto" w:fill="auto"/>
            <w:vAlign w:val="center"/>
          </w:tcPr>
          <w:p w14:paraId="41E8E30B">
            <w:pPr>
              <w:spacing w:after="0" w:line="240" w:lineRule="auto"/>
              <w:jc w:val="center"/>
              <w:rPr>
                <w:rFonts w:ascii="Times New Roman" w:hAnsi="Times New Roman"/>
                <w:b/>
                <w:sz w:val="24"/>
                <w:szCs w:val="24"/>
              </w:rPr>
            </w:pPr>
          </w:p>
        </w:tc>
        <w:tc>
          <w:tcPr>
            <w:tcW w:w="1581" w:type="dxa"/>
            <w:gridSpan w:val="2"/>
            <w:shd w:val="clear" w:color="auto" w:fill="auto"/>
            <w:vAlign w:val="center"/>
          </w:tcPr>
          <w:p w14:paraId="1E5AFE08">
            <w:pPr>
              <w:spacing w:after="0" w:line="240" w:lineRule="auto"/>
              <w:jc w:val="center"/>
              <w:rPr>
                <w:rFonts w:ascii="Times New Roman" w:hAnsi="Times New Roman"/>
                <w:b/>
                <w:sz w:val="24"/>
                <w:szCs w:val="24"/>
              </w:rPr>
            </w:pPr>
            <w:r>
              <w:rPr>
                <w:rFonts w:ascii="Times New Roman" w:hAnsi="Times New Roman"/>
                <w:b/>
                <w:sz w:val="24"/>
                <w:szCs w:val="24"/>
              </w:rPr>
              <w:t>30 DAS</w:t>
            </w:r>
          </w:p>
        </w:tc>
        <w:tc>
          <w:tcPr>
            <w:tcW w:w="1668" w:type="dxa"/>
            <w:gridSpan w:val="2"/>
            <w:shd w:val="clear" w:color="auto" w:fill="auto"/>
            <w:vAlign w:val="center"/>
          </w:tcPr>
          <w:p w14:paraId="23D03500">
            <w:pPr>
              <w:spacing w:after="0" w:line="240" w:lineRule="auto"/>
              <w:jc w:val="center"/>
              <w:rPr>
                <w:rFonts w:ascii="Times New Roman" w:hAnsi="Times New Roman"/>
                <w:b/>
                <w:sz w:val="24"/>
                <w:szCs w:val="24"/>
              </w:rPr>
            </w:pPr>
            <w:r>
              <w:rPr>
                <w:rFonts w:ascii="Times New Roman" w:hAnsi="Times New Roman"/>
                <w:b/>
                <w:sz w:val="24"/>
                <w:szCs w:val="24"/>
              </w:rPr>
              <w:t>60 DAS</w:t>
            </w:r>
          </w:p>
        </w:tc>
        <w:tc>
          <w:tcPr>
            <w:tcW w:w="1890" w:type="dxa"/>
            <w:gridSpan w:val="2"/>
            <w:shd w:val="clear" w:color="auto" w:fill="auto"/>
            <w:vAlign w:val="center"/>
          </w:tcPr>
          <w:p w14:paraId="058E0E68">
            <w:pPr>
              <w:spacing w:after="0" w:line="240" w:lineRule="auto"/>
              <w:jc w:val="center"/>
              <w:rPr>
                <w:rFonts w:ascii="Times New Roman" w:hAnsi="Times New Roman"/>
                <w:b/>
                <w:sz w:val="24"/>
                <w:szCs w:val="24"/>
              </w:rPr>
            </w:pPr>
            <w:r>
              <w:rPr>
                <w:rFonts w:ascii="Times New Roman" w:hAnsi="Times New Roman"/>
                <w:b/>
                <w:sz w:val="24"/>
                <w:szCs w:val="24"/>
              </w:rPr>
              <w:t>90 DAS</w:t>
            </w:r>
          </w:p>
        </w:tc>
        <w:tc>
          <w:tcPr>
            <w:tcW w:w="1890" w:type="dxa"/>
            <w:gridSpan w:val="2"/>
            <w:shd w:val="clear" w:color="auto" w:fill="auto"/>
            <w:vAlign w:val="center"/>
          </w:tcPr>
          <w:p w14:paraId="35CB513F">
            <w:pPr>
              <w:spacing w:after="0" w:line="240" w:lineRule="auto"/>
              <w:jc w:val="center"/>
              <w:rPr>
                <w:rFonts w:ascii="Times New Roman" w:hAnsi="Times New Roman"/>
                <w:b/>
                <w:sz w:val="24"/>
                <w:szCs w:val="24"/>
              </w:rPr>
            </w:pPr>
            <w:r>
              <w:rPr>
                <w:rFonts w:ascii="Times New Roman" w:hAnsi="Times New Roman"/>
                <w:b/>
                <w:sz w:val="24"/>
                <w:szCs w:val="24"/>
              </w:rPr>
              <w:t>At harvest</w:t>
            </w:r>
          </w:p>
        </w:tc>
      </w:tr>
      <w:tr w14:paraId="5A083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vMerge w:val="continue"/>
            <w:tcBorders>
              <w:bottom w:val="single" w:color="000000" w:sz="4" w:space="0"/>
            </w:tcBorders>
            <w:shd w:val="clear" w:color="auto" w:fill="auto"/>
            <w:vAlign w:val="center"/>
          </w:tcPr>
          <w:p w14:paraId="06A4B825">
            <w:pPr>
              <w:spacing w:after="0" w:line="240" w:lineRule="auto"/>
              <w:jc w:val="center"/>
              <w:rPr>
                <w:rFonts w:ascii="Times New Roman" w:hAnsi="Times New Roman"/>
                <w:b/>
                <w:sz w:val="24"/>
                <w:szCs w:val="24"/>
              </w:rPr>
            </w:pPr>
          </w:p>
        </w:tc>
        <w:tc>
          <w:tcPr>
            <w:tcW w:w="802" w:type="dxa"/>
            <w:tcBorders>
              <w:bottom w:val="single" w:color="000000" w:sz="4" w:space="0"/>
            </w:tcBorders>
            <w:shd w:val="clear" w:color="auto" w:fill="auto"/>
            <w:vAlign w:val="center"/>
          </w:tcPr>
          <w:p w14:paraId="783911F8">
            <w:pPr>
              <w:spacing w:after="0" w:line="240" w:lineRule="auto"/>
              <w:jc w:val="center"/>
              <w:rPr>
                <w:rFonts w:ascii="Times New Roman" w:hAnsi="Times New Roman"/>
                <w:b/>
                <w:sz w:val="24"/>
                <w:szCs w:val="24"/>
              </w:rPr>
            </w:pPr>
            <w:r>
              <w:rPr>
                <w:rFonts w:ascii="Times New Roman" w:hAnsi="Times New Roman"/>
                <w:b/>
                <w:sz w:val="24"/>
                <w:szCs w:val="24"/>
              </w:rPr>
              <w:t>2018-19</w:t>
            </w:r>
          </w:p>
        </w:tc>
        <w:tc>
          <w:tcPr>
            <w:tcW w:w="779" w:type="dxa"/>
            <w:tcBorders>
              <w:bottom w:val="single" w:color="000000" w:sz="4" w:space="0"/>
            </w:tcBorders>
            <w:shd w:val="clear" w:color="auto" w:fill="auto"/>
            <w:vAlign w:val="center"/>
          </w:tcPr>
          <w:p w14:paraId="40734F94">
            <w:pPr>
              <w:spacing w:after="0" w:line="240" w:lineRule="auto"/>
              <w:jc w:val="center"/>
              <w:rPr>
                <w:rFonts w:ascii="Times New Roman" w:hAnsi="Times New Roman"/>
                <w:b/>
                <w:sz w:val="24"/>
                <w:szCs w:val="24"/>
              </w:rPr>
            </w:pPr>
            <w:r>
              <w:rPr>
                <w:rFonts w:ascii="Times New Roman" w:hAnsi="Times New Roman"/>
                <w:b/>
                <w:sz w:val="24"/>
                <w:szCs w:val="24"/>
              </w:rPr>
              <w:t>2019-20</w:t>
            </w:r>
          </w:p>
        </w:tc>
        <w:tc>
          <w:tcPr>
            <w:tcW w:w="834" w:type="dxa"/>
            <w:tcBorders>
              <w:bottom w:val="single" w:color="000000" w:sz="4" w:space="0"/>
            </w:tcBorders>
            <w:shd w:val="clear" w:color="auto" w:fill="auto"/>
            <w:vAlign w:val="center"/>
          </w:tcPr>
          <w:p w14:paraId="22C0BD9B">
            <w:pPr>
              <w:spacing w:after="0" w:line="240" w:lineRule="auto"/>
              <w:jc w:val="center"/>
              <w:rPr>
                <w:rFonts w:ascii="Times New Roman" w:hAnsi="Times New Roman"/>
                <w:b/>
                <w:sz w:val="24"/>
                <w:szCs w:val="24"/>
              </w:rPr>
            </w:pPr>
            <w:r>
              <w:rPr>
                <w:rFonts w:ascii="Times New Roman" w:hAnsi="Times New Roman"/>
                <w:b/>
                <w:sz w:val="24"/>
                <w:szCs w:val="24"/>
              </w:rPr>
              <w:t>2018-19</w:t>
            </w:r>
          </w:p>
        </w:tc>
        <w:tc>
          <w:tcPr>
            <w:tcW w:w="834" w:type="dxa"/>
            <w:tcBorders>
              <w:bottom w:val="single" w:color="000000" w:sz="4" w:space="0"/>
            </w:tcBorders>
            <w:shd w:val="clear" w:color="auto" w:fill="auto"/>
            <w:vAlign w:val="center"/>
          </w:tcPr>
          <w:p w14:paraId="573698CE">
            <w:pPr>
              <w:spacing w:after="0" w:line="240" w:lineRule="auto"/>
              <w:jc w:val="center"/>
              <w:rPr>
                <w:rFonts w:ascii="Times New Roman" w:hAnsi="Times New Roman"/>
                <w:b/>
                <w:sz w:val="24"/>
                <w:szCs w:val="24"/>
              </w:rPr>
            </w:pPr>
            <w:r>
              <w:rPr>
                <w:rFonts w:ascii="Times New Roman" w:hAnsi="Times New Roman"/>
                <w:b/>
                <w:sz w:val="24"/>
                <w:szCs w:val="24"/>
              </w:rPr>
              <w:t>2019-20</w:t>
            </w:r>
          </w:p>
        </w:tc>
        <w:tc>
          <w:tcPr>
            <w:tcW w:w="945" w:type="dxa"/>
            <w:tcBorders>
              <w:bottom w:val="single" w:color="000000" w:sz="4" w:space="0"/>
            </w:tcBorders>
            <w:shd w:val="clear" w:color="auto" w:fill="auto"/>
            <w:vAlign w:val="center"/>
          </w:tcPr>
          <w:p w14:paraId="64910B33">
            <w:pPr>
              <w:spacing w:after="0" w:line="240" w:lineRule="auto"/>
              <w:jc w:val="center"/>
              <w:rPr>
                <w:rFonts w:ascii="Times New Roman" w:hAnsi="Times New Roman"/>
                <w:b/>
                <w:sz w:val="24"/>
                <w:szCs w:val="24"/>
              </w:rPr>
            </w:pPr>
            <w:r>
              <w:rPr>
                <w:rFonts w:ascii="Times New Roman" w:hAnsi="Times New Roman"/>
                <w:b/>
                <w:sz w:val="24"/>
                <w:szCs w:val="24"/>
              </w:rPr>
              <w:t>2018-19</w:t>
            </w:r>
          </w:p>
        </w:tc>
        <w:tc>
          <w:tcPr>
            <w:tcW w:w="945" w:type="dxa"/>
            <w:tcBorders>
              <w:bottom w:val="single" w:color="000000" w:sz="4" w:space="0"/>
            </w:tcBorders>
            <w:shd w:val="clear" w:color="auto" w:fill="auto"/>
            <w:vAlign w:val="center"/>
          </w:tcPr>
          <w:p w14:paraId="2B6780BD">
            <w:pPr>
              <w:spacing w:after="0" w:line="240" w:lineRule="auto"/>
              <w:jc w:val="center"/>
              <w:rPr>
                <w:rFonts w:ascii="Times New Roman" w:hAnsi="Times New Roman"/>
                <w:b/>
                <w:sz w:val="24"/>
                <w:szCs w:val="24"/>
              </w:rPr>
            </w:pPr>
            <w:r>
              <w:rPr>
                <w:rFonts w:ascii="Times New Roman" w:hAnsi="Times New Roman"/>
                <w:b/>
                <w:sz w:val="24"/>
                <w:szCs w:val="24"/>
              </w:rPr>
              <w:t>2019-20</w:t>
            </w:r>
          </w:p>
        </w:tc>
        <w:tc>
          <w:tcPr>
            <w:tcW w:w="945" w:type="dxa"/>
            <w:tcBorders>
              <w:bottom w:val="single" w:color="000000" w:sz="4" w:space="0"/>
            </w:tcBorders>
            <w:shd w:val="clear" w:color="auto" w:fill="auto"/>
            <w:vAlign w:val="center"/>
          </w:tcPr>
          <w:p w14:paraId="3CC2AB00">
            <w:pPr>
              <w:spacing w:after="0" w:line="240" w:lineRule="auto"/>
              <w:jc w:val="center"/>
              <w:rPr>
                <w:rFonts w:ascii="Times New Roman" w:hAnsi="Times New Roman"/>
                <w:b/>
                <w:sz w:val="24"/>
                <w:szCs w:val="24"/>
              </w:rPr>
            </w:pPr>
            <w:r>
              <w:rPr>
                <w:rFonts w:ascii="Times New Roman" w:hAnsi="Times New Roman"/>
                <w:b/>
                <w:sz w:val="24"/>
                <w:szCs w:val="24"/>
              </w:rPr>
              <w:t>2018-19</w:t>
            </w:r>
          </w:p>
        </w:tc>
        <w:tc>
          <w:tcPr>
            <w:tcW w:w="945" w:type="dxa"/>
            <w:tcBorders>
              <w:bottom w:val="single" w:color="000000" w:sz="4" w:space="0"/>
            </w:tcBorders>
            <w:shd w:val="clear" w:color="auto" w:fill="auto"/>
            <w:vAlign w:val="center"/>
          </w:tcPr>
          <w:p w14:paraId="1326FEC3">
            <w:pPr>
              <w:spacing w:after="0" w:line="240" w:lineRule="auto"/>
              <w:jc w:val="center"/>
              <w:rPr>
                <w:rFonts w:ascii="Times New Roman" w:hAnsi="Times New Roman"/>
                <w:b/>
                <w:sz w:val="24"/>
                <w:szCs w:val="24"/>
              </w:rPr>
            </w:pPr>
            <w:r>
              <w:rPr>
                <w:rFonts w:ascii="Times New Roman" w:hAnsi="Times New Roman"/>
                <w:b/>
                <w:sz w:val="24"/>
                <w:szCs w:val="24"/>
              </w:rPr>
              <w:t>2019-20</w:t>
            </w:r>
          </w:p>
        </w:tc>
      </w:tr>
      <w:tr w14:paraId="5A19C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9959" w:type="dxa"/>
            <w:gridSpan w:val="9"/>
            <w:shd w:val="clear" w:color="auto" w:fill="auto"/>
            <w:vAlign w:val="center"/>
          </w:tcPr>
          <w:p w14:paraId="0848560C">
            <w:pPr>
              <w:spacing w:after="0" w:line="240" w:lineRule="auto"/>
              <w:rPr>
                <w:rFonts w:ascii="Times New Roman" w:hAnsi="Times New Roman"/>
                <w:sz w:val="24"/>
                <w:szCs w:val="24"/>
              </w:rPr>
            </w:pPr>
            <w:r>
              <w:rPr>
                <w:rFonts w:ascii="Times New Roman" w:hAnsi="Times New Roman"/>
                <w:b/>
                <w:sz w:val="24"/>
                <w:szCs w:val="24"/>
              </w:rPr>
              <w:t>Main Plot: Sowing dates (3)</w:t>
            </w:r>
          </w:p>
        </w:tc>
      </w:tr>
      <w:tr w14:paraId="306C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2B466D61">
            <w:pPr>
              <w:spacing w:line="240" w:lineRule="auto"/>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vertAlign w:val="subscript"/>
              </w:rPr>
              <w:t>1</w:t>
            </w:r>
            <w:r>
              <w:rPr>
                <w:rFonts w:ascii="Times New Roman" w:hAnsi="Times New Roman"/>
                <w:b/>
                <w:bCs/>
                <w:sz w:val="24"/>
                <w:szCs w:val="24"/>
              </w:rPr>
              <w:t>:</w:t>
            </w:r>
            <w:r>
              <w:rPr>
                <w:rFonts w:ascii="Times New Roman" w:hAnsi="Times New Roman"/>
                <w:sz w:val="24"/>
                <w:szCs w:val="24"/>
              </w:rPr>
              <w:t xml:space="preserve"> 1</w:t>
            </w:r>
            <w:r>
              <w:rPr>
                <w:rFonts w:ascii="Times New Roman" w:hAnsi="Times New Roman"/>
                <w:sz w:val="24"/>
                <w:szCs w:val="24"/>
                <w:vertAlign w:val="superscript"/>
              </w:rPr>
              <w:t xml:space="preserve">st </w:t>
            </w:r>
            <w:r>
              <w:rPr>
                <w:rFonts w:ascii="Times New Roman" w:hAnsi="Times New Roman"/>
                <w:sz w:val="24"/>
                <w:szCs w:val="24"/>
              </w:rPr>
              <w:t>date of sowing (15</w:t>
            </w:r>
            <w:r>
              <w:rPr>
                <w:rFonts w:ascii="Times New Roman" w:hAnsi="Times New Roman"/>
                <w:sz w:val="24"/>
                <w:szCs w:val="24"/>
                <w:vertAlign w:val="superscript"/>
              </w:rPr>
              <w:t>th</w:t>
            </w:r>
            <w:r>
              <w:rPr>
                <w:rFonts w:ascii="Times New Roman" w:hAnsi="Times New Roman"/>
                <w:sz w:val="24"/>
                <w:szCs w:val="24"/>
              </w:rPr>
              <w:t xml:space="preserve"> Nov)</w:t>
            </w:r>
          </w:p>
        </w:tc>
        <w:tc>
          <w:tcPr>
            <w:tcW w:w="802" w:type="dxa"/>
            <w:shd w:val="clear" w:color="auto" w:fill="auto"/>
            <w:vAlign w:val="center"/>
          </w:tcPr>
          <w:p w14:paraId="47DEDDA8">
            <w:pPr>
              <w:jc w:val="center"/>
            </w:pPr>
            <w:r>
              <w:t>77.16</w:t>
            </w:r>
          </w:p>
        </w:tc>
        <w:tc>
          <w:tcPr>
            <w:tcW w:w="779" w:type="dxa"/>
            <w:shd w:val="clear" w:color="auto" w:fill="auto"/>
            <w:vAlign w:val="center"/>
          </w:tcPr>
          <w:p w14:paraId="4BEA5172">
            <w:pPr>
              <w:spacing w:after="0" w:line="240" w:lineRule="auto"/>
              <w:jc w:val="center"/>
              <w:rPr>
                <w:rFonts w:ascii="Calibri" w:hAnsi="Calibri" w:eastAsia="Times New Roman" w:cs="Calibri"/>
                <w:lang w:eastAsia="en-GB"/>
              </w:rPr>
            </w:pPr>
            <w:r>
              <w:rPr>
                <w:rFonts w:ascii="Calibri" w:hAnsi="Calibri" w:cs="Calibri"/>
              </w:rPr>
              <w:t>79.11</w:t>
            </w:r>
          </w:p>
        </w:tc>
        <w:tc>
          <w:tcPr>
            <w:tcW w:w="834" w:type="dxa"/>
            <w:shd w:val="clear" w:color="auto" w:fill="auto"/>
            <w:vAlign w:val="center"/>
          </w:tcPr>
          <w:p w14:paraId="77434CF7">
            <w:pPr>
              <w:spacing w:after="0" w:line="240" w:lineRule="auto"/>
              <w:jc w:val="center"/>
              <w:rPr>
                <w:rFonts w:ascii="Calibri" w:hAnsi="Calibri" w:eastAsia="Times New Roman" w:cs="Calibri"/>
                <w:lang w:eastAsia="en-GB"/>
              </w:rPr>
            </w:pPr>
            <w:r>
              <w:rPr>
                <w:rFonts w:ascii="Calibri" w:hAnsi="Calibri" w:cs="Calibri"/>
              </w:rPr>
              <w:t>270.06</w:t>
            </w:r>
          </w:p>
        </w:tc>
        <w:tc>
          <w:tcPr>
            <w:tcW w:w="834" w:type="dxa"/>
            <w:shd w:val="clear" w:color="auto" w:fill="auto"/>
            <w:vAlign w:val="center"/>
          </w:tcPr>
          <w:p w14:paraId="6BEC95AA">
            <w:pPr>
              <w:spacing w:after="0" w:line="240" w:lineRule="auto"/>
              <w:jc w:val="center"/>
              <w:rPr>
                <w:rFonts w:ascii="Calibri" w:hAnsi="Calibri" w:eastAsia="Times New Roman" w:cs="Calibri"/>
                <w:lang w:eastAsia="en-GB"/>
              </w:rPr>
            </w:pPr>
            <w:r>
              <w:rPr>
                <w:rFonts w:ascii="Calibri" w:hAnsi="Calibri" w:cs="Calibri"/>
              </w:rPr>
              <w:t>276.11</w:t>
            </w:r>
          </w:p>
        </w:tc>
        <w:tc>
          <w:tcPr>
            <w:tcW w:w="945" w:type="dxa"/>
            <w:shd w:val="clear" w:color="auto" w:fill="auto"/>
            <w:vAlign w:val="center"/>
          </w:tcPr>
          <w:p w14:paraId="6E36975C">
            <w:pPr>
              <w:spacing w:after="0" w:line="240" w:lineRule="auto"/>
              <w:jc w:val="center"/>
              <w:rPr>
                <w:rFonts w:ascii="Calibri" w:hAnsi="Calibri" w:eastAsia="Times New Roman" w:cs="Calibri"/>
                <w:lang w:eastAsia="en-GB"/>
              </w:rPr>
            </w:pPr>
            <w:r>
              <w:rPr>
                <w:rFonts w:ascii="Calibri" w:hAnsi="Calibri" w:cs="Calibri"/>
              </w:rPr>
              <w:t>1041.90</w:t>
            </w:r>
          </w:p>
        </w:tc>
        <w:tc>
          <w:tcPr>
            <w:tcW w:w="945" w:type="dxa"/>
            <w:shd w:val="clear" w:color="auto" w:fill="auto"/>
            <w:vAlign w:val="center"/>
          </w:tcPr>
          <w:p w14:paraId="3F59A752">
            <w:pPr>
              <w:spacing w:after="0" w:line="240" w:lineRule="auto"/>
              <w:jc w:val="center"/>
              <w:rPr>
                <w:rFonts w:ascii="Calibri" w:hAnsi="Calibri" w:eastAsia="Times New Roman" w:cs="Calibri"/>
                <w:lang w:eastAsia="en-GB"/>
              </w:rPr>
            </w:pPr>
            <w:r>
              <w:rPr>
                <w:rFonts w:ascii="Calibri" w:hAnsi="Calibri" w:cs="Calibri"/>
              </w:rPr>
              <w:t>1053.40</w:t>
            </w:r>
          </w:p>
        </w:tc>
        <w:tc>
          <w:tcPr>
            <w:tcW w:w="945" w:type="dxa"/>
            <w:shd w:val="clear" w:color="auto" w:fill="auto"/>
            <w:vAlign w:val="center"/>
          </w:tcPr>
          <w:p w14:paraId="6D74DB37">
            <w:pPr>
              <w:spacing w:after="0" w:line="240" w:lineRule="auto"/>
              <w:jc w:val="center"/>
              <w:rPr>
                <w:rFonts w:ascii="Calibri" w:hAnsi="Calibri" w:eastAsia="Times New Roman" w:cs="Calibri"/>
                <w:lang w:eastAsia="en-GB"/>
              </w:rPr>
            </w:pPr>
            <w:r>
              <w:rPr>
                <w:rFonts w:ascii="Calibri" w:hAnsi="Calibri" w:cs="Calibri"/>
              </w:rPr>
              <w:t>1105.42</w:t>
            </w:r>
          </w:p>
        </w:tc>
        <w:tc>
          <w:tcPr>
            <w:tcW w:w="945" w:type="dxa"/>
            <w:shd w:val="clear" w:color="auto" w:fill="auto"/>
            <w:vAlign w:val="center"/>
          </w:tcPr>
          <w:p w14:paraId="370AB26F">
            <w:pPr>
              <w:spacing w:after="0" w:line="240" w:lineRule="auto"/>
              <w:jc w:val="center"/>
              <w:rPr>
                <w:rFonts w:ascii="Calibri" w:hAnsi="Calibri" w:eastAsia="Times New Roman" w:cs="Calibri"/>
                <w:lang w:eastAsia="en-GB"/>
              </w:rPr>
            </w:pPr>
            <w:r>
              <w:rPr>
                <w:rFonts w:ascii="Calibri" w:hAnsi="Calibri" w:cs="Calibri"/>
              </w:rPr>
              <w:t>1127.21</w:t>
            </w:r>
          </w:p>
        </w:tc>
      </w:tr>
      <w:tr w14:paraId="468B1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3FB06E8D">
            <w:pPr>
              <w:spacing w:line="240" w:lineRule="auto"/>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vertAlign w:val="subscript"/>
              </w:rPr>
              <w:t>2</w:t>
            </w:r>
            <w:r>
              <w:rPr>
                <w:rFonts w:ascii="Times New Roman" w:hAnsi="Times New Roman"/>
                <w:b/>
                <w:bCs/>
                <w:sz w:val="24"/>
                <w:szCs w:val="24"/>
              </w:rPr>
              <w:t>:</w:t>
            </w:r>
            <w:r>
              <w:rPr>
                <w:rFonts w:ascii="Times New Roman" w:hAnsi="Times New Roman"/>
                <w:sz w:val="24"/>
                <w:szCs w:val="24"/>
              </w:rPr>
              <w:t xml:space="preserve"> 2</w:t>
            </w:r>
            <w:r>
              <w:rPr>
                <w:rFonts w:ascii="Times New Roman" w:hAnsi="Times New Roman"/>
                <w:sz w:val="24"/>
                <w:szCs w:val="24"/>
                <w:vertAlign w:val="superscript"/>
              </w:rPr>
              <w:t xml:space="preserve">nd </w:t>
            </w:r>
            <w:r>
              <w:rPr>
                <w:rFonts w:ascii="Times New Roman" w:hAnsi="Times New Roman"/>
                <w:sz w:val="24"/>
                <w:szCs w:val="24"/>
              </w:rPr>
              <w:t>date of sowing (30</w:t>
            </w:r>
            <w:r>
              <w:rPr>
                <w:rFonts w:ascii="Times New Roman" w:hAnsi="Times New Roman"/>
                <w:sz w:val="24"/>
                <w:szCs w:val="24"/>
                <w:vertAlign w:val="superscript"/>
              </w:rPr>
              <w:t>th</w:t>
            </w:r>
            <w:r>
              <w:rPr>
                <w:rFonts w:ascii="Times New Roman" w:hAnsi="Times New Roman"/>
                <w:sz w:val="24"/>
                <w:szCs w:val="24"/>
              </w:rPr>
              <w:t xml:space="preserve"> Nov)</w:t>
            </w:r>
          </w:p>
        </w:tc>
        <w:tc>
          <w:tcPr>
            <w:tcW w:w="802" w:type="dxa"/>
            <w:shd w:val="clear" w:color="auto" w:fill="auto"/>
            <w:vAlign w:val="center"/>
          </w:tcPr>
          <w:p w14:paraId="6E8DF0E9">
            <w:pPr>
              <w:jc w:val="center"/>
            </w:pPr>
            <w:r>
              <w:t>73.21</w:t>
            </w:r>
          </w:p>
        </w:tc>
        <w:tc>
          <w:tcPr>
            <w:tcW w:w="779" w:type="dxa"/>
            <w:shd w:val="clear" w:color="auto" w:fill="auto"/>
            <w:vAlign w:val="center"/>
          </w:tcPr>
          <w:p w14:paraId="566004BE">
            <w:pPr>
              <w:jc w:val="center"/>
              <w:rPr>
                <w:rFonts w:ascii="Calibri" w:hAnsi="Calibri" w:cs="Calibri"/>
              </w:rPr>
            </w:pPr>
            <w:r>
              <w:rPr>
                <w:rFonts w:ascii="Calibri" w:hAnsi="Calibri" w:cs="Calibri"/>
              </w:rPr>
              <w:t>74.90</w:t>
            </w:r>
          </w:p>
        </w:tc>
        <w:tc>
          <w:tcPr>
            <w:tcW w:w="834" w:type="dxa"/>
            <w:shd w:val="clear" w:color="auto" w:fill="auto"/>
            <w:vAlign w:val="center"/>
          </w:tcPr>
          <w:p w14:paraId="3CA2CEA8">
            <w:pPr>
              <w:jc w:val="center"/>
              <w:rPr>
                <w:rFonts w:ascii="Calibri" w:hAnsi="Calibri" w:cs="Calibri"/>
              </w:rPr>
            </w:pPr>
            <w:r>
              <w:rPr>
                <w:rFonts w:ascii="Calibri" w:hAnsi="Calibri" w:cs="Calibri"/>
              </w:rPr>
              <w:t>257.14</w:t>
            </w:r>
          </w:p>
        </w:tc>
        <w:tc>
          <w:tcPr>
            <w:tcW w:w="834" w:type="dxa"/>
            <w:shd w:val="clear" w:color="auto" w:fill="auto"/>
            <w:vAlign w:val="center"/>
          </w:tcPr>
          <w:p w14:paraId="4CDED082">
            <w:pPr>
              <w:jc w:val="center"/>
              <w:rPr>
                <w:rFonts w:ascii="Calibri" w:hAnsi="Calibri" w:cs="Calibri"/>
              </w:rPr>
            </w:pPr>
            <w:r>
              <w:rPr>
                <w:rFonts w:ascii="Calibri" w:hAnsi="Calibri" w:cs="Calibri"/>
              </w:rPr>
              <w:t>264.31</w:t>
            </w:r>
          </w:p>
        </w:tc>
        <w:tc>
          <w:tcPr>
            <w:tcW w:w="945" w:type="dxa"/>
            <w:shd w:val="clear" w:color="auto" w:fill="auto"/>
            <w:vAlign w:val="center"/>
          </w:tcPr>
          <w:p w14:paraId="1AF1DE06">
            <w:pPr>
              <w:jc w:val="center"/>
              <w:rPr>
                <w:rFonts w:ascii="Calibri" w:hAnsi="Calibri" w:cs="Calibri"/>
              </w:rPr>
            </w:pPr>
            <w:r>
              <w:rPr>
                <w:rFonts w:ascii="Calibri" w:hAnsi="Calibri" w:cs="Calibri"/>
              </w:rPr>
              <w:t>981.93</w:t>
            </w:r>
          </w:p>
        </w:tc>
        <w:tc>
          <w:tcPr>
            <w:tcW w:w="945" w:type="dxa"/>
            <w:shd w:val="clear" w:color="auto" w:fill="auto"/>
            <w:vAlign w:val="center"/>
          </w:tcPr>
          <w:p w14:paraId="4BDF5B01">
            <w:pPr>
              <w:jc w:val="center"/>
              <w:rPr>
                <w:rFonts w:ascii="Calibri" w:hAnsi="Calibri" w:cs="Calibri"/>
              </w:rPr>
            </w:pPr>
            <w:r>
              <w:rPr>
                <w:rFonts w:ascii="Calibri" w:hAnsi="Calibri" w:cs="Calibri"/>
              </w:rPr>
              <w:t>1008.37</w:t>
            </w:r>
          </w:p>
        </w:tc>
        <w:tc>
          <w:tcPr>
            <w:tcW w:w="945" w:type="dxa"/>
            <w:shd w:val="clear" w:color="auto" w:fill="auto"/>
            <w:vAlign w:val="center"/>
          </w:tcPr>
          <w:p w14:paraId="52B31280">
            <w:pPr>
              <w:jc w:val="center"/>
              <w:rPr>
                <w:rFonts w:ascii="Calibri" w:hAnsi="Calibri" w:cs="Calibri"/>
              </w:rPr>
            </w:pPr>
            <w:r>
              <w:rPr>
                <w:rFonts w:ascii="Calibri" w:hAnsi="Calibri" w:cs="Calibri"/>
              </w:rPr>
              <w:t>1055.37</w:t>
            </w:r>
          </w:p>
        </w:tc>
        <w:tc>
          <w:tcPr>
            <w:tcW w:w="945" w:type="dxa"/>
            <w:shd w:val="clear" w:color="auto" w:fill="auto"/>
            <w:vAlign w:val="center"/>
          </w:tcPr>
          <w:p w14:paraId="3AD989DF">
            <w:pPr>
              <w:jc w:val="center"/>
              <w:rPr>
                <w:rFonts w:ascii="Calibri" w:hAnsi="Calibri" w:cs="Calibri"/>
              </w:rPr>
            </w:pPr>
            <w:r>
              <w:rPr>
                <w:rFonts w:ascii="Calibri" w:hAnsi="Calibri" w:cs="Calibri"/>
              </w:rPr>
              <w:t>1069.13</w:t>
            </w:r>
          </w:p>
        </w:tc>
      </w:tr>
      <w:tr w14:paraId="7A54D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6086F089">
            <w:pPr>
              <w:spacing w:line="240" w:lineRule="auto"/>
              <w:rPr>
                <w:rFonts w:ascii="Times New Roman" w:hAnsi="Times New Roman"/>
                <w:b/>
                <w:bCs/>
                <w:sz w:val="24"/>
                <w:szCs w:val="24"/>
                <w:vertAlign w:val="superscript"/>
              </w:rPr>
            </w:pPr>
            <w:r>
              <w:rPr>
                <w:rFonts w:ascii="Times New Roman" w:hAnsi="Times New Roman"/>
                <w:b/>
                <w:bCs/>
                <w:sz w:val="24"/>
                <w:szCs w:val="24"/>
              </w:rPr>
              <w:t>D</w:t>
            </w:r>
            <w:r>
              <w:rPr>
                <w:rFonts w:ascii="Times New Roman" w:hAnsi="Times New Roman"/>
                <w:b/>
                <w:bCs/>
                <w:sz w:val="24"/>
                <w:szCs w:val="24"/>
                <w:vertAlign w:val="subscript"/>
              </w:rPr>
              <w:t>3</w:t>
            </w:r>
            <w:r>
              <w:rPr>
                <w:rFonts w:ascii="Times New Roman" w:hAnsi="Times New Roman"/>
                <w:b/>
                <w:bCs/>
                <w:sz w:val="24"/>
                <w:szCs w:val="24"/>
              </w:rPr>
              <w:t>:</w:t>
            </w:r>
            <w:r>
              <w:rPr>
                <w:rFonts w:ascii="Times New Roman" w:hAnsi="Times New Roman"/>
                <w:sz w:val="24"/>
                <w:szCs w:val="24"/>
              </w:rPr>
              <w:t xml:space="preserve"> 3</w:t>
            </w:r>
            <w:r>
              <w:rPr>
                <w:rFonts w:ascii="Times New Roman" w:hAnsi="Times New Roman"/>
                <w:sz w:val="24"/>
                <w:szCs w:val="24"/>
                <w:vertAlign w:val="superscript"/>
              </w:rPr>
              <w:t xml:space="preserve">rd </w:t>
            </w:r>
            <w:r>
              <w:rPr>
                <w:rFonts w:ascii="Times New Roman" w:hAnsi="Times New Roman"/>
                <w:sz w:val="24"/>
                <w:szCs w:val="24"/>
              </w:rPr>
              <w:t>date of sowing (15</w:t>
            </w:r>
            <w:r>
              <w:rPr>
                <w:rFonts w:ascii="Times New Roman" w:hAnsi="Times New Roman"/>
                <w:sz w:val="24"/>
                <w:szCs w:val="24"/>
                <w:vertAlign w:val="superscript"/>
              </w:rPr>
              <w:t>th</w:t>
            </w:r>
            <w:r>
              <w:rPr>
                <w:rFonts w:ascii="Times New Roman" w:hAnsi="Times New Roman"/>
                <w:sz w:val="24"/>
                <w:szCs w:val="24"/>
              </w:rPr>
              <w:t xml:space="preserve"> Dec)</w:t>
            </w:r>
          </w:p>
        </w:tc>
        <w:tc>
          <w:tcPr>
            <w:tcW w:w="802" w:type="dxa"/>
            <w:shd w:val="clear" w:color="auto" w:fill="auto"/>
            <w:vAlign w:val="center"/>
          </w:tcPr>
          <w:p w14:paraId="33C6A863">
            <w:pPr>
              <w:jc w:val="center"/>
            </w:pPr>
            <w:r>
              <w:t>67.02</w:t>
            </w:r>
          </w:p>
        </w:tc>
        <w:tc>
          <w:tcPr>
            <w:tcW w:w="779" w:type="dxa"/>
            <w:shd w:val="clear" w:color="auto" w:fill="auto"/>
            <w:vAlign w:val="center"/>
          </w:tcPr>
          <w:p w14:paraId="6736B807">
            <w:pPr>
              <w:jc w:val="center"/>
              <w:rPr>
                <w:rFonts w:ascii="Calibri" w:hAnsi="Calibri" w:cs="Calibri"/>
              </w:rPr>
            </w:pPr>
            <w:r>
              <w:rPr>
                <w:rFonts w:ascii="Calibri" w:hAnsi="Calibri" w:cs="Calibri"/>
              </w:rPr>
              <w:t>68.58</w:t>
            </w:r>
          </w:p>
        </w:tc>
        <w:tc>
          <w:tcPr>
            <w:tcW w:w="834" w:type="dxa"/>
            <w:shd w:val="clear" w:color="auto" w:fill="auto"/>
            <w:vAlign w:val="center"/>
          </w:tcPr>
          <w:p w14:paraId="393ECB1F">
            <w:pPr>
              <w:jc w:val="center"/>
              <w:rPr>
                <w:rFonts w:ascii="Calibri" w:hAnsi="Calibri" w:cs="Calibri"/>
              </w:rPr>
            </w:pPr>
            <w:r>
              <w:rPr>
                <w:rFonts w:ascii="Calibri" w:hAnsi="Calibri" w:cs="Calibri"/>
              </w:rPr>
              <w:t>235.25</w:t>
            </w:r>
          </w:p>
        </w:tc>
        <w:tc>
          <w:tcPr>
            <w:tcW w:w="834" w:type="dxa"/>
            <w:shd w:val="clear" w:color="auto" w:fill="auto"/>
            <w:vAlign w:val="center"/>
          </w:tcPr>
          <w:p w14:paraId="3903314A">
            <w:pPr>
              <w:jc w:val="center"/>
              <w:rPr>
                <w:rFonts w:ascii="Calibri" w:hAnsi="Calibri" w:cs="Calibri"/>
              </w:rPr>
            </w:pPr>
            <w:r>
              <w:rPr>
                <w:rFonts w:ascii="Calibri" w:hAnsi="Calibri" w:cs="Calibri"/>
              </w:rPr>
              <w:t>241.14</w:t>
            </w:r>
          </w:p>
        </w:tc>
        <w:tc>
          <w:tcPr>
            <w:tcW w:w="945" w:type="dxa"/>
            <w:shd w:val="clear" w:color="auto" w:fill="auto"/>
            <w:vAlign w:val="center"/>
          </w:tcPr>
          <w:p w14:paraId="4A86B33B">
            <w:pPr>
              <w:jc w:val="center"/>
              <w:rPr>
                <w:rFonts w:ascii="Calibri" w:hAnsi="Calibri" w:cs="Calibri"/>
              </w:rPr>
            </w:pPr>
            <w:r>
              <w:rPr>
                <w:rFonts w:ascii="Calibri" w:hAnsi="Calibri" w:cs="Calibri"/>
              </w:rPr>
              <w:t>889.05</w:t>
            </w:r>
          </w:p>
        </w:tc>
        <w:tc>
          <w:tcPr>
            <w:tcW w:w="945" w:type="dxa"/>
            <w:shd w:val="clear" w:color="auto" w:fill="auto"/>
            <w:vAlign w:val="center"/>
          </w:tcPr>
          <w:p w14:paraId="2C96C5FC">
            <w:pPr>
              <w:jc w:val="center"/>
              <w:rPr>
                <w:rFonts w:ascii="Calibri" w:hAnsi="Calibri" w:cs="Calibri"/>
              </w:rPr>
            </w:pPr>
            <w:r>
              <w:rPr>
                <w:rFonts w:ascii="Calibri" w:hAnsi="Calibri" w:cs="Calibri"/>
              </w:rPr>
              <w:t>919.96</w:t>
            </w:r>
          </w:p>
        </w:tc>
        <w:tc>
          <w:tcPr>
            <w:tcW w:w="945" w:type="dxa"/>
            <w:shd w:val="clear" w:color="auto" w:fill="auto"/>
            <w:vAlign w:val="center"/>
          </w:tcPr>
          <w:p w14:paraId="2F362F70">
            <w:pPr>
              <w:jc w:val="center"/>
              <w:rPr>
                <w:rFonts w:ascii="Calibri" w:hAnsi="Calibri" w:cs="Calibri"/>
              </w:rPr>
            </w:pPr>
            <w:r>
              <w:rPr>
                <w:rFonts w:ascii="Calibri" w:hAnsi="Calibri" w:cs="Calibri"/>
              </w:rPr>
              <w:t>964.16</w:t>
            </w:r>
          </w:p>
        </w:tc>
        <w:tc>
          <w:tcPr>
            <w:tcW w:w="945" w:type="dxa"/>
            <w:shd w:val="clear" w:color="auto" w:fill="auto"/>
            <w:vAlign w:val="center"/>
          </w:tcPr>
          <w:p w14:paraId="4CC69BD3">
            <w:pPr>
              <w:jc w:val="center"/>
              <w:rPr>
                <w:rFonts w:ascii="Calibri" w:hAnsi="Calibri" w:cs="Calibri"/>
              </w:rPr>
            </w:pPr>
            <w:r>
              <w:rPr>
                <w:rFonts w:ascii="Calibri" w:hAnsi="Calibri" w:cs="Calibri"/>
              </w:rPr>
              <w:t>972.33</w:t>
            </w:r>
          </w:p>
        </w:tc>
      </w:tr>
      <w:tr w14:paraId="7A73F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243EDE60">
            <w:pPr>
              <w:spacing w:line="240" w:lineRule="auto"/>
              <w:rPr>
                <w:rFonts w:ascii="Times New Roman" w:hAnsi="Times New Roman"/>
                <w:sz w:val="24"/>
                <w:szCs w:val="24"/>
              </w:rPr>
            </w:pPr>
            <w:r>
              <w:rPr>
                <w:rFonts w:ascii="Times New Roman" w:hAnsi="Times New Roman"/>
                <w:sz w:val="24"/>
                <w:szCs w:val="24"/>
              </w:rPr>
              <w:t>SEm ±</w:t>
            </w:r>
          </w:p>
        </w:tc>
        <w:tc>
          <w:tcPr>
            <w:tcW w:w="802" w:type="dxa"/>
            <w:shd w:val="clear" w:color="auto" w:fill="auto"/>
            <w:vAlign w:val="center"/>
          </w:tcPr>
          <w:p w14:paraId="1AE5C9D7">
            <w:pPr>
              <w:spacing w:after="0" w:line="240" w:lineRule="auto"/>
              <w:jc w:val="center"/>
              <w:rPr>
                <w:rFonts w:ascii="Calibri" w:hAnsi="Calibri" w:eastAsia="Times New Roman" w:cs="Calibri"/>
                <w:lang w:eastAsia="en-GB"/>
              </w:rPr>
            </w:pPr>
            <w:r>
              <w:rPr>
                <w:rFonts w:ascii="Calibri" w:hAnsi="Calibri" w:cs="Calibri"/>
              </w:rPr>
              <w:t>1.10</w:t>
            </w:r>
          </w:p>
        </w:tc>
        <w:tc>
          <w:tcPr>
            <w:tcW w:w="779" w:type="dxa"/>
            <w:shd w:val="clear" w:color="auto" w:fill="auto"/>
            <w:vAlign w:val="center"/>
          </w:tcPr>
          <w:p w14:paraId="7C7D0316">
            <w:pPr>
              <w:spacing w:after="0" w:line="240" w:lineRule="auto"/>
              <w:jc w:val="center"/>
              <w:rPr>
                <w:rFonts w:ascii="Calibri" w:hAnsi="Calibri" w:eastAsia="Times New Roman" w:cs="Calibri"/>
                <w:lang w:eastAsia="en-GB"/>
              </w:rPr>
            </w:pPr>
            <w:r>
              <w:rPr>
                <w:rFonts w:ascii="Calibri" w:hAnsi="Calibri" w:cs="Calibri"/>
              </w:rPr>
              <w:t>1.08</w:t>
            </w:r>
          </w:p>
        </w:tc>
        <w:tc>
          <w:tcPr>
            <w:tcW w:w="834" w:type="dxa"/>
            <w:shd w:val="clear" w:color="auto" w:fill="auto"/>
            <w:vAlign w:val="center"/>
          </w:tcPr>
          <w:p w14:paraId="62EC55DB">
            <w:pPr>
              <w:spacing w:after="0" w:line="240" w:lineRule="auto"/>
              <w:jc w:val="center"/>
              <w:rPr>
                <w:rFonts w:ascii="Calibri" w:hAnsi="Calibri" w:eastAsia="Times New Roman" w:cs="Calibri"/>
                <w:lang w:eastAsia="en-GB"/>
              </w:rPr>
            </w:pPr>
            <w:r>
              <w:rPr>
                <w:rFonts w:ascii="Calibri" w:hAnsi="Calibri" w:cs="Calibri"/>
              </w:rPr>
              <w:t>3.87</w:t>
            </w:r>
          </w:p>
        </w:tc>
        <w:tc>
          <w:tcPr>
            <w:tcW w:w="834" w:type="dxa"/>
            <w:shd w:val="clear" w:color="auto" w:fill="auto"/>
            <w:vAlign w:val="center"/>
          </w:tcPr>
          <w:p w14:paraId="1FA69DEF">
            <w:pPr>
              <w:spacing w:after="0" w:line="240" w:lineRule="auto"/>
              <w:jc w:val="center"/>
              <w:rPr>
                <w:rFonts w:ascii="Calibri" w:hAnsi="Calibri" w:eastAsia="Times New Roman" w:cs="Calibri"/>
                <w:lang w:eastAsia="en-GB"/>
              </w:rPr>
            </w:pPr>
            <w:r>
              <w:rPr>
                <w:rFonts w:ascii="Calibri" w:hAnsi="Calibri" w:cs="Calibri"/>
              </w:rPr>
              <w:t>3.80</w:t>
            </w:r>
          </w:p>
        </w:tc>
        <w:tc>
          <w:tcPr>
            <w:tcW w:w="945" w:type="dxa"/>
            <w:shd w:val="clear" w:color="auto" w:fill="auto"/>
            <w:vAlign w:val="center"/>
          </w:tcPr>
          <w:p w14:paraId="56059877">
            <w:pPr>
              <w:spacing w:after="0" w:line="240" w:lineRule="auto"/>
              <w:jc w:val="center"/>
              <w:rPr>
                <w:rFonts w:ascii="Calibri" w:hAnsi="Calibri" w:eastAsia="Times New Roman" w:cs="Calibri"/>
                <w:lang w:eastAsia="en-GB"/>
              </w:rPr>
            </w:pPr>
            <w:r>
              <w:rPr>
                <w:rFonts w:ascii="Calibri" w:hAnsi="Calibri" w:cs="Calibri"/>
              </w:rPr>
              <w:t>14.79</w:t>
            </w:r>
          </w:p>
        </w:tc>
        <w:tc>
          <w:tcPr>
            <w:tcW w:w="945" w:type="dxa"/>
            <w:shd w:val="clear" w:color="auto" w:fill="auto"/>
            <w:vAlign w:val="center"/>
          </w:tcPr>
          <w:p w14:paraId="2FB6E160">
            <w:pPr>
              <w:spacing w:after="0" w:line="240" w:lineRule="auto"/>
              <w:jc w:val="center"/>
              <w:rPr>
                <w:rFonts w:ascii="Calibri" w:hAnsi="Calibri" w:eastAsia="Times New Roman" w:cs="Calibri"/>
                <w:lang w:eastAsia="en-GB"/>
              </w:rPr>
            </w:pPr>
            <w:r>
              <w:rPr>
                <w:rFonts w:ascii="Calibri" w:hAnsi="Calibri" w:cs="Calibri"/>
              </w:rPr>
              <w:t>14.48</w:t>
            </w:r>
          </w:p>
        </w:tc>
        <w:tc>
          <w:tcPr>
            <w:tcW w:w="945" w:type="dxa"/>
            <w:shd w:val="clear" w:color="auto" w:fill="auto"/>
            <w:vAlign w:val="center"/>
          </w:tcPr>
          <w:p w14:paraId="15F0F90B">
            <w:pPr>
              <w:spacing w:after="0" w:line="240" w:lineRule="auto"/>
              <w:jc w:val="center"/>
              <w:rPr>
                <w:rFonts w:ascii="Calibri" w:hAnsi="Calibri" w:eastAsia="Times New Roman" w:cs="Calibri"/>
                <w:lang w:eastAsia="en-GB"/>
              </w:rPr>
            </w:pPr>
            <w:r>
              <w:rPr>
                <w:rFonts w:ascii="Calibri" w:hAnsi="Calibri" w:cs="Calibri"/>
              </w:rPr>
              <w:t>15.87</w:t>
            </w:r>
          </w:p>
        </w:tc>
        <w:tc>
          <w:tcPr>
            <w:tcW w:w="945" w:type="dxa"/>
            <w:shd w:val="clear" w:color="auto" w:fill="auto"/>
            <w:vAlign w:val="center"/>
          </w:tcPr>
          <w:p w14:paraId="588ED451">
            <w:pPr>
              <w:spacing w:after="0" w:line="240" w:lineRule="auto"/>
              <w:jc w:val="center"/>
              <w:rPr>
                <w:rFonts w:ascii="Calibri" w:hAnsi="Calibri" w:eastAsia="Times New Roman" w:cs="Calibri"/>
                <w:lang w:eastAsia="en-GB"/>
              </w:rPr>
            </w:pPr>
            <w:r>
              <w:rPr>
                <w:rFonts w:ascii="Calibri" w:hAnsi="Calibri" w:cs="Calibri"/>
              </w:rPr>
              <w:t>15.39</w:t>
            </w:r>
          </w:p>
        </w:tc>
      </w:tr>
      <w:tr w14:paraId="18B4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4F1F4259">
            <w:pPr>
              <w:spacing w:line="240" w:lineRule="auto"/>
              <w:rPr>
                <w:rFonts w:ascii="Times New Roman" w:hAnsi="Times New Roman"/>
                <w:sz w:val="24"/>
                <w:szCs w:val="24"/>
              </w:rPr>
            </w:pPr>
            <w:r>
              <w:rPr>
                <w:rFonts w:ascii="Times New Roman" w:hAnsi="Times New Roman"/>
                <w:sz w:val="24"/>
                <w:szCs w:val="24"/>
              </w:rPr>
              <w:t>CD (</w:t>
            </w:r>
            <w:r>
              <w:rPr>
                <w:rFonts w:ascii="Times New Roman" w:hAnsi="Times New Roman"/>
                <w:i/>
                <w:sz w:val="24"/>
                <w:szCs w:val="24"/>
              </w:rPr>
              <w:t>p=0.05</w:t>
            </w:r>
            <w:r>
              <w:rPr>
                <w:rFonts w:ascii="Times New Roman" w:hAnsi="Times New Roman"/>
                <w:sz w:val="24"/>
                <w:szCs w:val="24"/>
              </w:rPr>
              <w:t>)</w:t>
            </w:r>
          </w:p>
        </w:tc>
        <w:tc>
          <w:tcPr>
            <w:tcW w:w="802" w:type="dxa"/>
            <w:shd w:val="clear" w:color="auto" w:fill="auto"/>
            <w:vAlign w:val="center"/>
          </w:tcPr>
          <w:p w14:paraId="7D413BDA">
            <w:pPr>
              <w:jc w:val="center"/>
              <w:rPr>
                <w:rFonts w:ascii="Calibri" w:hAnsi="Calibri" w:cs="Calibri"/>
              </w:rPr>
            </w:pPr>
            <w:r>
              <w:rPr>
                <w:rFonts w:ascii="Calibri" w:hAnsi="Calibri" w:cs="Calibri"/>
              </w:rPr>
              <w:t>3.33</w:t>
            </w:r>
          </w:p>
        </w:tc>
        <w:tc>
          <w:tcPr>
            <w:tcW w:w="779" w:type="dxa"/>
            <w:shd w:val="clear" w:color="auto" w:fill="auto"/>
            <w:vAlign w:val="center"/>
          </w:tcPr>
          <w:p w14:paraId="4AA20D23">
            <w:pPr>
              <w:jc w:val="center"/>
              <w:rPr>
                <w:rFonts w:ascii="Calibri" w:hAnsi="Calibri" w:cs="Calibri"/>
              </w:rPr>
            </w:pPr>
            <w:r>
              <w:rPr>
                <w:rFonts w:ascii="Calibri" w:hAnsi="Calibri" w:cs="Calibri"/>
              </w:rPr>
              <w:t>3.26</w:t>
            </w:r>
          </w:p>
        </w:tc>
        <w:tc>
          <w:tcPr>
            <w:tcW w:w="834" w:type="dxa"/>
            <w:shd w:val="clear" w:color="auto" w:fill="auto"/>
            <w:vAlign w:val="center"/>
          </w:tcPr>
          <w:p w14:paraId="45DEC3C4">
            <w:pPr>
              <w:jc w:val="center"/>
              <w:rPr>
                <w:rFonts w:ascii="Calibri" w:hAnsi="Calibri" w:cs="Calibri"/>
              </w:rPr>
            </w:pPr>
            <w:r>
              <w:rPr>
                <w:rFonts w:ascii="Calibri" w:hAnsi="Calibri" w:cs="Calibri"/>
              </w:rPr>
              <w:t>11.69</w:t>
            </w:r>
          </w:p>
        </w:tc>
        <w:tc>
          <w:tcPr>
            <w:tcW w:w="834" w:type="dxa"/>
            <w:shd w:val="clear" w:color="auto" w:fill="auto"/>
            <w:vAlign w:val="center"/>
          </w:tcPr>
          <w:p w14:paraId="0E091E0F">
            <w:pPr>
              <w:jc w:val="center"/>
              <w:rPr>
                <w:rFonts w:ascii="Calibri" w:hAnsi="Calibri" w:cs="Calibri"/>
              </w:rPr>
            </w:pPr>
            <w:r>
              <w:rPr>
                <w:rFonts w:ascii="Calibri" w:hAnsi="Calibri" w:cs="Calibri"/>
              </w:rPr>
              <w:t>11.46</w:t>
            </w:r>
          </w:p>
        </w:tc>
        <w:tc>
          <w:tcPr>
            <w:tcW w:w="945" w:type="dxa"/>
            <w:shd w:val="clear" w:color="auto" w:fill="auto"/>
            <w:vAlign w:val="center"/>
          </w:tcPr>
          <w:p w14:paraId="0ED2CF7D">
            <w:pPr>
              <w:jc w:val="center"/>
              <w:rPr>
                <w:rFonts w:ascii="Calibri" w:hAnsi="Calibri" w:cs="Calibri"/>
              </w:rPr>
            </w:pPr>
            <w:r>
              <w:rPr>
                <w:rFonts w:ascii="Calibri" w:hAnsi="Calibri" w:cs="Calibri"/>
              </w:rPr>
              <w:t>44.66</w:t>
            </w:r>
          </w:p>
        </w:tc>
        <w:tc>
          <w:tcPr>
            <w:tcW w:w="945" w:type="dxa"/>
            <w:shd w:val="clear" w:color="auto" w:fill="auto"/>
            <w:vAlign w:val="center"/>
          </w:tcPr>
          <w:p w14:paraId="486E9E10">
            <w:pPr>
              <w:jc w:val="center"/>
              <w:rPr>
                <w:rFonts w:ascii="Calibri" w:hAnsi="Calibri" w:cs="Calibri"/>
              </w:rPr>
            </w:pPr>
            <w:r>
              <w:rPr>
                <w:rFonts w:ascii="Calibri" w:hAnsi="Calibri" w:cs="Calibri"/>
              </w:rPr>
              <w:t>43.73</w:t>
            </w:r>
          </w:p>
        </w:tc>
        <w:tc>
          <w:tcPr>
            <w:tcW w:w="945" w:type="dxa"/>
            <w:shd w:val="clear" w:color="auto" w:fill="auto"/>
            <w:vAlign w:val="center"/>
          </w:tcPr>
          <w:p w14:paraId="56B2B9BB">
            <w:pPr>
              <w:jc w:val="center"/>
              <w:rPr>
                <w:rFonts w:ascii="Calibri" w:hAnsi="Calibri" w:cs="Calibri"/>
              </w:rPr>
            </w:pPr>
            <w:r>
              <w:rPr>
                <w:rFonts w:ascii="Calibri" w:hAnsi="Calibri" w:cs="Calibri"/>
              </w:rPr>
              <w:t>47.92</w:t>
            </w:r>
          </w:p>
        </w:tc>
        <w:tc>
          <w:tcPr>
            <w:tcW w:w="945" w:type="dxa"/>
            <w:shd w:val="clear" w:color="auto" w:fill="auto"/>
            <w:vAlign w:val="center"/>
          </w:tcPr>
          <w:p w14:paraId="218C26AF">
            <w:pPr>
              <w:jc w:val="center"/>
              <w:rPr>
                <w:rFonts w:ascii="Calibri" w:hAnsi="Calibri" w:cs="Calibri"/>
              </w:rPr>
            </w:pPr>
            <w:r>
              <w:rPr>
                <w:rFonts w:ascii="Calibri" w:hAnsi="Calibri" w:cs="Calibri"/>
              </w:rPr>
              <w:t>46.47</w:t>
            </w:r>
          </w:p>
        </w:tc>
      </w:tr>
      <w:tr w14:paraId="69953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9959" w:type="dxa"/>
            <w:gridSpan w:val="9"/>
            <w:shd w:val="clear" w:color="auto" w:fill="auto"/>
            <w:vAlign w:val="center"/>
          </w:tcPr>
          <w:p w14:paraId="699DE633">
            <w:pPr>
              <w:spacing w:after="0" w:line="240" w:lineRule="auto"/>
              <w:jc w:val="center"/>
              <w:rPr>
                <w:rFonts w:ascii="Times New Roman" w:hAnsi="Times New Roman"/>
                <w:b/>
                <w:sz w:val="24"/>
                <w:szCs w:val="24"/>
              </w:rPr>
            </w:pPr>
            <w:r>
              <w:rPr>
                <w:rFonts w:ascii="Times New Roman" w:hAnsi="Times New Roman"/>
                <w:b/>
                <w:sz w:val="24"/>
                <w:szCs w:val="24"/>
              </w:rPr>
              <w:t>Sub Plot: Weed control measures (6)</w:t>
            </w:r>
          </w:p>
        </w:tc>
      </w:tr>
      <w:tr w14:paraId="0C590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1BF5FF8A">
            <w:pPr>
              <w:spacing w:after="0" w:line="240" w:lineRule="auto"/>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1</w:t>
            </w:r>
            <w:r>
              <w:rPr>
                <w:rFonts w:ascii="Times New Roman" w:hAnsi="Times New Roman"/>
                <w:b/>
                <w:bCs/>
                <w:sz w:val="24"/>
                <w:szCs w:val="24"/>
              </w:rPr>
              <w:t xml:space="preserve">: </w:t>
            </w:r>
            <w:r>
              <w:rPr>
                <w:rFonts w:ascii="Times New Roman" w:hAnsi="Times New Roman"/>
                <w:bCs/>
                <w:sz w:val="24"/>
                <w:szCs w:val="24"/>
              </w:rPr>
              <w:t>Weedy check</w:t>
            </w:r>
          </w:p>
        </w:tc>
        <w:tc>
          <w:tcPr>
            <w:tcW w:w="802" w:type="dxa"/>
            <w:shd w:val="clear" w:color="auto" w:fill="auto"/>
            <w:vAlign w:val="center"/>
          </w:tcPr>
          <w:p w14:paraId="47590EF3">
            <w:pPr>
              <w:spacing w:after="0" w:line="240" w:lineRule="auto"/>
              <w:jc w:val="center"/>
              <w:rPr>
                <w:rFonts w:ascii="Calibri" w:hAnsi="Calibri" w:eastAsia="Times New Roman" w:cs="Calibri"/>
                <w:lang w:eastAsia="en-GB"/>
              </w:rPr>
            </w:pPr>
            <w:r>
              <w:rPr>
                <w:rFonts w:ascii="Calibri" w:hAnsi="Calibri" w:cs="Calibri"/>
              </w:rPr>
              <w:t>68.36</w:t>
            </w:r>
          </w:p>
        </w:tc>
        <w:tc>
          <w:tcPr>
            <w:tcW w:w="779" w:type="dxa"/>
            <w:shd w:val="clear" w:color="auto" w:fill="auto"/>
            <w:vAlign w:val="center"/>
          </w:tcPr>
          <w:p w14:paraId="3E9F547F">
            <w:pPr>
              <w:spacing w:after="0" w:line="240" w:lineRule="auto"/>
              <w:jc w:val="center"/>
              <w:rPr>
                <w:rFonts w:ascii="Calibri" w:hAnsi="Calibri" w:eastAsia="Times New Roman" w:cs="Calibri"/>
                <w:lang w:eastAsia="en-GB"/>
              </w:rPr>
            </w:pPr>
            <w:r>
              <w:rPr>
                <w:rFonts w:ascii="Calibri" w:hAnsi="Calibri" w:cs="Calibri"/>
              </w:rPr>
              <w:t>69.54</w:t>
            </w:r>
          </w:p>
        </w:tc>
        <w:tc>
          <w:tcPr>
            <w:tcW w:w="834" w:type="dxa"/>
            <w:shd w:val="clear" w:color="auto" w:fill="auto"/>
            <w:vAlign w:val="center"/>
          </w:tcPr>
          <w:p w14:paraId="01796C46">
            <w:pPr>
              <w:spacing w:after="0" w:line="240" w:lineRule="auto"/>
              <w:jc w:val="center"/>
              <w:rPr>
                <w:rFonts w:ascii="Calibri" w:hAnsi="Calibri" w:eastAsia="Times New Roman" w:cs="Calibri"/>
                <w:lang w:eastAsia="en-GB"/>
              </w:rPr>
            </w:pPr>
            <w:r>
              <w:rPr>
                <w:rFonts w:ascii="Calibri" w:hAnsi="Calibri" w:cs="Calibri"/>
              </w:rPr>
              <w:t>205.82</w:t>
            </w:r>
          </w:p>
        </w:tc>
        <w:tc>
          <w:tcPr>
            <w:tcW w:w="834" w:type="dxa"/>
            <w:shd w:val="clear" w:color="auto" w:fill="auto"/>
            <w:vAlign w:val="center"/>
          </w:tcPr>
          <w:p w14:paraId="2A3B6EA1">
            <w:pPr>
              <w:spacing w:after="0" w:line="240" w:lineRule="auto"/>
              <w:jc w:val="center"/>
              <w:rPr>
                <w:rFonts w:ascii="Calibri" w:hAnsi="Calibri" w:eastAsia="Times New Roman" w:cs="Calibri"/>
                <w:lang w:eastAsia="en-GB"/>
              </w:rPr>
            </w:pPr>
            <w:r>
              <w:rPr>
                <w:rFonts w:ascii="Calibri" w:hAnsi="Calibri" w:cs="Calibri"/>
              </w:rPr>
              <w:t>215.50</w:t>
            </w:r>
          </w:p>
        </w:tc>
        <w:tc>
          <w:tcPr>
            <w:tcW w:w="945" w:type="dxa"/>
            <w:shd w:val="clear" w:color="auto" w:fill="auto"/>
            <w:vAlign w:val="center"/>
          </w:tcPr>
          <w:p w14:paraId="450FEEFB">
            <w:pPr>
              <w:spacing w:after="0" w:line="240" w:lineRule="auto"/>
              <w:jc w:val="center"/>
              <w:rPr>
                <w:rFonts w:ascii="Calibri" w:hAnsi="Calibri" w:eastAsia="Times New Roman" w:cs="Calibri"/>
                <w:lang w:eastAsia="en-GB"/>
              </w:rPr>
            </w:pPr>
            <w:r>
              <w:rPr>
                <w:rFonts w:ascii="Calibri" w:hAnsi="Calibri" w:cs="Calibri"/>
              </w:rPr>
              <w:t>784.51</w:t>
            </w:r>
          </w:p>
        </w:tc>
        <w:tc>
          <w:tcPr>
            <w:tcW w:w="945" w:type="dxa"/>
            <w:shd w:val="clear" w:color="auto" w:fill="auto"/>
            <w:vAlign w:val="center"/>
          </w:tcPr>
          <w:p w14:paraId="0F4FE605">
            <w:pPr>
              <w:spacing w:after="0" w:line="240" w:lineRule="auto"/>
              <w:jc w:val="center"/>
              <w:rPr>
                <w:rFonts w:ascii="Calibri" w:hAnsi="Calibri" w:eastAsia="Times New Roman" w:cs="Calibri"/>
                <w:lang w:eastAsia="en-GB"/>
              </w:rPr>
            </w:pPr>
            <w:r>
              <w:rPr>
                <w:rFonts w:ascii="Calibri" w:hAnsi="Calibri" w:cs="Calibri"/>
              </w:rPr>
              <w:t>822.17</w:t>
            </w:r>
          </w:p>
        </w:tc>
        <w:tc>
          <w:tcPr>
            <w:tcW w:w="945" w:type="dxa"/>
            <w:shd w:val="clear" w:color="auto" w:fill="auto"/>
            <w:vAlign w:val="center"/>
          </w:tcPr>
          <w:p w14:paraId="07380CE9">
            <w:pPr>
              <w:spacing w:after="0" w:line="240" w:lineRule="auto"/>
              <w:jc w:val="center"/>
              <w:rPr>
                <w:rFonts w:ascii="Calibri" w:hAnsi="Calibri" w:eastAsia="Times New Roman" w:cs="Calibri"/>
                <w:lang w:eastAsia="en-GB"/>
              </w:rPr>
            </w:pPr>
            <w:r>
              <w:rPr>
                <w:rFonts w:ascii="Calibri" w:hAnsi="Calibri" w:cs="Calibri"/>
              </w:rPr>
              <w:t>852.70</w:t>
            </w:r>
          </w:p>
        </w:tc>
        <w:tc>
          <w:tcPr>
            <w:tcW w:w="945" w:type="dxa"/>
            <w:shd w:val="clear" w:color="auto" w:fill="auto"/>
            <w:vAlign w:val="center"/>
          </w:tcPr>
          <w:p w14:paraId="0C53F7E0">
            <w:pPr>
              <w:spacing w:after="0" w:line="240" w:lineRule="auto"/>
              <w:jc w:val="center"/>
              <w:rPr>
                <w:rFonts w:ascii="Calibri" w:hAnsi="Calibri" w:eastAsia="Times New Roman" w:cs="Calibri"/>
                <w:lang w:eastAsia="en-GB"/>
              </w:rPr>
            </w:pPr>
            <w:r>
              <w:rPr>
                <w:rFonts w:ascii="Calibri" w:hAnsi="Calibri" w:cs="Calibri"/>
              </w:rPr>
              <w:t>858.96</w:t>
            </w:r>
          </w:p>
        </w:tc>
      </w:tr>
      <w:tr w14:paraId="2895C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4F4D697E">
            <w:pPr>
              <w:spacing w:after="0" w:line="240" w:lineRule="auto"/>
              <w:ind w:left="461" w:hanging="461"/>
              <w:rPr>
                <w:rFonts w:ascii="Times New Roman" w:hAnsi="Times New Roman"/>
                <w:bCs/>
                <w:sz w:val="24"/>
                <w:szCs w:val="24"/>
              </w:rPr>
            </w:pPr>
            <w:r>
              <w:rPr>
                <w:rFonts w:ascii="Times New Roman" w:hAnsi="Times New Roman"/>
                <w:b/>
                <w:bCs/>
                <w:sz w:val="24"/>
                <w:szCs w:val="24"/>
              </w:rPr>
              <w:t>W</w:t>
            </w:r>
            <w:r>
              <w:rPr>
                <w:rFonts w:ascii="Times New Roman" w:hAnsi="Times New Roman"/>
                <w:b/>
                <w:bCs/>
                <w:sz w:val="24"/>
                <w:szCs w:val="24"/>
                <w:vertAlign w:val="subscript"/>
              </w:rPr>
              <w:t>2</w:t>
            </w:r>
            <w:r>
              <w:rPr>
                <w:rFonts w:ascii="Times New Roman" w:hAnsi="Times New Roman"/>
                <w:b/>
                <w:bCs/>
                <w:sz w:val="24"/>
                <w:szCs w:val="24"/>
              </w:rPr>
              <w:t xml:space="preserve">: </w:t>
            </w:r>
            <w:r>
              <w:rPr>
                <w:rFonts w:ascii="Times New Roman" w:hAnsi="Times New Roman"/>
                <w:bCs/>
                <w:sz w:val="24"/>
                <w:szCs w:val="24"/>
              </w:rPr>
              <w:t>Weed free (Two hand weeding)</w:t>
            </w:r>
          </w:p>
        </w:tc>
        <w:tc>
          <w:tcPr>
            <w:tcW w:w="802" w:type="dxa"/>
            <w:shd w:val="clear" w:color="auto" w:fill="auto"/>
            <w:vAlign w:val="center"/>
          </w:tcPr>
          <w:p w14:paraId="67D4F01F">
            <w:pPr>
              <w:jc w:val="center"/>
              <w:rPr>
                <w:rFonts w:ascii="Calibri" w:hAnsi="Calibri" w:cs="Calibri"/>
              </w:rPr>
            </w:pPr>
            <w:r>
              <w:rPr>
                <w:rFonts w:ascii="Calibri" w:hAnsi="Calibri" w:cs="Calibri"/>
              </w:rPr>
              <w:t>81.43</w:t>
            </w:r>
          </w:p>
        </w:tc>
        <w:tc>
          <w:tcPr>
            <w:tcW w:w="779" w:type="dxa"/>
            <w:shd w:val="clear" w:color="auto" w:fill="auto"/>
            <w:vAlign w:val="center"/>
          </w:tcPr>
          <w:p w14:paraId="6F0CBDEF">
            <w:pPr>
              <w:jc w:val="center"/>
              <w:rPr>
                <w:rFonts w:ascii="Calibri" w:hAnsi="Calibri" w:cs="Calibri"/>
              </w:rPr>
            </w:pPr>
            <w:r>
              <w:rPr>
                <w:rFonts w:ascii="Calibri" w:hAnsi="Calibri" w:cs="Calibri"/>
              </w:rPr>
              <w:t>83.48</w:t>
            </w:r>
          </w:p>
        </w:tc>
        <w:tc>
          <w:tcPr>
            <w:tcW w:w="834" w:type="dxa"/>
            <w:shd w:val="clear" w:color="auto" w:fill="auto"/>
            <w:vAlign w:val="center"/>
          </w:tcPr>
          <w:p w14:paraId="56DF7082">
            <w:pPr>
              <w:jc w:val="center"/>
              <w:rPr>
                <w:rFonts w:ascii="Calibri" w:hAnsi="Calibri" w:cs="Calibri"/>
              </w:rPr>
            </w:pPr>
            <w:r>
              <w:rPr>
                <w:rFonts w:ascii="Calibri" w:hAnsi="Calibri" w:cs="Calibri"/>
              </w:rPr>
              <w:t>284.80</w:t>
            </w:r>
          </w:p>
        </w:tc>
        <w:tc>
          <w:tcPr>
            <w:tcW w:w="834" w:type="dxa"/>
            <w:shd w:val="clear" w:color="auto" w:fill="auto"/>
            <w:vAlign w:val="center"/>
          </w:tcPr>
          <w:p w14:paraId="54EC20A3">
            <w:pPr>
              <w:jc w:val="center"/>
              <w:rPr>
                <w:rFonts w:ascii="Calibri" w:hAnsi="Calibri" w:cs="Calibri"/>
              </w:rPr>
            </w:pPr>
            <w:r>
              <w:rPr>
                <w:rFonts w:ascii="Calibri" w:hAnsi="Calibri" w:cs="Calibri"/>
              </w:rPr>
              <w:t>289.89</w:t>
            </w:r>
          </w:p>
        </w:tc>
        <w:tc>
          <w:tcPr>
            <w:tcW w:w="945" w:type="dxa"/>
            <w:shd w:val="clear" w:color="auto" w:fill="auto"/>
            <w:vAlign w:val="center"/>
          </w:tcPr>
          <w:p w14:paraId="01ACFF43">
            <w:pPr>
              <w:jc w:val="center"/>
              <w:rPr>
                <w:rFonts w:ascii="Calibri" w:hAnsi="Calibri" w:cs="Calibri"/>
              </w:rPr>
            </w:pPr>
            <w:r>
              <w:rPr>
                <w:rFonts w:ascii="Calibri" w:hAnsi="Calibri" w:cs="Calibri"/>
              </w:rPr>
              <w:t>1089.22</w:t>
            </w:r>
          </w:p>
        </w:tc>
        <w:tc>
          <w:tcPr>
            <w:tcW w:w="945" w:type="dxa"/>
            <w:shd w:val="clear" w:color="auto" w:fill="auto"/>
            <w:vAlign w:val="center"/>
          </w:tcPr>
          <w:p w14:paraId="64C94BFC">
            <w:pPr>
              <w:jc w:val="center"/>
              <w:rPr>
                <w:rFonts w:ascii="Calibri" w:hAnsi="Calibri" w:cs="Calibri"/>
              </w:rPr>
            </w:pPr>
            <w:r>
              <w:rPr>
                <w:rFonts w:ascii="Calibri" w:hAnsi="Calibri" w:cs="Calibri"/>
              </w:rPr>
              <w:t>1105.95</w:t>
            </w:r>
          </w:p>
        </w:tc>
        <w:tc>
          <w:tcPr>
            <w:tcW w:w="945" w:type="dxa"/>
            <w:shd w:val="clear" w:color="auto" w:fill="auto"/>
            <w:vAlign w:val="center"/>
          </w:tcPr>
          <w:p w14:paraId="1974E78E">
            <w:pPr>
              <w:jc w:val="center"/>
              <w:rPr>
                <w:rFonts w:ascii="Calibri" w:hAnsi="Calibri" w:cs="Calibri"/>
              </w:rPr>
            </w:pPr>
            <w:r>
              <w:rPr>
                <w:rFonts w:ascii="Calibri" w:hAnsi="Calibri" w:cs="Calibri"/>
              </w:rPr>
              <w:t>1163.12</w:t>
            </w:r>
          </w:p>
        </w:tc>
        <w:tc>
          <w:tcPr>
            <w:tcW w:w="945" w:type="dxa"/>
            <w:shd w:val="clear" w:color="auto" w:fill="auto"/>
            <w:vAlign w:val="center"/>
          </w:tcPr>
          <w:p w14:paraId="34E3F75F">
            <w:pPr>
              <w:jc w:val="center"/>
              <w:rPr>
                <w:rFonts w:ascii="Calibri" w:hAnsi="Calibri" w:cs="Calibri"/>
              </w:rPr>
            </w:pPr>
            <w:r>
              <w:rPr>
                <w:rFonts w:ascii="Calibri" w:hAnsi="Calibri" w:cs="Calibri"/>
              </w:rPr>
              <w:t>1182.16</w:t>
            </w:r>
          </w:p>
        </w:tc>
      </w:tr>
      <w:tr w14:paraId="732B6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15178C2F">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3</w:t>
            </w:r>
            <w:r>
              <w:rPr>
                <w:rFonts w:ascii="Times New Roman" w:hAnsi="Times New Roman"/>
                <w:b/>
                <w:bCs/>
                <w:sz w:val="24"/>
                <w:szCs w:val="24"/>
              </w:rPr>
              <w:t xml:space="preserve">: </w:t>
            </w:r>
            <w:r>
              <w:rPr>
                <w:rFonts w:ascii="Times New Roman" w:hAnsi="Times New Roman"/>
                <w:bCs/>
                <w:sz w:val="24"/>
                <w:szCs w:val="24"/>
              </w:rPr>
              <w:t xml:space="preserve">2,4 DEE @ 0.5 kg </w:t>
            </w:r>
            <w:r>
              <w:rPr>
                <w:rFonts w:ascii="Times New Roman" w:hAnsi="Times New Roman"/>
                <w:bCs/>
                <w:i/>
                <w:sz w:val="24"/>
                <w:szCs w:val="24"/>
              </w:rPr>
              <w:t>a.i.</w:t>
            </w:r>
            <w:r>
              <w:rPr>
                <w:rFonts w:ascii="Times New Roman" w:hAnsi="Times New Roman"/>
                <w:bCs/>
                <w:sz w:val="24"/>
                <w:szCs w:val="24"/>
              </w:rPr>
              <w:t>/ha Post-em (28 DAS)</w:t>
            </w:r>
          </w:p>
        </w:tc>
        <w:tc>
          <w:tcPr>
            <w:tcW w:w="802" w:type="dxa"/>
            <w:shd w:val="clear" w:color="auto" w:fill="auto"/>
            <w:vAlign w:val="center"/>
          </w:tcPr>
          <w:p w14:paraId="436998C0">
            <w:pPr>
              <w:jc w:val="center"/>
              <w:rPr>
                <w:rFonts w:ascii="Calibri" w:hAnsi="Calibri" w:cs="Calibri"/>
              </w:rPr>
            </w:pPr>
            <w:r>
              <w:rPr>
                <w:rFonts w:ascii="Calibri" w:hAnsi="Calibri" w:cs="Calibri"/>
              </w:rPr>
              <w:t>70.99</w:t>
            </w:r>
          </w:p>
        </w:tc>
        <w:tc>
          <w:tcPr>
            <w:tcW w:w="779" w:type="dxa"/>
            <w:shd w:val="clear" w:color="auto" w:fill="auto"/>
            <w:vAlign w:val="center"/>
          </w:tcPr>
          <w:p w14:paraId="4515E800">
            <w:pPr>
              <w:jc w:val="center"/>
              <w:rPr>
                <w:rFonts w:ascii="Calibri" w:hAnsi="Calibri" w:cs="Calibri"/>
              </w:rPr>
            </w:pPr>
            <w:r>
              <w:rPr>
                <w:rFonts w:ascii="Calibri" w:hAnsi="Calibri" w:cs="Calibri"/>
              </w:rPr>
              <w:t>72.79</w:t>
            </w:r>
          </w:p>
        </w:tc>
        <w:tc>
          <w:tcPr>
            <w:tcW w:w="834" w:type="dxa"/>
            <w:shd w:val="clear" w:color="auto" w:fill="auto"/>
            <w:vAlign w:val="center"/>
          </w:tcPr>
          <w:p w14:paraId="74721134">
            <w:pPr>
              <w:jc w:val="center"/>
              <w:rPr>
                <w:rFonts w:ascii="Calibri" w:hAnsi="Calibri" w:cs="Calibri"/>
              </w:rPr>
            </w:pPr>
            <w:r>
              <w:rPr>
                <w:rFonts w:ascii="Calibri" w:hAnsi="Calibri" w:cs="Calibri"/>
              </w:rPr>
              <w:t>255.22</w:t>
            </w:r>
          </w:p>
        </w:tc>
        <w:tc>
          <w:tcPr>
            <w:tcW w:w="834" w:type="dxa"/>
            <w:shd w:val="clear" w:color="auto" w:fill="auto"/>
            <w:vAlign w:val="center"/>
          </w:tcPr>
          <w:p w14:paraId="570AE37D">
            <w:pPr>
              <w:jc w:val="center"/>
              <w:rPr>
                <w:rFonts w:ascii="Calibri" w:hAnsi="Calibri" w:cs="Calibri"/>
              </w:rPr>
            </w:pPr>
            <w:r>
              <w:rPr>
                <w:rFonts w:ascii="Calibri" w:hAnsi="Calibri" w:cs="Calibri"/>
              </w:rPr>
              <w:t>261.21</w:t>
            </w:r>
          </w:p>
        </w:tc>
        <w:tc>
          <w:tcPr>
            <w:tcW w:w="945" w:type="dxa"/>
            <w:shd w:val="clear" w:color="auto" w:fill="auto"/>
            <w:vAlign w:val="center"/>
          </w:tcPr>
          <w:p w14:paraId="57C605F4">
            <w:pPr>
              <w:jc w:val="center"/>
              <w:rPr>
                <w:rFonts w:ascii="Calibri" w:hAnsi="Calibri" w:cs="Calibri"/>
              </w:rPr>
            </w:pPr>
            <w:r>
              <w:rPr>
                <w:rFonts w:ascii="Calibri" w:hAnsi="Calibri" w:cs="Calibri"/>
              </w:rPr>
              <w:t>975.12</w:t>
            </w:r>
          </w:p>
        </w:tc>
        <w:tc>
          <w:tcPr>
            <w:tcW w:w="945" w:type="dxa"/>
            <w:shd w:val="clear" w:color="auto" w:fill="auto"/>
            <w:vAlign w:val="center"/>
          </w:tcPr>
          <w:p w14:paraId="62DF4FC9">
            <w:pPr>
              <w:jc w:val="center"/>
              <w:rPr>
                <w:rFonts w:ascii="Calibri" w:hAnsi="Calibri" w:cs="Calibri"/>
              </w:rPr>
            </w:pPr>
            <w:r>
              <w:rPr>
                <w:rFonts w:ascii="Calibri" w:hAnsi="Calibri" w:cs="Calibri"/>
              </w:rPr>
              <w:t>996.55</w:t>
            </w:r>
          </w:p>
        </w:tc>
        <w:tc>
          <w:tcPr>
            <w:tcW w:w="945" w:type="dxa"/>
            <w:shd w:val="clear" w:color="auto" w:fill="auto"/>
            <w:vAlign w:val="center"/>
          </w:tcPr>
          <w:p w14:paraId="2C04AC4F">
            <w:pPr>
              <w:jc w:val="center"/>
              <w:rPr>
                <w:rFonts w:ascii="Calibri" w:hAnsi="Calibri" w:cs="Calibri"/>
              </w:rPr>
            </w:pPr>
            <w:r>
              <w:rPr>
                <w:rFonts w:ascii="Calibri" w:hAnsi="Calibri" w:cs="Calibri"/>
              </w:rPr>
              <w:t>1045.22</w:t>
            </w:r>
          </w:p>
        </w:tc>
        <w:tc>
          <w:tcPr>
            <w:tcW w:w="945" w:type="dxa"/>
            <w:shd w:val="clear" w:color="auto" w:fill="auto"/>
            <w:vAlign w:val="center"/>
          </w:tcPr>
          <w:p w14:paraId="4A5327D1">
            <w:pPr>
              <w:jc w:val="center"/>
              <w:rPr>
                <w:rFonts w:ascii="Calibri" w:hAnsi="Calibri" w:cs="Calibri"/>
              </w:rPr>
            </w:pPr>
            <w:r>
              <w:rPr>
                <w:rFonts w:ascii="Calibri" w:hAnsi="Calibri" w:cs="Calibri"/>
              </w:rPr>
              <w:t>1060.30</w:t>
            </w:r>
          </w:p>
        </w:tc>
      </w:tr>
      <w:tr w14:paraId="012CE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tcBorders>
              <w:bottom w:val="single" w:color="000000" w:sz="4" w:space="0"/>
            </w:tcBorders>
            <w:shd w:val="clear" w:color="auto" w:fill="auto"/>
            <w:vAlign w:val="center"/>
          </w:tcPr>
          <w:p w14:paraId="62A6581D">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4</w:t>
            </w:r>
            <w:r>
              <w:rPr>
                <w:rFonts w:ascii="Times New Roman" w:hAnsi="Times New Roman"/>
                <w:b/>
                <w:bCs/>
                <w:sz w:val="24"/>
                <w:szCs w:val="24"/>
              </w:rPr>
              <w:t xml:space="preserve">: </w:t>
            </w:r>
            <w:r>
              <w:rPr>
                <w:rFonts w:ascii="Times New Roman" w:hAnsi="Times New Roman"/>
                <w:bCs/>
                <w:sz w:val="24"/>
                <w:szCs w:val="24"/>
              </w:rPr>
              <w:t xml:space="preserve">Carfentrazon @ 0.025 kg </w:t>
            </w:r>
            <w:r>
              <w:rPr>
                <w:rFonts w:ascii="Times New Roman" w:hAnsi="Times New Roman"/>
                <w:bCs/>
                <w:i/>
                <w:sz w:val="24"/>
                <w:szCs w:val="24"/>
              </w:rPr>
              <w:t>a.i.</w:t>
            </w:r>
            <w:r>
              <w:rPr>
                <w:rFonts w:ascii="Times New Roman" w:hAnsi="Times New Roman"/>
                <w:bCs/>
                <w:sz w:val="24"/>
                <w:szCs w:val="24"/>
              </w:rPr>
              <w:t>/ha Post-em (28 DAS)</w:t>
            </w:r>
          </w:p>
        </w:tc>
        <w:tc>
          <w:tcPr>
            <w:tcW w:w="802" w:type="dxa"/>
            <w:tcBorders>
              <w:bottom w:val="single" w:color="000000" w:sz="4" w:space="0"/>
            </w:tcBorders>
            <w:shd w:val="clear" w:color="auto" w:fill="auto"/>
            <w:vAlign w:val="center"/>
          </w:tcPr>
          <w:p w14:paraId="228F2DAC">
            <w:pPr>
              <w:jc w:val="center"/>
              <w:rPr>
                <w:rFonts w:ascii="Calibri" w:hAnsi="Calibri" w:cs="Calibri"/>
              </w:rPr>
            </w:pPr>
            <w:r>
              <w:rPr>
                <w:rFonts w:ascii="Calibri" w:hAnsi="Calibri" w:cs="Calibri"/>
              </w:rPr>
              <w:t>71.65</w:t>
            </w:r>
          </w:p>
        </w:tc>
        <w:tc>
          <w:tcPr>
            <w:tcW w:w="779" w:type="dxa"/>
            <w:tcBorders>
              <w:bottom w:val="single" w:color="000000" w:sz="4" w:space="0"/>
            </w:tcBorders>
            <w:shd w:val="clear" w:color="auto" w:fill="auto"/>
            <w:vAlign w:val="center"/>
          </w:tcPr>
          <w:p w14:paraId="69D7F0DB">
            <w:pPr>
              <w:jc w:val="center"/>
              <w:rPr>
                <w:rFonts w:ascii="Calibri" w:hAnsi="Calibri" w:cs="Calibri"/>
              </w:rPr>
            </w:pPr>
            <w:r>
              <w:rPr>
                <w:rFonts w:ascii="Calibri" w:hAnsi="Calibri" w:cs="Calibri"/>
              </w:rPr>
              <w:t>73.46</w:t>
            </w:r>
          </w:p>
        </w:tc>
        <w:tc>
          <w:tcPr>
            <w:tcW w:w="834" w:type="dxa"/>
            <w:tcBorders>
              <w:bottom w:val="single" w:color="000000" w:sz="4" w:space="0"/>
            </w:tcBorders>
            <w:shd w:val="clear" w:color="auto" w:fill="auto"/>
            <w:vAlign w:val="center"/>
          </w:tcPr>
          <w:p w14:paraId="1C3FE571">
            <w:pPr>
              <w:jc w:val="center"/>
              <w:rPr>
                <w:rFonts w:ascii="Calibri" w:hAnsi="Calibri" w:cs="Calibri"/>
              </w:rPr>
            </w:pPr>
            <w:r>
              <w:rPr>
                <w:rFonts w:ascii="Calibri" w:hAnsi="Calibri" w:cs="Calibri"/>
              </w:rPr>
              <w:t>263.11</w:t>
            </w:r>
          </w:p>
        </w:tc>
        <w:tc>
          <w:tcPr>
            <w:tcW w:w="834" w:type="dxa"/>
            <w:tcBorders>
              <w:bottom w:val="single" w:color="000000" w:sz="4" w:space="0"/>
            </w:tcBorders>
            <w:shd w:val="clear" w:color="auto" w:fill="auto"/>
            <w:vAlign w:val="center"/>
          </w:tcPr>
          <w:p w14:paraId="5A51D865">
            <w:pPr>
              <w:jc w:val="center"/>
              <w:rPr>
                <w:rFonts w:ascii="Calibri" w:hAnsi="Calibri" w:cs="Calibri"/>
              </w:rPr>
            </w:pPr>
            <w:r>
              <w:rPr>
                <w:rFonts w:ascii="Calibri" w:hAnsi="Calibri" w:cs="Calibri"/>
              </w:rPr>
              <w:t>268.61</w:t>
            </w:r>
          </w:p>
        </w:tc>
        <w:tc>
          <w:tcPr>
            <w:tcW w:w="945" w:type="dxa"/>
            <w:tcBorders>
              <w:bottom w:val="single" w:color="000000" w:sz="4" w:space="0"/>
            </w:tcBorders>
            <w:shd w:val="clear" w:color="auto" w:fill="auto"/>
            <w:vAlign w:val="center"/>
          </w:tcPr>
          <w:p w14:paraId="10E78B50">
            <w:pPr>
              <w:jc w:val="center"/>
              <w:rPr>
                <w:rFonts w:ascii="Calibri" w:hAnsi="Calibri" w:cs="Calibri"/>
              </w:rPr>
            </w:pPr>
            <w:r>
              <w:rPr>
                <w:rFonts w:ascii="Calibri" w:hAnsi="Calibri" w:cs="Calibri"/>
              </w:rPr>
              <w:t>1005.54</w:t>
            </w:r>
          </w:p>
        </w:tc>
        <w:tc>
          <w:tcPr>
            <w:tcW w:w="945" w:type="dxa"/>
            <w:tcBorders>
              <w:bottom w:val="single" w:color="000000" w:sz="4" w:space="0"/>
            </w:tcBorders>
            <w:shd w:val="clear" w:color="auto" w:fill="auto"/>
            <w:vAlign w:val="center"/>
          </w:tcPr>
          <w:p w14:paraId="1DD82FC4">
            <w:pPr>
              <w:jc w:val="center"/>
              <w:rPr>
                <w:rFonts w:ascii="Calibri" w:hAnsi="Calibri" w:cs="Calibri"/>
              </w:rPr>
            </w:pPr>
            <w:r>
              <w:rPr>
                <w:rFonts w:ascii="Calibri" w:hAnsi="Calibri" w:cs="Calibri"/>
              </w:rPr>
              <w:t>1024.77</w:t>
            </w:r>
          </w:p>
        </w:tc>
        <w:tc>
          <w:tcPr>
            <w:tcW w:w="945" w:type="dxa"/>
            <w:tcBorders>
              <w:bottom w:val="single" w:color="000000" w:sz="4" w:space="0"/>
            </w:tcBorders>
            <w:shd w:val="clear" w:color="auto" w:fill="auto"/>
            <w:vAlign w:val="center"/>
          </w:tcPr>
          <w:p w14:paraId="09AD326C">
            <w:pPr>
              <w:jc w:val="center"/>
              <w:rPr>
                <w:rFonts w:ascii="Calibri" w:hAnsi="Calibri" w:cs="Calibri"/>
              </w:rPr>
            </w:pPr>
            <w:r>
              <w:rPr>
                <w:rFonts w:ascii="Calibri" w:hAnsi="Calibri" w:cs="Calibri"/>
              </w:rPr>
              <w:t>1076.15</w:t>
            </w:r>
          </w:p>
        </w:tc>
        <w:tc>
          <w:tcPr>
            <w:tcW w:w="945" w:type="dxa"/>
            <w:tcBorders>
              <w:bottom w:val="single" w:color="000000" w:sz="4" w:space="0"/>
            </w:tcBorders>
            <w:shd w:val="clear" w:color="auto" w:fill="auto"/>
            <w:vAlign w:val="center"/>
          </w:tcPr>
          <w:p w14:paraId="5473FFE5">
            <w:pPr>
              <w:jc w:val="center"/>
              <w:rPr>
                <w:rFonts w:ascii="Calibri" w:hAnsi="Calibri" w:cs="Calibri"/>
              </w:rPr>
            </w:pPr>
            <w:r>
              <w:rPr>
                <w:rFonts w:ascii="Calibri" w:hAnsi="Calibri" w:cs="Calibri"/>
              </w:rPr>
              <w:t>1092.54</w:t>
            </w:r>
          </w:p>
        </w:tc>
      </w:tr>
      <w:tr w14:paraId="62634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33162A78">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5</w:t>
            </w:r>
            <w:r>
              <w:rPr>
                <w:rFonts w:ascii="Times New Roman" w:hAnsi="Times New Roman"/>
                <w:b/>
                <w:bCs/>
                <w:sz w:val="24"/>
                <w:szCs w:val="24"/>
              </w:rPr>
              <w:t xml:space="preserve">: </w:t>
            </w:r>
            <w:r>
              <w:rPr>
                <w:rFonts w:ascii="Times New Roman" w:hAnsi="Times New Roman"/>
                <w:bCs/>
                <w:sz w:val="24"/>
                <w:szCs w:val="24"/>
              </w:rPr>
              <w:t xml:space="preserve">Metsulfuron-methyl @ 0.004 kg </w:t>
            </w:r>
            <w:r>
              <w:rPr>
                <w:rFonts w:ascii="Times New Roman" w:hAnsi="Times New Roman"/>
                <w:bCs/>
                <w:i/>
                <w:sz w:val="24"/>
                <w:szCs w:val="24"/>
              </w:rPr>
              <w:t>a.i.</w:t>
            </w:r>
            <w:r>
              <w:rPr>
                <w:rFonts w:ascii="Times New Roman" w:hAnsi="Times New Roman"/>
                <w:bCs/>
                <w:sz w:val="24"/>
                <w:szCs w:val="24"/>
              </w:rPr>
              <w:t>/ha Post-em (28 DAS)</w:t>
            </w:r>
          </w:p>
        </w:tc>
        <w:tc>
          <w:tcPr>
            <w:tcW w:w="802" w:type="dxa"/>
            <w:shd w:val="clear" w:color="auto" w:fill="auto"/>
            <w:vAlign w:val="center"/>
          </w:tcPr>
          <w:p w14:paraId="7468187B">
            <w:pPr>
              <w:jc w:val="center"/>
              <w:rPr>
                <w:rFonts w:ascii="Calibri" w:hAnsi="Calibri" w:cs="Calibri"/>
              </w:rPr>
            </w:pPr>
            <w:r>
              <w:rPr>
                <w:rFonts w:ascii="Calibri" w:hAnsi="Calibri" w:cs="Calibri"/>
              </w:rPr>
              <w:t>69.58</w:t>
            </w:r>
          </w:p>
        </w:tc>
        <w:tc>
          <w:tcPr>
            <w:tcW w:w="779" w:type="dxa"/>
            <w:shd w:val="clear" w:color="auto" w:fill="auto"/>
            <w:vAlign w:val="center"/>
          </w:tcPr>
          <w:p w14:paraId="588018B0">
            <w:pPr>
              <w:jc w:val="center"/>
              <w:rPr>
                <w:rFonts w:ascii="Calibri" w:hAnsi="Calibri" w:cs="Calibri"/>
              </w:rPr>
            </w:pPr>
            <w:r>
              <w:rPr>
                <w:rFonts w:ascii="Calibri" w:hAnsi="Calibri" w:cs="Calibri"/>
              </w:rPr>
              <w:t>71.34</w:t>
            </w:r>
          </w:p>
        </w:tc>
        <w:tc>
          <w:tcPr>
            <w:tcW w:w="834" w:type="dxa"/>
            <w:shd w:val="clear" w:color="auto" w:fill="auto"/>
            <w:vAlign w:val="center"/>
          </w:tcPr>
          <w:p w14:paraId="453FECAE">
            <w:pPr>
              <w:jc w:val="center"/>
              <w:rPr>
                <w:rFonts w:ascii="Calibri" w:hAnsi="Calibri" w:cs="Calibri"/>
              </w:rPr>
            </w:pPr>
            <w:r>
              <w:rPr>
                <w:rFonts w:ascii="Calibri" w:hAnsi="Calibri" w:cs="Calibri"/>
              </w:rPr>
              <w:t>248.03</w:t>
            </w:r>
          </w:p>
        </w:tc>
        <w:tc>
          <w:tcPr>
            <w:tcW w:w="834" w:type="dxa"/>
            <w:shd w:val="clear" w:color="auto" w:fill="auto"/>
            <w:vAlign w:val="center"/>
          </w:tcPr>
          <w:p w14:paraId="4067B9C2">
            <w:pPr>
              <w:jc w:val="center"/>
              <w:rPr>
                <w:rFonts w:ascii="Calibri" w:hAnsi="Calibri" w:cs="Calibri"/>
              </w:rPr>
            </w:pPr>
            <w:r>
              <w:rPr>
                <w:rFonts w:ascii="Calibri" w:hAnsi="Calibri" w:cs="Calibri"/>
              </w:rPr>
              <w:t>254.37</w:t>
            </w:r>
          </w:p>
        </w:tc>
        <w:tc>
          <w:tcPr>
            <w:tcW w:w="945" w:type="dxa"/>
            <w:shd w:val="clear" w:color="auto" w:fill="auto"/>
            <w:vAlign w:val="center"/>
          </w:tcPr>
          <w:p w14:paraId="664E2C8E">
            <w:pPr>
              <w:jc w:val="center"/>
              <w:rPr>
                <w:rFonts w:ascii="Calibri" w:hAnsi="Calibri" w:cs="Calibri"/>
              </w:rPr>
            </w:pPr>
            <w:r>
              <w:rPr>
                <w:rFonts w:ascii="Calibri" w:hAnsi="Calibri" w:cs="Calibri"/>
              </w:rPr>
              <w:t>947.39</w:t>
            </w:r>
          </w:p>
        </w:tc>
        <w:tc>
          <w:tcPr>
            <w:tcW w:w="945" w:type="dxa"/>
            <w:shd w:val="clear" w:color="auto" w:fill="auto"/>
            <w:vAlign w:val="center"/>
          </w:tcPr>
          <w:p w14:paraId="60101EB2">
            <w:pPr>
              <w:jc w:val="center"/>
              <w:rPr>
                <w:rFonts w:ascii="Calibri" w:hAnsi="Calibri" w:cs="Calibri"/>
              </w:rPr>
            </w:pPr>
            <w:r>
              <w:rPr>
                <w:rFonts w:ascii="Calibri" w:hAnsi="Calibri" w:cs="Calibri"/>
              </w:rPr>
              <w:t>970.45</w:t>
            </w:r>
          </w:p>
        </w:tc>
        <w:tc>
          <w:tcPr>
            <w:tcW w:w="945" w:type="dxa"/>
            <w:shd w:val="clear" w:color="auto" w:fill="auto"/>
            <w:vAlign w:val="center"/>
          </w:tcPr>
          <w:p w14:paraId="65768E12">
            <w:pPr>
              <w:jc w:val="center"/>
              <w:rPr>
                <w:rFonts w:ascii="Calibri" w:hAnsi="Calibri" w:cs="Calibri"/>
              </w:rPr>
            </w:pPr>
            <w:r>
              <w:rPr>
                <w:rFonts w:ascii="Calibri" w:hAnsi="Calibri" w:cs="Calibri"/>
              </w:rPr>
              <w:t>1016.82</w:t>
            </w:r>
          </w:p>
        </w:tc>
        <w:tc>
          <w:tcPr>
            <w:tcW w:w="945" w:type="dxa"/>
            <w:shd w:val="clear" w:color="auto" w:fill="auto"/>
            <w:vAlign w:val="center"/>
          </w:tcPr>
          <w:p w14:paraId="1035289A">
            <w:pPr>
              <w:jc w:val="center"/>
              <w:rPr>
                <w:rFonts w:ascii="Calibri" w:hAnsi="Calibri" w:cs="Calibri"/>
              </w:rPr>
            </w:pPr>
            <w:r>
              <w:rPr>
                <w:rFonts w:ascii="Calibri" w:hAnsi="Calibri" w:cs="Calibri"/>
              </w:rPr>
              <w:t>1030.82</w:t>
            </w:r>
          </w:p>
        </w:tc>
      </w:tr>
      <w:tr w14:paraId="68440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16217CF6">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6</w:t>
            </w:r>
            <w:r>
              <w:rPr>
                <w:rFonts w:ascii="Times New Roman" w:hAnsi="Times New Roman"/>
                <w:b/>
                <w:bCs/>
                <w:sz w:val="24"/>
                <w:szCs w:val="24"/>
              </w:rPr>
              <w:t xml:space="preserve">: </w:t>
            </w:r>
            <w:r>
              <w:rPr>
                <w:rFonts w:ascii="Times New Roman" w:hAnsi="Times New Roman"/>
                <w:bCs/>
                <w:sz w:val="24"/>
                <w:szCs w:val="24"/>
              </w:rPr>
              <w:t>Arylex 20.85% + Florasulam 20 % Post-em (28 DAS)</w:t>
            </w:r>
          </w:p>
        </w:tc>
        <w:tc>
          <w:tcPr>
            <w:tcW w:w="802" w:type="dxa"/>
            <w:shd w:val="clear" w:color="auto" w:fill="auto"/>
            <w:vAlign w:val="center"/>
          </w:tcPr>
          <w:p w14:paraId="1DC3B054">
            <w:pPr>
              <w:jc w:val="center"/>
              <w:rPr>
                <w:rFonts w:ascii="Calibri" w:hAnsi="Calibri" w:cs="Calibri"/>
              </w:rPr>
            </w:pPr>
            <w:r>
              <w:rPr>
                <w:rFonts w:ascii="Calibri" w:hAnsi="Calibri" w:cs="Calibri"/>
              </w:rPr>
              <w:t>72.77</w:t>
            </w:r>
          </w:p>
        </w:tc>
        <w:tc>
          <w:tcPr>
            <w:tcW w:w="779" w:type="dxa"/>
            <w:shd w:val="clear" w:color="auto" w:fill="auto"/>
            <w:vAlign w:val="center"/>
          </w:tcPr>
          <w:p w14:paraId="77503A83">
            <w:pPr>
              <w:jc w:val="center"/>
              <w:rPr>
                <w:rFonts w:ascii="Calibri" w:hAnsi="Calibri" w:cs="Calibri"/>
              </w:rPr>
            </w:pPr>
            <w:r>
              <w:rPr>
                <w:rFonts w:ascii="Calibri" w:hAnsi="Calibri" w:cs="Calibri"/>
              </w:rPr>
              <w:t>74.60</w:t>
            </w:r>
          </w:p>
        </w:tc>
        <w:tc>
          <w:tcPr>
            <w:tcW w:w="834" w:type="dxa"/>
            <w:shd w:val="clear" w:color="auto" w:fill="auto"/>
            <w:vAlign w:val="center"/>
          </w:tcPr>
          <w:p w14:paraId="5BE1B60A">
            <w:pPr>
              <w:jc w:val="center"/>
              <w:rPr>
                <w:rFonts w:ascii="Calibri" w:hAnsi="Calibri" w:cs="Calibri"/>
              </w:rPr>
            </w:pPr>
            <w:r>
              <w:rPr>
                <w:rFonts w:ascii="Calibri" w:hAnsi="Calibri" w:cs="Calibri"/>
              </w:rPr>
              <w:t>267.93</w:t>
            </w:r>
          </w:p>
        </w:tc>
        <w:tc>
          <w:tcPr>
            <w:tcW w:w="834" w:type="dxa"/>
            <w:shd w:val="clear" w:color="auto" w:fill="auto"/>
            <w:vAlign w:val="center"/>
          </w:tcPr>
          <w:p w14:paraId="7D11809C">
            <w:pPr>
              <w:jc w:val="center"/>
              <w:rPr>
                <w:rFonts w:ascii="Calibri" w:hAnsi="Calibri" w:cs="Calibri"/>
              </w:rPr>
            </w:pPr>
            <w:r>
              <w:rPr>
                <w:rFonts w:ascii="Calibri" w:hAnsi="Calibri" w:cs="Calibri"/>
              </w:rPr>
              <w:t>273.53</w:t>
            </w:r>
          </w:p>
        </w:tc>
        <w:tc>
          <w:tcPr>
            <w:tcW w:w="945" w:type="dxa"/>
            <w:shd w:val="clear" w:color="auto" w:fill="auto"/>
            <w:vAlign w:val="center"/>
          </w:tcPr>
          <w:p w14:paraId="237FDEDA">
            <w:pPr>
              <w:jc w:val="center"/>
              <w:rPr>
                <w:rFonts w:ascii="Calibri" w:hAnsi="Calibri" w:cs="Calibri"/>
              </w:rPr>
            </w:pPr>
            <w:r>
              <w:rPr>
                <w:rFonts w:ascii="Calibri" w:hAnsi="Calibri" w:cs="Calibri"/>
              </w:rPr>
              <w:t>1024.14</w:t>
            </w:r>
          </w:p>
        </w:tc>
        <w:tc>
          <w:tcPr>
            <w:tcW w:w="945" w:type="dxa"/>
            <w:shd w:val="clear" w:color="auto" w:fill="auto"/>
            <w:vAlign w:val="center"/>
          </w:tcPr>
          <w:p w14:paraId="7B952689">
            <w:pPr>
              <w:jc w:val="center"/>
              <w:rPr>
                <w:rFonts w:ascii="Calibri" w:hAnsi="Calibri" w:cs="Calibri"/>
              </w:rPr>
            </w:pPr>
            <w:r>
              <w:rPr>
                <w:rFonts w:ascii="Calibri" w:hAnsi="Calibri" w:cs="Calibri"/>
              </w:rPr>
              <w:t>1043.53</w:t>
            </w:r>
          </w:p>
        </w:tc>
        <w:tc>
          <w:tcPr>
            <w:tcW w:w="945" w:type="dxa"/>
            <w:shd w:val="clear" w:color="auto" w:fill="auto"/>
            <w:vAlign w:val="center"/>
          </w:tcPr>
          <w:p w14:paraId="23F451B4">
            <w:pPr>
              <w:jc w:val="center"/>
              <w:rPr>
                <w:rFonts w:ascii="Calibri" w:hAnsi="Calibri" w:cs="Calibri"/>
              </w:rPr>
            </w:pPr>
            <w:r>
              <w:rPr>
                <w:rFonts w:ascii="Calibri" w:hAnsi="Calibri" w:cs="Calibri"/>
              </w:rPr>
              <w:t>1095.86</w:t>
            </w:r>
          </w:p>
        </w:tc>
        <w:tc>
          <w:tcPr>
            <w:tcW w:w="945" w:type="dxa"/>
            <w:shd w:val="clear" w:color="auto" w:fill="auto"/>
            <w:vAlign w:val="center"/>
          </w:tcPr>
          <w:p w14:paraId="6EEF2AA6">
            <w:pPr>
              <w:jc w:val="center"/>
              <w:rPr>
                <w:rFonts w:ascii="Calibri" w:hAnsi="Calibri" w:cs="Calibri"/>
              </w:rPr>
            </w:pPr>
            <w:r>
              <w:rPr>
                <w:rFonts w:ascii="Calibri" w:hAnsi="Calibri" w:cs="Calibri"/>
              </w:rPr>
              <w:t>1112.65</w:t>
            </w:r>
          </w:p>
        </w:tc>
      </w:tr>
      <w:tr w14:paraId="3277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15E769D7">
            <w:pPr>
              <w:spacing w:after="0" w:line="240" w:lineRule="auto"/>
              <w:rPr>
                <w:rFonts w:ascii="Times New Roman" w:hAnsi="Times New Roman"/>
                <w:sz w:val="24"/>
                <w:szCs w:val="24"/>
              </w:rPr>
            </w:pPr>
            <w:r>
              <w:rPr>
                <w:rFonts w:ascii="Times New Roman" w:hAnsi="Times New Roman"/>
                <w:sz w:val="24"/>
                <w:szCs w:val="24"/>
              </w:rPr>
              <w:t>SEm ±</w:t>
            </w:r>
          </w:p>
        </w:tc>
        <w:tc>
          <w:tcPr>
            <w:tcW w:w="802" w:type="dxa"/>
            <w:shd w:val="clear" w:color="auto" w:fill="auto"/>
            <w:vAlign w:val="bottom"/>
          </w:tcPr>
          <w:p w14:paraId="69D41A18">
            <w:pPr>
              <w:spacing w:after="0" w:line="240" w:lineRule="auto"/>
              <w:jc w:val="right"/>
              <w:rPr>
                <w:rFonts w:ascii="Calibri" w:hAnsi="Calibri" w:eastAsia="Times New Roman" w:cs="Calibri"/>
                <w:lang w:eastAsia="en-GB"/>
              </w:rPr>
            </w:pPr>
            <w:r>
              <w:rPr>
                <w:rFonts w:ascii="Calibri" w:hAnsi="Calibri" w:cs="Calibri"/>
              </w:rPr>
              <w:t>1.06</w:t>
            </w:r>
          </w:p>
        </w:tc>
        <w:tc>
          <w:tcPr>
            <w:tcW w:w="779" w:type="dxa"/>
            <w:shd w:val="clear" w:color="auto" w:fill="auto"/>
            <w:vAlign w:val="bottom"/>
          </w:tcPr>
          <w:p w14:paraId="08FA0561">
            <w:pPr>
              <w:spacing w:after="0" w:line="240" w:lineRule="auto"/>
              <w:jc w:val="right"/>
              <w:rPr>
                <w:rFonts w:ascii="Calibri" w:hAnsi="Calibri" w:eastAsia="Times New Roman" w:cs="Calibri"/>
                <w:lang w:eastAsia="en-GB"/>
              </w:rPr>
            </w:pPr>
            <w:r>
              <w:rPr>
                <w:rFonts w:ascii="Calibri" w:hAnsi="Calibri" w:cs="Calibri"/>
              </w:rPr>
              <w:t>1.06</w:t>
            </w:r>
          </w:p>
        </w:tc>
        <w:tc>
          <w:tcPr>
            <w:tcW w:w="834" w:type="dxa"/>
            <w:shd w:val="clear" w:color="auto" w:fill="auto"/>
            <w:vAlign w:val="bottom"/>
          </w:tcPr>
          <w:p w14:paraId="7AAD1AF9">
            <w:pPr>
              <w:spacing w:after="0" w:line="240" w:lineRule="auto"/>
              <w:jc w:val="right"/>
              <w:rPr>
                <w:rFonts w:ascii="Calibri" w:hAnsi="Calibri" w:eastAsia="Times New Roman" w:cs="Calibri"/>
                <w:lang w:eastAsia="en-GB"/>
              </w:rPr>
            </w:pPr>
            <w:r>
              <w:rPr>
                <w:rFonts w:ascii="Calibri" w:hAnsi="Calibri" w:cs="Calibri"/>
              </w:rPr>
              <w:t>3.70</w:t>
            </w:r>
          </w:p>
        </w:tc>
        <w:tc>
          <w:tcPr>
            <w:tcW w:w="834" w:type="dxa"/>
            <w:shd w:val="clear" w:color="auto" w:fill="auto"/>
            <w:vAlign w:val="bottom"/>
          </w:tcPr>
          <w:p w14:paraId="5DF0C043">
            <w:pPr>
              <w:spacing w:after="0" w:line="240" w:lineRule="auto"/>
              <w:jc w:val="right"/>
              <w:rPr>
                <w:rFonts w:ascii="Calibri" w:hAnsi="Calibri" w:eastAsia="Times New Roman" w:cs="Calibri"/>
                <w:lang w:eastAsia="en-GB"/>
              </w:rPr>
            </w:pPr>
            <w:r>
              <w:rPr>
                <w:rFonts w:ascii="Calibri" w:hAnsi="Calibri" w:cs="Calibri"/>
              </w:rPr>
              <w:t>3.68</w:t>
            </w:r>
          </w:p>
        </w:tc>
        <w:tc>
          <w:tcPr>
            <w:tcW w:w="945" w:type="dxa"/>
            <w:shd w:val="clear" w:color="auto" w:fill="auto"/>
            <w:vAlign w:val="bottom"/>
          </w:tcPr>
          <w:p w14:paraId="780CA347">
            <w:pPr>
              <w:spacing w:after="0" w:line="240" w:lineRule="auto"/>
              <w:jc w:val="right"/>
              <w:rPr>
                <w:rFonts w:ascii="Calibri" w:hAnsi="Calibri" w:eastAsia="Times New Roman" w:cs="Calibri"/>
                <w:lang w:eastAsia="en-GB"/>
              </w:rPr>
            </w:pPr>
            <w:r>
              <w:rPr>
                <w:rFonts w:ascii="Calibri" w:hAnsi="Calibri" w:cs="Calibri"/>
              </w:rPr>
              <w:t>14.15</w:t>
            </w:r>
          </w:p>
        </w:tc>
        <w:tc>
          <w:tcPr>
            <w:tcW w:w="945" w:type="dxa"/>
            <w:shd w:val="clear" w:color="auto" w:fill="auto"/>
            <w:vAlign w:val="bottom"/>
          </w:tcPr>
          <w:p w14:paraId="17E0CBF0">
            <w:pPr>
              <w:spacing w:after="0" w:line="240" w:lineRule="auto"/>
              <w:jc w:val="right"/>
              <w:rPr>
                <w:rFonts w:ascii="Calibri" w:hAnsi="Calibri" w:eastAsia="Times New Roman" w:cs="Calibri"/>
                <w:lang w:eastAsia="en-GB"/>
              </w:rPr>
            </w:pPr>
            <w:r>
              <w:rPr>
                <w:rFonts w:ascii="Calibri" w:hAnsi="Calibri" w:cs="Calibri"/>
              </w:rPr>
              <w:t>14.05</w:t>
            </w:r>
          </w:p>
        </w:tc>
        <w:tc>
          <w:tcPr>
            <w:tcW w:w="945" w:type="dxa"/>
            <w:shd w:val="clear" w:color="auto" w:fill="auto"/>
            <w:vAlign w:val="bottom"/>
          </w:tcPr>
          <w:p w14:paraId="25FC7474">
            <w:pPr>
              <w:spacing w:after="0" w:line="240" w:lineRule="auto"/>
              <w:jc w:val="right"/>
              <w:rPr>
                <w:rFonts w:ascii="Calibri" w:hAnsi="Calibri" w:eastAsia="Times New Roman" w:cs="Calibri"/>
                <w:lang w:eastAsia="en-GB"/>
              </w:rPr>
            </w:pPr>
            <w:r>
              <w:rPr>
                <w:rFonts w:ascii="Calibri" w:hAnsi="Calibri" w:cs="Calibri"/>
              </w:rPr>
              <w:t>15.18</w:t>
            </w:r>
          </w:p>
        </w:tc>
        <w:tc>
          <w:tcPr>
            <w:tcW w:w="945" w:type="dxa"/>
            <w:shd w:val="clear" w:color="auto" w:fill="auto"/>
            <w:vAlign w:val="bottom"/>
          </w:tcPr>
          <w:p w14:paraId="610C5DCE">
            <w:pPr>
              <w:spacing w:after="0" w:line="240" w:lineRule="auto"/>
              <w:jc w:val="right"/>
              <w:rPr>
                <w:rFonts w:ascii="Calibri" w:hAnsi="Calibri" w:eastAsia="Times New Roman" w:cs="Calibri"/>
                <w:lang w:eastAsia="en-GB"/>
              </w:rPr>
            </w:pPr>
            <w:r>
              <w:rPr>
                <w:rFonts w:ascii="Calibri" w:hAnsi="Calibri" w:cs="Calibri"/>
              </w:rPr>
              <w:t>14.93</w:t>
            </w:r>
          </w:p>
        </w:tc>
      </w:tr>
      <w:tr w14:paraId="64D12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trPr>
        <w:tc>
          <w:tcPr>
            <w:tcW w:w="2930" w:type="dxa"/>
            <w:shd w:val="clear" w:color="auto" w:fill="auto"/>
            <w:vAlign w:val="center"/>
          </w:tcPr>
          <w:p w14:paraId="30B3391F">
            <w:pPr>
              <w:spacing w:after="0" w:line="240" w:lineRule="auto"/>
              <w:rPr>
                <w:rFonts w:ascii="Times New Roman" w:hAnsi="Times New Roman"/>
                <w:sz w:val="24"/>
                <w:szCs w:val="24"/>
              </w:rPr>
            </w:pPr>
            <w:r>
              <w:rPr>
                <w:rFonts w:ascii="Times New Roman" w:hAnsi="Times New Roman"/>
                <w:sz w:val="24"/>
                <w:szCs w:val="24"/>
              </w:rPr>
              <w:t>CD (</w:t>
            </w:r>
            <w:r>
              <w:rPr>
                <w:rFonts w:ascii="Times New Roman" w:hAnsi="Times New Roman"/>
                <w:i/>
                <w:sz w:val="24"/>
                <w:szCs w:val="24"/>
              </w:rPr>
              <w:t>p=0.05</w:t>
            </w:r>
            <w:r>
              <w:rPr>
                <w:rFonts w:ascii="Times New Roman" w:hAnsi="Times New Roman"/>
                <w:sz w:val="24"/>
                <w:szCs w:val="24"/>
              </w:rPr>
              <w:t>)</w:t>
            </w:r>
          </w:p>
        </w:tc>
        <w:tc>
          <w:tcPr>
            <w:tcW w:w="802" w:type="dxa"/>
            <w:shd w:val="clear" w:color="auto" w:fill="auto"/>
            <w:vAlign w:val="bottom"/>
          </w:tcPr>
          <w:p w14:paraId="66A31D9F">
            <w:pPr>
              <w:jc w:val="right"/>
              <w:rPr>
                <w:rFonts w:ascii="Calibri" w:hAnsi="Calibri" w:cs="Calibri"/>
              </w:rPr>
            </w:pPr>
            <w:r>
              <w:rPr>
                <w:rFonts w:ascii="Calibri" w:hAnsi="Calibri" w:cs="Calibri"/>
              </w:rPr>
              <w:t>3.19</w:t>
            </w:r>
          </w:p>
        </w:tc>
        <w:tc>
          <w:tcPr>
            <w:tcW w:w="779" w:type="dxa"/>
            <w:shd w:val="clear" w:color="auto" w:fill="auto"/>
            <w:vAlign w:val="bottom"/>
          </w:tcPr>
          <w:p w14:paraId="1AB441EB">
            <w:pPr>
              <w:jc w:val="right"/>
              <w:rPr>
                <w:rFonts w:ascii="Calibri" w:hAnsi="Calibri" w:cs="Calibri"/>
              </w:rPr>
            </w:pPr>
            <w:r>
              <w:rPr>
                <w:rFonts w:ascii="Calibri" w:hAnsi="Calibri" w:cs="Calibri"/>
              </w:rPr>
              <w:t>3.19</w:t>
            </w:r>
          </w:p>
        </w:tc>
        <w:tc>
          <w:tcPr>
            <w:tcW w:w="834" w:type="dxa"/>
            <w:shd w:val="clear" w:color="auto" w:fill="auto"/>
            <w:vAlign w:val="bottom"/>
          </w:tcPr>
          <w:p w14:paraId="10519018">
            <w:pPr>
              <w:jc w:val="right"/>
              <w:rPr>
                <w:rFonts w:ascii="Calibri" w:hAnsi="Calibri" w:cs="Calibri"/>
              </w:rPr>
            </w:pPr>
            <w:r>
              <w:rPr>
                <w:rFonts w:ascii="Calibri" w:hAnsi="Calibri" w:cs="Calibri"/>
              </w:rPr>
              <w:t>11.18</w:t>
            </w:r>
          </w:p>
        </w:tc>
        <w:tc>
          <w:tcPr>
            <w:tcW w:w="834" w:type="dxa"/>
            <w:shd w:val="clear" w:color="auto" w:fill="auto"/>
            <w:vAlign w:val="bottom"/>
          </w:tcPr>
          <w:p w14:paraId="24119348">
            <w:pPr>
              <w:jc w:val="right"/>
              <w:rPr>
                <w:rFonts w:ascii="Calibri" w:hAnsi="Calibri" w:cs="Calibri"/>
              </w:rPr>
            </w:pPr>
            <w:r>
              <w:rPr>
                <w:rFonts w:ascii="Calibri" w:hAnsi="Calibri" w:cs="Calibri"/>
              </w:rPr>
              <w:t>11.12</w:t>
            </w:r>
          </w:p>
        </w:tc>
        <w:tc>
          <w:tcPr>
            <w:tcW w:w="945" w:type="dxa"/>
            <w:shd w:val="clear" w:color="auto" w:fill="auto"/>
            <w:vAlign w:val="bottom"/>
          </w:tcPr>
          <w:p w14:paraId="514BEB3A">
            <w:pPr>
              <w:jc w:val="right"/>
              <w:rPr>
                <w:rFonts w:ascii="Calibri" w:hAnsi="Calibri" w:cs="Calibri"/>
              </w:rPr>
            </w:pPr>
            <w:r>
              <w:rPr>
                <w:rFonts w:ascii="Calibri" w:hAnsi="Calibri" w:cs="Calibri"/>
              </w:rPr>
              <w:t>42.72</w:t>
            </w:r>
          </w:p>
        </w:tc>
        <w:tc>
          <w:tcPr>
            <w:tcW w:w="945" w:type="dxa"/>
            <w:shd w:val="clear" w:color="auto" w:fill="auto"/>
            <w:vAlign w:val="bottom"/>
          </w:tcPr>
          <w:p w14:paraId="688BE124">
            <w:pPr>
              <w:jc w:val="right"/>
              <w:rPr>
                <w:rFonts w:ascii="Calibri" w:hAnsi="Calibri" w:cs="Calibri"/>
              </w:rPr>
            </w:pPr>
            <w:r>
              <w:rPr>
                <w:rFonts w:ascii="Calibri" w:hAnsi="Calibri" w:cs="Calibri"/>
              </w:rPr>
              <w:t>42.44</w:t>
            </w:r>
          </w:p>
        </w:tc>
        <w:tc>
          <w:tcPr>
            <w:tcW w:w="945" w:type="dxa"/>
            <w:shd w:val="clear" w:color="auto" w:fill="auto"/>
            <w:vAlign w:val="bottom"/>
          </w:tcPr>
          <w:p w14:paraId="59491072">
            <w:pPr>
              <w:jc w:val="right"/>
              <w:rPr>
                <w:rFonts w:ascii="Calibri" w:hAnsi="Calibri" w:cs="Calibri"/>
              </w:rPr>
            </w:pPr>
            <w:r>
              <w:rPr>
                <w:rFonts w:ascii="Calibri" w:hAnsi="Calibri" w:cs="Calibri"/>
              </w:rPr>
              <w:t>45.83</w:t>
            </w:r>
          </w:p>
        </w:tc>
        <w:tc>
          <w:tcPr>
            <w:tcW w:w="945" w:type="dxa"/>
            <w:shd w:val="clear" w:color="auto" w:fill="auto"/>
            <w:vAlign w:val="bottom"/>
          </w:tcPr>
          <w:p w14:paraId="6308D49B">
            <w:pPr>
              <w:jc w:val="right"/>
              <w:rPr>
                <w:rFonts w:ascii="Calibri" w:hAnsi="Calibri" w:cs="Calibri"/>
              </w:rPr>
            </w:pPr>
            <w:r>
              <w:rPr>
                <w:rFonts w:ascii="Calibri" w:hAnsi="Calibri" w:cs="Calibri"/>
              </w:rPr>
              <w:t>45.10</w:t>
            </w:r>
          </w:p>
        </w:tc>
      </w:tr>
    </w:tbl>
    <w:p w14:paraId="47C896BF">
      <w:pPr>
        <w:spacing w:before="100" w:beforeAutospacing="1" w:after="100" w:afterAutospacing="1" w:line="240" w:lineRule="auto"/>
        <w:jc w:val="both"/>
        <w:rPr>
          <w:rFonts w:ascii="Times New Roman" w:hAnsi="Times New Roman" w:eastAsia="Times New Roman" w:cs="Times New Roman"/>
          <w:sz w:val="24"/>
          <w:szCs w:val="24"/>
          <w:lang w:eastAsia="en-GB" w:bidi="hi-IN"/>
        </w:rPr>
      </w:pPr>
    </w:p>
    <w:p w14:paraId="754C09A8">
      <w:pPr>
        <w:spacing w:before="100" w:beforeAutospacing="1" w:after="100" w:afterAutospacing="1" w:line="240" w:lineRule="auto"/>
        <w:jc w:val="both"/>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3.2 Crop Growth Rate</w:t>
      </w:r>
    </w:p>
    <w:p w14:paraId="011B5DEF">
      <w:pPr>
        <w:spacing w:before="100" w:beforeAutospacing="1" w:after="100" w:afterAutospacing="1" w:line="240" w:lineRule="auto"/>
        <w:ind w:firstLine="72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The table presents data on Crop Growth Rate (CGR) measured in grams per square meter per day (g m</w:t>
      </w:r>
      <w:r>
        <w:rPr>
          <w:rFonts w:ascii="Times New Roman" w:hAnsi="Times New Roman" w:eastAsia="Times New Roman" w:cs="Times New Roman"/>
          <w:sz w:val="24"/>
          <w:szCs w:val="24"/>
          <w:vertAlign w:val="superscript"/>
          <w:lang w:eastAsia="en-GB" w:bidi="hi-IN"/>
        </w:rPr>
        <w:t>2</w:t>
      </w:r>
      <w:r>
        <w:rPr>
          <w:rFonts w:ascii="Times New Roman" w:hAnsi="Times New Roman" w:eastAsia="Times New Roman" w:cs="Times New Roman"/>
          <w:sz w:val="24"/>
          <w:szCs w:val="24"/>
          <w:lang w:eastAsia="en-GB" w:bidi="hi-IN"/>
        </w:rPr>
        <w:t xml:space="preserve"> day</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for three different sowing dates across two growing seasons (2018-19 and 2019-20). The CGR was measured at three growth stages: 30-60 days after sowing (DAS), 60-90 DAS, and 90 DAS to harvest. The results indicate that earlier sowing dates (D1: 15th Nov) consistently yielded higher CGR values compared to later sowing dates (D2: 30th Nov and D3: 15th Dec) across all growth stages and both seasons. The differences in CGR between sowing dates were statistically significant, as evidenced by the standard error of mean (SEm ±) and critical difference (CD) values provided. The most substantial differences in CGR were observed during the 60-90 DAS period, with values ranging from 21.79 to 25.73 g m</w:t>
      </w:r>
      <w:r>
        <w:rPr>
          <w:rFonts w:ascii="Times New Roman" w:hAnsi="Times New Roman" w:eastAsia="Times New Roman" w:cs="Times New Roman"/>
          <w:sz w:val="24"/>
          <w:szCs w:val="24"/>
          <w:vertAlign w:val="superscript"/>
          <w:lang w:eastAsia="en-GB" w:bidi="hi-IN"/>
        </w:rPr>
        <w:t>2</w:t>
      </w:r>
      <w:r>
        <w:rPr>
          <w:rFonts w:ascii="Times New Roman" w:hAnsi="Times New Roman" w:eastAsia="Times New Roman" w:cs="Times New Roman"/>
          <w:sz w:val="24"/>
          <w:szCs w:val="24"/>
          <w:lang w:eastAsia="en-GB" w:bidi="hi-IN"/>
        </w:rPr>
        <w:t xml:space="preserve"> day</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in 2018-19 and 22.63 to 25.91 g m</w:t>
      </w:r>
      <w:r>
        <w:rPr>
          <w:rFonts w:ascii="Times New Roman" w:hAnsi="Times New Roman" w:eastAsia="Times New Roman" w:cs="Times New Roman"/>
          <w:sz w:val="24"/>
          <w:szCs w:val="24"/>
          <w:vertAlign w:val="superscript"/>
          <w:lang w:eastAsia="en-GB" w:bidi="hi-IN"/>
        </w:rPr>
        <w:t>2</w:t>
      </w:r>
      <w:r>
        <w:rPr>
          <w:rFonts w:ascii="Times New Roman" w:hAnsi="Times New Roman" w:eastAsia="Times New Roman" w:cs="Times New Roman"/>
          <w:sz w:val="24"/>
          <w:szCs w:val="24"/>
          <w:lang w:eastAsia="en-GB" w:bidi="hi-IN"/>
        </w:rPr>
        <w:t xml:space="preserve"> day</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in 2019-20. These findings suggest that early sowing has a positive impact on crop growth rate in the studied crop.</w:t>
      </w:r>
    </w:p>
    <w:p w14:paraId="11EF3C85">
      <w:pPr>
        <w:spacing w:after="0" w:line="240" w:lineRule="auto"/>
        <w:ind w:firstLine="720"/>
        <w:jc w:val="both"/>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The weed control measures had a significant impact on the Crop Growth Rate (CGR) of the crop across both growing seasons. The weed-free treatment (W2) consistently showed the highest CGR values across all growth stages, demonstrating the importance of effective weed management. In contrast, the weedy check (W1) exhibited the lowest CGR, highlighting the detrimental effects of weed competition on crop growth. Among the chemical weed control measures, Arylex 20.85% + Florasulam 20% (W6) and Carfentrazon (W4) performed well, with CGR values close to those of the weed-free treatment. The 2,4-DEE (W3) and Metsulfuron-methyl (W5) treatments also showed improved CGR compared to the weedy check, but were slightly less effective than W6 and W4. These results underscore the importance of selecting appropriate weed control measures to optimize crop growth and productiv</w:t>
      </w:r>
      <w:r>
        <w:commentReference w:id="7"/>
      </w:r>
      <w:r>
        <w:rPr>
          <w:rFonts w:ascii="Times New Roman" w:hAnsi="Times New Roman" w:eastAsia="Times New Roman" w:cs="Times New Roman"/>
          <w:sz w:val="24"/>
          <w:szCs w:val="24"/>
          <w:lang w:eastAsia="en-GB" w:bidi="hi-IN"/>
        </w:rPr>
        <w:t>ity.</w:t>
      </w:r>
    </w:p>
    <w:p w14:paraId="21F1719E">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Table 2: </w:t>
      </w:r>
      <w:r>
        <w:rPr>
          <w:rFonts w:ascii="Times New Roman" w:hAnsi="Times New Roman" w:cs="Times New Roman"/>
          <w:b/>
          <w:bCs/>
          <w:sz w:val="24"/>
          <w:szCs w:val="24"/>
        </w:rPr>
        <w:t xml:space="preserve">Effect of date of sowing and </w:t>
      </w:r>
      <w:r>
        <w:rPr>
          <w:rFonts w:ascii="Times New Roman" w:hAnsi="Times New Roman" w:cs="Arial"/>
          <w:b/>
          <w:sz w:val="24"/>
          <w:szCs w:val="24"/>
        </w:rPr>
        <w:t>weed control measures</w:t>
      </w:r>
      <w:r>
        <w:rPr>
          <w:rFonts w:ascii="Times New Roman" w:hAnsi="Times New Roman" w:cs="Times New Roman"/>
          <w:b/>
          <w:bCs/>
          <w:sz w:val="24"/>
          <w:szCs w:val="24"/>
        </w:rPr>
        <w:t xml:space="preserve"> on </w:t>
      </w:r>
      <w:r>
        <w:rPr>
          <w:rFonts w:ascii="Times New Roman" w:hAnsi="Times New Roman" w:cs="Times New Roman"/>
          <w:b/>
          <w:sz w:val="24"/>
          <w:szCs w:val="24"/>
        </w:rPr>
        <w:t>crop growth rate (CGR) of wheat at various crop growth stages</w:t>
      </w:r>
    </w:p>
    <w:tbl>
      <w:tblPr>
        <w:tblStyle w:val="3"/>
        <w:tblW w:w="48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1" w:type="dxa"/>
          <w:bottom w:w="0" w:type="dxa"/>
          <w:right w:w="14" w:type="dxa"/>
        </w:tblCellMar>
      </w:tblPr>
      <w:tblGrid>
        <w:gridCol w:w="3340"/>
        <w:gridCol w:w="841"/>
        <w:gridCol w:w="44"/>
        <w:gridCol w:w="766"/>
        <w:gridCol w:w="127"/>
        <w:gridCol w:w="682"/>
        <w:gridCol w:w="210"/>
        <w:gridCol w:w="599"/>
        <w:gridCol w:w="292"/>
        <w:gridCol w:w="686"/>
        <w:gridCol w:w="359"/>
        <w:gridCol w:w="965"/>
      </w:tblGrid>
      <w:tr w14:paraId="67687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vMerge w:val="restart"/>
            <w:shd w:val="clear" w:color="auto" w:fill="auto"/>
            <w:vAlign w:val="center"/>
          </w:tcPr>
          <w:p w14:paraId="46A07B53">
            <w:pPr>
              <w:spacing w:after="0" w:line="240" w:lineRule="auto"/>
              <w:jc w:val="center"/>
              <w:rPr>
                <w:rFonts w:ascii="Times New Roman" w:hAnsi="Times New Roman"/>
                <w:b/>
                <w:sz w:val="24"/>
                <w:szCs w:val="24"/>
              </w:rPr>
            </w:pPr>
            <w:r>
              <w:rPr>
                <w:rFonts w:ascii="Times New Roman" w:hAnsi="Times New Roman"/>
                <w:b/>
                <w:sz w:val="24"/>
                <w:szCs w:val="24"/>
              </w:rPr>
              <w:t>Treatments</w:t>
            </w:r>
          </w:p>
        </w:tc>
        <w:tc>
          <w:tcPr>
            <w:tcW w:w="5494" w:type="dxa"/>
            <w:gridSpan w:val="11"/>
            <w:shd w:val="clear" w:color="auto" w:fill="auto"/>
            <w:vAlign w:val="center"/>
          </w:tcPr>
          <w:p w14:paraId="15A7F4D6">
            <w:pPr>
              <w:spacing w:after="0" w:line="240" w:lineRule="auto"/>
              <w:jc w:val="center"/>
              <w:rPr>
                <w:rFonts w:ascii="Times New Roman" w:hAnsi="Times New Roman"/>
                <w:b/>
                <w:sz w:val="24"/>
                <w:szCs w:val="24"/>
              </w:rPr>
            </w:pPr>
            <w:r>
              <w:rPr>
                <w:rFonts w:ascii="Times New Roman" w:hAnsi="Times New Roman" w:cs="Times New Roman"/>
                <w:b/>
                <w:sz w:val="24"/>
                <w:szCs w:val="24"/>
              </w:rPr>
              <w:t>Crop Growth Rate (g m</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day</w:t>
            </w:r>
            <w:r>
              <w:rPr>
                <w:rFonts w:ascii="Times New Roman" w:hAnsi="Times New Roman" w:cs="Times New Roman"/>
                <w:b/>
                <w:sz w:val="24"/>
                <w:szCs w:val="24"/>
                <w:vertAlign w:val="superscript"/>
              </w:rPr>
              <w:t>-1</w:t>
            </w:r>
            <w:r>
              <w:rPr>
                <w:rFonts w:ascii="Times New Roman" w:hAnsi="Times New Roman" w:cs="Times New Roman"/>
                <w:b/>
                <w:sz w:val="24"/>
                <w:szCs w:val="24"/>
              </w:rPr>
              <w:t>)</w:t>
            </w:r>
          </w:p>
        </w:tc>
      </w:tr>
      <w:tr w14:paraId="344EC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vMerge w:val="continue"/>
            <w:shd w:val="clear" w:color="auto" w:fill="auto"/>
            <w:vAlign w:val="center"/>
          </w:tcPr>
          <w:p w14:paraId="2CC72D70">
            <w:pPr>
              <w:spacing w:after="0" w:line="240" w:lineRule="auto"/>
              <w:jc w:val="center"/>
              <w:rPr>
                <w:rFonts w:ascii="Times New Roman" w:hAnsi="Times New Roman"/>
                <w:b/>
                <w:sz w:val="24"/>
                <w:szCs w:val="24"/>
              </w:rPr>
            </w:pPr>
          </w:p>
        </w:tc>
        <w:tc>
          <w:tcPr>
            <w:tcW w:w="1627" w:type="dxa"/>
            <w:gridSpan w:val="3"/>
            <w:shd w:val="clear" w:color="auto" w:fill="auto"/>
            <w:vAlign w:val="center"/>
          </w:tcPr>
          <w:p w14:paraId="7026F05C">
            <w:pPr>
              <w:spacing w:after="0" w:line="240" w:lineRule="auto"/>
              <w:jc w:val="center"/>
              <w:rPr>
                <w:rFonts w:ascii="Times New Roman" w:hAnsi="Times New Roman"/>
                <w:b/>
                <w:sz w:val="24"/>
                <w:szCs w:val="24"/>
              </w:rPr>
            </w:pPr>
            <w:r>
              <w:rPr>
                <w:rFonts w:ascii="Times New Roman" w:hAnsi="Times New Roman"/>
                <w:b/>
                <w:sz w:val="24"/>
                <w:szCs w:val="24"/>
              </w:rPr>
              <w:t>30-60 DAS</w:t>
            </w:r>
          </w:p>
        </w:tc>
        <w:tc>
          <w:tcPr>
            <w:tcW w:w="1596" w:type="dxa"/>
            <w:gridSpan w:val="4"/>
            <w:shd w:val="clear" w:color="auto" w:fill="auto"/>
            <w:vAlign w:val="center"/>
          </w:tcPr>
          <w:p w14:paraId="20DFEEFD">
            <w:pPr>
              <w:spacing w:after="0" w:line="240" w:lineRule="auto"/>
              <w:jc w:val="center"/>
              <w:rPr>
                <w:rFonts w:ascii="Times New Roman" w:hAnsi="Times New Roman"/>
                <w:b/>
                <w:sz w:val="24"/>
                <w:szCs w:val="24"/>
              </w:rPr>
            </w:pPr>
            <w:r>
              <w:rPr>
                <w:rFonts w:ascii="Times New Roman" w:hAnsi="Times New Roman"/>
                <w:b/>
                <w:sz w:val="24"/>
                <w:szCs w:val="24"/>
              </w:rPr>
              <w:t>60-90 DAS</w:t>
            </w:r>
          </w:p>
        </w:tc>
        <w:tc>
          <w:tcPr>
            <w:tcW w:w="2271" w:type="dxa"/>
            <w:gridSpan w:val="4"/>
            <w:shd w:val="clear" w:color="auto" w:fill="auto"/>
            <w:vAlign w:val="center"/>
          </w:tcPr>
          <w:p w14:paraId="49E0133C">
            <w:pPr>
              <w:spacing w:after="0" w:line="240" w:lineRule="auto"/>
              <w:jc w:val="center"/>
              <w:rPr>
                <w:rFonts w:ascii="Times New Roman" w:hAnsi="Times New Roman"/>
                <w:b/>
                <w:sz w:val="24"/>
                <w:szCs w:val="24"/>
              </w:rPr>
            </w:pPr>
            <w:r>
              <w:rPr>
                <w:rFonts w:ascii="Times New Roman" w:hAnsi="Times New Roman"/>
                <w:b/>
                <w:sz w:val="24"/>
                <w:szCs w:val="24"/>
              </w:rPr>
              <w:t>90 DAS-Harvest</w:t>
            </w:r>
          </w:p>
        </w:tc>
      </w:tr>
      <w:tr w14:paraId="78C12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vMerge w:val="continue"/>
            <w:tcBorders>
              <w:bottom w:val="single" w:color="000000" w:sz="4" w:space="0"/>
            </w:tcBorders>
            <w:shd w:val="clear" w:color="auto" w:fill="auto"/>
            <w:vAlign w:val="center"/>
          </w:tcPr>
          <w:p w14:paraId="4E6408D3">
            <w:pPr>
              <w:spacing w:after="0" w:line="240" w:lineRule="auto"/>
              <w:jc w:val="center"/>
              <w:rPr>
                <w:rFonts w:ascii="Times New Roman" w:hAnsi="Times New Roman"/>
                <w:b/>
                <w:sz w:val="24"/>
                <w:szCs w:val="24"/>
              </w:rPr>
            </w:pPr>
          </w:p>
        </w:tc>
        <w:tc>
          <w:tcPr>
            <w:tcW w:w="829" w:type="dxa"/>
            <w:tcBorders>
              <w:bottom w:val="single" w:color="000000" w:sz="4" w:space="0"/>
            </w:tcBorders>
            <w:shd w:val="clear" w:color="auto" w:fill="auto"/>
            <w:vAlign w:val="center"/>
          </w:tcPr>
          <w:p w14:paraId="6EB35420">
            <w:pPr>
              <w:spacing w:after="0" w:line="240" w:lineRule="auto"/>
              <w:jc w:val="center"/>
              <w:rPr>
                <w:rFonts w:ascii="Times New Roman" w:hAnsi="Times New Roman"/>
                <w:b/>
                <w:sz w:val="24"/>
                <w:szCs w:val="24"/>
              </w:rPr>
            </w:pPr>
            <w:r>
              <w:rPr>
                <w:rFonts w:ascii="Times New Roman" w:hAnsi="Times New Roman"/>
                <w:b/>
                <w:sz w:val="24"/>
                <w:szCs w:val="24"/>
              </w:rPr>
              <w:t>2018-19</w:t>
            </w:r>
          </w:p>
        </w:tc>
        <w:tc>
          <w:tcPr>
            <w:tcW w:w="798" w:type="dxa"/>
            <w:gridSpan w:val="2"/>
            <w:tcBorders>
              <w:bottom w:val="single" w:color="000000" w:sz="4" w:space="0"/>
            </w:tcBorders>
            <w:shd w:val="clear" w:color="auto" w:fill="auto"/>
            <w:vAlign w:val="center"/>
          </w:tcPr>
          <w:p w14:paraId="70AF48C8">
            <w:pPr>
              <w:spacing w:after="0" w:line="240" w:lineRule="auto"/>
              <w:jc w:val="center"/>
              <w:rPr>
                <w:rFonts w:ascii="Times New Roman" w:hAnsi="Times New Roman"/>
                <w:b/>
                <w:sz w:val="24"/>
                <w:szCs w:val="24"/>
              </w:rPr>
            </w:pPr>
            <w:r>
              <w:rPr>
                <w:rFonts w:ascii="Times New Roman" w:hAnsi="Times New Roman"/>
                <w:b/>
                <w:sz w:val="24"/>
                <w:szCs w:val="24"/>
              </w:rPr>
              <w:t>2019-20</w:t>
            </w:r>
          </w:p>
        </w:tc>
        <w:tc>
          <w:tcPr>
            <w:tcW w:w="798" w:type="dxa"/>
            <w:gridSpan w:val="2"/>
            <w:tcBorders>
              <w:bottom w:val="single" w:color="000000" w:sz="4" w:space="0"/>
            </w:tcBorders>
            <w:shd w:val="clear" w:color="auto" w:fill="auto"/>
            <w:vAlign w:val="center"/>
          </w:tcPr>
          <w:p w14:paraId="0F8815EC">
            <w:pPr>
              <w:spacing w:after="0" w:line="240" w:lineRule="auto"/>
              <w:jc w:val="center"/>
              <w:rPr>
                <w:rFonts w:ascii="Times New Roman" w:hAnsi="Times New Roman"/>
                <w:b/>
                <w:sz w:val="24"/>
                <w:szCs w:val="24"/>
              </w:rPr>
            </w:pPr>
            <w:r>
              <w:rPr>
                <w:rFonts w:ascii="Times New Roman" w:hAnsi="Times New Roman"/>
                <w:b/>
                <w:sz w:val="24"/>
                <w:szCs w:val="24"/>
              </w:rPr>
              <w:t>2018-19</w:t>
            </w:r>
          </w:p>
        </w:tc>
        <w:tc>
          <w:tcPr>
            <w:tcW w:w="798" w:type="dxa"/>
            <w:gridSpan w:val="2"/>
            <w:tcBorders>
              <w:bottom w:val="single" w:color="000000" w:sz="4" w:space="0"/>
            </w:tcBorders>
            <w:shd w:val="clear" w:color="auto" w:fill="auto"/>
            <w:vAlign w:val="center"/>
          </w:tcPr>
          <w:p w14:paraId="72BDBC8C">
            <w:pPr>
              <w:spacing w:after="0" w:line="240" w:lineRule="auto"/>
              <w:jc w:val="center"/>
              <w:rPr>
                <w:rFonts w:ascii="Times New Roman" w:hAnsi="Times New Roman"/>
                <w:b/>
                <w:sz w:val="24"/>
                <w:szCs w:val="24"/>
              </w:rPr>
            </w:pPr>
            <w:r>
              <w:rPr>
                <w:rFonts w:ascii="Times New Roman" w:hAnsi="Times New Roman"/>
                <w:b/>
                <w:sz w:val="24"/>
                <w:szCs w:val="24"/>
              </w:rPr>
              <w:t>2019-20</w:t>
            </w:r>
          </w:p>
        </w:tc>
        <w:tc>
          <w:tcPr>
            <w:tcW w:w="965" w:type="dxa"/>
            <w:gridSpan w:val="2"/>
            <w:tcBorders>
              <w:bottom w:val="single" w:color="000000" w:sz="4" w:space="0"/>
            </w:tcBorders>
            <w:shd w:val="clear" w:color="auto" w:fill="auto"/>
            <w:vAlign w:val="center"/>
          </w:tcPr>
          <w:p w14:paraId="73F74170">
            <w:pPr>
              <w:spacing w:after="0" w:line="240" w:lineRule="auto"/>
              <w:jc w:val="center"/>
              <w:rPr>
                <w:rFonts w:ascii="Times New Roman" w:hAnsi="Times New Roman"/>
                <w:b/>
                <w:sz w:val="24"/>
                <w:szCs w:val="24"/>
              </w:rPr>
            </w:pPr>
            <w:r>
              <w:rPr>
                <w:rFonts w:ascii="Times New Roman" w:hAnsi="Times New Roman"/>
                <w:b/>
                <w:sz w:val="24"/>
                <w:szCs w:val="24"/>
              </w:rPr>
              <w:t>2018-19</w:t>
            </w:r>
          </w:p>
        </w:tc>
        <w:tc>
          <w:tcPr>
            <w:tcW w:w="1306" w:type="dxa"/>
            <w:gridSpan w:val="2"/>
            <w:tcBorders>
              <w:bottom w:val="single" w:color="000000" w:sz="4" w:space="0"/>
            </w:tcBorders>
            <w:shd w:val="clear" w:color="auto" w:fill="auto"/>
            <w:vAlign w:val="center"/>
          </w:tcPr>
          <w:p w14:paraId="6F966C2E">
            <w:pPr>
              <w:spacing w:after="0" w:line="240" w:lineRule="auto"/>
              <w:jc w:val="center"/>
              <w:rPr>
                <w:rFonts w:ascii="Times New Roman" w:hAnsi="Times New Roman"/>
                <w:b/>
                <w:sz w:val="24"/>
                <w:szCs w:val="24"/>
              </w:rPr>
            </w:pPr>
            <w:r>
              <w:rPr>
                <w:rFonts w:ascii="Times New Roman" w:hAnsi="Times New Roman"/>
                <w:b/>
                <w:sz w:val="24"/>
                <w:szCs w:val="24"/>
              </w:rPr>
              <w:t>2019-20</w:t>
            </w:r>
          </w:p>
        </w:tc>
      </w:tr>
      <w:tr w14:paraId="31F6F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8788" w:type="dxa"/>
            <w:gridSpan w:val="12"/>
            <w:shd w:val="clear" w:color="auto" w:fill="auto"/>
            <w:vAlign w:val="center"/>
          </w:tcPr>
          <w:p w14:paraId="245D7FA7">
            <w:pPr>
              <w:spacing w:after="0" w:line="240" w:lineRule="auto"/>
              <w:rPr>
                <w:rFonts w:ascii="Times New Roman" w:hAnsi="Times New Roman"/>
                <w:sz w:val="24"/>
                <w:szCs w:val="24"/>
              </w:rPr>
            </w:pPr>
            <w:r>
              <w:rPr>
                <w:rFonts w:ascii="Times New Roman" w:hAnsi="Times New Roman"/>
                <w:b/>
                <w:sz w:val="24"/>
                <w:szCs w:val="24"/>
              </w:rPr>
              <w:t>Main Plot: Sowing dates (3)</w:t>
            </w:r>
          </w:p>
        </w:tc>
      </w:tr>
      <w:tr w14:paraId="7010F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574" w:hRule="atLeast"/>
          <w:jc w:val="center"/>
        </w:trPr>
        <w:tc>
          <w:tcPr>
            <w:tcW w:w="3294" w:type="dxa"/>
            <w:shd w:val="clear" w:color="auto" w:fill="auto"/>
            <w:vAlign w:val="center"/>
          </w:tcPr>
          <w:p w14:paraId="69F87ECC">
            <w:pPr>
              <w:spacing w:after="0" w:line="240" w:lineRule="auto"/>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vertAlign w:val="subscript"/>
              </w:rPr>
              <w:t>1</w:t>
            </w:r>
            <w:r>
              <w:rPr>
                <w:rFonts w:ascii="Times New Roman" w:hAnsi="Times New Roman"/>
                <w:b/>
                <w:bCs/>
                <w:sz w:val="24"/>
                <w:szCs w:val="24"/>
              </w:rPr>
              <w:t>:</w:t>
            </w:r>
            <w:r>
              <w:rPr>
                <w:rFonts w:ascii="Times New Roman" w:hAnsi="Times New Roman"/>
                <w:sz w:val="24"/>
                <w:szCs w:val="24"/>
              </w:rPr>
              <w:t xml:space="preserve"> 1</w:t>
            </w:r>
            <w:r>
              <w:rPr>
                <w:rFonts w:ascii="Times New Roman" w:hAnsi="Times New Roman"/>
                <w:sz w:val="24"/>
                <w:szCs w:val="24"/>
                <w:vertAlign w:val="superscript"/>
              </w:rPr>
              <w:t xml:space="preserve">st </w:t>
            </w:r>
            <w:r>
              <w:rPr>
                <w:rFonts w:ascii="Times New Roman" w:hAnsi="Times New Roman"/>
                <w:sz w:val="24"/>
                <w:szCs w:val="24"/>
              </w:rPr>
              <w:t>date of sowing (15</w:t>
            </w:r>
            <w:r>
              <w:rPr>
                <w:rFonts w:ascii="Times New Roman" w:hAnsi="Times New Roman"/>
                <w:sz w:val="24"/>
                <w:szCs w:val="24"/>
                <w:vertAlign w:val="superscript"/>
              </w:rPr>
              <w:t>th</w:t>
            </w:r>
            <w:r>
              <w:rPr>
                <w:rFonts w:ascii="Times New Roman" w:hAnsi="Times New Roman"/>
                <w:sz w:val="24"/>
                <w:szCs w:val="24"/>
              </w:rPr>
              <w:t xml:space="preserve"> Nov)</w:t>
            </w:r>
          </w:p>
        </w:tc>
        <w:tc>
          <w:tcPr>
            <w:tcW w:w="872" w:type="dxa"/>
            <w:gridSpan w:val="2"/>
            <w:shd w:val="clear" w:color="auto" w:fill="auto"/>
            <w:vAlign w:val="center"/>
          </w:tcPr>
          <w:p w14:paraId="7D253EAF">
            <w:pPr>
              <w:spacing w:after="0" w:line="240" w:lineRule="auto"/>
              <w:jc w:val="center"/>
              <w:rPr>
                <w:rFonts w:ascii="Calibri" w:hAnsi="Calibri" w:eastAsia="Times New Roman" w:cs="Calibri"/>
                <w:lang w:eastAsia="en-GB"/>
              </w:rPr>
            </w:pPr>
            <w:r>
              <w:rPr>
                <w:rFonts w:ascii="Calibri" w:hAnsi="Calibri" w:cs="Calibri"/>
              </w:rPr>
              <w:t>6.43</w:t>
            </w:r>
          </w:p>
        </w:tc>
        <w:tc>
          <w:tcPr>
            <w:tcW w:w="880" w:type="dxa"/>
            <w:gridSpan w:val="2"/>
            <w:shd w:val="clear" w:color="auto" w:fill="auto"/>
            <w:vAlign w:val="center"/>
          </w:tcPr>
          <w:p w14:paraId="18E2B2F7">
            <w:pPr>
              <w:spacing w:after="0" w:line="240" w:lineRule="auto"/>
              <w:jc w:val="center"/>
              <w:rPr>
                <w:rFonts w:ascii="Calibri" w:hAnsi="Calibri" w:eastAsia="Times New Roman" w:cs="Calibri"/>
                <w:lang w:eastAsia="en-GB"/>
              </w:rPr>
            </w:pPr>
            <w:r>
              <w:rPr>
                <w:rFonts w:ascii="Calibri" w:hAnsi="Calibri" w:cs="Calibri"/>
              </w:rPr>
              <w:t>6.57</w:t>
            </w:r>
          </w:p>
        </w:tc>
        <w:tc>
          <w:tcPr>
            <w:tcW w:w="880" w:type="dxa"/>
            <w:gridSpan w:val="2"/>
            <w:shd w:val="clear" w:color="auto" w:fill="auto"/>
            <w:vAlign w:val="center"/>
          </w:tcPr>
          <w:p w14:paraId="4BF87D14">
            <w:pPr>
              <w:spacing w:after="0" w:line="240" w:lineRule="auto"/>
              <w:jc w:val="center"/>
              <w:rPr>
                <w:rFonts w:ascii="Calibri" w:hAnsi="Calibri" w:eastAsia="Times New Roman" w:cs="Calibri"/>
                <w:lang w:eastAsia="en-GB"/>
              </w:rPr>
            </w:pPr>
            <w:r>
              <w:rPr>
                <w:rFonts w:ascii="Calibri" w:hAnsi="Calibri" w:cs="Calibri"/>
              </w:rPr>
              <w:t>25.73</w:t>
            </w:r>
          </w:p>
        </w:tc>
        <w:tc>
          <w:tcPr>
            <w:tcW w:w="879" w:type="dxa"/>
            <w:gridSpan w:val="2"/>
            <w:shd w:val="clear" w:color="auto" w:fill="auto"/>
            <w:vAlign w:val="center"/>
          </w:tcPr>
          <w:p w14:paraId="16E34FD2">
            <w:pPr>
              <w:spacing w:after="0" w:line="240" w:lineRule="auto"/>
              <w:jc w:val="center"/>
              <w:rPr>
                <w:rFonts w:ascii="Calibri" w:hAnsi="Calibri" w:eastAsia="Times New Roman" w:cs="Calibri"/>
                <w:lang w:eastAsia="en-GB"/>
              </w:rPr>
            </w:pPr>
            <w:r>
              <w:rPr>
                <w:rFonts w:ascii="Calibri" w:hAnsi="Calibri" w:cs="Calibri"/>
              </w:rPr>
              <w:t>25.91</w:t>
            </w:r>
          </w:p>
        </w:tc>
        <w:tc>
          <w:tcPr>
            <w:tcW w:w="1031" w:type="dxa"/>
            <w:gridSpan w:val="2"/>
            <w:shd w:val="clear" w:color="auto" w:fill="auto"/>
            <w:vAlign w:val="center"/>
          </w:tcPr>
          <w:p w14:paraId="2979DFD1">
            <w:pPr>
              <w:spacing w:after="0" w:line="240" w:lineRule="auto"/>
              <w:jc w:val="center"/>
              <w:rPr>
                <w:rFonts w:ascii="Calibri" w:hAnsi="Calibri" w:eastAsia="Times New Roman" w:cs="Calibri"/>
                <w:lang w:eastAsia="en-GB"/>
              </w:rPr>
            </w:pPr>
            <w:r>
              <w:rPr>
                <w:rFonts w:ascii="Calibri" w:hAnsi="Calibri" w:cs="Calibri"/>
              </w:rPr>
              <w:t>2.50</w:t>
            </w:r>
          </w:p>
        </w:tc>
        <w:tc>
          <w:tcPr>
            <w:tcW w:w="952" w:type="dxa"/>
            <w:shd w:val="clear" w:color="auto" w:fill="auto"/>
            <w:vAlign w:val="center"/>
          </w:tcPr>
          <w:p w14:paraId="438C1511">
            <w:pPr>
              <w:spacing w:after="0" w:line="240" w:lineRule="auto"/>
              <w:jc w:val="center"/>
              <w:rPr>
                <w:rFonts w:ascii="Calibri" w:hAnsi="Calibri" w:cs="Calibri"/>
              </w:rPr>
            </w:pPr>
            <w:r>
              <w:rPr>
                <w:rFonts w:ascii="Calibri" w:hAnsi="Calibri" w:cs="Calibri"/>
              </w:rPr>
              <w:t>2.46</w:t>
            </w:r>
          </w:p>
        </w:tc>
      </w:tr>
      <w:tr w14:paraId="16ADC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shd w:val="clear" w:color="auto" w:fill="auto"/>
            <w:vAlign w:val="center"/>
          </w:tcPr>
          <w:p w14:paraId="55501844">
            <w:pPr>
              <w:spacing w:after="0" w:line="240" w:lineRule="auto"/>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vertAlign w:val="subscript"/>
              </w:rPr>
              <w:t>2</w:t>
            </w:r>
            <w:r>
              <w:rPr>
                <w:rFonts w:ascii="Times New Roman" w:hAnsi="Times New Roman"/>
                <w:b/>
                <w:bCs/>
                <w:sz w:val="24"/>
                <w:szCs w:val="24"/>
              </w:rPr>
              <w:t>:</w:t>
            </w:r>
            <w:r>
              <w:rPr>
                <w:rFonts w:ascii="Times New Roman" w:hAnsi="Times New Roman"/>
                <w:sz w:val="24"/>
                <w:szCs w:val="24"/>
              </w:rPr>
              <w:t xml:space="preserve"> 2</w:t>
            </w:r>
            <w:r>
              <w:rPr>
                <w:rFonts w:ascii="Times New Roman" w:hAnsi="Times New Roman"/>
                <w:sz w:val="24"/>
                <w:szCs w:val="24"/>
                <w:vertAlign w:val="superscript"/>
              </w:rPr>
              <w:t xml:space="preserve">nd </w:t>
            </w:r>
            <w:r>
              <w:rPr>
                <w:rFonts w:ascii="Times New Roman" w:hAnsi="Times New Roman"/>
                <w:sz w:val="24"/>
                <w:szCs w:val="24"/>
              </w:rPr>
              <w:t>date of sowing (30</w:t>
            </w:r>
            <w:r>
              <w:rPr>
                <w:rFonts w:ascii="Times New Roman" w:hAnsi="Times New Roman"/>
                <w:sz w:val="24"/>
                <w:szCs w:val="24"/>
                <w:vertAlign w:val="superscript"/>
              </w:rPr>
              <w:t>th</w:t>
            </w:r>
            <w:r>
              <w:rPr>
                <w:rFonts w:ascii="Times New Roman" w:hAnsi="Times New Roman"/>
                <w:sz w:val="24"/>
                <w:szCs w:val="24"/>
              </w:rPr>
              <w:t xml:space="preserve"> Nov)</w:t>
            </w:r>
          </w:p>
        </w:tc>
        <w:tc>
          <w:tcPr>
            <w:tcW w:w="872" w:type="dxa"/>
            <w:gridSpan w:val="2"/>
            <w:shd w:val="clear" w:color="auto" w:fill="auto"/>
            <w:vAlign w:val="center"/>
          </w:tcPr>
          <w:p w14:paraId="7CBFD007">
            <w:pPr>
              <w:spacing w:after="0" w:line="240" w:lineRule="auto"/>
              <w:jc w:val="center"/>
              <w:rPr>
                <w:rFonts w:ascii="Calibri" w:hAnsi="Calibri" w:cs="Calibri"/>
              </w:rPr>
            </w:pPr>
            <w:r>
              <w:rPr>
                <w:rFonts w:ascii="Calibri" w:hAnsi="Calibri" w:cs="Calibri"/>
              </w:rPr>
              <w:t>6.13</w:t>
            </w:r>
          </w:p>
        </w:tc>
        <w:tc>
          <w:tcPr>
            <w:tcW w:w="880" w:type="dxa"/>
            <w:gridSpan w:val="2"/>
            <w:shd w:val="clear" w:color="auto" w:fill="auto"/>
            <w:vAlign w:val="center"/>
          </w:tcPr>
          <w:p w14:paraId="659C88E3">
            <w:pPr>
              <w:spacing w:after="0" w:line="240" w:lineRule="auto"/>
              <w:jc w:val="center"/>
              <w:rPr>
                <w:rFonts w:ascii="Calibri" w:hAnsi="Calibri" w:cs="Calibri"/>
              </w:rPr>
            </w:pPr>
            <w:r>
              <w:rPr>
                <w:rFonts w:ascii="Calibri" w:hAnsi="Calibri" w:cs="Calibri"/>
              </w:rPr>
              <w:t>6.31</w:t>
            </w:r>
          </w:p>
        </w:tc>
        <w:tc>
          <w:tcPr>
            <w:tcW w:w="880" w:type="dxa"/>
            <w:gridSpan w:val="2"/>
            <w:shd w:val="clear" w:color="auto" w:fill="auto"/>
            <w:vAlign w:val="center"/>
          </w:tcPr>
          <w:p w14:paraId="413C5F7B">
            <w:pPr>
              <w:spacing w:after="0" w:line="240" w:lineRule="auto"/>
              <w:jc w:val="center"/>
              <w:rPr>
                <w:rFonts w:ascii="Calibri" w:hAnsi="Calibri" w:cs="Calibri"/>
              </w:rPr>
            </w:pPr>
            <w:r>
              <w:rPr>
                <w:rFonts w:ascii="Calibri" w:hAnsi="Calibri" w:cs="Calibri"/>
              </w:rPr>
              <w:t>24.16</w:t>
            </w:r>
          </w:p>
        </w:tc>
        <w:tc>
          <w:tcPr>
            <w:tcW w:w="879" w:type="dxa"/>
            <w:gridSpan w:val="2"/>
            <w:shd w:val="clear" w:color="auto" w:fill="auto"/>
            <w:vAlign w:val="center"/>
          </w:tcPr>
          <w:p w14:paraId="4427C48E">
            <w:pPr>
              <w:spacing w:after="0" w:line="240" w:lineRule="auto"/>
              <w:jc w:val="center"/>
              <w:rPr>
                <w:rFonts w:ascii="Calibri" w:hAnsi="Calibri" w:cs="Calibri"/>
              </w:rPr>
            </w:pPr>
            <w:r>
              <w:rPr>
                <w:rFonts w:ascii="Calibri" w:hAnsi="Calibri" w:cs="Calibri"/>
              </w:rPr>
              <w:t>24.80</w:t>
            </w:r>
          </w:p>
        </w:tc>
        <w:tc>
          <w:tcPr>
            <w:tcW w:w="1031" w:type="dxa"/>
            <w:gridSpan w:val="2"/>
            <w:shd w:val="clear" w:color="auto" w:fill="auto"/>
            <w:vAlign w:val="center"/>
          </w:tcPr>
          <w:p w14:paraId="44AC5161">
            <w:pPr>
              <w:spacing w:after="0" w:line="240" w:lineRule="auto"/>
              <w:jc w:val="center"/>
              <w:rPr>
                <w:rFonts w:ascii="Calibri" w:hAnsi="Calibri" w:cs="Calibri"/>
              </w:rPr>
            </w:pPr>
            <w:r>
              <w:rPr>
                <w:rFonts w:ascii="Calibri" w:hAnsi="Calibri" w:cs="Calibri"/>
              </w:rPr>
              <w:t>2.45</w:t>
            </w:r>
          </w:p>
        </w:tc>
        <w:tc>
          <w:tcPr>
            <w:tcW w:w="952" w:type="dxa"/>
            <w:shd w:val="clear" w:color="auto" w:fill="auto"/>
            <w:vAlign w:val="center"/>
          </w:tcPr>
          <w:p w14:paraId="21BACF41">
            <w:pPr>
              <w:spacing w:after="0" w:line="240" w:lineRule="auto"/>
              <w:jc w:val="center"/>
              <w:rPr>
                <w:rFonts w:ascii="Calibri" w:hAnsi="Calibri" w:cs="Calibri"/>
              </w:rPr>
            </w:pPr>
            <w:r>
              <w:rPr>
                <w:rFonts w:ascii="Calibri" w:hAnsi="Calibri" w:cs="Calibri"/>
              </w:rPr>
              <w:t>2.03</w:t>
            </w:r>
          </w:p>
        </w:tc>
      </w:tr>
      <w:tr w14:paraId="7E986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shd w:val="clear" w:color="auto" w:fill="auto"/>
            <w:vAlign w:val="center"/>
          </w:tcPr>
          <w:p w14:paraId="230623C8">
            <w:pPr>
              <w:spacing w:after="0" w:line="240" w:lineRule="auto"/>
              <w:rPr>
                <w:rFonts w:ascii="Times New Roman" w:hAnsi="Times New Roman"/>
                <w:b/>
                <w:bCs/>
                <w:sz w:val="24"/>
                <w:szCs w:val="24"/>
                <w:vertAlign w:val="superscript"/>
              </w:rPr>
            </w:pPr>
            <w:r>
              <w:rPr>
                <w:rFonts w:ascii="Times New Roman" w:hAnsi="Times New Roman"/>
                <w:b/>
                <w:bCs/>
                <w:sz w:val="24"/>
                <w:szCs w:val="24"/>
              </w:rPr>
              <w:t>D</w:t>
            </w:r>
            <w:r>
              <w:rPr>
                <w:rFonts w:ascii="Times New Roman" w:hAnsi="Times New Roman"/>
                <w:b/>
                <w:bCs/>
                <w:sz w:val="24"/>
                <w:szCs w:val="24"/>
                <w:vertAlign w:val="subscript"/>
              </w:rPr>
              <w:t>3</w:t>
            </w:r>
            <w:r>
              <w:rPr>
                <w:rFonts w:ascii="Times New Roman" w:hAnsi="Times New Roman"/>
                <w:b/>
                <w:bCs/>
                <w:sz w:val="24"/>
                <w:szCs w:val="24"/>
              </w:rPr>
              <w:t>:</w:t>
            </w:r>
            <w:r>
              <w:rPr>
                <w:rFonts w:ascii="Times New Roman" w:hAnsi="Times New Roman"/>
                <w:sz w:val="24"/>
                <w:szCs w:val="24"/>
              </w:rPr>
              <w:t xml:space="preserve"> 3</w:t>
            </w:r>
            <w:r>
              <w:rPr>
                <w:rFonts w:ascii="Times New Roman" w:hAnsi="Times New Roman"/>
                <w:sz w:val="24"/>
                <w:szCs w:val="24"/>
                <w:vertAlign w:val="superscript"/>
              </w:rPr>
              <w:t xml:space="preserve">rd </w:t>
            </w:r>
            <w:r>
              <w:rPr>
                <w:rFonts w:ascii="Times New Roman" w:hAnsi="Times New Roman"/>
                <w:sz w:val="24"/>
                <w:szCs w:val="24"/>
              </w:rPr>
              <w:t>date of sowing (15</w:t>
            </w:r>
            <w:r>
              <w:rPr>
                <w:rFonts w:ascii="Times New Roman" w:hAnsi="Times New Roman"/>
                <w:sz w:val="24"/>
                <w:szCs w:val="24"/>
                <w:vertAlign w:val="superscript"/>
              </w:rPr>
              <w:t>th</w:t>
            </w:r>
            <w:r>
              <w:rPr>
                <w:rFonts w:ascii="Times New Roman" w:hAnsi="Times New Roman"/>
                <w:sz w:val="24"/>
                <w:szCs w:val="24"/>
              </w:rPr>
              <w:t xml:space="preserve"> Dec)</w:t>
            </w:r>
          </w:p>
        </w:tc>
        <w:tc>
          <w:tcPr>
            <w:tcW w:w="872" w:type="dxa"/>
            <w:gridSpan w:val="2"/>
            <w:shd w:val="clear" w:color="auto" w:fill="auto"/>
            <w:vAlign w:val="center"/>
          </w:tcPr>
          <w:p w14:paraId="3D9779C3">
            <w:pPr>
              <w:spacing w:after="0" w:line="240" w:lineRule="auto"/>
              <w:jc w:val="center"/>
              <w:rPr>
                <w:rFonts w:ascii="Calibri" w:hAnsi="Calibri" w:cs="Calibri"/>
              </w:rPr>
            </w:pPr>
            <w:r>
              <w:rPr>
                <w:rFonts w:ascii="Calibri" w:hAnsi="Calibri" w:cs="Calibri"/>
              </w:rPr>
              <w:t>5.61</w:t>
            </w:r>
          </w:p>
        </w:tc>
        <w:tc>
          <w:tcPr>
            <w:tcW w:w="880" w:type="dxa"/>
            <w:gridSpan w:val="2"/>
            <w:shd w:val="clear" w:color="auto" w:fill="auto"/>
            <w:vAlign w:val="center"/>
          </w:tcPr>
          <w:p w14:paraId="7726F9F7">
            <w:pPr>
              <w:spacing w:after="0" w:line="240" w:lineRule="auto"/>
              <w:jc w:val="center"/>
              <w:rPr>
                <w:rFonts w:ascii="Calibri" w:hAnsi="Calibri" w:cs="Calibri"/>
              </w:rPr>
            </w:pPr>
            <w:r>
              <w:rPr>
                <w:rFonts w:ascii="Calibri" w:hAnsi="Calibri" w:cs="Calibri"/>
              </w:rPr>
              <w:t>5.75</w:t>
            </w:r>
          </w:p>
        </w:tc>
        <w:tc>
          <w:tcPr>
            <w:tcW w:w="880" w:type="dxa"/>
            <w:gridSpan w:val="2"/>
            <w:shd w:val="clear" w:color="auto" w:fill="auto"/>
            <w:vAlign w:val="center"/>
          </w:tcPr>
          <w:p w14:paraId="2D50678D">
            <w:pPr>
              <w:spacing w:after="0" w:line="240" w:lineRule="auto"/>
              <w:jc w:val="center"/>
              <w:rPr>
                <w:rFonts w:ascii="Calibri" w:hAnsi="Calibri" w:cs="Calibri"/>
              </w:rPr>
            </w:pPr>
            <w:r>
              <w:rPr>
                <w:rFonts w:ascii="Calibri" w:hAnsi="Calibri" w:cs="Calibri"/>
              </w:rPr>
              <w:t>21.79</w:t>
            </w:r>
          </w:p>
        </w:tc>
        <w:tc>
          <w:tcPr>
            <w:tcW w:w="879" w:type="dxa"/>
            <w:gridSpan w:val="2"/>
            <w:shd w:val="clear" w:color="auto" w:fill="auto"/>
            <w:vAlign w:val="center"/>
          </w:tcPr>
          <w:p w14:paraId="00A15894">
            <w:pPr>
              <w:spacing w:after="0" w:line="240" w:lineRule="auto"/>
              <w:jc w:val="center"/>
              <w:rPr>
                <w:rFonts w:ascii="Calibri" w:hAnsi="Calibri" w:cs="Calibri"/>
              </w:rPr>
            </w:pPr>
            <w:r>
              <w:rPr>
                <w:rFonts w:ascii="Calibri" w:hAnsi="Calibri" w:cs="Calibri"/>
              </w:rPr>
              <w:t>22.63</w:t>
            </w:r>
          </w:p>
        </w:tc>
        <w:tc>
          <w:tcPr>
            <w:tcW w:w="1031" w:type="dxa"/>
            <w:gridSpan w:val="2"/>
            <w:shd w:val="clear" w:color="auto" w:fill="auto"/>
            <w:vAlign w:val="center"/>
          </w:tcPr>
          <w:p w14:paraId="48CFDCC3">
            <w:pPr>
              <w:spacing w:after="0" w:line="240" w:lineRule="auto"/>
              <w:jc w:val="center"/>
              <w:rPr>
                <w:rFonts w:ascii="Calibri" w:hAnsi="Calibri" w:cs="Calibri"/>
              </w:rPr>
            </w:pPr>
            <w:r>
              <w:rPr>
                <w:rFonts w:ascii="Calibri" w:hAnsi="Calibri" w:cs="Calibri"/>
              </w:rPr>
              <w:t>2.12</w:t>
            </w:r>
          </w:p>
        </w:tc>
        <w:tc>
          <w:tcPr>
            <w:tcW w:w="952" w:type="dxa"/>
            <w:shd w:val="clear" w:color="auto" w:fill="auto"/>
            <w:vAlign w:val="center"/>
          </w:tcPr>
          <w:p w14:paraId="69550B1E">
            <w:pPr>
              <w:spacing w:after="0" w:line="240" w:lineRule="auto"/>
              <w:jc w:val="center"/>
              <w:rPr>
                <w:rFonts w:ascii="Calibri" w:hAnsi="Calibri" w:cs="Calibri"/>
              </w:rPr>
            </w:pPr>
            <w:r>
              <w:rPr>
                <w:rFonts w:ascii="Calibri" w:hAnsi="Calibri" w:cs="Calibri"/>
              </w:rPr>
              <w:t>1.75</w:t>
            </w:r>
          </w:p>
        </w:tc>
      </w:tr>
      <w:tr w14:paraId="15DBE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shd w:val="clear" w:color="auto" w:fill="auto"/>
            <w:vAlign w:val="center"/>
          </w:tcPr>
          <w:p w14:paraId="36C96F8E">
            <w:pPr>
              <w:spacing w:after="0" w:line="240" w:lineRule="auto"/>
              <w:rPr>
                <w:rFonts w:ascii="Times New Roman" w:hAnsi="Times New Roman"/>
                <w:sz w:val="24"/>
                <w:szCs w:val="24"/>
              </w:rPr>
            </w:pPr>
            <w:r>
              <w:rPr>
                <w:rFonts w:ascii="Times New Roman" w:hAnsi="Times New Roman"/>
                <w:sz w:val="24"/>
                <w:szCs w:val="24"/>
              </w:rPr>
              <w:t>SEm ±</w:t>
            </w:r>
          </w:p>
        </w:tc>
        <w:tc>
          <w:tcPr>
            <w:tcW w:w="872" w:type="dxa"/>
            <w:gridSpan w:val="2"/>
            <w:shd w:val="clear" w:color="auto" w:fill="auto"/>
            <w:vAlign w:val="center"/>
          </w:tcPr>
          <w:p w14:paraId="68C96FED">
            <w:pPr>
              <w:spacing w:after="0" w:line="240" w:lineRule="auto"/>
              <w:jc w:val="center"/>
              <w:rPr>
                <w:rFonts w:ascii="Calibri" w:hAnsi="Calibri" w:eastAsia="Times New Roman" w:cs="Calibri"/>
                <w:lang w:eastAsia="en-GB"/>
              </w:rPr>
            </w:pPr>
            <w:r>
              <w:rPr>
                <w:rFonts w:ascii="Calibri" w:hAnsi="Calibri" w:cs="Calibri"/>
              </w:rPr>
              <w:t>0.09</w:t>
            </w:r>
          </w:p>
        </w:tc>
        <w:tc>
          <w:tcPr>
            <w:tcW w:w="880" w:type="dxa"/>
            <w:gridSpan w:val="2"/>
            <w:shd w:val="clear" w:color="auto" w:fill="auto"/>
            <w:vAlign w:val="center"/>
          </w:tcPr>
          <w:p w14:paraId="12D7D308">
            <w:pPr>
              <w:spacing w:after="0" w:line="240" w:lineRule="auto"/>
              <w:jc w:val="center"/>
              <w:rPr>
                <w:rFonts w:ascii="Calibri" w:hAnsi="Calibri" w:eastAsia="Times New Roman" w:cs="Calibri"/>
                <w:lang w:eastAsia="en-GB"/>
              </w:rPr>
            </w:pPr>
            <w:r>
              <w:rPr>
                <w:rFonts w:ascii="Calibri" w:hAnsi="Calibri" w:cs="Calibri"/>
              </w:rPr>
              <w:t>0.09</w:t>
            </w:r>
          </w:p>
        </w:tc>
        <w:tc>
          <w:tcPr>
            <w:tcW w:w="880" w:type="dxa"/>
            <w:gridSpan w:val="2"/>
            <w:shd w:val="clear" w:color="auto" w:fill="auto"/>
            <w:vAlign w:val="center"/>
          </w:tcPr>
          <w:p w14:paraId="7CC79E03">
            <w:pPr>
              <w:spacing w:after="0" w:line="240" w:lineRule="auto"/>
              <w:jc w:val="center"/>
              <w:rPr>
                <w:rFonts w:ascii="Calibri" w:hAnsi="Calibri" w:eastAsia="Times New Roman" w:cs="Calibri"/>
                <w:lang w:eastAsia="en-GB"/>
              </w:rPr>
            </w:pPr>
            <w:r>
              <w:rPr>
                <w:rFonts w:ascii="Calibri" w:hAnsi="Calibri" w:cs="Calibri"/>
              </w:rPr>
              <w:t>0.36</w:t>
            </w:r>
          </w:p>
        </w:tc>
        <w:tc>
          <w:tcPr>
            <w:tcW w:w="879" w:type="dxa"/>
            <w:gridSpan w:val="2"/>
            <w:shd w:val="clear" w:color="auto" w:fill="auto"/>
            <w:vAlign w:val="center"/>
          </w:tcPr>
          <w:p w14:paraId="1105DD91">
            <w:pPr>
              <w:spacing w:after="0" w:line="240" w:lineRule="auto"/>
              <w:jc w:val="center"/>
              <w:rPr>
                <w:rFonts w:ascii="Calibri" w:hAnsi="Calibri" w:eastAsia="Times New Roman" w:cs="Calibri"/>
                <w:lang w:eastAsia="en-GB"/>
              </w:rPr>
            </w:pPr>
            <w:r>
              <w:rPr>
                <w:rFonts w:ascii="Calibri" w:hAnsi="Calibri" w:cs="Calibri"/>
              </w:rPr>
              <w:t>0.36</w:t>
            </w:r>
          </w:p>
        </w:tc>
        <w:tc>
          <w:tcPr>
            <w:tcW w:w="1031" w:type="dxa"/>
            <w:gridSpan w:val="2"/>
            <w:shd w:val="clear" w:color="auto" w:fill="auto"/>
            <w:vAlign w:val="center"/>
          </w:tcPr>
          <w:p w14:paraId="2911BC8C">
            <w:pPr>
              <w:spacing w:after="0" w:line="240" w:lineRule="auto"/>
              <w:jc w:val="center"/>
              <w:rPr>
                <w:rFonts w:ascii="Calibri" w:hAnsi="Calibri" w:eastAsia="Times New Roman" w:cs="Calibri"/>
                <w:lang w:eastAsia="en-GB"/>
              </w:rPr>
            </w:pPr>
            <w:r>
              <w:rPr>
                <w:rFonts w:ascii="Calibri" w:hAnsi="Calibri" w:eastAsia="Times New Roman" w:cs="Calibri"/>
                <w:lang w:eastAsia="en-GB"/>
              </w:rPr>
              <w:t>0.04</w:t>
            </w:r>
          </w:p>
        </w:tc>
        <w:tc>
          <w:tcPr>
            <w:tcW w:w="952" w:type="dxa"/>
            <w:shd w:val="clear" w:color="auto" w:fill="auto"/>
            <w:vAlign w:val="center"/>
          </w:tcPr>
          <w:p w14:paraId="287B1B88">
            <w:pPr>
              <w:spacing w:after="0" w:line="240" w:lineRule="auto"/>
              <w:jc w:val="center"/>
              <w:rPr>
                <w:rFonts w:ascii="Calibri" w:hAnsi="Calibri" w:eastAsia="Times New Roman" w:cs="Calibri"/>
                <w:lang w:eastAsia="en-GB"/>
              </w:rPr>
            </w:pPr>
            <w:r>
              <w:rPr>
                <w:rFonts w:ascii="Calibri" w:hAnsi="Calibri" w:eastAsia="Times New Roman" w:cs="Calibri"/>
                <w:lang w:eastAsia="en-GB"/>
              </w:rPr>
              <w:t>0.03</w:t>
            </w:r>
          </w:p>
        </w:tc>
      </w:tr>
      <w:tr w14:paraId="2C5A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shd w:val="clear" w:color="auto" w:fill="auto"/>
            <w:vAlign w:val="center"/>
          </w:tcPr>
          <w:p w14:paraId="3137D5F6">
            <w:pPr>
              <w:spacing w:after="0" w:line="240" w:lineRule="auto"/>
              <w:rPr>
                <w:rFonts w:ascii="Times New Roman" w:hAnsi="Times New Roman"/>
                <w:sz w:val="24"/>
                <w:szCs w:val="24"/>
              </w:rPr>
            </w:pPr>
            <w:r>
              <w:rPr>
                <w:rFonts w:ascii="Times New Roman" w:hAnsi="Times New Roman"/>
                <w:sz w:val="24"/>
                <w:szCs w:val="24"/>
              </w:rPr>
              <w:t>CD (</w:t>
            </w:r>
            <w:r>
              <w:rPr>
                <w:rFonts w:ascii="Times New Roman" w:hAnsi="Times New Roman"/>
                <w:i/>
                <w:sz w:val="24"/>
                <w:szCs w:val="24"/>
              </w:rPr>
              <w:t>p=0.05</w:t>
            </w:r>
            <w:r>
              <w:rPr>
                <w:rFonts w:ascii="Times New Roman" w:hAnsi="Times New Roman"/>
                <w:sz w:val="24"/>
                <w:szCs w:val="24"/>
              </w:rPr>
              <w:t>)</w:t>
            </w:r>
          </w:p>
        </w:tc>
        <w:tc>
          <w:tcPr>
            <w:tcW w:w="872" w:type="dxa"/>
            <w:gridSpan w:val="2"/>
            <w:shd w:val="clear" w:color="auto" w:fill="auto"/>
            <w:vAlign w:val="center"/>
          </w:tcPr>
          <w:p w14:paraId="4618191B">
            <w:pPr>
              <w:spacing w:after="0" w:line="240" w:lineRule="auto"/>
              <w:jc w:val="center"/>
              <w:rPr>
                <w:rFonts w:ascii="Calibri" w:hAnsi="Calibri" w:cs="Calibri"/>
              </w:rPr>
            </w:pPr>
            <w:r>
              <w:rPr>
                <w:rFonts w:ascii="Calibri" w:hAnsi="Calibri" w:cs="Calibri"/>
              </w:rPr>
              <w:t>0.28</w:t>
            </w:r>
          </w:p>
        </w:tc>
        <w:tc>
          <w:tcPr>
            <w:tcW w:w="880" w:type="dxa"/>
            <w:gridSpan w:val="2"/>
            <w:shd w:val="clear" w:color="auto" w:fill="auto"/>
            <w:vAlign w:val="center"/>
          </w:tcPr>
          <w:p w14:paraId="2587F960">
            <w:pPr>
              <w:spacing w:after="0" w:line="240" w:lineRule="auto"/>
              <w:jc w:val="center"/>
              <w:rPr>
                <w:rFonts w:ascii="Calibri" w:hAnsi="Calibri" w:cs="Calibri"/>
              </w:rPr>
            </w:pPr>
            <w:r>
              <w:rPr>
                <w:rFonts w:ascii="Calibri" w:hAnsi="Calibri" w:cs="Calibri"/>
              </w:rPr>
              <w:t>0.27</w:t>
            </w:r>
          </w:p>
        </w:tc>
        <w:tc>
          <w:tcPr>
            <w:tcW w:w="880" w:type="dxa"/>
            <w:gridSpan w:val="2"/>
            <w:shd w:val="clear" w:color="auto" w:fill="auto"/>
            <w:vAlign w:val="center"/>
          </w:tcPr>
          <w:p w14:paraId="6C76A62C">
            <w:pPr>
              <w:spacing w:after="0" w:line="240" w:lineRule="auto"/>
              <w:jc w:val="center"/>
              <w:rPr>
                <w:rFonts w:ascii="Calibri" w:hAnsi="Calibri" w:cs="Calibri"/>
              </w:rPr>
            </w:pPr>
            <w:r>
              <w:rPr>
                <w:rFonts w:ascii="Calibri" w:hAnsi="Calibri" w:cs="Calibri"/>
              </w:rPr>
              <w:t>1.10</w:t>
            </w:r>
          </w:p>
        </w:tc>
        <w:tc>
          <w:tcPr>
            <w:tcW w:w="879" w:type="dxa"/>
            <w:gridSpan w:val="2"/>
            <w:shd w:val="clear" w:color="auto" w:fill="auto"/>
            <w:vAlign w:val="center"/>
          </w:tcPr>
          <w:p w14:paraId="1ED1DF12">
            <w:pPr>
              <w:spacing w:after="0" w:line="240" w:lineRule="auto"/>
              <w:jc w:val="center"/>
              <w:rPr>
                <w:rFonts w:ascii="Calibri" w:hAnsi="Calibri" w:cs="Calibri"/>
              </w:rPr>
            </w:pPr>
            <w:r>
              <w:rPr>
                <w:rFonts w:ascii="Calibri" w:hAnsi="Calibri" w:cs="Calibri"/>
              </w:rPr>
              <w:t>1.08</w:t>
            </w:r>
          </w:p>
        </w:tc>
        <w:tc>
          <w:tcPr>
            <w:tcW w:w="1031" w:type="dxa"/>
            <w:gridSpan w:val="2"/>
            <w:shd w:val="clear" w:color="auto" w:fill="auto"/>
            <w:vAlign w:val="center"/>
          </w:tcPr>
          <w:p w14:paraId="74677D64">
            <w:pPr>
              <w:spacing w:after="0" w:line="240" w:lineRule="auto"/>
              <w:jc w:val="center"/>
              <w:rPr>
                <w:rFonts w:ascii="Calibri" w:hAnsi="Calibri" w:eastAsia="Times New Roman" w:cs="Calibri"/>
                <w:lang w:eastAsia="en-GB"/>
              </w:rPr>
            </w:pPr>
            <w:r>
              <w:rPr>
                <w:rFonts w:ascii="Calibri" w:hAnsi="Calibri" w:cs="Calibri"/>
              </w:rPr>
              <w:t>0.12</w:t>
            </w:r>
          </w:p>
        </w:tc>
        <w:tc>
          <w:tcPr>
            <w:tcW w:w="952" w:type="dxa"/>
            <w:shd w:val="clear" w:color="auto" w:fill="auto"/>
            <w:vAlign w:val="center"/>
          </w:tcPr>
          <w:p w14:paraId="41426CF3">
            <w:pPr>
              <w:spacing w:after="0" w:line="240" w:lineRule="auto"/>
              <w:jc w:val="center"/>
              <w:rPr>
                <w:rFonts w:ascii="Calibri" w:hAnsi="Calibri" w:cs="Calibri"/>
              </w:rPr>
            </w:pPr>
            <w:r>
              <w:rPr>
                <w:rFonts w:ascii="Calibri" w:hAnsi="Calibri" w:cs="Calibri"/>
              </w:rPr>
              <w:t>0.10</w:t>
            </w:r>
          </w:p>
        </w:tc>
      </w:tr>
      <w:tr w14:paraId="2DF34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8788" w:type="dxa"/>
            <w:gridSpan w:val="12"/>
            <w:shd w:val="clear" w:color="auto" w:fill="auto"/>
            <w:vAlign w:val="center"/>
          </w:tcPr>
          <w:p w14:paraId="25A45F93">
            <w:pPr>
              <w:spacing w:after="0" w:line="240" w:lineRule="auto"/>
              <w:jc w:val="center"/>
              <w:rPr>
                <w:rFonts w:ascii="Times New Roman" w:hAnsi="Times New Roman"/>
                <w:b/>
                <w:sz w:val="24"/>
                <w:szCs w:val="24"/>
              </w:rPr>
            </w:pPr>
            <w:r>
              <w:rPr>
                <w:rFonts w:ascii="Times New Roman" w:hAnsi="Times New Roman"/>
                <w:b/>
                <w:sz w:val="24"/>
                <w:szCs w:val="24"/>
              </w:rPr>
              <w:t>Sub Plot: Weed control measures (6)</w:t>
            </w:r>
          </w:p>
        </w:tc>
      </w:tr>
      <w:tr w14:paraId="35E9F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shd w:val="clear" w:color="auto" w:fill="auto"/>
            <w:vAlign w:val="center"/>
          </w:tcPr>
          <w:p w14:paraId="6A2ED4AA">
            <w:pPr>
              <w:spacing w:after="0" w:line="240" w:lineRule="auto"/>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1</w:t>
            </w:r>
            <w:r>
              <w:rPr>
                <w:rFonts w:ascii="Times New Roman" w:hAnsi="Times New Roman"/>
                <w:b/>
                <w:bCs/>
                <w:sz w:val="24"/>
                <w:szCs w:val="24"/>
              </w:rPr>
              <w:t xml:space="preserve">: </w:t>
            </w:r>
            <w:r>
              <w:rPr>
                <w:rFonts w:ascii="Times New Roman" w:hAnsi="Times New Roman"/>
                <w:bCs/>
                <w:sz w:val="24"/>
                <w:szCs w:val="24"/>
              </w:rPr>
              <w:t>Weedy check</w:t>
            </w:r>
          </w:p>
        </w:tc>
        <w:tc>
          <w:tcPr>
            <w:tcW w:w="872" w:type="dxa"/>
            <w:gridSpan w:val="2"/>
            <w:shd w:val="clear" w:color="auto" w:fill="auto"/>
            <w:vAlign w:val="center"/>
          </w:tcPr>
          <w:p w14:paraId="21A16264">
            <w:pPr>
              <w:spacing w:after="0" w:line="240" w:lineRule="auto"/>
              <w:jc w:val="center"/>
              <w:rPr>
                <w:rFonts w:ascii="Calibri" w:hAnsi="Calibri" w:eastAsia="Times New Roman" w:cs="Calibri"/>
                <w:lang w:eastAsia="en-GB"/>
              </w:rPr>
            </w:pPr>
            <w:r>
              <w:rPr>
                <w:rFonts w:ascii="Calibri" w:hAnsi="Calibri" w:cs="Calibri"/>
              </w:rPr>
              <w:t>4.58</w:t>
            </w:r>
          </w:p>
        </w:tc>
        <w:tc>
          <w:tcPr>
            <w:tcW w:w="880" w:type="dxa"/>
            <w:gridSpan w:val="2"/>
            <w:shd w:val="clear" w:color="auto" w:fill="auto"/>
            <w:vAlign w:val="center"/>
          </w:tcPr>
          <w:p w14:paraId="474847A1">
            <w:pPr>
              <w:spacing w:after="0" w:line="240" w:lineRule="auto"/>
              <w:jc w:val="center"/>
              <w:rPr>
                <w:rFonts w:ascii="Calibri" w:hAnsi="Calibri" w:eastAsia="Times New Roman" w:cs="Calibri"/>
                <w:lang w:eastAsia="en-GB"/>
              </w:rPr>
            </w:pPr>
            <w:r>
              <w:rPr>
                <w:rFonts w:ascii="Calibri" w:hAnsi="Calibri" w:cs="Calibri"/>
              </w:rPr>
              <w:t>4.87</w:t>
            </w:r>
          </w:p>
        </w:tc>
        <w:tc>
          <w:tcPr>
            <w:tcW w:w="880" w:type="dxa"/>
            <w:gridSpan w:val="2"/>
            <w:shd w:val="clear" w:color="auto" w:fill="auto"/>
            <w:vAlign w:val="center"/>
          </w:tcPr>
          <w:p w14:paraId="3AF0D942">
            <w:pPr>
              <w:spacing w:after="0" w:line="240" w:lineRule="auto"/>
              <w:jc w:val="center"/>
              <w:rPr>
                <w:rFonts w:ascii="Calibri" w:hAnsi="Calibri" w:eastAsia="Times New Roman" w:cs="Calibri"/>
                <w:lang w:eastAsia="en-GB"/>
              </w:rPr>
            </w:pPr>
            <w:r>
              <w:rPr>
                <w:rFonts w:ascii="Calibri" w:hAnsi="Calibri" w:cs="Calibri"/>
              </w:rPr>
              <w:t>19.29</w:t>
            </w:r>
          </w:p>
        </w:tc>
        <w:tc>
          <w:tcPr>
            <w:tcW w:w="879" w:type="dxa"/>
            <w:gridSpan w:val="2"/>
            <w:shd w:val="clear" w:color="auto" w:fill="auto"/>
            <w:vAlign w:val="center"/>
          </w:tcPr>
          <w:p w14:paraId="44CB96C9">
            <w:pPr>
              <w:spacing w:after="0" w:line="240" w:lineRule="auto"/>
              <w:jc w:val="center"/>
              <w:rPr>
                <w:rFonts w:ascii="Calibri" w:hAnsi="Calibri" w:eastAsia="Times New Roman" w:cs="Calibri"/>
                <w:lang w:eastAsia="en-GB"/>
              </w:rPr>
            </w:pPr>
            <w:r>
              <w:rPr>
                <w:rFonts w:ascii="Calibri" w:hAnsi="Calibri" w:cs="Calibri"/>
              </w:rPr>
              <w:t>20.22</w:t>
            </w:r>
          </w:p>
        </w:tc>
        <w:tc>
          <w:tcPr>
            <w:tcW w:w="1031" w:type="dxa"/>
            <w:gridSpan w:val="2"/>
            <w:shd w:val="clear" w:color="auto" w:fill="auto"/>
            <w:vAlign w:val="center"/>
          </w:tcPr>
          <w:p w14:paraId="516486BE">
            <w:pPr>
              <w:spacing w:after="0" w:line="240" w:lineRule="auto"/>
              <w:jc w:val="center"/>
              <w:rPr>
                <w:rFonts w:ascii="Calibri" w:hAnsi="Calibri" w:eastAsia="Times New Roman" w:cs="Calibri"/>
                <w:lang w:eastAsia="en-GB"/>
              </w:rPr>
            </w:pPr>
            <w:r>
              <w:rPr>
                <w:rFonts w:ascii="Calibri" w:hAnsi="Calibri" w:cs="Calibri"/>
              </w:rPr>
              <w:t>2.27</w:t>
            </w:r>
          </w:p>
        </w:tc>
        <w:tc>
          <w:tcPr>
            <w:tcW w:w="952" w:type="dxa"/>
            <w:shd w:val="clear" w:color="auto" w:fill="auto"/>
            <w:vAlign w:val="center"/>
          </w:tcPr>
          <w:p w14:paraId="18920C2E">
            <w:pPr>
              <w:spacing w:after="0" w:line="240" w:lineRule="auto"/>
              <w:jc w:val="center"/>
              <w:rPr>
                <w:rFonts w:ascii="Calibri" w:hAnsi="Calibri" w:cs="Calibri"/>
              </w:rPr>
            </w:pPr>
            <w:r>
              <w:rPr>
                <w:rFonts w:ascii="Calibri" w:hAnsi="Calibri" w:cs="Calibri"/>
              </w:rPr>
              <w:t>1.23</w:t>
            </w:r>
          </w:p>
        </w:tc>
      </w:tr>
      <w:tr w14:paraId="3136D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shd w:val="clear" w:color="auto" w:fill="auto"/>
            <w:vAlign w:val="center"/>
          </w:tcPr>
          <w:p w14:paraId="6C85D8E2">
            <w:pPr>
              <w:spacing w:after="0" w:line="240" w:lineRule="auto"/>
              <w:ind w:left="461" w:hanging="461"/>
              <w:rPr>
                <w:rFonts w:ascii="Times New Roman" w:hAnsi="Times New Roman"/>
                <w:bCs/>
                <w:sz w:val="24"/>
                <w:szCs w:val="24"/>
              </w:rPr>
            </w:pPr>
            <w:r>
              <w:rPr>
                <w:rFonts w:ascii="Times New Roman" w:hAnsi="Times New Roman"/>
                <w:b/>
                <w:bCs/>
                <w:sz w:val="24"/>
                <w:szCs w:val="24"/>
              </w:rPr>
              <w:t>W</w:t>
            </w:r>
            <w:r>
              <w:rPr>
                <w:rFonts w:ascii="Times New Roman" w:hAnsi="Times New Roman"/>
                <w:b/>
                <w:bCs/>
                <w:sz w:val="24"/>
                <w:szCs w:val="24"/>
                <w:vertAlign w:val="subscript"/>
              </w:rPr>
              <w:t>2</w:t>
            </w:r>
            <w:r>
              <w:rPr>
                <w:rFonts w:ascii="Times New Roman" w:hAnsi="Times New Roman"/>
                <w:b/>
                <w:bCs/>
                <w:sz w:val="24"/>
                <w:szCs w:val="24"/>
              </w:rPr>
              <w:t xml:space="preserve">: </w:t>
            </w:r>
            <w:r>
              <w:rPr>
                <w:rFonts w:ascii="Times New Roman" w:hAnsi="Times New Roman"/>
                <w:bCs/>
                <w:sz w:val="24"/>
                <w:szCs w:val="24"/>
              </w:rPr>
              <w:t>Weed free (Two hand weeding)</w:t>
            </w:r>
          </w:p>
        </w:tc>
        <w:tc>
          <w:tcPr>
            <w:tcW w:w="872" w:type="dxa"/>
            <w:gridSpan w:val="2"/>
            <w:shd w:val="clear" w:color="auto" w:fill="auto"/>
            <w:vAlign w:val="center"/>
          </w:tcPr>
          <w:p w14:paraId="65DE3688">
            <w:pPr>
              <w:spacing w:after="0" w:line="240" w:lineRule="auto"/>
              <w:jc w:val="center"/>
              <w:rPr>
                <w:rFonts w:ascii="Calibri" w:hAnsi="Calibri" w:cs="Calibri"/>
              </w:rPr>
            </w:pPr>
            <w:r>
              <w:rPr>
                <w:rFonts w:ascii="Calibri" w:hAnsi="Calibri" w:cs="Calibri"/>
              </w:rPr>
              <w:t>6.78</w:t>
            </w:r>
          </w:p>
        </w:tc>
        <w:tc>
          <w:tcPr>
            <w:tcW w:w="880" w:type="dxa"/>
            <w:gridSpan w:val="2"/>
            <w:shd w:val="clear" w:color="auto" w:fill="auto"/>
            <w:vAlign w:val="center"/>
          </w:tcPr>
          <w:p w14:paraId="18DEF6EB">
            <w:pPr>
              <w:spacing w:after="0" w:line="240" w:lineRule="auto"/>
              <w:jc w:val="center"/>
              <w:rPr>
                <w:rFonts w:ascii="Calibri" w:hAnsi="Calibri" w:cs="Calibri"/>
              </w:rPr>
            </w:pPr>
            <w:r>
              <w:rPr>
                <w:rFonts w:ascii="Calibri" w:hAnsi="Calibri" w:cs="Calibri"/>
              </w:rPr>
              <w:t>6.88</w:t>
            </w:r>
          </w:p>
        </w:tc>
        <w:tc>
          <w:tcPr>
            <w:tcW w:w="880" w:type="dxa"/>
            <w:gridSpan w:val="2"/>
            <w:shd w:val="clear" w:color="auto" w:fill="auto"/>
            <w:vAlign w:val="center"/>
          </w:tcPr>
          <w:p w14:paraId="3CB36459">
            <w:pPr>
              <w:spacing w:after="0" w:line="240" w:lineRule="auto"/>
              <w:jc w:val="center"/>
              <w:rPr>
                <w:rFonts w:ascii="Calibri" w:hAnsi="Calibri" w:cs="Calibri"/>
              </w:rPr>
            </w:pPr>
            <w:r>
              <w:rPr>
                <w:rFonts w:ascii="Calibri" w:hAnsi="Calibri" w:cs="Calibri"/>
              </w:rPr>
              <w:t>26.81</w:t>
            </w:r>
          </w:p>
        </w:tc>
        <w:tc>
          <w:tcPr>
            <w:tcW w:w="879" w:type="dxa"/>
            <w:gridSpan w:val="2"/>
            <w:shd w:val="clear" w:color="auto" w:fill="auto"/>
            <w:vAlign w:val="center"/>
          </w:tcPr>
          <w:p w14:paraId="491D6F0B">
            <w:pPr>
              <w:spacing w:after="0" w:line="240" w:lineRule="auto"/>
              <w:jc w:val="center"/>
              <w:rPr>
                <w:rFonts w:ascii="Calibri" w:hAnsi="Calibri" w:cs="Calibri"/>
              </w:rPr>
            </w:pPr>
            <w:r>
              <w:rPr>
                <w:rFonts w:ascii="Calibri" w:hAnsi="Calibri" w:cs="Calibri"/>
              </w:rPr>
              <w:t>27.20</w:t>
            </w:r>
          </w:p>
        </w:tc>
        <w:tc>
          <w:tcPr>
            <w:tcW w:w="1031" w:type="dxa"/>
            <w:gridSpan w:val="2"/>
            <w:shd w:val="clear" w:color="auto" w:fill="auto"/>
            <w:vAlign w:val="center"/>
          </w:tcPr>
          <w:p w14:paraId="0939C221">
            <w:pPr>
              <w:spacing w:after="0" w:line="240" w:lineRule="auto"/>
              <w:jc w:val="center"/>
              <w:rPr>
                <w:rFonts w:ascii="Calibri" w:hAnsi="Calibri" w:cs="Calibri"/>
              </w:rPr>
            </w:pPr>
            <w:r>
              <w:rPr>
                <w:rFonts w:ascii="Calibri" w:hAnsi="Calibri" w:cs="Calibri"/>
              </w:rPr>
              <w:t>2.46</w:t>
            </w:r>
          </w:p>
        </w:tc>
        <w:tc>
          <w:tcPr>
            <w:tcW w:w="952" w:type="dxa"/>
            <w:shd w:val="clear" w:color="auto" w:fill="auto"/>
            <w:vAlign w:val="center"/>
          </w:tcPr>
          <w:p w14:paraId="07D92A42">
            <w:pPr>
              <w:spacing w:after="0" w:line="240" w:lineRule="auto"/>
              <w:jc w:val="center"/>
              <w:rPr>
                <w:rFonts w:ascii="Calibri" w:hAnsi="Calibri" w:cs="Calibri"/>
              </w:rPr>
            </w:pPr>
            <w:r>
              <w:rPr>
                <w:rFonts w:ascii="Calibri" w:hAnsi="Calibri" w:cs="Calibri"/>
              </w:rPr>
              <w:t>2.54</w:t>
            </w:r>
          </w:p>
        </w:tc>
      </w:tr>
      <w:tr w14:paraId="15BE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shd w:val="clear" w:color="auto" w:fill="auto"/>
            <w:vAlign w:val="center"/>
          </w:tcPr>
          <w:p w14:paraId="1FEDAC91">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3</w:t>
            </w:r>
            <w:r>
              <w:rPr>
                <w:rFonts w:ascii="Times New Roman" w:hAnsi="Times New Roman"/>
                <w:b/>
                <w:bCs/>
                <w:sz w:val="24"/>
                <w:szCs w:val="24"/>
              </w:rPr>
              <w:t xml:space="preserve">: </w:t>
            </w:r>
            <w:r>
              <w:rPr>
                <w:rFonts w:ascii="Times New Roman" w:hAnsi="Times New Roman"/>
                <w:bCs/>
                <w:sz w:val="24"/>
                <w:szCs w:val="24"/>
              </w:rPr>
              <w:t xml:space="preserve">2,4 DEE @ 0.5 kg </w:t>
            </w:r>
            <w:r>
              <w:rPr>
                <w:rFonts w:ascii="Times New Roman" w:hAnsi="Times New Roman"/>
                <w:bCs/>
                <w:i/>
                <w:sz w:val="24"/>
                <w:szCs w:val="24"/>
              </w:rPr>
              <w:t>a.i.</w:t>
            </w:r>
            <w:r>
              <w:rPr>
                <w:rFonts w:ascii="Times New Roman" w:hAnsi="Times New Roman"/>
                <w:bCs/>
                <w:sz w:val="24"/>
                <w:szCs w:val="24"/>
              </w:rPr>
              <w:t>/ha Post-em (28 DAS)</w:t>
            </w:r>
          </w:p>
        </w:tc>
        <w:tc>
          <w:tcPr>
            <w:tcW w:w="872" w:type="dxa"/>
            <w:gridSpan w:val="2"/>
            <w:shd w:val="clear" w:color="auto" w:fill="auto"/>
            <w:vAlign w:val="center"/>
          </w:tcPr>
          <w:p w14:paraId="7C01EE1F">
            <w:pPr>
              <w:spacing w:after="0" w:line="240" w:lineRule="auto"/>
              <w:jc w:val="center"/>
              <w:rPr>
                <w:rFonts w:ascii="Calibri" w:hAnsi="Calibri" w:cs="Calibri"/>
              </w:rPr>
            </w:pPr>
            <w:r>
              <w:rPr>
                <w:rFonts w:ascii="Calibri" w:hAnsi="Calibri" w:cs="Calibri"/>
              </w:rPr>
              <w:t>6.14</w:t>
            </w:r>
          </w:p>
        </w:tc>
        <w:tc>
          <w:tcPr>
            <w:tcW w:w="880" w:type="dxa"/>
            <w:gridSpan w:val="2"/>
            <w:shd w:val="clear" w:color="auto" w:fill="auto"/>
            <w:vAlign w:val="center"/>
          </w:tcPr>
          <w:p w14:paraId="711904FC">
            <w:pPr>
              <w:spacing w:after="0" w:line="240" w:lineRule="auto"/>
              <w:jc w:val="center"/>
              <w:rPr>
                <w:rFonts w:ascii="Calibri" w:hAnsi="Calibri" w:cs="Calibri"/>
              </w:rPr>
            </w:pPr>
            <w:r>
              <w:rPr>
                <w:rFonts w:ascii="Calibri" w:hAnsi="Calibri" w:cs="Calibri"/>
              </w:rPr>
              <w:t>6.28</w:t>
            </w:r>
          </w:p>
        </w:tc>
        <w:tc>
          <w:tcPr>
            <w:tcW w:w="880" w:type="dxa"/>
            <w:gridSpan w:val="2"/>
            <w:shd w:val="clear" w:color="auto" w:fill="auto"/>
            <w:vAlign w:val="center"/>
          </w:tcPr>
          <w:p w14:paraId="67E11CC6">
            <w:pPr>
              <w:spacing w:after="0" w:line="240" w:lineRule="auto"/>
              <w:jc w:val="center"/>
              <w:rPr>
                <w:rFonts w:ascii="Calibri" w:hAnsi="Calibri" w:cs="Calibri"/>
              </w:rPr>
            </w:pPr>
            <w:r>
              <w:rPr>
                <w:rFonts w:ascii="Calibri" w:hAnsi="Calibri" w:cs="Calibri"/>
              </w:rPr>
              <w:t>24.00</w:t>
            </w:r>
          </w:p>
        </w:tc>
        <w:tc>
          <w:tcPr>
            <w:tcW w:w="879" w:type="dxa"/>
            <w:gridSpan w:val="2"/>
            <w:shd w:val="clear" w:color="auto" w:fill="auto"/>
            <w:vAlign w:val="center"/>
          </w:tcPr>
          <w:p w14:paraId="4219C10E">
            <w:pPr>
              <w:spacing w:after="0" w:line="240" w:lineRule="auto"/>
              <w:jc w:val="center"/>
              <w:rPr>
                <w:rFonts w:ascii="Calibri" w:hAnsi="Calibri" w:cs="Calibri"/>
              </w:rPr>
            </w:pPr>
            <w:r>
              <w:rPr>
                <w:rFonts w:ascii="Calibri" w:hAnsi="Calibri" w:cs="Calibri"/>
              </w:rPr>
              <w:t>24.51</w:t>
            </w:r>
          </w:p>
        </w:tc>
        <w:tc>
          <w:tcPr>
            <w:tcW w:w="1031" w:type="dxa"/>
            <w:gridSpan w:val="2"/>
            <w:shd w:val="clear" w:color="auto" w:fill="auto"/>
            <w:vAlign w:val="center"/>
          </w:tcPr>
          <w:p w14:paraId="711009DA">
            <w:pPr>
              <w:spacing w:after="0" w:line="240" w:lineRule="auto"/>
              <w:jc w:val="center"/>
              <w:rPr>
                <w:rFonts w:ascii="Calibri" w:hAnsi="Calibri" w:cs="Calibri"/>
              </w:rPr>
            </w:pPr>
            <w:r>
              <w:rPr>
                <w:rFonts w:ascii="Calibri" w:hAnsi="Calibri" w:cs="Calibri"/>
              </w:rPr>
              <w:t>2.34</w:t>
            </w:r>
          </w:p>
        </w:tc>
        <w:tc>
          <w:tcPr>
            <w:tcW w:w="952" w:type="dxa"/>
            <w:shd w:val="clear" w:color="auto" w:fill="auto"/>
            <w:vAlign w:val="center"/>
          </w:tcPr>
          <w:p w14:paraId="0F56F340">
            <w:pPr>
              <w:spacing w:after="0" w:line="240" w:lineRule="auto"/>
              <w:jc w:val="center"/>
              <w:rPr>
                <w:rFonts w:ascii="Calibri" w:hAnsi="Calibri" w:cs="Calibri"/>
              </w:rPr>
            </w:pPr>
            <w:r>
              <w:rPr>
                <w:rFonts w:ascii="Calibri" w:hAnsi="Calibri" w:cs="Calibri"/>
              </w:rPr>
              <w:t>2.13</w:t>
            </w:r>
          </w:p>
        </w:tc>
      </w:tr>
      <w:tr w14:paraId="7DC04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tcBorders>
              <w:bottom w:val="single" w:color="000000" w:sz="4" w:space="0"/>
            </w:tcBorders>
            <w:shd w:val="clear" w:color="auto" w:fill="auto"/>
            <w:vAlign w:val="center"/>
          </w:tcPr>
          <w:p w14:paraId="492332AD">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4</w:t>
            </w:r>
            <w:r>
              <w:rPr>
                <w:rFonts w:ascii="Times New Roman" w:hAnsi="Times New Roman"/>
                <w:b/>
                <w:bCs/>
                <w:sz w:val="24"/>
                <w:szCs w:val="24"/>
              </w:rPr>
              <w:t xml:space="preserve">: </w:t>
            </w:r>
            <w:r>
              <w:rPr>
                <w:rFonts w:ascii="Times New Roman" w:hAnsi="Times New Roman"/>
                <w:bCs/>
                <w:sz w:val="24"/>
                <w:szCs w:val="24"/>
              </w:rPr>
              <w:t xml:space="preserve">Carfentrazon @ 0.025 kg </w:t>
            </w:r>
            <w:r>
              <w:rPr>
                <w:rFonts w:ascii="Times New Roman" w:hAnsi="Times New Roman"/>
                <w:bCs/>
                <w:i/>
                <w:sz w:val="24"/>
                <w:szCs w:val="24"/>
              </w:rPr>
              <w:t>a.i.</w:t>
            </w:r>
            <w:r>
              <w:rPr>
                <w:rFonts w:ascii="Times New Roman" w:hAnsi="Times New Roman"/>
                <w:bCs/>
                <w:sz w:val="24"/>
                <w:szCs w:val="24"/>
              </w:rPr>
              <w:t>/ha Post-em (28 DAS)</w:t>
            </w:r>
          </w:p>
        </w:tc>
        <w:tc>
          <w:tcPr>
            <w:tcW w:w="872" w:type="dxa"/>
            <w:gridSpan w:val="2"/>
            <w:tcBorders>
              <w:bottom w:val="single" w:color="000000" w:sz="4" w:space="0"/>
            </w:tcBorders>
            <w:shd w:val="clear" w:color="auto" w:fill="auto"/>
            <w:vAlign w:val="center"/>
          </w:tcPr>
          <w:p w14:paraId="665BEF30">
            <w:pPr>
              <w:spacing w:after="0" w:line="240" w:lineRule="auto"/>
              <w:jc w:val="center"/>
              <w:rPr>
                <w:rFonts w:ascii="Calibri" w:hAnsi="Calibri" w:cs="Calibri"/>
              </w:rPr>
            </w:pPr>
            <w:r>
              <w:rPr>
                <w:rFonts w:ascii="Calibri" w:hAnsi="Calibri" w:cs="Calibri"/>
              </w:rPr>
              <w:t>6.38</w:t>
            </w:r>
          </w:p>
        </w:tc>
        <w:tc>
          <w:tcPr>
            <w:tcW w:w="880" w:type="dxa"/>
            <w:gridSpan w:val="2"/>
            <w:tcBorders>
              <w:bottom w:val="single" w:color="000000" w:sz="4" w:space="0"/>
            </w:tcBorders>
            <w:shd w:val="clear" w:color="auto" w:fill="auto"/>
            <w:vAlign w:val="center"/>
          </w:tcPr>
          <w:p w14:paraId="6FF3E431">
            <w:pPr>
              <w:spacing w:after="0" w:line="240" w:lineRule="auto"/>
              <w:jc w:val="center"/>
              <w:rPr>
                <w:rFonts w:ascii="Calibri" w:hAnsi="Calibri" w:cs="Calibri"/>
              </w:rPr>
            </w:pPr>
            <w:r>
              <w:rPr>
                <w:rFonts w:ascii="Calibri" w:hAnsi="Calibri" w:cs="Calibri"/>
              </w:rPr>
              <w:t>6.50</w:t>
            </w:r>
          </w:p>
        </w:tc>
        <w:tc>
          <w:tcPr>
            <w:tcW w:w="880" w:type="dxa"/>
            <w:gridSpan w:val="2"/>
            <w:tcBorders>
              <w:bottom w:val="single" w:color="000000" w:sz="4" w:space="0"/>
            </w:tcBorders>
            <w:shd w:val="clear" w:color="auto" w:fill="auto"/>
            <w:vAlign w:val="center"/>
          </w:tcPr>
          <w:p w14:paraId="7A86313F">
            <w:pPr>
              <w:spacing w:after="0" w:line="240" w:lineRule="auto"/>
              <w:jc w:val="center"/>
              <w:rPr>
                <w:rFonts w:ascii="Calibri" w:hAnsi="Calibri" w:cs="Calibri"/>
              </w:rPr>
            </w:pPr>
            <w:r>
              <w:rPr>
                <w:rFonts w:ascii="Calibri" w:hAnsi="Calibri" w:cs="Calibri"/>
              </w:rPr>
              <w:t>24.75</w:t>
            </w:r>
          </w:p>
        </w:tc>
        <w:tc>
          <w:tcPr>
            <w:tcW w:w="879" w:type="dxa"/>
            <w:gridSpan w:val="2"/>
            <w:tcBorders>
              <w:bottom w:val="single" w:color="000000" w:sz="4" w:space="0"/>
            </w:tcBorders>
            <w:shd w:val="clear" w:color="auto" w:fill="auto"/>
            <w:vAlign w:val="center"/>
          </w:tcPr>
          <w:p w14:paraId="091C2B10">
            <w:pPr>
              <w:spacing w:after="0" w:line="240" w:lineRule="auto"/>
              <w:jc w:val="center"/>
              <w:rPr>
                <w:rFonts w:ascii="Calibri" w:hAnsi="Calibri" w:cs="Calibri"/>
              </w:rPr>
            </w:pPr>
            <w:r>
              <w:rPr>
                <w:rFonts w:ascii="Calibri" w:hAnsi="Calibri" w:cs="Calibri"/>
              </w:rPr>
              <w:t>25.21</w:t>
            </w:r>
          </w:p>
        </w:tc>
        <w:tc>
          <w:tcPr>
            <w:tcW w:w="1031" w:type="dxa"/>
            <w:gridSpan w:val="2"/>
            <w:tcBorders>
              <w:bottom w:val="single" w:color="000000" w:sz="4" w:space="0"/>
            </w:tcBorders>
            <w:shd w:val="clear" w:color="auto" w:fill="auto"/>
            <w:vAlign w:val="center"/>
          </w:tcPr>
          <w:p w14:paraId="18ACAAF4">
            <w:pPr>
              <w:spacing w:after="0" w:line="240" w:lineRule="auto"/>
              <w:jc w:val="center"/>
              <w:rPr>
                <w:rFonts w:ascii="Calibri" w:hAnsi="Calibri" w:cs="Calibri"/>
              </w:rPr>
            </w:pPr>
            <w:r>
              <w:rPr>
                <w:rFonts w:ascii="Calibri" w:hAnsi="Calibri" w:cs="Calibri"/>
              </w:rPr>
              <w:t>2.35</w:t>
            </w:r>
          </w:p>
        </w:tc>
        <w:tc>
          <w:tcPr>
            <w:tcW w:w="952" w:type="dxa"/>
            <w:tcBorders>
              <w:bottom w:val="single" w:color="000000" w:sz="4" w:space="0"/>
            </w:tcBorders>
            <w:shd w:val="clear" w:color="auto" w:fill="auto"/>
            <w:vAlign w:val="center"/>
          </w:tcPr>
          <w:p w14:paraId="33271793">
            <w:pPr>
              <w:spacing w:after="0" w:line="240" w:lineRule="auto"/>
              <w:jc w:val="center"/>
              <w:rPr>
                <w:rFonts w:ascii="Calibri" w:hAnsi="Calibri" w:cs="Calibri"/>
              </w:rPr>
            </w:pPr>
            <w:r>
              <w:rPr>
                <w:rFonts w:ascii="Calibri" w:hAnsi="Calibri" w:cs="Calibri"/>
              </w:rPr>
              <w:t>2.26</w:t>
            </w:r>
          </w:p>
        </w:tc>
      </w:tr>
      <w:tr w14:paraId="74CED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shd w:val="clear" w:color="auto" w:fill="auto"/>
            <w:vAlign w:val="center"/>
          </w:tcPr>
          <w:p w14:paraId="5374E0F4">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5</w:t>
            </w:r>
            <w:r>
              <w:rPr>
                <w:rFonts w:ascii="Times New Roman" w:hAnsi="Times New Roman"/>
                <w:b/>
                <w:bCs/>
                <w:sz w:val="24"/>
                <w:szCs w:val="24"/>
              </w:rPr>
              <w:t xml:space="preserve">: </w:t>
            </w:r>
            <w:r>
              <w:rPr>
                <w:rFonts w:ascii="Times New Roman" w:hAnsi="Times New Roman"/>
                <w:bCs/>
                <w:sz w:val="24"/>
                <w:szCs w:val="24"/>
              </w:rPr>
              <w:t xml:space="preserve">Metsulfuron-methyl @ 0.004 kg </w:t>
            </w:r>
            <w:r>
              <w:rPr>
                <w:rFonts w:ascii="Times New Roman" w:hAnsi="Times New Roman"/>
                <w:bCs/>
                <w:i/>
                <w:sz w:val="24"/>
                <w:szCs w:val="24"/>
              </w:rPr>
              <w:t>a.i.</w:t>
            </w:r>
            <w:r>
              <w:rPr>
                <w:rFonts w:ascii="Times New Roman" w:hAnsi="Times New Roman"/>
                <w:bCs/>
                <w:sz w:val="24"/>
                <w:szCs w:val="24"/>
              </w:rPr>
              <w:t>/ha Post-em (28 DAS)</w:t>
            </w:r>
          </w:p>
        </w:tc>
        <w:tc>
          <w:tcPr>
            <w:tcW w:w="872" w:type="dxa"/>
            <w:gridSpan w:val="2"/>
            <w:shd w:val="clear" w:color="auto" w:fill="auto"/>
            <w:vAlign w:val="center"/>
          </w:tcPr>
          <w:p w14:paraId="45E6C995">
            <w:pPr>
              <w:spacing w:after="0" w:line="240" w:lineRule="auto"/>
              <w:jc w:val="center"/>
              <w:rPr>
                <w:rFonts w:ascii="Calibri" w:hAnsi="Calibri" w:cs="Calibri"/>
              </w:rPr>
            </w:pPr>
            <w:r>
              <w:rPr>
                <w:rFonts w:ascii="Calibri" w:hAnsi="Calibri" w:cs="Calibri"/>
              </w:rPr>
              <w:t>5.95</w:t>
            </w:r>
          </w:p>
        </w:tc>
        <w:tc>
          <w:tcPr>
            <w:tcW w:w="880" w:type="dxa"/>
            <w:gridSpan w:val="2"/>
            <w:shd w:val="clear" w:color="auto" w:fill="auto"/>
            <w:vAlign w:val="center"/>
          </w:tcPr>
          <w:p w14:paraId="41D023E8">
            <w:pPr>
              <w:spacing w:after="0" w:line="240" w:lineRule="auto"/>
              <w:jc w:val="center"/>
              <w:rPr>
                <w:rFonts w:ascii="Calibri" w:hAnsi="Calibri" w:cs="Calibri"/>
              </w:rPr>
            </w:pPr>
            <w:r>
              <w:rPr>
                <w:rFonts w:ascii="Calibri" w:hAnsi="Calibri" w:cs="Calibri"/>
              </w:rPr>
              <w:t>6.10</w:t>
            </w:r>
          </w:p>
        </w:tc>
        <w:tc>
          <w:tcPr>
            <w:tcW w:w="880" w:type="dxa"/>
            <w:gridSpan w:val="2"/>
            <w:shd w:val="clear" w:color="auto" w:fill="auto"/>
            <w:vAlign w:val="center"/>
          </w:tcPr>
          <w:p w14:paraId="68FE5FC2">
            <w:pPr>
              <w:spacing w:after="0" w:line="240" w:lineRule="auto"/>
              <w:jc w:val="center"/>
              <w:rPr>
                <w:rFonts w:ascii="Calibri" w:hAnsi="Calibri" w:cs="Calibri"/>
              </w:rPr>
            </w:pPr>
            <w:r>
              <w:rPr>
                <w:rFonts w:ascii="Calibri" w:hAnsi="Calibri" w:cs="Calibri"/>
              </w:rPr>
              <w:t>23.31</w:t>
            </w:r>
          </w:p>
        </w:tc>
        <w:tc>
          <w:tcPr>
            <w:tcW w:w="879" w:type="dxa"/>
            <w:gridSpan w:val="2"/>
            <w:shd w:val="clear" w:color="auto" w:fill="auto"/>
            <w:vAlign w:val="center"/>
          </w:tcPr>
          <w:p w14:paraId="01AC8593">
            <w:pPr>
              <w:spacing w:after="0" w:line="240" w:lineRule="auto"/>
              <w:jc w:val="center"/>
              <w:rPr>
                <w:rFonts w:ascii="Calibri" w:hAnsi="Calibri" w:cs="Calibri"/>
              </w:rPr>
            </w:pPr>
            <w:r>
              <w:rPr>
                <w:rFonts w:ascii="Calibri" w:hAnsi="Calibri" w:cs="Calibri"/>
              </w:rPr>
              <w:t>23.87</w:t>
            </w:r>
          </w:p>
        </w:tc>
        <w:tc>
          <w:tcPr>
            <w:tcW w:w="1031" w:type="dxa"/>
            <w:gridSpan w:val="2"/>
            <w:shd w:val="clear" w:color="auto" w:fill="auto"/>
            <w:vAlign w:val="center"/>
          </w:tcPr>
          <w:p w14:paraId="528D01B0">
            <w:pPr>
              <w:spacing w:after="0" w:line="240" w:lineRule="auto"/>
              <w:jc w:val="center"/>
              <w:rPr>
                <w:rFonts w:ascii="Calibri" w:hAnsi="Calibri" w:cs="Calibri"/>
              </w:rPr>
            </w:pPr>
            <w:r>
              <w:rPr>
                <w:rFonts w:ascii="Calibri" w:hAnsi="Calibri" w:cs="Calibri"/>
              </w:rPr>
              <w:t>2.31</w:t>
            </w:r>
          </w:p>
        </w:tc>
        <w:tc>
          <w:tcPr>
            <w:tcW w:w="952" w:type="dxa"/>
            <w:shd w:val="clear" w:color="auto" w:fill="auto"/>
            <w:vAlign w:val="center"/>
          </w:tcPr>
          <w:p w14:paraId="06869A01">
            <w:pPr>
              <w:spacing w:after="0" w:line="240" w:lineRule="auto"/>
              <w:jc w:val="center"/>
              <w:rPr>
                <w:rFonts w:ascii="Calibri" w:hAnsi="Calibri" w:cs="Calibri"/>
              </w:rPr>
            </w:pPr>
            <w:r>
              <w:rPr>
                <w:rFonts w:ascii="Calibri" w:hAnsi="Calibri" w:cs="Calibri"/>
              </w:rPr>
              <w:t>2.01</w:t>
            </w:r>
          </w:p>
        </w:tc>
      </w:tr>
      <w:tr w14:paraId="5314F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shd w:val="clear" w:color="auto" w:fill="auto"/>
            <w:vAlign w:val="center"/>
          </w:tcPr>
          <w:p w14:paraId="3D911BB7">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6</w:t>
            </w:r>
            <w:r>
              <w:rPr>
                <w:rFonts w:ascii="Times New Roman" w:hAnsi="Times New Roman"/>
                <w:b/>
                <w:bCs/>
                <w:sz w:val="24"/>
                <w:szCs w:val="24"/>
              </w:rPr>
              <w:t xml:space="preserve">: </w:t>
            </w:r>
            <w:r>
              <w:rPr>
                <w:rFonts w:ascii="Times New Roman" w:hAnsi="Times New Roman"/>
                <w:bCs/>
                <w:sz w:val="24"/>
                <w:szCs w:val="24"/>
              </w:rPr>
              <w:t>Arylex 20.85% + Florasulam 20 % Post-em (28 DAS)</w:t>
            </w:r>
          </w:p>
        </w:tc>
        <w:tc>
          <w:tcPr>
            <w:tcW w:w="872" w:type="dxa"/>
            <w:gridSpan w:val="2"/>
            <w:shd w:val="clear" w:color="auto" w:fill="auto"/>
            <w:vAlign w:val="center"/>
          </w:tcPr>
          <w:p w14:paraId="02E11AB8">
            <w:pPr>
              <w:spacing w:after="0" w:line="240" w:lineRule="auto"/>
              <w:jc w:val="center"/>
              <w:rPr>
                <w:rFonts w:ascii="Calibri" w:hAnsi="Calibri" w:cs="Calibri"/>
              </w:rPr>
            </w:pPr>
            <w:r>
              <w:rPr>
                <w:rFonts w:ascii="Calibri" w:hAnsi="Calibri" w:cs="Calibri"/>
              </w:rPr>
              <w:t>6.51</w:t>
            </w:r>
          </w:p>
        </w:tc>
        <w:tc>
          <w:tcPr>
            <w:tcW w:w="880" w:type="dxa"/>
            <w:gridSpan w:val="2"/>
            <w:shd w:val="clear" w:color="auto" w:fill="auto"/>
            <w:vAlign w:val="center"/>
          </w:tcPr>
          <w:p w14:paraId="10CAB327">
            <w:pPr>
              <w:spacing w:after="0" w:line="240" w:lineRule="auto"/>
              <w:jc w:val="center"/>
              <w:rPr>
                <w:rFonts w:ascii="Calibri" w:hAnsi="Calibri" w:cs="Calibri"/>
              </w:rPr>
            </w:pPr>
            <w:r>
              <w:rPr>
                <w:rFonts w:ascii="Calibri" w:hAnsi="Calibri" w:cs="Calibri"/>
              </w:rPr>
              <w:t>6.63</w:t>
            </w:r>
          </w:p>
        </w:tc>
        <w:tc>
          <w:tcPr>
            <w:tcW w:w="880" w:type="dxa"/>
            <w:gridSpan w:val="2"/>
            <w:shd w:val="clear" w:color="auto" w:fill="auto"/>
            <w:vAlign w:val="center"/>
          </w:tcPr>
          <w:p w14:paraId="4B479C63">
            <w:pPr>
              <w:spacing w:after="0" w:line="240" w:lineRule="auto"/>
              <w:jc w:val="center"/>
              <w:rPr>
                <w:rFonts w:ascii="Calibri" w:hAnsi="Calibri" w:cs="Calibri"/>
              </w:rPr>
            </w:pPr>
            <w:r>
              <w:rPr>
                <w:rFonts w:ascii="Calibri" w:hAnsi="Calibri" w:cs="Calibri"/>
              </w:rPr>
              <w:t>25.21</w:t>
            </w:r>
          </w:p>
        </w:tc>
        <w:tc>
          <w:tcPr>
            <w:tcW w:w="879" w:type="dxa"/>
            <w:gridSpan w:val="2"/>
            <w:shd w:val="clear" w:color="auto" w:fill="auto"/>
            <w:vAlign w:val="center"/>
          </w:tcPr>
          <w:p w14:paraId="15475BCF">
            <w:pPr>
              <w:spacing w:after="0" w:line="240" w:lineRule="auto"/>
              <w:jc w:val="center"/>
              <w:rPr>
                <w:rFonts w:ascii="Calibri" w:hAnsi="Calibri" w:cs="Calibri"/>
              </w:rPr>
            </w:pPr>
            <w:r>
              <w:rPr>
                <w:rFonts w:ascii="Calibri" w:hAnsi="Calibri" w:cs="Calibri"/>
              </w:rPr>
              <w:t>25.67</w:t>
            </w:r>
          </w:p>
        </w:tc>
        <w:tc>
          <w:tcPr>
            <w:tcW w:w="1031" w:type="dxa"/>
            <w:gridSpan w:val="2"/>
            <w:shd w:val="clear" w:color="auto" w:fill="auto"/>
            <w:vAlign w:val="center"/>
          </w:tcPr>
          <w:p w14:paraId="6D99BF81">
            <w:pPr>
              <w:spacing w:after="0" w:line="240" w:lineRule="auto"/>
              <w:jc w:val="center"/>
              <w:rPr>
                <w:rFonts w:ascii="Calibri" w:hAnsi="Calibri" w:cs="Calibri"/>
              </w:rPr>
            </w:pPr>
            <w:r>
              <w:rPr>
                <w:rFonts w:ascii="Calibri" w:hAnsi="Calibri" w:cs="Calibri"/>
              </w:rPr>
              <w:t>2.39</w:t>
            </w:r>
          </w:p>
        </w:tc>
        <w:tc>
          <w:tcPr>
            <w:tcW w:w="952" w:type="dxa"/>
            <w:shd w:val="clear" w:color="auto" w:fill="auto"/>
            <w:vAlign w:val="center"/>
          </w:tcPr>
          <w:p w14:paraId="3E54B79E">
            <w:pPr>
              <w:spacing w:after="0" w:line="240" w:lineRule="auto"/>
              <w:jc w:val="center"/>
              <w:rPr>
                <w:rFonts w:ascii="Calibri" w:hAnsi="Calibri" w:cs="Calibri"/>
              </w:rPr>
            </w:pPr>
            <w:r>
              <w:rPr>
                <w:rFonts w:ascii="Calibri" w:hAnsi="Calibri" w:cs="Calibri"/>
              </w:rPr>
              <w:t>2.30</w:t>
            </w:r>
          </w:p>
        </w:tc>
      </w:tr>
      <w:tr w14:paraId="6A776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shd w:val="clear" w:color="auto" w:fill="auto"/>
            <w:vAlign w:val="center"/>
          </w:tcPr>
          <w:p w14:paraId="664903BF">
            <w:pPr>
              <w:spacing w:after="0" w:line="240" w:lineRule="auto"/>
              <w:rPr>
                <w:rFonts w:ascii="Times New Roman" w:hAnsi="Times New Roman"/>
                <w:sz w:val="24"/>
                <w:szCs w:val="24"/>
              </w:rPr>
            </w:pPr>
            <w:r>
              <w:rPr>
                <w:rFonts w:ascii="Times New Roman" w:hAnsi="Times New Roman"/>
                <w:sz w:val="24"/>
                <w:szCs w:val="24"/>
              </w:rPr>
              <w:t>SEm ±</w:t>
            </w:r>
          </w:p>
        </w:tc>
        <w:tc>
          <w:tcPr>
            <w:tcW w:w="872" w:type="dxa"/>
            <w:gridSpan w:val="2"/>
            <w:shd w:val="clear" w:color="auto" w:fill="auto"/>
            <w:vAlign w:val="center"/>
          </w:tcPr>
          <w:p w14:paraId="1A21A49C">
            <w:pPr>
              <w:spacing w:after="0" w:line="240" w:lineRule="auto"/>
              <w:jc w:val="center"/>
              <w:rPr>
                <w:rFonts w:ascii="Calibri" w:hAnsi="Calibri" w:eastAsia="Times New Roman" w:cs="Calibri"/>
                <w:lang w:eastAsia="en-GB"/>
              </w:rPr>
            </w:pPr>
            <w:r>
              <w:rPr>
                <w:rFonts w:ascii="Calibri" w:hAnsi="Calibri" w:cs="Calibri"/>
              </w:rPr>
              <w:t>0.09</w:t>
            </w:r>
          </w:p>
        </w:tc>
        <w:tc>
          <w:tcPr>
            <w:tcW w:w="880" w:type="dxa"/>
            <w:gridSpan w:val="2"/>
            <w:shd w:val="clear" w:color="auto" w:fill="auto"/>
            <w:vAlign w:val="center"/>
          </w:tcPr>
          <w:p w14:paraId="17B4AF91">
            <w:pPr>
              <w:spacing w:after="0" w:line="240" w:lineRule="auto"/>
              <w:jc w:val="center"/>
              <w:rPr>
                <w:rFonts w:ascii="Calibri" w:hAnsi="Calibri" w:eastAsia="Times New Roman" w:cs="Calibri"/>
                <w:lang w:eastAsia="en-GB"/>
              </w:rPr>
            </w:pPr>
            <w:r>
              <w:rPr>
                <w:rFonts w:ascii="Calibri" w:hAnsi="Calibri" w:cs="Calibri"/>
              </w:rPr>
              <w:t>0.09</w:t>
            </w:r>
          </w:p>
        </w:tc>
        <w:tc>
          <w:tcPr>
            <w:tcW w:w="880" w:type="dxa"/>
            <w:gridSpan w:val="2"/>
            <w:shd w:val="clear" w:color="auto" w:fill="auto"/>
            <w:vAlign w:val="center"/>
          </w:tcPr>
          <w:p w14:paraId="09C01EAD">
            <w:pPr>
              <w:spacing w:after="0" w:line="240" w:lineRule="auto"/>
              <w:jc w:val="center"/>
              <w:rPr>
                <w:rFonts w:ascii="Calibri" w:hAnsi="Calibri" w:eastAsia="Times New Roman" w:cs="Calibri"/>
                <w:lang w:eastAsia="en-GB"/>
              </w:rPr>
            </w:pPr>
            <w:r>
              <w:rPr>
                <w:rFonts w:ascii="Calibri" w:hAnsi="Calibri" w:cs="Calibri"/>
              </w:rPr>
              <w:t>0.35</w:t>
            </w:r>
          </w:p>
        </w:tc>
        <w:tc>
          <w:tcPr>
            <w:tcW w:w="879" w:type="dxa"/>
            <w:gridSpan w:val="2"/>
            <w:shd w:val="clear" w:color="auto" w:fill="auto"/>
            <w:vAlign w:val="center"/>
          </w:tcPr>
          <w:p w14:paraId="2A6593E3">
            <w:pPr>
              <w:spacing w:after="0" w:line="240" w:lineRule="auto"/>
              <w:jc w:val="center"/>
              <w:rPr>
                <w:rFonts w:ascii="Calibri" w:hAnsi="Calibri" w:eastAsia="Times New Roman" w:cs="Calibri"/>
                <w:lang w:eastAsia="en-GB"/>
              </w:rPr>
            </w:pPr>
            <w:r>
              <w:rPr>
                <w:rFonts w:ascii="Calibri" w:hAnsi="Calibri" w:cs="Calibri"/>
              </w:rPr>
              <w:t>0.34</w:t>
            </w:r>
          </w:p>
        </w:tc>
        <w:tc>
          <w:tcPr>
            <w:tcW w:w="1031" w:type="dxa"/>
            <w:gridSpan w:val="2"/>
            <w:shd w:val="clear" w:color="auto" w:fill="auto"/>
            <w:vAlign w:val="center"/>
          </w:tcPr>
          <w:p w14:paraId="15E7386B">
            <w:pPr>
              <w:spacing w:after="0" w:line="240" w:lineRule="auto"/>
              <w:jc w:val="center"/>
              <w:rPr>
                <w:rFonts w:ascii="Calibri" w:hAnsi="Calibri" w:eastAsia="Times New Roman" w:cs="Calibri"/>
                <w:lang w:eastAsia="en-GB"/>
              </w:rPr>
            </w:pPr>
            <w:r>
              <w:rPr>
                <w:rFonts w:ascii="Calibri" w:hAnsi="Calibri" w:eastAsia="Times New Roman" w:cs="Calibri"/>
                <w:lang w:eastAsia="en-GB"/>
              </w:rPr>
              <w:t>0.04</w:t>
            </w:r>
          </w:p>
        </w:tc>
        <w:tc>
          <w:tcPr>
            <w:tcW w:w="952" w:type="dxa"/>
            <w:shd w:val="clear" w:color="auto" w:fill="auto"/>
            <w:vAlign w:val="center"/>
          </w:tcPr>
          <w:p w14:paraId="626C2940">
            <w:pPr>
              <w:spacing w:after="0" w:line="240" w:lineRule="auto"/>
              <w:jc w:val="center"/>
              <w:rPr>
                <w:rFonts w:ascii="Calibri" w:hAnsi="Calibri" w:eastAsia="Times New Roman" w:cs="Calibri"/>
                <w:lang w:eastAsia="en-GB"/>
              </w:rPr>
            </w:pPr>
            <w:r>
              <w:rPr>
                <w:rFonts w:ascii="Calibri" w:hAnsi="Calibri" w:eastAsia="Times New Roman" w:cs="Calibri"/>
                <w:lang w:eastAsia="en-GB"/>
              </w:rPr>
              <w:t>0.03</w:t>
            </w:r>
          </w:p>
        </w:tc>
      </w:tr>
      <w:tr w14:paraId="63FA3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3294" w:type="dxa"/>
            <w:shd w:val="clear" w:color="auto" w:fill="auto"/>
            <w:vAlign w:val="center"/>
          </w:tcPr>
          <w:p w14:paraId="01DAA340">
            <w:pPr>
              <w:spacing w:after="0" w:line="240" w:lineRule="auto"/>
              <w:rPr>
                <w:rFonts w:ascii="Times New Roman" w:hAnsi="Times New Roman"/>
                <w:sz w:val="24"/>
                <w:szCs w:val="24"/>
              </w:rPr>
            </w:pPr>
            <w:r>
              <w:rPr>
                <w:rFonts w:ascii="Times New Roman" w:hAnsi="Times New Roman"/>
                <w:sz w:val="24"/>
                <w:szCs w:val="24"/>
              </w:rPr>
              <w:t>CD (</w:t>
            </w:r>
            <w:r>
              <w:rPr>
                <w:rFonts w:ascii="Times New Roman" w:hAnsi="Times New Roman"/>
                <w:i/>
                <w:sz w:val="24"/>
                <w:szCs w:val="24"/>
              </w:rPr>
              <w:t>p=0.05</w:t>
            </w:r>
            <w:r>
              <w:rPr>
                <w:rFonts w:ascii="Times New Roman" w:hAnsi="Times New Roman"/>
                <w:sz w:val="24"/>
                <w:szCs w:val="24"/>
              </w:rPr>
              <w:t>)</w:t>
            </w:r>
          </w:p>
        </w:tc>
        <w:tc>
          <w:tcPr>
            <w:tcW w:w="872" w:type="dxa"/>
            <w:gridSpan w:val="2"/>
            <w:shd w:val="clear" w:color="auto" w:fill="auto"/>
            <w:vAlign w:val="center"/>
          </w:tcPr>
          <w:p w14:paraId="3BB591E9">
            <w:pPr>
              <w:spacing w:after="0" w:line="240" w:lineRule="auto"/>
              <w:jc w:val="center"/>
              <w:rPr>
                <w:rFonts w:ascii="Calibri" w:hAnsi="Calibri" w:cs="Calibri"/>
              </w:rPr>
            </w:pPr>
            <w:r>
              <w:rPr>
                <w:rFonts w:ascii="Calibri" w:hAnsi="Calibri" w:cs="Calibri"/>
              </w:rPr>
              <w:t>0.27</w:t>
            </w:r>
          </w:p>
        </w:tc>
        <w:tc>
          <w:tcPr>
            <w:tcW w:w="880" w:type="dxa"/>
            <w:gridSpan w:val="2"/>
            <w:shd w:val="clear" w:color="auto" w:fill="auto"/>
            <w:vAlign w:val="center"/>
          </w:tcPr>
          <w:p w14:paraId="3FAB724F">
            <w:pPr>
              <w:spacing w:after="0" w:line="240" w:lineRule="auto"/>
              <w:jc w:val="center"/>
              <w:rPr>
                <w:rFonts w:ascii="Calibri" w:hAnsi="Calibri" w:cs="Calibri"/>
              </w:rPr>
            </w:pPr>
            <w:r>
              <w:rPr>
                <w:rFonts w:ascii="Calibri" w:hAnsi="Calibri" w:cs="Calibri"/>
              </w:rPr>
              <w:t>0.26</w:t>
            </w:r>
          </w:p>
        </w:tc>
        <w:tc>
          <w:tcPr>
            <w:tcW w:w="880" w:type="dxa"/>
            <w:gridSpan w:val="2"/>
            <w:shd w:val="clear" w:color="auto" w:fill="auto"/>
            <w:vAlign w:val="center"/>
          </w:tcPr>
          <w:p w14:paraId="2F4D294D">
            <w:pPr>
              <w:spacing w:after="0" w:line="240" w:lineRule="auto"/>
              <w:jc w:val="center"/>
              <w:rPr>
                <w:rFonts w:ascii="Calibri" w:hAnsi="Calibri" w:cs="Calibri"/>
              </w:rPr>
            </w:pPr>
            <w:r>
              <w:rPr>
                <w:rFonts w:ascii="Calibri" w:hAnsi="Calibri" w:cs="Calibri"/>
              </w:rPr>
              <w:t>1.05</w:t>
            </w:r>
          </w:p>
        </w:tc>
        <w:tc>
          <w:tcPr>
            <w:tcW w:w="879" w:type="dxa"/>
            <w:gridSpan w:val="2"/>
            <w:shd w:val="clear" w:color="auto" w:fill="auto"/>
            <w:vAlign w:val="center"/>
          </w:tcPr>
          <w:p w14:paraId="3E363854">
            <w:pPr>
              <w:spacing w:after="0" w:line="240" w:lineRule="auto"/>
              <w:jc w:val="center"/>
              <w:rPr>
                <w:rFonts w:ascii="Calibri" w:hAnsi="Calibri" w:cs="Calibri"/>
              </w:rPr>
            </w:pPr>
            <w:r>
              <w:rPr>
                <w:rFonts w:ascii="Calibri" w:hAnsi="Calibri" w:cs="Calibri"/>
              </w:rPr>
              <w:t>1.03</w:t>
            </w:r>
          </w:p>
        </w:tc>
        <w:tc>
          <w:tcPr>
            <w:tcW w:w="1031" w:type="dxa"/>
            <w:gridSpan w:val="2"/>
            <w:shd w:val="clear" w:color="auto" w:fill="auto"/>
            <w:vAlign w:val="center"/>
          </w:tcPr>
          <w:p w14:paraId="411BC1B0">
            <w:pPr>
              <w:spacing w:after="0" w:line="240" w:lineRule="auto"/>
              <w:jc w:val="center"/>
              <w:rPr>
                <w:rFonts w:ascii="Calibri" w:hAnsi="Calibri" w:eastAsia="Times New Roman" w:cs="Calibri"/>
                <w:lang w:eastAsia="en-GB"/>
              </w:rPr>
            </w:pPr>
            <w:r>
              <w:rPr>
                <w:rFonts w:ascii="Calibri" w:hAnsi="Calibri" w:cs="Calibri"/>
              </w:rPr>
              <w:t>0.11</w:t>
            </w:r>
          </w:p>
        </w:tc>
        <w:tc>
          <w:tcPr>
            <w:tcW w:w="952" w:type="dxa"/>
            <w:shd w:val="clear" w:color="auto" w:fill="auto"/>
            <w:vAlign w:val="center"/>
          </w:tcPr>
          <w:p w14:paraId="60E2483D">
            <w:pPr>
              <w:spacing w:after="0" w:line="240" w:lineRule="auto"/>
              <w:jc w:val="center"/>
              <w:rPr>
                <w:rFonts w:ascii="Calibri" w:hAnsi="Calibri" w:cs="Calibri"/>
              </w:rPr>
            </w:pPr>
            <w:r>
              <w:rPr>
                <w:rFonts w:ascii="Calibri" w:hAnsi="Calibri" w:cs="Calibri"/>
              </w:rPr>
              <w:t>0.10</w:t>
            </w:r>
          </w:p>
        </w:tc>
      </w:tr>
    </w:tbl>
    <w:p w14:paraId="11B85B56">
      <w:pPr>
        <w:spacing w:after="0" w:line="240" w:lineRule="auto"/>
        <w:ind w:firstLine="720"/>
        <w:jc w:val="both"/>
        <w:rPr>
          <w:rFonts w:ascii="Times New Roman" w:hAnsi="Times New Roman" w:eastAsia="Times New Roman" w:cs="Times New Roman"/>
          <w:sz w:val="24"/>
          <w:szCs w:val="24"/>
          <w:lang w:eastAsia="en-GB" w:bidi="hi-IN"/>
        </w:rPr>
      </w:pPr>
    </w:p>
    <w:p w14:paraId="68949E26">
      <w:pPr>
        <w:spacing w:after="0" w:line="240" w:lineRule="auto"/>
        <w:jc w:val="both"/>
        <w:rPr>
          <w:rFonts w:ascii="Times New Roman" w:hAnsi="Times New Roman" w:eastAsia="Times New Roman" w:cs="Times New Roman"/>
          <w:sz w:val="24"/>
          <w:szCs w:val="24"/>
          <w:lang w:eastAsia="en-GB" w:bidi="hi-IN"/>
        </w:rPr>
      </w:pPr>
    </w:p>
    <w:p w14:paraId="28840294">
      <w:pPr>
        <w:spacing w:after="0" w:line="240" w:lineRule="auto"/>
        <w:jc w:val="both"/>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3.3 Relative Growth Rate</w:t>
      </w:r>
    </w:p>
    <w:p w14:paraId="6B63BB62">
      <w:pPr>
        <w:spacing w:after="0" w:line="240" w:lineRule="auto"/>
        <w:jc w:val="both"/>
        <w:rPr>
          <w:rFonts w:ascii="Times New Roman" w:hAnsi="Times New Roman" w:eastAsia="Times New Roman" w:cs="Times New Roman"/>
          <w:b/>
          <w:bCs/>
          <w:sz w:val="24"/>
          <w:szCs w:val="24"/>
          <w:lang w:eastAsia="en-GB" w:bidi="hi-IN"/>
        </w:rPr>
      </w:pPr>
    </w:p>
    <w:p w14:paraId="6C1893B6">
      <w:pPr>
        <w:spacing w:after="0" w:line="240" w:lineRule="auto"/>
        <w:ind w:firstLine="720"/>
        <w:jc w:val="both"/>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The relative growth rate (RGR) of the crop was influenced by different sowing dates across various growth stages. During the initial growth period (30-60 DAS), no significant differences in RGR were observed among the three sowing dates in both years. Similarly, during the 60-90 DAS period, RGR remained statistically similar across sowing dates. However, during the final growth stage (90 DAS-Harvest), significant differences emerged. The earliest sowing date (15th November) consistently showed the highest RGR in both years (0.0027 and 0.0023 g g</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day</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followed by the second sowing date (30th November), while the latest sowing (15th December) resulted in the lowest RGR. This trend suggests that earlier sowing dates may provide more favourable conditions for crop growth during the later stages of development, potentially due to better utilization of environmental resources.</w:t>
      </w:r>
    </w:p>
    <w:p w14:paraId="05E7A9BA">
      <w:pPr>
        <w:spacing w:after="0" w:line="240" w:lineRule="auto"/>
        <w:ind w:firstLine="720"/>
        <w:jc w:val="both"/>
        <w:rPr>
          <w:rFonts w:ascii="Times New Roman" w:hAnsi="Times New Roman" w:eastAsia="Times New Roman" w:cs="Times New Roman"/>
          <w:sz w:val="24"/>
          <w:szCs w:val="24"/>
          <w:lang w:eastAsia="en-GB" w:bidi="hi-IN"/>
        </w:rPr>
      </w:pPr>
    </w:p>
    <w:p w14:paraId="2366FABF">
      <w:pPr>
        <w:spacing w:after="0" w:line="240" w:lineRule="auto"/>
        <w:ind w:firstLine="72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The implementation of weed control measures significantly influenced the Relative Growth Rate (RGR) of the crop across different growth stages and sowing dates. During the initial growth period (30-60 DAS), the RGR showed minimal variation among different sowing dates, ranging from 0.0418 to 0.0419 g g</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day</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in 2018-19 and 0.0417 to 0.0420 g g</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day</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in 2019-20. However, as the crop progressed to the 60-90 DAS stage, a slight increase in RGR was observed, with values ranging from 0.0443 to 0.0450 g g</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day</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in 2018-19 and consistently at 0.0446 g g</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day</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in 2019-20 across all sowing dates. The most pronounced effect of weed control measures on RGR was evident during the final growth stage (90 DAS-Harvest), where a significant decline in RGR was observed. The earliest sowing date (15th Nov) maintained the highest RGR of 0.0027 and 0.0023 g g</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day</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in 2018-19 and 2019-20, respectively, while the latest sowing date (15th Dec) showed the lowest RGR of 0.0020 and 0.0018 g g</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day</w:t>
      </w:r>
      <w:r>
        <w:rPr>
          <w:rFonts w:ascii="Times New Roman" w:hAnsi="Times New Roman" w:eastAsia="Times New Roman" w:cs="Times New Roman"/>
          <w:sz w:val="24"/>
          <w:szCs w:val="24"/>
          <w:vertAlign w:val="superscript"/>
          <w:lang w:eastAsia="en-GB" w:bidi="hi-IN"/>
        </w:rPr>
        <w:t>-1</w:t>
      </w:r>
      <w:r>
        <w:rPr>
          <w:rFonts w:ascii="Times New Roman" w:hAnsi="Times New Roman" w:eastAsia="Times New Roman" w:cs="Times New Roman"/>
          <w:sz w:val="24"/>
          <w:szCs w:val="24"/>
          <w:lang w:eastAsia="en-GB" w:bidi="hi-IN"/>
        </w:rPr>
        <w:t xml:space="preserve"> for the respective years. These findings suggest that effective weed control measures, particularly when combined with earlier sowing dates, can positively influence the crop's RGR, especially during the critical later stages of growth</w:t>
      </w:r>
      <w:r>
        <w:commentReference w:id="8"/>
      </w:r>
      <w:r>
        <w:rPr>
          <w:rFonts w:ascii="Times New Roman" w:hAnsi="Times New Roman" w:eastAsia="Times New Roman" w:cs="Times New Roman"/>
          <w:sz w:val="24"/>
          <w:szCs w:val="24"/>
          <w:lang w:eastAsia="en-GB" w:bidi="hi-IN"/>
        </w:rPr>
        <w:t>.</w:t>
      </w:r>
    </w:p>
    <w:p w14:paraId="40AE3160">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Table 3 : </w:t>
      </w:r>
      <w:r>
        <w:rPr>
          <w:rFonts w:ascii="Times New Roman" w:hAnsi="Times New Roman" w:cs="Times New Roman"/>
          <w:b/>
          <w:bCs/>
          <w:sz w:val="24"/>
          <w:szCs w:val="24"/>
        </w:rPr>
        <w:t xml:space="preserve">Effect of date of sowing and </w:t>
      </w:r>
      <w:r>
        <w:rPr>
          <w:rFonts w:ascii="Times New Roman" w:hAnsi="Times New Roman" w:cs="Arial"/>
          <w:b/>
          <w:sz w:val="24"/>
          <w:szCs w:val="24"/>
        </w:rPr>
        <w:t>weed control measures</w:t>
      </w:r>
      <w:r>
        <w:rPr>
          <w:rFonts w:ascii="Times New Roman" w:hAnsi="Times New Roman" w:cs="Times New Roman"/>
          <w:b/>
          <w:bCs/>
          <w:sz w:val="24"/>
          <w:szCs w:val="24"/>
        </w:rPr>
        <w:t xml:space="preserve"> on </w:t>
      </w:r>
      <w:r>
        <w:rPr>
          <w:rFonts w:ascii="Times New Roman" w:hAnsi="Times New Roman" w:cs="Times New Roman"/>
          <w:b/>
          <w:sz w:val="24"/>
          <w:szCs w:val="24"/>
        </w:rPr>
        <w:t>Relative Growth Rate (RGR) of wheat at various crop growth stages</w:t>
      </w:r>
    </w:p>
    <w:tbl>
      <w:tblPr>
        <w:tblStyle w:val="3"/>
        <w:tblW w:w="482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1" w:type="dxa"/>
          <w:bottom w:w="0" w:type="dxa"/>
          <w:right w:w="14" w:type="dxa"/>
        </w:tblCellMar>
      </w:tblPr>
      <w:tblGrid>
        <w:gridCol w:w="3028"/>
        <w:gridCol w:w="965"/>
        <w:gridCol w:w="965"/>
        <w:gridCol w:w="965"/>
        <w:gridCol w:w="965"/>
        <w:gridCol w:w="965"/>
        <w:gridCol w:w="966"/>
      </w:tblGrid>
      <w:tr w14:paraId="0B4FE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vMerge w:val="restart"/>
            <w:shd w:val="clear" w:color="auto" w:fill="auto"/>
            <w:vAlign w:val="center"/>
          </w:tcPr>
          <w:p w14:paraId="75A90E5B">
            <w:pPr>
              <w:spacing w:after="0" w:line="240" w:lineRule="auto"/>
              <w:jc w:val="center"/>
              <w:rPr>
                <w:rFonts w:ascii="Times New Roman" w:hAnsi="Times New Roman"/>
                <w:b/>
                <w:sz w:val="24"/>
                <w:szCs w:val="24"/>
              </w:rPr>
            </w:pPr>
            <w:r>
              <w:rPr>
                <w:rFonts w:ascii="Times New Roman" w:hAnsi="Times New Roman"/>
                <w:b/>
                <w:sz w:val="24"/>
                <w:szCs w:val="24"/>
              </w:rPr>
              <w:t>Treatments</w:t>
            </w:r>
          </w:p>
        </w:tc>
        <w:tc>
          <w:tcPr>
            <w:tcW w:w="5712" w:type="dxa"/>
            <w:gridSpan w:val="6"/>
            <w:shd w:val="clear" w:color="auto" w:fill="auto"/>
            <w:vAlign w:val="center"/>
          </w:tcPr>
          <w:p w14:paraId="7198BB22">
            <w:pPr>
              <w:spacing w:after="0" w:line="240" w:lineRule="auto"/>
              <w:jc w:val="center"/>
              <w:rPr>
                <w:rFonts w:ascii="Times New Roman" w:hAnsi="Times New Roman"/>
                <w:b/>
                <w:sz w:val="24"/>
                <w:szCs w:val="24"/>
              </w:rPr>
            </w:pPr>
            <w:r>
              <w:rPr>
                <w:rFonts w:ascii="Times New Roman" w:hAnsi="Times New Roman" w:cs="Times New Roman"/>
                <w:b/>
                <w:sz w:val="24"/>
                <w:szCs w:val="24"/>
              </w:rPr>
              <w:t>Relative Growth Rate (g g</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day</w:t>
            </w:r>
            <w:r>
              <w:rPr>
                <w:rFonts w:ascii="Times New Roman" w:hAnsi="Times New Roman" w:cs="Times New Roman"/>
                <w:b/>
                <w:sz w:val="24"/>
                <w:szCs w:val="24"/>
                <w:vertAlign w:val="superscript"/>
              </w:rPr>
              <w:t>-1</w:t>
            </w:r>
            <w:r>
              <w:rPr>
                <w:rFonts w:ascii="Times New Roman" w:hAnsi="Times New Roman" w:cs="Times New Roman"/>
                <w:b/>
                <w:sz w:val="24"/>
                <w:szCs w:val="24"/>
              </w:rPr>
              <w:t>)</w:t>
            </w:r>
          </w:p>
        </w:tc>
      </w:tr>
      <w:tr w14:paraId="09BA2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vMerge w:val="continue"/>
            <w:shd w:val="clear" w:color="auto" w:fill="auto"/>
            <w:vAlign w:val="center"/>
          </w:tcPr>
          <w:p w14:paraId="1461D0D3">
            <w:pPr>
              <w:spacing w:after="0" w:line="240" w:lineRule="auto"/>
              <w:jc w:val="center"/>
              <w:rPr>
                <w:rFonts w:ascii="Times New Roman" w:hAnsi="Times New Roman"/>
                <w:b/>
                <w:sz w:val="24"/>
                <w:szCs w:val="24"/>
              </w:rPr>
            </w:pPr>
          </w:p>
        </w:tc>
        <w:tc>
          <w:tcPr>
            <w:tcW w:w="1904" w:type="dxa"/>
            <w:gridSpan w:val="2"/>
            <w:shd w:val="clear" w:color="auto" w:fill="auto"/>
            <w:vAlign w:val="center"/>
          </w:tcPr>
          <w:p w14:paraId="0794E6DA">
            <w:pPr>
              <w:spacing w:after="0" w:line="240" w:lineRule="auto"/>
              <w:jc w:val="center"/>
              <w:rPr>
                <w:rFonts w:ascii="Times New Roman" w:hAnsi="Times New Roman"/>
                <w:b/>
                <w:sz w:val="24"/>
                <w:szCs w:val="24"/>
              </w:rPr>
            </w:pPr>
            <w:r>
              <w:rPr>
                <w:rFonts w:ascii="Times New Roman" w:hAnsi="Times New Roman"/>
                <w:b/>
                <w:sz w:val="24"/>
                <w:szCs w:val="24"/>
              </w:rPr>
              <w:t>30-60 DAS</w:t>
            </w:r>
          </w:p>
        </w:tc>
        <w:tc>
          <w:tcPr>
            <w:tcW w:w="1904" w:type="dxa"/>
            <w:gridSpan w:val="2"/>
            <w:shd w:val="clear" w:color="auto" w:fill="auto"/>
            <w:vAlign w:val="center"/>
          </w:tcPr>
          <w:p w14:paraId="7668F582">
            <w:pPr>
              <w:spacing w:after="0" w:line="240" w:lineRule="auto"/>
              <w:jc w:val="center"/>
              <w:rPr>
                <w:rFonts w:ascii="Times New Roman" w:hAnsi="Times New Roman"/>
                <w:b/>
                <w:sz w:val="24"/>
                <w:szCs w:val="24"/>
              </w:rPr>
            </w:pPr>
            <w:r>
              <w:rPr>
                <w:rFonts w:ascii="Times New Roman" w:hAnsi="Times New Roman"/>
                <w:b/>
                <w:sz w:val="24"/>
                <w:szCs w:val="24"/>
              </w:rPr>
              <w:t>60-90 DAS</w:t>
            </w:r>
          </w:p>
        </w:tc>
        <w:tc>
          <w:tcPr>
            <w:tcW w:w="1904" w:type="dxa"/>
            <w:gridSpan w:val="2"/>
            <w:shd w:val="clear" w:color="auto" w:fill="auto"/>
            <w:vAlign w:val="center"/>
          </w:tcPr>
          <w:p w14:paraId="339F84E6">
            <w:pPr>
              <w:spacing w:after="0" w:line="240" w:lineRule="auto"/>
              <w:jc w:val="center"/>
              <w:rPr>
                <w:rFonts w:ascii="Times New Roman" w:hAnsi="Times New Roman"/>
                <w:b/>
                <w:sz w:val="24"/>
                <w:szCs w:val="24"/>
              </w:rPr>
            </w:pPr>
            <w:r>
              <w:rPr>
                <w:rFonts w:ascii="Times New Roman" w:hAnsi="Times New Roman"/>
                <w:b/>
                <w:sz w:val="24"/>
                <w:szCs w:val="24"/>
              </w:rPr>
              <w:t>90 DAS-Harvest</w:t>
            </w:r>
          </w:p>
        </w:tc>
      </w:tr>
      <w:tr w14:paraId="1570B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vMerge w:val="continue"/>
            <w:tcBorders>
              <w:bottom w:val="single" w:color="000000" w:sz="4" w:space="0"/>
            </w:tcBorders>
            <w:shd w:val="clear" w:color="auto" w:fill="auto"/>
            <w:vAlign w:val="center"/>
          </w:tcPr>
          <w:p w14:paraId="461132E3">
            <w:pPr>
              <w:spacing w:after="0" w:line="240" w:lineRule="auto"/>
              <w:jc w:val="center"/>
              <w:rPr>
                <w:rFonts w:ascii="Times New Roman" w:hAnsi="Times New Roman"/>
                <w:b/>
                <w:sz w:val="24"/>
                <w:szCs w:val="24"/>
              </w:rPr>
            </w:pPr>
          </w:p>
        </w:tc>
        <w:tc>
          <w:tcPr>
            <w:tcW w:w="952" w:type="dxa"/>
            <w:tcBorders>
              <w:bottom w:val="single" w:color="000000" w:sz="4" w:space="0"/>
            </w:tcBorders>
            <w:shd w:val="clear" w:color="auto" w:fill="auto"/>
            <w:vAlign w:val="center"/>
          </w:tcPr>
          <w:p w14:paraId="1CDA00AA">
            <w:pPr>
              <w:spacing w:after="0" w:line="240" w:lineRule="auto"/>
              <w:jc w:val="center"/>
              <w:rPr>
                <w:rFonts w:ascii="Times New Roman" w:hAnsi="Times New Roman"/>
                <w:b/>
                <w:sz w:val="24"/>
                <w:szCs w:val="24"/>
              </w:rPr>
            </w:pPr>
            <w:r>
              <w:rPr>
                <w:rFonts w:ascii="Times New Roman" w:hAnsi="Times New Roman"/>
                <w:b/>
                <w:sz w:val="24"/>
                <w:szCs w:val="24"/>
              </w:rPr>
              <w:t>2018-19</w:t>
            </w:r>
          </w:p>
        </w:tc>
        <w:tc>
          <w:tcPr>
            <w:tcW w:w="952" w:type="dxa"/>
            <w:tcBorders>
              <w:bottom w:val="single" w:color="000000" w:sz="4" w:space="0"/>
            </w:tcBorders>
            <w:shd w:val="clear" w:color="auto" w:fill="auto"/>
            <w:vAlign w:val="center"/>
          </w:tcPr>
          <w:p w14:paraId="72583732">
            <w:pPr>
              <w:spacing w:after="0" w:line="240" w:lineRule="auto"/>
              <w:jc w:val="center"/>
              <w:rPr>
                <w:rFonts w:ascii="Times New Roman" w:hAnsi="Times New Roman"/>
                <w:b/>
                <w:sz w:val="24"/>
                <w:szCs w:val="24"/>
              </w:rPr>
            </w:pPr>
            <w:r>
              <w:rPr>
                <w:rFonts w:ascii="Times New Roman" w:hAnsi="Times New Roman"/>
                <w:b/>
                <w:sz w:val="24"/>
                <w:szCs w:val="24"/>
              </w:rPr>
              <w:t>2019-20</w:t>
            </w:r>
          </w:p>
        </w:tc>
        <w:tc>
          <w:tcPr>
            <w:tcW w:w="952" w:type="dxa"/>
            <w:tcBorders>
              <w:bottom w:val="single" w:color="000000" w:sz="4" w:space="0"/>
            </w:tcBorders>
            <w:shd w:val="clear" w:color="auto" w:fill="auto"/>
            <w:vAlign w:val="center"/>
          </w:tcPr>
          <w:p w14:paraId="3D4A7745">
            <w:pPr>
              <w:spacing w:after="0" w:line="240" w:lineRule="auto"/>
              <w:jc w:val="center"/>
              <w:rPr>
                <w:rFonts w:ascii="Times New Roman" w:hAnsi="Times New Roman"/>
                <w:b/>
                <w:sz w:val="24"/>
                <w:szCs w:val="24"/>
              </w:rPr>
            </w:pPr>
            <w:r>
              <w:rPr>
                <w:rFonts w:ascii="Times New Roman" w:hAnsi="Times New Roman"/>
                <w:b/>
                <w:sz w:val="24"/>
                <w:szCs w:val="24"/>
              </w:rPr>
              <w:t>2018-19</w:t>
            </w:r>
          </w:p>
        </w:tc>
        <w:tc>
          <w:tcPr>
            <w:tcW w:w="952" w:type="dxa"/>
            <w:tcBorders>
              <w:bottom w:val="single" w:color="000000" w:sz="4" w:space="0"/>
            </w:tcBorders>
            <w:shd w:val="clear" w:color="auto" w:fill="auto"/>
            <w:vAlign w:val="center"/>
          </w:tcPr>
          <w:p w14:paraId="6CCE6084">
            <w:pPr>
              <w:spacing w:after="0" w:line="240" w:lineRule="auto"/>
              <w:jc w:val="center"/>
              <w:rPr>
                <w:rFonts w:ascii="Times New Roman" w:hAnsi="Times New Roman"/>
                <w:b/>
                <w:sz w:val="24"/>
                <w:szCs w:val="24"/>
              </w:rPr>
            </w:pPr>
            <w:r>
              <w:rPr>
                <w:rFonts w:ascii="Times New Roman" w:hAnsi="Times New Roman"/>
                <w:b/>
                <w:sz w:val="24"/>
                <w:szCs w:val="24"/>
              </w:rPr>
              <w:t>2019-20</w:t>
            </w:r>
          </w:p>
        </w:tc>
        <w:tc>
          <w:tcPr>
            <w:tcW w:w="952" w:type="dxa"/>
            <w:tcBorders>
              <w:bottom w:val="single" w:color="000000" w:sz="4" w:space="0"/>
            </w:tcBorders>
            <w:shd w:val="clear" w:color="auto" w:fill="auto"/>
            <w:vAlign w:val="center"/>
          </w:tcPr>
          <w:p w14:paraId="4459889C">
            <w:pPr>
              <w:spacing w:after="0" w:line="240" w:lineRule="auto"/>
              <w:jc w:val="center"/>
              <w:rPr>
                <w:rFonts w:ascii="Times New Roman" w:hAnsi="Times New Roman"/>
                <w:b/>
                <w:sz w:val="24"/>
                <w:szCs w:val="24"/>
              </w:rPr>
            </w:pPr>
            <w:r>
              <w:rPr>
                <w:rFonts w:ascii="Times New Roman" w:hAnsi="Times New Roman"/>
                <w:b/>
                <w:sz w:val="24"/>
                <w:szCs w:val="24"/>
              </w:rPr>
              <w:t>2018-19</w:t>
            </w:r>
          </w:p>
        </w:tc>
        <w:tc>
          <w:tcPr>
            <w:tcW w:w="952" w:type="dxa"/>
            <w:tcBorders>
              <w:bottom w:val="single" w:color="000000" w:sz="4" w:space="0"/>
            </w:tcBorders>
            <w:shd w:val="clear" w:color="auto" w:fill="auto"/>
            <w:vAlign w:val="center"/>
          </w:tcPr>
          <w:p w14:paraId="39DAAECD">
            <w:pPr>
              <w:spacing w:after="0" w:line="240" w:lineRule="auto"/>
              <w:jc w:val="center"/>
              <w:rPr>
                <w:rFonts w:ascii="Times New Roman" w:hAnsi="Times New Roman"/>
                <w:b/>
                <w:sz w:val="24"/>
                <w:szCs w:val="24"/>
              </w:rPr>
            </w:pPr>
            <w:r>
              <w:rPr>
                <w:rFonts w:ascii="Times New Roman" w:hAnsi="Times New Roman"/>
                <w:b/>
                <w:sz w:val="24"/>
                <w:szCs w:val="24"/>
              </w:rPr>
              <w:t>2019-20</w:t>
            </w:r>
          </w:p>
        </w:tc>
      </w:tr>
      <w:tr w14:paraId="79452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8699" w:type="dxa"/>
            <w:gridSpan w:val="7"/>
            <w:shd w:val="clear" w:color="auto" w:fill="auto"/>
            <w:vAlign w:val="center"/>
          </w:tcPr>
          <w:p w14:paraId="2051B2CD">
            <w:pPr>
              <w:spacing w:after="0" w:line="240" w:lineRule="auto"/>
              <w:rPr>
                <w:rFonts w:ascii="Times New Roman" w:hAnsi="Times New Roman"/>
                <w:sz w:val="24"/>
                <w:szCs w:val="24"/>
              </w:rPr>
            </w:pPr>
            <w:r>
              <w:rPr>
                <w:rFonts w:ascii="Times New Roman" w:hAnsi="Times New Roman"/>
                <w:b/>
                <w:sz w:val="24"/>
                <w:szCs w:val="24"/>
              </w:rPr>
              <w:t>Main Plot: Sowing dates (3)</w:t>
            </w:r>
          </w:p>
        </w:tc>
      </w:tr>
      <w:tr w14:paraId="5E7DF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6C1FA929">
            <w:pPr>
              <w:spacing w:after="0" w:line="240" w:lineRule="auto"/>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vertAlign w:val="subscript"/>
              </w:rPr>
              <w:t>1</w:t>
            </w:r>
            <w:r>
              <w:rPr>
                <w:rFonts w:ascii="Times New Roman" w:hAnsi="Times New Roman"/>
                <w:b/>
                <w:bCs/>
                <w:sz w:val="24"/>
                <w:szCs w:val="24"/>
              </w:rPr>
              <w:t>:</w:t>
            </w:r>
            <w:r>
              <w:rPr>
                <w:rFonts w:ascii="Times New Roman" w:hAnsi="Times New Roman"/>
                <w:sz w:val="24"/>
                <w:szCs w:val="24"/>
              </w:rPr>
              <w:t xml:space="preserve"> 1</w:t>
            </w:r>
            <w:r>
              <w:rPr>
                <w:rFonts w:ascii="Times New Roman" w:hAnsi="Times New Roman"/>
                <w:sz w:val="24"/>
                <w:szCs w:val="24"/>
                <w:vertAlign w:val="superscript"/>
              </w:rPr>
              <w:t xml:space="preserve">st </w:t>
            </w:r>
            <w:r>
              <w:rPr>
                <w:rFonts w:ascii="Times New Roman" w:hAnsi="Times New Roman"/>
                <w:sz w:val="24"/>
                <w:szCs w:val="24"/>
              </w:rPr>
              <w:t>date of sowing (15</w:t>
            </w:r>
            <w:r>
              <w:rPr>
                <w:rFonts w:ascii="Times New Roman" w:hAnsi="Times New Roman"/>
                <w:sz w:val="24"/>
                <w:szCs w:val="24"/>
                <w:vertAlign w:val="superscript"/>
              </w:rPr>
              <w:t>th</w:t>
            </w:r>
            <w:r>
              <w:rPr>
                <w:rFonts w:ascii="Times New Roman" w:hAnsi="Times New Roman"/>
                <w:sz w:val="24"/>
                <w:szCs w:val="24"/>
              </w:rPr>
              <w:t xml:space="preserve"> Nov)</w:t>
            </w:r>
          </w:p>
        </w:tc>
        <w:tc>
          <w:tcPr>
            <w:tcW w:w="952" w:type="dxa"/>
            <w:shd w:val="clear" w:color="auto" w:fill="auto"/>
            <w:vAlign w:val="center"/>
          </w:tcPr>
          <w:p w14:paraId="15A97904">
            <w:pPr>
              <w:spacing w:after="0" w:line="240" w:lineRule="auto"/>
              <w:jc w:val="center"/>
              <w:rPr>
                <w:rFonts w:ascii="Calibri" w:hAnsi="Calibri" w:eastAsia="Times New Roman" w:cs="Calibri"/>
                <w:lang w:eastAsia="en-GB"/>
              </w:rPr>
            </w:pPr>
            <w:r>
              <w:rPr>
                <w:rFonts w:ascii="Calibri" w:hAnsi="Calibri" w:cs="Calibri"/>
              </w:rPr>
              <w:t>0.0418</w:t>
            </w:r>
          </w:p>
        </w:tc>
        <w:tc>
          <w:tcPr>
            <w:tcW w:w="952" w:type="dxa"/>
            <w:shd w:val="clear" w:color="auto" w:fill="auto"/>
            <w:vAlign w:val="center"/>
          </w:tcPr>
          <w:p w14:paraId="21945051">
            <w:pPr>
              <w:spacing w:after="0" w:line="240" w:lineRule="auto"/>
              <w:jc w:val="center"/>
              <w:rPr>
                <w:rFonts w:ascii="Calibri" w:hAnsi="Calibri" w:cs="Calibri"/>
              </w:rPr>
            </w:pPr>
            <w:r>
              <w:rPr>
                <w:rFonts w:ascii="Calibri" w:hAnsi="Calibri" w:cs="Calibri"/>
              </w:rPr>
              <w:t>0.0417</w:t>
            </w:r>
          </w:p>
        </w:tc>
        <w:tc>
          <w:tcPr>
            <w:tcW w:w="952" w:type="dxa"/>
            <w:shd w:val="clear" w:color="auto" w:fill="auto"/>
            <w:vAlign w:val="center"/>
          </w:tcPr>
          <w:p w14:paraId="51DA004D">
            <w:pPr>
              <w:spacing w:after="0" w:line="240" w:lineRule="auto"/>
              <w:jc w:val="center"/>
              <w:rPr>
                <w:rFonts w:ascii="Calibri" w:hAnsi="Calibri" w:cs="Calibri"/>
              </w:rPr>
            </w:pPr>
            <w:r>
              <w:rPr>
                <w:rFonts w:ascii="Calibri" w:hAnsi="Calibri" w:cs="Calibri"/>
              </w:rPr>
              <w:t>0.0450</w:t>
            </w:r>
          </w:p>
        </w:tc>
        <w:tc>
          <w:tcPr>
            <w:tcW w:w="952" w:type="dxa"/>
            <w:shd w:val="clear" w:color="auto" w:fill="auto"/>
            <w:vAlign w:val="center"/>
          </w:tcPr>
          <w:p w14:paraId="334A71C0">
            <w:pPr>
              <w:spacing w:after="0" w:line="240" w:lineRule="auto"/>
              <w:jc w:val="center"/>
              <w:rPr>
                <w:rFonts w:ascii="Calibri" w:hAnsi="Calibri" w:cs="Calibri"/>
              </w:rPr>
            </w:pPr>
            <w:r>
              <w:rPr>
                <w:rFonts w:ascii="Calibri" w:hAnsi="Calibri" w:cs="Calibri"/>
              </w:rPr>
              <w:t>0.0446</w:t>
            </w:r>
          </w:p>
        </w:tc>
        <w:tc>
          <w:tcPr>
            <w:tcW w:w="952" w:type="dxa"/>
            <w:shd w:val="clear" w:color="auto" w:fill="auto"/>
            <w:vAlign w:val="center"/>
          </w:tcPr>
          <w:p w14:paraId="49FA9C2E">
            <w:pPr>
              <w:spacing w:after="0" w:line="240" w:lineRule="auto"/>
              <w:jc w:val="center"/>
              <w:rPr>
                <w:rFonts w:ascii="Calibri" w:hAnsi="Calibri" w:eastAsia="Times New Roman" w:cs="Calibri"/>
                <w:lang w:eastAsia="en-GB"/>
              </w:rPr>
            </w:pPr>
            <w:r>
              <w:rPr>
                <w:rFonts w:ascii="Calibri" w:hAnsi="Calibri" w:cs="Calibri"/>
              </w:rPr>
              <w:t>0.0027</w:t>
            </w:r>
          </w:p>
        </w:tc>
        <w:tc>
          <w:tcPr>
            <w:tcW w:w="952" w:type="dxa"/>
            <w:shd w:val="clear" w:color="auto" w:fill="auto"/>
            <w:vAlign w:val="center"/>
          </w:tcPr>
          <w:p w14:paraId="2E466ADA">
            <w:pPr>
              <w:spacing w:after="0" w:line="240" w:lineRule="auto"/>
              <w:jc w:val="center"/>
              <w:rPr>
                <w:rFonts w:ascii="Calibri" w:hAnsi="Calibri" w:cs="Calibri"/>
              </w:rPr>
            </w:pPr>
            <w:r>
              <w:rPr>
                <w:rFonts w:ascii="Calibri" w:hAnsi="Calibri" w:cs="Calibri"/>
              </w:rPr>
              <w:t>0.0023</w:t>
            </w:r>
          </w:p>
        </w:tc>
      </w:tr>
      <w:tr w14:paraId="0802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2114F625">
            <w:pPr>
              <w:spacing w:after="0" w:line="240" w:lineRule="auto"/>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vertAlign w:val="subscript"/>
              </w:rPr>
              <w:t>2</w:t>
            </w:r>
            <w:r>
              <w:rPr>
                <w:rFonts w:ascii="Times New Roman" w:hAnsi="Times New Roman"/>
                <w:b/>
                <w:bCs/>
                <w:sz w:val="24"/>
                <w:szCs w:val="24"/>
              </w:rPr>
              <w:t>:</w:t>
            </w:r>
            <w:r>
              <w:rPr>
                <w:rFonts w:ascii="Times New Roman" w:hAnsi="Times New Roman"/>
                <w:sz w:val="24"/>
                <w:szCs w:val="24"/>
              </w:rPr>
              <w:t xml:space="preserve"> 2</w:t>
            </w:r>
            <w:r>
              <w:rPr>
                <w:rFonts w:ascii="Times New Roman" w:hAnsi="Times New Roman"/>
                <w:sz w:val="24"/>
                <w:szCs w:val="24"/>
                <w:vertAlign w:val="superscript"/>
              </w:rPr>
              <w:t xml:space="preserve">nd </w:t>
            </w:r>
            <w:r>
              <w:rPr>
                <w:rFonts w:ascii="Times New Roman" w:hAnsi="Times New Roman"/>
                <w:sz w:val="24"/>
                <w:szCs w:val="24"/>
              </w:rPr>
              <w:t>date of sowing (30</w:t>
            </w:r>
            <w:r>
              <w:rPr>
                <w:rFonts w:ascii="Times New Roman" w:hAnsi="Times New Roman"/>
                <w:sz w:val="24"/>
                <w:szCs w:val="24"/>
                <w:vertAlign w:val="superscript"/>
              </w:rPr>
              <w:t>th</w:t>
            </w:r>
            <w:r>
              <w:rPr>
                <w:rFonts w:ascii="Times New Roman" w:hAnsi="Times New Roman"/>
                <w:sz w:val="24"/>
                <w:szCs w:val="24"/>
              </w:rPr>
              <w:t xml:space="preserve"> Nov)</w:t>
            </w:r>
          </w:p>
        </w:tc>
        <w:tc>
          <w:tcPr>
            <w:tcW w:w="952" w:type="dxa"/>
            <w:shd w:val="clear" w:color="auto" w:fill="auto"/>
            <w:vAlign w:val="center"/>
          </w:tcPr>
          <w:p w14:paraId="3C33B92A">
            <w:pPr>
              <w:spacing w:after="0" w:line="240" w:lineRule="auto"/>
              <w:jc w:val="center"/>
              <w:rPr>
                <w:rFonts w:ascii="Calibri" w:hAnsi="Calibri" w:cs="Calibri"/>
              </w:rPr>
            </w:pPr>
            <w:r>
              <w:rPr>
                <w:rFonts w:ascii="Calibri" w:hAnsi="Calibri" w:cs="Calibri"/>
              </w:rPr>
              <w:t>0.0419</w:t>
            </w:r>
          </w:p>
        </w:tc>
        <w:tc>
          <w:tcPr>
            <w:tcW w:w="952" w:type="dxa"/>
            <w:shd w:val="clear" w:color="auto" w:fill="auto"/>
            <w:vAlign w:val="center"/>
          </w:tcPr>
          <w:p w14:paraId="2753644A">
            <w:pPr>
              <w:spacing w:after="0" w:line="240" w:lineRule="auto"/>
              <w:jc w:val="center"/>
              <w:rPr>
                <w:rFonts w:ascii="Calibri" w:hAnsi="Calibri" w:cs="Calibri"/>
              </w:rPr>
            </w:pPr>
            <w:r>
              <w:rPr>
                <w:rFonts w:ascii="Calibri" w:hAnsi="Calibri" w:cs="Calibri"/>
              </w:rPr>
              <w:t>0.0420</w:t>
            </w:r>
          </w:p>
        </w:tc>
        <w:tc>
          <w:tcPr>
            <w:tcW w:w="952" w:type="dxa"/>
            <w:shd w:val="clear" w:color="auto" w:fill="auto"/>
            <w:vAlign w:val="center"/>
          </w:tcPr>
          <w:p w14:paraId="453B312A">
            <w:pPr>
              <w:spacing w:after="0" w:line="240" w:lineRule="auto"/>
              <w:jc w:val="center"/>
              <w:rPr>
                <w:rFonts w:ascii="Calibri" w:hAnsi="Calibri" w:cs="Calibri"/>
              </w:rPr>
            </w:pPr>
            <w:r>
              <w:rPr>
                <w:rFonts w:ascii="Calibri" w:hAnsi="Calibri" w:cs="Calibri"/>
              </w:rPr>
              <w:t>0.0447</w:t>
            </w:r>
          </w:p>
        </w:tc>
        <w:tc>
          <w:tcPr>
            <w:tcW w:w="952" w:type="dxa"/>
            <w:shd w:val="clear" w:color="auto" w:fill="auto"/>
            <w:vAlign w:val="center"/>
          </w:tcPr>
          <w:p w14:paraId="0ADA00A3">
            <w:pPr>
              <w:spacing w:after="0" w:line="240" w:lineRule="auto"/>
              <w:jc w:val="center"/>
              <w:rPr>
                <w:rFonts w:ascii="Calibri" w:hAnsi="Calibri" w:cs="Calibri"/>
              </w:rPr>
            </w:pPr>
            <w:r>
              <w:rPr>
                <w:rFonts w:ascii="Calibri" w:hAnsi="Calibri" w:cs="Calibri"/>
              </w:rPr>
              <w:t>0.0446</w:t>
            </w:r>
          </w:p>
        </w:tc>
        <w:tc>
          <w:tcPr>
            <w:tcW w:w="952" w:type="dxa"/>
            <w:shd w:val="clear" w:color="auto" w:fill="auto"/>
            <w:vAlign w:val="center"/>
          </w:tcPr>
          <w:p w14:paraId="685721AA">
            <w:pPr>
              <w:spacing w:after="0" w:line="240" w:lineRule="auto"/>
              <w:jc w:val="center"/>
              <w:rPr>
                <w:rFonts w:ascii="Calibri" w:hAnsi="Calibri" w:cs="Calibri"/>
              </w:rPr>
            </w:pPr>
            <w:r>
              <w:rPr>
                <w:rFonts w:ascii="Calibri" w:hAnsi="Calibri" w:cs="Calibri"/>
              </w:rPr>
              <w:t>0.0024</w:t>
            </w:r>
          </w:p>
        </w:tc>
        <w:tc>
          <w:tcPr>
            <w:tcW w:w="952" w:type="dxa"/>
            <w:shd w:val="clear" w:color="auto" w:fill="auto"/>
            <w:vAlign w:val="center"/>
          </w:tcPr>
          <w:p w14:paraId="71B3564A">
            <w:pPr>
              <w:spacing w:after="0" w:line="240" w:lineRule="auto"/>
              <w:jc w:val="center"/>
              <w:rPr>
                <w:rFonts w:ascii="Calibri" w:hAnsi="Calibri" w:cs="Calibri"/>
              </w:rPr>
            </w:pPr>
            <w:r>
              <w:rPr>
                <w:rFonts w:ascii="Calibri" w:hAnsi="Calibri" w:cs="Calibri"/>
              </w:rPr>
              <w:t>0.0020</w:t>
            </w:r>
          </w:p>
        </w:tc>
      </w:tr>
      <w:tr w14:paraId="4E80F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5A2E39D7">
            <w:pPr>
              <w:spacing w:after="0" w:line="240" w:lineRule="auto"/>
              <w:rPr>
                <w:rFonts w:ascii="Times New Roman" w:hAnsi="Times New Roman"/>
                <w:b/>
                <w:bCs/>
                <w:sz w:val="24"/>
                <w:szCs w:val="24"/>
                <w:vertAlign w:val="superscript"/>
              </w:rPr>
            </w:pPr>
            <w:r>
              <w:rPr>
                <w:rFonts w:ascii="Times New Roman" w:hAnsi="Times New Roman"/>
                <w:b/>
                <w:bCs/>
                <w:sz w:val="24"/>
                <w:szCs w:val="24"/>
              </w:rPr>
              <w:t>D</w:t>
            </w:r>
            <w:r>
              <w:rPr>
                <w:rFonts w:ascii="Times New Roman" w:hAnsi="Times New Roman"/>
                <w:b/>
                <w:bCs/>
                <w:sz w:val="24"/>
                <w:szCs w:val="24"/>
                <w:vertAlign w:val="subscript"/>
              </w:rPr>
              <w:t>3</w:t>
            </w:r>
            <w:r>
              <w:rPr>
                <w:rFonts w:ascii="Times New Roman" w:hAnsi="Times New Roman"/>
                <w:b/>
                <w:bCs/>
                <w:sz w:val="24"/>
                <w:szCs w:val="24"/>
              </w:rPr>
              <w:t>:</w:t>
            </w:r>
            <w:r>
              <w:rPr>
                <w:rFonts w:ascii="Times New Roman" w:hAnsi="Times New Roman"/>
                <w:sz w:val="24"/>
                <w:szCs w:val="24"/>
              </w:rPr>
              <w:t xml:space="preserve"> 3</w:t>
            </w:r>
            <w:r>
              <w:rPr>
                <w:rFonts w:ascii="Times New Roman" w:hAnsi="Times New Roman"/>
                <w:sz w:val="24"/>
                <w:szCs w:val="24"/>
                <w:vertAlign w:val="superscript"/>
              </w:rPr>
              <w:t xml:space="preserve">rd </w:t>
            </w:r>
            <w:r>
              <w:rPr>
                <w:rFonts w:ascii="Times New Roman" w:hAnsi="Times New Roman"/>
                <w:sz w:val="24"/>
                <w:szCs w:val="24"/>
              </w:rPr>
              <w:t>date of sowing (15</w:t>
            </w:r>
            <w:r>
              <w:rPr>
                <w:rFonts w:ascii="Times New Roman" w:hAnsi="Times New Roman"/>
                <w:sz w:val="24"/>
                <w:szCs w:val="24"/>
                <w:vertAlign w:val="superscript"/>
              </w:rPr>
              <w:t>th</w:t>
            </w:r>
            <w:r>
              <w:rPr>
                <w:rFonts w:ascii="Times New Roman" w:hAnsi="Times New Roman"/>
                <w:sz w:val="24"/>
                <w:szCs w:val="24"/>
              </w:rPr>
              <w:t xml:space="preserve"> Dec)</w:t>
            </w:r>
          </w:p>
        </w:tc>
        <w:tc>
          <w:tcPr>
            <w:tcW w:w="952" w:type="dxa"/>
            <w:shd w:val="clear" w:color="auto" w:fill="auto"/>
            <w:vAlign w:val="center"/>
          </w:tcPr>
          <w:p w14:paraId="3A6DE5BE">
            <w:pPr>
              <w:spacing w:after="0" w:line="240" w:lineRule="auto"/>
              <w:jc w:val="center"/>
              <w:rPr>
                <w:rFonts w:ascii="Calibri" w:hAnsi="Calibri" w:cs="Calibri"/>
              </w:rPr>
            </w:pPr>
            <w:r>
              <w:rPr>
                <w:rFonts w:ascii="Calibri" w:hAnsi="Calibri" w:cs="Calibri"/>
              </w:rPr>
              <w:t>0.0419</w:t>
            </w:r>
          </w:p>
        </w:tc>
        <w:tc>
          <w:tcPr>
            <w:tcW w:w="952" w:type="dxa"/>
            <w:shd w:val="clear" w:color="auto" w:fill="auto"/>
            <w:vAlign w:val="center"/>
          </w:tcPr>
          <w:p w14:paraId="25136E6F">
            <w:pPr>
              <w:spacing w:after="0" w:line="240" w:lineRule="auto"/>
              <w:jc w:val="center"/>
              <w:rPr>
                <w:rFonts w:ascii="Calibri" w:hAnsi="Calibri" w:cs="Calibri"/>
              </w:rPr>
            </w:pPr>
            <w:r>
              <w:rPr>
                <w:rFonts w:ascii="Calibri" w:hAnsi="Calibri" w:cs="Calibri"/>
              </w:rPr>
              <w:t>0.0419</w:t>
            </w:r>
          </w:p>
        </w:tc>
        <w:tc>
          <w:tcPr>
            <w:tcW w:w="952" w:type="dxa"/>
            <w:shd w:val="clear" w:color="auto" w:fill="auto"/>
            <w:vAlign w:val="center"/>
          </w:tcPr>
          <w:p w14:paraId="75806BF1">
            <w:pPr>
              <w:spacing w:after="0" w:line="240" w:lineRule="auto"/>
              <w:jc w:val="center"/>
              <w:rPr>
                <w:rFonts w:ascii="Calibri" w:hAnsi="Calibri" w:cs="Calibri"/>
              </w:rPr>
            </w:pPr>
            <w:r>
              <w:rPr>
                <w:rFonts w:ascii="Calibri" w:hAnsi="Calibri" w:cs="Calibri"/>
              </w:rPr>
              <w:t>0.0443</w:t>
            </w:r>
          </w:p>
        </w:tc>
        <w:tc>
          <w:tcPr>
            <w:tcW w:w="952" w:type="dxa"/>
            <w:shd w:val="clear" w:color="auto" w:fill="auto"/>
            <w:vAlign w:val="center"/>
          </w:tcPr>
          <w:p w14:paraId="5AB9F1AA">
            <w:pPr>
              <w:spacing w:after="0" w:line="240" w:lineRule="auto"/>
              <w:jc w:val="center"/>
              <w:rPr>
                <w:rFonts w:ascii="Calibri" w:hAnsi="Calibri" w:cs="Calibri"/>
              </w:rPr>
            </w:pPr>
            <w:r>
              <w:rPr>
                <w:rFonts w:ascii="Calibri" w:hAnsi="Calibri" w:cs="Calibri"/>
              </w:rPr>
              <w:t>0.0446</w:t>
            </w:r>
          </w:p>
        </w:tc>
        <w:tc>
          <w:tcPr>
            <w:tcW w:w="952" w:type="dxa"/>
            <w:shd w:val="clear" w:color="auto" w:fill="auto"/>
            <w:vAlign w:val="center"/>
          </w:tcPr>
          <w:p w14:paraId="2A78DD00">
            <w:pPr>
              <w:spacing w:after="0" w:line="240" w:lineRule="auto"/>
              <w:jc w:val="center"/>
              <w:rPr>
                <w:rFonts w:ascii="Calibri" w:hAnsi="Calibri" w:cs="Calibri"/>
              </w:rPr>
            </w:pPr>
            <w:r>
              <w:rPr>
                <w:rFonts w:ascii="Calibri" w:hAnsi="Calibri" w:cs="Calibri"/>
              </w:rPr>
              <w:t>0.0020</w:t>
            </w:r>
          </w:p>
        </w:tc>
        <w:tc>
          <w:tcPr>
            <w:tcW w:w="952" w:type="dxa"/>
            <w:shd w:val="clear" w:color="auto" w:fill="auto"/>
            <w:vAlign w:val="center"/>
          </w:tcPr>
          <w:p w14:paraId="79C32575">
            <w:pPr>
              <w:spacing w:after="0" w:line="240" w:lineRule="auto"/>
              <w:jc w:val="center"/>
              <w:rPr>
                <w:rFonts w:ascii="Calibri" w:hAnsi="Calibri" w:cs="Calibri"/>
              </w:rPr>
            </w:pPr>
            <w:r>
              <w:rPr>
                <w:rFonts w:ascii="Calibri" w:hAnsi="Calibri" w:cs="Calibri"/>
              </w:rPr>
              <w:t>0.0018</w:t>
            </w:r>
          </w:p>
        </w:tc>
      </w:tr>
      <w:tr w14:paraId="30AFA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45CD1CEE">
            <w:pPr>
              <w:spacing w:after="0" w:line="240" w:lineRule="auto"/>
              <w:rPr>
                <w:rFonts w:ascii="Times New Roman" w:hAnsi="Times New Roman"/>
                <w:sz w:val="24"/>
                <w:szCs w:val="24"/>
              </w:rPr>
            </w:pPr>
            <w:r>
              <w:rPr>
                <w:rFonts w:ascii="Times New Roman" w:hAnsi="Times New Roman"/>
                <w:sz w:val="24"/>
                <w:szCs w:val="24"/>
              </w:rPr>
              <w:t>SEm ±</w:t>
            </w:r>
          </w:p>
        </w:tc>
        <w:tc>
          <w:tcPr>
            <w:tcW w:w="952" w:type="dxa"/>
            <w:shd w:val="clear" w:color="auto" w:fill="auto"/>
            <w:vAlign w:val="center"/>
          </w:tcPr>
          <w:p w14:paraId="68DBB8C4">
            <w:pPr>
              <w:spacing w:after="0" w:line="240" w:lineRule="auto"/>
              <w:jc w:val="center"/>
              <w:rPr>
                <w:rFonts w:ascii="Calibri" w:hAnsi="Calibri" w:eastAsia="Times New Roman" w:cs="Calibri"/>
                <w:lang w:eastAsia="en-GB"/>
              </w:rPr>
            </w:pPr>
            <w:r>
              <w:rPr>
                <w:rFonts w:ascii="Calibri" w:hAnsi="Calibri" w:cs="Calibri"/>
              </w:rPr>
              <w:t>0.00070</w:t>
            </w:r>
          </w:p>
        </w:tc>
        <w:tc>
          <w:tcPr>
            <w:tcW w:w="952" w:type="dxa"/>
            <w:shd w:val="clear" w:color="auto" w:fill="auto"/>
            <w:vAlign w:val="center"/>
          </w:tcPr>
          <w:p w14:paraId="504C1D08">
            <w:pPr>
              <w:spacing w:after="0" w:line="240" w:lineRule="auto"/>
              <w:jc w:val="center"/>
              <w:rPr>
                <w:rFonts w:ascii="Calibri" w:hAnsi="Calibri" w:cs="Calibri"/>
              </w:rPr>
            </w:pPr>
            <w:r>
              <w:rPr>
                <w:rFonts w:ascii="Calibri" w:hAnsi="Calibri" w:cs="Calibri"/>
              </w:rPr>
              <w:t>0.00070</w:t>
            </w:r>
          </w:p>
        </w:tc>
        <w:tc>
          <w:tcPr>
            <w:tcW w:w="952" w:type="dxa"/>
            <w:shd w:val="clear" w:color="auto" w:fill="auto"/>
            <w:vAlign w:val="center"/>
          </w:tcPr>
          <w:p w14:paraId="13028FFB">
            <w:pPr>
              <w:spacing w:after="0" w:line="240" w:lineRule="auto"/>
              <w:jc w:val="center"/>
              <w:rPr>
                <w:rFonts w:ascii="Calibri" w:hAnsi="Calibri" w:cs="Calibri"/>
              </w:rPr>
            </w:pPr>
            <w:r>
              <w:rPr>
                <w:rFonts w:ascii="Calibri" w:hAnsi="Calibri" w:cs="Calibri"/>
              </w:rPr>
              <w:t>0.00074</w:t>
            </w:r>
          </w:p>
        </w:tc>
        <w:tc>
          <w:tcPr>
            <w:tcW w:w="952" w:type="dxa"/>
            <w:shd w:val="clear" w:color="auto" w:fill="auto"/>
            <w:vAlign w:val="center"/>
          </w:tcPr>
          <w:p w14:paraId="645A3C04">
            <w:pPr>
              <w:spacing w:after="0" w:line="240" w:lineRule="auto"/>
              <w:jc w:val="center"/>
              <w:rPr>
                <w:rFonts w:ascii="Calibri" w:hAnsi="Calibri" w:cs="Calibri"/>
              </w:rPr>
            </w:pPr>
            <w:r>
              <w:rPr>
                <w:rFonts w:ascii="Calibri" w:hAnsi="Calibri" w:cs="Calibri"/>
              </w:rPr>
              <w:t>0.00074</w:t>
            </w:r>
          </w:p>
        </w:tc>
        <w:tc>
          <w:tcPr>
            <w:tcW w:w="952" w:type="dxa"/>
            <w:shd w:val="clear" w:color="auto" w:fill="auto"/>
            <w:vAlign w:val="center"/>
          </w:tcPr>
          <w:p w14:paraId="74BD4941">
            <w:pPr>
              <w:spacing w:after="0" w:line="240" w:lineRule="auto"/>
              <w:jc w:val="center"/>
              <w:rPr>
                <w:rFonts w:ascii="Calibri" w:hAnsi="Calibri" w:cs="Calibri"/>
              </w:rPr>
            </w:pPr>
            <w:r>
              <w:rPr>
                <w:rFonts w:ascii="Calibri" w:hAnsi="Calibri" w:cs="Calibri"/>
              </w:rPr>
              <w:t>0.00004</w:t>
            </w:r>
          </w:p>
        </w:tc>
        <w:tc>
          <w:tcPr>
            <w:tcW w:w="952" w:type="dxa"/>
            <w:shd w:val="clear" w:color="auto" w:fill="auto"/>
            <w:vAlign w:val="center"/>
          </w:tcPr>
          <w:p w14:paraId="1CB040B8">
            <w:pPr>
              <w:spacing w:after="0" w:line="240" w:lineRule="auto"/>
              <w:jc w:val="center"/>
              <w:rPr>
                <w:rFonts w:ascii="Calibri" w:hAnsi="Calibri" w:cs="Calibri"/>
              </w:rPr>
            </w:pPr>
            <w:r>
              <w:rPr>
                <w:rFonts w:ascii="Calibri" w:hAnsi="Calibri" w:cs="Calibri"/>
              </w:rPr>
              <w:t>0.00003</w:t>
            </w:r>
          </w:p>
        </w:tc>
      </w:tr>
      <w:tr w14:paraId="65756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5CCB9AE7">
            <w:pPr>
              <w:spacing w:after="0" w:line="240" w:lineRule="auto"/>
              <w:rPr>
                <w:rFonts w:ascii="Times New Roman" w:hAnsi="Times New Roman"/>
                <w:sz w:val="24"/>
                <w:szCs w:val="24"/>
              </w:rPr>
            </w:pPr>
            <w:r>
              <w:rPr>
                <w:rFonts w:ascii="Times New Roman" w:hAnsi="Times New Roman"/>
                <w:sz w:val="24"/>
                <w:szCs w:val="24"/>
              </w:rPr>
              <w:t>CD (</w:t>
            </w:r>
            <w:r>
              <w:rPr>
                <w:rFonts w:ascii="Times New Roman" w:hAnsi="Times New Roman"/>
                <w:i/>
                <w:sz w:val="24"/>
                <w:szCs w:val="24"/>
              </w:rPr>
              <w:t>p=0.05</w:t>
            </w:r>
            <w:r>
              <w:rPr>
                <w:rFonts w:ascii="Times New Roman" w:hAnsi="Times New Roman"/>
                <w:sz w:val="24"/>
                <w:szCs w:val="24"/>
              </w:rPr>
              <w:t>)</w:t>
            </w:r>
          </w:p>
        </w:tc>
        <w:tc>
          <w:tcPr>
            <w:tcW w:w="952" w:type="dxa"/>
            <w:shd w:val="clear" w:color="auto" w:fill="auto"/>
            <w:vAlign w:val="center"/>
          </w:tcPr>
          <w:p w14:paraId="0A0275E6">
            <w:pPr>
              <w:spacing w:after="0" w:line="240" w:lineRule="auto"/>
              <w:jc w:val="center"/>
              <w:rPr>
                <w:rFonts w:ascii="Calibri" w:hAnsi="Calibri" w:eastAsia="Times New Roman" w:cs="Calibri"/>
                <w:lang w:eastAsia="en-GB"/>
              </w:rPr>
            </w:pPr>
            <w:r>
              <w:rPr>
                <w:rFonts w:ascii="Calibri" w:hAnsi="Calibri" w:cs="Calibri"/>
              </w:rPr>
              <w:t>NS</w:t>
            </w:r>
          </w:p>
        </w:tc>
        <w:tc>
          <w:tcPr>
            <w:tcW w:w="952" w:type="dxa"/>
            <w:shd w:val="clear" w:color="auto" w:fill="auto"/>
            <w:vAlign w:val="center"/>
          </w:tcPr>
          <w:p w14:paraId="1B71B433">
            <w:pPr>
              <w:spacing w:after="0" w:line="240" w:lineRule="auto"/>
              <w:jc w:val="center"/>
              <w:rPr>
                <w:rFonts w:ascii="Calibri" w:hAnsi="Calibri" w:cs="Calibri"/>
              </w:rPr>
            </w:pPr>
            <w:r>
              <w:rPr>
                <w:rFonts w:ascii="Calibri" w:hAnsi="Calibri" w:cs="Calibri"/>
              </w:rPr>
              <w:t>NS</w:t>
            </w:r>
          </w:p>
        </w:tc>
        <w:tc>
          <w:tcPr>
            <w:tcW w:w="952" w:type="dxa"/>
            <w:shd w:val="clear" w:color="auto" w:fill="auto"/>
            <w:vAlign w:val="center"/>
          </w:tcPr>
          <w:p w14:paraId="741AD27B">
            <w:pPr>
              <w:spacing w:after="0" w:line="240" w:lineRule="auto"/>
              <w:jc w:val="center"/>
              <w:rPr>
                <w:rFonts w:ascii="Calibri" w:hAnsi="Calibri" w:cs="Calibri"/>
              </w:rPr>
            </w:pPr>
            <w:r>
              <w:rPr>
                <w:rFonts w:ascii="Calibri" w:hAnsi="Calibri" w:cs="Calibri"/>
              </w:rPr>
              <w:t>NS</w:t>
            </w:r>
          </w:p>
        </w:tc>
        <w:tc>
          <w:tcPr>
            <w:tcW w:w="952" w:type="dxa"/>
            <w:shd w:val="clear" w:color="auto" w:fill="auto"/>
            <w:vAlign w:val="center"/>
          </w:tcPr>
          <w:p w14:paraId="44099D3D">
            <w:pPr>
              <w:spacing w:after="0" w:line="240" w:lineRule="auto"/>
              <w:jc w:val="center"/>
              <w:rPr>
                <w:rFonts w:ascii="Calibri" w:hAnsi="Calibri" w:cs="Calibri"/>
              </w:rPr>
            </w:pPr>
            <w:r>
              <w:rPr>
                <w:rFonts w:ascii="Calibri" w:hAnsi="Calibri" w:cs="Calibri"/>
              </w:rPr>
              <w:t>NS</w:t>
            </w:r>
          </w:p>
        </w:tc>
        <w:tc>
          <w:tcPr>
            <w:tcW w:w="952" w:type="dxa"/>
            <w:shd w:val="clear" w:color="auto" w:fill="auto"/>
            <w:vAlign w:val="center"/>
          </w:tcPr>
          <w:p w14:paraId="3FE1FE02">
            <w:pPr>
              <w:spacing w:after="0" w:line="240" w:lineRule="auto"/>
              <w:jc w:val="center"/>
              <w:rPr>
                <w:rFonts w:ascii="Calibri" w:hAnsi="Calibri" w:cs="Calibri"/>
              </w:rPr>
            </w:pPr>
            <w:r>
              <w:rPr>
                <w:rFonts w:ascii="Calibri" w:hAnsi="Calibri" w:cs="Calibri"/>
              </w:rPr>
              <w:t>0.0001</w:t>
            </w:r>
          </w:p>
        </w:tc>
        <w:tc>
          <w:tcPr>
            <w:tcW w:w="952" w:type="dxa"/>
            <w:shd w:val="clear" w:color="auto" w:fill="auto"/>
            <w:vAlign w:val="center"/>
          </w:tcPr>
          <w:p w14:paraId="5BDA6C31">
            <w:pPr>
              <w:spacing w:after="0" w:line="240" w:lineRule="auto"/>
              <w:jc w:val="center"/>
              <w:rPr>
                <w:rFonts w:ascii="Calibri" w:hAnsi="Calibri" w:cs="Calibri"/>
              </w:rPr>
            </w:pPr>
            <w:r>
              <w:rPr>
                <w:rFonts w:ascii="Calibri" w:hAnsi="Calibri" w:cs="Calibri"/>
              </w:rPr>
              <w:t>0.0001</w:t>
            </w:r>
          </w:p>
        </w:tc>
      </w:tr>
      <w:tr w14:paraId="7D481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8699" w:type="dxa"/>
            <w:gridSpan w:val="7"/>
            <w:shd w:val="clear" w:color="auto" w:fill="auto"/>
            <w:vAlign w:val="center"/>
          </w:tcPr>
          <w:p w14:paraId="6449C644">
            <w:pPr>
              <w:spacing w:after="0" w:line="240" w:lineRule="auto"/>
              <w:jc w:val="center"/>
              <w:rPr>
                <w:rFonts w:ascii="Times New Roman" w:hAnsi="Times New Roman"/>
                <w:b/>
                <w:sz w:val="24"/>
                <w:szCs w:val="24"/>
              </w:rPr>
            </w:pPr>
            <w:r>
              <w:rPr>
                <w:rFonts w:ascii="Times New Roman" w:hAnsi="Times New Roman"/>
                <w:b/>
                <w:sz w:val="24"/>
                <w:szCs w:val="24"/>
              </w:rPr>
              <w:t>Sub Plot: Weed control measures (6)</w:t>
            </w:r>
          </w:p>
        </w:tc>
      </w:tr>
      <w:tr w14:paraId="4B3B8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50D1133B">
            <w:pPr>
              <w:spacing w:after="0" w:line="240" w:lineRule="auto"/>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1</w:t>
            </w:r>
            <w:r>
              <w:rPr>
                <w:rFonts w:ascii="Times New Roman" w:hAnsi="Times New Roman"/>
                <w:b/>
                <w:bCs/>
                <w:sz w:val="24"/>
                <w:szCs w:val="24"/>
              </w:rPr>
              <w:t xml:space="preserve">: </w:t>
            </w:r>
            <w:r>
              <w:rPr>
                <w:rFonts w:ascii="Times New Roman" w:hAnsi="Times New Roman"/>
                <w:bCs/>
                <w:sz w:val="24"/>
                <w:szCs w:val="24"/>
              </w:rPr>
              <w:t>Weedy check</w:t>
            </w:r>
          </w:p>
        </w:tc>
        <w:tc>
          <w:tcPr>
            <w:tcW w:w="952" w:type="dxa"/>
            <w:shd w:val="clear" w:color="auto" w:fill="auto"/>
            <w:vAlign w:val="center"/>
          </w:tcPr>
          <w:p w14:paraId="7FDBA4DB">
            <w:pPr>
              <w:spacing w:after="0" w:line="240" w:lineRule="auto"/>
              <w:jc w:val="center"/>
              <w:rPr>
                <w:rFonts w:ascii="Calibri" w:hAnsi="Calibri" w:eastAsia="Times New Roman" w:cs="Calibri"/>
                <w:lang w:eastAsia="en-GB"/>
              </w:rPr>
            </w:pPr>
            <w:r>
              <w:rPr>
                <w:rFonts w:ascii="Calibri" w:hAnsi="Calibri" w:cs="Calibri"/>
              </w:rPr>
              <w:t>0.0367</w:t>
            </w:r>
          </w:p>
        </w:tc>
        <w:tc>
          <w:tcPr>
            <w:tcW w:w="952" w:type="dxa"/>
            <w:shd w:val="clear" w:color="auto" w:fill="auto"/>
            <w:vAlign w:val="center"/>
          </w:tcPr>
          <w:p w14:paraId="28507160">
            <w:pPr>
              <w:spacing w:after="0" w:line="240" w:lineRule="auto"/>
              <w:jc w:val="center"/>
              <w:rPr>
                <w:rFonts w:ascii="Calibri" w:hAnsi="Calibri" w:cs="Calibri"/>
              </w:rPr>
            </w:pPr>
            <w:r>
              <w:rPr>
                <w:rFonts w:ascii="Calibri" w:hAnsi="Calibri" w:cs="Calibri"/>
              </w:rPr>
              <w:t>0.0377</w:t>
            </w:r>
          </w:p>
        </w:tc>
        <w:tc>
          <w:tcPr>
            <w:tcW w:w="952" w:type="dxa"/>
            <w:shd w:val="clear" w:color="auto" w:fill="auto"/>
            <w:vAlign w:val="center"/>
          </w:tcPr>
          <w:p w14:paraId="311A479E">
            <w:pPr>
              <w:spacing w:after="0" w:line="240" w:lineRule="auto"/>
              <w:jc w:val="center"/>
              <w:rPr>
                <w:rFonts w:ascii="Calibri" w:hAnsi="Calibri" w:cs="Calibri"/>
              </w:rPr>
            </w:pPr>
            <w:r>
              <w:rPr>
                <w:rFonts w:ascii="Calibri" w:hAnsi="Calibri" w:cs="Calibri"/>
              </w:rPr>
              <w:t>0.0442</w:t>
            </w:r>
          </w:p>
        </w:tc>
        <w:tc>
          <w:tcPr>
            <w:tcW w:w="952" w:type="dxa"/>
            <w:shd w:val="clear" w:color="auto" w:fill="auto"/>
            <w:vAlign w:val="center"/>
          </w:tcPr>
          <w:p w14:paraId="583A46C6">
            <w:pPr>
              <w:spacing w:after="0" w:line="240" w:lineRule="auto"/>
              <w:jc w:val="center"/>
              <w:rPr>
                <w:rFonts w:ascii="Calibri" w:hAnsi="Calibri" w:cs="Calibri"/>
              </w:rPr>
            </w:pPr>
            <w:r>
              <w:rPr>
                <w:rFonts w:ascii="Calibri" w:hAnsi="Calibri" w:cs="Calibri"/>
              </w:rPr>
              <w:t>0.0441</w:t>
            </w:r>
          </w:p>
        </w:tc>
        <w:tc>
          <w:tcPr>
            <w:tcW w:w="952" w:type="dxa"/>
            <w:shd w:val="clear" w:color="auto" w:fill="auto"/>
            <w:vAlign w:val="center"/>
          </w:tcPr>
          <w:p w14:paraId="4EB9F39E">
            <w:pPr>
              <w:spacing w:after="0" w:line="240" w:lineRule="auto"/>
              <w:jc w:val="center"/>
              <w:rPr>
                <w:rFonts w:ascii="Calibri" w:hAnsi="Calibri" w:eastAsia="Times New Roman" w:cs="Calibri"/>
                <w:lang w:eastAsia="en-GB"/>
              </w:rPr>
            </w:pPr>
            <w:r>
              <w:rPr>
                <w:rFonts w:ascii="Calibri" w:hAnsi="Calibri" w:cs="Calibri"/>
              </w:rPr>
              <w:t>0.0021</w:t>
            </w:r>
          </w:p>
        </w:tc>
        <w:tc>
          <w:tcPr>
            <w:tcW w:w="952" w:type="dxa"/>
            <w:shd w:val="clear" w:color="auto" w:fill="auto"/>
            <w:vAlign w:val="center"/>
          </w:tcPr>
          <w:p w14:paraId="4EC3DE7F">
            <w:pPr>
              <w:spacing w:after="0" w:line="240" w:lineRule="auto"/>
              <w:jc w:val="center"/>
              <w:rPr>
                <w:rFonts w:ascii="Calibri" w:hAnsi="Calibri" w:cs="Calibri"/>
              </w:rPr>
            </w:pPr>
            <w:r>
              <w:rPr>
                <w:rFonts w:ascii="Calibri" w:hAnsi="Calibri" w:cs="Calibri"/>
              </w:rPr>
              <w:t>0.0015</w:t>
            </w:r>
          </w:p>
        </w:tc>
      </w:tr>
      <w:tr w14:paraId="6E29E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4707460B">
            <w:pPr>
              <w:spacing w:after="0" w:line="240" w:lineRule="auto"/>
              <w:ind w:left="461" w:hanging="461"/>
              <w:rPr>
                <w:rFonts w:ascii="Times New Roman" w:hAnsi="Times New Roman"/>
                <w:bCs/>
                <w:sz w:val="24"/>
                <w:szCs w:val="24"/>
              </w:rPr>
            </w:pPr>
            <w:r>
              <w:rPr>
                <w:rFonts w:ascii="Times New Roman" w:hAnsi="Times New Roman"/>
                <w:b/>
                <w:bCs/>
                <w:sz w:val="24"/>
                <w:szCs w:val="24"/>
              </w:rPr>
              <w:t>W</w:t>
            </w:r>
            <w:r>
              <w:rPr>
                <w:rFonts w:ascii="Times New Roman" w:hAnsi="Times New Roman"/>
                <w:b/>
                <w:bCs/>
                <w:sz w:val="24"/>
                <w:szCs w:val="24"/>
                <w:vertAlign w:val="subscript"/>
              </w:rPr>
              <w:t>2</w:t>
            </w:r>
            <w:r>
              <w:rPr>
                <w:rFonts w:ascii="Times New Roman" w:hAnsi="Times New Roman"/>
                <w:b/>
                <w:bCs/>
                <w:sz w:val="24"/>
                <w:szCs w:val="24"/>
              </w:rPr>
              <w:t xml:space="preserve">: </w:t>
            </w:r>
            <w:r>
              <w:rPr>
                <w:rFonts w:ascii="Times New Roman" w:hAnsi="Times New Roman"/>
                <w:bCs/>
                <w:sz w:val="24"/>
                <w:szCs w:val="24"/>
              </w:rPr>
              <w:t>Weed free (Two hand weeding)</w:t>
            </w:r>
          </w:p>
        </w:tc>
        <w:tc>
          <w:tcPr>
            <w:tcW w:w="952" w:type="dxa"/>
            <w:shd w:val="clear" w:color="auto" w:fill="auto"/>
            <w:vAlign w:val="center"/>
          </w:tcPr>
          <w:p w14:paraId="7D16E6CA">
            <w:pPr>
              <w:spacing w:after="0" w:line="240" w:lineRule="auto"/>
              <w:jc w:val="center"/>
              <w:rPr>
                <w:rFonts w:ascii="Calibri" w:hAnsi="Calibri" w:cs="Calibri"/>
              </w:rPr>
            </w:pPr>
            <w:r>
              <w:rPr>
                <w:rFonts w:ascii="Calibri" w:hAnsi="Calibri" w:cs="Calibri"/>
              </w:rPr>
              <w:t>0.0417</w:t>
            </w:r>
          </w:p>
        </w:tc>
        <w:tc>
          <w:tcPr>
            <w:tcW w:w="952" w:type="dxa"/>
            <w:shd w:val="clear" w:color="auto" w:fill="auto"/>
            <w:vAlign w:val="center"/>
          </w:tcPr>
          <w:p w14:paraId="72A0C891">
            <w:pPr>
              <w:spacing w:after="0" w:line="240" w:lineRule="auto"/>
              <w:jc w:val="center"/>
              <w:rPr>
                <w:rFonts w:ascii="Calibri" w:hAnsi="Calibri" w:cs="Calibri"/>
              </w:rPr>
            </w:pPr>
            <w:r>
              <w:rPr>
                <w:rFonts w:ascii="Calibri" w:hAnsi="Calibri" w:cs="Calibri"/>
              </w:rPr>
              <w:t>0.0415</w:t>
            </w:r>
          </w:p>
        </w:tc>
        <w:tc>
          <w:tcPr>
            <w:tcW w:w="952" w:type="dxa"/>
            <w:shd w:val="clear" w:color="auto" w:fill="auto"/>
            <w:vAlign w:val="center"/>
          </w:tcPr>
          <w:p w14:paraId="1D3B662D">
            <w:pPr>
              <w:spacing w:after="0" w:line="240" w:lineRule="auto"/>
              <w:jc w:val="center"/>
              <w:rPr>
                <w:rFonts w:ascii="Calibri" w:hAnsi="Calibri" w:cs="Calibri"/>
              </w:rPr>
            </w:pPr>
            <w:r>
              <w:rPr>
                <w:rFonts w:ascii="Calibri" w:hAnsi="Calibri" w:cs="Calibri"/>
              </w:rPr>
              <w:t>0.0447</w:t>
            </w:r>
          </w:p>
        </w:tc>
        <w:tc>
          <w:tcPr>
            <w:tcW w:w="952" w:type="dxa"/>
            <w:shd w:val="clear" w:color="auto" w:fill="auto"/>
            <w:vAlign w:val="center"/>
          </w:tcPr>
          <w:p w14:paraId="0ACB9DCC">
            <w:pPr>
              <w:spacing w:after="0" w:line="240" w:lineRule="auto"/>
              <w:jc w:val="center"/>
              <w:rPr>
                <w:rFonts w:ascii="Calibri" w:hAnsi="Calibri" w:cs="Calibri"/>
              </w:rPr>
            </w:pPr>
            <w:r>
              <w:rPr>
                <w:rFonts w:ascii="Calibri" w:hAnsi="Calibri" w:cs="Calibri"/>
              </w:rPr>
              <w:t>0.0446</w:t>
            </w:r>
          </w:p>
        </w:tc>
        <w:tc>
          <w:tcPr>
            <w:tcW w:w="952" w:type="dxa"/>
            <w:shd w:val="clear" w:color="auto" w:fill="auto"/>
            <w:vAlign w:val="center"/>
          </w:tcPr>
          <w:p w14:paraId="40715F98">
            <w:pPr>
              <w:spacing w:after="0" w:line="240" w:lineRule="auto"/>
              <w:jc w:val="center"/>
              <w:rPr>
                <w:rFonts w:ascii="Calibri" w:hAnsi="Calibri" w:cs="Calibri"/>
              </w:rPr>
            </w:pPr>
            <w:r>
              <w:rPr>
                <w:rFonts w:ascii="Calibri" w:hAnsi="Calibri" w:cs="Calibri"/>
              </w:rPr>
              <w:t>0.0022</w:t>
            </w:r>
          </w:p>
        </w:tc>
        <w:tc>
          <w:tcPr>
            <w:tcW w:w="952" w:type="dxa"/>
            <w:shd w:val="clear" w:color="auto" w:fill="auto"/>
            <w:vAlign w:val="center"/>
          </w:tcPr>
          <w:p w14:paraId="586D24CE">
            <w:pPr>
              <w:spacing w:after="0" w:line="240" w:lineRule="auto"/>
              <w:jc w:val="center"/>
              <w:rPr>
                <w:rFonts w:ascii="Calibri" w:hAnsi="Calibri" w:cs="Calibri"/>
              </w:rPr>
            </w:pPr>
            <w:r>
              <w:rPr>
                <w:rFonts w:ascii="Calibri" w:hAnsi="Calibri" w:cs="Calibri"/>
              </w:rPr>
              <w:t>0.0022</w:t>
            </w:r>
          </w:p>
        </w:tc>
      </w:tr>
      <w:tr w14:paraId="6AF72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5816128F">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3</w:t>
            </w:r>
            <w:r>
              <w:rPr>
                <w:rFonts w:ascii="Times New Roman" w:hAnsi="Times New Roman"/>
                <w:b/>
                <w:bCs/>
                <w:sz w:val="24"/>
                <w:szCs w:val="24"/>
              </w:rPr>
              <w:t xml:space="preserve">: </w:t>
            </w:r>
            <w:r>
              <w:rPr>
                <w:rFonts w:ascii="Times New Roman" w:hAnsi="Times New Roman"/>
                <w:bCs/>
                <w:sz w:val="24"/>
                <w:szCs w:val="24"/>
              </w:rPr>
              <w:t xml:space="preserve">2,4 DEE @ 0.5 kg </w:t>
            </w:r>
            <w:r>
              <w:rPr>
                <w:rFonts w:ascii="Times New Roman" w:hAnsi="Times New Roman"/>
                <w:bCs/>
                <w:i/>
                <w:sz w:val="24"/>
                <w:szCs w:val="24"/>
              </w:rPr>
              <w:t>a.i.</w:t>
            </w:r>
            <w:r>
              <w:rPr>
                <w:rFonts w:ascii="Times New Roman" w:hAnsi="Times New Roman"/>
                <w:bCs/>
                <w:sz w:val="24"/>
                <w:szCs w:val="24"/>
              </w:rPr>
              <w:t>/ha Post-em (28 DAS)</w:t>
            </w:r>
          </w:p>
        </w:tc>
        <w:tc>
          <w:tcPr>
            <w:tcW w:w="952" w:type="dxa"/>
            <w:shd w:val="clear" w:color="auto" w:fill="auto"/>
            <w:vAlign w:val="center"/>
          </w:tcPr>
          <w:p w14:paraId="61D2C9FE">
            <w:pPr>
              <w:spacing w:after="0" w:line="240" w:lineRule="auto"/>
              <w:jc w:val="center"/>
              <w:rPr>
                <w:rFonts w:ascii="Calibri" w:hAnsi="Calibri" w:cs="Calibri"/>
              </w:rPr>
            </w:pPr>
            <w:r>
              <w:rPr>
                <w:rFonts w:ascii="Calibri" w:hAnsi="Calibri" w:cs="Calibri"/>
              </w:rPr>
              <w:t>0.0427</w:t>
            </w:r>
          </w:p>
        </w:tc>
        <w:tc>
          <w:tcPr>
            <w:tcW w:w="952" w:type="dxa"/>
            <w:shd w:val="clear" w:color="auto" w:fill="auto"/>
            <w:vAlign w:val="center"/>
          </w:tcPr>
          <w:p w14:paraId="6E9C1181">
            <w:pPr>
              <w:spacing w:after="0" w:line="240" w:lineRule="auto"/>
              <w:jc w:val="center"/>
              <w:rPr>
                <w:rFonts w:ascii="Calibri" w:hAnsi="Calibri" w:cs="Calibri"/>
              </w:rPr>
            </w:pPr>
            <w:r>
              <w:rPr>
                <w:rFonts w:ascii="Calibri" w:hAnsi="Calibri" w:cs="Calibri"/>
              </w:rPr>
              <w:t>0.0426</w:t>
            </w:r>
          </w:p>
        </w:tc>
        <w:tc>
          <w:tcPr>
            <w:tcW w:w="952" w:type="dxa"/>
            <w:shd w:val="clear" w:color="auto" w:fill="auto"/>
            <w:vAlign w:val="center"/>
          </w:tcPr>
          <w:p w14:paraId="745861D8">
            <w:pPr>
              <w:spacing w:after="0" w:line="240" w:lineRule="auto"/>
              <w:jc w:val="center"/>
              <w:rPr>
                <w:rFonts w:ascii="Calibri" w:hAnsi="Calibri" w:cs="Calibri"/>
              </w:rPr>
            </w:pPr>
            <w:r>
              <w:rPr>
                <w:rFonts w:ascii="Calibri" w:hAnsi="Calibri" w:cs="Calibri"/>
              </w:rPr>
              <w:t>0.0447</w:t>
            </w:r>
          </w:p>
        </w:tc>
        <w:tc>
          <w:tcPr>
            <w:tcW w:w="952" w:type="dxa"/>
            <w:shd w:val="clear" w:color="auto" w:fill="auto"/>
            <w:vAlign w:val="center"/>
          </w:tcPr>
          <w:p w14:paraId="7DAE8F87">
            <w:pPr>
              <w:spacing w:after="0" w:line="240" w:lineRule="auto"/>
              <w:jc w:val="center"/>
              <w:rPr>
                <w:rFonts w:ascii="Calibri" w:hAnsi="Calibri" w:cs="Calibri"/>
              </w:rPr>
            </w:pPr>
            <w:r>
              <w:rPr>
                <w:rFonts w:ascii="Calibri" w:hAnsi="Calibri" w:cs="Calibri"/>
              </w:rPr>
              <w:t>0.0446</w:t>
            </w:r>
          </w:p>
        </w:tc>
        <w:tc>
          <w:tcPr>
            <w:tcW w:w="952" w:type="dxa"/>
            <w:shd w:val="clear" w:color="auto" w:fill="auto"/>
            <w:vAlign w:val="center"/>
          </w:tcPr>
          <w:p w14:paraId="2CC53C2F">
            <w:pPr>
              <w:spacing w:after="0" w:line="240" w:lineRule="auto"/>
              <w:jc w:val="center"/>
              <w:rPr>
                <w:rFonts w:ascii="Calibri" w:hAnsi="Calibri" w:cs="Calibri"/>
              </w:rPr>
            </w:pPr>
            <w:r>
              <w:rPr>
                <w:rFonts w:ascii="Calibri" w:hAnsi="Calibri" w:cs="Calibri"/>
              </w:rPr>
              <w:t>0.0023</w:t>
            </w:r>
          </w:p>
        </w:tc>
        <w:tc>
          <w:tcPr>
            <w:tcW w:w="952" w:type="dxa"/>
            <w:shd w:val="clear" w:color="auto" w:fill="auto"/>
            <w:vAlign w:val="center"/>
          </w:tcPr>
          <w:p w14:paraId="25A2A095">
            <w:pPr>
              <w:spacing w:after="0" w:line="240" w:lineRule="auto"/>
              <w:jc w:val="center"/>
              <w:rPr>
                <w:rFonts w:ascii="Calibri" w:hAnsi="Calibri" w:cs="Calibri"/>
              </w:rPr>
            </w:pPr>
            <w:r>
              <w:rPr>
                <w:rFonts w:ascii="Calibri" w:hAnsi="Calibri" w:cs="Calibri"/>
              </w:rPr>
              <w:t>0.0021</w:t>
            </w:r>
          </w:p>
        </w:tc>
      </w:tr>
      <w:tr w14:paraId="7D104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tcBorders>
              <w:bottom w:val="single" w:color="000000" w:sz="4" w:space="0"/>
            </w:tcBorders>
            <w:shd w:val="clear" w:color="auto" w:fill="auto"/>
            <w:vAlign w:val="center"/>
          </w:tcPr>
          <w:p w14:paraId="27CE0A70">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4</w:t>
            </w:r>
            <w:r>
              <w:rPr>
                <w:rFonts w:ascii="Times New Roman" w:hAnsi="Times New Roman"/>
                <w:b/>
                <w:bCs/>
                <w:sz w:val="24"/>
                <w:szCs w:val="24"/>
              </w:rPr>
              <w:t xml:space="preserve">: </w:t>
            </w:r>
            <w:r>
              <w:rPr>
                <w:rFonts w:ascii="Times New Roman" w:hAnsi="Times New Roman"/>
                <w:bCs/>
                <w:sz w:val="24"/>
                <w:szCs w:val="24"/>
              </w:rPr>
              <w:t xml:space="preserve">Carfentrazon @ 0.025 kg </w:t>
            </w:r>
            <w:r>
              <w:rPr>
                <w:rFonts w:ascii="Times New Roman" w:hAnsi="Times New Roman"/>
                <w:bCs/>
                <w:i/>
                <w:sz w:val="24"/>
                <w:szCs w:val="24"/>
              </w:rPr>
              <w:t>a.i.</w:t>
            </w:r>
            <w:r>
              <w:rPr>
                <w:rFonts w:ascii="Times New Roman" w:hAnsi="Times New Roman"/>
                <w:bCs/>
                <w:sz w:val="24"/>
                <w:szCs w:val="24"/>
              </w:rPr>
              <w:t>/ha Post-em (28 DAS)</w:t>
            </w:r>
          </w:p>
        </w:tc>
        <w:tc>
          <w:tcPr>
            <w:tcW w:w="952" w:type="dxa"/>
            <w:tcBorders>
              <w:bottom w:val="single" w:color="000000" w:sz="4" w:space="0"/>
            </w:tcBorders>
            <w:shd w:val="clear" w:color="auto" w:fill="auto"/>
            <w:vAlign w:val="center"/>
          </w:tcPr>
          <w:p w14:paraId="2673340B">
            <w:pPr>
              <w:spacing w:after="0" w:line="240" w:lineRule="auto"/>
              <w:jc w:val="center"/>
              <w:rPr>
                <w:rFonts w:ascii="Calibri" w:hAnsi="Calibri" w:cs="Calibri"/>
              </w:rPr>
            </w:pPr>
            <w:r>
              <w:rPr>
                <w:rFonts w:ascii="Calibri" w:hAnsi="Calibri" w:cs="Calibri"/>
              </w:rPr>
              <w:t>0.0434</w:t>
            </w:r>
          </w:p>
        </w:tc>
        <w:tc>
          <w:tcPr>
            <w:tcW w:w="952" w:type="dxa"/>
            <w:tcBorders>
              <w:bottom w:val="single" w:color="000000" w:sz="4" w:space="0"/>
            </w:tcBorders>
            <w:shd w:val="clear" w:color="auto" w:fill="auto"/>
            <w:vAlign w:val="center"/>
          </w:tcPr>
          <w:p w14:paraId="2CA05D2B">
            <w:pPr>
              <w:spacing w:after="0" w:line="240" w:lineRule="auto"/>
              <w:jc w:val="center"/>
              <w:rPr>
                <w:rFonts w:ascii="Calibri" w:hAnsi="Calibri" w:cs="Calibri"/>
              </w:rPr>
            </w:pPr>
            <w:r>
              <w:rPr>
                <w:rFonts w:ascii="Calibri" w:hAnsi="Calibri" w:cs="Calibri"/>
              </w:rPr>
              <w:t>0.0432</w:t>
            </w:r>
          </w:p>
        </w:tc>
        <w:tc>
          <w:tcPr>
            <w:tcW w:w="952" w:type="dxa"/>
            <w:tcBorders>
              <w:bottom w:val="single" w:color="000000" w:sz="4" w:space="0"/>
            </w:tcBorders>
            <w:shd w:val="clear" w:color="auto" w:fill="auto"/>
            <w:vAlign w:val="center"/>
          </w:tcPr>
          <w:p w14:paraId="1F2305ED">
            <w:pPr>
              <w:spacing w:after="0" w:line="240" w:lineRule="auto"/>
              <w:jc w:val="center"/>
              <w:rPr>
                <w:rFonts w:ascii="Calibri" w:hAnsi="Calibri" w:cs="Calibri"/>
              </w:rPr>
            </w:pPr>
            <w:r>
              <w:rPr>
                <w:rFonts w:ascii="Calibri" w:hAnsi="Calibri" w:cs="Calibri"/>
              </w:rPr>
              <w:t>0.0447</w:t>
            </w:r>
          </w:p>
        </w:tc>
        <w:tc>
          <w:tcPr>
            <w:tcW w:w="952" w:type="dxa"/>
            <w:tcBorders>
              <w:bottom w:val="single" w:color="000000" w:sz="4" w:space="0"/>
            </w:tcBorders>
            <w:shd w:val="clear" w:color="auto" w:fill="auto"/>
            <w:vAlign w:val="center"/>
          </w:tcPr>
          <w:p w14:paraId="1DA71DA1">
            <w:pPr>
              <w:spacing w:after="0" w:line="240" w:lineRule="auto"/>
              <w:jc w:val="center"/>
              <w:rPr>
                <w:rFonts w:ascii="Calibri" w:hAnsi="Calibri" w:cs="Calibri"/>
              </w:rPr>
            </w:pPr>
            <w:r>
              <w:rPr>
                <w:rFonts w:ascii="Calibri" w:hAnsi="Calibri" w:cs="Calibri"/>
              </w:rPr>
              <w:t>0.0446</w:t>
            </w:r>
          </w:p>
        </w:tc>
        <w:tc>
          <w:tcPr>
            <w:tcW w:w="952" w:type="dxa"/>
            <w:tcBorders>
              <w:bottom w:val="single" w:color="000000" w:sz="4" w:space="0"/>
            </w:tcBorders>
            <w:shd w:val="clear" w:color="auto" w:fill="auto"/>
            <w:vAlign w:val="center"/>
          </w:tcPr>
          <w:p w14:paraId="2F287CBC">
            <w:pPr>
              <w:spacing w:after="0" w:line="240" w:lineRule="auto"/>
              <w:jc w:val="center"/>
              <w:rPr>
                <w:rFonts w:ascii="Calibri" w:hAnsi="Calibri" w:cs="Calibri"/>
              </w:rPr>
            </w:pPr>
            <w:r>
              <w:rPr>
                <w:rFonts w:ascii="Calibri" w:hAnsi="Calibri" w:cs="Calibri"/>
              </w:rPr>
              <w:t>0.0023</w:t>
            </w:r>
          </w:p>
        </w:tc>
        <w:tc>
          <w:tcPr>
            <w:tcW w:w="952" w:type="dxa"/>
            <w:tcBorders>
              <w:bottom w:val="single" w:color="000000" w:sz="4" w:space="0"/>
            </w:tcBorders>
            <w:shd w:val="clear" w:color="auto" w:fill="auto"/>
            <w:vAlign w:val="center"/>
          </w:tcPr>
          <w:p w14:paraId="3F460A92">
            <w:pPr>
              <w:spacing w:after="0" w:line="240" w:lineRule="auto"/>
              <w:jc w:val="center"/>
              <w:rPr>
                <w:rFonts w:ascii="Calibri" w:hAnsi="Calibri" w:cs="Calibri"/>
              </w:rPr>
            </w:pPr>
            <w:r>
              <w:rPr>
                <w:rFonts w:ascii="Calibri" w:hAnsi="Calibri" w:cs="Calibri"/>
              </w:rPr>
              <w:t>0.0021</w:t>
            </w:r>
          </w:p>
        </w:tc>
      </w:tr>
      <w:tr w14:paraId="0427E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7491DA65">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5</w:t>
            </w:r>
            <w:r>
              <w:rPr>
                <w:rFonts w:ascii="Times New Roman" w:hAnsi="Times New Roman"/>
                <w:b/>
                <w:bCs/>
                <w:sz w:val="24"/>
                <w:szCs w:val="24"/>
              </w:rPr>
              <w:t xml:space="preserve">: </w:t>
            </w:r>
            <w:r>
              <w:rPr>
                <w:rFonts w:ascii="Times New Roman" w:hAnsi="Times New Roman"/>
                <w:bCs/>
                <w:sz w:val="24"/>
                <w:szCs w:val="24"/>
              </w:rPr>
              <w:t xml:space="preserve">Metsulfuron-methyl @ 0.004 kg </w:t>
            </w:r>
            <w:r>
              <w:rPr>
                <w:rFonts w:ascii="Times New Roman" w:hAnsi="Times New Roman"/>
                <w:bCs/>
                <w:i/>
                <w:sz w:val="24"/>
                <w:szCs w:val="24"/>
              </w:rPr>
              <w:t>a.i.</w:t>
            </w:r>
            <w:r>
              <w:rPr>
                <w:rFonts w:ascii="Times New Roman" w:hAnsi="Times New Roman"/>
                <w:bCs/>
                <w:sz w:val="24"/>
                <w:szCs w:val="24"/>
              </w:rPr>
              <w:t>/ha Post-em (28 DAS)</w:t>
            </w:r>
          </w:p>
        </w:tc>
        <w:tc>
          <w:tcPr>
            <w:tcW w:w="952" w:type="dxa"/>
            <w:shd w:val="clear" w:color="auto" w:fill="auto"/>
            <w:vAlign w:val="center"/>
          </w:tcPr>
          <w:p w14:paraId="1A7449CF">
            <w:pPr>
              <w:spacing w:after="0" w:line="240" w:lineRule="auto"/>
              <w:jc w:val="center"/>
              <w:rPr>
                <w:rFonts w:ascii="Calibri" w:hAnsi="Calibri" w:cs="Calibri"/>
              </w:rPr>
            </w:pPr>
            <w:r>
              <w:rPr>
                <w:rFonts w:ascii="Calibri" w:hAnsi="Calibri" w:cs="Calibri"/>
              </w:rPr>
              <w:t>0.0424</w:t>
            </w:r>
          </w:p>
        </w:tc>
        <w:tc>
          <w:tcPr>
            <w:tcW w:w="952" w:type="dxa"/>
            <w:shd w:val="clear" w:color="auto" w:fill="auto"/>
            <w:vAlign w:val="center"/>
          </w:tcPr>
          <w:p w14:paraId="7A403A13">
            <w:pPr>
              <w:spacing w:after="0" w:line="240" w:lineRule="auto"/>
              <w:jc w:val="center"/>
              <w:rPr>
                <w:rFonts w:ascii="Calibri" w:hAnsi="Calibri" w:cs="Calibri"/>
              </w:rPr>
            </w:pPr>
            <w:r>
              <w:rPr>
                <w:rFonts w:ascii="Calibri" w:hAnsi="Calibri" w:cs="Calibri"/>
              </w:rPr>
              <w:t>0.0424</w:t>
            </w:r>
          </w:p>
        </w:tc>
        <w:tc>
          <w:tcPr>
            <w:tcW w:w="952" w:type="dxa"/>
            <w:shd w:val="clear" w:color="auto" w:fill="auto"/>
            <w:vAlign w:val="center"/>
          </w:tcPr>
          <w:p w14:paraId="0D00EDBB">
            <w:pPr>
              <w:spacing w:after="0" w:line="240" w:lineRule="auto"/>
              <w:jc w:val="center"/>
              <w:rPr>
                <w:rFonts w:ascii="Calibri" w:hAnsi="Calibri" w:cs="Calibri"/>
              </w:rPr>
            </w:pPr>
            <w:r>
              <w:rPr>
                <w:rFonts w:ascii="Calibri" w:hAnsi="Calibri" w:cs="Calibri"/>
              </w:rPr>
              <w:t>0.0447</w:t>
            </w:r>
          </w:p>
        </w:tc>
        <w:tc>
          <w:tcPr>
            <w:tcW w:w="952" w:type="dxa"/>
            <w:shd w:val="clear" w:color="auto" w:fill="auto"/>
            <w:vAlign w:val="center"/>
          </w:tcPr>
          <w:p w14:paraId="77ACD81A">
            <w:pPr>
              <w:spacing w:after="0" w:line="240" w:lineRule="auto"/>
              <w:jc w:val="center"/>
              <w:rPr>
                <w:rFonts w:ascii="Calibri" w:hAnsi="Calibri" w:cs="Calibri"/>
              </w:rPr>
            </w:pPr>
            <w:r>
              <w:rPr>
                <w:rFonts w:ascii="Calibri" w:hAnsi="Calibri" w:cs="Calibri"/>
              </w:rPr>
              <w:t>0.0446</w:t>
            </w:r>
          </w:p>
        </w:tc>
        <w:tc>
          <w:tcPr>
            <w:tcW w:w="952" w:type="dxa"/>
            <w:shd w:val="clear" w:color="auto" w:fill="auto"/>
            <w:vAlign w:val="center"/>
          </w:tcPr>
          <w:p w14:paraId="3CEB4DFD">
            <w:pPr>
              <w:spacing w:after="0" w:line="240" w:lineRule="auto"/>
              <w:jc w:val="center"/>
              <w:rPr>
                <w:rFonts w:ascii="Calibri" w:hAnsi="Calibri" w:cs="Calibri"/>
              </w:rPr>
            </w:pPr>
            <w:r>
              <w:rPr>
                <w:rFonts w:ascii="Calibri" w:hAnsi="Calibri" w:cs="Calibri"/>
              </w:rPr>
              <w:t>0.0024</w:t>
            </w:r>
          </w:p>
        </w:tc>
        <w:tc>
          <w:tcPr>
            <w:tcW w:w="952" w:type="dxa"/>
            <w:shd w:val="clear" w:color="auto" w:fill="auto"/>
            <w:vAlign w:val="center"/>
          </w:tcPr>
          <w:p w14:paraId="2A1BB628">
            <w:pPr>
              <w:spacing w:after="0" w:line="240" w:lineRule="auto"/>
              <w:jc w:val="center"/>
              <w:rPr>
                <w:rFonts w:ascii="Calibri" w:hAnsi="Calibri" w:cs="Calibri"/>
              </w:rPr>
            </w:pPr>
            <w:r>
              <w:rPr>
                <w:rFonts w:ascii="Calibri" w:hAnsi="Calibri" w:cs="Calibri"/>
              </w:rPr>
              <w:t>0.0020</w:t>
            </w:r>
          </w:p>
        </w:tc>
      </w:tr>
      <w:tr w14:paraId="4E6D3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0B011940">
            <w:pPr>
              <w:spacing w:after="0" w:line="240" w:lineRule="auto"/>
              <w:ind w:left="461" w:hanging="461"/>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vertAlign w:val="subscript"/>
              </w:rPr>
              <w:t>6</w:t>
            </w:r>
            <w:r>
              <w:rPr>
                <w:rFonts w:ascii="Times New Roman" w:hAnsi="Times New Roman"/>
                <w:b/>
                <w:bCs/>
                <w:sz w:val="24"/>
                <w:szCs w:val="24"/>
              </w:rPr>
              <w:t xml:space="preserve">: </w:t>
            </w:r>
            <w:r>
              <w:rPr>
                <w:rFonts w:ascii="Times New Roman" w:hAnsi="Times New Roman"/>
                <w:bCs/>
                <w:sz w:val="24"/>
                <w:szCs w:val="24"/>
              </w:rPr>
              <w:t>Arylex 20.85% + Florasulam 20 % Post-em (28 DAS)</w:t>
            </w:r>
          </w:p>
        </w:tc>
        <w:tc>
          <w:tcPr>
            <w:tcW w:w="952" w:type="dxa"/>
            <w:shd w:val="clear" w:color="auto" w:fill="auto"/>
            <w:vAlign w:val="center"/>
          </w:tcPr>
          <w:p w14:paraId="44325982">
            <w:pPr>
              <w:spacing w:after="0" w:line="240" w:lineRule="auto"/>
              <w:jc w:val="center"/>
              <w:rPr>
                <w:rFonts w:ascii="Calibri" w:hAnsi="Calibri" w:cs="Calibri"/>
              </w:rPr>
            </w:pPr>
            <w:r>
              <w:rPr>
                <w:rFonts w:ascii="Calibri" w:hAnsi="Calibri" w:cs="Calibri"/>
              </w:rPr>
              <w:t>0.0434</w:t>
            </w:r>
          </w:p>
        </w:tc>
        <w:tc>
          <w:tcPr>
            <w:tcW w:w="952" w:type="dxa"/>
            <w:shd w:val="clear" w:color="auto" w:fill="auto"/>
            <w:vAlign w:val="center"/>
          </w:tcPr>
          <w:p w14:paraId="5AA09EFA">
            <w:pPr>
              <w:spacing w:after="0" w:line="240" w:lineRule="auto"/>
              <w:jc w:val="center"/>
              <w:rPr>
                <w:rFonts w:ascii="Calibri" w:hAnsi="Calibri" w:cs="Calibri"/>
              </w:rPr>
            </w:pPr>
            <w:r>
              <w:rPr>
                <w:rFonts w:ascii="Calibri" w:hAnsi="Calibri" w:cs="Calibri"/>
              </w:rPr>
              <w:t>0.0433</w:t>
            </w:r>
          </w:p>
        </w:tc>
        <w:tc>
          <w:tcPr>
            <w:tcW w:w="952" w:type="dxa"/>
            <w:shd w:val="clear" w:color="auto" w:fill="auto"/>
            <w:vAlign w:val="center"/>
          </w:tcPr>
          <w:p w14:paraId="5EFFB2FC">
            <w:pPr>
              <w:spacing w:after="0" w:line="240" w:lineRule="auto"/>
              <w:jc w:val="center"/>
              <w:rPr>
                <w:rFonts w:ascii="Calibri" w:hAnsi="Calibri" w:cs="Calibri"/>
              </w:rPr>
            </w:pPr>
            <w:r>
              <w:rPr>
                <w:rFonts w:ascii="Calibri" w:hAnsi="Calibri" w:cs="Calibri"/>
              </w:rPr>
              <w:t>0.0447</w:t>
            </w:r>
          </w:p>
        </w:tc>
        <w:tc>
          <w:tcPr>
            <w:tcW w:w="952" w:type="dxa"/>
            <w:shd w:val="clear" w:color="auto" w:fill="auto"/>
            <w:vAlign w:val="center"/>
          </w:tcPr>
          <w:p w14:paraId="12826968">
            <w:pPr>
              <w:spacing w:after="0" w:line="240" w:lineRule="auto"/>
              <w:jc w:val="center"/>
              <w:rPr>
                <w:rFonts w:ascii="Calibri" w:hAnsi="Calibri" w:cs="Calibri"/>
              </w:rPr>
            </w:pPr>
            <w:r>
              <w:rPr>
                <w:rFonts w:ascii="Calibri" w:hAnsi="Calibri" w:cs="Calibri"/>
              </w:rPr>
              <w:t>0.0446</w:t>
            </w:r>
          </w:p>
        </w:tc>
        <w:tc>
          <w:tcPr>
            <w:tcW w:w="952" w:type="dxa"/>
            <w:shd w:val="clear" w:color="auto" w:fill="auto"/>
            <w:vAlign w:val="center"/>
          </w:tcPr>
          <w:p w14:paraId="301277ED">
            <w:pPr>
              <w:spacing w:after="0" w:line="240" w:lineRule="auto"/>
              <w:jc w:val="center"/>
              <w:rPr>
                <w:rFonts w:ascii="Calibri" w:hAnsi="Calibri" w:cs="Calibri"/>
              </w:rPr>
            </w:pPr>
            <w:r>
              <w:rPr>
                <w:rFonts w:ascii="Calibri" w:hAnsi="Calibri" w:cs="Calibri"/>
              </w:rPr>
              <w:t>0.0032</w:t>
            </w:r>
          </w:p>
        </w:tc>
        <w:tc>
          <w:tcPr>
            <w:tcW w:w="952" w:type="dxa"/>
            <w:shd w:val="clear" w:color="auto" w:fill="auto"/>
            <w:vAlign w:val="center"/>
          </w:tcPr>
          <w:p w14:paraId="4F8F7AF7">
            <w:pPr>
              <w:spacing w:after="0" w:line="240" w:lineRule="auto"/>
              <w:jc w:val="center"/>
              <w:rPr>
                <w:rFonts w:ascii="Calibri" w:hAnsi="Calibri" w:cs="Calibri"/>
              </w:rPr>
            </w:pPr>
            <w:r>
              <w:rPr>
                <w:rFonts w:ascii="Calibri" w:hAnsi="Calibri" w:cs="Calibri"/>
              </w:rPr>
              <w:t>0.0025</w:t>
            </w:r>
          </w:p>
        </w:tc>
      </w:tr>
      <w:tr w14:paraId="78EB0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4E875D0C">
            <w:pPr>
              <w:spacing w:after="0" w:line="240" w:lineRule="auto"/>
              <w:rPr>
                <w:rFonts w:ascii="Times New Roman" w:hAnsi="Times New Roman"/>
                <w:sz w:val="24"/>
                <w:szCs w:val="24"/>
              </w:rPr>
            </w:pPr>
            <w:r>
              <w:rPr>
                <w:rFonts w:ascii="Times New Roman" w:hAnsi="Times New Roman"/>
                <w:sz w:val="24"/>
                <w:szCs w:val="24"/>
              </w:rPr>
              <w:t>SEm ±</w:t>
            </w:r>
          </w:p>
        </w:tc>
        <w:tc>
          <w:tcPr>
            <w:tcW w:w="952" w:type="dxa"/>
            <w:shd w:val="clear" w:color="auto" w:fill="auto"/>
            <w:vAlign w:val="center"/>
          </w:tcPr>
          <w:p w14:paraId="3A09672F">
            <w:pPr>
              <w:spacing w:after="0" w:line="240" w:lineRule="auto"/>
              <w:jc w:val="center"/>
              <w:rPr>
                <w:rFonts w:ascii="Calibri" w:hAnsi="Calibri" w:eastAsia="Times New Roman" w:cs="Calibri"/>
                <w:lang w:eastAsia="en-GB"/>
              </w:rPr>
            </w:pPr>
            <w:r>
              <w:rPr>
                <w:rFonts w:ascii="Calibri" w:hAnsi="Calibri" w:cs="Calibri"/>
              </w:rPr>
              <w:t>0.00070</w:t>
            </w:r>
          </w:p>
        </w:tc>
        <w:tc>
          <w:tcPr>
            <w:tcW w:w="952" w:type="dxa"/>
            <w:shd w:val="clear" w:color="auto" w:fill="auto"/>
            <w:vAlign w:val="center"/>
          </w:tcPr>
          <w:p w14:paraId="15C8370A">
            <w:pPr>
              <w:spacing w:after="0" w:line="240" w:lineRule="auto"/>
              <w:jc w:val="center"/>
              <w:rPr>
                <w:rFonts w:ascii="Calibri" w:hAnsi="Calibri" w:cs="Calibri"/>
              </w:rPr>
            </w:pPr>
            <w:r>
              <w:rPr>
                <w:rFonts w:ascii="Calibri" w:hAnsi="Calibri" w:cs="Calibri"/>
              </w:rPr>
              <w:t>0.00070</w:t>
            </w:r>
          </w:p>
        </w:tc>
        <w:tc>
          <w:tcPr>
            <w:tcW w:w="952" w:type="dxa"/>
            <w:shd w:val="clear" w:color="auto" w:fill="auto"/>
            <w:vAlign w:val="center"/>
          </w:tcPr>
          <w:p w14:paraId="3CF4409E">
            <w:pPr>
              <w:spacing w:after="0" w:line="240" w:lineRule="auto"/>
              <w:jc w:val="center"/>
              <w:rPr>
                <w:rFonts w:ascii="Calibri" w:hAnsi="Calibri" w:cs="Calibri"/>
              </w:rPr>
            </w:pPr>
            <w:r>
              <w:rPr>
                <w:rFonts w:ascii="Calibri" w:hAnsi="Calibri" w:cs="Calibri"/>
              </w:rPr>
              <w:t>0.00074</w:t>
            </w:r>
          </w:p>
        </w:tc>
        <w:tc>
          <w:tcPr>
            <w:tcW w:w="952" w:type="dxa"/>
            <w:shd w:val="clear" w:color="auto" w:fill="auto"/>
            <w:vAlign w:val="center"/>
          </w:tcPr>
          <w:p w14:paraId="015FB9E8">
            <w:pPr>
              <w:spacing w:after="0" w:line="240" w:lineRule="auto"/>
              <w:jc w:val="center"/>
              <w:rPr>
                <w:rFonts w:ascii="Calibri" w:hAnsi="Calibri" w:cs="Calibri"/>
              </w:rPr>
            </w:pPr>
            <w:r>
              <w:rPr>
                <w:rFonts w:ascii="Calibri" w:hAnsi="Calibri" w:cs="Calibri"/>
              </w:rPr>
              <w:t>0.00074</w:t>
            </w:r>
          </w:p>
        </w:tc>
        <w:tc>
          <w:tcPr>
            <w:tcW w:w="952" w:type="dxa"/>
            <w:shd w:val="clear" w:color="auto" w:fill="auto"/>
            <w:vAlign w:val="center"/>
          </w:tcPr>
          <w:p w14:paraId="506B97DA">
            <w:pPr>
              <w:spacing w:after="0" w:line="240" w:lineRule="auto"/>
              <w:jc w:val="center"/>
              <w:rPr>
                <w:rFonts w:ascii="Calibri" w:hAnsi="Calibri" w:cs="Calibri"/>
              </w:rPr>
            </w:pPr>
            <w:r>
              <w:rPr>
                <w:rFonts w:ascii="Calibri" w:hAnsi="Calibri" w:cs="Calibri"/>
              </w:rPr>
              <w:t>0.00004</w:t>
            </w:r>
          </w:p>
        </w:tc>
        <w:tc>
          <w:tcPr>
            <w:tcW w:w="952" w:type="dxa"/>
            <w:shd w:val="clear" w:color="auto" w:fill="auto"/>
            <w:vAlign w:val="center"/>
          </w:tcPr>
          <w:p w14:paraId="4AAD643B">
            <w:pPr>
              <w:spacing w:after="0" w:line="240" w:lineRule="auto"/>
              <w:jc w:val="center"/>
              <w:rPr>
                <w:rFonts w:ascii="Calibri" w:hAnsi="Calibri" w:cs="Calibri"/>
              </w:rPr>
            </w:pPr>
            <w:r>
              <w:rPr>
                <w:rFonts w:ascii="Calibri" w:hAnsi="Calibri" w:cs="Calibri"/>
              </w:rPr>
              <w:t>0.00003</w:t>
            </w:r>
          </w:p>
        </w:tc>
      </w:tr>
      <w:tr w14:paraId="6AB93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1" w:type="dxa"/>
            <w:bottom w:w="0" w:type="dxa"/>
            <w:right w:w="14" w:type="dxa"/>
          </w:tblCellMar>
        </w:tblPrEx>
        <w:trPr>
          <w:trHeight w:val="20" w:hRule="atLeast"/>
          <w:jc w:val="center"/>
        </w:trPr>
        <w:tc>
          <w:tcPr>
            <w:tcW w:w="2987" w:type="dxa"/>
            <w:shd w:val="clear" w:color="auto" w:fill="auto"/>
            <w:vAlign w:val="center"/>
          </w:tcPr>
          <w:p w14:paraId="6CB18F07">
            <w:pPr>
              <w:spacing w:after="0" w:line="240" w:lineRule="auto"/>
              <w:rPr>
                <w:rFonts w:ascii="Times New Roman" w:hAnsi="Times New Roman"/>
                <w:sz w:val="24"/>
                <w:szCs w:val="24"/>
              </w:rPr>
            </w:pPr>
            <w:r>
              <w:rPr>
                <w:rFonts w:ascii="Times New Roman" w:hAnsi="Times New Roman"/>
                <w:sz w:val="24"/>
                <w:szCs w:val="24"/>
              </w:rPr>
              <w:t>CD (</w:t>
            </w:r>
            <w:r>
              <w:rPr>
                <w:rFonts w:ascii="Times New Roman" w:hAnsi="Times New Roman"/>
                <w:i/>
                <w:sz w:val="24"/>
                <w:szCs w:val="24"/>
              </w:rPr>
              <w:t>p=0.05</w:t>
            </w:r>
            <w:r>
              <w:rPr>
                <w:rFonts w:ascii="Times New Roman" w:hAnsi="Times New Roman"/>
                <w:sz w:val="24"/>
                <w:szCs w:val="24"/>
              </w:rPr>
              <w:t>)</w:t>
            </w:r>
          </w:p>
        </w:tc>
        <w:tc>
          <w:tcPr>
            <w:tcW w:w="952" w:type="dxa"/>
            <w:shd w:val="clear" w:color="auto" w:fill="auto"/>
            <w:vAlign w:val="center"/>
          </w:tcPr>
          <w:p w14:paraId="72C8F88D">
            <w:pPr>
              <w:spacing w:after="0" w:line="240" w:lineRule="auto"/>
              <w:jc w:val="center"/>
              <w:rPr>
                <w:rFonts w:ascii="Calibri" w:hAnsi="Calibri" w:eastAsia="Times New Roman" w:cs="Calibri"/>
                <w:lang w:eastAsia="en-GB"/>
              </w:rPr>
            </w:pPr>
            <w:r>
              <w:rPr>
                <w:rFonts w:ascii="Calibri" w:hAnsi="Calibri" w:cs="Calibri"/>
              </w:rPr>
              <w:t>0.0021</w:t>
            </w:r>
          </w:p>
        </w:tc>
        <w:tc>
          <w:tcPr>
            <w:tcW w:w="952" w:type="dxa"/>
            <w:shd w:val="clear" w:color="auto" w:fill="auto"/>
            <w:vAlign w:val="center"/>
          </w:tcPr>
          <w:p w14:paraId="22F4208D">
            <w:pPr>
              <w:spacing w:after="0" w:line="240" w:lineRule="auto"/>
              <w:jc w:val="center"/>
              <w:rPr>
                <w:rFonts w:ascii="Calibri" w:hAnsi="Calibri" w:cs="Calibri"/>
              </w:rPr>
            </w:pPr>
            <w:r>
              <w:rPr>
                <w:rFonts w:ascii="Calibri" w:hAnsi="Calibri" w:cs="Calibri"/>
              </w:rPr>
              <w:t>0.0021</w:t>
            </w:r>
          </w:p>
        </w:tc>
        <w:tc>
          <w:tcPr>
            <w:tcW w:w="952" w:type="dxa"/>
            <w:shd w:val="clear" w:color="auto" w:fill="auto"/>
            <w:vAlign w:val="center"/>
          </w:tcPr>
          <w:p w14:paraId="0A918749">
            <w:pPr>
              <w:spacing w:after="0" w:line="240" w:lineRule="auto"/>
              <w:jc w:val="center"/>
              <w:rPr>
                <w:rFonts w:ascii="Calibri" w:hAnsi="Calibri" w:cs="Calibri"/>
              </w:rPr>
            </w:pPr>
            <w:r>
              <w:rPr>
                <w:rFonts w:ascii="Calibri" w:hAnsi="Calibri" w:cs="Calibri"/>
              </w:rPr>
              <w:t>NS</w:t>
            </w:r>
          </w:p>
        </w:tc>
        <w:tc>
          <w:tcPr>
            <w:tcW w:w="952" w:type="dxa"/>
            <w:shd w:val="clear" w:color="auto" w:fill="auto"/>
            <w:vAlign w:val="center"/>
          </w:tcPr>
          <w:p w14:paraId="0BFFA8A1">
            <w:pPr>
              <w:spacing w:after="0" w:line="240" w:lineRule="auto"/>
              <w:jc w:val="center"/>
              <w:rPr>
                <w:rFonts w:ascii="Calibri" w:hAnsi="Calibri" w:cs="Calibri"/>
              </w:rPr>
            </w:pPr>
            <w:r>
              <w:rPr>
                <w:rFonts w:ascii="Calibri" w:hAnsi="Calibri" w:cs="Calibri"/>
              </w:rPr>
              <w:t>NS</w:t>
            </w:r>
          </w:p>
        </w:tc>
        <w:tc>
          <w:tcPr>
            <w:tcW w:w="952" w:type="dxa"/>
            <w:shd w:val="clear" w:color="auto" w:fill="auto"/>
            <w:vAlign w:val="center"/>
          </w:tcPr>
          <w:p w14:paraId="69F4E94D">
            <w:pPr>
              <w:spacing w:after="0" w:line="240" w:lineRule="auto"/>
              <w:jc w:val="center"/>
              <w:rPr>
                <w:rFonts w:ascii="Calibri" w:hAnsi="Calibri" w:cs="Calibri"/>
              </w:rPr>
            </w:pPr>
            <w:r>
              <w:rPr>
                <w:rFonts w:ascii="Calibri" w:hAnsi="Calibri" w:cs="Calibri"/>
              </w:rPr>
              <w:t>0.0001</w:t>
            </w:r>
          </w:p>
        </w:tc>
        <w:tc>
          <w:tcPr>
            <w:tcW w:w="952" w:type="dxa"/>
            <w:shd w:val="clear" w:color="auto" w:fill="auto"/>
            <w:vAlign w:val="center"/>
          </w:tcPr>
          <w:p w14:paraId="73A70D61">
            <w:pPr>
              <w:spacing w:after="0" w:line="240" w:lineRule="auto"/>
              <w:jc w:val="center"/>
              <w:rPr>
                <w:rFonts w:ascii="Calibri" w:hAnsi="Calibri" w:cs="Calibri"/>
              </w:rPr>
            </w:pPr>
            <w:r>
              <w:rPr>
                <w:rFonts w:ascii="Calibri" w:hAnsi="Calibri" w:cs="Calibri"/>
              </w:rPr>
              <w:t>0.0001</w:t>
            </w:r>
          </w:p>
        </w:tc>
      </w:tr>
    </w:tbl>
    <w:p w14:paraId="5F734397">
      <w:pPr>
        <w:spacing w:after="0" w:line="240" w:lineRule="auto"/>
        <w:ind w:firstLine="720"/>
        <w:rPr>
          <w:rFonts w:ascii="Times New Roman" w:hAnsi="Times New Roman" w:eastAsia="Times New Roman" w:cs="Times New Roman"/>
          <w:sz w:val="24"/>
          <w:szCs w:val="24"/>
          <w:lang w:eastAsia="en-GB" w:bidi="hi-IN"/>
        </w:rPr>
      </w:pPr>
    </w:p>
    <w:p w14:paraId="63F4E3E6">
      <w:pPr>
        <w:spacing w:after="0" w:line="240" w:lineRule="auto"/>
        <w:rPr>
          <w:rFonts w:ascii="Times New Roman" w:hAnsi="Times New Roman" w:eastAsia="Times New Roman" w:cs="Times New Roman"/>
          <w:sz w:val="24"/>
          <w:szCs w:val="24"/>
          <w:lang w:eastAsia="en-GB" w:bidi="hi-IN"/>
        </w:rPr>
      </w:pPr>
    </w:p>
    <w:p w14:paraId="44D7EBE9">
      <w:pPr>
        <w:spacing w:after="0" w:line="240" w:lineRule="auto"/>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 xml:space="preserve">4. Discussion: </w:t>
      </w:r>
    </w:p>
    <w:p w14:paraId="2A821F10">
      <w:pPr>
        <w:spacing w:before="100" w:beforeAutospacing="1" w:after="100" w:afterAutospacing="1" w:line="240" w:lineRule="auto"/>
        <w:ind w:firstLine="720"/>
        <w:jc w:val="both"/>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 xml:space="preserve">Different sowing dates significantly affect dry matter accumulation in wheat at various growth stages, with implications for overall crop performance and yield. Early sowing generally leads to increased dry matter accumulation before silking, while late sowing results in higher accumulation after silking (Cirilo &amp; Andrade, 1994). This shift in dry matter partitioning can have substantial effects on grain yield. Delayed sowing tends to decrease cumulative incident radiation during the vegetative period, but may increase crop growth rate due to higher radiation use efficiency and percent radiation interception (Cirilo &amp; Andrade, 1994). However, late sowings often decrease crop growth rate during grain filling, negatively impacting kernel weight and number (Cirilo &amp; Andrade, 1994; Liu </w:t>
      </w:r>
      <w:commentRangeStart w:id="9"/>
      <w:r>
        <w:rPr>
          <w:rFonts w:ascii="Times New Roman" w:hAnsi="Times New Roman" w:eastAsia="Times New Roman" w:cs="Times New Roman"/>
          <w:sz w:val="24"/>
          <w:szCs w:val="24"/>
          <w:lang w:eastAsia="en-GB" w:bidi="hi-IN"/>
        </w:rPr>
        <w:t>et al.,</w:t>
      </w:r>
      <w:commentRangeEnd w:id="9"/>
      <w:r>
        <w:commentReference w:id="9"/>
      </w:r>
      <w:r>
        <w:rPr>
          <w:rFonts w:ascii="Times New Roman" w:hAnsi="Times New Roman" w:eastAsia="Times New Roman" w:cs="Times New Roman"/>
          <w:sz w:val="24"/>
          <w:szCs w:val="24"/>
          <w:lang w:eastAsia="en-GB" w:bidi="hi-IN"/>
        </w:rPr>
        <w:t xml:space="preserve"> 2021). Interestingly, the effects of sowing date on dry matter accumulation can vary depending on latitude and environmental conditions. At higher latitudes, delayed sowing leads to decreased effective accumulated temperature and solar radiation, resulting in reduced dry matter accumulation (Zhang </w:t>
      </w:r>
      <w:commentRangeStart w:id="10"/>
      <w:r>
        <w:rPr>
          <w:rFonts w:ascii="Times New Roman" w:hAnsi="Times New Roman" w:eastAsia="Times New Roman" w:cs="Times New Roman"/>
          <w:sz w:val="24"/>
          <w:szCs w:val="24"/>
          <w:lang w:eastAsia="en-GB" w:bidi="hi-IN"/>
        </w:rPr>
        <w:t>et al</w:t>
      </w:r>
      <w:commentRangeEnd w:id="10"/>
      <w:r>
        <w:commentReference w:id="10"/>
      </w:r>
      <w:r>
        <w:rPr>
          <w:rFonts w:ascii="Times New Roman" w:hAnsi="Times New Roman" w:eastAsia="Times New Roman" w:cs="Times New Roman"/>
          <w:sz w:val="24"/>
          <w:szCs w:val="24"/>
          <w:lang w:eastAsia="en-GB" w:bidi="hi-IN"/>
        </w:rPr>
        <w:t xml:space="preserve">., 2022). The relationship between sowing date and dry matter accumulation is not always linear, as some studies have found that yield and dry matter initially increase with delayed sowing before declining (Zhou </w:t>
      </w:r>
      <w:commentRangeStart w:id="11"/>
      <w:r>
        <w:rPr>
          <w:rFonts w:ascii="Times New Roman" w:hAnsi="Times New Roman" w:eastAsia="Times New Roman" w:cs="Times New Roman"/>
          <w:sz w:val="24"/>
          <w:szCs w:val="24"/>
          <w:lang w:eastAsia="en-GB" w:bidi="hi-IN"/>
        </w:rPr>
        <w:t>et al.</w:t>
      </w:r>
      <w:commentRangeEnd w:id="11"/>
      <w:r>
        <w:commentReference w:id="11"/>
      </w:r>
      <w:r>
        <w:rPr>
          <w:rFonts w:ascii="Times New Roman" w:hAnsi="Times New Roman" w:eastAsia="Times New Roman" w:cs="Times New Roman"/>
          <w:sz w:val="24"/>
          <w:szCs w:val="24"/>
          <w:lang w:eastAsia="en-GB" w:bidi="hi-IN"/>
        </w:rPr>
        <w:t>, 2016). In conclusion, optimal sowing dates for maximizing dry matter accumulation and yield depend on various factors, including local climate, latitude, and cultivar characteristics. Understanding these relationships is crucial for developing effective crop management strategies to optimize wheat production under different environmental conditions (Dubey</w:t>
      </w:r>
      <w:commentRangeStart w:id="12"/>
      <w:r>
        <w:rPr>
          <w:rFonts w:ascii="Times New Roman" w:hAnsi="Times New Roman" w:eastAsia="Times New Roman" w:cs="Times New Roman"/>
          <w:sz w:val="24"/>
          <w:szCs w:val="24"/>
          <w:lang w:eastAsia="en-GB" w:bidi="hi-IN"/>
        </w:rPr>
        <w:t xml:space="preserve"> et al.</w:t>
      </w:r>
      <w:commentRangeEnd w:id="12"/>
      <w:r>
        <w:commentReference w:id="12"/>
      </w:r>
      <w:r>
        <w:rPr>
          <w:rFonts w:ascii="Times New Roman" w:hAnsi="Times New Roman" w:eastAsia="Times New Roman" w:cs="Times New Roman"/>
          <w:sz w:val="24"/>
          <w:szCs w:val="24"/>
          <w:lang w:eastAsia="en-GB" w:bidi="hi-IN"/>
        </w:rPr>
        <w:t xml:space="preserve">, 2019; Liu </w:t>
      </w:r>
      <w:commentRangeStart w:id="13"/>
      <w:r>
        <w:rPr>
          <w:rFonts w:ascii="Times New Roman" w:hAnsi="Times New Roman" w:eastAsia="Times New Roman" w:cs="Times New Roman"/>
          <w:sz w:val="24"/>
          <w:szCs w:val="24"/>
          <w:lang w:eastAsia="en-GB" w:bidi="hi-IN"/>
        </w:rPr>
        <w:t>et al</w:t>
      </w:r>
      <w:commentRangeEnd w:id="13"/>
      <w:r>
        <w:commentReference w:id="13"/>
      </w:r>
      <w:r>
        <w:rPr>
          <w:rFonts w:ascii="Times New Roman" w:hAnsi="Times New Roman" w:eastAsia="Times New Roman" w:cs="Times New Roman"/>
          <w:sz w:val="24"/>
          <w:szCs w:val="24"/>
          <w:lang w:eastAsia="en-GB" w:bidi="hi-IN"/>
        </w:rPr>
        <w:t xml:space="preserve">., 2021). </w:t>
      </w:r>
    </w:p>
    <w:p w14:paraId="5CEE8559">
      <w:pPr>
        <w:spacing w:before="100" w:beforeAutospacing="1" w:after="100" w:afterAutospacing="1" w:line="240" w:lineRule="auto"/>
        <w:ind w:firstLine="720"/>
        <w:jc w:val="both"/>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 xml:space="preserve">Herbicidal weed management can significantly impact the dry matter accumulation of wheat crops through various mechanisms: Effective weed control using herbicides can enhance wheat biomass production by reducing competition for resources. By eliminating weeds, herbicides allow wheat plants to access more nutrients, water, and light, leading to increased dry matter accumulation. However, the timing and method of herbicide application can influence its effectiveness and impact on wheat growth. Post-emergence herbicide applications have been found to be generally more effective than pre-emergence applications in controlling weeds, regardless of tillage intensity </w:t>
      </w:r>
      <w:commentRangeStart w:id="14"/>
      <w:r>
        <w:rPr>
          <w:rFonts w:ascii="Times New Roman" w:hAnsi="Times New Roman" w:eastAsia="Times New Roman" w:cs="Times New Roman"/>
          <w:b/>
          <w:bCs/>
          <w:sz w:val="24"/>
          <w:szCs w:val="24"/>
          <w:lang w:eastAsia="en-GB" w:bidi="hi-IN"/>
        </w:rPr>
        <w:t>(Streit et al., 2003)</w:t>
      </w:r>
      <w:r>
        <w:rPr>
          <w:rFonts w:ascii="Times New Roman" w:hAnsi="Times New Roman" w:eastAsia="Times New Roman" w:cs="Times New Roman"/>
          <w:sz w:val="24"/>
          <w:szCs w:val="24"/>
          <w:lang w:eastAsia="en-GB" w:bidi="hi-IN"/>
        </w:rPr>
        <w:t>.</w:t>
      </w:r>
      <w:commentRangeEnd w:id="14"/>
      <w:r>
        <w:commentReference w:id="14"/>
      </w:r>
      <w:r>
        <w:rPr>
          <w:rFonts w:ascii="Times New Roman" w:hAnsi="Times New Roman" w:eastAsia="Times New Roman" w:cs="Times New Roman"/>
          <w:sz w:val="24"/>
          <w:szCs w:val="24"/>
          <w:lang w:eastAsia="en-GB" w:bidi="hi-IN"/>
        </w:rPr>
        <w:t xml:space="preserve"> This suggests that proper timing of herbicide application can optimize weed control and potentially enhance wheat dry matter accumulation. Broad-leaved weed herbicides can significantly impact dry matter accumulation in wheat crops, primarily through their effects on weed control and crop-weed competition. The application of broad-leaved weed herbicides can lead to reduced weed biomass, which in turn allows for increased dry matter accumulation in wheat. For instance, (Gerhards &amp; Oebel, 2006) reports that herbicide use against broad-leaved weeds in winter cereals resulted in reductions of 6-81% in herbicide application, while maintaining weed control efficacy between 85% and 98%. This high level of weed control suggests that the wheat crop would face less competition for resources, potentially leading to increased dry matter accumulation. Interestingly, the timing of herbicide application can play a crucial role in its effectiveness and impact on wheat dry matter accumulation. (Carey &amp; Kells, 1995) indicates that when p</w:t>
      </w:r>
      <w:r>
        <w:commentReference w:id="15"/>
      </w:r>
      <w:r>
        <w:rPr>
          <w:rFonts w:ascii="Times New Roman" w:hAnsi="Times New Roman" w:eastAsia="Times New Roman" w:cs="Times New Roman"/>
          <w:sz w:val="24"/>
          <w:szCs w:val="24"/>
          <w:lang w:eastAsia="en-GB" w:bidi="hi-IN"/>
        </w:rPr>
        <w:t>ostemergence herbicide applications were made to weeds 10 cm or less in height, weed interference did not reduce corn height or grain yield. However, when applications were delayed until weeds were 15 cm tall or higher, corn height and grain yield were reduced even with nearly complete weed control. This suggests that early herbicide application is critical for maximizing crop dry matter accumulation. In conclusion, while broad-leaved weed herbicides can effectively control weeds and potentially increase wheat dry matter accumulation, factors such as application timing, weed density, and environmental conditions play significant roles in determining the overall impact on the wheat crop. Proper management of these factors is crucial for optimizing the benefits of herbicide use on wheat dry matter accumulation.</w:t>
      </w:r>
    </w:p>
    <w:p w14:paraId="457E8DAF">
      <w:pPr>
        <w:spacing w:before="100" w:beforeAutospacing="1" w:after="100" w:afterAutospacing="1" w:line="240" w:lineRule="auto"/>
        <w:jc w:val="both"/>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5. Conclusion:</w:t>
      </w:r>
    </w:p>
    <w:p w14:paraId="230E5110">
      <w:pPr>
        <w:spacing w:after="0" w:line="240" w:lineRule="auto"/>
        <w:jc w:val="both"/>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In conclusion, this study highlights the critical importance of optimal sowing dates and effective weed management strategies in maximizing wheat productivity. Early sowing consistently resulted in higher dry matter accumulation and improved crop growth rates, particularly during the later stages of development. The weed-free treatment demonstrated the highest crop growth rates across all stages, underscoring the significant impact of weed competition on wheat performance. Among chemical weed control measures, Arylex 20.85% + Florasulam 20% and Carfentrazone showed promising results, approaching the effectiveness of hand weeding. These findings emphasize the need for integrated approaches that combine timely sowing with appropriate weed control methods to optimize wheat yields. Future research should focus on refining these strategies to address specific environmental conditions and cultivar characteristics, ultimately enhancing wheat production in diverse agricultural settings.</w:t>
      </w:r>
    </w:p>
    <w:p w14:paraId="77488829">
      <w:pPr>
        <w:rPr>
          <w:rFonts w:ascii="Times New Roman" w:hAnsi="Times New Roman" w:cs="Times New Roman"/>
          <w:sz w:val="24"/>
          <w:szCs w:val="24"/>
        </w:rPr>
      </w:pPr>
    </w:p>
    <w:p w14:paraId="349C7353">
      <w:pPr>
        <w:rPr>
          <w:rFonts w:ascii="Times New Roman" w:hAnsi="Times New Roman" w:cs="Times New Roman"/>
          <w:i/>
          <w:iCs/>
          <w:sz w:val="24"/>
          <w:szCs w:val="24"/>
        </w:rPr>
      </w:pPr>
      <w:r>
        <w:rPr>
          <w:rFonts w:ascii="Times New Roman" w:hAnsi="Times New Roman" w:cs="Times New Roman"/>
          <w:i/>
          <w:iCs/>
          <w:sz w:val="24"/>
          <w:szCs w:val="24"/>
        </w:rPr>
        <w:t>References:</w:t>
      </w:r>
    </w:p>
    <w:p w14:paraId="7100F650">
      <w:pPr>
        <w:spacing w:line="240" w:lineRule="auto"/>
        <w:rPr>
          <w:rFonts w:ascii="Times New Roman" w:hAnsi="Times New Roman" w:cs="Times New Roman"/>
          <w:sz w:val="24"/>
          <w:szCs w:val="24"/>
        </w:rPr>
      </w:pPr>
      <w:r>
        <w:rPr>
          <w:rFonts w:ascii="Times New Roman" w:hAnsi="Times New Roman" w:cs="Times New Roman"/>
          <w:sz w:val="24"/>
          <w:szCs w:val="24"/>
        </w:rPr>
        <w:t>Ahmed, M., &amp; Fayyaz-Ul-Hassan, F.-U.-H. (2015). Response of spring wheat (</w:t>
      </w:r>
      <w:r>
        <w:rPr>
          <w:rFonts w:ascii="Times New Roman" w:hAnsi="Times New Roman" w:cs="Times New Roman"/>
          <w:i/>
          <w:iCs/>
          <w:sz w:val="24"/>
          <w:szCs w:val="24"/>
        </w:rPr>
        <w:t>Triticum aestivum</w:t>
      </w:r>
      <w:r>
        <w:rPr>
          <w:rFonts w:ascii="Times New Roman" w:hAnsi="Times New Roman" w:cs="Times New Roman"/>
          <w:sz w:val="24"/>
          <w:szCs w:val="24"/>
        </w:rPr>
        <w:t xml:space="preserve"> L.) quality traits and yield to sowing date. PLOS ONE, 10(4), e0126097. https://doi.org/10.1371/journal.pone.0126097</w:t>
      </w:r>
    </w:p>
    <w:p w14:paraId="4CF65FFC">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Carey, J. B., &amp; Kells, J. J. (1995). Timing of Total Postemergence Herbicide Applications to Maximize Weed Control and Corn (</w:t>
      </w:r>
      <w:r>
        <w:rPr>
          <w:rFonts w:ascii="Times New Roman" w:hAnsi="Times New Roman" w:eastAsia="Times New Roman" w:cs="Times New Roman"/>
          <w:i/>
          <w:iCs/>
          <w:sz w:val="24"/>
          <w:szCs w:val="24"/>
          <w:lang w:eastAsia="en-GB" w:bidi="hi-IN"/>
        </w:rPr>
        <w:t xml:space="preserve">Zea mays) </w:t>
      </w:r>
      <w:r>
        <w:rPr>
          <w:rFonts w:ascii="Times New Roman" w:hAnsi="Times New Roman" w:eastAsia="Times New Roman" w:cs="Times New Roman"/>
          <w:sz w:val="24"/>
          <w:szCs w:val="24"/>
          <w:lang w:eastAsia="en-GB" w:bidi="hi-IN"/>
        </w:rPr>
        <w:t xml:space="preserve">Yield. </w:t>
      </w:r>
      <w:r>
        <w:rPr>
          <w:rFonts w:ascii="Times New Roman" w:hAnsi="Times New Roman" w:eastAsia="Times New Roman" w:cs="Times New Roman"/>
          <w:i/>
          <w:iCs/>
          <w:sz w:val="24"/>
          <w:szCs w:val="24"/>
          <w:lang w:eastAsia="en-GB" w:bidi="hi-IN"/>
        </w:rPr>
        <w:t>Weed Technology</w:t>
      </w:r>
      <w:r>
        <w:rPr>
          <w:rFonts w:ascii="Times New Roman" w:hAnsi="Times New Roman" w:eastAsia="Times New Roman" w:cs="Times New Roman"/>
          <w:sz w:val="24"/>
          <w:szCs w:val="24"/>
          <w:lang w:eastAsia="en-GB" w:bidi="hi-IN"/>
        </w:rPr>
        <w:t xml:space="preserve">, </w:t>
      </w:r>
      <w:r>
        <w:rPr>
          <w:rFonts w:ascii="Times New Roman" w:hAnsi="Times New Roman" w:eastAsia="Times New Roman" w:cs="Times New Roman"/>
          <w:i/>
          <w:iCs/>
          <w:sz w:val="24"/>
          <w:szCs w:val="24"/>
          <w:lang w:eastAsia="en-GB" w:bidi="hi-IN"/>
        </w:rPr>
        <w:t>9</w:t>
      </w:r>
      <w:r>
        <w:rPr>
          <w:rFonts w:ascii="Times New Roman" w:hAnsi="Times New Roman" w:eastAsia="Times New Roman" w:cs="Times New Roman"/>
          <w:sz w:val="24"/>
          <w:szCs w:val="24"/>
          <w:lang w:eastAsia="en-GB" w:bidi="hi-IN"/>
        </w:rPr>
        <w:t xml:space="preserve">(2), 356–361. </w:t>
      </w:r>
      <w:r>
        <w:fldChar w:fldCharType="begin"/>
      </w:r>
      <w:r>
        <w:instrText xml:space="preserve"> HYPERLINK "https://doi.org/10.1017/s0890037x00023472" </w:instrText>
      </w:r>
      <w:r>
        <w:fldChar w:fldCharType="separate"/>
      </w:r>
      <w:r>
        <w:rPr>
          <w:rStyle w:val="7"/>
          <w:rFonts w:ascii="Times New Roman" w:hAnsi="Times New Roman" w:eastAsia="Times New Roman" w:cs="Times New Roman"/>
          <w:sz w:val="24"/>
          <w:szCs w:val="24"/>
          <w:lang w:eastAsia="en-GB" w:bidi="hi-IN"/>
        </w:rPr>
        <w:t>https://doi.org/10.1017/s0890037x00023472</w:t>
      </w:r>
      <w:r>
        <w:rPr>
          <w:rStyle w:val="7"/>
          <w:rFonts w:ascii="Times New Roman" w:hAnsi="Times New Roman" w:eastAsia="Times New Roman" w:cs="Times New Roman"/>
          <w:sz w:val="24"/>
          <w:szCs w:val="24"/>
          <w:lang w:eastAsia="en-GB" w:bidi="hi-IN"/>
        </w:rPr>
        <w:fldChar w:fldCharType="end"/>
      </w:r>
    </w:p>
    <w:p w14:paraId="22CD2961">
      <w:pPr>
        <w:spacing w:after="0" w:line="240" w:lineRule="auto"/>
        <w:rPr>
          <w:rFonts w:ascii="Times New Roman" w:hAnsi="Times New Roman" w:eastAsia="Times New Roman" w:cs="Times New Roman"/>
          <w:sz w:val="24"/>
          <w:szCs w:val="24"/>
          <w:lang w:eastAsia="en-GB" w:bidi="hi-IN"/>
        </w:rPr>
      </w:pPr>
    </w:p>
    <w:p w14:paraId="33B9381E">
      <w:pPr>
        <w:spacing w:line="240" w:lineRule="auto"/>
        <w:rPr>
          <w:rFonts w:ascii="Times New Roman" w:hAnsi="Times New Roman" w:cs="Times New Roman"/>
          <w:sz w:val="24"/>
          <w:szCs w:val="24"/>
        </w:rPr>
      </w:pPr>
      <w:r>
        <w:rPr>
          <w:rFonts w:ascii="Times New Roman" w:hAnsi="Times New Roman" w:cs="Times New Roman"/>
          <w:sz w:val="24"/>
          <w:szCs w:val="24"/>
        </w:rPr>
        <w:t xml:space="preserve">Chatrath, R., Ortiz Ferrara, G., Joshi, A. K., Singh, S. K., &amp; Mishra, B. (2007). Challenges to wheat production in South Asia. Euphytica, 157(3), 447–456. </w:t>
      </w:r>
      <w:r>
        <w:fldChar w:fldCharType="begin"/>
      </w:r>
      <w:r>
        <w:instrText xml:space="preserve"> HYPERLINK "https://doi.org/10.1007/s10681-007-9515-2" </w:instrText>
      </w:r>
      <w:r>
        <w:fldChar w:fldCharType="separate"/>
      </w:r>
      <w:r>
        <w:rPr>
          <w:rStyle w:val="7"/>
          <w:rFonts w:ascii="Times New Roman" w:hAnsi="Times New Roman" w:cs="Times New Roman"/>
          <w:sz w:val="24"/>
          <w:szCs w:val="24"/>
        </w:rPr>
        <w:t>https://doi.org/10.1007/s10681-007-9515-2</w:t>
      </w:r>
      <w:r>
        <w:rPr>
          <w:rStyle w:val="7"/>
          <w:rFonts w:ascii="Times New Roman" w:hAnsi="Times New Roman" w:cs="Times New Roman"/>
          <w:sz w:val="24"/>
          <w:szCs w:val="24"/>
        </w:rPr>
        <w:fldChar w:fldCharType="end"/>
      </w:r>
    </w:p>
    <w:p w14:paraId="63AAB47B">
      <w:pPr>
        <w:spacing w:line="240" w:lineRule="auto"/>
        <w:rPr>
          <w:rFonts w:ascii="Times New Roman" w:hAnsi="Times New Roman" w:cs="Times New Roman"/>
          <w:sz w:val="24"/>
          <w:szCs w:val="24"/>
        </w:rPr>
      </w:pPr>
      <w:r>
        <w:rPr>
          <w:rFonts w:ascii="Times New Roman" w:hAnsi="Times New Roman" w:cs="Times New Roman"/>
          <w:sz w:val="24"/>
          <w:szCs w:val="24"/>
        </w:rPr>
        <w:t>Cirilo, A. G., &amp; Andrade, F. H. (1994). Sowing Date and Maize Productivity: I. Crop Growth and Dry Matter Partitioning. Crop Science, 34(4), 1039–1043. https://doi.org/10.2135/cropsci1994.0011183x003400040037x</w:t>
      </w:r>
    </w:p>
    <w:p w14:paraId="26DACDDE">
      <w:pPr>
        <w:spacing w:line="240" w:lineRule="auto"/>
        <w:rPr>
          <w:rFonts w:ascii="Times New Roman" w:hAnsi="Times New Roman" w:cs="Times New Roman"/>
          <w:sz w:val="24"/>
          <w:szCs w:val="24"/>
        </w:rPr>
      </w:pPr>
      <w:r>
        <w:rPr>
          <w:rFonts w:ascii="Times New Roman" w:hAnsi="Times New Roman" w:cs="Times New Roman"/>
          <w:sz w:val="24"/>
          <w:szCs w:val="24"/>
        </w:rPr>
        <w:t>Dhanda, S., Yadav, A., Yadav, D. B., &amp; Chauhan, B. S. (2022). Emerging Issues and Potential Opportunities in the Rice-Wheat Cropping System of North-Western India. Frontiers in Plant Science, 13. https://doi.org/10.3389/fpls.2022.832683</w:t>
      </w:r>
    </w:p>
    <w:p w14:paraId="331888CD">
      <w:pPr>
        <w:spacing w:line="240" w:lineRule="auto"/>
        <w:rPr>
          <w:rFonts w:ascii="Times New Roman" w:hAnsi="Times New Roman" w:cs="Times New Roman"/>
          <w:sz w:val="24"/>
          <w:szCs w:val="24"/>
        </w:rPr>
      </w:pPr>
      <w:r>
        <w:rPr>
          <w:rFonts w:ascii="Times New Roman" w:hAnsi="Times New Roman" w:cs="Times New Roman"/>
          <w:sz w:val="24"/>
          <w:szCs w:val="24"/>
        </w:rPr>
        <w:t xml:space="preserve">Dubey, R., Thakur, A. K., Chakravarti, B., Pathak, H., Fagodia, R. K., &amp; Singh, S. (2019). Impact of Sowing Dates on Terminal Heat Tolerance of Different Wheat (Triticum aestivum L.) Cultivars. National Academy Science Letters, 42(6), 445–449. </w:t>
      </w:r>
      <w:r>
        <w:fldChar w:fldCharType="begin"/>
      </w:r>
      <w:r>
        <w:instrText xml:space="preserve"> HYPERLINK "https://doi.org/10.1007/s40009-019-0786-7" </w:instrText>
      </w:r>
      <w:r>
        <w:fldChar w:fldCharType="separate"/>
      </w:r>
      <w:r>
        <w:rPr>
          <w:rStyle w:val="7"/>
          <w:rFonts w:ascii="Times New Roman" w:hAnsi="Times New Roman" w:cs="Times New Roman"/>
          <w:sz w:val="24"/>
          <w:szCs w:val="24"/>
        </w:rPr>
        <w:t>https://doi.org/10.1007/s40009-019-0786-7</w:t>
      </w:r>
      <w:r>
        <w:rPr>
          <w:rStyle w:val="7"/>
          <w:rFonts w:ascii="Times New Roman" w:hAnsi="Times New Roman" w:cs="Times New Roman"/>
          <w:sz w:val="24"/>
          <w:szCs w:val="24"/>
        </w:rPr>
        <w:fldChar w:fldCharType="end"/>
      </w:r>
    </w:p>
    <w:p w14:paraId="4F45016E">
      <w:pPr>
        <w:spacing w:line="240" w:lineRule="auto"/>
        <w:rPr>
          <w:rFonts w:ascii="Times New Roman" w:hAnsi="Times New Roman" w:cs="Times New Roman"/>
          <w:sz w:val="24"/>
          <w:szCs w:val="24"/>
        </w:rPr>
      </w:pPr>
      <w:commentRangeStart w:id="16"/>
      <w:r>
        <w:rPr>
          <w:rFonts w:ascii="Times New Roman" w:hAnsi="Times New Roman" w:cs="Times New Roman"/>
          <w:sz w:val="24"/>
          <w:szCs w:val="24"/>
        </w:rPr>
        <w:t>Dubey, R., Thakur, A. K., Chakravarti, B., Pathak, H., Fagodia, R. K., &amp; Singh, S. (2019). Impact of Sowing Dates on Terminal Heat Tolerance of Different Wheat (Triticum aestivum L.) Cultivars. National Academy Science Letters, 42(6), 445–449. https://doi.org/10.1007/s40009-019-0786-7</w:t>
      </w:r>
      <w:commentRangeEnd w:id="16"/>
      <w:r>
        <w:commentReference w:id="16"/>
      </w:r>
    </w:p>
    <w:p w14:paraId="2554B473">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br w:type="textWrapping"/>
      </w:r>
      <w:r>
        <w:rPr>
          <w:rFonts w:ascii="Times New Roman" w:hAnsi="Times New Roman" w:eastAsia="Times New Roman" w:cs="Times New Roman"/>
          <w:sz w:val="24"/>
          <w:szCs w:val="24"/>
          <w:lang w:eastAsia="en-GB" w:bidi="hi-IN"/>
        </w:rPr>
        <w:t xml:space="preserve">Gerhards, R., &amp; Oebel, H. (2006). Practical experiences with a system for site‐specific weed control in arable crops using real‐time image analysis and GPS‐controlled patch spraying. </w:t>
      </w:r>
      <w:r>
        <w:rPr>
          <w:rFonts w:ascii="Times New Roman" w:hAnsi="Times New Roman" w:eastAsia="Times New Roman" w:cs="Times New Roman"/>
          <w:i/>
          <w:iCs/>
          <w:sz w:val="24"/>
          <w:szCs w:val="24"/>
          <w:lang w:eastAsia="en-GB" w:bidi="hi-IN"/>
        </w:rPr>
        <w:t>Weed Research</w:t>
      </w:r>
      <w:r>
        <w:rPr>
          <w:rFonts w:ascii="Times New Roman" w:hAnsi="Times New Roman" w:eastAsia="Times New Roman" w:cs="Times New Roman"/>
          <w:sz w:val="24"/>
          <w:szCs w:val="24"/>
          <w:lang w:eastAsia="en-GB" w:bidi="hi-IN"/>
        </w:rPr>
        <w:t xml:space="preserve">, </w:t>
      </w:r>
      <w:r>
        <w:rPr>
          <w:rFonts w:ascii="Times New Roman" w:hAnsi="Times New Roman" w:eastAsia="Times New Roman" w:cs="Times New Roman"/>
          <w:i/>
          <w:iCs/>
          <w:sz w:val="24"/>
          <w:szCs w:val="24"/>
          <w:lang w:eastAsia="en-GB" w:bidi="hi-IN"/>
        </w:rPr>
        <w:t>46</w:t>
      </w:r>
      <w:r>
        <w:rPr>
          <w:rFonts w:ascii="Times New Roman" w:hAnsi="Times New Roman" w:eastAsia="Times New Roman" w:cs="Times New Roman"/>
          <w:sz w:val="24"/>
          <w:szCs w:val="24"/>
          <w:lang w:eastAsia="en-GB" w:bidi="hi-IN"/>
        </w:rPr>
        <w:t xml:space="preserve">(3), 185–193. </w:t>
      </w:r>
      <w:r>
        <w:fldChar w:fldCharType="begin"/>
      </w:r>
      <w:r>
        <w:instrText xml:space="preserve"> HYPERLINK "https://doi.org/10.1111/j.1365-3180.2006.00504.x" </w:instrText>
      </w:r>
      <w:r>
        <w:fldChar w:fldCharType="separate"/>
      </w:r>
      <w:r>
        <w:rPr>
          <w:rStyle w:val="7"/>
          <w:rFonts w:ascii="Times New Roman" w:hAnsi="Times New Roman" w:eastAsia="Times New Roman" w:cs="Times New Roman"/>
          <w:sz w:val="24"/>
          <w:szCs w:val="24"/>
          <w:lang w:eastAsia="en-GB" w:bidi="hi-IN"/>
        </w:rPr>
        <w:t>https://doi.org/10.1111/j.1365-3180.2006.00504.x</w:t>
      </w:r>
      <w:r>
        <w:rPr>
          <w:rStyle w:val="7"/>
          <w:rFonts w:ascii="Times New Roman" w:hAnsi="Times New Roman" w:eastAsia="Times New Roman" w:cs="Times New Roman"/>
          <w:sz w:val="24"/>
          <w:szCs w:val="24"/>
          <w:lang w:eastAsia="en-GB" w:bidi="hi-IN"/>
        </w:rPr>
        <w:fldChar w:fldCharType="end"/>
      </w:r>
    </w:p>
    <w:p w14:paraId="3D9B714D">
      <w:pPr>
        <w:spacing w:after="0" w:line="240" w:lineRule="auto"/>
        <w:rPr>
          <w:rFonts w:ascii="Times New Roman" w:hAnsi="Times New Roman" w:eastAsia="Times New Roman" w:cs="Times New Roman"/>
          <w:sz w:val="24"/>
          <w:szCs w:val="24"/>
          <w:lang w:eastAsia="en-GB" w:bidi="hi-IN"/>
        </w:rPr>
      </w:pPr>
    </w:p>
    <w:p w14:paraId="0F56626E">
      <w:pPr>
        <w:spacing w:line="240" w:lineRule="auto"/>
        <w:rPr>
          <w:rFonts w:ascii="Times New Roman" w:hAnsi="Times New Roman" w:cs="Times New Roman"/>
          <w:sz w:val="24"/>
          <w:szCs w:val="24"/>
        </w:rPr>
      </w:pPr>
      <w:r>
        <w:rPr>
          <w:rFonts w:ascii="Times New Roman" w:hAnsi="Times New Roman" w:cs="Times New Roman"/>
          <w:sz w:val="24"/>
          <w:szCs w:val="24"/>
        </w:rPr>
        <w:t xml:space="preserve">Hussain, A., Jin, S., Manghwar, H., Wu, C., Ding, X., Hui, F., Alariqi, M., Cao, J., Li, Y., &amp; Cheng, J. (2021). Herbicide Resistance: Another Hot Agronomic Trait for Plant Genome Editing. Plants, 10(4), 621. </w:t>
      </w:r>
      <w:r>
        <w:fldChar w:fldCharType="begin"/>
      </w:r>
      <w:r>
        <w:instrText xml:space="preserve"> HYPERLINK "https://doi.org/10.3390/plants10040621" </w:instrText>
      </w:r>
      <w:r>
        <w:fldChar w:fldCharType="separate"/>
      </w:r>
      <w:r>
        <w:rPr>
          <w:rStyle w:val="7"/>
          <w:rFonts w:ascii="Times New Roman" w:hAnsi="Times New Roman" w:cs="Times New Roman"/>
          <w:sz w:val="24"/>
          <w:szCs w:val="24"/>
        </w:rPr>
        <w:t>https://doi.org/10.3390/plants10040621</w:t>
      </w:r>
      <w:r>
        <w:rPr>
          <w:rStyle w:val="7"/>
          <w:rFonts w:ascii="Times New Roman" w:hAnsi="Times New Roman" w:cs="Times New Roman"/>
          <w:sz w:val="24"/>
          <w:szCs w:val="24"/>
        </w:rPr>
        <w:fldChar w:fldCharType="end"/>
      </w:r>
    </w:p>
    <w:p w14:paraId="000AC612">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 xml:space="preserve">Hussain, S., Tanveer, A., Fahad, S., Matloob, A., &amp; Khaliq, A. (2014). Interference and economic threshold level of little seed canary grass in wheat under different sowing times. </w:t>
      </w:r>
      <w:r>
        <w:rPr>
          <w:rFonts w:ascii="Times New Roman" w:hAnsi="Times New Roman" w:eastAsia="Times New Roman" w:cs="Times New Roman"/>
          <w:i/>
          <w:iCs/>
          <w:sz w:val="24"/>
          <w:szCs w:val="24"/>
          <w:lang w:eastAsia="en-GB" w:bidi="hi-IN"/>
        </w:rPr>
        <w:t>Environmental Science and Pollution Research</w:t>
      </w:r>
      <w:r>
        <w:rPr>
          <w:rFonts w:ascii="Times New Roman" w:hAnsi="Times New Roman" w:eastAsia="Times New Roman" w:cs="Times New Roman"/>
          <w:sz w:val="24"/>
          <w:szCs w:val="24"/>
          <w:lang w:eastAsia="en-GB" w:bidi="hi-IN"/>
        </w:rPr>
        <w:t xml:space="preserve">, </w:t>
      </w:r>
      <w:r>
        <w:rPr>
          <w:rFonts w:ascii="Times New Roman" w:hAnsi="Times New Roman" w:eastAsia="Times New Roman" w:cs="Times New Roman"/>
          <w:i/>
          <w:iCs/>
          <w:sz w:val="24"/>
          <w:szCs w:val="24"/>
          <w:lang w:eastAsia="en-GB" w:bidi="hi-IN"/>
        </w:rPr>
        <w:t>22</w:t>
      </w:r>
      <w:r>
        <w:rPr>
          <w:rFonts w:ascii="Times New Roman" w:hAnsi="Times New Roman" w:eastAsia="Times New Roman" w:cs="Times New Roman"/>
          <w:sz w:val="24"/>
          <w:szCs w:val="24"/>
          <w:lang w:eastAsia="en-GB" w:bidi="hi-IN"/>
        </w:rPr>
        <w:t xml:space="preserve">(1), 441–449. </w:t>
      </w:r>
      <w:r>
        <w:fldChar w:fldCharType="begin"/>
      </w:r>
      <w:r>
        <w:instrText xml:space="preserve"> HYPERLINK "https://doi.org/10.1007/s11356-014-3304-y" </w:instrText>
      </w:r>
      <w:r>
        <w:fldChar w:fldCharType="separate"/>
      </w:r>
      <w:r>
        <w:rPr>
          <w:rStyle w:val="7"/>
          <w:rFonts w:ascii="Times New Roman" w:hAnsi="Times New Roman" w:eastAsia="Times New Roman" w:cs="Times New Roman"/>
          <w:sz w:val="24"/>
          <w:szCs w:val="24"/>
          <w:lang w:eastAsia="en-GB" w:bidi="hi-IN"/>
        </w:rPr>
        <w:t>https://doi.org/10.1007/s11356-014-3304-y</w:t>
      </w:r>
      <w:r>
        <w:rPr>
          <w:rStyle w:val="7"/>
          <w:rFonts w:ascii="Times New Roman" w:hAnsi="Times New Roman" w:eastAsia="Times New Roman" w:cs="Times New Roman"/>
          <w:sz w:val="24"/>
          <w:szCs w:val="24"/>
          <w:lang w:eastAsia="en-GB" w:bidi="hi-IN"/>
        </w:rPr>
        <w:fldChar w:fldCharType="end"/>
      </w:r>
    </w:p>
    <w:p w14:paraId="385D452E">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br w:type="textWrapping"/>
      </w:r>
      <w:commentRangeStart w:id="17"/>
      <w:r>
        <w:rPr>
          <w:rFonts w:ascii="Times New Roman" w:hAnsi="Times New Roman" w:eastAsia="Times New Roman" w:cs="Times New Roman"/>
          <w:sz w:val="24"/>
          <w:szCs w:val="24"/>
          <w:lang w:eastAsia="en-GB" w:bidi="hi-IN"/>
        </w:rPr>
        <w:t xml:space="preserve">Marín, C., &amp; Weiner, J. (2014). Effects of density and sowing pattern on weed suppression and grain yield in three varieties of maize under high weed pressure. </w:t>
      </w:r>
      <w:r>
        <w:rPr>
          <w:rFonts w:ascii="Times New Roman" w:hAnsi="Times New Roman" w:eastAsia="Times New Roman" w:cs="Times New Roman"/>
          <w:i/>
          <w:iCs/>
          <w:sz w:val="24"/>
          <w:szCs w:val="24"/>
          <w:lang w:eastAsia="en-GB" w:bidi="hi-IN"/>
        </w:rPr>
        <w:t>Weed Research</w:t>
      </w:r>
      <w:r>
        <w:rPr>
          <w:rFonts w:ascii="Times New Roman" w:hAnsi="Times New Roman" w:eastAsia="Times New Roman" w:cs="Times New Roman"/>
          <w:sz w:val="24"/>
          <w:szCs w:val="24"/>
          <w:lang w:eastAsia="en-GB" w:bidi="hi-IN"/>
        </w:rPr>
        <w:t xml:space="preserve">, </w:t>
      </w:r>
      <w:r>
        <w:rPr>
          <w:rFonts w:ascii="Times New Roman" w:hAnsi="Times New Roman" w:eastAsia="Times New Roman" w:cs="Times New Roman"/>
          <w:i/>
          <w:iCs/>
          <w:sz w:val="24"/>
          <w:szCs w:val="24"/>
          <w:lang w:eastAsia="en-GB" w:bidi="hi-IN"/>
        </w:rPr>
        <w:t>54</w:t>
      </w:r>
      <w:r>
        <w:rPr>
          <w:rFonts w:ascii="Times New Roman" w:hAnsi="Times New Roman" w:eastAsia="Times New Roman" w:cs="Times New Roman"/>
          <w:sz w:val="24"/>
          <w:szCs w:val="24"/>
          <w:lang w:eastAsia="en-GB" w:bidi="hi-IN"/>
        </w:rPr>
        <w:t xml:space="preserve">(5), 467–474. </w:t>
      </w:r>
      <w:r>
        <w:fldChar w:fldCharType="begin"/>
      </w:r>
      <w:r>
        <w:instrText xml:space="preserve"> HYPERLINK "https://doi.org/10.1111/wre.12101" </w:instrText>
      </w:r>
      <w:r>
        <w:fldChar w:fldCharType="separate"/>
      </w:r>
      <w:r>
        <w:rPr>
          <w:rStyle w:val="7"/>
          <w:rFonts w:ascii="Times New Roman" w:hAnsi="Times New Roman" w:eastAsia="Times New Roman" w:cs="Times New Roman"/>
          <w:sz w:val="24"/>
          <w:szCs w:val="24"/>
          <w:lang w:eastAsia="en-GB" w:bidi="hi-IN"/>
        </w:rPr>
        <w:t>https://doi.org/10.1111/wre.12101</w:t>
      </w:r>
      <w:r>
        <w:rPr>
          <w:rStyle w:val="7"/>
          <w:rFonts w:ascii="Times New Roman" w:hAnsi="Times New Roman" w:eastAsia="Times New Roman" w:cs="Times New Roman"/>
          <w:sz w:val="24"/>
          <w:szCs w:val="24"/>
          <w:lang w:eastAsia="en-GB" w:bidi="hi-IN"/>
        </w:rPr>
        <w:fldChar w:fldCharType="end"/>
      </w:r>
      <w:commentRangeEnd w:id="17"/>
      <w:r>
        <w:commentReference w:id="17"/>
      </w:r>
    </w:p>
    <w:p w14:paraId="6D33C8BB">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br w:type="textWrapping"/>
      </w:r>
      <w:commentRangeStart w:id="18"/>
      <w:r>
        <w:rPr>
          <w:rFonts w:ascii="Times New Roman" w:hAnsi="Times New Roman" w:eastAsia="Times New Roman" w:cs="Times New Roman"/>
          <w:sz w:val="24"/>
          <w:szCs w:val="24"/>
          <w:lang w:eastAsia="en-GB" w:bidi="hi-IN"/>
        </w:rPr>
        <w:t xml:space="preserve">Olsen, J., Griepentrog, H., Kristensen, L., &amp; Weiner, J. (2005). Increased density and spatial uniformity increase weed suppression by spring wheat. </w:t>
      </w:r>
      <w:r>
        <w:rPr>
          <w:rFonts w:ascii="Times New Roman" w:hAnsi="Times New Roman" w:eastAsia="Times New Roman" w:cs="Times New Roman"/>
          <w:i/>
          <w:iCs/>
          <w:sz w:val="24"/>
          <w:szCs w:val="24"/>
          <w:lang w:eastAsia="en-GB" w:bidi="hi-IN"/>
        </w:rPr>
        <w:t>Weed Research</w:t>
      </w:r>
      <w:r>
        <w:rPr>
          <w:rFonts w:ascii="Times New Roman" w:hAnsi="Times New Roman" w:eastAsia="Times New Roman" w:cs="Times New Roman"/>
          <w:sz w:val="24"/>
          <w:szCs w:val="24"/>
          <w:lang w:eastAsia="en-GB" w:bidi="hi-IN"/>
        </w:rPr>
        <w:t xml:space="preserve">, </w:t>
      </w:r>
      <w:r>
        <w:rPr>
          <w:rFonts w:ascii="Times New Roman" w:hAnsi="Times New Roman" w:eastAsia="Times New Roman" w:cs="Times New Roman"/>
          <w:i/>
          <w:iCs/>
          <w:sz w:val="24"/>
          <w:szCs w:val="24"/>
          <w:lang w:eastAsia="en-GB" w:bidi="hi-IN"/>
        </w:rPr>
        <w:t>45</w:t>
      </w:r>
      <w:r>
        <w:rPr>
          <w:rFonts w:ascii="Times New Roman" w:hAnsi="Times New Roman" w:eastAsia="Times New Roman" w:cs="Times New Roman"/>
          <w:sz w:val="24"/>
          <w:szCs w:val="24"/>
          <w:lang w:eastAsia="en-GB" w:bidi="hi-IN"/>
        </w:rPr>
        <w:t>(4), 316–321. https://doi.org/10.1111/j.1365-3180.2005.00456.x</w:t>
      </w:r>
      <w:r>
        <w:rPr>
          <w:rFonts w:ascii="Times New Roman" w:hAnsi="Times New Roman" w:eastAsia="Times New Roman" w:cs="Times New Roman"/>
          <w:sz w:val="24"/>
          <w:szCs w:val="24"/>
          <w:lang w:eastAsia="en-GB" w:bidi="hi-IN"/>
        </w:rPr>
        <w:br w:type="textWrapping"/>
      </w:r>
      <w:r>
        <w:rPr>
          <w:rFonts w:ascii="Times New Roman" w:hAnsi="Times New Roman" w:eastAsia="Times New Roman" w:cs="Times New Roman"/>
          <w:sz w:val="24"/>
          <w:szCs w:val="24"/>
          <w:lang w:eastAsia="en-GB" w:bidi="hi-IN"/>
        </w:rPr>
        <w:t>Paynter, B. H., &amp; Hills, A. L. (2009). Barley and Rigid Ryegrass (</w:t>
      </w:r>
      <w:r>
        <w:rPr>
          <w:rFonts w:ascii="Times New Roman" w:hAnsi="Times New Roman" w:eastAsia="Times New Roman" w:cs="Times New Roman"/>
          <w:i/>
          <w:iCs/>
          <w:sz w:val="24"/>
          <w:szCs w:val="24"/>
          <w:lang w:eastAsia="en-GB" w:bidi="hi-IN"/>
        </w:rPr>
        <w:t>Lolium rigidum</w:t>
      </w:r>
      <w:r>
        <w:rPr>
          <w:rFonts w:ascii="Times New Roman" w:hAnsi="Times New Roman" w:eastAsia="Times New Roman" w:cs="Times New Roman"/>
          <w:sz w:val="24"/>
          <w:szCs w:val="24"/>
          <w:lang w:eastAsia="en-GB" w:bidi="hi-IN"/>
        </w:rPr>
        <w:t xml:space="preserve">) Competition is Influenced by Crop Cultivar and Density. </w:t>
      </w:r>
      <w:r>
        <w:rPr>
          <w:rFonts w:ascii="Times New Roman" w:hAnsi="Times New Roman" w:eastAsia="Times New Roman" w:cs="Times New Roman"/>
          <w:i/>
          <w:iCs/>
          <w:sz w:val="24"/>
          <w:szCs w:val="24"/>
          <w:lang w:eastAsia="en-GB" w:bidi="hi-IN"/>
        </w:rPr>
        <w:t>Weed Technology</w:t>
      </w:r>
      <w:r>
        <w:rPr>
          <w:rFonts w:ascii="Times New Roman" w:hAnsi="Times New Roman" w:eastAsia="Times New Roman" w:cs="Times New Roman"/>
          <w:sz w:val="24"/>
          <w:szCs w:val="24"/>
          <w:lang w:eastAsia="en-GB" w:bidi="hi-IN"/>
        </w:rPr>
        <w:t xml:space="preserve">, </w:t>
      </w:r>
      <w:r>
        <w:rPr>
          <w:rFonts w:ascii="Times New Roman" w:hAnsi="Times New Roman" w:eastAsia="Times New Roman" w:cs="Times New Roman"/>
          <w:i/>
          <w:iCs/>
          <w:sz w:val="24"/>
          <w:szCs w:val="24"/>
          <w:lang w:eastAsia="en-GB" w:bidi="hi-IN"/>
        </w:rPr>
        <w:t>23</w:t>
      </w:r>
      <w:r>
        <w:rPr>
          <w:rFonts w:ascii="Times New Roman" w:hAnsi="Times New Roman" w:eastAsia="Times New Roman" w:cs="Times New Roman"/>
          <w:sz w:val="24"/>
          <w:szCs w:val="24"/>
          <w:lang w:eastAsia="en-GB" w:bidi="hi-IN"/>
        </w:rPr>
        <w:t xml:space="preserve">(1), 40–48. </w:t>
      </w:r>
      <w:r>
        <w:fldChar w:fldCharType="begin"/>
      </w:r>
      <w:r>
        <w:instrText xml:space="preserve"> HYPERLINK "https://doi.org/10.1614/wt-08-093.1" </w:instrText>
      </w:r>
      <w:r>
        <w:fldChar w:fldCharType="separate"/>
      </w:r>
      <w:r>
        <w:rPr>
          <w:rStyle w:val="7"/>
          <w:rFonts w:ascii="Times New Roman" w:hAnsi="Times New Roman" w:eastAsia="Times New Roman" w:cs="Times New Roman"/>
          <w:sz w:val="24"/>
          <w:szCs w:val="24"/>
          <w:lang w:eastAsia="en-GB" w:bidi="hi-IN"/>
        </w:rPr>
        <w:t>https://doi.org/10.1614/wt-08-093.1</w:t>
      </w:r>
      <w:r>
        <w:rPr>
          <w:rStyle w:val="7"/>
          <w:rFonts w:ascii="Times New Roman" w:hAnsi="Times New Roman" w:eastAsia="Times New Roman" w:cs="Times New Roman"/>
          <w:sz w:val="24"/>
          <w:szCs w:val="24"/>
          <w:lang w:eastAsia="en-GB" w:bidi="hi-IN"/>
        </w:rPr>
        <w:fldChar w:fldCharType="end"/>
      </w:r>
      <w:commentRangeEnd w:id="18"/>
      <w:r>
        <w:commentReference w:id="18"/>
      </w:r>
    </w:p>
    <w:p w14:paraId="76A89F4C">
      <w:pPr>
        <w:spacing w:after="0" w:line="240" w:lineRule="auto"/>
        <w:rPr>
          <w:rFonts w:ascii="Times New Roman" w:hAnsi="Times New Roman" w:eastAsia="Times New Roman" w:cs="Times New Roman"/>
          <w:sz w:val="24"/>
          <w:szCs w:val="24"/>
          <w:lang w:eastAsia="en-GB" w:bidi="hi-IN"/>
        </w:rPr>
      </w:pPr>
    </w:p>
    <w:p w14:paraId="3DF42012">
      <w:pPr>
        <w:spacing w:line="240" w:lineRule="auto"/>
        <w:rPr>
          <w:rFonts w:ascii="Times New Roman" w:hAnsi="Times New Roman" w:cs="Times New Roman"/>
          <w:sz w:val="24"/>
          <w:szCs w:val="24"/>
        </w:rPr>
      </w:pPr>
      <w:r>
        <w:rPr>
          <w:rFonts w:ascii="Times New Roman" w:hAnsi="Times New Roman" w:cs="Times New Roman"/>
          <w:sz w:val="24"/>
          <w:szCs w:val="24"/>
        </w:rPr>
        <w:t xml:space="preserve">Kamara, M. M., Rehan, M., Kheir, A. M. S., Mansour, E., Farid, M. A., Alhusays, A. Y., Germoush, M. O., Ibrahim, K. M., Motawei, M. I., &amp; Abd El-Moneim, D. (2021). Combining Ability and Gene Action Controlling Grain Yield and Its Related Traits in Bread Wheat under Heat Stress and Normal Conditions. Agronomy, 11(8), 1450. </w:t>
      </w:r>
      <w:r>
        <w:fldChar w:fldCharType="begin"/>
      </w:r>
      <w:r>
        <w:instrText xml:space="preserve"> HYPERLINK "https://doi.org/10.3390/agronomy11081450" </w:instrText>
      </w:r>
      <w:r>
        <w:fldChar w:fldCharType="separate"/>
      </w:r>
      <w:r>
        <w:rPr>
          <w:rStyle w:val="7"/>
          <w:rFonts w:ascii="Times New Roman" w:hAnsi="Times New Roman" w:cs="Times New Roman"/>
          <w:sz w:val="24"/>
          <w:szCs w:val="24"/>
        </w:rPr>
        <w:t>https://doi.org/10.3390/agronomy11081450</w:t>
      </w:r>
      <w:r>
        <w:rPr>
          <w:rStyle w:val="7"/>
          <w:rFonts w:ascii="Times New Roman" w:hAnsi="Times New Roman" w:cs="Times New Roman"/>
          <w:sz w:val="24"/>
          <w:szCs w:val="24"/>
        </w:rPr>
        <w:fldChar w:fldCharType="end"/>
      </w:r>
    </w:p>
    <w:p w14:paraId="597F16F3">
      <w:pPr>
        <w:spacing w:line="240" w:lineRule="auto"/>
        <w:rPr>
          <w:rFonts w:ascii="Times New Roman" w:hAnsi="Times New Roman" w:cs="Times New Roman"/>
          <w:sz w:val="24"/>
          <w:szCs w:val="24"/>
        </w:rPr>
      </w:pPr>
      <w:r>
        <w:rPr>
          <w:rFonts w:ascii="Times New Roman" w:hAnsi="Times New Roman" w:cs="Times New Roman"/>
          <w:sz w:val="24"/>
          <w:szCs w:val="24"/>
        </w:rPr>
        <w:t xml:space="preserve">Khan, B. A., Najeeb Alawadi, H. F., Nadeem, M. A., Abdullah, F., Nijabat, A., Ayub, M. A., Mahmood, A., Oraby, H., Abbas, T., Ameen, M., &amp; Elnaggar, N. (2024). An overview of the role of nanoherbicides in tackling challenges of weed management in wheat: A novel approach. Green Processing and Synthesis, 13(1). </w:t>
      </w:r>
      <w:r>
        <w:fldChar w:fldCharType="begin"/>
      </w:r>
      <w:r>
        <w:instrText xml:space="preserve"> HYPERLINK "https://doi.org/10.1515/gps-2024-0021" </w:instrText>
      </w:r>
      <w:r>
        <w:fldChar w:fldCharType="separate"/>
      </w:r>
      <w:r>
        <w:rPr>
          <w:rStyle w:val="7"/>
          <w:rFonts w:ascii="Times New Roman" w:hAnsi="Times New Roman" w:cs="Times New Roman"/>
          <w:sz w:val="24"/>
          <w:szCs w:val="24"/>
        </w:rPr>
        <w:t>https://doi.org/10.1515/gps-2024-0021</w:t>
      </w:r>
      <w:r>
        <w:rPr>
          <w:rStyle w:val="7"/>
          <w:rFonts w:ascii="Times New Roman" w:hAnsi="Times New Roman" w:cs="Times New Roman"/>
          <w:sz w:val="24"/>
          <w:szCs w:val="24"/>
        </w:rPr>
        <w:fldChar w:fldCharType="end"/>
      </w:r>
    </w:p>
    <w:p w14:paraId="7BA03BE5">
      <w:pPr>
        <w:spacing w:line="240" w:lineRule="auto"/>
        <w:rPr>
          <w:rFonts w:ascii="Times New Roman" w:hAnsi="Times New Roman" w:cs="Times New Roman"/>
          <w:sz w:val="24"/>
          <w:szCs w:val="24"/>
        </w:rPr>
      </w:pPr>
      <w:r>
        <w:rPr>
          <w:rFonts w:ascii="Times New Roman" w:hAnsi="Times New Roman" w:cs="Times New Roman"/>
          <w:sz w:val="24"/>
          <w:szCs w:val="24"/>
        </w:rPr>
        <w:t xml:space="preserve">Kosina, P., Dixon, J., Reynolds, M., &amp; Joshi, A. (2007). Stakeholder perception of wheat production constraints, capacity building needs, and research partnerships in developing countries. Euphytica, 157(3), 475–483. </w:t>
      </w:r>
      <w:r>
        <w:fldChar w:fldCharType="begin"/>
      </w:r>
      <w:r>
        <w:instrText xml:space="preserve"> HYPERLINK "https://doi.org/10.1007/s10681-007-9529-9" </w:instrText>
      </w:r>
      <w:r>
        <w:fldChar w:fldCharType="separate"/>
      </w:r>
      <w:r>
        <w:rPr>
          <w:rStyle w:val="7"/>
          <w:rFonts w:ascii="Times New Roman" w:hAnsi="Times New Roman" w:cs="Times New Roman"/>
          <w:sz w:val="24"/>
          <w:szCs w:val="24"/>
        </w:rPr>
        <w:t>https://doi.org/10.1007/s10681-007-9529-9</w:t>
      </w:r>
      <w:r>
        <w:rPr>
          <w:rStyle w:val="7"/>
          <w:rFonts w:ascii="Times New Roman" w:hAnsi="Times New Roman" w:cs="Times New Roman"/>
          <w:sz w:val="24"/>
          <w:szCs w:val="24"/>
        </w:rPr>
        <w:fldChar w:fldCharType="end"/>
      </w:r>
    </w:p>
    <w:p w14:paraId="4D26B54E">
      <w:pPr>
        <w:spacing w:line="240" w:lineRule="auto"/>
        <w:rPr>
          <w:rFonts w:ascii="Times New Roman" w:hAnsi="Times New Roman" w:cs="Times New Roman"/>
          <w:sz w:val="24"/>
          <w:szCs w:val="24"/>
        </w:rPr>
      </w:pPr>
      <w:r>
        <w:rPr>
          <w:rFonts w:ascii="Times New Roman" w:hAnsi="Times New Roman" w:cs="Times New Roman"/>
          <w:sz w:val="24"/>
          <w:szCs w:val="24"/>
        </w:rPr>
        <w:t xml:space="preserve">Liu, J., Zhou, K., He, Q., Ma, S., Wang, R., Xiao, X., Guan, Y., Wu, Y., Zhou, S., Shi, Y., Sun, W., Song, Y., &amp; Zhou, G. (2023). Effects of Sowing Date Variation on Winter Wheat Yield: Conclusions for Suitable Sowing Dates for High and Stable Yield. Agronomy, 13(4), 991. </w:t>
      </w:r>
      <w:r>
        <w:fldChar w:fldCharType="begin"/>
      </w:r>
      <w:r>
        <w:instrText xml:space="preserve"> HYPERLINK "https://doi.org/10.3390/agronomy13040991" </w:instrText>
      </w:r>
      <w:r>
        <w:fldChar w:fldCharType="separate"/>
      </w:r>
      <w:r>
        <w:rPr>
          <w:rStyle w:val="7"/>
          <w:rFonts w:ascii="Times New Roman" w:hAnsi="Times New Roman" w:cs="Times New Roman"/>
          <w:sz w:val="24"/>
          <w:szCs w:val="24"/>
        </w:rPr>
        <w:t>https://doi.org/10.3390/agronomy13040991</w:t>
      </w:r>
      <w:r>
        <w:rPr>
          <w:rStyle w:val="7"/>
          <w:rFonts w:ascii="Times New Roman" w:hAnsi="Times New Roman" w:cs="Times New Roman"/>
          <w:sz w:val="24"/>
          <w:szCs w:val="24"/>
        </w:rPr>
        <w:fldChar w:fldCharType="end"/>
      </w:r>
    </w:p>
    <w:p w14:paraId="61064794">
      <w:pPr>
        <w:spacing w:line="240" w:lineRule="auto"/>
        <w:rPr>
          <w:rFonts w:ascii="Times New Roman" w:hAnsi="Times New Roman" w:cs="Times New Roman"/>
          <w:sz w:val="24"/>
          <w:szCs w:val="24"/>
        </w:rPr>
      </w:pPr>
      <w:r>
        <w:rPr>
          <w:rFonts w:ascii="Times New Roman" w:hAnsi="Times New Roman" w:cs="Times New Roman"/>
          <w:sz w:val="24"/>
          <w:szCs w:val="24"/>
        </w:rPr>
        <w:t xml:space="preserve">Liu, K., Xue, K., Wang, Z., Liu, K., Wang, X., Guan, B., Yang, R., Li, X., Yin, L., &amp; Zhang, C. (2021). The effect of different sowing dates on dry matter and nitrogen dynamics for winter wheat: an experimental simulation study. PeerJ, 9(7781), e11700. </w:t>
      </w:r>
      <w:r>
        <w:fldChar w:fldCharType="begin"/>
      </w:r>
      <w:r>
        <w:instrText xml:space="preserve"> HYPERLINK "https://doi.org/10.7717/peerj.11700" </w:instrText>
      </w:r>
      <w:r>
        <w:fldChar w:fldCharType="separate"/>
      </w:r>
      <w:r>
        <w:rPr>
          <w:rStyle w:val="7"/>
          <w:rFonts w:ascii="Times New Roman" w:hAnsi="Times New Roman" w:cs="Times New Roman"/>
          <w:sz w:val="24"/>
          <w:szCs w:val="24"/>
        </w:rPr>
        <w:t>https://doi.org/10.7717/peerj.11700</w:t>
      </w:r>
      <w:r>
        <w:rPr>
          <w:rStyle w:val="7"/>
          <w:rFonts w:ascii="Times New Roman" w:hAnsi="Times New Roman" w:cs="Times New Roman"/>
          <w:sz w:val="24"/>
          <w:szCs w:val="24"/>
        </w:rPr>
        <w:fldChar w:fldCharType="end"/>
      </w:r>
    </w:p>
    <w:p w14:paraId="48F4D53A">
      <w:pPr>
        <w:spacing w:line="240" w:lineRule="auto"/>
        <w:rPr>
          <w:rFonts w:ascii="Times New Roman" w:hAnsi="Times New Roman" w:cs="Times New Roman"/>
          <w:sz w:val="24"/>
          <w:szCs w:val="24"/>
        </w:rPr>
      </w:pPr>
      <w:r>
        <w:rPr>
          <w:rFonts w:ascii="Times New Roman" w:hAnsi="Times New Roman" w:cs="Times New Roman"/>
          <w:sz w:val="24"/>
          <w:szCs w:val="24"/>
        </w:rPr>
        <w:t xml:space="preserve">Newport, D., Balwinder-Singh, B.-S., Lobell, D. B., Umashaanker, M., Rao, P., Malik, R. K., Jain, M., Srivastava, A. K., &amp; Mcdonald, A. (2020). Factors Constraining Timely Sowing of Wheat as an Adaptation to Climate Change in Eastern India. Weather, Climate, and Society, 12(3), 515–528. </w:t>
      </w:r>
      <w:r>
        <w:fldChar w:fldCharType="begin"/>
      </w:r>
      <w:r>
        <w:instrText xml:space="preserve"> HYPERLINK "https://doi.org/10.1175/wcas-d-19-0122.1" </w:instrText>
      </w:r>
      <w:r>
        <w:fldChar w:fldCharType="separate"/>
      </w:r>
      <w:r>
        <w:rPr>
          <w:rStyle w:val="7"/>
          <w:rFonts w:ascii="Times New Roman" w:hAnsi="Times New Roman" w:cs="Times New Roman"/>
          <w:sz w:val="24"/>
          <w:szCs w:val="24"/>
        </w:rPr>
        <w:t>https://doi.org/10.1175/wcas-d-19-0122.1</w:t>
      </w:r>
      <w:r>
        <w:rPr>
          <w:rStyle w:val="7"/>
          <w:rFonts w:ascii="Times New Roman" w:hAnsi="Times New Roman" w:cs="Times New Roman"/>
          <w:sz w:val="24"/>
          <w:szCs w:val="24"/>
        </w:rPr>
        <w:fldChar w:fldCharType="end"/>
      </w:r>
    </w:p>
    <w:p w14:paraId="73A4F174">
      <w:pPr>
        <w:spacing w:line="240" w:lineRule="auto"/>
        <w:rPr>
          <w:rFonts w:ascii="Times New Roman" w:hAnsi="Times New Roman" w:cs="Times New Roman"/>
          <w:sz w:val="24"/>
          <w:szCs w:val="24"/>
        </w:rPr>
      </w:pPr>
      <w:r>
        <w:rPr>
          <w:rFonts w:ascii="Times New Roman" w:hAnsi="Times New Roman" w:cs="Times New Roman"/>
          <w:sz w:val="24"/>
          <w:szCs w:val="24"/>
        </w:rPr>
        <w:t xml:space="preserve">Streit, B., Richner, W., Rieger, S. B., &amp; Stamp, P. (2003). Weed populations in winter wheat as affected by crop sequence, intensity of tillage and time of herbicide application in a cool and humid climate. Weed Research, 43(1), 20–32. </w:t>
      </w:r>
      <w:r>
        <w:fldChar w:fldCharType="begin"/>
      </w:r>
      <w:r>
        <w:instrText xml:space="preserve"> HYPERLINK "https://doi.org/10.1046/j.1365-3180.2003.00310.x" </w:instrText>
      </w:r>
      <w:r>
        <w:fldChar w:fldCharType="separate"/>
      </w:r>
      <w:r>
        <w:rPr>
          <w:rStyle w:val="7"/>
          <w:rFonts w:ascii="Times New Roman" w:hAnsi="Times New Roman" w:cs="Times New Roman"/>
          <w:sz w:val="24"/>
          <w:szCs w:val="24"/>
        </w:rPr>
        <w:t>https://doi.org/10.1046/j.1365-3180.2003.00310.x</w:t>
      </w:r>
      <w:r>
        <w:rPr>
          <w:rStyle w:val="7"/>
          <w:rFonts w:ascii="Times New Roman" w:hAnsi="Times New Roman" w:cs="Times New Roman"/>
          <w:sz w:val="24"/>
          <w:szCs w:val="24"/>
        </w:rPr>
        <w:fldChar w:fldCharType="end"/>
      </w:r>
    </w:p>
    <w:p w14:paraId="19CFD1C0">
      <w:pPr>
        <w:spacing w:line="240" w:lineRule="auto"/>
        <w:rPr>
          <w:rFonts w:ascii="Times New Roman" w:hAnsi="Times New Roman" w:cs="Times New Roman"/>
          <w:sz w:val="24"/>
          <w:szCs w:val="24"/>
        </w:rPr>
      </w:pPr>
      <w:r>
        <w:rPr>
          <w:rFonts w:ascii="Times New Roman" w:hAnsi="Times New Roman" w:cs="Times New Roman"/>
          <w:sz w:val="24"/>
          <w:szCs w:val="24"/>
        </w:rPr>
        <w:t>Zhang, Z., Zhou, N., Liu, B., Gao, H., Tian, J., Zhang, H., Wei, H., &amp; Xing, Z. (2022). Effects of Temperature and Radiation on Yield of Spring Wheat at Different Latitudes. Agriculture, 12(5), 627. https://doi.org/10.3390/agriculture12050627</w:t>
      </w:r>
    </w:p>
    <w:p w14:paraId="54AE67B9">
      <w:pPr>
        <w:spacing w:line="240" w:lineRule="auto"/>
        <w:rPr>
          <w:rFonts w:ascii="Times New Roman" w:hAnsi="Times New Roman" w:cs="Times New Roman"/>
          <w:sz w:val="24"/>
          <w:szCs w:val="24"/>
        </w:rPr>
      </w:pPr>
      <w:r>
        <w:rPr>
          <w:rFonts w:ascii="Times New Roman" w:hAnsi="Times New Roman" w:cs="Times New Roman"/>
          <w:sz w:val="24"/>
          <w:szCs w:val="24"/>
        </w:rPr>
        <w:t xml:space="preserve">Zhou, B., Sun, X., Zhao, M., Wang, X., Yue, Y., Ma, W., &amp; Wang, Z. (2016). Maize Grain Yield and Dry Matter Production Responses to Variations in Weather Conditions. Agronomy Journal, 108(1), 196–204. </w:t>
      </w:r>
      <w:r>
        <w:fldChar w:fldCharType="begin"/>
      </w:r>
      <w:r>
        <w:instrText xml:space="preserve"> HYPERLINK "https://doi.org/10.2134/agronj2015.0196" </w:instrText>
      </w:r>
      <w:r>
        <w:fldChar w:fldCharType="separate"/>
      </w:r>
      <w:r>
        <w:rPr>
          <w:rStyle w:val="7"/>
          <w:rFonts w:ascii="Times New Roman" w:hAnsi="Times New Roman" w:cs="Times New Roman"/>
          <w:sz w:val="24"/>
          <w:szCs w:val="24"/>
        </w:rPr>
        <w:t>https://doi.org/10.2134/agronj2015.0196</w:t>
      </w:r>
      <w:r>
        <w:rPr>
          <w:rStyle w:val="7"/>
          <w:rFonts w:ascii="Times New Roman" w:hAnsi="Times New Roman" w:cs="Times New Roman"/>
          <w:sz w:val="24"/>
          <w:szCs w:val="24"/>
        </w:rPr>
        <w:fldChar w:fldCharType="end"/>
      </w:r>
    </w:p>
    <w:p w14:paraId="41CE0E28">
      <w:pPr>
        <w:spacing w:before="100" w:beforeAutospacing="1" w:after="100" w:afterAutospacing="1" w:line="240" w:lineRule="auto"/>
        <w:jc w:val="both"/>
        <w:rPr>
          <w:rFonts w:ascii="Times New Roman" w:hAnsi="Times New Roman" w:eastAsia="Times New Roman" w:cs="Times New Roman"/>
          <w:b/>
          <w:bCs/>
          <w:sz w:val="24"/>
          <w:szCs w:val="24"/>
          <w:lang w:eastAsia="en-GB" w:bidi="hi-IN"/>
        </w:rPr>
      </w:pPr>
    </w:p>
    <w:p w14:paraId="1901E83B">
      <w:pPr>
        <w:spacing w:before="100" w:beforeAutospacing="1" w:after="100" w:afterAutospacing="1" w:line="240" w:lineRule="auto"/>
        <w:jc w:val="both"/>
        <w:rPr>
          <w:rFonts w:ascii="Times New Roman" w:hAnsi="Times New Roman" w:eastAsia="Times New Roman" w:cs="Times New Roman"/>
          <w:sz w:val="24"/>
          <w:szCs w:val="24"/>
          <w:lang w:eastAsia="en-GB" w:bidi="hi-IN"/>
        </w:rPr>
      </w:pPr>
    </w:p>
    <w:p w14:paraId="7936CEC9">
      <w:pPr>
        <w:spacing w:after="0" w:line="240" w:lineRule="auto"/>
        <w:rPr>
          <w:rFonts w:ascii="Times New Roman" w:hAnsi="Times New Roman" w:eastAsia="Times New Roman" w:cs="Times New Roman"/>
          <w:b/>
          <w:bCs/>
          <w:sz w:val="24"/>
          <w:szCs w:val="24"/>
          <w:lang w:eastAsia="en-GB" w:bidi="hi-IN"/>
        </w:rPr>
      </w:pPr>
    </w:p>
    <w:p w14:paraId="46A7ED6E">
      <w:pPr>
        <w:spacing w:after="0" w:line="240" w:lineRule="auto"/>
        <w:rPr>
          <w:rFonts w:ascii="Times New Roman" w:hAnsi="Times New Roman" w:eastAsia="Times New Roman" w:cs="Times New Roman"/>
          <w:sz w:val="24"/>
          <w:szCs w:val="24"/>
          <w:lang w:eastAsia="en-GB" w:bidi="hi-IN"/>
        </w:rPr>
      </w:pPr>
    </w:p>
    <w:p w14:paraId="334C6AE8">
      <w:pPr>
        <w:spacing w:after="0" w:line="240" w:lineRule="auto"/>
        <w:ind w:firstLine="720"/>
        <w:jc w:val="both"/>
        <w:rPr>
          <w:rFonts w:ascii="Times New Roman" w:hAnsi="Times New Roman" w:eastAsia="Times New Roman" w:cs="Times New Roman"/>
          <w:sz w:val="24"/>
          <w:szCs w:val="24"/>
          <w:lang w:eastAsia="en-GB" w:bidi="hi-IN"/>
        </w:rPr>
      </w:pPr>
    </w:p>
    <w:p w14:paraId="15AE06DF">
      <w:pPr>
        <w:spacing w:before="100" w:beforeAutospacing="1" w:after="100" w:afterAutospacing="1" w:line="240" w:lineRule="auto"/>
        <w:rPr>
          <w:rFonts w:ascii="Times New Roman" w:hAnsi="Times New Roman" w:eastAsia="Times New Roman" w:cs="Times New Roman"/>
          <w:sz w:val="24"/>
          <w:szCs w:val="24"/>
          <w:lang w:eastAsia="en-GB" w:bidi="hi-IN"/>
        </w:rPr>
      </w:pPr>
    </w:p>
    <w:p w14:paraId="504A6284">
      <w:pPr>
        <w:spacing w:before="100" w:beforeAutospacing="1" w:after="100" w:afterAutospacing="1" w:line="240" w:lineRule="auto"/>
        <w:jc w:val="both"/>
        <w:rPr>
          <w:rFonts w:ascii="Times New Roman" w:hAnsi="Times New Roman" w:eastAsia="Times New Roman" w:cs="Times New Roman"/>
          <w:sz w:val="24"/>
          <w:szCs w:val="24"/>
          <w:lang w:eastAsia="en-GB" w:bidi="hi-IN"/>
        </w:rPr>
      </w:pPr>
    </w:p>
    <w:p w14:paraId="50B2430F">
      <w:pPr>
        <w:spacing w:before="100" w:beforeAutospacing="1" w:after="100" w:afterAutospacing="1"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br w:type="textWrapping"/>
      </w:r>
    </w:p>
    <w:p w14:paraId="61C37FDF">
      <w:pPr>
        <w:spacing w:line="360" w:lineRule="auto"/>
        <w:jc w:val="both"/>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P" w:date="2025-03-15T15:44:29Z" w:initials="H">
    <w:p w14:paraId="6ADE4B55">
      <w:pPr>
        <w:pStyle w:val="4"/>
        <w:rPr>
          <w:rFonts w:hint="default"/>
          <w:lang w:val="en-US"/>
        </w:rPr>
      </w:pPr>
      <w:r>
        <w:rPr>
          <w:rFonts w:hint="default"/>
          <w:lang w:val="en-US"/>
        </w:rPr>
        <w:t>Not cited in the reference</w:t>
      </w:r>
    </w:p>
  </w:comment>
  <w:comment w:id="1" w:author="HP" w:date="2025-03-15T15:44:50Z" w:initials="H">
    <w:p w14:paraId="3A878FD8">
      <w:pPr>
        <w:pStyle w:val="4"/>
        <w:rPr>
          <w:rFonts w:hint="default"/>
          <w:lang w:val="en-US"/>
        </w:rPr>
      </w:pPr>
      <w:r>
        <w:rPr>
          <w:rFonts w:hint="default"/>
          <w:lang w:val="en-US"/>
        </w:rPr>
        <w:t>Same with the above</w:t>
      </w:r>
    </w:p>
  </w:comment>
  <w:comment w:id="2" w:author="HP" w:date="2025-03-15T15:45:02Z" w:initials="H">
    <w:p w14:paraId="6F397B77">
      <w:pPr>
        <w:pStyle w:val="4"/>
        <w:rPr>
          <w:rFonts w:hint="default"/>
          <w:lang w:val="en-US"/>
        </w:rPr>
      </w:pPr>
      <w:r>
        <w:rPr>
          <w:rFonts w:hint="default"/>
          <w:lang w:val="en-US"/>
        </w:rPr>
        <w:t>Same with the above</w:t>
      </w:r>
      <w:bookmarkStart w:id="0" w:name="_GoBack"/>
      <w:bookmarkEnd w:id="0"/>
    </w:p>
  </w:comment>
  <w:comment w:id="3" w:author="HP" w:date="2025-03-15T15:27:18Z" w:initials="H">
    <w:p w14:paraId="7DA2713C">
      <w:pPr>
        <w:pStyle w:val="4"/>
        <w:rPr>
          <w:rFonts w:hint="default"/>
          <w:lang w:val="en-US"/>
        </w:rPr>
      </w:pPr>
      <w:r>
        <w:rPr>
          <w:rFonts w:hint="default"/>
          <w:lang w:val="en-US"/>
        </w:rPr>
        <w:t>Remove this since the author is the same</w:t>
      </w:r>
    </w:p>
  </w:comment>
  <w:comment w:id="4" w:author="HP" w:date="2025-03-15T15:28:43Z" w:initials="H">
    <w:p w14:paraId="3DF38ECA">
      <w:pPr>
        <w:pStyle w:val="4"/>
        <w:rPr>
          <w:rFonts w:hint="default"/>
          <w:lang w:val="en-US"/>
        </w:rPr>
      </w:pPr>
      <w:r>
        <w:rPr>
          <w:rFonts w:hint="default"/>
          <w:lang w:val="en-US"/>
        </w:rPr>
        <w:t xml:space="preserve">Italicised </w:t>
      </w:r>
    </w:p>
  </w:comment>
  <w:comment w:id="5" w:author="HP" w:date="2025-03-15T15:43:55Z" w:initials="H">
    <w:p w14:paraId="15E11C62">
      <w:pPr>
        <w:pStyle w:val="4"/>
        <w:rPr>
          <w:rFonts w:hint="default"/>
          <w:lang w:val="en-US"/>
        </w:rPr>
      </w:pPr>
      <w:r>
        <w:rPr>
          <w:rFonts w:hint="default"/>
          <w:lang w:val="en-US"/>
        </w:rPr>
        <w:t xml:space="preserve">Not cited in the references </w:t>
      </w:r>
    </w:p>
  </w:comment>
  <w:comment w:id="6" w:author="HP" w:date="2025-03-15T15:32:33Z" w:initials="H">
    <w:p w14:paraId="256A508E">
      <w:pPr>
        <w:pStyle w:val="4"/>
        <w:rPr>
          <w:rFonts w:hint="default"/>
          <w:lang w:val="en-US"/>
        </w:rPr>
      </w:pPr>
      <w:r>
        <w:rPr>
          <w:rFonts w:hint="default"/>
          <w:lang w:val="en-US"/>
        </w:rPr>
        <w:t>Any studies to corroborate for or against yours findings?</w:t>
      </w:r>
    </w:p>
  </w:comment>
  <w:comment w:id="7" w:author="HP" w:date="2025-03-15T15:33:31Z" w:initials="H">
    <w:p w14:paraId="7B6BA758">
      <w:pPr>
        <w:pStyle w:val="4"/>
        <w:rPr>
          <w:rFonts w:hint="default"/>
          <w:lang w:val="en-US"/>
        </w:rPr>
      </w:pPr>
      <w:r>
        <w:rPr>
          <w:rFonts w:hint="default"/>
          <w:lang w:val="en-US"/>
        </w:rPr>
        <w:t>Any findings to corroborate yours for or against?</w:t>
      </w:r>
    </w:p>
  </w:comment>
  <w:comment w:id="8" w:author="HP" w:date="2025-03-15T15:34:11Z" w:initials="H">
    <w:p w14:paraId="05388672">
      <w:pPr>
        <w:pStyle w:val="4"/>
        <w:rPr>
          <w:rFonts w:hint="default"/>
          <w:lang w:val="en-US"/>
        </w:rPr>
      </w:pPr>
      <w:r>
        <w:rPr>
          <w:rFonts w:hint="default"/>
          <w:lang w:val="en-US"/>
        </w:rPr>
        <w:t>Same as above</w:t>
      </w:r>
    </w:p>
  </w:comment>
  <w:comment w:id="9" w:author="HP" w:date="2025-03-15T15:35:04Z" w:initials="H">
    <w:p w14:paraId="26179062">
      <w:pPr>
        <w:pStyle w:val="4"/>
        <w:rPr>
          <w:rFonts w:hint="default"/>
          <w:lang w:val="en-US"/>
        </w:rPr>
      </w:pPr>
      <w:r>
        <w:rPr>
          <w:rFonts w:hint="default"/>
          <w:lang w:val="en-US"/>
        </w:rPr>
        <w:t xml:space="preserve">Italicised </w:t>
      </w:r>
    </w:p>
  </w:comment>
  <w:comment w:id="10" w:author="HP" w:date="2025-03-15T15:35:25Z" w:initials="H">
    <w:p w14:paraId="6332A3E2">
      <w:pPr>
        <w:pStyle w:val="4"/>
        <w:rPr>
          <w:rFonts w:hint="default"/>
          <w:lang w:val="en-US"/>
        </w:rPr>
      </w:pPr>
      <w:r>
        <w:rPr>
          <w:rFonts w:hint="default"/>
          <w:lang w:val="en-US"/>
        </w:rPr>
        <w:t xml:space="preserve">Italicised </w:t>
      </w:r>
    </w:p>
  </w:comment>
  <w:comment w:id="11" w:author="HP" w:date="2025-03-15T15:35:39Z" w:initials="H">
    <w:p w14:paraId="0F8D42B0">
      <w:pPr>
        <w:pStyle w:val="4"/>
        <w:rPr>
          <w:rFonts w:hint="default"/>
          <w:lang w:val="en-US"/>
        </w:rPr>
      </w:pPr>
      <w:r>
        <w:rPr>
          <w:rFonts w:hint="default"/>
          <w:lang w:val="en-US"/>
        </w:rPr>
        <w:t xml:space="preserve">Italicised </w:t>
      </w:r>
    </w:p>
  </w:comment>
  <w:comment w:id="12" w:author="HP" w:date="2025-03-15T15:35:53Z" w:initials="H">
    <w:p w14:paraId="3B083A6F">
      <w:pPr>
        <w:pStyle w:val="4"/>
        <w:rPr>
          <w:rFonts w:hint="default"/>
          <w:lang w:val="en-US"/>
        </w:rPr>
      </w:pPr>
      <w:r>
        <w:rPr>
          <w:rFonts w:hint="default"/>
          <w:lang w:val="en-US"/>
        </w:rPr>
        <w:t xml:space="preserve">Italicised </w:t>
      </w:r>
    </w:p>
  </w:comment>
  <w:comment w:id="13" w:author="HP" w:date="2025-03-15T15:36:05Z" w:initials="H">
    <w:p w14:paraId="39B05739">
      <w:pPr>
        <w:pStyle w:val="4"/>
        <w:rPr>
          <w:rFonts w:hint="default"/>
          <w:lang w:val="en-US"/>
        </w:rPr>
      </w:pPr>
      <w:r>
        <w:rPr>
          <w:rFonts w:hint="default"/>
          <w:lang w:val="en-US"/>
        </w:rPr>
        <w:t xml:space="preserve">Italicised </w:t>
      </w:r>
    </w:p>
  </w:comment>
  <w:comment w:id="14" w:author="HP" w:date="2025-03-15T15:37:11Z" w:initials="H">
    <w:p w14:paraId="0122ECD7">
      <w:pPr>
        <w:pStyle w:val="4"/>
        <w:rPr>
          <w:rFonts w:hint="default"/>
          <w:lang w:val="en-US"/>
        </w:rPr>
      </w:pPr>
      <w:r>
        <w:rPr>
          <w:rFonts w:hint="default"/>
          <w:lang w:val="en-US"/>
        </w:rPr>
        <w:t xml:space="preserve">Unbold and italicised </w:t>
      </w:r>
    </w:p>
  </w:comment>
  <w:comment w:id="15" w:author="HP" w:date="2025-03-15T15:38:13Z" w:initials="H">
    <w:p w14:paraId="4E523D7C">
      <w:pPr>
        <w:pStyle w:val="4"/>
        <w:rPr>
          <w:rFonts w:hint="default"/>
          <w:lang w:val="en-US"/>
        </w:rPr>
      </w:pPr>
      <w:r>
        <w:rPr>
          <w:rFonts w:hint="default"/>
          <w:lang w:val="en-US"/>
        </w:rPr>
        <w:t>Separate this, it’s a two words</w:t>
      </w:r>
    </w:p>
  </w:comment>
  <w:comment w:id="16" w:author="HP" w:date="2025-03-15T15:40:05Z" w:initials="H">
    <w:p w14:paraId="4D6C9592">
      <w:pPr>
        <w:pStyle w:val="4"/>
        <w:rPr>
          <w:rFonts w:hint="default"/>
          <w:lang w:val="en-US"/>
        </w:rPr>
      </w:pPr>
      <w:r>
        <w:rPr>
          <w:rFonts w:hint="default"/>
          <w:lang w:val="en-US"/>
        </w:rPr>
        <w:t>Expunge this, it seems duplicate</w:t>
      </w:r>
    </w:p>
  </w:comment>
  <w:comment w:id="17" w:author="HP" w:date="2025-03-15T15:41:12Z" w:initials="H">
    <w:p w14:paraId="2B905331">
      <w:pPr>
        <w:pStyle w:val="4"/>
        <w:rPr>
          <w:rFonts w:hint="default"/>
          <w:lang w:val="en-US"/>
        </w:rPr>
      </w:pPr>
      <w:r>
        <w:rPr>
          <w:rFonts w:hint="default"/>
          <w:lang w:val="en-US"/>
        </w:rPr>
        <w:t>This is not in the manuscript</w:t>
      </w:r>
    </w:p>
  </w:comment>
  <w:comment w:id="18" w:author="HP" w:date="2025-03-15T15:41:43Z" w:initials="H">
    <w:p w14:paraId="164B3E6C">
      <w:pPr>
        <w:pStyle w:val="4"/>
        <w:rPr>
          <w:rFonts w:hint="default"/>
          <w:lang w:val="en-US"/>
        </w:rPr>
      </w:pPr>
      <w:r>
        <w:rPr>
          <w:rFonts w:hint="default"/>
          <w:lang w:val="en-US"/>
        </w:rPr>
        <w:t>This is not in the manuscript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DE4B55" w15:done="0"/>
  <w15:commentEx w15:paraId="3A878FD8" w15:done="0"/>
  <w15:commentEx w15:paraId="6F397B77" w15:done="0"/>
  <w15:commentEx w15:paraId="7DA2713C" w15:done="0"/>
  <w15:commentEx w15:paraId="3DF38ECA" w15:done="0"/>
  <w15:commentEx w15:paraId="15E11C62" w15:done="0"/>
  <w15:commentEx w15:paraId="256A508E" w15:done="0"/>
  <w15:commentEx w15:paraId="7B6BA758" w15:done="0"/>
  <w15:commentEx w15:paraId="05388672" w15:done="0"/>
  <w15:commentEx w15:paraId="26179062" w15:done="0"/>
  <w15:commentEx w15:paraId="6332A3E2" w15:done="0"/>
  <w15:commentEx w15:paraId="0F8D42B0" w15:done="0"/>
  <w15:commentEx w15:paraId="3B083A6F" w15:done="0"/>
  <w15:commentEx w15:paraId="39B05739" w15:done="0"/>
  <w15:commentEx w15:paraId="0122ECD7" w15:done="0"/>
  <w15:commentEx w15:paraId="4E523D7C" w15:done="0"/>
  <w15:commentEx w15:paraId="4D6C9592" w15:done="0"/>
  <w15:commentEx w15:paraId="2B905331" w15:done="0"/>
  <w15:commentEx w15:paraId="164B3E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2F1E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432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875B1">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C2DB">
    <w:pPr>
      <w:pStyle w:val="6"/>
    </w:pPr>
    <w:r>
      <w:pict>
        <v:shape id="_x0000_s2054" o:spid="_x0000_s2054"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89A1">
    <w:pPr>
      <w:pStyle w:val="6"/>
    </w:pPr>
    <w:r>
      <w:pict>
        <v:shape id="_x0000_s2053" o:spid="_x0000_s2053"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2E5E">
    <w:pPr>
      <w:pStyle w:val="6"/>
    </w:pPr>
    <w:r>
      <w:pict>
        <v:shape id="PowerPlusWaterMarkObject" o:spid="_x0000_s2052"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15"/>
    <w:rsid w:val="00016795"/>
    <w:rsid w:val="00043388"/>
    <w:rsid w:val="00101541"/>
    <w:rsid w:val="0011546B"/>
    <w:rsid w:val="0014296B"/>
    <w:rsid w:val="001670BC"/>
    <w:rsid w:val="00197319"/>
    <w:rsid w:val="001B1636"/>
    <w:rsid w:val="001E1FE0"/>
    <w:rsid w:val="003A0578"/>
    <w:rsid w:val="003D2ECF"/>
    <w:rsid w:val="00423E10"/>
    <w:rsid w:val="004564C7"/>
    <w:rsid w:val="00541B03"/>
    <w:rsid w:val="00561E41"/>
    <w:rsid w:val="005A14AB"/>
    <w:rsid w:val="005D3065"/>
    <w:rsid w:val="006D3EBC"/>
    <w:rsid w:val="00740615"/>
    <w:rsid w:val="0074217E"/>
    <w:rsid w:val="00746476"/>
    <w:rsid w:val="0078199F"/>
    <w:rsid w:val="00830B6B"/>
    <w:rsid w:val="00846CA4"/>
    <w:rsid w:val="00853011"/>
    <w:rsid w:val="008A0BF7"/>
    <w:rsid w:val="008A6E98"/>
    <w:rsid w:val="008C7AFF"/>
    <w:rsid w:val="00AD3033"/>
    <w:rsid w:val="00B9208A"/>
    <w:rsid w:val="00BF36AB"/>
    <w:rsid w:val="00C1727C"/>
    <w:rsid w:val="00C2161A"/>
    <w:rsid w:val="00C51673"/>
    <w:rsid w:val="00C575B5"/>
    <w:rsid w:val="00CA7357"/>
    <w:rsid w:val="00CE2BAD"/>
    <w:rsid w:val="00CE419C"/>
    <w:rsid w:val="00CF26F0"/>
    <w:rsid w:val="00D42B28"/>
    <w:rsid w:val="00D951F0"/>
    <w:rsid w:val="00DE3570"/>
    <w:rsid w:val="00E018CC"/>
    <w:rsid w:val="00EA5541"/>
    <w:rsid w:val="00F26C30"/>
    <w:rsid w:val="00FD5472"/>
    <w:rsid w:val="463A74F8"/>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5"/>
    <w:unhideWhenUsed/>
    <w:qFormat/>
    <w:uiPriority w:val="99"/>
    <w:pPr>
      <w:tabs>
        <w:tab w:val="center" w:pos="4680"/>
        <w:tab w:val="right" w:pos="9360"/>
      </w:tabs>
      <w:spacing w:after="0" w:line="240" w:lineRule="auto"/>
    </w:pPr>
  </w:style>
  <w:style w:type="paragraph" w:styleId="6">
    <w:name w:val="header"/>
    <w:basedOn w:val="1"/>
    <w:link w:val="14"/>
    <w:unhideWhenUsed/>
    <w:uiPriority w:val="99"/>
    <w:pPr>
      <w:tabs>
        <w:tab w:val="center" w:pos="4680"/>
        <w:tab w:val="right" w:pos="9360"/>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bidi="hi-IN"/>
    </w:rPr>
  </w:style>
  <w:style w:type="character" w:styleId="9">
    <w:name w:val="Strong"/>
    <w:basedOn w:val="2"/>
    <w:qFormat/>
    <w:uiPriority w:val="22"/>
    <w:rPr>
      <w:b/>
      <w:bCs/>
    </w:rPr>
  </w:style>
  <w:style w:type="paragraph" w:styleId="10">
    <w:name w:val="Title"/>
    <w:basedOn w:val="1"/>
    <w:next w:val="1"/>
    <w:link w:val="12"/>
    <w:qFormat/>
    <w:uiPriority w:val="10"/>
    <w:pPr>
      <w:spacing w:after="0" w:line="240" w:lineRule="auto"/>
      <w:contextualSpacing/>
    </w:pPr>
    <w:rPr>
      <w:rFonts w:asciiTheme="majorHAnsi" w:hAnsiTheme="majorHAnsi" w:eastAsiaTheme="majorEastAsia" w:cstheme="majorBidi"/>
      <w:spacing w:val="-10"/>
      <w:kern w:val="28"/>
      <w:sz w:val="56"/>
      <w:szCs w:val="56"/>
      <w:lang w:val="en-IN" w:eastAsia="en-IN"/>
    </w:rPr>
  </w:style>
  <w:style w:type="character" w:customStyle="1" w:styleId="11">
    <w:name w:val="paperpal-inline-citation"/>
    <w:basedOn w:val="2"/>
    <w:uiPriority w:val="0"/>
  </w:style>
  <w:style w:type="character" w:customStyle="1" w:styleId="12">
    <w:name w:val="Title Char"/>
    <w:basedOn w:val="2"/>
    <w:link w:val="10"/>
    <w:uiPriority w:val="10"/>
    <w:rPr>
      <w:rFonts w:asciiTheme="majorHAnsi" w:hAnsiTheme="majorHAnsi" w:eastAsiaTheme="majorEastAsia" w:cstheme="majorBidi"/>
      <w:spacing w:val="-10"/>
      <w:kern w:val="28"/>
      <w:sz w:val="56"/>
      <w:szCs w:val="56"/>
      <w:lang w:val="en-IN" w:eastAsia="en-IN"/>
    </w:rPr>
  </w:style>
  <w:style w:type="character" w:customStyle="1" w:styleId="13">
    <w:name w:val="Unresolved Mention"/>
    <w:basedOn w:val="2"/>
    <w:semiHidden/>
    <w:unhideWhenUsed/>
    <w:uiPriority w:val="99"/>
    <w:rPr>
      <w:color w:val="605E5C"/>
      <w:shd w:val="clear" w:color="auto" w:fill="E1DFDD"/>
    </w:rPr>
  </w:style>
  <w:style w:type="character" w:customStyle="1" w:styleId="14">
    <w:name w:val="Header Char"/>
    <w:basedOn w:val="2"/>
    <w:link w:val="6"/>
    <w:qFormat/>
    <w:uiPriority w:val="99"/>
  </w:style>
  <w:style w:type="character" w:customStyle="1" w:styleId="15">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4"/>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4583</Words>
  <Characters>26125</Characters>
  <Lines>217</Lines>
  <Paragraphs>61</Paragraphs>
  <TotalTime>914</TotalTime>
  <ScaleCrop>false</ScaleCrop>
  <LinksUpToDate>false</LinksUpToDate>
  <CharactersWithSpaces>30647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2025-03-08T03:57:00Z</dcterms:created>
  <dc:creator>hp</dc:creator>
  <cp:lastModifiedBy>HP</cp:lastModifiedBy>
  <dcterms:modified xsi:type="dcterms:W3CDTF">2025-03-15T14:45:24Z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4FD8D4DFD5834571AC63138BBF11E606_12</vt:lpwstr>
  </property>
</Properties>
</file>