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1283" w14:textId="45972F71" w:rsidR="00B71E1E"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 xml:space="preserve">Protective effect of </w:t>
      </w:r>
      <w:proofErr w:type="spellStart"/>
      <w:r w:rsidRPr="003D1886">
        <w:rPr>
          <w:rFonts w:ascii="Times New Roman" w:hAnsi="Times New Roman" w:cs="Times New Roman"/>
          <w:sz w:val="28"/>
          <w:szCs w:val="28"/>
        </w:rPr>
        <w:t>rutin</w:t>
      </w:r>
      <w:proofErr w:type="spellEnd"/>
      <w:r w:rsidRPr="003D1886">
        <w:rPr>
          <w:rFonts w:ascii="Times New Roman" w:hAnsi="Times New Roman" w:cs="Times New Roman"/>
          <w:sz w:val="28"/>
          <w:szCs w:val="28"/>
        </w:rPr>
        <w:t xml:space="preserve"> on cogniti</w:t>
      </w:r>
      <w:r w:rsidR="000C1DFD">
        <w:rPr>
          <w:rFonts w:ascii="Times New Roman" w:hAnsi="Times New Roman" w:cs="Times New Roman"/>
          <w:sz w:val="28"/>
          <w:szCs w:val="28"/>
        </w:rPr>
        <w:t>ve</w:t>
      </w:r>
      <w:r w:rsidRPr="003D1886">
        <w:rPr>
          <w:rFonts w:ascii="Times New Roman" w:hAnsi="Times New Roman" w:cs="Times New Roman"/>
          <w:sz w:val="28"/>
          <w:szCs w:val="28"/>
        </w:rPr>
        <w:t xml:space="preserve"> impairment caused by </w:t>
      </w:r>
      <w:r w:rsidR="00B24AC5" w:rsidRPr="00B71E1E">
        <w:rPr>
          <w:rFonts w:ascii="Times New Roman" w:hAnsi="Times New Roman" w:cs="Times New Roman"/>
          <w:sz w:val="28"/>
          <w:szCs w:val="28"/>
        </w:rPr>
        <w:t>Levetiracetam</w:t>
      </w:r>
      <w:r w:rsidR="00032483" w:rsidRPr="003D1886">
        <w:rPr>
          <w:rFonts w:ascii="Times New Roman" w:hAnsi="Times New Roman" w:cs="Times New Roman"/>
          <w:sz w:val="28"/>
          <w:szCs w:val="28"/>
        </w:rPr>
        <w:t>.</w:t>
      </w:r>
    </w:p>
    <w:p w14:paraId="4468DCF4" w14:textId="77777777" w:rsidR="00D66AA2" w:rsidRPr="003D1886" w:rsidRDefault="00D66AA2" w:rsidP="00B71E1E">
      <w:pPr>
        <w:jc w:val="both"/>
        <w:rPr>
          <w:rFonts w:ascii="Times New Roman" w:hAnsi="Times New Roman" w:cs="Times New Roman"/>
          <w:sz w:val="28"/>
          <w:szCs w:val="28"/>
        </w:rPr>
      </w:pPr>
    </w:p>
    <w:p w14:paraId="69B27132" w14:textId="77777777" w:rsidR="00B71E1E" w:rsidRPr="003D1886" w:rsidRDefault="00B71E1E" w:rsidP="00B71E1E">
      <w:pPr>
        <w:jc w:val="both"/>
        <w:rPr>
          <w:rFonts w:ascii="Times New Roman" w:hAnsi="Times New Roman" w:cs="Times New Roman"/>
          <w:sz w:val="28"/>
          <w:szCs w:val="28"/>
        </w:rPr>
      </w:pPr>
    </w:p>
    <w:p w14:paraId="7DAD7269"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ABSTRACT</w:t>
      </w:r>
    </w:p>
    <w:p w14:paraId="020B31E4" w14:textId="6031B035" w:rsidR="00B71E1E" w:rsidRPr="003D1886" w:rsidRDefault="003C54D2" w:rsidP="00B71E1E">
      <w:pPr>
        <w:jc w:val="both"/>
        <w:rPr>
          <w:rFonts w:ascii="Times New Roman" w:hAnsi="Times New Roman" w:cs="Times New Roman"/>
          <w:sz w:val="28"/>
          <w:szCs w:val="28"/>
        </w:rPr>
      </w:pPr>
      <w:r>
        <w:rPr>
          <w:rFonts w:ascii="Times New Roman" w:hAnsi="Times New Roman" w:cs="Times New Roman"/>
          <w:sz w:val="28"/>
          <w:szCs w:val="28"/>
        </w:rPr>
        <w:t>Objective: To determine</w:t>
      </w:r>
      <w:r w:rsidR="00B71E1E" w:rsidRPr="003D1886">
        <w:rPr>
          <w:rFonts w:ascii="Times New Roman" w:hAnsi="Times New Roman" w:cs="Times New Roman"/>
          <w:sz w:val="28"/>
          <w:szCs w:val="28"/>
        </w:rPr>
        <w:t xml:space="preserve"> the </w:t>
      </w:r>
      <w:r>
        <w:rPr>
          <w:rFonts w:ascii="Times New Roman" w:hAnsi="Times New Roman" w:cs="Times New Roman"/>
          <w:sz w:val="28"/>
          <w:szCs w:val="28"/>
        </w:rPr>
        <w:t xml:space="preserve">protective </w:t>
      </w:r>
      <w:r w:rsidR="00B71E1E" w:rsidRPr="003D1886">
        <w:rPr>
          <w:rFonts w:ascii="Times New Roman" w:hAnsi="Times New Roman" w:cs="Times New Roman"/>
          <w:sz w:val="28"/>
          <w:szCs w:val="28"/>
        </w:rPr>
        <w:t xml:space="preserve">effect </w:t>
      </w:r>
      <w:proofErr w:type="spellStart"/>
      <w:r>
        <w:rPr>
          <w:rFonts w:ascii="Times New Roman" w:hAnsi="Times New Roman" w:cs="Times New Roman"/>
          <w:sz w:val="28"/>
          <w:szCs w:val="28"/>
        </w:rPr>
        <w:t>Rutin</w:t>
      </w:r>
      <w:proofErr w:type="spellEnd"/>
      <w:r>
        <w:rPr>
          <w:rFonts w:ascii="Times New Roman" w:hAnsi="Times New Roman" w:cs="Times New Roman"/>
          <w:sz w:val="28"/>
          <w:szCs w:val="28"/>
        </w:rPr>
        <w:t xml:space="preserve"> on combined treatment with</w:t>
      </w:r>
      <w:r w:rsidR="00243E85">
        <w:rPr>
          <w:rFonts w:ascii="Times New Roman" w:hAnsi="Times New Roman" w:cs="Times New Roman"/>
          <w:sz w:val="28"/>
          <w:szCs w:val="28"/>
        </w:rPr>
        <w:t xml:space="preserve"> </w:t>
      </w:r>
      <w:r w:rsidR="00B24AC5" w:rsidRPr="00B71E1E">
        <w:rPr>
          <w:rFonts w:ascii="Times New Roman" w:hAnsi="Times New Roman" w:cs="Times New Roman"/>
          <w:sz w:val="28"/>
          <w:szCs w:val="28"/>
        </w:rPr>
        <w:t>Levetiracetam</w:t>
      </w:r>
      <w:r>
        <w:rPr>
          <w:rFonts w:ascii="Times New Roman" w:hAnsi="Times New Roman" w:cs="Times New Roman"/>
          <w:sz w:val="28"/>
          <w:szCs w:val="28"/>
        </w:rPr>
        <w:t xml:space="preserve"> in</w:t>
      </w:r>
      <w:r w:rsidR="00243E85">
        <w:rPr>
          <w:rFonts w:ascii="Times New Roman" w:hAnsi="Times New Roman" w:cs="Times New Roman"/>
          <w:sz w:val="28"/>
          <w:szCs w:val="28"/>
        </w:rPr>
        <w:t xml:space="preserve"> </w:t>
      </w:r>
      <w:r w:rsidR="00866505">
        <w:rPr>
          <w:rFonts w:ascii="Times New Roman" w:hAnsi="Times New Roman" w:cs="Times New Roman"/>
          <w:sz w:val="28"/>
          <w:szCs w:val="28"/>
        </w:rPr>
        <w:t>comparison</w:t>
      </w:r>
      <w:r w:rsidR="00243E85">
        <w:rPr>
          <w:rFonts w:ascii="Times New Roman" w:hAnsi="Times New Roman" w:cs="Times New Roman"/>
          <w:sz w:val="28"/>
          <w:szCs w:val="28"/>
        </w:rPr>
        <w:t xml:space="preserve"> with </w:t>
      </w:r>
      <w:r w:rsidR="00243E85" w:rsidRPr="00B71E1E">
        <w:rPr>
          <w:rFonts w:ascii="Times New Roman" w:hAnsi="Times New Roman" w:cs="Times New Roman"/>
          <w:sz w:val="28"/>
          <w:szCs w:val="28"/>
        </w:rPr>
        <w:t>Levetiracetam</w:t>
      </w:r>
      <w:r w:rsidR="00B71E1E" w:rsidRPr="003D1886">
        <w:rPr>
          <w:rFonts w:ascii="Times New Roman" w:hAnsi="Times New Roman" w:cs="Times New Roman"/>
          <w:sz w:val="28"/>
          <w:szCs w:val="28"/>
        </w:rPr>
        <w:t xml:space="preserve"> and piracetam on seizure control, cognitive and motor functions in mice.</w:t>
      </w:r>
    </w:p>
    <w:p w14:paraId="0285A22B" w14:textId="32F11851" w:rsidR="00B71E1E" w:rsidRPr="003D1886" w:rsidRDefault="003C54D2" w:rsidP="00B71E1E">
      <w:pPr>
        <w:jc w:val="both"/>
        <w:rPr>
          <w:rFonts w:ascii="Times New Roman" w:hAnsi="Times New Roman" w:cs="Times New Roman"/>
          <w:sz w:val="28"/>
          <w:szCs w:val="28"/>
        </w:rPr>
      </w:pPr>
      <w:r>
        <w:rPr>
          <w:rFonts w:ascii="Times New Roman" w:hAnsi="Times New Roman" w:cs="Times New Roman"/>
          <w:sz w:val="28"/>
          <w:szCs w:val="28"/>
        </w:rPr>
        <w:t xml:space="preserve">Material and Methods: The effect of </w:t>
      </w:r>
      <w:r w:rsidR="00B24AC5" w:rsidRPr="00B71E1E">
        <w:rPr>
          <w:rFonts w:ascii="Times New Roman" w:hAnsi="Times New Roman" w:cs="Times New Roman"/>
          <w:sz w:val="28"/>
          <w:szCs w:val="28"/>
        </w:rPr>
        <w:t>Levetiracetam</w:t>
      </w:r>
      <w:r>
        <w:rPr>
          <w:rFonts w:ascii="Times New Roman" w:hAnsi="Times New Roman" w:cs="Times New Roman"/>
          <w:sz w:val="28"/>
          <w:szCs w:val="28"/>
        </w:rPr>
        <w:t xml:space="preserve"> in combination with piracetam on convulsions was evaluated by increasing</w:t>
      </w:r>
      <w:r w:rsidR="00B71E1E" w:rsidRPr="003D1886">
        <w:rPr>
          <w:rFonts w:ascii="Times New Roman" w:hAnsi="Times New Roman" w:cs="Times New Roman"/>
          <w:sz w:val="28"/>
          <w:szCs w:val="28"/>
        </w:rPr>
        <w:t xml:space="preserve"> current </w:t>
      </w:r>
      <w:r>
        <w:rPr>
          <w:rFonts w:ascii="Times New Roman" w:hAnsi="Times New Roman" w:cs="Times New Roman"/>
          <w:sz w:val="28"/>
          <w:szCs w:val="28"/>
        </w:rPr>
        <w:t>electroshock seizure (ICES)</w:t>
      </w:r>
      <w:r w:rsidR="00B71E1E" w:rsidRPr="003D1886">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B71E1E" w:rsidRPr="003D1886">
        <w:rPr>
          <w:rFonts w:ascii="Times New Roman" w:hAnsi="Times New Roman" w:cs="Times New Roman"/>
          <w:sz w:val="28"/>
          <w:szCs w:val="28"/>
        </w:rPr>
        <w:t>Cognitive</w:t>
      </w:r>
      <w:r>
        <w:rPr>
          <w:rFonts w:ascii="Times New Roman" w:hAnsi="Times New Roman" w:cs="Times New Roman"/>
          <w:sz w:val="28"/>
          <w:szCs w:val="28"/>
        </w:rPr>
        <w:t xml:space="preserve"> functions in mice were evaluated</w:t>
      </w:r>
      <w:r w:rsidR="00B71E1E" w:rsidRPr="003D1886">
        <w:rPr>
          <w:rFonts w:ascii="Times New Roman" w:hAnsi="Times New Roman" w:cs="Times New Roman"/>
          <w:sz w:val="28"/>
          <w:szCs w:val="28"/>
        </w:rPr>
        <w:t xml:space="preserve"> by spontaneous alternation in behavior on a plus maze while motor functions were screened using rolling roller apparatus and by counting the number of arms entries on a plus maze. Brain acetylcholinesterase (</w:t>
      </w:r>
      <w:proofErr w:type="spellStart"/>
      <w:r w:rsidR="00B71E1E" w:rsidRPr="003D1886">
        <w:rPr>
          <w:rFonts w:ascii="Times New Roman" w:hAnsi="Times New Roman" w:cs="Times New Roman"/>
          <w:sz w:val="28"/>
          <w:szCs w:val="28"/>
        </w:rPr>
        <w:t>AChE</w:t>
      </w:r>
      <w:proofErr w:type="spellEnd"/>
      <w:r w:rsidR="00B71E1E" w:rsidRPr="003D1886">
        <w:rPr>
          <w:rFonts w:ascii="Times New Roman" w:hAnsi="Times New Roman" w:cs="Times New Roman"/>
          <w:sz w:val="28"/>
          <w:szCs w:val="28"/>
        </w:rPr>
        <w:t>) activity was measured using the Ellman et al method.</w:t>
      </w:r>
    </w:p>
    <w:p w14:paraId="5BAAF0C9"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 xml:space="preserve">Results: The study showed that </w:t>
      </w:r>
      <w:proofErr w:type="spellStart"/>
      <w:r w:rsidRPr="003D1886">
        <w:rPr>
          <w:rFonts w:ascii="Times New Roman" w:hAnsi="Times New Roman" w:cs="Times New Roman"/>
          <w:sz w:val="28"/>
          <w:szCs w:val="28"/>
        </w:rPr>
        <w:t>rutin</w:t>
      </w:r>
      <w:proofErr w:type="spellEnd"/>
      <w:r w:rsidRPr="003D1886">
        <w:rPr>
          <w:rFonts w:ascii="Times New Roman" w:hAnsi="Times New Roman" w:cs="Times New Roman"/>
          <w:sz w:val="28"/>
          <w:szCs w:val="28"/>
        </w:rPr>
        <w:t xml:space="preserve"> whe</w:t>
      </w:r>
      <w:r w:rsidR="00243E85">
        <w:rPr>
          <w:rFonts w:ascii="Times New Roman" w:hAnsi="Times New Roman" w:cs="Times New Roman"/>
          <w:sz w:val="28"/>
          <w:szCs w:val="28"/>
        </w:rPr>
        <w:t xml:space="preserve">n co-administered with </w:t>
      </w:r>
      <w:r w:rsidR="00243E85" w:rsidRPr="00B71E1E">
        <w:rPr>
          <w:rFonts w:ascii="Times New Roman" w:hAnsi="Times New Roman" w:cs="Times New Roman"/>
          <w:sz w:val="28"/>
          <w:szCs w:val="28"/>
        </w:rPr>
        <w:t>Levetiracetam</w:t>
      </w:r>
      <w:r w:rsidRPr="003D1886">
        <w:rPr>
          <w:rFonts w:ascii="Times New Roman" w:hAnsi="Times New Roman" w:cs="Times New Roman"/>
          <w:sz w:val="28"/>
          <w:szCs w:val="28"/>
        </w:rPr>
        <w:t xml:space="preserve">, </w:t>
      </w:r>
      <w:r w:rsidR="00243E85">
        <w:rPr>
          <w:rFonts w:ascii="Times New Roman" w:hAnsi="Times New Roman" w:cs="Times New Roman"/>
          <w:sz w:val="28"/>
          <w:szCs w:val="28"/>
        </w:rPr>
        <w:t xml:space="preserve">significantly reversed </w:t>
      </w:r>
      <w:r w:rsidR="00243E85" w:rsidRPr="00B71E1E">
        <w:rPr>
          <w:rFonts w:ascii="Times New Roman" w:hAnsi="Times New Roman" w:cs="Times New Roman"/>
          <w:sz w:val="28"/>
          <w:szCs w:val="28"/>
        </w:rPr>
        <w:t>Levetiracetam</w:t>
      </w:r>
      <w:r w:rsidR="00243E85" w:rsidRPr="003D1886">
        <w:rPr>
          <w:rFonts w:ascii="Times New Roman" w:hAnsi="Times New Roman" w:cs="Times New Roman"/>
          <w:sz w:val="28"/>
          <w:szCs w:val="28"/>
        </w:rPr>
        <w:t xml:space="preserve"> </w:t>
      </w:r>
      <w:r w:rsidRPr="003D1886">
        <w:rPr>
          <w:rFonts w:ascii="Times New Roman" w:hAnsi="Times New Roman" w:cs="Times New Roman"/>
          <w:sz w:val="28"/>
          <w:szCs w:val="28"/>
        </w:rPr>
        <w:t>-induced reduction in spontaneous alternation without al</w:t>
      </w:r>
      <w:r w:rsidR="00243E85">
        <w:rPr>
          <w:rFonts w:ascii="Times New Roman" w:hAnsi="Times New Roman" w:cs="Times New Roman"/>
          <w:sz w:val="28"/>
          <w:szCs w:val="28"/>
        </w:rPr>
        <w:t xml:space="preserve">tering the efficacy of </w:t>
      </w:r>
      <w:r w:rsidR="00243E85" w:rsidRPr="00B71E1E">
        <w:rPr>
          <w:rFonts w:ascii="Times New Roman" w:hAnsi="Times New Roman" w:cs="Times New Roman"/>
          <w:sz w:val="28"/>
          <w:szCs w:val="28"/>
        </w:rPr>
        <w:t>Levetiracetam</w:t>
      </w:r>
      <w:r w:rsidRPr="003D1886">
        <w:rPr>
          <w:rFonts w:ascii="Times New Roman" w:hAnsi="Times New Roman" w:cs="Times New Roman"/>
          <w:sz w:val="28"/>
          <w:szCs w:val="28"/>
        </w:rPr>
        <w:t xml:space="preserve"> against ICES in both acute and chronic studies. Fur</w:t>
      </w:r>
      <w:r w:rsidR="00243E85">
        <w:rPr>
          <w:rFonts w:ascii="Times New Roman" w:hAnsi="Times New Roman" w:cs="Times New Roman"/>
          <w:sz w:val="28"/>
          <w:szCs w:val="28"/>
        </w:rPr>
        <w:t xml:space="preserve">ther, it also reversed </w:t>
      </w:r>
      <w:r w:rsidR="00243E85" w:rsidRPr="00B71E1E">
        <w:rPr>
          <w:rFonts w:ascii="Times New Roman" w:hAnsi="Times New Roman" w:cs="Times New Roman"/>
          <w:sz w:val="28"/>
          <w:szCs w:val="28"/>
        </w:rPr>
        <w:t>Levetiracetam</w:t>
      </w:r>
      <w:r w:rsidRPr="003D1886">
        <w:rPr>
          <w:rFonts w:ascii="Times New Roman" w:hAnsi="Times New Roman" w:cs="Times New Roman"/>
          <w:sz w:val="28"/>
          <w:szCs w:val="28"/>
        </w:rPr>
        <w:t xml:space="preserve"> induced increase in </w:t>
      </w:r>
      <w:proofErr w:type="spellStart"/>
      <w:r w:rsidRPr="003D1886">
        <w:rPr>
          <w:rFonts w:ascii="Times New Roman" w:hAnsi="Times New Roman" w:cs="Times New Roman"/>
          <w:sz w:val="28"/>
          <w:szCs w:val="28"/>
        </w:rPr>
        <w:t>AChE</w:t>
      </w:r>
      <w:proofErr w:type="spellEnd"/>
      <w:r w:rsidRPr="003D1886">
        <w:rPr>
          <w:rFonts w:ascii="Times New Roman" w:hAnsi="Times New Roman" w:cs="Times New Roman"/>
          <w:sz w:val="28"/>
          <w:szCs w:val="28"/>
        </w:rPr>
        <w:t xml:space="preserve"> activity. </w:t>
      </w:r>
    </w:p>
    <w:p w14:paraId="47E44374"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Conclusion</w:t>
      </w:r>
      <w:r w:rsidR="00243E85">
        <w:rPr>
          <w:rFonts w:ascii="Times New Roman" w:hAnsi="Times New Roman" w:cs="Times New Roman"/>
          <w:sz w:val="28"/>
          <w:szCs w:val="28"/>
        </w:rPr>
        <w:t xml:space="preserve">: </w:t>
      </w:r>
      <w:proofErr w:type="spellStart"/>
      <w:r w:rsidR="00243E85">
        <w:rPr>
          <w:rFonts w:ascii="Times New Roman" w:hAnsi="Times New Roman" w:cs="Times New Roman"/>
          <w:sz w:val="28"/>
          <w:szCs w:val="28"/>
        </w:rPr>
        <w:t>Rutin</w:t>
      </w:r>
      <w:proofErr w:type="spellEnd"/>
      <w:r w:rsidR="00243E85">
        <w:rPr>
          <w:rFonts w:ascii="Times New Roman" w:hAnsi="Times New Roman" w:cs="Times New Roman"/>
          <w:sz w:val="28"/>
          <w:szCs w:val="28"/>
        </w:rPr>
        <w:t xml:space="preserve"> alleviated the </w:t>
      </w:r>
      <w:r w:rsidR="00243E85" w:rsidRPr="00B71E1E">
        <w:rPr>
          <w:rFonts w:ascii="Times New Roman" w:hAnsi="Times New Roman" w:cs="Times New Roman"/>
          <w:sz w:val="28"/>
          <w:szCs w:val="28"/>
        </w:rPr>
        <w:t>Levetiracetam</w:t>
      </w:r>
      <w:r w:rsidR="00243E85" w:rsidRPr="003D1886">
        <w:rPr>
          <w:rFonts w:ascii="Times New Roman" w:hAnsi="Times New Roman" w:cs="Times New Roman"/>
          <w:sz w:val="28"/>
          <w:szCs w:val="28"/>
        </w:rPr>
        <w:t xml:space="preserve"> </w:t>
      </w:r>
      <w:r w:rsidRPr="003D1886">
        <w:rPr>
          <w:rFonts w:ascii="Times New Roman" w:hAnsi="Times New Roman" w:cs="Times New Roman"/>
          <w:sz w:val="28"/>
          <w:szCs w:val="28"/>
        </w:rPr>
        <w:t>–induced cognitive impairment without compromising its antiepileptic efficacy.</w:t>
      </w:r>
    </w:p>
    <w:p w14:paraId="1AFC95AE"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 xml:space="preserve">KEY WORDS: Acetylcholinesterase, cognitive functions, diphenylhydantoin, </w:t>
      </w:r>
      <w:proofErr w:type="spellStart"/>
      <w:r w:rsidRPr="003D1886">
        <w:rPr>
          <w:rFonts w:ascii="Times New Roman" w:hAnsi="Times New Roman" w:cs="Times New Roman"/>
          <w:sz w:val="28"/>
          <w:szCs w:val="28"/>
        </w:rPr>
        <w:t>Rutin</w:t>
      </w:r>
      <w:proofErr w:type="spellEnd"/>
      <w:r w:rsidRPr="003D1886">
        <w:rPr>
          <w:rFonts w:ascii="Times New Roman" w:hAnsi="Times New Roman" w:cs="Times New Roman"/>
          <w:sz w:val="28"/>
          <w:szCs w:val="28"/>
        </w:rPr>
        <w:t>.</w:t>
      </w:r>
    </w:p>
    <w:p w14:paraId="6706F433" w14:textId="77777777" w:rsidR="00B71E1E" w:rsidRPr="003D1886" w:rsidRDefault="00B71E1E" w:rsidP="00B71E1E">
      <w:pPr>
        <w:jc w:val="both"/>
        <w:rPr>
          <w:rFonts w:ascii="Times New Roman" w:hAnsi="Times New Roman" w:cs="Times New Roman"/>
          <w:sz w:val="28"/>
          <w:szCs w:val="28"/>
        </w:rPr>
      </w:pPr>
      <w:r w:rsidRPr="003D1886">
        <w:rPr>
          <w:rFonts w:ascii="Times New Roman" w:hAnsi="Times New Roman" w:cs="Times New Roman"/>
          <w:sz w:val="28"/>
          <w:szCs w:val="28"/>
        </w:rPr>
        <w:t>INTRODUCTION</w:t>
      </w:r>
    </w:p>
    <w:p w14:paraId="10D32704" w14:textId="77777777" w:rsidR="00B71E1E" w:rsidRPr="00BF3FA7" w:rsidRDefault="0071615A" w:rsidP="00B71E1E">
      <w:pPr>
        <w:jc w:val="both"/>
        <w:rPr>
          <w:rFonts w:ascii="Times New Roman" w:hAnsi="Times New Roman" w:cs="Times New Roman"/>
          <w:sz w:val="24"/>
          <w:szCs w:val="24"/>
        </w:rPr>
      </w:pPr>
      <w:r w:rsidRPr="00BF3FA7">
        <w:rPr>
          <w:rFonts w:ascii="Times New Roman" w:hAnsi="Times New Roman" w:cs="Times New Roman"/>
          <w:sz w:val="24"/>
          <w:szCs w:val="24"/>
        </w:rPr>
        <w:t xml:space="preserve">Levetiracetam </w:t>
      </w:r>
      <w:r w:rsidR="00065F4A" w:rsidRPr="00BF3FA7">
        <w:rPr>
          <w:rFonts w:ascii="Times New Roman" w:hAnsi="Times New Roman" w:cs="Times New Roman"/>
          <w:sz w:val="24"/>
          <w:szCs w:val="24"/>
        </w:rPr>
        <w:t>is</w:t>
      </w:r>
      <w:r w:rsidR="00B71E1E" w:rsidRPr="00BF3FA7">
        <w:rPr>
          <w:rFonts w:ascii="Times New Roman" w:hAnsi="Times New Roman" w:cs="Times New Roman"/>
          <w:sz w:val="24"/>
          <w:szCs w:val="24"/>
        </w:rPr>
        <w:t xml:space="preserve"> a newer </w:t>
      </w:r>
      <w:r w:rsidR="00086147" w:rsidRPr="00BF3FA7">
        <w:rPr>
          <w:rFonts w:ascii="Times New Roman" w:hAnsi="Times New Roman" w:cs="Times New Roman"/>
          <w:sz w:val="24"/>
          <w:szCs w:val="24"/>
        </w:rPr>
        <w:t xml:space="preserve">drug used as anticonvulsant having </w:t>
      </w:r>
      <w:r w:rsidR="00065F4A" w:rsidRPr="00BF3FA7">
        <w:rPr>
          <w:rFonts w:ascii="Times New Roman" w:hAnsi="Times New Roman" w:cs="Times New Roman"/>
          <w:sz w:val="24"/>
          <w:szCs w:val="24"/>
        </w:rPr>
        <w:t xml:space="preserve">various </w:t>
      </w:r>
      <w:r w:rsidR="00B71E1E" w:rsidRPr="00BF3FA7">
        <w:rPr>
          <w:rFonts w:ascii="Times New Roman" w:hAnsi="Times New Roman" w:cs="Times New Roman"/>
          <w:sz w:val="24"/>
          <w:szCs w:val="24"/>
        </w:rPr>
        <w:t xml:space="preserve">benefits over the </w:t>
      </w:r>
      <w:r w:rsidR="00065F4A" w:rsidRPr="00BF3FA7">
        <w:rPr>
          <w:rFonts w:ascii="Times New Roman" w:hAnsi="Times New Roman" w:cs="Times New Roman"/>
          <w:sz w:val="24"/>
          <w:szCs w:val="24"/>
        </w:rPr>
        <w:t>accessible</w:t>
      </w:r>
      <w:r w:rsidR="00876355" w:rsidRPr="00BF3FA7">
        <w:rPr>
          <w:rFonts w:ascii="Times New Roman" w:hAnsi="Times New Roman" w:cs="Times New Roman"/>
          <w:sz w:val="24"/>
          <w:szCs w:val="24"/>
        </w:rPr>
        <w:t xml:space="preserve"> drugs. It </w:t>
      </w:r>
      <w:r w:rsidR="00B71E1E" w:rsidRPr="00BF3FA7">
        <w:rPr>
          <w:rFonts w:ascii="Times New Roman" w:hAnsi="Times New Roman" w:cs="Times New Roman"/>
          <w:sz w:val="24"/>
          <w:szCs w:val="24"/>
        </w:rPr>
        <w:t xml:space="preserve">is </w:t>
      </w:r>
      <w:r w:rsidR="00876355" w:rsidRPr="00BF3FA7">
        <w:rPr>
          <w:rFonts w:ascii="Times New Roman" w:hAnsi="Times New Roman" w:cs="Times New Roman"/>
          <w:sz w:val="24"/>
          <w:szCs w:val="24"/>
        </w:rPr>
        <w:t>extensively</w:t>
      </w:r>
      <w:r w:rsidR="00B71E1E" w:rsidRPr="00BF3FA7">
        <w:rPr>
          <w:rFonts w:ascii="Times New Roman" w:hAnsi="Times New Roman" w:cs="Times New Roman"/>
          <w:sz w:val="24"/>
          <w:szCs w:val="24"/>
        </w:rPr>
        <w:t xml:space="preserve"> used in monotherapy treatment for epilepsy in the case of partial seizures, or as an adjunctive therapy for partial, myoclonic and tonic-</w:t>
      </w:r>
      <w:proofErr w:type="spellStart"/>
      <w:r w:rsidR="00B71E1E" w:rsidRPr="00BF3FA7">
        <w:rPr>
          <w:rFonts w:ascii="Times New Roman" w:hAnsi="Times New Roman" w:cs="Times New Roman"/>
          <w:sz w:val="24"/>
          <w:szCs w:val="24"/>
        </w:rPr>
        <w:t>clonic</w:t>
      </w:r>
      <w:proofErr w:type="spellEnd"/>
      <w:r w:rsidR="00B71E1E" w:rsidRPr="00BF3FA7">
        <w:rPr>
          <w:rFonts w:ascii="Times New Roman" w:hAnsi="Times New Roman" w:cs="Times New Roman"/>
          <w:sz w:val="24"/>
          <w:szCs w:val="24"/>
        </w:rPr>
        <w:t xml:space="preserve"> </w:t>
      </w:r>
      <w:commentRangeStart w:id="0"/>
      <w:proofErr w:type="gramStart"/>
      <w:r w:rsidR="00B71E1E" w:rsidRPr="00BF3FA7">
        <w:rPr>
          <w:rFonts w:ascii="Times New Roman" w:hAnsi="Times New Roman" w:cs="Times New Roman"/>
          <w:sz w:val="24"/>
          <w:szCs w:val="24"/>
        </w:rPr>
        <w:t>seizures</w:t>
      </w:r>
      <w:r w:rsidR="00AC037C" w:rsidRPr="00BF3FA7">
        <w:rPr>
          <w:rFonts w:ascii="Times New Roman" w:hAnsi="Times New Roman" w:cs="Times New Roman"/>
          <w:sz w:val="24"/>
          <w:szCs w:val="24"/>
        </w:rPr>
        <w:t>[</w:t>
      </w:r>
      <w:commentRangeEnd w:id="0"/>
      <w:proofErr w:type="gramEnd"/>
      <w:r w:rsidR="00523630">
        <w:rPr>
          <w:rStyle w:val="CommentReference"/>
        </w:rPr>
        <w:commentReference w:id="0"/>
      </w:r>
      <w:r w:rsidR="00AC037C" w:rsidRPr="00BF3FA7">
        <w:rPr>
          <w:rFonts w:ascii="Times New Roman" w:hAnsi="Times New Roman" w:cs="Times New Roman"/>
          <w:sz w:val="24"/>
          <w:szCs w:val="24"/>
        </w:rPr>
        <w:t>1</w:t>
      </w:r>
      <w:r w:rsidR="00B71E1E" w:rsidRPr="00BF3FA7">
        <w:rPr>
          <w:rFonts w:ascii="Times New Roman" w:hAnsi="Times New Roman" w:cs="Times New Roman"/>
          <w:sz w:val="24"/>
          <w:szCs w:val="24"/>
        </w:rPr>
        <w:t>]</w:t>
      </w:r>
      <w:r w:rsidR="00CB3B22" w:rsidRPr="00BF3FA7">
        <w:rPr>
          <w:rFonts w:ascii="Times New Roman" w:hAnsi="Times New Roman" w:cs="Times New Roman"/>
          <w:sz w:val="24"/>
          <w:szCs w:val="24"/>
        </w:rPr>
        <w:t>. T</w:t>
      </w:r>
      <w:r w:rsidR="00B71E1E" w:rsidRPr="00BF3FA7">
        <w:rPr>
          <w:rFonts w:ascii="Times New Roman" w:hAnsi="Times New Roman" w:cs="Times New Roman"/>
          <w:sz w:val="24"/>
          <w:szCs w:val="24"/>
        </w:rPr>
        <w:t>he</w:t>
      </w:r>
      <w:r w:rsidR="00CB3B22"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drug is also known for its </w:t>
      </w:r>
      <w:r w:rsidR="00CB3B22" w:rsidRPr="00BF3FA7">
        <w:rPr>
          <w:rFonts w:ascii="Times New Roman" w:hAnsi="Times New Roman" w:cs="Times New Roman"/>
          <w:sz w:val="24"/>
          <w:szCs w:val="24"/>
        </w:rPr>
        <w:t>numerous plausible</w:t>
      </w:r>
      <w:r w:rsidR="0090562F"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benefits for </w:t>
      </w:r>
      <w:r w:rsidR="00D30353" w:rsidRPr="00BF3FA7">
        <w:rPr>
          <w:rFonts w:ascii="Times New Roman" w:hAnsi="Times New Roman" w:cs="Times New Roman"/>
          <w:sz w:val="24"/>
          <w:szCs w:val="24"/>
        </w:rPr>
        <w:t xml:space="preserve">various </w:t>
      </w:r>
      <w:r w:rsidR="00B71E1E" w:rsidRPr="00BF3FA7">
        <w:rPr>
          <w:rFonts w:ascii="Times New Roman" w:hAnsi="Times New Roman" w:cs="Times New Roman"/>
          <w:sz w:val="24"/>
          <w:szCs w:val="24"/>
        </w:rPr>
        <w:t xml:space="preserve">psychiatric and neurologic conditions such as Tourette syndrome, autism, bipolar </w:t>
      </w:r>
      <w:r w:rsidR="00AC037C" w:rsidRPr="00BF3FA7">
        <w:rPr>
          <w:rFonts w:ascii="Times New Roman" w:hAnsi="Times New Roman" w:cs="Times New Roman"/>
          <w:sz w:val="24"/>
          <w:szCs w:val="24"/>
        </w:rPr>
        <w:t xml:space="preserve">disorder and anxiety </w:t>
      </w:r>
      <w:proofErr w:type="gramStart"/>
      <w:r w:rsidR="00AC037C" w:rsidRPr="00BF3FA7">
        <w:rPr>
          <w:rFonts w:ascii="Times New Roman" w:hAnsi="Times New Roman" w:cs="Times New Roman"/>
          <w:sz w:val="24"/>
          <w:szCs w:val="24"/>
        </w:rPr>
        <w:t>disorder,</w:t>
      </w:r>
      <w:commentRangeStart w:id="1"/>
      <w:r w:rsidR="00AC037C" w:rsidRPr="00BF3FA7">
        <w:rPr>
          <w:rFonts w:ascii="Times New Roman" w:hAnsi="Times New Roman" w:cs="Times New Roman"/>
          <w:sz w:val="24"/>
          <w:szCs w:val="24"/>
        </w:rPr>
        <w:t>[</w:t>
      </w:r>
      <w:commentRangeEnd w:id="1"/>
      <w:proofErr w:type="gramEnd"/>
      <w:r w:rsidR="008C28DA">
        <w:rPr>
          <w:rStyle w:val="CommentReference"/>
        </w:rPr>
        <w:commentReference w:id="1"/>
      </w:r>
      <w:r w:rsidR="00AC037C" w:rsidRPr="00BF3FA7">
        <w:rPr>
          <w:rFonts w:ascii="Times New Roman" w:hAnsi="Times New Roman" w:cs="Times New Roman"/>
          <w:sz w:val="24"/>
          <w:szCs w:val="24"/>
        </w:rPr>
        <w:t>2</w:t>
      </w:r>
      <w:r w:rsidR="00B71E1E" w:rsidRPr="00BF3FA7">
        <w:rPr>
          <w:rFonts w:ascii="Times New Roman" w:hAnsi="Times New Roman" w:cs="Times New Roman"/>
          <w:sz w:val="24"/>
          <w:szCs w:val="24"/>
        </w:rPr>
        <w:t xml:space="preserve">] as </w:t>
      </w:r>
      <w:r w:rsidR="00D30353" w:rsidRPr="00BF3FA7">
        <w:rPr>
          <w:rFonts w:ascii="Times New Roman" w:hAnsi="Times New Roman" w:cs="Times New Roman"/>
          <w:sz w:val="24"/>
          <w:szCs w:val="24"/>
        </w:rPr>
        <w:t>well as Alzheimer's disease</w:t>
      </w:r>
      <w:commentRangeStart w:id="2"/>
      <w:r w:rsidR="00AC037C" w:rsidRPr="00BF3FA7">
        <w:rPr>
          <w:rFonts w:ascii="Times New Roman" w:hAnsi="Times New Roman" w:cs="Times New Roman"/>
          <w:sz w:val="24"/>
          <w:szCs w:val="24"/>
        </w:rPr>
        <w:t>[3</w:t>
      </w:r>
      <w:commentRangeEnd w:id="2"/>
      <w:r w:rsidR="008C28DA">
        <w:rPr>
          <w:rStyle w:val="CommentReference"/>
        </w:rPr>
        <w:commentReference w:id="2"/>
      </w:r>
      <w:r w:rsidR="00B71E1E" w:rsidRPr="00BF3FA7">
        <w:rPr>
          <w:rFonts w:ascii="Times New Roman" w:hAnsi="Times New Roman" w:cs="Times New Roman"/>
          <w:sz w:val="24"/>
          <w:szCs w:val="24"/>
        </w:rPr>
        <w:t>]</w:t>
      </w:r>
      <w:r w:rsidR="00D30353" w:rsidRPr="00BF3FA7">
        <w:rPr>
          <w:rFonts w:ascii="Times New Roman" w:hAnsi="Times New Roman" w:cs="Times New Roman"/>
          <w:sz w:val="24"/>
          <w:szCs w:val="24"/>
        </w:rPr>
        <w:t>.</w:t>
      </w:r>
      <w:r w:rsidR="00B71E1E" w:rsidRPr="00BF3FA7">
        <w:rPr>
          <w:rFonts w:ascii="Times New Roman" w:hAnsi="Times New Roman" w:cs="Times New Roman"/>
          <w:sz w:val="24"/>
          <w:szCs w:val="24"/>
        </w:rPr>
        <w:t xml:space="preserve"> </w:t>
      </w:r>
      <w:proofErr w:type="spellStart"/>
      <w:proofErr w:type="gramStart"/>
      <w:r w:rsidR="0057207E" w:rsidRPr="00BF3FA7">
        <w:rPr>
          <w:rFonts w:ascii="Times New Roman" w:hAnsi="Times New Roman" w:cs="Times New Roman"/>
          <w:sz w:val="24"/>
          <w:szCs w:val="24"/>
        </w:rPr>
        <w:t>Alt</w:t>
      </w:r>
      <w:r w:rsidR="00D30353" w:rsidRPr="00BF3FA7">
        <w:rPr>
          <w:rFonts w:ascii="Times New Roman" w:hAnsi="Times New Roman" w:cs="Times New Roman"/>
          <w:sz w:val="24"/>
          <w:szCs w:val="24"/>
        </w:rPr>
        <w:t>hough</w:t>
      </w:r>
      <w:r w:rsidR="0045631D" w:rsidRPr="00BF3FA7">
        <w:rPr>
          <w:rFonts w:ascii="Times New Roman" w:hAnsi="Times New Roman" w:cs="Times New Roman"/>
          <w:sz w:val="24"/>
          <w:szCs w:val="24"/>
        </w:rPr>
        <w:t>,with</w:t>
      </w:r>
      <w:proofErr w:type="spellEnd"/>
      <w:proofErr w:type="gramEnd"/>
      <w:r w:rsidR="0045631D"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the </w:t>
      </w:r>
      <w:r w:rsidR="0045631D" w:rsidRPr="00BF3FA7">
        <w:rPr>
          <w:rFonts w:ascii="Times New Roman" w:hAnsi="Times New Roman" w:cs="Times New Roman"/>
          <w:sz w:val="24"/>
          <w:szCs w:val="24"/>
        </w:rPr>
        <w:t xml:space="preserve">drug the </w:t>
      </w:r>
      <w:r w:rsidR="00B71E1E" w:rsidRPr="00BF3FA7">
        <w:rPr>
          <w:rFonts w:ascii="Times New Roman" w:hAnsi="Times New Roman" w:cs="Times New Roman"/>
          <w:sz w:val="24"/>
          <w:szCs w:val="24"/>
        </w:rPr>
        <w:t>most serious adverse eff</w:t>
      </w:r>
      <w:r w:rsidR="0057207E" w:rsidRPr="00BF3FA7">
        <w:rPr>
          <w:rFonts w:ascii="Times New Roman" w:hAnsi="Times New Roman" w:cs="Times New Roman"/>
          <w:sz w:val="24"/>
          <w:szCs w:val="24"/>
        </w:rPr>
        <w:t xml:space="preserve">ects encountered are </w:t>
      </w:r>
      <w:r w:rsidR="00AC037C"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behavioral def</w:t>
      </w:r>
      <w:r w:rsidR="0057207E" w:rsidRPr="00BF3FA7">
        <w:rPr>
          <w:rFonts w:ascii="Times New Roman" w:hAnsi="Times New Roman" w:cs="Times New Roman"/>
          <w:sz w:val="24"/>
          <w:szCs w:val="24"/>
        </w:rPr>
        <w:t xml:space="preserve">icit produced by it </w:t>
      </w:r>
      <w:r w:rsidR="00B71E1E" w:rsidRPr="00BF3FA7">
        <w:rPr>
          <w:rFonts w:ascii="Times New Roman" w:hAnsi="Times New Roman" w:cs="Times New Roman"/>
          <w:sz w:val="24"/>
          <w:szCs w:val="24"/>
        </w:rPr>
        <w:t>[3]</w:t>
      </w:r>
      <w:r w:rsidR="00AC037C" w:rsidRPr="00BF3FA7">
        <w:rPr>
          <w:rFonts w:ascii="Times New Roman" w:hAnsi="Times New Roman" w:cs="Times New Roman"/>
          <w:sz w:val="24"/>
          <w:szCs w:val="24"/>
        </w:rPr>
        <w:t>. For efficient</w:t>
      </w:r>
      <w:r w:rsidR="00B71E1E" w:rsidRPr="00BF3FA7">
        <w:rPr>
          <w:rFonts w:ascii="Times New Roman" w:hAnsi="Times New Roman" w:cs="Times New Roman"/>
          <w:sz w:val="24"/>
          <w:szCs w:val="24"/>
        </w:rPr>
        <w:t xml:space="preserve"> </w:t>
      </w:r>
      <w:r w:rsidR="00AC037C" w:rsidRPr="00BF3FA7">
        <w:rPr>
          <w:rFonts w:ascii="Times New Roman" w:hAnsi="Times New Roman" w:cs="Times New Roman"/>
          <w:sz w:val="24"/>
          <w:szCs w:val="24"/>
        </w:rPr>
        <w:t>treatment</w:t>
      </w:r>
      <w:r w:rsidR="00B71E1E" w:rsidRPr="00BF3FA7">
        <w:rPr>
          <w:rFonts w:ascii="Times New Roman" w:hAnsi="Times New Roman" w:cs="Times New Roman"/>
          <w:sz w:val="24"/>
          <w:szCs w:val="24"/>
        </w:rPr>
        <w:t xml:space="preserve"> for convulsions it is </w:t>
      </w:r>
      <w:r w:rsidR="00AC037C" w:rsidRPr="00BF3FA7">
        <w:rPr>
          <w:rFonts w:ascii="Times New Roman" w:hAnsi="Times New Roman" w:cs="Times New Roman"/>
          <w:sz w:val="24"/>
          <w:szCs w:val="24"/>
        </w:rPr>
        <w:t>praiseworthy</w:t>
      </w:r>
      <w:r w:rsidR="00B71E1E" w:rsidRPr="00BF3FA7">
        <w:rPr>
          <w:rFonts w:ascii="Times New Roman" w:hAnsi="Times New Roman" w:cs="Times New Roman"/>
          <w:sz w:val="24"/>
          <w:szCs w:val="24"/>
        </w:rPr>
        <w:t xml:space="preserve"> to have </w:t>
      </w:r>
      <w:r w:rsidR="00B71E1E" w:rsidRPr="00BF3FA7">
        <w:rPr>
          <w:rFonts w:ascii="Times New Roman" w:hAnsi="Times New Roman" w:cs="Times New Roman"/>
          <w:sz w:val="24"/>
          <w:szCs w:val="24"/>
        </w:rPr>
        <w:lastRenderedPageBreak/>
        <w:t>complete seizure control without interrupting any cognitive effects.</w:t>
      </w:r>
      <w:r w:rsidR="006C0375" w:rsidRPr="00BF3FA7">
        <w:rPr>
          <w:rFonts w:ascii="Times New Roman" w:hAnsi="Times New Roman" w:cs="Times New Roman"/>
          <w:sz w:val="24"/>
          <w:szCs w:val="24"/>
        </w:rPr>
        <w:t xml:space="preserve"> It can be beneficial to go for the antiepileptic drugs therapy with adjuvant use of nootropic agents</w:t>
      </w:r>
      <w:r w:rsidR="00571F4E" w:rsidRPr="00BF3FA7">
        <w:rPr>
          <w:rFonts w:ascii="Times New Roman" w:hAnsi="Times New Roman" w:cs="Times New Roman"/>
          <w:sz w:val="24"/>
          <w:szCs w:val="24"/>
        </w:rPr>
        <w:t xml:space="preserve"> f</w:t>
      </w:r>
      <w:r w:rsidR="00B71E1E" w:rsidRPr="00BF3FA7">
        <w:rPr>
          <w:rFonts w:ascii="Times New Roman" w:hAnsi="Times New Roman" w:cs="Times New Roman"/>
          <w:sz w:val="24"/>
          <w:szCs w:val="24"/>
        </w:rPr>
        <w:t xml:space="preserve">or </w:t>
      </w:r>
      <w:r w:rsidR="00571F4E" w:rsidRPr="00BF3FA7">
        <w:rPr>
          <w:rFonts w:ascii="Times New Roman" w:hAnsi="Times New Roman" w:cs="Times New Roman"/>
          <w:sz w:val="24"/>
          <w:szCs w:val="24"/>
        </w:rPr>
        <w:t>achievement</w:t>
      </w:r>
      <w:r w:rsidR="00B71E1E" w:rsidRPr="00BF3FA7">
        <w:rPr>
          <w:rFonts w:ascii="Times New Roman" w:hAnsi="Times New Roman" w:cs="Times New Roman"/>
          <w:sz w:val="24"/>
          <w:szCs w:val="24"/>
        </w:rPr>
        <w:t xml:space="preserve"> </w:t>
      </w:r>
      <w:proofErr w:type="gramStart"/>
      <w:r w:rsidR="00B71E1E" w:rsidRPr="00BF3FA7">
        <w:rPr>
          <w:rFonts w:ascii="Times New Roman" w:hAnsi="Times New Roman" w:cs="Times New Roman"/>
          <w:sz w:val="24"/>
          <w:szCs w:val="24"/>
        </w:rPr>
        <w:t xml:space="preserve">of </w:t>
      </w:r>
      <w:r w:rsidR="00CE05FB" w:rsidRPr="00BF3FA7">
        <w:rPr>
          <w:rFonts w:ascii="Times New Roman" w:hAnsi="Times New Roman" w:cs="Times New Roman"/>
          <w:sz w:val="24"/>
          <w:szCs w:val="24"/>
        </w:rPr>
        <w:t xml:space="preserve"> </w:t>
      </w:r>
      <w:r w:rsidR="00571F4E" w:rsidRPr="00BF3FA7">
        <w:rPr>
          <w:rFonts w:ascii="Times New Roman" w:hAnsi="Times New Roman" w:cs="Times New Roman"/>
          <w:sz w:val="24"/>
          <w:szCs w:val="24"/>
        </w:rPr>
        <w:t>nominal</w:t>
      </w:r>
      <w:proofErr w:type="gramEnd"/>
      <w:r w:rsidR="00B71E1E" w:rsidRPr="00BF3FA7">
        <w:rPr>
          <w:rFonts w:ascii="Times New Roman" w:hAnsi="Times New Roman" w:cs="Times New Roman"/>
          <w:sz w:val="24"/>
          <w:szCs w:val="24"/>
        </w:rPr>
        <w:t xml:space="preserve">/no memory deficit </w:t>
      </w:r>
      <w:r w:rsidR="006C0375"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with AED</w:t>
      </w:r>
      <w:r w:rsidR="006C0375" w:rsidRPr="00BF3FA7">
        <w:rPr>
          <w:rFonts w:ascii="Times New Roman" w:hAnsi="Times New Roman" w:cs="Times New Roman"/>
          <w:sz w:val="24"/>
          <w:szCs w:val="24"/>
        </w:rPr>
        <w:t xml:space="preserve">  therapy</w:t>
      </w:r>
      <w:r w:rsidR="00B71E1E"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It is necessary to opt for a</w:t>
      </w:r>
      <w:r w:rsidR="00FE313D" w:rsidRPr="00BF3FA7">
        <w:rPr>
          <w:rFonts w:ascii="Times New Roman" w:hAnsi="Times New Roman" w:cs="Times New Roman"/>
          <w:sz w:val="24"/>
          <w:szCs w:val="24"/>
        </w:rPr>
        <w:t>n</w:t>
      </w:r>
      <w:r w:rsidR="00B71E1E"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improved</w:t>
      </w:r>
      <w:r w:rsidR="00B71E1E" w:rsidRPr="00BF3FA7">
        <w:rPr>
          <w:rFonts w:ascii="Times New Roman" w:hAnsi="Times New Roman" w:cs="Times New Roman"/>
          <w:sz w:val="24"/>
          <w:szCs w:val="24"/>
        </w:rPr>
        <w:t xml:space="preserve"> approac</w:t>
      </w:r>
      <w:r w:rsidR="00FE313D" w:rsidRPr="00BF3FA7">
        <w:rPr>
          <w:rFonts w:ascii="Times New Roman" w:hAnsi="Times New Roman" w:cs="Times New Roman"/>
          <w:sz w:val="24"/>
          <w:szCs w:val="24"/>
        </w:rPr>
        <w:t>h</w:t>
      </w:r>
      <w:r w:rsidR="00B71E1E" w:rsidRPr="00BF3FA7">
        <w:rPr>
          <w:rFonts w:ascii="Times New Roman" w:hAnsi="Times New Roman" w:cs="Times New Roman"/>
          <w:sz w:val="24"/>
          <w:szCs w:val="24"/>
        </w:rPr>
        <w:t xml:space="preserve"> that not only treats the cognitive </w:t>
      </w:r>
      <w:r w:rsidR="00FE313D" w:rsidRPr="00BF3FA7">
        <w:rPr>
          <w:rFonts w:ascii="Times New Roman" w:hAnsi="Times New Roman" w:cs="Times New Roman"/>
          <w:sz w:val="24"/>
          <w:szCs w:val="24"/>
        </w:rPr>
        <w:t>turmoil</w:t>
      </w:r>
      <w:r w:rsidR="00B71E1E" w:rsidRPr="00BF3FA7">
        <w:rPr>
          <w:rFonts w:ascii="Times New Roman" w:hAnsi="Times New Roman" w:cs="Times New Roman"/>
          <w:sz w:val="24"/>
          <w:szCs w:val="24"/>
        </w:rPr>
        <w:t xml:space="preserve"> but shall also </w:t>
      </w:r>
      <w:r w:rsidR="00FE313D" w:rsidRPr="00BF3FA7">
        <w:rPr>
          <w:rFonts w:ascii="Times New Roman" w:hAnsi="Times New Roman" w:cs="Times New Roman"/>
          <w:sz w:val="24"/>
          <w:szCs w:val="24"/>
        </w:rPr>
        <w:t>endow with</w:t>
      </w:r>
      <w:r w:rsidR="00B71E1E" w:rsidRPr="00BF3FA7">
        <w:rPr>
          <w:rFonts w:ascii="Times New Roman" w:hAnsi="Times New Roman" w:cs="Times New Roman"/>
          <w:sz w:val="24"/>
          <w:szCs w:val="24"/>
        </w:rPr>
        <w:t xml:space="preserve"> sei</w:t>
      </w:r>
      <w:r w:rsidR="00FE313D" w:rsidRPr="00BF3FA7">
        <w:rPr>
          <w:rFonts w:ascii="Times New Roman" w:hAnsi="Times New Roman" w:cs="Times New Roman"/>
          <w:sz w:val="24"/>
          <w:szCs w:val="24"/>
        </w:rPr>
        <w:t>zure protection. O</w:t>
      </w:r>
      <w:r w:rsidR="00B71E1E" w:rsidRPr="00BF3FA7">
        <w:rPr>
          <w:rFonts w:ascii="Times New Roman" w:hAnsi="Times New Roman" w:cs="Times New Roman"/>
          <w:sz w:val="24"/>
          <w:szCs w:val="24"/>
        </w:rPr>
        <w:t>ne</w:t>
      </w:r>
      <w:r w:rsidR="00FE313D"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of the establ</w:t>
      </w:r>
      <w:r w:rsidR="00FE313D" w:rsidRPr="00BF3FA7">
        <w:rPr>
          <w:rFonts w:ascii="Times New Roman" w:hAnsi="Times New Roman" w:cs="Times New Roman"/>
          <w:sz w:val="24"/>
          <w:szCs w:val="24"/>
        </w:rPr>
        <w:t xml:space="preserve">ished agents piracetam </w:t>
      </w:r>
      <w:commentRangeStart w:id="3"/>
      <w:r w:rsidR="00FE313D" w:rsidRPr="00BF3FA7">
        <w:rPr>
          <w:rFonts w:ascii="Times New Roman" w:hAnsi="Times New Roman" w:cs="Times New Roman"/>
          <w:sz w:val="24"/>
          <w:szCs w:val="24"/>
        </w:rPr>
        <w:t>(PIM</w:t>
      </w:r>
      <w:proofErr w:type="gramStart"/>
      <w:r w:rsidR="00FE313D" w:rsidRPr="00BF3FA7">
        <w:rPr>
          <w:rFonts w:ascii="Times New Roman" w:hAnsi="Times New Roman" w:cs="Times New Roman"/>
          <w:sz w:val="24"/>
          <w:szCs w:val="24"/>
        </w:rPr>
        <w:t>),</w:t>
      </w:r>
      <w:r w:rsidR="00B71E1E" w:rsidRPr="00BF3FA7">
        <w:rPr>
          <w:rFonts w:ascii="Times New Roman" w:hAnsi="Times New Roman" w:cs="Times New Roman"/>
          <w:sz w:val="24"/>
          <w:szCs w:val="24"/>
        </w:rPr>
        <w:t>PIM</w:t>
      </w:r>
      <w:proofErr w:type="gramEnd"/>
      <w:r w:rsidR="00B71E1E" w:rsidRPr="00BF3FA7">
        <w:rPr>
          <w:rFonts w:ascii="Times New Roman" w:hAnsi="Times New Roman" w:cs="Times New Roman"/>
          <w:sz w:val="24"/>
          <w:szCs w:val="24"/>
        </w:rPr>
        <w:t xml:space="preserve"> </w:t>
      </w:r>
      <w:commentRangeEnd w:id="3"/>
      <w:r w:rsidR="0091467E">
        <w:rPr>
          <w:rStyle w:val="CommentReference"/>
        </w:rPr>
        <w:commentReference w:id="3"/>
      </w:r>
      <w:r w:rsidR="00B71E1E" w:rsidRPr="00BF3FA7">
        <w:rPr>
          <w:rFonts w:ascii="Times New Roman" w:hAnsi="Times New Roman" w:cs="Times New Roman"/>
          <w:sz w:val="24"/>
          <w:szCs w:val="24"/>
        </w:rPr>
        <w:t xml:space="preserve">(2-oxo-1-pyrolidone acetamide) a </w:t>
      </w:r>
      <w:commentRangeStart w:id="4"/>
      <w:proofErr w:type="spellStart"/>
      <w:r w:rsidR="00B71E1E" w:rsidRPr="00BF3FA7">
        <w:rPr>
          <w:rFonts w:ascii="Times New Roman" w:hAnsi="Times New Roman" w:cs="Times New Roman"/>
          <w:sz w:val="24"/>
          <w:szCs w:val="24"/>
        </w:rPr>
        <w:t>know</w:t>
      </w:r>
      <w:commentRangeEnd w:id="4"/>
      <w:proofErr w:type="spellEnd"/>
      <w:r w:rsidR="0091467E">
        <w:rPr>
          <w:rStyle w:val="CommentReference"/>
        </w:rPr>
        <w:commentReference w:id="4"/>
      </w:r>
      <w:r w:rsidR="00B71E1E" w:rsidRPr="00BF3FA7">
        <w:rPr>
          <w:rFonts w:ascii="Times New Roman" w:hAnsi="Times New Roman" w:cs="Times New Roman"/>
          <w:sz w:val="24"/>
          <w:szCs w:val="24"/>
        </w:rPr>
        <w:t xml:space="preserve">  nootropic also known for </w:t>
      </w:r>
      <w:r w:rsidR="00FE313D" w:rsidRPr="00BF3FA7">
        <w:rPr>
          <w:rFonts w:ascii="Times New Roman" w:hAnsi="Times New Roman" w:cs="Times New Roman"/>
          <w:sz w:val="24"/>
          <w:szCs w:val="24"/>
        </w:rPr>
        <w:t xml:space="preserve">its antimyoclonic activity(4-6) and </w:t>
      </w:r>
      <w:r w:rsidR="00B71E1E" w:rsidRPr="00BF3FA7">
        <w:rPr>
          <w:rFonts w:ascii="Times New Roman" w:hAnsi="Times New Roman" w:cs="Times New Roman"/>
          <w:sz w:val="24"/>
          <w:szCs w:val="24"/>
        </w:rPr>
        <w:t xml:space="preserve">specific </w:t>
      </w:r>
      <w:proofErr w:type="spellStart"/>
      <w:r w:rsidR="00B71E1E" w:rsidRPr="00BF3FA7">
        <w:rPr>
          <w:rFonts w:ascii="Times New Roman" w:hAnsi="Times New Roman" w:cs="Times New Roman"/>
          <w:sz w:val="24"/>
          <w:szCs w:val="24"/>
        </w:rPr>
        <w:t>antiamnesic</w:t>
      </w:r>
      <w:proofErr w:type="spellEnd"/>
      <w:r w:rsidR="00B71E1E" w:rsidRPr="00BF3FA7">
        <w:rPr>
          <w:rFonts w:ascii="Times New Roman" w:hAnsi="Times New Roman" w:cs="Times New Roman"/>
          <w:sz w:val="24"/>
          <w:szCs w:val="24"/>
        </w:rPr>
        <w:t xml:space="preserve"> activity </w:t>
      </w:r>
      <w:r w:rsidR="00FE313D" w:rsidRPr="00BF3FA7">
        <w:rPr>
          <w:rFonts w:ascii="Times New Roman" w:hAnsi="Times New Roman" w:cs="Times New Roman"/>
          <w:sz w:val="24"/>
          <w:szCs w:val="24"/>
        </w:rPr>
        <w:t>(</w:t>
      </w:r>
      <w:r w:rsidR="00B71E1E" w:rsidRPr="00BF3FA7">
        <w:rPr>
          <w:rFonts w:ascii="Times New Roman" w:hAnsi="Times New Roman" w:cs="Times New Roman"/>
          <w:sz w:val="24"/>
          <w:szCs w:val="24"/>
        </w:rPr>
        <w:t xml:space="preserve">in many experimental </w:t>
      </w:r>
      <w:commentRangeStart w:id="5"/>
      <w:r w:rsidR="00B71E1E" w:rsidRPr="00BF3FA7">
        <w:rPr>
          <w:rFonts w:ascii="Times New Roman" w:hAnsi="Times New Roman" w:cs="Times New Roman"/>
          <w:sz w:val="24"/>
          <w:szCs w:val="24"/>
        </w:rPr>
        <w:t>exemplar</w:t>
      </w:r>
      <w:commentRangeEnd w:id="5"/>
      <w:r w:rsidR="0091467E">
        <w:rPr>
          <w:rStyle w:val="CommentReference"/>
        </w:rPr>
        <w:commentReference w:id="5"/>
      </w:r>
      <w:r w:rsidR="00FE313D" w:rsidRPr="00BF3FA7">
        <w:rPr>
          <w:rFonts w:ascii="Times New Roman" w:hAnsi="Times New Roman" w:cs="Times New Roman"/>
          <w:sz w:val="24"/>
          <w:szCs w:val="24"/>
        </w:rPr>
        <w:t>)(7-9)</w:t>
      </w:r>
      <w:r w:rsidR="00843473"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also </w:t>
      </w:r>
      <w:r w:rsidR="00FE313D" w:rsidRPr="00BF3FA7">
        <w:rPr>
          <w:rFonts w:ascii="Times New Roman" w:hAnsi="Times New Roman" w:cs="Times New Roman"/>
          <w:sz w:val="24"/>
          <w:szCs w:val="24"/>
        </w:rPr>
        <w:t xml:space="preserve">it has </w:t>
      </w:r>
      <w:commentRangeStart w:id="6"/>
      <w:r w:rsidR="00B71E1E" w:rsidRPr="00BF3FA7">
        <w:rPr>
          <w:rFonts w:ascii="Times New Roman" w:hAnsi="Times New Roman" w:cs="Times New Roman"/>
          <w:sz w:val="24"/>
          <w:szCs w:val="24"/>
        </w:rPr>
        <w:t>b</w:t>
      </w:r>
      <w:r w:rsidR="00FE313D" w:rsidRPr="00BF3FA7">
        <w:rPr>
          <w:rFonts w:ascii="Times New Roman" w:hAnsi="Times New Roman" w:cs="Times New Roman"/>
          <w:sz w:val="24"/>
          <w:szCs w:val="24"/>
        </w:rPr>
        <w:t>e</w:t>
      </w:r>
      <w:r w:rsidR="00B71E1E" w:rsidRPr="00BF3FA7">
        <w:rPr>
          <w:rFonts w:ascii="Times New Roman" w:hAnsi="Times New Roman" w:cs="Times New Roman"/>
          <w:sz w:val="24"/>
          <w:szCs w:val="24"/>
        </w:rPr>
        <w:t xml:space="preserve">en proven to be protective effect against </w:t>
      </w:r>
      <w:commentRangeEnd w:id="6"/>
      <w:r w:rsidR="004C4456">
        <w:rPr>
          <w:rStyle w:val="CommentReference"/>
        </w:rPr>
        <w:commentReference w:id="6"/>
      </w:r>
      <w:r w:rsidR="00B71E1E" w:rsidRPr="00BF3FA7">
        <w:rPr>
          <w:rFonts w:ascii="Times New Roman" w:hAnsi="Times New Roman" w:cs="Times New Roman"/>
          <w:sz w:val="24"/>
          <w:szCs w:val="24"/>
        </w:rPr>
        <w:t xml:space="preserve">pentylenetetrazol (PTZ) </w:t>
      </w:r>
      <w:r w:rsidR="00843473" w:rsidRPr="00BF3FA7">
        <w:rPr>
          <w:rFonts w:ascii="Times New Roman" w:hAnsi="Times New Roman" w:cs="Times New Roman"/>
          <w:sz w:val="24"/>
          <w:szCs w:val="24"/>
        </w:rPr>
        <w:t>(</w:t>
      </w:r>
      <w:r w:rsidR="00B71E1E" w:rsidRPr="00BF3FA7">
        <w:rPr>
          <w:rFonts w:ascii="Times New Roman" w:hAnsi="Times New Roman" w:cs="Times New Roman"/>
          <w:sz w:val="24"/>
          <w:szCs w:val="24"/>
        </w:rPr>
        <w:t>kindling-induced neuronal loss and learning deficit</w:t>
      </w:r>
      <w:commentRangeStart w:id="7"/>
      <w:r w:rsidR="00843473" w:rsidRPr="00BF3FA7">
        <w:rPr>
          <w:rFonts w:ascii="Times New Roman" w:hAnsi="Times New Roman" w:cs="Times New Roman"/>
          <w:sz w:val="24"/>
          <w:szCs w:val="24"/>
        </w:rPr>
        <w:t>)(1</w:t>
      </w:r>
      <w:commentRangeEnd w:id="7"/>
      <w:r w:rsidR="0091467E">
        <w:rPr>
          <w:rStyle w:val="CommentReference"/>
        </w:rPr>
        <w:commentReference w:id="7"/>
      </w:r>
      <w:r w:rsidR="00843473" w:rsidRPr="00BF3FA7">
        <w:rPr>
          <w:rFonts w:ascii="Times New Roman" w:hAnsi="Times New Roman" w:cs="Times New Roman"/>
          <w:sz w:val="24"/>
          <w:szCs w:val="24"/>
        </w:rPr>
        <w:t xml:space="preserve">0,12). Though, it lacks anticonvulsant activity </w:t>
      </w:r>
      <w:r w:rsidR="00B71E1E" w:rsidRPr="00BF3FA7">
        <w:rPr>
          <w:rFonts w:ascii="Times New Roman" w:hAnsi="Times New Roman" w:cs="Times New Roman"/>
          <w:sz w:val="24"/>
          <w:szCs w:val="24"/>
        </w:rPr>
        <w:t xml:space="preserve">in the MES model </w:t>
      </w:r>
      <w:r w:rsidR="00843473" w:rsidRPr="00BF3FA7">
        <w:rPr>
          <w:rFonts w:ascii="Times New Roman" w:hAnsi="Times New Roman" w:cs="Times New Roman"/>
          <w:sz w:val="24"/>
          <w:szCs w:val="24"/>
        </w:rPr>
        <w:t>(7). However,</w:t>
      </w:r>
      <w:r w:rsidR="00866505" w:rsidRPr="00BF3FA7">
        <w:rPr>
          <w:rFonts w:ascii="Times New Roman" w:hAnsi="Times New Roman" w:cs="Times New Roman"/>
          <w:sz w:val="24"/>
          <w:szCs w:val="24"/>
        </w:rPr>
        <w:t xml:space="preserve"> </w:t>
      </w:r>
      <w:r w:rsidR="00843473" w:rsidRPr="00BF3FA7">
        <w:rPr>
          <w:rFonts w:ascii="Times New Roman" w:hAnsi="Times New Roman" w:cs="Times New Roman"/>
          <w:sz w:val="24"/>
          <w:szCs w:val="24"/>
        </w:rPr>
        <w:t xml:space="preserve">notable neuroprotection is witnessed </w:t>
      </w:r>
      <w:r w:rsidR="00866505" w:rsidRPr="00BF3FA7">
        <w:rPr>
          <w:rFonts w:ascii="Times New Roman" w:hAnsi="Times New Roman" w:cs="Times New Roman"/>
          <w:sz w:val="24"/>
          <w:szCs w:val="24"/>
        </w:rPr>
        <w:t>experimentally (</w:t>
      </w:r>
      <w:r w:rsidR="00B71E1E" w:rsidRPr="00BF3FA7">
        <w:rPr>
          <w:rFonts w:ascii="Times New Roman" w:hAnsi="Times New Roman" w:cs="Times New Roman"/>
          <w:sz w:val="24"/>
          <w:szCs w:val="24"/>
        </w:rPr>
        <w:t>11</w:t>
      </w:r>
      <w:r w:rsidR="00866505" w:rsidRPr="00BF3FA7">
        <w:rPr>
          <w:rFonts w:ascii="Times New Roman" w:hAnsi="Times New Roman" w:cs="Times New Roman"/>
          <w:sz w:val="24"/>
          <w:szCs w:val="24"/>
        </w:rPr>
        <w:t>, 12</w:t>
      </w:r>
      <w:r w:rsidR="00B71E1E" w:rsidRPr="00BF3FA7">
        <w:rPr>
          <w:rFonts w:ascii="Times New Roman" w:hAnsi="Times New Roman" w:cs="Times New Roman"/>
          <w:sz w:val="24"/>
          <w:szCs w:val="24"/>
        </w:rPr>
        <w:t xml:space="preserve">). </w:t>
      </w:r>
      <w:proofErr w:type="gramStart"/>
      <w:r w:rsidR="00B71E1E" w:rsidRPr="00BF3FA7">
        <w:rPr>
          <w:rFonts w:ascii="Times New Roman" w:hAnsi="Times New Roman" w:cs="Times New Roman"/>
          <w:sz w:val="24"/>
          <w:szCs w:val="24"/>
        </w:rPr>
        <w:t>Thus</w:t>
      </w:r>
      <w:proofErr w:type="gramEnd"/>
      <w:r w:rsidR="00B71E1E" w:rsidRPr="00BF3FA7">
        <w:rPr>
          <w:rFonts w:ascii="Times New Roman" w:hAnsi="Times New Roman" w:cs="Times New Roman"/>
          <w:sz w:val="24"/>
          <w:szCs w:val="24"/>
        </w:rPr>
        <w:t xml:space="preserve"> by various experimental procedures it revealed that PIM is an effective nootropic agent that coun</w:t>
      </w:r>
      <w:r w:rsidR="00843473" w:rsidRPr="00BF3FA7">
        <w:rPr>
          <w:rFonts w:ascii="Times New Roman" w:hAnsi="Times New Roman" w:cs="Times New Roman"/>
          <w:sz w:val="24"/>
          <w:szCs w:val="24"/>
        </w:rPr>
        <w:t>teracts impairment caused by ADEs.</w:t>
      </w:r>
      <w:r w:rsidR="006118E6" w:rsidRPr="00BF3FA7">
        <w:rPr>
          <w:rFonts w:ascii="Times New Roman" w:hAnsi="Times New Roman" w:cs="Times New Roman"/>
          <w:sz w:val="24"/>
          <w:szCs w:val="24"/>
        </w:rPr>
        <w:t xml:space="preserve"> A</w:t>
      </w:r>
      <w:r w:rsidR="00B71E1E" w:rsidRPr="00BF3FA7">
        <w:rPr>
          <w:rFonts w:ascii="Times New Roman" w:hAnsi="Times New Roman" w:cs="Times New Roman"/>
          <w:sz w:val="24"/>
          <w:szCs w:val="24"/>
        </w:rPr>
        <w:t xml:space="preserve">mong the all occurring </w:t>
      </w:r>
      <w:commentRangeStart w:id="8"/>
      <w:r w:rsidR="006118E6" w:rsidRPr="00BF3FA7">
        <w:rPr>
          <w:rFonts w:ascii="Times New Roman" w:hAnsi="Times New Roman" w:cs="Times New Roman"/>
          <w:sz w:val="24"/>
          <w:szCs w:val="24"/>
        </w:rPr>
        <w:t xml:space="preserve">flavonoids </w:t>
      </w:r>
      <w:proofErr w:type="spellStart"/>
      <w:r w:rsidR="00B71E1E" w:rsidRPr="00BF3FA7">
        <w:rPr>
          <w:rFonts w:ascii="Times New Roman" w:hAnsi="Times New Roman" w:cs="Times New Roman"/>
          <w:sz w:val="24"/>
          <w:szCs w:val="24"/>
        </w:rPr>
        <w:t>phtochemicals</w:t>
      </w:r>
      <w:proofErr w:type="spellEnd"/>
      <w:r w:rsidR="00B71E1E" w:rsidRPr="00BF3FA7">
        <w:rPr>
          <w:rFonts w:ascii="Times New Roman" w:hAnsi="Times New Roman" w:cs="Times New Roman"/>
          <w:sz w:val="24"/>
          <w:szCs w:val="24"/>
        </w:rPr>
        <w:t xml:space="preserve"> </w:t>
      </w:r>
      <w:commentRangeEnd w:id="8"/>
      <w:r w:rsidR="004C4456">
        <w:rPr>
          <w:rStyle w:val="CommentReference"/>
        </w:rPr>
        <w:commentReference w:id="8"/>
      </w:r>
      <w:r w:rsidR="00B71E1E" w:rsidRPr="00BF3FA7">
        <w:rPr>
          <w:rFonts w:ascii="Times New Roman" w:hAnsi="Times New Roman" w:cs="Times New Roman"/>
          <w:sz w:val="24"/>
          <w:szCs w:val="24"/>
        </w:rPr>
        <w:t xml:space="preserve">have been the main area of interest for the research scholars. </w:t>
      </w:r>
      <w:proofErr w:type="spellStart"/>
      <w:r w:rsidR="00B71E1E" w:rsidRPr="00BF3FA7">
        <w:rPr>
          <w:rFonts w:ascii="Times New Roman" w:hAnsi="Times New Roman" w:cs="Times New Roman"/>
          <w:sz w:val="24"/>
          <w:szCs w:val="24"/>
        </w:rPr>
        <w:t>Rutin</w:t>
      </w:r>
      <w:proofErr w:type="spellEnd"/>
      <w:r w:rsidR="00B71E1E" w:rsidRPr="00BF3FA7">
        <w:rPr>
          <w:rFonts w:ascii="Times New Roman" w:hAnsi="Times New Roman" w:cs="Times New Roman"/>
          <w:sz w:val="24"/>
          <w:szCs w:val="24"/>
        </w:rPr>
        <w:t xml:space="preserve"> is a naturally occurring </w:t>
      </w:r>
      <w:commentRangeStart w:id="9"/>
      <w:r w:rsidR="00B71E1E" w:rsidRPr="00BF3FA7">
        <w:rPr>
          <w:rFonts w:ascii="Times New Roman" w:hAnsi="Times New Roman" w:cs="Times New Roman"/>
          <w:sz w:val="24"/>
          <w:szCs w:val="24"/>
        </w:rPr>
        <w:t>flavonoids</w:t>
      </w:r>
      <w:commentRangeEnd w:id="9"/>
      <w:r w:rsidR="004C4456">
        <w:rPr>
          <w:rStyle w:val="CommentReference"/>
        </w:rPr>
        <w:commentReference w:id="9"/>
      </w:r>
      <w:r w:rsidR="00B71E1E" w:rsidRPr="00BF3FA7">
        <w:rPr>
          <w:rFonts w:ascii="Times New Roman" w:hAnsi="Times New Roman" w:cs="Times New Roman"/>
          <w:sz w:val="24"/>
          <w:szCs w:val="24"/>
        </w:rPr>
        <w:t xml:space="preserve"> having various pharmacological activity like Studies have shown that </w:t>
      </w:r>
      <w:proofErr w:type="spellStart"/>
      <w:r w:rsidR="00B71E1E" w:rsidRPr="00BF3FA7">
        <w:rPr>
          <w:rFonts w:ascii="Times New Roman" w:hAnsi="Times New Roman" w:cs="Times New Roman"/>
          <w:sz w:val="24"/>
          <w:szCs w:val="24"/>
        </w:rPr>
        <w:t>rutin</w:t>
      </w:r>
      <w:proofErr w:type="spellEnd"/>
      <w:r w:rsidR="00B71E1E" w:rsidRPr="00BF3FA7">
        <w:rPr>
          <w:rFonts w:ascii="Times New Roman" w:hAnsi="Times New Roman" w:cs="Times New Roman"/>
          <w:sz w:val="24"/>
          <w:szCs w:val="24"/>
        </w:rPr>
        <w:t xml:space="preserve"> scavenge free radicals, (13, 14) suppresses cellular immunity, (15) anti-inflammatory effect (16) as well as anti-carcinogenic (16, 17) and antimicrobial [18] potential. Apart from </w:t>
      </w:r>
      <w:r w:rsidR="00C81829" w:rsidRPr="00BF3FA7">
        <w:rPr>
          <w:rFonts w:ascii="Times New Roman" w:hAnsi="Times New Roman" w:cs="Times New Roman"/>
          <w:sz w:val="24"/>
          <w:szCs w:val="24"/>
        </w:rPr>
        <w:t xml:space="preserve">these it has also proven to be </w:t>
      </w:r>
      <w:r w:rsidR="00B71E1E" w:rsidRPr="00BF3FA7">
        <w:rPr>
          <w:rFonts w:ascii="Times New Roman" w:hAnsi="Times New Roman" w:cs="Times New Roman"/>
          <w:sz w:val="24"/>
          <w:szCs w:val="24"/>
        </w:rPr>
        <w:t>nootropic in n-number of studies</w:t>
      </w:r>
      <w:r w:rsidR="00C81829"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(19-25</w:t>
      </w:r>
      <w:proofErr w:type="gramStart"/>
      <w:r w:rsidR="00B71E1E" w:rsidRPr="00BF3FA7">
        <w:rPr>
          <w:rFonts w:ascii="Times New Roman" w:hAnsi="Times New Roman" w:cs="Times New Roman"/>
          <w:sz w:val="24"/>
          <w:szCs w:val="24"/>
        </w:rPr>
        <w:t>).</w:t>
      </w:r>
      <w:commentRangeStart w:id="10"/>
      <w:r w:rsidR="00B71E1E" w:rsidRPr="00BF3FA7">
        <w:rPr>
          <w:rFonts w:ascii="Times New Roman" w:hAnsi="Times New Roman" w:cs="Times New Roman"/>
          <w:sz w:val="24"/>
          <w:szCs w:val="24"/>
        </w:rPr>
        <w:t>Thus</w:t>
      </w:r>
      <w:commentRangeEnd w:id="10"/>
      <w:proofErr w:type="gramEnd"/>
      <w:r w:rsidR="00984018">
        <w:rPr>
          <w:rStyle w:val="CommentReference"/>
        </w:rPr>
        <w:commentReference w:id="10"/>
      </w:r>
      <w:r w:rsidR="00B71E1E" w:rsidRPr="00BF3FA7">
        <w:rPr>
          <w:rFonts w:ascii="Times New Roman" w:hAnsi="Times New Roman" w:cs="Times New Roman"/>
          <w:sz w:val="24"/>
          <w:szCs w:val="24"/>
        </w:rPr>
        <w:t xml:space="preserve"> it would be remunerative to appraise the use of </w:t>
      </w:r>
      <w:proofErr w:type="spellStart"/>
      <w:r w:rsidR="00B71E1E" w:rsidRPr="00BF3FA7">
        <w:rPr>
          <w:rFonts w:ascii="Times New Roman" w:hAnsi="Times New Roman" w:cs="Times New Roman"/>
          <w:sz w:val="24"/>
          <w:szCs w:val="24"/>
        </w:rPr>
        <w:t>rutin</w:t>
      </w:r>
      <w:proofErr w:type="spellEnd"/>
      <w:r w:rsidR="00B71E1E" w:rsidRPr="00BF3FA7">
        <w:rPr>
          <w:rFonts w:ascii="Times New Roman" w:hAnsi="Times New Roman" w:cs="Times New Roman"/>
          <w:sz w:val="24"/>
          <w:szCs w:val="24"/>
        </w:rPr>
        <w:t xml:space="preserve"> with PHT on seizure and cognitive functions. </w:t>
      </w:r>
      <w:proofErr w:type="gramStart"/>
      <w:r w:rsidR="00B71E1E" w:rsidRPr="00BF3FA7">
        <w:rPr>
          <w:rFonts w:ascii="Times New Roman" w:hAnsi="Times New Roman" w:cs="Times New Roman"/>
          <w:sz w:val="24"/>
          <w:szCs w:val="24"/>
        </w:rPr>
        <w:t>Thus</w:t>
      </w:r>
      <w:proofErr w:type="gramEnd"/>
      <w:r w:rsidR="00B71E1E" w:rsidRPr="00BF3FA7">
        <w:rPr>
          <w:rFonts w:ascii="Times New Roman" w:hAnsi="Times New Roman" w:cs="Times New Roman"/>
          <w:sz w:val="24"/>
          <w:szCs w:val="24"/>
        </w:rPr>
        <w:t xml:space="preserve"> the aim of present study was study the effect of co</w:t>
      </w:r>
      <w:r w:rsidR="00C81829" w:rsidRPr="00BF3FA7">
        <w:rPr>
          <w:rFonts w:ascii="Times New Roman" w:hAnsi="Times New Roman" w:cs="Times New Roman"/>
          <w:sz w:val="24"/>
          <w:szCs w:val="24"/>
        </w:rPr>
        <w:t xml:space="preserve">mbination of </w:t>
      </w:r>
      <w:proofErr w:type="spellStart"/>
      <w:r w:rsidR="00C81829" w:rsidRPr="00BF3FA7">
        <w:rPr>
          <w:rFonts w:ascii="Times New Roman" w:hAnsi="Times New Roman" w:cs="Times New Roman"/>
          <w:sz w:val="24"/>
          <w:szCs w:val="24"/>
        </w:rPr>
        <w:t>rutin</w:t>
      </w:r>
      <w:proofErr w:type="spellEnd"/>
      <w:r w:rsidR="00C81829" w:rsidRPr="00BF3FA7">
        <w:rPr>
          <w:rFonts w:ascii="Times New Roman" w:hAnsi="Times New Roman" w:cs="Times New Roman"/>
          <w:sz w:val="24"/>
          <w:szCs w:val="24"/>
        </w:rPr>
        <w:t xml:space="preserve"> and Levetiracetam</w:t>
      </w:r>
      <w:r w:rsidR="00B71E1E" w:rsidRPr="00BF3FA7">
        <w:rPr>
          <w:rFonts w:ascii="Times New Roman" w:hAnsi="Times New Roman" w:cs="Times New Roman"/>
          <w:sz w:val="24"/>
          <w:szCs w:val="24"/>
        </w:rPr>
        <w:t xml:space="preserve"> on brain cholinergic system in </w:t>
      </w:r>
      <w:r w:rsidR="00866505" w:rsidRPr="00BF3FA7">
        <w:rPr>
          <w:rFonts w:ascii="Times New Roman" w:hAnsi="Times New Roman" w:cs="Times New Roman"/>
          <w:sz w:val="24"/>
          <w:szCs w:val="24"/>
        </w:rPr>
        <w:t>comparison</w:t>
      </w:r>
      <w:r w:rsidR="00B71E1E" w:rsidRPr="00BF3FA7">
        <w:rPr>
          <w:rFonts w:ascii="Times New Roman" w:hAnsi="Times New Roman" w:cs="Times New Roman"/>
          <w:sz w:val="24"/>
          <w:szCs w:val="24"/>
        </w:rPr>
        <w:t xml:space="preserve"> with the effect seen by the combin</w:t>
      </w:r>
      <w:r w:rsidR="00C81829" w:rsidRPr="00BF3FA7">
        <w:rPr>
          <w:rFonts w:ascii="Times New Roman" w:hAnsi="Times New Roman" w:cs="Times New Roman"/>
          <w:sz w:val="24"/>
          <w:szCs w:val="24"/>
        </w:rPr>
        <w:t xml:space="preserve">ation of piracetam and Levetiracetam. </w:t>
      </w:r>
    </w:p>
    <w:p w14:paraId="0F8C79CE" w14:textId="77777777" w:rsidR="00B71E1E" w:rsidRPr="003D1886" w:rsidRDefault="00B71E1E" w:rsidP="00B71E1E">
      <w:pPr>
        <w:jc w:val="both"/>
        <w:rPr>
          <w:rFonts w:ascii="Times New Roman" w:hAnsi="Times New Roman" w:cs="Times New Roman"/>
          <w:sz w:val="28"/>
          <w:szCs w:val="28"/>
        </w:rPr>
      </w:pPr>
    </w:p>
    <w:p w14:paraId="1B2993E7"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MATERIAL AND METHODS</w:t>
      </w:r>
    </w:p>
    <w:p w14:paraId="251BC402" w14:textId="77777777" w:rsidR="00B71E1E"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Animals</w:t>
      </w:r>
    </w:p>
    <w:p w14:paraId="0CC191F7" w14:textId="77777777" w:rsidR="00EA03ED" w:rsidRPr="00EA03ED" w:rsidRDefault="00EA03ED" w:rsidP="00EA03ED">
      <w:pPr>
        <w:jc w:val="both"/>
        <w:rPr>
          <w:rFonts w:ascii="Times New Roman" w:hAnsi="Times New Roman" w:cs="Times New Roman"/>
          <w:bCs/>
          <w:sz w:val="24"/>
          <w:szCs w:val="24"/>
          <w:lang w:val="en-IN"/>
        </w:rPr>
      </w:pPr>
      <w:r w:rsidRPr="00EA03ED">
        <w:rPr>
          <w:rFonts w:ascii="Times New Roman" w:hAnsi="Times New Roman" w:cs="Times New Roman"/>
          <w:bCs/>
          <w:sz w:val="24"/>
          <w:szCs w:val="24"/>
          <w:lang w:val="en-IN"/>
        </w:rPr>
        <w:t xml:space="preserve">Swiss albino mice weighing 24–34 g </w:t>
      </w:r>
      <w:proofErr w:type="gramStart"/>
      <w:r w:rsidRPr="00EA03ED">
        <w:rPr>
          <w:rFonts w:ascii="Times New Roman" w:hAnsi="Times New Roman" w:cs="Times New Roman"/>
          <w:bCs/>
          <w:sz w:val="24"/>
          <w:szCs w:val="24"/>
          <w:lang w:val="en-IN"/>
        </w:rPr>
        <w:t>were</w:t>
      </w:r>
      <w:proofErr w:type="gramEnd"/>
      <w:r w:rsidRPr="00EA03ED">
        <w:rPr>
          <w:rFonts w:ascii="Times New Roman" w:hAnsi="Times New Roman" w:cs="Times New Roman"/>
          <w:bCs/>
          <w:sz w:val="24"/>
          <w:szCs w:val="24"/>
          <w:lang w:val="en-IN"/>
        </w:rPr>
        <w:t xml:space="preserve"> kept in cages in groups of 10 at 23–300 C with a natural light-dark cycle, and they were given free access to tap water and a standard pellet diet. The study was approved by the CPCSEA Ethics Committee (project no. 64, Nov. 2001), and all experimental procedures were conducted strictly in accordance with ethical standards.</w:t>
      </w:r>
    </w:p>
    <w:p w14:paraId="40B8023A"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Drugs and dosing schedules </w:t>
      </w:r>
    </w:p>
    <w:p w14:paraId="6E3A4D00" w14:textId="05FFA992" w:rsidR="00B71E1E" w:rsidRPr="00BF3FA7" w:rsidRDefault="00BF3FA7" w:rsidP="00B71E1E">
      <w:pPr>
        <w:jc w:val="both"/>
        <w:rPr>
          <w:rFonts w:ascii="Times New Roman" w:hAnsi="Times New Roman" w:cs="Times New Roman"/>
          <w:sz w:val="24"/>
          <w:szCs w:val="24"/>
          <w:lang w:val="en-IN"/>
        </w:rPr>
      </w:pPr>
      <w:r w:rsidRPr="00BF3FA7">
        <w:rPr>
          <w:rFonts w:ascii="Times New Roman" w:hAnsi="Times New Roman" w:cs="Times New Roman"/>
          <w:sz w:val="24"/>
          <w:szCs w:val="24"/>
          <w:lang w:val="en-IN"/>
        </w:rPr>
        <w:t xml:space="preserve">Two hours before each observation, </w:t>
      </w:r>
      <w:r w:rsidR="00B24AC5" w:rsidRPr="00BF3FA7">
        <w:rPr>
          <w:rFonts w:ascii="Times New Roman" w:hAnsi="Times New Roman" w:cs="Times New Roman"/>
          <w:sz w:val="24"/>
          <w:szCs w:val="24"/>
          <w:lang w:val="en-IN"/>
        </w:rPr>
        <w:t>levetiracetam</w:t>
      </w:r>
      <w:r w:rsidRPr="00BF3FA7">
        <w:rPr>
          <w:rFonts w:ascii="Times New Roman" w:hAnsi="Times New Roman" w:cs="Times New Roman"/>
          <w:sz w:val="24"/>
          <w:szCs w:val="24"/>
          <w:lang w:val="en-IN"/>
        </w:rPr>
        <w:t>, which is branded as "</w:t>
      </w:r>
      <w:proofErr w:type="spellStart"/>
      <w:r w:rsidRPr="00BF3FA7">
        <w:rPr>
          <w:rFonts w:ascii="Times New Roman" w:hAnsi="Times New Roman" w:cs="Times New Roman"/>
          <w:sz w:val="24"/>
          <w:szCs w:val="24"/>
          <w:lang w:val="en-IN"/>
        </w:rPr>
        <w:t>Levroxa</w:t>
      </w:r>
      <w:proofErr w:type="spellEnd"/>
      <w:r w:rsidRPr="00BF3FA7">
        <w:rPr>
          <w:rFonts w:ascii="Times New Roman" w:hAnsi="Times New Roman" w:cs="Times New Roman"/>
          <w:sz w:val="24"/>
          <w:szCs w:val="24"/>
          <w:lang w:val="en-IN"/>
        </w:rPr>
        <w:t xml:space="preserve">" (injection), was administered intravenously in doses of 8, 12, and 22 mg/kg body weight in a volume of 10 ml/kg body weight (26). Piracetam, the nootropic standard (also known as "Nootropic" syrup), was administered orally in doses of 125, 250, and 500 mg/kg body weight in a volume of 10 ml/kg body weight one hour before each trial. The same protocol was used for </w:t>
      </w:r>
      <w:proofErr w:type="spellStart"/>
      <w:r w:rsidRPr="00BF3FA7">
        <w:rPr>
          <w:rFonts w:ascii="Times New Roman" w:hAnsi="Times New Roman" w:cs="Times New Roman"/>
          <w:sz w:val="24"/>
          <w:szCs w:val="24"/>
          <w:lang w:val="en-IN"/>
        </w:rPr>
        <w:t>rutin</w:t>
      </w:r>
      <w:proofErr w:type="spellEnd"/>
      <w:r w:rsidRPr="00BF3FA7">
        <w:rPr>
          <w:rFonts w:ascii="Times New Roman" w:hAnsi="Times New Roman" w:cs="Times New Roman"/>
          <w:sz w:val="24"/>
          <w:szCs w:val="24"/>
          <w:lang w:val="en-IN"/>
        </w:rPr>
        <w:t xml:space="preserve">. Distilled water in a volume of 10 </w:t>
      </w:r>
      <w:proofErr w:type="spellStart"/>
      <w:r w:rsidRPr="00BF3FA7">
        <w:rPr>
          <w:rFonts w:ascii="Times New Roman" w:hAnsi="Times New Roman" w:cs="Times New Roman"/>
          <w:sz w:val="24"/>
          <w:szCs w:val="24"/>
          <w:lang w:val="en-IN"/>
        </w:rPr>
        <w:t>milliliters</w:t>
      </w:r>
      <w:proofErr w:type="spellEnd"/>
      <w:r w:rsidRPr="00BF3FA7">
        <w:rPr>
          <w:rFonts w:ascii="Times New Roman" w:hAnsi="Times New Roman" w:cs="Times New Roman"/>
          <w:sz w:val="24"/>
          <w:szCs w:val="24"/>
          <w:lang w:val="en-IN"/>
        </w:rPr>
        <w:t xml:space="preserve"> per kilogram of body weight was administered to control groups. For 21 days, </w:t>
      </w:r>
      <w:commentRangeStart w:id="11"/>
      <w:commentRangeStart w:id="12"/>
      <w:r w:rsidRPr="00BF3FA7">
        <w:rPr>
          <w:rFonts w:ascii="Times New Roman" w:hAnsi="Times New Roman" w:cs="Times New Roman"/>
          <w:sz w:val="24"/>
          <w:szCs w:val="24"/>
          <w:lang w:val="en-IN"/>
        </w:rPr>
        <w:t xml:space="preserve">chronic studies </w:t>
      </w:r>
      <w:commentRangeEnd w:id="11"/>
      <w:r w:rsidR="00BE40B9">
        <w:rPr>
          <w:rStyle w:val="CommentReference"/>
        </w:rPr>
        <w:commentReference w:id="11"/>
      </w:r>
      <w:commentRangeEnd w:id="12"/>
      <w:r w:rsidR="00FA2746">
        <w:rPr>
          <w:rStyle w:val="CommentReference"/>
        </w:rPr>
        <w:commentReference w:id="12"/>
      </w:r>
      <w:r w:rsidRPr="00BF3FA7">
        <w:rPr>
          <w:rFonts w:ascii="Times New Roman" w:hAnsi="Times New Roman" w:cs="Times New Roman"/>
          <w:sz w:val="24"/>
          <w:szCs w:val="24"/>
          <w:lang w:val="en-IN"/>
        </w:rPr>
        <w:t xml:space="preserve">were conducted. After administering </w:t>
      </w:r>
      <w:r w:rsidR="00B24AC5" w:rsidRPr="00BF3FA7">
        <w:rPr>
          <w:rFonts w:ascii="Times New Roman" w:hAnsi="Times New Roman" w:cs="Times New Roman"/>
          <w:sz w:val="24"/>
          <w:szCs w:val="24"/>
          <w:lang w:val="en-IN"/>
        </w:rPr>
        <w:t>levetiracetam</w:t>
      </w:r>
      <w:r w:rsidRPr="00BF3FA7">
        <w:rPr>
          <w:rFonts w:ascii="Times New Roman" w:hAnsi="Times New Roman" w:cs="Times New Roman"/>
          <w:sz w:val="24"/>
          <w:szCs w:val="24"/>
          <w:lang w:val="en-IN"/>
        </w:rPr>
        <w:t xml:space="preserve"> for two hours and piracetam for one hour, all observations were made on day twenty-one. </w:t>
      </w:r>
      <w:commentRangeStart w:id="13"/>
      <w:r w:rsidRPr="00BF3FA7">
        <w:rPr>
          <w:rFonts w:ascii="Times New Roman" w:hAnsi="Times New Roman" w:cs="Times New Roman"/>
          <w:sz w:val="24"/>
          <w:szCs w:val="24"/>
          <w:lang w:val="en-IN"/>
        </w:rPr>
        <w:t>In long-term research</w:t>
      </w:r>
      <w:commentRangeEnd w:id="13"/>
      <w:r w:rsidR="00BE40B9">
        <w:rPr>
          <w:rStyle w:val="CommentReference"/>
        </w:rPr>
        <w:commentReference w:id="13"/>
      </w:r>
      <w:r w:rsidRPr="00BF3FA7">
        <w:rPr>
          <w:rFonts w:ascii="Times New Roman" w:hAnsi="Times New Roman" w:cs="Times New Roman"/>
          <w:sz w:val="24"/>
          <w:szCs w:val="24"/>
          <w:lang w:val="en-IN"/>
        </w:rPr>
        <w:t>, medications were given between 10 and 12 a.m.</w:t>
      </w:r>
      <w:r w:rsidR="00C81829"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26).</w:t>
      </w:r>
    </w:p>
    <w:p w14:paraId="4DA8E259"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lastRenderedPageBreak/>
        <w:t>Increasing Current Electroshock Seizures (ICES)</w:t>
      </w:r>
    </w:p>
    <w:p w14:paraId="1B975D4D" w14:textId="77777777" w:rsidR="00BF3FA7" w:rsidRPr="00BF3FA7" w:rsidRDefault="00BF3FA7" w:rsidP="00BF3FA7">
      <w:pPr>
        <w:jc w:val="both"/>
        <w:rPr>
          <w:rFonts w:ascii="Times New Roman" w:hAnsi="Times New Roman" w:cs="Times New Roman"/>
          <w:sz w:val="24"/>
          <w:szCs w:val="24"/>
          <w:lang w:val="en-IN"/>
        </w:rPr>
      </w:pPr>
      <w:r w:rsidRPr="00BF3FA7">
        <w:rPr>
          <w:rFonts w:ascii="Times New Roman" w:hAnsi="Times New Roman" w:cs="Times New Roman"/>
          <w:sz w:val="24"/>
          <w:szCs w:val="24"/>
          <w:lang w:val="en-IN"/>
        </w:rPr>
        <w:t xml:space="preserve">To evaluate the anticonvulsant impact of the medications ICES, the methodology presented by Kitano et al. (27) and modified by </w:t>
      </w:r>
      <w:proofErr w:type="spellStart"/>
      <w:r w:rsidRPr="00BF3FA7">
        <w:rPr>
          <w:rFonts w:ascii="Times New Roman" w:hAnsi="Times New Roman" w:cs="Times New Roman"/>
          <w:sz w:val="24"/>
          <w:szCs w:val="24"/>
          <w:lang w:val="en-IN"/>
        </w:rPr>
        <w:t>Marwah</w:t>
      </w:r>
      <w:proofErr w:type="spellEnd"/>
      <w:r w:rsidRPr="00BF3FA7">
        <w:rPr>
          <w:rFonts w:ascii="Times New Roman" w:hAnsi="Times New Roman" w:cs="Times New Roman"/>
          <w:sz w:val="24"/>
          <w:szCs w:val="24"/>
          <w:lang w:val="en-IN"/>
        </w:rPr>
        <w:t xml:space="preserve"> et al. (28) was employed. Using an </w:t>
      </w:r>
      <w:proofErr w:type="spellStart"/>
      <w:r w:rsidRPr="00BF3FA7">
        <w:rPr>
          <w:rFonts w:ascii="Times New Roman" w:hAnsi="Times New Roman" w:cs="Times New Roman"/>
          <w:sz w:val="24"/>
          <w:szCs w:val="24"/>
          <w:lang w:val="en-IN"/>
        </w:rPr>
        <w:t>electroconvulsometer</w:t>
      </w:r>
      <w:proofErr w:type="spellEnd"/>
      <w:r w:rsidRPr="00BF3FA7">
        <w:rPr>
          <w:rFonts w:ascii="Times New Roman" w:hAnsi="Times New Roman" w:cs="Times New Roman"/>
          <w:sz w:val="24"/>
          <w:szCs w:val="24"/>
          <w:lang w:val="en-IN"/>
        </w:rPr>
        <w:t>, a single train of pulses with a linearly rising strength of 2 mA / 2 sec was first administered to each mouse via ear electrodes at a current of 2 mA. This was done for 0.2 seconds. The seizure threshold current (STC) was defined as the current at which tonic Hind Limb Extension (HLE) appeared. Electroshock was stopped when a current of 30 mA showed no tonic HLE.</w:t>
      </w:r>
    </w:p>
    <w:p w14:paraId="1F6931CB" w14:textId="77777777" w:rsidR="00B71E1E" w:rsidRPr="003D1886" w:rsidRDefault="00C81829" w:rsidP="00B71E1E">
      <w:pPr>
        <w:jc w:val="both"/>
        <w:rPr>
          <w:rFonts w:ascii="Times New Roman" w:hAnsi="Times New Roman" w:cs="Times New Roman"/>
          <w:b/>
          <w:sz w:val="28"/>
          <w:szCs w:val="28"/>
        </w:rPr>
      </w:pPr>
      <w:r>
        <w:rPr>
          <w:rFonts w:ascii="Times New Roman" w:hAnsi="Times New Roman" w:cs="Times New Roman"/>
          <w:b/>
          <w:sz w:val="28"/>
          <w:szCs w:val="28"/>
        </w:rPr>
        <w:t>Spontaneous Alteration</w:t>
      </w:r>
      <w:r w:rsidR="00B71E1E" w:rsidRPr="003D1886">
        <w:rPr>
          <w:rFonts w:ascii="Times New Roman" w:hAnsi="Times New Roman" w:cs="Times New Roman"/>
          <w:b/>
          <w:sz w:val="28"/>
          <w:szCs w:val="28"/>
        </w:rPr>
        <w:t xml:space="preserve"> Behavior (SAB) on a plus maze</w:t>
      </w:r>
    </w:p>
    <w:p w14:paraId="21A7FF8E" w14:textId="53E51C2B" w:rsidR="00B71E1E" w:rsidRPr="008D0FA6" w:rsidRDefault="00BF3FA7" w:rsidP="00B71E1E">
      <w:pPr>
        <w:jc w:val="both"/>
        <w:rPr>
          <w:rFonts w:ascii="Times New Roman" w:hAnsi="Times New Roman" w:cs="Times New Roman"/>
          <w:sz w:val="28"/>
          <w:szCs w:val="28"/>
          <w:lang w:val="en-IN"/>
        </w:rPr>
      </w:pPr>
      <w:r w:rsidRPr="00BF3FA7">
        <w:rPr>
          <w:rFonts w:ascii="Times New Roman" w:hAnsi="Times New Roman" w:cs="Times New Roman"/>
          <w:sz w:val="24"/>
          <w:szCs w:val="24"/>
          <w:lang w:val="en-IN"/>
        </w:rPr>
        <w:t>The tendency of animals, even single-celled organisms, to switch between their non-reinforced (</w:t>
      </w:r>
      <w:proofErr w:type="spellStart"/>
      <w:r w:rsidRPr="00BF3FA7">
        <w:rPr>
          <w:rFonts w:ascii="Times New Roman" w:hAnsi="Times New Roman" w:cs="Times New Roman"/>
          <w:sz w:val="24"/>
          <w:szCs w:val="24"/>
          <w:lang w:val="en-IN"/>
        </w:rPr>
        <w:t>Dember</w:t>
      </w:r>
      <w:proofErr w:type="spellEnd"/>
      <w:r w:rsidRPr="00BF3FA7">
        <w:rPr>
          <w:rFonts w:ascii="Times New Roman" w:hAnsi="Times New Roman" w:cs="Times New Roman"/>
          <w:sz w:val="24"/>
          <w:szCs w:val="24"/>
          <w:lang w:val="en-IN"/>
        </w:rPr>
        <w:t xml:space="preserve"> &amp; Richman, 1989) choices of T- or Y-</w:t>
      </w:r>
      <w:proofErr w:type="spellStart"/>
      <w:r w:rsidRPr="00BF3FA7">
        <w:rPr>
          <w:rFonts w:ascii="Times New Roman" w:hAnsi="Times New Roman" w:cs="Times New Roman"/>
          <w:sz w:val="24"/>
          <w:szCs w:val="24"/>
          <w:lang w:val="en-IN"/>
        </w:rPr>
        <w:t>maze</w:t>
      </w:r>
      <w:proofErr w:type="spellEnd"/>
      <w:r w:rsidRPr="00BF3FA7">
        <w:rPr>
          <w:rFonts w:ascii="Times New Roman" w:hAnsi="Times New Roman" w:cs="Times New Roman"/>
          <w:sz w:val="24"/>
          <w:szCs w:val="24"/>
          <w:lang w:val="en-IN"/>
        </w:rPr>
        <w:t xml:space="preserve"> arms on successive trials after an initial trial or turn is known as spontaneous alteration </w:t>
      </w:r>
      <w:proofErr w:type="spellStart"/>
      <w:r w:rsidRPr="00BF3FA7">
        <w:rPr>
          <w:rFonts w:ascii="Times New Roman" w:hAnsi="Times New Roman" w:cs="Times New Roman"/>
          <w:sz w:val="24"/>
          <w:szCs w:val="24"/>
          <w:lang w:val="en-IN"/>
        </w:rPr>
        <w:t>behavior</w:t>
      </w:r>
      <w:proofErr w:type="spellEnd"/>
      <w:r w:rsidRPr="00BF3FA7">
        <w:rPr>
          <w:rFonts w:ascii="Times New Roman" w:hAnsi="Times New Roman" w:cs="Times New Roman"/>
          <w:sz w:val="24"/>
          <w:szCs w:val="24"/>
          <w:lang w:val="en-IN"/>
        </w:rPr>
        <w:t xml:space="preserve"> (SAB). Alternation is a natural inclination in rodents. Nootropics change the </w:t>
      </w:r>
      <w:r w:rsidR="008D0FA6" w:rsidRPr="008D0FA6">
        <w:rPr>
          <w:rFonts w:ascii="Times New Roman" w:hAnsi="Times New Roman" w:cs="Times New Roman"/>
          <w:sz w:val="24"/>
          <w:szCs w:val="24"/>
          <w:lang w:val="en-IN"/>
        </w:rPr>
        <w:t>behaviour</w:t>
      </w:r>
      <w:r w:rsidRPr="00BF3FA7">
        <w:rPr>
          <w:rFonts w:ascii="Times New Roman" w:hAnsi="Times New Roman" w:cs="Times New Roman"/>
          <w:sz w:val="24"/>
          <w:szCs w:val="24"/>
          <w:lang w:val="en-IN"/>
        </w:rPr>
        <w:t xml:space="preserve"> impairment brought on by medications, and vice versa. Consequently, a shift in vacillation indicates better cognition, and vice versa. A plus maze was utilized to evaluate cognitive functioning in accordance with the protocol suggested by Itoh et al. (29) and </w:t>
      </w:r>
      <w:proofErr w:type="spellStart"/>
      <w:r w:rsidRPr="00BF3FA7">
        <w:rPr>
          <w:rFonts w:ascii="Times New Roman" w:hAnsi="Times New Roman" w:cs="Times New Roman"/>
          <w:sz w:val="24"/>
          <w:szCs w:val="24"/>
          <w:lang w:val="en-IN"/>
        </w:rPr>
        <w:t>Ragozzino</w:t>
      </w:r>
      <w:proofErr w:type="spellEnd"/>
      <w:r w:rsidRPr="00BF3FA7">
        <w:rPr>
          <w:rFonts w:ascii="Times New Roman" w:hAnsi="Times New Roman" w:cs="Times New Roman"/>
          <w:sz w:val="24"/>
          <w:szCs w:val="24"/>
          <w:lang w:val="en-IN"/>
        </w:rPr>
        <w:t xml:space="preserve"> et al. (30) for SAB.</w:t>
      </w:r>
      <w:r w:rsidR="008D0FA6" w:rsidRPr="008D0FA6">
        <w:rPr>
          <w:rFonts w:ascii="Times New Roman" w:hAnsi="Times New Roman" w:cs="Times New Roman"/>
          <w:sz w:val="24"/>
          <w:szCs w:val="24"/>
          <w:lang w:val="en-IN"/>
        </w:rPr>
        <w:t xml:space="preserve"> </w:t>
      </w:r>
      <w:r w:rsidRPr="00BF3FA7">
        <w:rPr>
          <w:rFonts w:ascii="Times New Roman" w:hAnsi="Times New Roman" w:cs="Times New Roman"/>
          <w:sz w:val="24"/>
          <w:szCs w:val="24"/>
          <w:lang w:val="en-IN"/>
        </w:rPr>
        <w:t xml:space="preserve">Made of wood, painted </w:t>
      </w:r>
      <w:r w:rsidR="008D0FA6" w:rsidRPr="008D0FA6">
        <w:rPr>
          <w:rFonts w:ascii="Times New Roman" w:hAnsi="Times New Roman" w:cs="Times New Roman"/>
          <w:sz w:val="24"/>
          <w:szCs w:val="24"/>
          <w:lang w:val="en-IN"/>
        </w:rPr>
        <w:t>grey</w:t>
      </w:r>
      <w:r w:rsidRPr="00BF3FA7">
        <w:rPr>
          <w:rFonts w:ascii="Times New Roman" w:hAnsi="Times New Roman" w:cs="Times New Roman"/>
          <w:sz w:val="24"/>
          <w:szCs w:val="24"/>
          <w:lang w:val="en-IN"/>
        </w:rPr>
        <w:t xml:space="preserve">, and standing 50 cm tall, the maze had four symmetrical arms (23.5 x 8 cm) with </w:t>
      </w:r>
      <w:proofErr w:type="gramStart"/>
      <w:r w:rsidRPr="00BF3FA7">
        <w:rPr>
          <w:rFonts w:ascii="Times New Roman" w:hAnsi="Times New Roman" w:cs="Times New Roman"/>
          <w:sz w:val="24"/>
          <w:szCs w:val="24"/>
          <w:lang w:val="en-IN"/>
        </w:rPr>
        <w:t xml:space="preserve">10 </w:t>
      </w:r>
      <w:r w:rsidR="008D0FA6" w:rsidRPr="008D0FA6">
        <w:rPr>
          <w:rFonts w:ascii="Times New Roman" w:hAnsi="Times New Roman" w:cs="Times New Roman"/>
          <w:sz w:val="24"/>
          <w:szCs w:val="24"/>
          <w:lang w:val="en-IN"/>
        </w:rPr>
        <w:t>centimetre</w:t>
      </w:r>
      <w:proofErr w:type="gramEnd"/>
      <w:r w:rsidRPr="00BF3FA7">
        <w:rPr>
          <w:rFonts w:ascii="Times New Roman" w:hAnsi="Times New Roman" w:cs="Times New Roman"/>
          <w:sz w:val="24"/>
          <w:szCs w:val="24"/>
          <w:lang w:val="en-IN"/>
        </w:rPr>
        <w:t xml:space="preserve"> walls and a central platform (8 x 8 cm). Mice were placed on the middle platform and allowed to roam freely. Over the course of five minutes of observation, the number of entries in each arm and their sequence were noted. Alternation was described as the entry into four distinct arms on overlapping quintuple </w:t>
      </w:r>
      <w:commentRangeStart w:id="14"/>
      <w:proofErr w:type="spellStart"/>
      <w:proofErr w:type="gramStart"/>
      <w:r w:rsidRPr="00BF3FA7">
        <w:rPr>
          <w:rFonts w:ascii="Times New Roman" w:hAnsi="Times New Roman" w:cs="Times New Roman"/>
          <w:sz w:val="24"/>
          <w:szCs w:val="24"/>
          <w:lang w:val="en-IN"/>
        </w:rPr>
        <w:t>sets.A</w:t>
      </w:r>
      <w:proofErr w:type="spellEnd"/>
      <w:proofErr w:type="gramEnd"/>
      <w:r w:rsidRPr="00BF3FA7">
        <w:rPr>
          <w:rFonts w:ascii="Times New Roman" w:hAnsi="Times New Roman" w:cs="Times New Roman"/>
          <w:sz w:val="24"/>
          <w:szCs w:val="24"/>
          <w:lang w:val="en-IN"/>
        </w:rPr>
        <w:t xml:space="preserve"> </w:t>
      </w:r>
      <w:commentRangeEnd w:id="14"/>
      <w:r w:rsidR="00984018">
        <w:rPr>
          <w:rStyle w:val="CommentReference"/>
        </w:rPr>
        <w:commentReference w:id="14"/>
      </w:r>
      <w:r w:rsidRPr="00BF3FA7">
        <w:rPr>
          <w:rFonts w:ascii="Times New Roman" w:hAnsi="Times New Roman" w:cs="Times New Roman"/>
          <w:sz w:val="24"/>
          <w:szCs w:val="24"/>
          <w:lang w:val="en-IN"/>
        </w:rPr>
        <w:t xml:space="preserve">quintuple set is made up of five consecutive arm options within the overall set of arm choices; for example, a quintuple set with the choices A, B, C, and B for arms was not regarded as an alternation (26). </w:t>
      </w:r>
    </w:p>
    <w:p w14:paraId="4503B703"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Following the above procedure percentage alternation was calculated as follows:</w:t>
      </w:r>
    </w:p>
    <w:p w14:paraId="3A90D26B"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Percentage alternation = Actual no. of alternation/Possible no. of alternation X 100</w:t>
      </w:r>
    </w:p>
    <w:p w14:paraId="60E53507"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Possible alternation = no. of arms entries –4</w:t>
      </w:r>
    </w:p>
    <w:p w14:paraId="5618EFA3" w14:textId="17768CF8"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The number of arm entries was also recorded separately to determine the motor influence on the observed effects</w:t>
      </w:r>
      <w:r w:rsidR="006B52E4" w:rsidRPr="008D0FA6">
        <w:rPr>
          <w:rFonts w:ascii="Times New Roman" w:hAnsi="Times New Roman" w:cs="Times New Roman"/>
          <w:sz w:val="24"/>
          <w:szCs w:val="24"/>
        </w:rPr>
        <w:t>. (</w:t>
      </w:r>
      <w:r w:rsidRPr="008D0FA6">
        <w:rPr>
          <w:rFonts w:ascii="Times New Roman" w:hAnsi="Times New Roman" w:cs="Times New Roman"/>
          <w:sz w:val="24"/>
          <w:szCs w:val="24"/>
        </w:rPr>
        <w:t>26)</w:t>
      </w:r>
    </w:p>
    <w:p w14:paraId="15AE11AA"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Rolling roller apparatus</w:t>
      </w:r>
    </w:p>
    <w:p w14:paraId="60E2FC0F" w14:textId="77777777" w:rsidR="008D0FA6" w:rsidRPr="008D0FA6" w:rsidRDefault="008D0FA6" w:rsidP="008D0FA6">
      <w:pPr>
        <w:jc w:val="both"/>
        <w:rPr>
          <w:rFonts w:ascii="Times New Roman" w:hAnsi="Times New Roman" w:cs="Times New Roman"/>
          <w:sz w:val="24"/>
          <w:szCs w:val="24"/>
          <w:lang w:val="en-IN"/>
        </w:rPr>
      </w:pPr>
      <w:r w:rsidRPr="008D0FA6">
        <w:rPr>
          <w:rFonts w:ascii="Times New Roman" w:hAnsi="Times New Roman" w:cs="Times New Roman"/>
          <w:sz w:val="24"/>
          <w:szCs w:val="24"/>
          <w:lang w:val="en-IN"/>
        </w:rPr>
        <w:t xml:space="preserve">The neurological impairment brought on by the medications was assessed using the methodology described by Dunham et al. (31). The animals were put on the roller, which was programmed to rotate at a rate of five revolutions per minute, and the testing period lasted one minute. Under typical circumstances, the animal can counterpoise itself for the duration. Therefore, the animal's </w:t>
      </w:r>
      <w:r w:rsidRPr="008D0FA6">
        <w:rPr>
          <w:rFonts w:ascii="Times New Roman" w:hAnsi="Times New Roman" w:cs="Times New Roman"/>
          <w:sz w:val="24"/>
          <w:szCs w:val="24"/>
          <w:lang w:val="en-IN"/>
        </w:rPr>
        <w:lastRenderedPageBreak/>
        <w:t>neurological deficiency was demonstrated by its inability to maintain equilibrium on the roller for a one-minute test period.</w:t>
      </w:r>
    </w:p>
    <w:p w14:paraId="5C67041C"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 Estimation of brain acetylcholinesterase (</w:t>
      </w:r>
      <w:proofErr w:type="spellStart"/>
      <w:r w:rsidRPr="003D1886">
        <w:rPr>
          <w:rFonts w:ascii="Times New Roman" w:hAnsi="Times New Roman" w:cs="Times New Roman"/>
          <w:b/>
          <w:sz w:val="28"/>
          <w:szCs w:val="28"/>
        </w:rPr>
        <w:t>AChE</w:t>
      </w:r>
      <w:proofErr w:type="spellEnd"/>
      <w:r w:rsidRPr="003D1886">
        <w:rPr>
          <w:rFonts w:ascii="Times New Roman" w:hAnsi="Times New Roman" w:cs="Times New Roman"/>
          <w:b/>
          <w:sz w:val="28"/>
          <w:szCs w:val="28"/>
        </w:rPr>
        <w:t>) activity</w:t>
      </w:r>
    </w:p>
    <w:p w14:paraId="77159729" w14:textId="299B100A" w:rsidR="00B71E1E" w:rsidRPr="008D0FA6" w:rsidRDefault="00EB5DD9" w:rsidP="003C14DD">
      <w:pPr>
        <w:jc w:val="both"/>
        <w:rPr>
          <w:rFonts w:ascii="Times New Roman" w:hAnsi="Times New Roman" w:cs="Times New Roman"/>
          <w:sz w:val="24"/>
          <w:szCs w:val="24"/>
          <w:lang w:val="en-IN"/>
        </w:rPr>
      </w:pPr>
      <w:commentRangeStart w:id="15"/>
      <w:r w:rsidRPr="008D0FA6">
        <w:rPr>
          <w:rFonts w:ascii="Times New Roman" w:hAnsi="Times New Roman" w:cs="Times New Roman"/>
          <w:sz w:val="24"/>
          <w:szCs w:val="24"/>
          <w:lang w:val="en-IN"/>
        </w:rPr>
        <w:t>Ache</w:t>
      </w:r>
      <w:r w:rsidR="008D0FA6" w:rsidRPr="008D0FA6">
        <w:rPr>
          <w:rFonts w:ascii="Times New Roman" w:hAnsi="Times New Roman" w:cs="Times New Roman"/>
          <w:sz w:val="24"/>
          <w:szCs w:val="24"/>
          <w:lang w:val="en-IN"/>
        </w:rPr>
        <w:t xml:space="preserve"> </w:t>
      </w:r>
      <w:commentRangeEnd w:id="15"/>
      <w:r w:rsidR="00CD34E9">
        <w:rPr>
          <w:rStyle w:val="CommentReference"/>
        </w:rPr>
        <w:commentReference w:id="15"/>
      </w:r>
      <w:r w:rsidR="008D0FA6" w:rsidRPr="008D0FA6">
        <w:rPr>
          <w:rFonts w:ascii="Times New Roman" w:hAnsi="Times New Roman" w:cs="Times New Roman"/>
          <w:sz w:val="24"/>
          <w:szCs w:val="24"/>
          <w:lang w:val="en-IN"/>
        </w:rPr>
        <w:t>activity throughout the entire brain was measured using the Ellman et al. technique (32</w:t>
      </w:r>
      <w:r w:rsidRPr="008D0FA6">
        <w:rPr>
          <w:rFonts w:ascii="Times New Roman" w:hAnsi="Times New Roman" w:cs="Times New Roman"/>
          <w:sz w:val="24"/>
          <w:szCs w:val="24"/>
          <w:lang w:val="en-IN"/>
        </w:rPr>
        <w:t>). This</w:t>
      </w:r>
      <w:r w:rsidR="008D0FA6" w:rsidRPr="008D0FA6">
        <w:rPr>
          <w:rFonts w:ascii="Times New Roman" w:hAnsi="Times New Roman" w:cs="Times New Roman"/>
          <w:sz w:val="24"/>
          <w:szCs w:val="24"/>
          <w:lang w:val="en-IN"/>
        </w:rPr>
        <w:t xml:space="preserve"> approach is based on the fact that thiocholine reacts with </w:t>
      </w:r>
      <w:proofErr w:type="spellStart"/>
      <w:r w:rsidR="008D0FA6" w:rsidRPr="008D0FA6">
        <w:rPr>
          <w:rFonts w:ascii="Times New Roman" w:hAnsi="Times New Roman" w:cs="Times New Roman"/>
          <w:sz w:val="24"/>
          <w:szCs w:val="24"/>
          <w:lang w:val="en-IN"/>
        </w:rPr>
        <w:t>dithiobisnitrobenzoate</w:t>
      </w:r>
      <w:proofErr w:type="spellEnd"/>
      <w:r w:rsidR="008D0FA6" w:rsidRPr="008D0FA6">
        <w:rPr>
          <w:rFonts w:ascii="Times New Roman" w:hAnsi="Times New Roman" w:cs="Times New Roman"/>
          <w:sz w:val="24"/>
          <w:szCs w:val="24"/>
          <w:lang w:val="en-IN"/>
        </w:rPr>
        <w:t xml:space="preserve"> ions to generate a yellow </w:t>
      </w:r>
      <w:r w:rsidRPr="008D0FA6">
        <w:rPr>
          <w:rFonts w:ascii="Times New Roman" w:hAnsi="Times New Roman" w:cs="Times New Roman"/>
          <w:sz w:val="24"/>
          <w:szCs w:val="24"/>
          <w:lang w:val="en-IN"/>
        </w:rPr>
        <w:t>hue. Using</w:t>
      </w:r>
      <w:r w:rsidR="008D0FA6" w:rsidRPr="008D0FA6">
        <w:rPr>
          <w:rFonts w:ascii="Times New Roman" w:hAnsi="Times New Roman" w:cs="Times New Roman"/>
          <w:sz w:val="24"/>
          <w:szCs w:val="24"/>
          <w:lang w:val="en-IN"/>
        </w:rPr>
        <w:t xml:space="preserve"> a spectrophotometer, the rate at which thiocholine was formed from acetylcholine iodide in the presence of tissue cholinesterase was determined. After treating the sample with 5, 5'-dithionitrobenzoic acid (DTNB), the optical density (OD) of the yellow chemical produced during the reaction was measured at 412 nm every minute for three minutes (26). </w:t>
      </w:r>
      <w:proofErr w:type="spellStart"/>
      <w:r w:rsidR="008D0FA6" w:rsidRPr="008D0FA6">
        <w:rPr>
          <w:rFonts w:ascii="Times New Roman" w:hAnsi="Times New Roman" w:cs="Times New Roman"/>
          <w:sz w:val="24"/>
          <w:szCs w:val="24"/>
          <w:lang w:val="en-IN"/>
        </w:rPr>
        <w:t>Folin's</w:t>
      </w:r>
      <w:proofErr w:type="spellEnd"/>
      <w:r w:rsidR="008D0FA6" w:rsidRPr="008D0FA6">
        <w:rPr>
          <w:rFonts w:ascii="Times New Roman" w:hAnsi="Times New Roman" w:cs="Times New Roman"/>
          <w:sz w:val="24"/>
          <w:szCs w:val="24"/>
          <w:lang w:val="en-IN"/>
        </w:rPr>
        <w:t xml:space="preserve"> approach was applied for protein estimation. The </w:t>
      </w:r>
      <w:r w:rsidRPr="008D0FA6">
        <w:rPr>
          <w:rFonts w:ascii="Times New Roman" w:hAnsi="Times New Roman" w:cs="Times New Roman"/>
          <w:sz w:val="24"/>
          <w:szCs w:val="24"/>
          <w:lang w:val="en-IN"/>
        </w:rPr>
        <w:t>Ache</w:t>
      </w:r>
      <w:r w:rsidR="008D0FA6" w:rsidRPr="008D0FA6">
        <w:rPr>
          <w:rFonts w:ascii="Times New Roman" w:hAnsi="Times New Roman" w:cs="Times New Roman"/>
          <w:sz w:val="24"/>
          <w:szCs w:val="24"/>
          <w:lang w:val="en-IN"/>
        </w:rPr>
        <w:t xml:space="preserve"> activity was calculated using the following formula </w:t>
      </w:r>
      <w:r w:rsidR="00B71E1E" w:rsidRPr="008D0FA6">
        <w:rPr>
          <w:rFonts w:ascii="Times New Roman" w:hAnsi="Times New Roman" w:cs="Times New Roman"/>
          <w:sz w:val="24"/>
          <w:szCs w:val="24"/>
        </w:rPr>
        <w:t>(26)</w:t>
      </w:r>
      <w:r w:rsidR="008D0FA6" w:rsidRPr="008D0FA6">
        <w:rPr>
          <w:rFonts w:ascii="Times New Roman" w:hAnsi="Times New Roman" w:cs="Times New Roman"/>
          <w:sz w:val="24"/>
          <w:szCs w:val="24"/>
        </w:rPr>
        <w:t>.</w:t>
      </w:r>
    </w:p>
    <w:p w14:paraId="1254FCCE"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R = δ O.D X Volume of Assay (3 ml)/ E X mg of protein</w:t>
      </w:r>
    </w:p>
    <w:p w14:paraId="61731684"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Where R= rate of enzyme activity in ‘n’ mole of acetylthiocholine iodide hydrolyzed / minute / mg protein</w:t>
      </w:r>
    </w:p>
    <w:p w14:paraId="1733C230"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δ O.D = Change in absorbance / minutes</w:t>
      </w:r>
    </w:p>
    <w:p w14:paraId="37AD650F"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E = Extinction coefficient = 13600 /M/cm Statistical analysis</w:t>
      </w:r>
    </w:p>
    <w:p w14:paraId="120ABE14" w14:textId="451ECF9A"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The expression</w:t>
      </w:r>
      <w:r w:rsidR="00EB5DD9">
        <w:rPr>
          <w:rFonts w:ascii="Times New Roman" w:hAnsi="Times New Roman" w:cs="Times New Roman"/>
          <w:sz w:val="24"/>
          <w:szCs w:val="24"/>
        </w:rPr>
        <w:t xml:space="preserve"> </w:t>
      </w:r>
      <w:r w:rsidR="00EB5DD9" w:rsidRPr="008D0FA6">
        <w:rPr>
          <w:rFonts w:ascii="Times New Roman" w:hAnsi="Times New Roman" w:cs="Times New Roman"/>
          <w:sz w:val="24"/>
          <w:szCs w:val="24"/>
        </w:rPr>
        <w:t>of data</w:t>
      </w:r>
      <w:r w:rsidRPr="008D0FA6">
        <w:rPr>
          <w:rFonts w:ascii="Times New Roman" w:hAnsi="Times New Roman" w:cs="Times New Roman"/>
          <w:sz w:val="24"/>
          <w:szCs w:val="24"/>
        </w:rPr>
        <w:t xml:space="preserve"> was done as mean</w:t>
      </w:r>
      <w:r w:rsidR="00EB5DD9">
        <w:rPr>
          <w:rFonts w:ascii="Times New Roman" w:hAnsi="Times New Roman" w:cs="Times New Roman"/>
          <w:sz w:val="24"/>
          <w:szCs w:val="24"/>
        </w:rPr>
        <w:t xml:space="preserve"> ± </w:t>
      </w:r>
      <w:r w:rsidRPr="008D0FA6">
        <w:rPr>
          <w:rFonts w:ascii="Times New Roman" w:hAnsi="Times New Roman" w:cs="Times New Roman"/>
          <w:sz w:val="24"/>
          <w:szCs w:val="24"/>
        </w:rPr>
        <w:t>SEM. P values &lt;0.05 were considered significant.</w:t>
      </w:r>
    </w:p>
    <w:p w14:paraId="750A6D2F" w14:textId="77777777" w:rsidR="008D0FA6" w:rsidRDefault="008D0FA6" w:rsidP="00B71E1E">
      <w:pPr>
        <w:jc w:val="both"/>
        <w:rPr>
          <w:rFonts w:ascii="Times New Roman" w:hAnsi="Times New Roman" w:cs="Times New Roman"/>
          <w:sz w:val="28"/>
          <w:szCs w:val="28"/>
        </w:rPr>
      </w:pPr>
    </w:p>
    <w:p w14:paraId="24CB25B2" w14:textId="77777777" w:rsidR="008D0FA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RESULTS</w:t>
      </w:r>
    </w:p>
    <w:p w14:paraId="585E19F7" w14:textId="54037C7A"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INCREASING CURRENT ELECTROSHOCK SEIZURES (ICES)</w:t>
      </w:r>
    </w:p>
    <w:p w14:paraId="18317CA0" w14:textId="1D0CC33B" w:rsidR="008D0FA6" w:rsidRPr="008D0FA6" w:rsidRDefault="008D0FA6" w:rsidP="008D0FA6">
      <w:pPr>
        <w:jc w:val="both"/>
        <w:rPr>
          <w:rFonts w:ascii="Times New Roman" w:hAnsi="Times New Roman" w:cs="Times New Roman"/>
          <w:sz w:val="24"/>
          <w:szCs w:val="24"/>
          <w:lang w:val="en-IN"/>
        </w:rPr>
      </w:pPr>
      <w:r w:rsidRPr="008D0FA6">
        <w:rPr>
          <w:rFonts w:ascii="Times New Roman" w:hAnsi="Times New Roman" w:cs="Times New Roman"/>
          <w:sz w:val="24"/>
          <w:szCs w:val="24"/>
          <w:lang w:val="en-IN"/>
        </w:rPr>
        <w:t xml:space="preserve">In acute tests, </w:t>
      </w:r>
      <w:r w:rsidR="00EB5DD9" w:rsidRPr="008D0FA6">
        <w:rPr>
          <w:rFonts w:ascii="Times New Roman" w:hAnsi="Times New Roman" w:cs="Times New Roman"/>
          <w:sz w:val="24"/>
          <w:szCs w:val="24"/>
          <w:lang w:val="en-IN"/>
        </w:rPr>
        <w:t>levetiracetam</w:t>
      </w:r>
      <w:r w:rsidRPr="008D0FA6">
        <w:rPr>
          <w:rFonts w:ascii="Times New Roman" w:hAnsi="Times New Roman" w:cs="Times New Roman"/>
          <w:sz w:val="24"/>
          <w:szCs w:val="24"/>
          <w:lang w:val="en-IN"/>
        </w:rPr>
        <w:t xml:space="preserve"> at a dose of 22 mg/kg, intravenously, demonstrated 100% protection against ICES by completely eliminating HLE. 50% protection was shown at a lower dose of 12 mg/kg, </w:t>
      </w:r>
      <w:proofErr w:type="spellStart"/>
      <w:r w:rsidRPr="008D0FA6">
        <w:rPr>
          <w:rFonts w:ascii="Times New Roman" w:hAnsi="Times New Roman" w:cs="Times New Roman"/>
          <w:sz w:val="24"/>
          <w:szCs w:val="24"/>
          <w:lang w:val="en-IN"/>
        </w:rPr>
        <w:t>i.v.</w:t>
      </w:r>
      <w:proofErr w:type="spellEnd"/>
      <w:r w:rsidRPr="008D0FA6">
        <w:rPr>
          <w:rFonts w:ascii="Times New Roman" w:hAnsi="Times New Roman" w:cs="Times New Roman"/>
          <w:sz w:val="24"/>
          <w:szCs w:val="24"/>
          <w:lang w:val="en-IN"/>
        </w:rPr>
        <w:t xml:space="preserve">, however no protection was observed at considerably lower doses (8 mg/kg, p.o.) (Table 1). ICES did not respond well to PIM and </w:t>
      </w:r>
      <w:proofErr w:type="spellStart"/>
      <w:r w:rsidRPr="008D0FA6">
        <w:rPr>
          <w:rFonts w:ascii="Times New Roman" w:hAnsi="Times New Roman" w:cs="Times New Roman"/>
          <w:sz w:val="24"/>
          <w:szCs w:val="24"/>
          <w:lang w:val="en-IN"/>
        </w:rPr>
        <w:t>rutin</w:t>
      </w:r>
      <w:proofErr w:type="spellEnd"/>
      <w:r w:rsidRPr="008D0FA6">
        <w:rPr>
          <w:rFonts w:ascii="Times New Roman" w:hAnsi="Times New Roman" w:cs="Times New Roman"/>
          <w:sz w:val="24"/>
          <w:szCs w:val="24"/>
          <w:lang w:val="en-IN"/>
        </w:rPr>
        <w:t xml:space="preserve"> at memory-improving dosages estimated from Table 1. </w:t>
      </w:r>
    </w:p>
    <w:p w14:paraId="5D448102"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SPONTANEOUS ALTERATION BEHAVIOR </w:t>
      </w:r>
    </w:p>
    <w:p w14:paraId="28161BEB"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Acute studies</w:t>
      </w:r>
    </w:p>
    <w:p w14:paraId="603B46AF" w14:textId="0E842A78" w:rsidR="00EB5DD9" w:rsidRPr="00EB5DD9" w:rsidRDefault="00EB5DD9" w:rsidP="00EB5DD9">
      <w:pPr>
        <w:jc w:val="both"/>
        <w:rPr>
          <w:rFonts w:ascii="Times New Roman" w:hAnsi="Times New Roman" w:cs="Times New Roman"/>
          <w:sz w:val="24"/>
          <w:szCs w:val="24"/>
          <w:lang w:val="en-IN"/>
        </w:rPr>
      </w:pPr>
      <w:r w:rsidRPr="00EB5DD9">
        <w:rPr>
          <w:rFonts w:ascii="Times New Roman" w:hAnsi="Times New Roman" w:cs="Times New Roman"/>
          <w:sz w:val="24"/>
          <w:szCs w:val="24"/>
          <w:lang w:val="en-IN"/>
        </w:rPr>
        <w:t xml:space="preserve">At a dose of 12–22 mg/kg, intravenously, the annihilation of the percentage alternation on the plus maze demonstrated a cognitive benefit. Both Levetiracetam and PIM showed little reaction at lower dosages (8 mg/kg, </w:t>
      </w:r>
      <w:proofErr w:type="spellStart"/>
      <w:r w:rsidRPr="00EB5DD9">
        <w:rPr>
          <w:rFonts w:ascii="Times New Roman" w:hAnsi="Times New Roman" w:cs="Times New Roman"/>
          <w:sz w:val="24"/>
          <w:szCs w:val="24"/>
          <w:lang w:val="en-IN"/>
        </w:rPr>
        <w:t>i.van</w:t>
      </w:r>
      <w:proofErr w:type="spellEnd"/>
      <w:r w:rsidRPr="00EB5DD9">
        <w:rPr>
          <w:rFonts w:ascii="Times New Roman" w:hAnsi="Times New Roman" w:cs="Times New Roman"/>
          <w:sz w:val="24"/>
          <w:szCs w:val="24"/>
          <w:lang w:val="en-IN"/>
        </w:rPr>
        <w:t xml:space="preserve">, and 125 mg/kg, p.o., respectively) (Table 1), while both PIM and Levetiracetam showed promising outcomes at higher doses (Table 1). Additionally, the results of </w:t>
      </w:r>
      <w:r w:rsidRPr="00EB5DD9">
        <w:rPr>
          <w:rFonts w:ascii="Times New Roman" w:hAnsi="Times New Roman" w:cs="Times New Roman"/>
          <w:sz w:val="24"/>
          <w:szCs w:val="24"/>
          <w:lang w:val="en-IN"/>
        </w:rPr>
        <w:lastRenderedPageBreak/>
        <w:t>the combined impact of Levetiracetam (12 mg/kg, p.o.) and PIM (250 mg/kg) were somewhat comparable to those of the control group, meaning that there was no confounding influence on memory without changing any effect on ICES (Table 1).</w:t>
      </w:r>
    </w:p>
    <w:p w14:paraId="0D52D531" w14:textId="77777777" w:rsidR="00B71E1E"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Chronic studies</w:t>
      </w:r>
    </w:p>
    <w:p w14:paraId="0F132EAE" w14:textId="54763BEB" w:rsidR="00EB5DD9" w:rsidRPr="00EB5DD9" w:rsidRDefault="00EB5DD9" w:rsidP="00EB5DD9">
      <w:pPr>
        <w:jc w:val="both"/>
        <w:rPr>
          <w:rFonts w:ascii="Times New Roman" w:hAnsi="Times New Roman" w:cs="Times New Roman"/>
          <w:bCs/>
          <w:sz w:val="24"/>
          <w:szCs w:val="24"/>
          <w:lang w:val="en-IN"/>
        </w:rPr>
      </w:pPr>
      <w:r w:rsidRPr="00EB5DD9">
        <w:rPr>
          <w:rFonts w:ascii="Times New Roman" w:hAnsi="Times New Roman" w:cs="Times New Roman"/>
          <w:bCs/>
          <w:sz w:val="24"/>
          <w:szCs w:val="24"/>
          <w:lang w:val="en-IN"/>
        </w:rPr>
        <w:t xml:space="preserve">According to the chronic trials, Levetiracetam (12 mg/kg, </w:t>
      </w:r>
      <w:proofErr w:type="spellStart"/>
      <w:r w:rsidRPr="00EB5DD9">
        <w:rPr>
          <w:rFonts w:ascii="Times New Roman" w:hAnsi="Times New Roman" w:cs="Times New Roman"/>
          <w:bCs/>
          <w:sz w:val="24"/>
          <w:szCs w:val="24"/>
          <w:lang w:val="en-IN"/>
        </w:rPr>
        <w:t>i.v.</w:t>
      </w:r>
      <w:proofErr w:type="spellEnd"/>
      <w:r w:rsidRPr="00EB5DD9">
        <w:rPr>
          <w:rFonts w:ascii="Times New Roman" w:hAnsi="Times New Roman" w:cs="Times New Roman"/>
          <w:bCs/>
          <w:sz w:val="24"/>
          <w:szCs w:val="24"/>
          <w:lang w:val="en-IN"/>
        </w:rPr>
        <w:t xml:space="preserve"> X 21 days) significantly impairs function, which lowers the percentage alternation. Conversely, the deterioration was reversed by the combination of PIM (125 mg/kg, p.o. X 21 days) and Levetiracetam (125 mg/kg, p.o. X 21 days) and </w:t>
      </w:r>
      <w:proofErr w:type="spellStart"/>
      <w:r w:rsidRPr="00EB5DD9">
        <w:rPr>
          <w:rFonts w:ascii="Times New Roman" w:hAnsi="Times New Roman" w:cs="Times New Roman"/>
          <w:bCs/>
          <w:sz w:val="24"/>
          <w:szCs w:val="24"/>
          <w:lang w:val="en-IN"/>
        </w:rPr>
        <w:t>Rutin</w:t>
      </w:r>
      <w:proofErr w:type="spellEnd"/>
      <w:r w:rsidRPr="00EB5DD9">
        <w:rPr>
          <w:rFonts w:ascii="Times New Roman" w:hAnsi="Times New Roman" w:cs="Times New Roman"/>
          <w:bCs/>
          <w:sz w:val="24"/>
          <w:szCs w:val="24"/>
          <w:lang w:val="en-IN"/>
        </w:rPr>
        <w:t xml:space="preserve"> (125 mg/kg, </w:t>
      </w:r>
      <w:proofErr w:type="spellStart"/>
      <w:r w:rsidRPr="00EB5DD9">
        <w:rPr>
          <w:rFonts w:ascii="Times New Roman" w:hAnsi="Times New Roman" w:cs="Times New Roman"/>
          <w:bCs/>
          <w:sz w:val="24"/>
          <w:szCs w:val="24"/>
          <w:lang w:val="en-IN"/>
        </w:rPr>
        <w:t>i.v.</w:t>
      </w:r>
      <w:proofErr w:type="spellEnd"/>
      <w:r w:rsidRPr="00EB5DD9">
        <w:rPr>
          <w:rFonts w:ascii="Times New Roman" w:hAnsi="Times New Roman" w:cs="Times New Roman"/>
          <w:bCs/>
          <w:sz w:val="24"/>
          <w:szCs w:val="24"/>
          <w:lang w:val="en-IN"/>
        </w:rPr>
        <w:t xml:space="preserve"> X 21 days) with Levetiracetam (125 mg/kg, </w:t>
      </w:r>
      <w:proofErr w:type="spellStart"/>
      <w:r w:rsidRPr="00EB5DD9">
        <w:rPr>
          <w:rFonts w:ascii="Times New Roman" w:hAnsi="Times New Roman" w:cs="Times New Roman"/>
          <w:bCs/>
          <w:sz w:val="24"/>
          <w:szCs w:val="24"/>
          <w:lang w:val="en-IN"/>
        </w:rPr>
        <w:t>i.v.</w:t>
      </w:r>
      <w:proofErr w:type="spellEnd"/>
      <w:r w:rsidRPr="00EB5DD9">
        <w:rPr>
          <w:rFonts w:ascii="Times New Roman" w:hAnsi="Times New Roman" w:cs="Times New Roman"/>
          <w:bCs/>
          <w:sz w:val="24"/>
          <w:szCs w:val="24"/>
          <w:lang w:val="en-IN"/>
        </w:rPr>
        <w:t xml:space="preserve"> X 21 days) (Table 2).</w:t>
      </w:r>
    </w:p>
    <w:p w14:paraId="7293B9BD" w14:textId="77777777" w:rsidR="00B71E1E" w:rsidRDefault="00B71E1E" w:rsidP="00B71E1E">
      <w:pPr>
        <w:jc w:val="both"/>
        <w:rPr>
          <w:rFonts w:ascii="Times New Roman" w:hAnsi="Times New Roman" w:cs="Times New Roman"/>
          <w:sz w:val="28"/>
          <w:szCs w:val="28"/>
        </w:rPr>
      </w:pPr>
      <w:r w:rsidRPr="003D1886">
        <w:rPr>
          <w:rFonts w:ascii="Times New Roman" w:hAnsi="Times New Roman" w:cs="Times New Roman"/>
          <w:b/>
          <w:sz w:val="28"/>
          <w:szCs w:val="28"/>
        </w:rPr>
        <w:t>Rolling roller apparatus</w:t>
      </w:r>
      <w:r w:rsidRPr="003D1886">
        <w:rPr>
          <w:rFonts w:ascii="Times New Roman" w:hAnsi="Times New Roman" w:cs="Times New Roman"/>
          <w:sz w:val="28"/>
          <w:szCs w:val="28"/>
        </w:rPr>
        <w:t>:</w:t>
      </w:r>
    </w:p>
    <w:p w14:paraId="2E03F41F" w14:textId="13763D65" w:rsidR="00EB5DD9" w:rsidRPr="00EB5DD9" w:rsidRDefault="00EB5DD9" w:rsidP="00EB5DD9">
      <w:pPr>
        <w:jc w:val="both"/>
        <w:rPr>
          <w:rFonts w:ascii="Times New Roman" w:hAnsi="Times New Roman" w:cs="Times New Roman"/>
          <w:sz w:val="24"/>
          <w:szCs w:val="24"/>
          <w:lang w:val="en-IN"/>
        </w:rPr>
      </w:pPr>
      <w:r w:rsidRPr="00EB5DD9">
        <w:rPr>
          <w:rFonts w:ascii="Times New Roman" w:hAnsi="Times New Roman" w:cs="Times New Roman"/>
          <w:sz w:val="24"/>
          <w:szCs w:val="24"/>
          <w:lang w:val="en-IN"/>
        </w:rPr>
        <w:t xml:space="preserve">In both acute and chronic tests, as well as when used in combination, no motor deficit was observed at any dose of Levetiracetam plus PIM or </w:t>
      </w:r>
      <w:proofErr w:type="spellStart"/>
      <w:r w:rsidRPr="00EB5DD9">
        <w:rPr>
          <w:rFonts w:ascii="Times New Roman" w:hAnsi="Times New Roman" w:cs="Times New Roman"/>
          <w:sz w:val="24"/>
          <w:szCs w:val="24"/>
          <w:lang w:val="en-IN"/>
        </w:rPr>
        <w:t>Rutin</w:t>
      </w:r>
      <w:proofErr w:type="spellEnd"/>
      <w:r w:rsidRPr="00EB5DD9">
        <w:rPr>
          <w:rFonts w:ascii="Times New Roman" w:hAnsi="Times New Roman" w:cs="Times New Roman"/>
          <w:sz w:val="24"/>
          <w:szCs w:val="24"/>
          <w:lang w:val="en-IN"/>
        </w:rPr>
        <w:t>.</w:t>
      </w:r>
    </w:p>
    <w:p w14:paraId="2724C416" w14:textId="77777777" w:rsidR="00B71E1E"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Whole brain </w:t>
      </w:r>
      <w:proofErr w:type="spellStart"/>
      <w:r w:rsidRPr="003D1886">
        <w:rPr>
          <w:rFonts w:ascii="Times New Roman" w:hAnsi="Times New Roman" w:cs="Times New Roman"/>
          <w:b/>
          <w:sz w:val="28"/>
          <w:szCs w:val="28"/>
        </w:rPr>
        <w:t>AChE</w:t>
      </w:r>
      <w:proofErr w:type="spellEnd"/>
      <w:r w:rsidRPr="003D1886">
        <w:rPr>
          <w:rFonts w:ascii="Times New Roman" w:hAnsi="Times New Roman" w:cs="Times New Roman"/>
          <w:b/>
          <w:sz w:val="28"/>
          <w:szCs w:val="28"/>
        </w:rPr>
        <w:t xml:space="preserve"> activity</w:t>
      </w:r>
    </w:p>
    <w:p w14:paraId="5143A197" w14:textId="4E527FDE" w:rsidR="005567DE" w:rsidRPr="005567DE" w:rsidRDefault="005567DE" w:rsidP="005567DE">
      <w:pPr>
        <w:spacing w:after="0" w:line="240" w:lineRule="auto"/>
        <w:rPr>
          <w:rFonts w:ascii="Times New Roman" w:eastAsia="Times New Roman" w:hAnsi="Times New Roman" w:cs="Times New Roman"/>
          <w:sz w:val="24"/>
          <w:szCs w:val="24"/>
          <w:lang w:val="en-IN" w:eastAsia="en-IN" w:bidi="hi-IN"/>
        </w:rPr>
      </w:pPr>
      <w:r w:rsidRPr="005567DE">
        <w:rPr>
          <w:rFonts w:ascii="Times New Roman" w:eastAsia="Times New Roman" w:hAnsi="Times New Roman" w:cs="Times New Roman"/>
          <w:sz w:val="24"/>
          <w:szCs w:val="24"/>
          <w:lang w:val="en-IN" w:eastAsia="en-IN" w:bidi="hi-IN"/>
        </w:rPr>
        <w:t xml:space="preserve">There was no discernible change in the entire brain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activity with </w:t>
      </w:r>
      <w:r w:rsidR="00E75005" w:rsidRPr="005567DE">
        <w:rPr>
          <w:rFonts w:ascii="Times New Roman" w:eastAsia="Times New Roman" w:hAnsi="Times New Roman" w:cs="Times New Roman"/>
          <w:sz w:val="24"/>
          <w:szCs w:val="24"/>
          <w:lang w:val="en-IN" w:eastAsia="en-IN" w:bidi="hi-IN"/>
        </w:rPr>
        <w:t>Levetiracetam</w:t>
      </w:r>
      <w:r w:rsidRPr="005567DE">
        <w:rPr>
          <w:rFonts w:ascii="Times New Roman" w:eastAsia="Times New Roman" w:hAnsi="Times New Roman" w:cs="Times New Roman"/>
          <w:sz w:val="24"/>
          <w:szCs w:val="24"/>
          <w:lang w:val="en-IN" w:eastAsia="en-IN" w:bidi="hi-IN"/>
        </w:rPr>
        <w:t xml:space="preserve"> (8 mg/kg, p.o.) and the control. However, a notable increase in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activity relative to control was noted when the dose was raised to 12 mg/kg p.o. Neither PIM nor </w:t>
      </w:r>
      <w:proofErr w:type="spellStart"/>
      <w:r w:rsidRPr="005567DE">
        <w:rPr>
          <w:rFonts w:ascii="Times New Roman" w:eastAsia="Times New Roman" w:hAnsi="Times New Roman" w:cs="Times New Roman"/>
          <w:sz w:val="24"/>
          <w:szCs w:val="24"/>
          <w:lang w:val="en-IN" w:eastAsia="en-IN" w:bidi="hi-IN"/>
        </w:rPr>
        <w:t>Rutin</w:t>
      </w:r>
      <w:proofErr w:type="spellEnd"/>
      <w:r w:rsidRPr="005567DE">
        <w:rPr>
          <w:rFonts w:ascii="Times New Roman" w:eastAsia="Times New Roman" w:hAnsi="Times New Roman" w:cs="Times New Roman"/>
          <w:sz w:val="24"/>
          <w:szCs w:val="24"/>
          <w:lang w:val="en-IN" w:eastAsia="en-IN" w:bidi="hi-IN"/>
        </w:rPr>
        <w:t xml:space="preserve"> significantly changed brain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activity at lower doses (125 mg/kg, p.o.). However, p.o. dramatically reduced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levels at a dose of 250 mg/kg. </w:t>
      </w:r>
      <w:proofErr w:type="spellStart"/>
      <w:r w:rsidRPr="005567DE">
        <w:rPr>
          <w:rFonts w:ascii="Times New Roman" w:eastAsia="Times New Roman" w:hAnsi="Times New Roman" w:cs="Times New Roman"/>
          <w:sz w:val="24"/>
          <w:szCs w:val="24"/>
          <w:lang w:val="en-IN" w:eastAsia="en-IN" w:bidi="hi-IN"/>
        </w:rPr>
        <w:t>AChE</w:t>
      </w:r>
      <w:proofErr w:type="spellEnd"/>
      <w:r w:rsidRPr="005567DE">
        <w:rPr>
          <w:rFonts w:ascii="Times New Roman" w:eastAsia="Times New Roman" w:hAnsi="Times New Roman" w:cs="Times New Roman"/>
          <w:sz w:val="24"/>
          <w:szCs w:val="24"/>
          <w:lang w:val="en-IN" w:eastAsia="en-IN" w:bidi="hi-IN"/>
        </w:rPr>
        <w:t xml:space="preserve"> levels were comparable to control when </w:t>
      </w:r>
      <w:r w:rsidR="00E75005" w:rsidRPr="005567DE">
        <w:rPr>
          <w:rFonts w:ascii="Times New Roman" w:eastAsia="Times New Roman" w:hAnsi="Times New Roman" w:cs="Times New Roman"/>
          <w:sz w:val="24"/>
          <w:szCs w:val="24"/>
          <w:lang w:val="en-IN" w:eastAsia="en-IN" w:bidi="hi-IN"/>
        </w:rPr>
        <w:t>Levetiracetam</w:t>
      </w:r>
      <w:r w:rsidRPr="005567DE">
        <w:rPr>
          <w:rFonts w:ascii="Times New Roman" w:eastAsia="Times New Roman" w:hAnsi="Times New Roman" w:cs="Times New Roman"/>
          <w:sz w:val="24"/>
          <w:szCs w:val="24"/>
          <w:lang w:val="en-IN" w:eastAsia="en-IN" w:bidi="hi-IN"/>
        </w:rPr>
        <w:t xml:space="preserve"> (12 mg/kg, </w:t>
      </w:r>
      <w:proofErr w:type="spellStart"/>
      <w:r w:rsidRPr="005567DE">
        <w:rPr>
          <w:rFonts w:ascii="Times New Roman" w:eastAsia="Times New Roman" w:hAnsi="Times New Roman" w:cs="Times New Roman"/>
          <w:sz w:val="24"/>
          <w:szCs w:val="24"/>
          <w:lang w:val="en-IN" w:eastAsia="en-IN" w:bidi="hi-IN"/>
        </w:rPr>
        <w:t>i.v.</w:t>
      </w:r>
      <w:proofErr w:type="spellEnd"/>
      <w:r w:rsidRPr="005567DE">
        <w:rPr>
          <w:rFonts w:ascii="Times New Roman" w:eastAsia="Times New Roman" w:hAnsi="Times New Roman" w:cs="Times New Roman"/>
          <w:sz w:val="24"/>
          <w:szCs w:val="24"/>
          <w:lang w:val="en-IN" w:eastAsia="en-IN" w:bidi="hi-IN"/>
        </w:rPr>
        <w:t xml:space="preserve">) was combined with PIM (250 mg/kg, p.o.) and </w:t>
      </w:r>
      <w:r w:rsidR="00E75005" w:rsidRPr="005567DE">
        <w:rPr>
          <w:rFonts w:ascii="Times New Roman" w:eastAsia="Times New Roman" w:hAnsi="Times New Roman" w:cs="Times New Roman"/>
          <w:sz w:val="24"/>
          <w:szCs w:val="24"/>
          <w:lang w:val="en-IN" w:eastAsia="en-IN" w:bidi="hi-IN"/>
        </w:rPr>
        <w:t>Levetiracetam</w:t>
      </w:r>
      <w:r w:rsidRPr="005567DE">
        <w:rPr>
          <w:rFonts w:ascii="Times New Roman" w:eastAsia="Times New Roman" w:hAnsi="Times New Roman" w:cs="Times New Roman"/>
          <w:sz w:val="24"/>
          <w:szCs w:val="24"/>
          <w:lang w:val="en-IN" w:eastAsia="en-IN" w:bidi="hi-IN"/>
        </w:rPr>
        <w:t xml:space="preserve"> (12 mg/kg, </w:t>
      </w:r>
      <w:proofErr w:type="spellStart"/>
      <w:r w:rsidRPr="005567DE">
        <w:rPr>
          <w:rFonts w:ascii="Times New Roman" w:eastAsia="Times New Roman" w:hAnsi="Times New Roman" w:cs="Times New Roman"/>
          <w:sz w:val="24"/>
          <w:szCs w:val="24"/>
          <w:lang w:val="en-IN" w:eastAsia="en-IN" w:bidi="hi-IN"/>
        </w:rPr>
        <w:t>i.v.</w:t>
      </w:r>
      <w:proofErr w:type="spellEnd"/>
      <w:r w:rsidRPr="005567DE">
        <w:rPr>
          <w:rFonts w:ascii="Times New Roman" w:eastAsia="Times New Roman" w:hAnsi="Times New Roman" w:cs="Times New Roman"/>
          <w:sz w:val="24"/>
          <w:szCs w:val="24"/>
          <w:lang w:val="en-IN" w:eastAsia="en-IN" w:bidi="hi-IN"/>
        </w:rPr>
        <w:t xml:space="preserve">) with </w:t>
      </w:r>
      <w:proofErr w:type="spellStart"/>
      <w:r w:rsidRPr="005567DE">
        <w:rPr>
          <w:rFonts w:ascii="Times New Roman" w:eastAsia="Times New Roman" w:hAnsi="Times New Roman" w:cs="Times New Roman"/>
          <w:sz w:val="24"/>
          <w:szCs w:val="24"/>
          <w:lang w:val="en-IN" w:eastAsia="en-IN" w:bidi="hi-IN"/>
        </w:rPr>
        <w:t>Rutin</w:t>
      </w:r>
      <w:proofErr w:type="spellEnd"/>
      <w:r w:rsidRPr="005567DE">
        <w:rPr>
          <w:rFonts w:ascii="Times New Roman" w:eastAsia="Times New Roman" w:hAnsi="Times New Roman" w:cs="Times New Roman"/>
          <w:sz w:val="24"/>
          <w:szCs w:val="24"/>
          <w:lang w:val="en-IN" w:eastAsia="en-IN" w:bidi="hi-IN"/>
        </w:rPr>
        <w:t xml:space="preserve"> (250 mg/kg, p.o.) (Table 3).</w:t>
      </w:r>
    </w:p>
    <w:p w14:paraId="65A3E26A" w14:textId="77777777" w:rsidR="005567DE" w:rsidRPr="003D1886" w:rsidRDefault="005567DE" w:rsidP="00B71E1E">
      <w:pPr>
        <w:jc w:val="both"/>
        <w:rPr>
          <w:rFonts w:ascii="Times New Roman" w:hAnsi="Times New Roman" w:cs="Times New Roman"/>
          <w:b/>
          <w:sz w:val="28"/>
          <w:szCs w:val="28"/>
        </w:rPr>
      </w:pPr>
    </w:p>
    <w:p w14:paraId="7051069C"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DISCUSSION</w:t>
      </w:r>
    </w:p>
    <w:p w14:paraId="2A239587" w14:textId="4E0049A7" w:rsidR="003C14DD" w:rsidRDefault="00790868" w:rsidP="00B71E1E">
      <w:pPr>
        <w:jc w:val="both"/>
        <w:rPr>
          <w:rFonts w:ascii="Times New Roman" w:hAnsi="Times New Roman" w:cs="Times New Roman"/>
          <w:sz w:val="24"/>
          <w:szCs w:val="24"/>
          <w:lang w:val="en-IN"/>
        </w:rPr>
      </w:pPr>
      <w:r w:rsidRPr="005567DE">
        <w:rPr>
          <w:rFonts w:ascii="Times New Roman" w:hAnsi="Times New Roman" w:cs="Times New Roman"/>
          <w:sz w:val="24"/>
          <w:szCs w:val="24"/>
          <w:lang w:val="en-IN"/>
        </w:rPr>
        <w:t>Levetiracetam</w:t>
      </w:r>
      <w:r w:rsidR="005567DE" w:rsidRPr="005567DE">
        <w:rPr>
          <w:rFonts w:ascii="Times New Roman" w:hAnsi="Times New Roman" w:cs="Times New Roman"/>
          <w:sz w:val="24"/>
          <w:szCs w:val="24"/>
          <w:lang w:val="en-IN"/>
        </w:rPr>
        <w:t xml:space="preserve"> (12–22 mg/kg, </w:t>
      </w:r>
      <w:proofErr w:type="spellStart"/>
      <w:r w:rsidR="005567DE" w:rsidRPr="005567DE">
        <w:rPr>
          <w:rFonts w:ascii="Times New Roman" w:hAnsi="Times New Roman" w:cs="Times New Roman"/>
          <w:sz w:val="24"/>
          <w:szCs w:val="24"/>
          <w:lang w:val="en-IN"/>
        </w:rPr>
        <w:t>i.v.</w:t>
      </w:r>
      <w:proofErr w:type="spellEnd"/>
      <w:r w:rsidR="005567DE" w:rsidRPr="005567DE">
        <w:rPr>
          <w:rFonts w:ascii="Times New Roman" w:hAnsi="Times New Roman" w:cs="Times New Roman"/>
          <w:sz w:val="24"/>
          <w:szCs w:val="24"/>
          <w:lang w:val="en-IN"/>
        </w:rPr>
        <w:t xml:space="preserve">) was found to have a negative impact on cognitive performance in both acute and long-term investigations. However, it was discovered that the doses were ED50 and ED100 against ICES. These findings corroborated those found in the cognitive function investigations of PHT and </w:t>
      </w:r>
      <w:proofErr w:type="spellStart"/>
      <w:r w:rsidR="005567DE" w:rsidRPr="005567DE">
        <w:rPr>
          <w:rFonts w:ascii="Times New Roman" w:hAnsi="Times New Roman" w:cs="Times New Roman"/>
          <w:sz w:val="24"/>
          <w:szCs w:val="24"/>
          <w:lang w:val="en-IN"/>
        </w:rPr>
        <w:t>Sod.valproate</w:t>
      </w:r>
      <w:proofErr w:type="spellEnd"/>
      <w:r w:rsidR="005567DE" w:rsidRPr="005567DE">
        <w:rPr>
          <w:rFonts w:ascii="Times New Roman" w:hAnsi="Times New Roman" w:cs="Times New Roman"/>
          <w:sz w:val="24"/>
          <w:szCs w:val="24"/>
          <w:lang w:val="en-IN"/>
        </w:rPr>
        <w:t xml:space="preserve"> (33–39). PIM's nootropic property (7-9) and antimyoclonic activity (4-6) are well-established facts. It has also demonstrated impressive results over spontaneous alternation </w:t>
      </w:r>
      <w:proofErr w:type="spellStart"/>
      <w:r w:rsidR="005567DE" w:rsidRPr="005567DE">
        <w:rPr>
          <w:rFonts w:ascii="Times New Roman" w:hAnsi="Times New Roman" w:cs="Times New Roman"/>
          <w:sz w:val="24"/>
          <w:szCs w:val="24"/>
          <w:lang w:val="en-IN"/>
        </w:rPr>
        <w:t>behavior</w:t>
      </w:r>
      <w:proofErr w:type="spellEnd"/>
      <w:r w:rsidR="005567DE" w:rsidRPr="005567DE">
        <w:rPr>
          <w:rFonts w:ascii="Times New Roman" w:hAnsi="Times New Roman" w:cs="Times New Roman"/>
          <w:sz w:val="24"/>
          <w:szCs w:val="24"/>
          <w:lang w:val="en-IN"/>
        </w:rPr>
        <w:t xml:space="preserve"> in a variety of investigations. Higher dosages of PIM have demonstrated a strong antiepileptic impact against ICES (26) as well as noticeable effects as a nootropic on the MES model (7). </w:t>
      </w:r>
      <w:r w:rsidR="005567DE" w:rsidRPr="006F02F9">
        <w:rPr>
          <w:rFonts w:ascii="Times New Roman" w:hAnsi="Times New Roman" w:cs="Times New Roman"/>
          <w:sz w:val="24"/>
          <w:szCs w:val="24"/>
          <w:lang w:val="en-IN"/>
        </w:rPr>
        <w:t xml:space="preserve">The flavonoid </w:t>
      </w:r>
      <w:proofErr w:type="spellStart"/>
      <w:r w:rsidR="005567DE" w:rsidRPr="006F02F9">
        <w:rPr>
          <w:rFonts w:ascii="Times New Roman" w:hAnsi="Times New Roman" w:cs="Times New Roman"/>
          <w:sz w:val="24"/>
          <w:szCs w:val="24"/>
          <w:lang w:val="en-IN"/>
        </w:rPr>
        <w:t>rutin</w:t>
      </w:r>
      <w:proofErr w:type="spellEnd"/>
      <w:r w:rsidR="005567DE" w:rsidRPr="006F02F9">
        <w:rPr>
          <w:rFonts w:ascii="Times New Roman" w:hAnsi="Times New Roman" w:cs="Times New Roman"/>
          <w:sz w:val="24"/>
          <w:szCs w:val="24"/>
          <w:lang w:val="en-IN"/>
        </w:rPr>
        <w:t xml:space="preserve"> is also well-known for its nootropic properties (19–25).</w:t>
      </w:r>
      <w:r w:rsidR="00E75005">
        <w:rPr>
          <w:rFonts w:ascii="Times New Roman" w:hAnsi="Times New Roman" w:cs="Times New Roman"/>
          <w:sz w:val="24"/>
          <w:szCs w:val="24"/>
          <w:lang w:val="en-IN"/>
        </w:rPr>
        <w:t xml:space="preserve"> </w:t>
      </w:r>
      <w:r w:rsidR="005567DE" w:rsidRPr="006F02F9">
        <w:rPr>
          <w:rFonts w:ascii="Times New Roman" w:hAnsi="Times New Roman" w:cs="Times New Roman"/>
          <w:sz w:val="24"/>
          <w:szCs w:val="24"/>
          <w:lang w:val="en-IN"/>
        </w:rPr>
        <w:t xml:space="preserve">Therefore, the purpose of this study was to demonstrate the antiepileptic treatment benefits of co-administration of PIM and </w:t>
      </w:r>
      <w:proofErr w:type="spellStart"/>
      <w:r w:rsidR="005567DE" w:rsidRPr="006F02F9">
        <w:rPr>
          <w:rFonts w:ascii="Times New Roman" w:hAnsi="Times New Roman" w:cs="Times New Roman"/>
          <w:sz w:val="24"/>
          <w:szCs w:val="24"/>
          <w:lang w:val="en-IN"/>
        </w:rPr>
        <w:t>rutin</w:t>
      </w:r>
      <w:proofErr w:type="spellEnd"/>
      <w:r w:rsidR="005567DE" w:rsidRPr="006F02F9">
        <w:rPr>
          <w:rFonts w:ascii="Times New Roman" w:hAnsi="Times New Roman" w:cs="Times New Roman"/>
          <w:sz w:val="24"/>
          <w:szCs w:val="24"/>
          <w:lang w:val="en-IN"/>
        </w:rPr>
        <w:t xml:space="preserve"> with a clinically proven AED. </w:t>
      </w:r>
      <w:r w:rsidRPr="006F02F9">
        <w:rPr>
          <w:rFonts w:ascii="Times New Roman" w:hAnsi="Times New Roman" w:cs="Times New Roman"/>
          <w:sz w:val="24"/>
          <w:szCs w:val="24"/>
          <w:lang w:val="en-IN"/>
        </w:rPr>
        <w:t>Levetiracetam</w:t>
      </w:r>
      <w:r w:rsidR="005567DE" w:rsidRPr="006F02F9">
        <w:rPr>
          <w:rFonts w:ascii="Times New Roman" w:hAnsi="Times New Roman" w:cs="Times New Roman"/>
          <w:sz w:val="24"/>
          <w:szCs w:val="24"/>
          <w:lang w:val="en-IN"/>
        </w:rPr>
        <w:t xml:space="preserve"> caused cognitive impairment without interfering with its effectiveness against ICES when PIM and </w:t>
      </w:r>
      <w:proofErr w:type="spellStart"/>
      <w:r w:rsidR="005567DE" w:rsidRPr="006F02F9">
        <w:rPr>
          <w:rFonts w:ascii="Times New Roman" w:hAnsi="Times New Roman" w:cs="Times New Roman"/>
          <w:sz w:val="24"/>
          <w:szCs w:val="24"/>
          <w:lang w:val="en-IN"/>
        </w:rPr>
        <w:t>Rutin</w:t>
      </w:r>
      <w:proofErr w:type="spellEnd"/>
      <w:r w:rsidR="005567DE" w:rsidRPr="006F02F9">
        <w:rPr>
          <w:rFonts w:ascii="Times New Roman" w:hAnsi="Times New Roman" w:cs="Times New Roman"/>
          <w:sz w:val="24"/>
          <w:szCs w:val="24"/>
          <w:lang w:val="en-IN"/>
        </w:rPr>
        <w:t xml:space="preserve"> were administered together, according to the current study's findings. Additionally, this study indicated that </w:t>
      </w:r>
      <w:proofErr w:type="spellStart"/>
      <w:r w:rsidR="005567DE" w:rsidRPr="006F02F9">
        <w:rPr>
          <w:rFonts w:ascii="Times New Roman" w:hAnsi="Times New Roman" w:cs="Times New Roman"/>
          <w:sz w:val="24"/>
          <w:szCs w:val="24"/>
          <w:lang w:val="en-IN"/>
        </w:rPr>
        <w:t>Rutin</w:t>
      </w:r>
      <w:proofErr w:type="spellEnd"/>
      <w:r w:rsidR="005567DE" w:rsidRPr="006F02F9">
        <w:rPr>
          <w:rFonts w:ascii="Times New Roman" w:hAnsi="Times New Roman" w:cs="Times New Roman"/>
          <w:sz w:val="24"/>
          <w:szCs w:val="24"/>
          <w:lang w:val="en-IN"/>
        </w:rPr>
        <w:t xml:space="preserve"> was pillared for the findings when accessed with PIM. There were no noteworthy results when a lesser dose of </w:t>
      </w:r>
      <w:r w:rsidRPr="006F02F9">
        <w:rPr>
          <w:rFonts w:ascii="Times New Roman" w:hAnsi="Times New Roman" w:cs="Times New Roman"/>
          <w:sz w:val="24"/>
          <w:szCs w:val="24"/>
          <w:lang w:val="en-IN"/>
        </w:rPr>
        <w:t>Levetiracetam</w:t>
      </w:r>
      <w:r w:rsidR="005567DE" w:rsidRPr="006F02F9">
        <w:rPr>
          <w:rFonts w:ascii="Times New Roman" w:hAnsi="Times New Roman" w:cs="Times New Roman"/>
          <w:sz w:val="24"/>
          <w:szCs w:val="24"/>
          <w:lang w:val="en-IN"/>
        </w:rPr>
        <w:t xml:space="preserve"> was administered; however, </w:t>
      </w:r>
      <w:r w:rsidR="005567DE" w:rsidRPr="006F02F9">
        <w:rPr>
          <w:rFonts w:ascii="Times New Roman" w:hAnsi="Times New Roman" w:cs="Times New Roman"/>
          <w:sz w:val="24"/>
          <w:szCs w:val="24"/>
          <w:lang w:val="en-IN"/>
        </w:rPr>
        <w:lastRenderedPageBreak/>
        <w:t xml:space="preserve">there was an increase in the percentage alternation (10, 26). </w:t>
      </w:r>
      <w:r w:rsidR="00C5191B" w:rsidRPr="006F02F9">
        <w:rPr>
          <w:rFonts w:ascii="Times New Roman" w:hAnsi="Times New Roman" w:cs="Times New Roman"/>
          <w:sz w:val="24"/>
          <w:szCs w:val="24"/>
          <w:lang w:val="en-IN"/>
        </w:rPr>
        <w:t xml:space="preserve">The rolling roller apparatus was used to assess the impact of motor influences for PIM and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both separately and in combination with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where no discernible impact on motor functions was seen. Researchers are currently debating the mechanism underlying PIM's nootropic effect, as well as that of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PIM has been explained by a number of mechanisms, including increased oxidative glycolysis, effects on the cholinergic system (40), and effects on Ca2+ channels (41). In contrast,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has no supporting evidence other than oxidative glycolysis (25), and some have also suggested that it is involved in the cholinergic system.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significantly increased "brain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activity" in the current investigation, whereas PIM and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caused a decrease in "brain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activity," confirming the effects of these medications on the cholinergic system. Learning and memory are also impacted by </w:t>
      </w:r>
      <w:r w:rsidRPr="006F02F9">
        <w:rPr>
          <w:rFonts w:ascii="Times New Roman" w:hAnsi="Times New Roman" w:cs="Times New Roman"/>
          <w:sz w:val="24"/>
          <w:szCs w:val="24"/>
          <w:lang w:val="en-IN"/>
        </w:rPr>
        <w:t>Levetiracetam’s</w:t>
      </w:r>
      <w:r w:rsidR="00C5191B" w:rsidRPr="006F02F9">
        <w:rPr>
          <w:rFonts w:ascii="Times New Roman" w:hAnsi="Times New Roman" w:cs="Times New Roman"/>
          <w:sz w:val="24"/>
          <w:szCs w:val="24"/>
          <w:lang w:val="en-IN"/>
        </w:rPr>
        <w:t xml:space="preserve"> disruption of the cholinergic system, which lowers brain </w:t>
      </w:r>
      <w:proofErr w:type="spellStart"/>
      <w:r w:rsidR="00C5191B" w:rsidRPr="006F02F9">
        <w:rPr>
          <w:rFonts w:ascii="Times New Roman" w:hAnsi="Times New Roman" w:cs="Times New Roman"/>
          <w:sz w:val="24"/>
          <w:szCs w:val="24"/>
          <w:lang w:val="en-IN"/>
        </w:rPr>
        <w:t>ACh</w:t>
      </w:r>
      <w:proofErr w:type="spellEnd"/>
      <w:r w:rsidR="00C5191B" w:rsidRPr="006F02F9">
        <w:rPr>
          <w:rFonts w:ascii="Times New Roman" w:hAnsi="Times New Roman" w:cs="Times New Roman"/>
          <w:sz w:val="24"/>
          <w:szCs w:val="24"/>
          <w:lang w:val="en-IN"/>
        </w:rPr>
        <w:t xml:space="preserve"> levels (2, 16, and 17). Therefore, our findings supported a consistent report in this regard. Notably,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does not exhibit any impairment or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levels at lower doses. PIM belongs to the group of compounds called </w:t>
      </w:r>
      <w:proofErr w:type="spellStart"/>
      <w:r w:rsidR="00C5191B" w:rsidRPr="006F02F9">
        <w:rPr>
          <w:rFonts w:ascii="Times New Roman" w:hAnsi="Times New Roman" w:cs="Times New Roman"/>
          <w:sz w:val="24"/>
          <w:szCs w:val="24"/>
          <w:lang w:val="en-IN"/>
        </w:rPr>
        <w:t>pyrrolidones</w:t>
      </w:r>
      <w:proofErr w:type="spellEnd"/>
      <w:r w:rsidR="00C5191B" w:rsidRPr="006F02F9">
        <w:rPr>
          <w:rFonts w:ascii="Times New Roman" w:hAnsi="Times New Roman" w:cs="Times New Roman"/>
          <w:sz w:val="24"/>
          <w:szCs w:val="24"/>
          <w:lang w:val="en-IN"/>
        </w:rPr>
        <w:t xml:space="preserve">, the majority of which have an effect on the cholinergic system (8,11,24).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is a member of the flavonoid family, and many of its members have different effects on the cholinergic system. PIM and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reduced the brain's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activity in our investigation. An intriguing detail to note in this context is that co-administration of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and PIM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reportedly increased the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-induced abrupt increase in total brain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level, demonstrating the opposing effects of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and PIM/</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on the cholinergic system. To sum up the study, PIM and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reversed the negative effects on the cholinergic system when used as adjuvant therapy with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However, in order to gain the best position in the current AED therapy and improve the cognitive deficits caused by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it is vital to investigate the full potential of </w:t>
      </w:r>
      <w:proofErr w:type="spellStart"/>
      <w:r w:rsidR="00C5191B" w:rsidRPr="006F02F9">
        <w:rPr>
          <w:rFonts w:ascii="Times New Roman" w:hAnsi="Times New Roman" w:cs="Times New Roman"/>
          <w:sz w:val="24"/>
          <w:szCs w:val="24"/>
          <w:lang w:val="en-IN"/>
        </w:rPr>
        <w:t>rutin</w:t>
      </w:r>
      <w:proofErr w:type="spellEnd"/>
      <w:r w:rsidR="00C5191B" w:rsidRPr="006F02F9">
        <w:rPr>
          <w:rFonts w:ascii="Times New Roman" w:hAnsi="Times New Roman" w:cs="Times New Roman"/>
          <w:sz w:val="24"/>
          <w:szCs w:val="24"/>
          <w:lang w:val="en-IN"/>
        </w:rPr>
        <w:t xml:space="preserve">. </w:t>
      </w:r>
    </w:p>
    <w:p w14:paraId="553F8280" w14:textId="77777777" w:rsidR="00564A28" w:rsidRDefault="00564A28" w:rsidP="00B71E1E">
      <w:pPr>
        <w:jc w:val="both"/>
        <w:rPr>
          <w:rFonts w:ascii="Times New Roman" w:hAnsi="Times New Roman" w:cs="Times New Roman"/>
          <w:sz w:val="24"/>
          <w:szCs w:val="24"/>
          <w:lang w:val="en-IN"/>
        </w:rPr>
      </w:pPr>
    </w:p>
    <w:p w14:paraId="6B67D119" w14:textId="77777777" w:rsidR="00564A28" w:rsidRPr="00564A28" w:rsidRDefault="00564A28" w:rsidP="00564A28">
      <w:pPr>
        <w:jc w:val="both"/>
        <w:rPr>
          <w:rFonts w:ascii="Times New Roman" w:hAnsi="Times New Roman" w:cs="Times New Roman"/>
          <w:sz w:val="24"/>
          <w:szCs w:val="24"/>
          <w:lang w:val="en-IN"/>
        </w:rPr>
      </w:pPr>
      <w:r w:rsidRPr="00564A28">
        <w:rPr>
          <w:rFonts w:ascii="Times New Roman" w:hAnsi="Times New Roman" w:cs="Times New Roman"/>
          <w:sz w:val="24"/>
          <w:szCs w:val="24"/>
          <w:lang w:val="en-IN"/>
        </w:rPr>
        <w:t>COMPETING INTERESTS DISCLAIMER:</w:t>
      </w:r>
    </w:p>
    <w:p w14:paraId="08CDA518" w14:textId="77777777" w:rsidR="00564A28" w:rsidRPr="00564A28" w:rsidRDefault="00564A28" w:rsidP="00564A28">
      <w:pPr>
        <w:jc w:val="both"/>
        <w:rPr>
          <w:rFonts w:ascii="Times New Roman" w:hAnsi="Times New Roman" w:cs="Times New Roman"/>
          <w:sz w:val="24"/>
          <w:szCs w:val="24"/>
          <w:lang w:val="en-IN"/>
        </w:rPr>
      </w:pPr>
      <w:r w:rsidRPr="00564A28">
        <w:rPr>
          <w:rFonts w:ascii="Times New Roman" w:hAnsi="Times New Roman" w:cs="Times New Roman"/>
          <w:sz w:val="24"/>
          <w:szCs w:val="24"/>
          <w:lang w:val="en-IN"/>
        </w:rPr>
        <w:t>Authors have declared that they have no known competing financial interests OR non-financial interests OR personal relationships that could have appeared to influence the work reported in this paper.</w:t>
      </w:r>
    </w:p>
    <w:p w14:paraId="54434AAE" w14:textId="77777777" w:rsidR="00564A28" w:rsidRPr="00564A28" w:rsidRDefault="00564A28" w:rsidP="00564A28">
      <w:pPr>
        <w:jc w:val="both"/>
        <w:rPr>
          <w:rFonts w:ascii="Times New Roman" w:hAnsi="Times New Roman" w:cs="Times New Roman"/>
          <w:sz w:val="24"/>
          <w:szCs w:val="24"/>
          <w:lang w:val="en-IN"/>
        </w:rPr>
      </w:pPr>
    </w:p>
    <w:p w14:paraId="088A00D9" w14:textId="77777777" w:rsidR="00564A28" w:rsidRPr="006F02F9" w:rsidRDefault="00564A28" w:rsidP="00B71E1E">
      <w:pPr>
        <w:jc w:val="both"/>
        <w:rPr>
          <w:rFonts w:ascii="Times New Roman" w:hAnsi="Times New Roman" w:cs="Times New Roman"/>
          <w:sz w:val="24"/>
          <w:szCs w:val="24"/>
          <w:lang w:val="en-IN"/>
        </w:rPr>
      </w:pPr>
    </w:p>
    <w:p w14:paraId="2A43B441" w14:textId="77777777" w:rsidR="00353C00" w:rsidRDefault="00353C00" w:rsidP="00B71E1E">
      <w:pPr>
        <w:jc w:val="both"/>
        <w:rPr>
          <w:rFonts w:ascii="Times New Roman" w:hAnsi="Times New Roman" w:cs="Times New Roman"/>
          <w:b/>
          <w:sz w:val="28"/>
          <w:szCs w:val="28"/>
        </w:rPr>
      </w:pPr>
    </w:p>
    <w:p w14:paraId="61DA5647" w14:textId="0266DA1D"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References</w:t>
      </w:r>
    </w:p>
    <w:p w14:paraId="102CC108" w14:textId="77777777" w:rsidR="00F17EA4"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"10.2146/ajhp070607", "ISBN" : "1079-2082", "ISSN" : "10792082", "PMID" : "19265183", "abstract" : "PURPOSE: The role of levetiracetam in different epileptic, nonepileptic, neurologic, and psychiatric disorders is discussed. SUMMARY: Levetiracetam, an antiepileptic drug (AED), was first approved as an adjunctive therapy for the treatment of partial epilepsy in adults. It is currently being used in the treatment of multiple seizure disorders, including generalized tonic-clonic; absence; myoclonic, especially juvenile myoclonic; Lennox-Gastaut syndrome; and refractory epilepsy in children and adults. Data are emerging on possible uses of levetiracetam outside the realm of epilepsy because of its unique mechanisms of action. There is preliminary evidence about the efficacy of levetiracetam in the treatment of different psychiatric disorders, including anxiety, panic, stress, mood and bipolar, autism, and Tourette's syndrome. The most serious adverse effects associated with levetiracetam use are behavioral in nature and might be more common in patients with a history of psychiatric and neurobehavioral problems. CONCLUSION: Levetiracetam is an effective AED with potential benefits in other neurologic and psychiatric disorders. The benefit-risk ratio in an individual patient with a specific condition should be used to determine its optimal use. Levetiracetam's use in nonepileptic conditions is not recommended until more data become available from larger trials.", "author" : [ { "dropping-particle" : "", "family" : "Farooq", "given" : "Muhammad U.", "non-dropping-particle" : "", "parse-names" : false, "suffix" : "" }, { "dropping-particle" : "", "family" : "Bhatt", "given" : "Archit", "non-dropping-particle" : "", "parse-names" : false, "suffix" : "" }, { "dropping-particle" : "", "family" : "Majid", "given" : "Arshad", "non-dropping-particle" : "", "parse-names" : false, "suffix" : "" }, { "dropping-particle" : "", "family" : "Gupta", "given" : "Rishi", "non-dropping-particle" : "", "parse-names" : false, "suffix" : "" }, { "dropping-particle" : "", "family" : "Khasnis", "given" : "Atul", "non-dropping-particle" : "", "parse-names" : false, "suffix" : "" }, { "dropping-particle" : "", "family" : "Kassab", "given" : "Mounzer Y.", "non-dropping-particle" : "", "parse-names" : false, "suffix" : "" } ], "container-title" : "American Journal of Health-System Pharmacy", "id" : "ITEM-1", "issue" : "6", "issued" : { "date-parts" : [ [ "2009" ] ] }, "page" : "541-561", "title" : "Levetiracetam for managing neurologic and psychiatric disorders", "type" : "article", "volume" : "66" }, "uris" : [ "http://www.mendeley.com/documents/?uuid=9dacfd6b-61ba-49ca-9649-b6c0860858e2" ] } ], "mendeley" : { "formattedCitation" : "Muhammad U. Farooq and others, \u2018Levetiracetam for Managing Neurologic and Psychiatric Disorders\u2019, &lt;i&gt;American Journal of Health-System Pharmacy&lt;/i&gt;, 2009, 541\u201361 &lt;https://doi.org/10.2146/ajhp070607&gt;.", "manualFormatting" : "Muhammad U. Farooq and others, \u2018Levetiracetam for Managing Neurologic and Psychiatric Disorders\u2019, American Journal of Health-System Pharmacy, 2009, 541\u201361.", "plainTextFormattedCitation" : "Muhammad U. Farooq and others, \u2018Levetiracetam for Managing Neurologic and Psychiatric Disorders\u2019, American Journal of Health-System Pharmacy, 2009, 541\u201361 .", "previouslyFormattedCitation" : "Muhammad U. Farooq and others, \u2018Levetiracetam for Managing Neurologic and Psychiatric Disorders\u2019, &lt;i&gt;American Journal of Health-System Pharmacy&lt;/i&gt;, 2009, 541\u201361 &lt;https://doi.org/10.2146/ajhp070607&gt;."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597365" w:rsidRPr="006F02F9">
        <w:rPr>
          <w:rFonts w:ascii="Times New Roman" w:hAnsi="Times New Roman" w:cs="Times New Roman"/>
          <w:noProof/>
          <w:sz w:val="24"/>
          <w:szCs w:val="24"/>
        </w:rPr>
        <w:t xml:space="preserve">Muhammad U. Farooq and others, ‘Levetiracetam for Managing Neurologic and Psychiatric Disorders’, </w:t>
      </w:r>
      <w:r w:rsidR="00597365" w:rsidRPr="006F02F9">
        <w:rPr>
          <w:rFonts w:ascii="Times New Roman" w:hAnsi="Times New Roman" w:cs="Times New Roman"/>
          <w:i/>
          <w:noProof/>
          <w:sz w:val="24"/>
          <w:szCs w:val="24"/>
        </w:rPr>
        <w:t>American Journal of Health-System Pharmacy</w:t>
      </w:r>
      <w:r w:rsidR="00597365" w:rsidRPr="006F02F9">
        <w:rPr>
          <w:rFonts w:ascii="Times New Roman" w:hAnsi="Times New Roman" w:cs="Times New Roman"/>
          <w:noProof/>
          <w:sz w:val="24"/>
          <w:szCs w:val="24"/>
        </w:rPr>
        <w:t>, 2009, 541–61.</w:t>
      </w:r>
      <w:r w:rsidRPr="006F02F9">
        <w:rPr>
          <w:rFonts w:ascii="Times New Roman" w:hAnsi="Times New Roman" w:cs="Times New Roman"/>
          <w:sz w:val="24"/>
          <w:szCs w:val="24"/>
        </w:rPr>
        <w:fldChar w:fldCharType="end"/>
      </w:r>
    </w:p>
    <w:p w14:paraId="1FF5FE37" w14:textId="77777777" w:rsidR="00F17EA4"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lastRenderedPageBreak/>
        <w:fldChar w:fldCharType="begin" w:fldLock="1"/>
      </w:r>
      <w:r w:rsidR="008B5314" w:rsidRPr="006F02F9">
        <w:rPr>
          <w:rFonts w:ascii="Times New Roman" w:hAnsi="Times New Roman" w:cs="Times New Roman"/>
          <w:sz w:val="24"/>
          <w:szCs w:val="24"/>
        </w:rPr>
        <w:instrText>ADDIN CSL_CITATION { "citationItems" : [ { "id" : "ITEM-1", "itemData" : { "author" : [ { "dropping-particle" : "", "family" : "Sanchez, Pascal; Zhu, Verret, Vossel, Orr, Cirrito, Devidze, Ho, Yu", "given" : "Palop", "non-dropping-particle" : "", "parse-names" : false, "suffix" : "" } ], "container-title" : "PNAS", "id" : "ITEM-1", "issued" : { "date-parts" : [ [ "2012" ] ] }, "page" : "110", "title" : "Levetiracetam suppresses neuronal network dysfunction and reverses synaptic and cognitive deficits in an Alzheimer\u2019s disease model\".", "type" : "article-journal" }, "uris" : [ "http://www.mendeley.com/documents/?uuid=94ce53a8-ceb3-4f95-b904-26b024b0c991" ] } ], "mendeley" : { "formattedCitation" : "Palop Sanchez, Pascal; Zhu, Verret, Vossel, Orr, Cirrito, Devidze, Ho, Yu, \u2018Levetiracetam Suppresses Neuronal Network Dysfunction and Reverses Synaptic and Cognitive Deficits in an Alzheimer\u201cs Disease Model\u201d.\u2019, &lt;i&gt;PNAS&lt;/i&gt;, 2012, 110.", "plainTextFormattedCitation" : "Palop Sanchez, Pascal; Zhu, Verret, Vossel, Orr, Cirrito, Devidze, Ho, Yu, \u2018Levetiracetam Suppresses Neuronal Network Dysfunction and Reverses Synaptic and Cognitive Deficits in an Alzheimer\u201cs Disease Model\u201d.\u2019, PNAS, 2012, 110.", "previouslyFormattedCitation" : "Palop Sanchez, Pascal; Zhu, Verret, Vossel, Orr, Cirrito, Devidze, Ho, Yu, \u2018Levetiracetam Suppresses Neuronal Network Dysfunction and Reverses Synaptic and Cognitive Deficits in an Alzheimer\u201cs Disease Model\u201d.\u2019, &lt;i&gt;PNAS&lt;/i&gt;, 2012, 110."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8B5314" w:rsidRPr="006F02F9">
        <w:rPr>
          <w:rFonts w:ascii="Times New Roman" w:hAnsi="Times New Roman" w:cs="Times New Roman"/>
          <w:noProof/>
          <w:sz w:val="24"/>
          <w:szCs w:val="24"/>
        </w:rPr>
        <w:t xml:space="preserve">Palop Sanchez, Pascal; Zhu, Verret, Vossel, Orr, Cirrito, Devidze, Ho, Yu, ‘Levetiracetam Suppresses Neuronal Network Dysfunction and Reverses Synaptic and Cognitive Deficits in an Alzheimer“s Disease Model”.’, </w:t>
      </w:r>
      <w:r w:rsidR="008B5314" w:rsidRPr="006F02F9">
        <w:rPr>
          <w:rFonts w:ascii="Times New Roman" w:hAnsi="Times New Roman" w:cs="Times New Roman"/>
          <w:i/>
          <w:noProof/>
          <w:sz w:val="24"/>
          <w:szCs w:val="24"/>
        </w:rPr>
        <w:t>PNAS</w:t>
      </w:r>
      <w:r w:rsidR="008B5314" w:rsidRPr="006F02F9">
        <w:rPr>
          <w:rFonts w:ascii="Times New Roman" w:hAnsi="Times New Roman" w:cs="Times New Roman"/>
          <w:noProof/>
          <w:sz w:val="24"/>
          <w:szCs w:val="24"/>
        </w:rPr>
        <w:t>, 2012, 110.</w:t>
      </w:r>
      <w:r w:rsidRPr="006F02F9">
        <w:rPr>
          <w:rFonts w:ascii="Times New Roman" w:hAnsi="Times New Roman" w:cs="Times New Roman"/>
          <w:sz w:val="24"/>
          <w:szCs w:val="24"/>
        </w:rPr>
        <w:fldChar w:fldCharType="end"/>
      </w:r>
    </w:p>
    <w:commentRangeStart w:id="16"/>
    <w:p w14:paraId="3B264133" w14:textId="77777777" w:rsidR="00F17EA4"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"author" : [ { "dropping-particle" : "", "family" : "Fedi M, Reutens D, Dubeau F, Andermann E, D\u2019Agostina D", "given" : "Andermann F.", "non-dropping-particle" : "", "parse-names" : false, "suffix" : "" } ], "container-title" : "Arch Neurol", "id" : "ITEM-1", "issued" : { "date-parts" : [ [ "2001" ] ] }, "page" : "781-6.", "title" : "Long term efficacy and safety of piracetam in the treatment of progressive myoclonus epilepsy.", "type" : "article-journal", "volume" : "58" }, "uris" : [ "http://www.mendeley.com/documents/?uuid=8cf06747-80af-4b75-9c73-8eb45a49ae07" ] } ], "mendeley" : { "formattedCitation" : "Andermann F. Fedi M, Reutens D, Dubeau F, Andermann E, D\u2019Agostina D, \u2018Long Term Efficacy and Safety of Piracetam in the Treatment of Progressive Myoclonus Epilepsy.\u2019, &lt;i&gt;Arch Neurol&lt;/i&gt;, 58 (2001), 781\u20136.", "plainTextFormattedCitation" : "Andermann F. Fedi M, Reutens D, Dubeau F, Andermann E, D\u2019Agostina D, \u2018Long Term Efficacy and Safety of Piracetam in the Treatment of Progressive Myoclonus Epilepsy.\u2019, Arch Neurol, 58 (2001), 781\u20136.", "previouslyFormattedCitation" : "Andermann F. Fedi M, Reutens D, Dubeau F, Andermann E, D\u2019Agostina D, \u2018Long Term Efficacy and Safety of Piracetam in the Treatment of Progressive Myoclonus Epilepsy.\u2019, &lt;i&gt;Arch Neurol&lt;/i&gt;, 58 (2001), 781\u20136."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8B5314" w:rsidRPr="006F02F9">
        <w:rPr>
          <w:rFonts w:ascii="Times New Roman" w:hAnsi="Times New Roman" w:cs="Times New Roman"/>
          <w:noProof/>
          <w:sz w:val="24"/>
          <w:szCs w:val="24"/>
        </w:rPr>
        <w:t xml:space="preserve">Andermann F. Fedi M, Reutens D, Dubeau F, Andermann E, D’Agostina D, ‘Long Term Efficacy and Safety of Piracetam in the Treatment of Progressive Myoclonus Epilepsy.’, </w:t>
      </w:r>
      <w:r w:rsidR="008B5314" w:rsidRPr="006F02F9">
        <w:rPr>
          <w:rFonts w:ascii="Times New Roman" w:hAnsi="Times New Roman" w:cs="Times New Roman"/>
          <w:i/>
          <w:noProof/>
          <w:sz w:val="24"/>
          <w:szCs w:val="24"/>
        </w:rPr>
        <w:t>Arch Neurol</w:t>
      </w:r>
      <w:r w:rsidR="008B5314" w:rsidRPr="006F02F9">
        <w:rPr>
          <w:rFonts w:ascii="Times New Roman" w:hAnsi="Times New Roman" w:cs="Times New Roman"/>
          <w:noProof/>
          <w:sz w:val="24"/>
          <w:szCs w:val="24"/>
        </w:rPr>
        <w:t>, 58 (2001), 781–6.</w:t>
      </w:r>
      <w:r w:rsidRPr="006F02F9">
        <w:rPr>
          <w:rFonts w:ascii="Times New Roman" w:hAnsi="Times New Roman" w:cs="Times New Roman"/>
          <w:sz w:val="24"/>
          <w:szCs w:val="24"/>
        </w:rPr>
        <w:fldChar w:fldCharType="end"/>
      </w:r>
      <w:commentRangeEnd w:id="16"/>
      <w:r w:rsidR="00FA2746">
        <w:rPr>
          <w:rStyle w:val="CommentReference"/>
        </w:rPr>
        <w:commentReference w:id="16"/>
      </w:r>
    </w:p>
    <w:p w14:paraId="45A0045D" w14:textId="77777777" w:rsidR="00B71E1E" w:rsidRPr="006F02F9" w:rsidRDefault="0070529E" w:rsidP="00A733A9">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"author" : [ { "dropping-particle" : "", "family" : "Brown P, Steiger MJ", "given" : "Thompson PD.", "non-dropping-particle" : "", "parse-names" : false, "suffix" : "" } ], "container-title" : "Move Disorder", "id" : "ITEM-1", "issued" : { "date-parts" : [ [ "1993" ] ] }, "page" : "63-8.", "title" : "Effectiveness of piracetam in cortical myoclonus.", "type" : "article-journal", "volume" : "9" }, "uris" : [ "http://www.mendeley.com/documents/?uuid=c4b578d8-c09c-472f-9b98-20edbff287fd" ] } ], "mendeley" : { "formattedCitation" : "Thompson PD. Brown P, Steiger MJ, \u2018Effectiveness of Piracetam in Cortical Myoclonus.\u2019, &lt;i&gt;Move Disorder&lt;/i&gt;, 9 (1993), 63\u20138.", "plainTextFormattedCitation" : "Thompson PD. Brown P, Steiger MJ, \u2018Effectiveness of Piracetam in Cortical Myoclonus.\u2019, Move Disorder, 9 (1993), 63\u20138.", "previouslyFormattedCitation" : "Thompson PD. Brown P, Steiger MJ, \u2018Effectiveness of Piracetam in Cortical Myoclonus.\u2019, &lt;i&gt;Move Disorder&lt;/i&gt;, 9 (1993), 63\u20138."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8B5314" w:rsidRPr="006F02F9">
        <w:rPr>
          <w:rFonts w:ascii="Times New Roman" w:hAnsi="Times New Roman" w:cs="Times New Roman"/>
          <w:noProof/>
          <w:sz w:val="24"/>
          <w:szCs w:val="24"/>
        </w:rPr>
        <w:t xml:space="preserve">Thompson PD. Brown P, Steiger MJ, ‘Effectiveness of Piracetam in Cortical Myoclonus.’, </w:t>
      </w:r>
      <w:r w:rsidR="008B5314" w:rsidRPr="006F02F9">
        <w:rPr>
          <w:rFonts w:ascii="Times New Roman" w:hAnsi="Times New Roman" w:cs="Times New Roman"/>
          <w:i/>
          <w:noProof/>
          <w:sz w:val="24"/>
          <w:szCs w:val="24"/>
        </w:rPr>
        <w:t>Move Disorder</w:t>
      </w:r>
      <w:r w:rsidR="008B5314" w:rsidRPr="006F02F9">
        <w:rPr>
          <w:rFonts w:ascii="Times New Roman" w:hAnsi="Times New Roman" w:cs="Times New Roman"/>
          <w:noProof/>
          <w:sz w:val="24"/>
          <w:szCs w:val="24"/>
        </w:rPr>
        <w:t>, 9 (1993), 63–8.</w:t>
      </w:r>
      <w:r w:rsidRPr="006F02F9">
        <w:rPr>
          <w:rFonts w:ascii="Times New Roman" w:hAnsi="Times New Roman" w:cs="Times New Roman"/>
          <w:sz w:val="24"/>
          <w:szCs w:val="24"/>
        </w:rPr>
        <w:fldChar w:fldCharType="end"/>
      </w:r>
    </w:p>
    <w:p w14:paraId="26D43E86" w14:textId="77777777" w:rsidR="00A733A9" w:rsidRPr="006F02F9" w:rsidRDefault="0070529E" w:rsidP="00A733A9">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"10.2165/11319230-000000000-00000", "ISBN" : "0012-6667\\n1179-1950", "ISSN" : "00126667", "PMID" : "20166767", "abstract" : "There is an increasing interest in nootropic drugs for the treatment of CNS disorders. Since the last meta-analysis of the clinical efficacy of piracetam, more information has accumulated. The primary objective of this systematic survey is to evaluate the clinical outcomes as well as the scientific literature relating to the pharmacology, pharmacokinetics/pharmacodynamics, mechanism of action, dosing, toxicology and adverse effects of marketed and investigational drugs. The major focus of the literature search was on articles demonstrating evidence-based clinical investigations during the past 10 years for the following therapeutic categories of CNS disorders: (i) cognition/memory; (ii) epilepsy and seizure; (iii) neurodegenerative diseases; (iv) stroke/ischaemia; and (v) stress and anxiety. In this article, piracetam-like compounds are divided into three subgroups based on their chemical structures, known efficacy and intended clinical uses. Subgroup 1 drugs include piracetam, oxiracetam, aniracetam, pramiracetam and phenylpiracetam, which have been used in humans and some of which are available as dietary supplements. Of these, oxiracetam and aniracetam are no longer in clinical use. Pramiracetam reportedly improved cognitive deficits associated with traumatic brain injuries. Although piracetam exhibited no long-term benefits for the treatment of mild cognitive impairments, recent studies demonstrated its neuroprotective effect when used during coronary bypass surgery. It was also effective in the treatment of cognitive disorders of cerebrovascular and traumatic origins; however, its overall effect on lowering depression and anxiety was higher than improving memory. As add-on therapy, it appears to benefit individuals with myoclonus epilepsy and tardive dyskinesia. Phenylpiracetam is more potent than piracetam and is used for a wider range of indications. In combination with a vasodilator drug, piracetam appeared to have an additive beneficial effect on various cognitive disabilities. Subgroup 2 drugs include levetiracetam, seletracetam and brivaracetam, which demonstrate antiepileptic activity, although their cognitive effects are unclear. Subgroup 3 includes piracetam derivatives with unknown clinical efficacies, and of these nefiracetam failed to improve cognition in post-stroke patients and rolipram is currently in clinical trials as an antidepressant. The remaining compounds of this subgroup are at various preclinical stages of research. The mode\u2026", "author" : [ { "dropping-particle" : "", "family" : "Malykh", "given" : "Andrei G.", "non-dropping-particle" : "", "parse-names" : false, "suffix" : "" }, { "dropping-particle" : "", "family" : "Sadaie", "given" : "M. Reza", "non-dropping-particle" : "", "parse-names" : false, "suffix" : "" } ], "container-title" : "Drugs", "id" : "ITEM-1", "issue" : "3", "issued" : { "date-parts" : [ [ "2010" ] ] }, "page" : "287-312", "title" : "Piracetam and piracetam-like drugs: From basic science to novel clinical applications to CNS disorders", "type" : "article", "volume" : "70" }, "uris" : [ "http://www.mendeley.com/documents/?uuid=1abc75ba-4c44-4f5f-9cdd-b799d58d0c6a", "http://www.mendeley.com/documents/?uuid=af06ccbd-c3a5-4be4-bdf3-d3ab15596774" ] } ], "mendeley" : { "formattedCitation" : "Andrei G. Malykh and M. Reza Sadaie, \u2018Piracetam and Piracetam-like Drugs: From Basic Science to Novel Clinical Applications to CNS Disorders\u2019, &lt;i&gt;Drugs&lt;/i&gt;, 2010, 287\u2013312 &lt;https://doi.org/10.2165/11319230-000000000-00000&gt;.", "manualFormatting" : "Andrei G. Malykh and M. Reza Sadaie, \u2018Piracetam and Piracetam-like Drugs: From Basic Science to Novel Clinical Applications to CNS Disorders\u2019, Drugs, 2010, 287\u2013312.", "plainTextFormattedCitation" : "Andrei G. Malykh and M. Reza Sadaie, \u2018Piracetam and Piracetam-like Drugs: From Basic Science to Novel Clinical Applications to CNS Disorders\u2019, Drugs, 2010, 287\u2013312 .", "previouslyFormattedCitation" : "Andrei G. Malykh and M. Reza Sadaie, \u2018Piracetam and Piracetam-like Drugs: From Basic Science to Novel Clinical Applications to CNS Disorders\u2019, &lt;i&gt;Drugs&lt;/i&gt;, 2010, 287\u2013312 &lt;https://doi.org/10.2165/11319230-000000000-00000&gt;."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A733A9" w:rsidRPr="006F02F9">
        <w:rPr>
          <w:rFonts w:ascii="Times New Roman" w:hAnsi="Times New Roman" w:cs="Times New Roman"/>
          <w:noProof/>
          <w:sz w:val="24"/>
          <w:szCs w:val="24"/>
        </w:rPr>
        <w:t xml:space="preserve">Andrei G. Malykh and M. Reza Sadaie, ‘Piracetam and Piracetam-like Drugs: From Basic Science to Novel Clinical Applications to CNS Disorders’, </w:t>
      </w:r>
      <w:r w:rsidR="00A733A9" w:rsidRPr="006F02F9">
        <w:rPr>
          <w:rFonts w:ascii="Times New Roman" w:hAnsi="Times New Roman" w:cs="Times New Roman"/>
          <w:i/>
          <w:noProof/>
          <w:sz w:val="24"/>
          <w:szCs w:val="24"/>
        </w:rPr>
        <w:t>Drugs</w:t>
      </w:r>
      <w:r w:rsidR="00A733A9" w:rsidRPr="006F02F9">
        <w:rPr>
          <w:rFonts w:ascii="Times New Roman" w:hAnsi="Times New Roman" w:cs="Times New Roman"/>
          <w:noProof/>
          <w:sz w:val="24"/>
          <w:szCs w:val="24"/>
        </w:rPr>
        <w:t>, 2010, 287–312.</w:t>
      </w:r>
      <w:r w:rsidRPr="006F02F9">
        <w:rPr>
          <w:rFonts w:ascii="Times New Roman" w:hAnsi="Times New Roman" w:cs="Times New Roman"/>
          <w:sz w:val="24"/>
          <w:szCs w:val="24"/>
        </w:rPr>
        <w:fldChar w:fldCharType="end"/>
      </w:r>
    </w:p>
    <w:p w14:paraId="376F733F"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"10.1016/0091-3057(88)90030-5", "ISSN" : "00913057", "abstract" : "The effects of piracetam on the amnesias induced by scopolamine, diazepam and electroconvulsive shock (ECS) were studied in a passive avoidance procedure in the mouse and compared with the interactions of piracetam with the major behavioral effects of these treatments, namely scopolamine-induced hyperactivity, diazepam-induced release of punished behavior (Four Plates Test) and ECS-induced convulsions. Amnesia was induced by injecting scopolamine or diazepam (1 mg/kg, IP) 30 minutes before or applying ECS immediately after the first session (S1) of the passive avoidance task. Piracetam was studied at 3 doses (512, 1024 and 2048 mg/kg) administered PO 60 minutes before S1. Retention was measured 24 hours later (S2) in the absence of any treatment. Piracetam dose-dependently attenuated the memory deficits induced by the three amnesic treatments but did not affect either scopolamine-induced hyperactivity, diazepam-induced release of punished behavior or ECS-induced convulsions. These results point to the specificity of piracetam's anti-amnesic activity and, in particular, suggest that piracetam can suppress the memory disturbances induced by diazepam without affecting diazepam's anxiolytic activity. The test battery employed would therefore seem highly suitable for evaluating the potential nootropic activity of novel compounds. ?? 1988.", "author" : [ { "dropping-particle" : "", "family" : "Len\u00e8gre", "given" : "A.", "non-dropping-particle" : "", "parse-names" : false, "suffix" : "" }, { "dropping-particle" : "", "family" : "Chermat", "given" : "R.", "non-dropping-particle" : "", "parse-names" : false, "suffix" : "" }, { "dropping-particle" : "", "family" : "Avril", "given" : "I.", "non-dropping-particle" : "", "parse-names" : false, "suffix" : "" }, { "dropping-particle" : "", "family" : "St\u00e9ru", "given" : "L.", "non-dropping-particle" : "", "parse-names" : false, "suffix" : "" }, { "dropping-particle" : "", "family" : "Porsolt", "given" : "R. D.", "non-dropping-particle" : "", "parse-names" : false, "suffix" : "" } ], "container-title" : "Pharmacology, Biochemistry and Behavior", "id" : "ITEM-1", "issue" : "3", "issued" : { "date-parts" : [ [ "1988" ] ] }, "page" : "625-629", "title" : "Specificity of piracetam's anti-amnesic activity in three models of amnesia in the mouse", "type" : "article-journal", "volume" : "29" }, "uris" : [ "http://www.mendeley.com/documents/?uuid=e88f946e-6344-4adf-995b-5cef3807f38e" ] } ], "mendeley" : { "formattedCitation" : "A. Len\u00e8gre and others, \u2018Specificity of Piracetam\u2019s Anti-Amnesic Activity in Three Models of Amnesia in the Mouse\u2019, &lt;i&gt;Pharmacology, Biochemistry and Behavior&lt;/i&gt;, 29.3 (1988), 625\u201329 &lt;https://doi.org/10.1016/0091-3057(88)90030-5&gt;.", "manualFormatting" : "A. Len\u00e8gre and others, \u2018Specificity of Piracetam\u2019s Anti-Amnesic Activity in Three Models of Amnesia in the Mouse\u2019, Pharmacology, Biochemistry and Behavior, 29.3 (1988), 625\u201329.", "plainTextFormattedCitation" : "A. Len\u00e8gre and others, \u2018Specificity of Piracetam\u2019s Anti-Amnesic Activity in Three Models of Amnesia in the Mouse\u2019, Pharmacology, Biochemistry and Behavior, 29.3 (1988), 625\u201329 .", "previouslyFormattedCitation" : "A. Len\u00e8gre and others, \u2018Specificity of Piracetam\u2019s Anti-Amnesic Activity in Three Models of Amnesia in the Mouse\u2019, &lt;i&gt;Pharmacology, Biochemistry and Behavior&lt;/i&gt;, 29.3 (1988), 625\u201329 &lt;https://doi.org/10.1016/0091-3057(88)90030-5&gt;."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A. Lenègre and others, ‘Specificity of Piracetam’s Anti-Amnesic Activity in Three Models of Amnesia in the Mouse’, </w:t>
      </w:r>
      <w:r w:rsidR="0071615A" w:rsidRPr="006F02F9">
        <w:rPr>
          <w:rFonts w:ascii="Times New Roman" w:hAnsi="Times New Roman" w:cs="Times New Roman"/>
          <w:i/>
          <w:noProof/>
          <w:sz w:val="24"/>
          <w:szCs w:val="24"/>
        </w:rPr>
        <w:t>Pharmacology, Biochemistry and Behavior</w:t>
      </w:r>
      <w:r w:rsidR="0071615A" w:rsidRPr="006F02F9">
        <w:rPr>
          <w:rFonts w:ascii="Times New Roman" w:hAnsi="Times New Roman" w:cs="Times New Roman"/>
          <w:noProof/>
          <w:sz w:val="24"/>
          <w:szCs w:val="24"/>
        </w:rPr>
        <w:t>, 29.3 (1988), 625–29.</w:t>
      </w:r>
      <w:r w:rsidRPr="006F02F9">
        <w:rPr>
          <w:rFonts w:ascii="Times New Roman" w:hAnsi="Times New Roman" w:cs="Times New Roman"/>
          <w:sz w:val="24"/>
          <w:szCs w:val="24"/>
        </w:rPr>
        <w:fldChar w:fldCharType="end"/>
      </w:r>
    </w:p>
    <w:p w14:paraId="49A50630"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"10.1007/BF00174514", "ISSN" : "0033-3158", "PMID" : "3137602", "abstract" : "Scopolamine (3 mg/kg IP) given before an acquisition trial, reduced the retention of a one-trial passive avoidance \"step through\" response in mice. A single administration of cholinergic agonists such as oxotremorine, BM-5, or arecoline, antagonized this amnesic effect of scopolamine. A significant anti-amnesic effect was also found with nootropic drugs such as piracetam and ucb L059, whereas ucb L060 (the enantiomer of ucb L059), oxiracetam and rolziracetam were shown to be ineffective. Moreover, ucb L059, administered twice daily for 3 days, counteracted the amnesic effects of scopolamine completely, whereas ucb L060 was again inactive. The results demonstrate that: (a) this model of impaired cognition by scopolamine is able to discriminate between closely related chemical substances and even stereoisomers; and (b) nootropic drugs, such as ucb L059, are more effective after repeated rather than after acute administration.", "author" : [ { "dropping-particle" : "", "family" : "Verloes", "given" : "R", "non-dropping-particle" : "", "parse-names" : false, "suffix" : "" }, { "dropping-particle" : "", "family" : "Scotto", "given" : "A M", "non-dropping-particle" : "", "parse-names" : false, "suffix" : "" }, { "dropping-particle" : "", "family" : "Gobert", "given" : "J", "non-dropping-particle" : "", "parse-names" : false, "suffix" : "" }, { "dropping-particle" : "", "family" : "W\u00fclfert", "given" : "E", "non-dropping-particle" : "", "parse-names" : false, "suffix" : "" } ], "container-title" : "Psychopharmacology", "id" : "ITEM-1", "issue" : "2", "issued" : { "date-parts" : [ [ "1988" ] ] }, "page" : "226-230", "title" : "Effects of nootropic drugs in a scopolamine-induced amnesia model in mice.", "type" : "article-journal", "volume" : "95" }, "uris" : [ "http://www.mendeley.com/documents/?uuid=d1fe6ab8-9f18-4805-bd51-0e41304ea608" ] } ], "mendeley" : { "formattedCitation" : "R Verloes and others, \u2018Effects of Nootropic Drugs in a Scopolamine-Induced Amnesia Model in Mice.\u2019, &lt;i&gt;Psychopharmacology&lt;/i&gt;, 95.2 (1988), 226\u201330 &lt;https://doi.org/10.1007/BF00174514&gt;.", "manualFormatting" : "R Verloes and others, \u2018Effects of Nootropic Drugs in a Scopolamine-Induced Amnesia Model in Mice.\u2019, Psychopharmacology, 95.2 (1988), 226\u201330.", "plainTextFormattedCitation" : "R Verloes and others, \u2018Effects of Nootropic Drugs in a Scopolamine-Induced Amnesia Model in Mice.\u2019, Psychopharmacology, 95.2 (1988), 226\u201330 .", "previouslyFormattedCitation" : "R Verloes and others, \u2018Effects of Nootropic Drugs in a Scopolamine-Induced Amnesia Model in Mice.\u2019, &lt;i&gt;Psychopharmacology&lt;/i&gt;, 95.2 (1988), 226\u201330 &lt;https://doi.org/10.1007/BF00174514&gt;."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R Verloes and others, ‘Effects of Nootropic Drugs in a Scopolamine-Induced Amnesia Model in Mice.’, </w:t>
      </w:r>
      <w:r w:rsidR="0071615A" w:rsidRPr="006F02F9">
        <w:rPr>
          <w:rFonts w:ascii="Times New Roman" w:hAnsi="Times New Roman" w:cs="Times New Roman"/>
          <w:i/>
          <w:noProof/>
          <w:sz w:val="24"/>
          <w:szCs w:val="24"/>
        </w:rPr>
        <w:t>Psychopharmacology</w:t>
      </w:r>
      <w:r w:rsidR="0071615A" w:rsidRPr="006F02F9">
        <w:rPr>
          <w:rFonts w:ascii="Times New Roman" w:hAnsi="Times New Roman" w:cs="Times New Roman"/>
          <w:noProof/>
          <w:sz w:val="24"/>
          <w:szCs w:val="24"/>
        </w:rPr>
        <w:t>, 95.2 (1988), 226–30.</w:t>
      </w:r>
      <w:r w:rsidRPr="006F02F9">
        <w:rPr>
          <w:rFonts w:ascii="Times New Roman" w:hAnsi="Times New Roman" w:cs="Times New Roman"/>
          <w:sz w:val="24"/>
          <w:szCs w:val="24"/>
        </w:rPr>
        <w:fldChar w:fldCharType="end"/>
      </w:r>
    </w:p>
    <w:p w14:paraId="5AEB3228"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"10.1016/S0028-3908(98)00064-1", "ISBN" : "0028-3908", "ISSN" : "00283908", "abstract" : "Young male rats, trained in a spatial three-choice test, showed improved task acquisition after chronic treatment with piracetam (250 mg kg-1). After reaching a learning criterion, one group of animals was observed during Pavlovian extinction of the task skill and another group was assigned to reversal learning. The rate of extinction was slowed down in piracetam treated specimens compared to control animals. During reversal training, a new choice had to be learned while the previously acquired choice was no longer reinforced. Acquisition of the new skill was significantly impeded by piracetam in contrast to acquisition of the first skill, which was facilitated. Also during reversal learning, the piracetam treated group persevered longer than the control group in repeating the first acquired choice at the expense of learning the new choice. It is therefore suggested, that the impediment of reversal learning was caused by inhibition of extinction. In an open-field test, the time spent exploring in motion was increased by piracetam while the velocity of locomotion was unaffected by the drug. In a novelty test, piracetam increased the rate of loss of interactions with the novel object.", "author" : [ { "dropping-particle" : "", "family" : "Christoffersen", "given" : "G. R J", "non-dropping-particle" : "", "parse-names" : false, "suffix" : "" }, { "dropping-particle" : "", "family" : "Kemp", "given" : "Anne", "non-dropping-particle" : "", "parse-names" : false, "suffix" : "" }, { "dropping-particle" : "", "family" : "\u00d6rlygsdottir", "given" : "Gudbj\u00f6rg", "non-dropping-particle" : "", "parse-names" : false, "suffix" : "" } ], "container-title" : "Neuropharmacology", "id" : "ITEM-1", "issue" : "6", "issued" : { "date-parts" : [ [ "1998" ] ] }, "page" : "815-825", "title" : "Piracetam inhibits pavlovian extinction and reversal learning in a spatial task for rats", "type" : "article-journal", "volume" : "37" }, "uris" : [ "http://www.mendeley.com/documents/?uuid=96095b3f-94f8-4ecc-ab9d-7cff19efc531" ] } ], "mendeley" : { "formattedCitation" : "G. R J Christoffersen, Anne Kemp, and Gudbj\u00f6rg \u00d6rlygsdottir, \u2018Piracetam Inhibits Pavlovian Extinction and Reversal Learning in a Spatial Task for Rats\u2019, &lt;i&gt;Neuropharmacology&lt;/i&gt;, 37.6 (1998), 815\u201325 &lt;https://doi.org/10.1016/S0028-3908(98)00064-1&gt;.", "manualFormatting" : "G. R J Christoffersen, Anne Kemp, and Gudbj\u00f6rg \u00d6rlygsdottir, \u2018Piracetam Inhibits Pavlovian Extinction and Reversal Learning in a Spatial Task for Rats\u2019.", "plainTextFormattedCitation" : "G. R J Christoffersen, Anne Kemp, and Gudbj\u00f6rg \u00d6rlygsdottir, \u2018Piracetam Inhibits Pavlovian Extinction and Reversal Learning in a Spatial Task for Rats\u2019, Neuropharmacology, 37.6 (1998), 815\u201325 .", "previouslyFormattedCitation" : "G. R J Christoffersen, Anne Kemp, and Gudbj\u00f6rg \u00d6rlygsdottir, \u2018Piracetam Inhibits Pavlovian Extinction and Reversal Learning in a Spatial Task for Rats\u2019, &lt;i&gt;Neuropharmacology&lt;/i&gt;, 37.6 (1998), 815\u201325 &lt;https://doi.org/10.1016/S0028-3908(98)00064-1&gt;."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G. R J Christoffersen, Anne Kemp, and Gudbjörg Örlygsdottir, ‘Piracetam Inhibits Pavlovian Extinction and Reversal Learning in a Spatial Task for Rats’.</w:t>
      </w:r>
      <w:r w:rsidRPr="006F02F9">
        <w:rPr>
          <w:rFonts w:ascii="Times New Roman" w:hAnsi="Times New Roman" w:cs="Times New Roman"/>
          <w:sz w:val="24"/>
          <w:szCs w:val="24"/>
        </w:rPr>
        <w:fldChar w:fldCharType="end"/>
      </w:r>
    </w:p>
    <w:p w14:paraId="0BF016C1"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"10.1016/S1059-1311(97)80022-2", "ISBN" : "1059-1311 (Print)\\r1059-1311 (Linking)", "ISSN" : "10591311", "PMID" : "9530943", "abstract" : "The effect of the nootropic drug piracetam (100 mg/kg) on kindled seizures, kindling-induced learning deficits, and histological alterations due to changes in central excitability was investigated in Wistar rats. The animals were kindled by repeated i.p. injections of an initially subconvulsive dose of pentylenetetrazol (PTZ). As a control, piracetam or physiological saline was given 60 minutes before PTZ. Twenty-four hours after completion of kindling the rats were tested in a shuttle-box paradigm. Seven days after the final kindling injection, the animals received a challenge dose of PTZ. Finally, the brains of the rats were processed for histological investigation. Pentylenetetrazol-kindled animals showed increasing seizure scores, and a learning deficit in the shuttle-box. Piracetam had no effect either on kindling development or on the reaction to a challenge dose of PTZ, but it protected the animals against the kindling-induced reduction of learning performance. The substance had no effect on learning performance in control animals. In distinct hippocampal structures. a neuronal cell loss was found in kindled rats. Interestingly, piracetam counteracted this damage efficaciously. The effects of piracetam are discussed in terms of its cytoprotective action. It is suggested that a coadministration of piracetam with clinically used antiepileptic drugs might be useful in antiepileptic therapy.", "author" : [ { "dropping-particle" : "", "family" : "Pohle", "given" : "W.", "non-dropping-particle" : "", "parse-names" : false, "suffix" : "" }, { "dropping-particle" : "", "family" : "Becker", "given" : "A.", "non-dropping-particle" : "", "parse-names" : false, "suffix" : "" }, { "dropping-particle" : "", "family" : "Grecksch", "given" : "G.", "non-dropping-particle" : "", "parse-names" : false, "suffix" : "" }, { "dropping-particle" : "", "family" : "Juhre", "given" : "A.", "non-dropping-particle" : "", "parse-names" : false, "suffix" : "" }, { "dropping-particle" : "", "family" : "Willenberg", "given" : "A.", "non-dropping-particle" : "", "parse-names" : false, "suffix" : "" } ], "container-title" : "Seizure", "id" : "ITEM-1", "issue" : "6", "issued" : { "date-parts" : [ [ "1997" ] ] }, "page" : "467-474", "title" : "Piracetam prevents pentylenetetrazol kindling-induced neuronal loss and learning deficits", "type" : "article-journal", "volume" : "6" }, "uris" : [ "http://www.mendeley.com/documents/?uuid=1a7cd736-e97d-45ea-a1c4-5c955021490a" ] } ], "mendeley" : { "formattedCitation" : "W. Pohle and others, \u2018Piracetam Prevents Pentylenetetrazol Kindling-Induced Neuronal Loss and Learning Deficits\u2019, &lt;i&gt;Seizure&lt;/i&gt;, 6.6 (1997), 467\u201374 &lt;https://doi.org/10.1016/S1059-1311(97)80022-2&gt;.", "manualFormatting" : "W. Pohle and others, \u2018Piracetam Prevents Pentylenetetrazol Kindling-Induced Neuronal Loss and Learning Deficits\u2019, Seizure, 6.6 (1997), 467\u201374.", "plainTextFormattedCitation" : "W. Pohle and others, \u2018Piracetam Prevents Pentylenetetrazol Kindling-Induced Neuronal Loss and Learning Deficits\u2019, Seizure, 6.6 (1997), 467\u201374 .", "previouslyFormattedCitation" : "W. Pohle and others, \u2018Piracetam Prevents Pentylenetetrazol Kindling-Induced Neuronal Loss and Learning Deficits\u2019, &lt;i&gt;Seizure&lt;/i&gt;, 6.6 (1997), 467\u201374 &lt;https://doi.org/10.1016/S1059-1311(97)80022-2&gt;."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W. Pohle and others, ‘Piracetam Prevents Pentylenetetrazol Kindling-Induced Neuronal Loss and Learning Deficits’, </w:t>
      </w:r>
      <w:r w:rsidR="0071615A" w:rsidRPr="006F02F9">
        <w:rPr>
          <w:rFonts w:ascii="Times New Roman" w:hAnsi="Times New Roman" w:cs="Times New Roman"/>
          <w:i/>
          <w:noProof/>
          <w:sz w:val="24"/>
          <w:szCs w:val="24"/>
        </w:rPr>
        <w:t>Seizure</w:t>
      </w:r>
      <w:r w:rsidR="0071615A" w:rsidRPr="006F02F9">
        <w:rPr>
          <w:rFonts w:ascii="Times New Roman" w:hAnsi="Times New Roman" w:cs="Times New Roman"/>
          <w:noProof/>
          <w:sz w:val="24"/>
          <w:szCs w:val="24"/>
        </w:rPr>
        <w:t>, 6.6 (1997), 467–74.</w:t>
      </w:r>
      <w:r w:rsidRPr="006F02F9">
        <w:rPr>
          <w:rFonts w:ascii="Times New Roman" w:hAnsi="Times New Roman" w:cs="Times New Roman"/>
          <w:sz w:val="24"/>
          <w:szCs w:val="24"/>
        </w:rPr>
        <w:fldChar w:fldCharType="end"/>
      </w:r>
    </w:p>
    <w:p w14:paraId="14A5A503" w14:textId="77777777" w:rsidR="0071615A"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"10.1007/s002109900086", "ISSN" : "00281298", "PMID" : "10551278", "abstract" : "Kindling is a generally accepted model for studying epilepsy development in the context of overexpression of processes of neuronal plasticity. In previous studies we have shown that establishment of kindling by repeated application of subconvulsive doses of pentylenetetrazol (PTZ) also led to marked changes in hippocampal excitability and an impairment in learning behaviour. With the intention of further investigating the relationship between kindling development, kindling-induced changes in excitability and learning deficits, rats were chemically kindled under pretreatment with the nootropic drug piracetam. Furthermore, we tested acute piracetam effects on developed kindling seizures, the learning deficit and potentiation effects. At the investigated dose piracetam did not influence the kindling development. The kindling-induced potentiation of hippocampal field potentials was significantly diminished in piracetam-pretreated rats. Piracetam acutely injected completely antagonized this potentiation effect. Piracetam brought about a significant improvement in impaired learning performance in rats pretreated during kindling induction and acutely injected before the learning experiment, respectively. Possible correlations between the suppressing of the kindling related potentiation in hippocampal structures by piracetam and its beneficial effect on learning impairment are discussed as antagonizing overexpression of potentiation in the course of kindling.", "author" : [ { "dropping-particle" : "", "family" : "R\u00fcthrich", "given" : "Heinz", "non-dropping-particle" : "", "parse-names" : false, "suffix" : "" }, { "dropping-particle" : "", "family" : "Grecksch", "given" : "Gisela", "non-dropping-particle" : "", "parse-names" : false, "suffix" : "" }, { "dropping-particle" : "", "family" : "Krug", "given" : "Manfred", "non-dropping-particle" : "", "parse-names" : false, "suffix" : "" } ], "container-title" : "Naunyn-Schmiedeberg's Archives of Pharmacology", "id" : "ITEM-1", "issue" : "4", "issued" : { "date-parts" : [ [ "1999" ] ] }, "page" : "413-420", "title" : "Effects of piracetam on pentylenetetrazol-kindling development, hippocampal potentiation phenomena and kindling-induced learning deficit", "type" : "article-journal", "volume" : "360" }, "uris" : [ "http://www.mendeley.com/documents/?uuid=49e42f5c-68ac-4ea3-b539-c41939c9c6d5" ] } ], "mendeley" : { "formattedCitation" : "Heinz R\u00fcthrich, Gisela Grecksch, and Manfred Krug, \u2018Effects of Piracetam on Pentylenetetrazol-Kindling Development, Hippocampal Potentiation Phenomena and Kindling-Induced Learning Deficit\u2019, &lt;i&gt;Naunyn-Schmiedeberg\u2019s Archives of Pharmacology&lt;/i&gt;, 360.4 (1999), 413\u201320 &lt;https://doi.org/10.1007/s002109900086&gt;.", "manualFormatting" : "Heinz R\u00fcthrich, Gisela Grecksch, and Manfred Krug, \u2018Effects of Piracetam on Pentylenetetrazol-Kindling Development, Hippocampal Potentiation Phenomena and Kindling-Induced Learning Deficit\u2019, Naunyn-Schmiedeberg\u2019s Archives of Pharmacology, 360.4 (1999), 413\u201320.", "plainTextFormattedCitation" : "Heinz R\u00fcthrich, Gisela Grecksch, and Manfred Krug, \u2018Effects of Piracetam on Pentylenetetrazol-Kindling Development, Hippocampal Potentiation Phenomena and Kindling-Induced Learning Deficit\u2019, Naunyn-Schmiedeberg\u2019s Archives of Pharmacology, 360.4 (1999), 413\u201320 .", "previouslyFormattedCitation" : "Heinz R\u00fcthrich, Gisela Grecksch, and Manfred Krug, \u2018Effects of Piracetam on Pentylenetetrazol-Kindling Development, Hippocampal Potentiation Phenomena and Kindling-Induced Learning Deficit\u2019, &lt;i&gt;Naunyn-Schmiedeberg\u2019s Archives of Pharmacology&lt;/i&gt;, 360.4 (1999), 413\u201320 &lt;https://doi.org/10.1007/s002109900086&gt;."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Heinz Rüthrich, Gisela Grecksch, and Manfred Krug, ‘Effects of Piracetam on Pentylenetetrazol-Kindling Development, Hippocampal Potentiation Phenomena and Kindling-Induced Learning Deficit’, </w:t>
      </w:r>
      <w:r w:rsidR="0071615A" w:rsidRPr="006F02F9">
        <w:rPr>
          <w:rFonts w:ascii="Times New Roman" w:hAnsi="Times New Roman" w:cs="Times New Roman"/>
          <w:i/>
          <w:noProof/>
          <w:sz w:val="24"/>
          <w:szCs w:val="24"/>
        </w:rPr>
        <w:t>Naunyn-Schmiedeberg’s Archives of Pharmacology</w:t>
      </w:r>
      <w:r w:rsidR="0071615A" w:rsidRPr="006F02F9">
        <w:rPr>
          <w:rFonts w:ascii="Times New Roman" w:hAnsi="Times New Roman" w:cs="Times New Roman"/>
          <w:noProof/>
          <w:sz w:val="24"/>
          <w:szCs w:val="24"/>
        </w:rPr>
        <w:t>, 360.4 (1999), 413–20.</w:t>
      </w:r>
      <w:r w:rsidRPr="006F02F9">
        <w:rPr>
          <w:rFonts w:ascii="Times New Roman" w:hAnsi="Times New Roman" w:cs="Times New Roman"/>
          <w:sz w:val="24"/>
          <w:szCs w:val="24"/>
        </w:rPr>
        <w:fldChar w:fldCharType="end"/>
      </w:r>
    </w:p>
    <w:p w14:paraId="31B80EBA" w14:textId="77777777" w:rsidR="0071615A"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"10.1002/14651858.CD000419.pub3", "ISSN" : "1469-493X", "PMID" : "22972044", "abstract" : "BACKGROUND: Piracetam has neuroprotective and antithrombotic effects that may help to reduce death and disability in people with acute stroke. This is an update of a Cochrane Review first published in 1999, and previously updated in 2006 and 2009.\\n\\nOBJECTIVES: To assess the effects of piracetam in acute, presumed ischaemic stroke.\\n\\nSEARCH METHODS: We searched the Cochrane Stroke Group Trials Register (last searched 15 May 2011), the Cochrane Central Register of Controlled Trials (CENTRAL) (The Cochrane Library 2011, Issue 2), MEDLINE (1966 to May 2011), EMBASE (1980 to May 2011), and ISI Science Citation Index (1981 to May 2011). We also contacted the manufacturer of piracetam to identify further published and unpublished studies.\\n\\nSELECTION CRITERIA: Randomised trials comparing piracetam with control, with at least mortality reported and entry to the trial within three days of stroke onset.\\n\\nDATA COLLECTION AND ANALYSIS: Two review authors extracted data and assessed trial quality and this was checked by the other two review authors. We contacted study authors for missing information.\\n\\nMAIN RESULTS: We included three trials involving 1002 patients, with one trial contributing 93% of the data. Participants' ages ranged from 40 to 85 years, and both sexes were equally represented. Piracetam was associated with a statistically non-significant increase in death at one month (approximately 31% increase, 95% confidence interval 81% increase to 5% reduction). This trend was no longer apparent in the large trial after correction for imbalance in stroke severity. Limited data showed no difference between the treatment and control groups for functional outcome, dependence or proportion of patients dead or dependent. Adverse effects were not reported.\\n\\nAUTHORS' CONCLUSIONS: There is some suggestion (but no statistically significant result) of an unfavourable effect of piracetam on early death, but this may have been caused by baseline differences in stroke severity in the trials. There is not enough evidence to assess the effect of piracetam on dependence.", "author" : [ { "dropping-particle" : "", "family" : "Ricci", "given" : "Stefano", "non-dropping-particle" : "", "parse-names" : false, "suffix" : "" }, { "dropping-particle" : "", "family" : "Celani", "given" : "Maria Grazia", "non-dropping-particle" : "", "parse-names" : false, "suffix" : "" }, { "dropping-particle" : "", "family" : "Cantisani", "given" : "Teresa Anna", "non-dropping-particle" : "", "parse-names" : false, "suffix" : "" }, { "dropping-particle" : "", "family" : "Righetti", "given" : "Enrico", "non-dropping-particle" : "", "parse-names" : false, "suffix" : "" } ], "container-title" : "The Cochrane database of systematic reviews", "id" : "ITEM-1", "issued" : { "date-parts" : [ [ "2012" ] ] }, "page" : "CD000419", "title" : "Piracetam for acute ischaemic stroke.", "type" : "article-journal", "volume" : "9" }, "uris" : [ "http://www.mendeley.com/documents/?uuid=3f2b4892-134f-421a-89cd-21e7897cd64c" ] } ], "mendeley" : { "formattedCitation" : "Stefano Ricci and others, \u2018Piracetam for Acute Ischaemic Stroke.\u2019, &lt;i&gt;The Cochrane Database of Systematic Reviews&lt;/i&gt;, 9 (2012), CD000419 &lt;https://doi.org/10.1002/14651858.CD000419.pub3&gt;.", "manualFormatting" : "Stefano Ricci and others, \u2018Piracetam for Acute Ischaemic Stroke.\u2019, The Cochrane Database of Systematic Reviews, 9 (2012).", "plainTextFormattedCitation" : "Stefano Ricci and others, \u2018Piracetam for Acute Ischaemic Stroke.\u2019, The Cochrane Database of Systematic Reviews, 9 (2012), CD000419 .", "previouslyFormattedCitation" : "Stefano Ricci and others, \u2018Piracetam for Acute Ischaemic Stroke.\u2019, &lt;i&gt;The Cochrane Database of Systematic Reviews&lt;/i&gt;, 9 (2012), CD000419 &lt;https://doi.org/10.1002/14651858.CD000419.pub3&gt;."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Stefano Ricci and others, ‘Piracetam for Acute Ischaemic Stroke.’, </w:t>
      </w:r>
      <w:r w:rsidR="0071615A" w:rsidRPr="006F02F9">
        <w:rPr>
          <w:rFonts w:ascii="Times New Roman" w:hAnsi="Times New Roman" w:cs="Times New Roman"/>
          <w:i/>
          <w:noProof/>
          <w:sz w:val="24"/>
          <w:szCs w:val="24"/>
        </w:rPr>
        <w:t>The Cochrane Database of Systematic Reviews</w:t>
      </w:r>
      <w:r w:rsidR="0071615A" w:rsidRPr="006F02F9">
        <w:rPr>
          <w:rFonts w:ascii="Times New Roman" w:hAnsi="Times New Roman" w:cs="Times New Roman"/>
          <w:noProof/>
          <w:sz w:val="24"/>
          <w:szCs w:val="24"/>
        </w:rPr>
        <w:t>, 9 (2012).</w:t>
      </w:r>
      <w:r w:rsidRPr="006F02F9">
        <w:rPr>
          <w:rFonts w:ascii="Times New Roman" w:hAnsi="Times New Roman" w:cs="Times New Roman"/>
          <w:sz w:val="24"/>
          <w:szCs w:val="24"/>
        </w:rPr>
        <w:fldChar w:fldCharType="end"/>
      </w:r>
    </w:p>
    <w:p w14:paraId="7D19B69B" w14:textId="77777777" w:rsidR="00B71E1E"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"10.1055/s-2007-979233", "ISBN" : "0176-3679", "ISSN" : "0176-3679 (Print)", "PMID" : "10338105", "abstract" : "The neuroprotective properties of the nootropic agent piracetam together with reported hemorrheologic and antithrombotic effects provided the rationale for the evaluation of piracetam in acute stroke. Pilot studies showed an increase in compromised regional cerebral blood flow and improvement in motor function, aphasia and level of consciousness. Subsequently the Piracetam in Acute Stroke Study (PASS) was performed and the chief results have recently been reported (Stroke 28 (1997) 2347-2352). This was a multicenter double-blind trial in 927 patients to determine whether, compared with placebo, piracetam improved outcome when given within 12 hours of the onset of acute ischemic stroke, confirmed by computed tomography within 24 hours of admission (but not necessarily prior to treatment). Patients received an initial iv bolus of placebo or 12g piracetam, 12g piracetam daily for 4 weeks and maintenance treatment for a further 8 weeks. Neurologic status at 4 weeks was the primary end point; secondary outcome measures were functional outcome and aphasia at 12 weeks. Results in aphasic patients have not previously been reported. Analysis was planned both in all patients (n = 927) and an early treatment subgroup (n = 460) treated within 6 hours of stroke onset. This period was subsequently redefined as 7 hours. Intention-to-treat analyses in the total population showed a significant (P = 0.04) increase compared with placebo in the number of patients recovered from aphasia but no significant neurologic or functional improvement. Post hoc analysis in the early treatment subgroup showed improved neurologic outcome (P = 0.07), better function (P = 0.02) and a greater recovery rate from aphasia (P = 0.02). Additional analysis in this early treatment subgroup confined to 360 patients with moderate and severe stroke showed significant improvement in all 3 outcomes. There was no significant difference in mortality between treatment groups after 12 weeks. There were fewer deaths in piracetam-treated patients in those patients in the intention-to-treat population admitted with primary hemorrhagic stroke.", "author" : [ { "dropping-particle" : "", "family" : "Orgogozo", "given" : "J M", "non-dropping-particle" : "", "parse-names" : false, "suffix" : "" } ], "container-title" : "Pharmacopsychiatry", "id" : "ITEM-1", "issued" : { "date-parts" : [ [ "1999" ] ] }, "page" : "25-32", "title" : "Piracetam in the treatment of acute stroke.", "type" : "article-journal", "volume" : "32 Suppl 1" }, "uris" : [ "http://www.mendeley.com/documents/?uuid=47e08eab-eff8-4f66-8c04-bf3ed2d40437" ] } ], "mendeley" : { "formattedCitation" : "J M Orgogozo, \u2018Piracetam in the Treatment of Acute Stroke.\u2019, &lt;i&gt;Pharmacopsychiatry&lt;/i&gt;, 32 Suppl 1 (1999), 25\u201332 &lt;https://doi.org/10.1055/s-2007-979233&gt;.", "manualFormatting" : "J M Orgogozo, \u2018Piracetam in the Treatment of Acute Stroke.\u2019, Pharmacopsychiatry, 32 Suppl 1 (1999), 25\u201332.", "plainTextFormattedCitation" : "J M Orgogozo, \u2018Piracetam in the Treatment of Acute Stroke.\u2019, Pharmacopsychiatry, 32 Suppl 1 (1999), 25\u201332 .", "previouslyFormattedCitation" : "J M Orgogozo, \u2018Piracetam in the Treatment of Acute Stroke.\u2019, &lt;i&gt;Pharmacopsychiatry&lt;/i&gt;, 32 Suppl 1 (1999), 25\u201332 &lt;https://doi.org/10.1055/s-2007-979233&gt;."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1615A" w:rsidRPr="006F02F9">
        <w:rPr>
          <w:rFonts w:ascii="Times New Roman" w:hAnsi="Times New Roman" w:cs="Times New Roman"/>
          <w:noProof/>
          <w:sz w:val="24"/>
          <w:szCs w:val="24"/>
        </w:rPr>
        <w:t xml:space="preserve">J M Orgogozo, ‘Piracetam in the Treatment of Acute Stroke.’, </w:t>
      </w:r>
      <w:r w:rsidR="0071615A" w:rsidRPr="006F02F9">
        <w:rPr>
          <w:rFonts w:ascii="Times New Roman" w:hAnsi="Times New Roman" w:cs="Times New Roman"/>
          <w:i/>
          <w:noProof/>
          <w:sz w:val="24"/>
          <w:szCs w:val="24"/>
        </w:rPr>
        <w:t>Pharmacopsychiatry</w:t>
      </w:r>
      <w:r w:rsidR="0071615A" w:rsidRPr="006F02F9">
        <w:rPr>
          <w:rFonts w:ascii="Times New Roman" w:hAnsi="Times New Roman" w:cs="Times New Roman"/>
          <w:noProof/>
          <w:sz w:val="24"/>
          <w:szCs w:val="24"/>
        </w:rPr>
        <w:t>, 32 Suppl 1 (1999), 25–32.</w:t>
      </w:r>
      <w:r w:rsidRPr="006F02F9">
        <w:rPr>
          <w:rFonts w:ascii="Times New Roman" w:hAnsi="Times New Roman" w:cs="Times New Roman"/>
          <w:sz w:val="24"/>
          <w:szCs w:val="24"/>
        </w:rPr>
        <w:fldChar w:fldCharType="end"/>
      </w:r>
    </w:p>
    <w:p w14:paraId="5E7F4B9F" w14:textId="77777777" w:rsidR="007749D7" w:rsidRPr="006F02F9" w:rsidRDefault="0070529E" w:rsidP="007749D7">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"10.1016/0165-0270(86)90006-3", "ISSN" : "01650270", "PMID" : "2422501", "abstract" : "A quantitative analysis of acetylcholinesterase (AChE) activity in histochemically stained sections of rat and human bran can be achieved through the use of internal standards and computerized image analysis. Tissue standards containing known amounts of a highly purified AChE preparation are sectioned and incubated under the same conditions as experimental sections. A computerized image analyzer is used to convert the optical density of the stain to units of enzyme content via the standard curve. The method generates reliable and reproducible quantitative values from very small brain regions and nuclei, combining the quantitative character of a radiometric assay with the superior anatomical resolution of histochemistry. ?? 1986.", "author" : [ { "dropping-particle" : "", "family" : "Biegon", "given" : "Anat", "non-dropping-particle" : "", "parse-names" : false, "suffix" : "" }, { "dropping-particle" : "", "family" : "Wolff", "given" : "Marilyn", "non-dropping-particle" : "", "parse-names" : false, "suffix" : "" } ], "container-title" : "Journal of Neuroscience Methods", "id" : "ITEM-1", "issue" : "1", "issued" : { "date-parts" : [ [ "1986" ] ] }, "page" : "39-45", "title" : "Quantitative histochemistry of acetylcholinesterase in rat and human brain postmortem", "type" : "article-journal", "volume" : "16" }, "uris" : [ "http://www.mendeley.com/documents/?uuid=93e8494f-9258-40d1-a6bc-a3d630539b7b" ] } ], "mendeley" : { "formattedCitation" : "Anat Biegon and Marilyn Wolff, \u2018Quantitative Histochemistry of Acetylcholinesterase in Rat and Human Brain Postmortem\u2019, &lt;i&gt;Journal of Neuroscience Methods&lt;/i&gt;, 16.1 (1986), 39\u201345 &lt;https://doi.org/10.1016/0165-0270(86)90006-3&gt;.", "manualFormatting" : "Anat Biegon and Marilyn Wolff, \u2018Quantitative Histochemistry of Acetylcholinesterase in Rat and Human Brain Postmortem\u2019, Journal of Neuroscience Methods, 16.1 (1986), 39\u201345.", "plainTextFormattedCitation" : "Anat Biegon and Marilyn Wolff, \u2018Quantitative Histochemistry of Acetylcholinesterase in Rat and Human Brain Postmortem\u2019, Journal of Neuroscience Methods, 16.1 (1986), 39\u201345 .", "previouslyFormattedCitation" : "Anat Biegon and Marilyn Wolff, \u2018Quantitative Histochemistry of Acetylcholinesterase in Rat and Human Brain Postmortem\u2019, &lt;i&gt;Journal of Neuroscience Methods&lt;/i&gt;, 16.1 (1986), 39\u201345 &lt;https://doi.org/10.1016/0165-0270(86)90006-3&gt;."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749D7" w:rsidRPr="006F02F9">
        <w:rPr>
          <w:rFonts w:ascii="Times New Roman" w:hAnsi="Times New Roman" w:cs="Times New Roman"/>
          <w:noProof/>
          <w:sz w:val="24"/>
          <w:szCs w:val="24"/>
        </w:rPr>
        <w:t xml:space="preserve">Anat Biegon and Marilyn Wolff, ‘Quantitative Histochemistry of Acetylcholinesterase in Rat and Human Brain Postmortem’, </w:t>
      </w:r>
      <w:r w:rsidR="007749D7" w:rsidRPr="006F02F9">
        <w:rPr>
          <w:rFonts w:ascii="Times New Roman" w:hAnsi="Times New Roman" w:cs="Times New Roman"/>
          <w:i/>
          <w:noProof/>
          <w:sz w:val="24"/>
          <w:szCs w:val="24"/>
        </w:rPr>
        <w:t>Journal of Neuroscience Methods</w:t>
      </w:r>
      <w:r w:rsidR="007749D7" w:rsidRPr="006F02F9">
        <w:rPr>
          <w:rFonts w:ascii="Times New Roman" w:hAnsi="Times New Roman" w:cs="Times New Roman"/>
          <w:noProof/>
          <w:sz w:val="24"/>
          <w:szCs w:val="24"/>
        </w:rPr>
        <w:t>, 16.1 (1986), 39–45.</w:t>
      </w:r>
      <w:r w:rsidRPr="006F02F9">
        <w:rPr>
          <w:rFonts w:ascii="Times New Roman" w:hAnsi="Times New Roman" w:cs="Times New Roman"/>
          <w:sz w:val="24"/>
          <w:szCs w:val="24"/>
        </w:rPr>
        <w:fldChar w:fldCharType="end"/>
      </w:r>
    </w:p>
    <w:p w14:paraId="54850194" w14:textId="77777777" w:rsidR="007749D7"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"ISSN" : "0893-0341", "PMID" : "2357341", "abstract" : "Analyses of brain tissue in a recently identified group of elderly demented patients suggest a neurochemical basis for some of the clinical features. Senile dementia of the Lewy body type (SDLT) can be distinguished from classical Alzheimer disease (AD) clinically by its acute presentation with confusion frequently accompanied by visual hallucinations, and neuropathologically by the presence of Lewy bodies and senile plaques (but not generally neurofibrillary tangles) in the cerebral cortex. Reductions in the cortical cholinergic enzyme choline acetyltransferase were more pronounced in individuals with (80%) compared to those without (50%) hallucinations and correlated strongly with mental test scores in the group as a whole. In the caudate nucleus, dopamine levels were related to the number of neurons in the substantia nigra, there being a 40-60% loss of both in SDLT--probably accounting for mild extrapyramidal features in some of these cases--compared with an 80% loss in Parkinson disease and no change in AD. The cholinergic correlates of mental impairment in SDLT together with the relative absence of cortical neurofibrillary tangles and evidence for postsynaptic cholinergic receptor compensation raise the question of whether this type of dementia may be more amenable to cholinotherapy than classical AD.", "author" : [ { "dropping-particle" : "", "family" : "Perry", "given" : "E K", "non-dropping-particle" : "", "parse-names" : false, "suffix" : "" }, { "dropping-particle" : "", "family" : "Marshall", "given" : "E", "non-dropping-particle" : "", "parse-names" : false, "suffix" : "" }, { "dropping-particle" : "", "family" : "Perry", "given" : "R H", "non-dropping-particle" : "", "parse-names" : false, "suffix" : "" }, { "dropping-particle" : "", "family" : "Irving", "given" : "D", "non-dropping-particle" : "", "parse-names" : false, "suffix" : "" }, { "dropping-particle" : "", "family" : "Smith", "given" : "C J", "non-dropping-particle" : "", "parse-names" : false, "suffix" : "" }, { "dropping-particle" : "", "family" : "Blessed", "given" : "G", "non-dropping-particle" : "", "parse-names" : false, "suffix" : "" }, { "dropping-particle" : "", "family" : "Fairbairn", "given" : "A F", "non-dropping-particle" : "", "parse-names" : false, "suffix" : "" } ], "container-title" : "Alzheimer disease and associated disorders", "id" : "ITEM-1", "issue" : "2", "issued" : { "date-parts" : [ [ "1990" ] ] }, "page" : "87-95", "title" : "Cholinergic and dopaminergic activities in senile dementia of Lewy body type.", "type" : "article-journal", "volume" : "4" }, "uris" : [ "http://www.mendeley.com/documents/?uuid=03bfecc4-c44f-4c23-93ca-704f3977127b" ] } ], "mendeley" : { "formattedCitation" : "E K Perry and others, \u2018Cholinergic and Dopaminergic Activities in Senile Dementia of Lewy Body Type.\u2019, &lt;i&gt;Alzheimer Disease and Associated Disorders&lt;/i&gt;, 4.2 (1990), 87\u201395 &lt;http://www.ncbi.nlm.nih.gov/pubmed/2357341&gt;.", "manualFormatting" : "E K Perry and others, \u2018Cholinergic and Dopaminergic Activities in Senile Dementia of Lewy Body Type.\u2019, Alzheimer Disease and Associated Disorders, 4.2 (1990), 87\u201395.", "plainTextFormattedCitation" : "E K Perry and others, \u2018Cholinergic and Dopaminergic Activities in Senile Dementia of Lewy Body Type.\u2019, Alzheimer Disease and Associated Disorders, 4.2 (1990), 87\u201395 .", "previouslyFormattedCitation" : "E K Perry and others, \u2018Cholinergic and Dopaminergic Activities in Senile Dementia of Lewy Body Type.\u2019, &lt;i&gt;Alzheimer Disease and Associated Disorders&lt;/i&gt;, 4.2 (1990), 87\u201395 &lt;http://www.ncbi.nlm.nih.gov/pubmed/2357341&gt;."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749D7" w:rsidRPr="006F02F9">
        <w:rPr>
          <w:rFonts w:ascii="Times New Roman" w:hAnsi="Times New Roman" w:cs="Times New Roman"/>
          <w:noProof/>
          <w:sz w:val="24"/>
          <w:szCs w:val="24"/>
        </w:rPr>
        <w:t xml:space="preserve">E K Perry and others, ‘Cholinergic and Dopaminergic Activities in Senile Dementia of Lewy Body Type.’, </w:t>
      </w:r>
      <w:r w:rsidR="007749D7" w:rsidRPr="006F02F9">
        <w:rPr>
          <w:rFonts w:ascii="Times New Roman" w:hAnsi="Times New Roman" w:cs="Times New Roman"/>
          <w:i/>
          <w:noProof/>
          <w:sz w:val="24"/>
          <w:szCs w:val="24"/>
        </w:rPr>
        <w:t>Alzheimer Disease and Associated Disorders</w:t>
      </w:r>
      <w:r w:rsidR="007749D7" w:rsidRPr="006F02F9">
        <w:rPr>
          <w:rFonts w:ascii="Times New Roman" w:hAnsi="Times New Roman" w:cs="Times New Roman"/>
          <w:noProof/>
          <w:sz w:val="24"/>
          <w:szCs w:val="24"/>
        </w:rPr>
        <w:t>, 4.2 (1990), 87–95.</w:t>
      </w:r>
      <w:r w:rsidRPr="006F02F9">
        <w:rPr>
          <w:rFonts w:ascii="Times New Roman" w:hAnsi="Times New Roman" w:cs="Times New Roman"/>
          <w:sz w:val="24"/>
          <w:szCs w:val="24"/>
        </w:rPr>
        <w:fldChar w:fldCharType="end"/>
      </w:r>
    </w:p>
    <w:p w14:paraId="0D9A7D69" w14:textId="77777777" w:rsidR="007749D7" w:rsidRPr="006F02F9" w:rsidRDefault="0070529E" w:rsidP="00B71E1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"10.1007/s002130000536", "ISBN" : "0033-3158", "ISSN" : "00333158", "PMID" : "11140328", "abstract" : "RATIONALE: Inability to tolerate delays to reward is an important component of impulsive behaviour, and has been suggested to reflect dysfunction of dopamine systems. OBJECTIVES: The present experiments examined the effects of signalling a delayed, large reward on rats' ability to choose it over a small, immediate reward, and on the response to amphetamine, a dopamine receptor antagonist, and a benzodiazepine. METHODS: Three groups of Lister hooded rats were tested on a two-lever discrete-trial delayed reinforcement task in which they chose one pellet delivered immediately or four pellets delivered after a delay. This delay increased from 0 to 60 s during each session. Trials began with illumination of a houselight: in the Houselight group, this remained on during the delay and feeding period. In the No Cue group, the houselight was extinguished at the moment of choice. In the Cue group, a stimulus light was illuminated during the delay. Once trained, the rats were challenged with d-amphetamine (0.3, 1.0, 1.6 mg/kg), chlordiazepoxide (1.0, 3.2, 5.6, 10 mg/kg), alpha-flupenthixol (0.125, 0.25, 0.5 mg/kg), and various behavioural manipulations. RESULTS: Subjects' choice became and remained sensitive to the delay; the cue speeded learning. Amphetamine decreased choice of the large reinforcer in the No Cue group and increased it in the Cue group. alpha-Flupenthixol and chlordiazepoxide generally decreased preference for the delayed reinforcer; flupenthixol reduced the cue's effects, but chlordiazepoxide did not interact with the cue condition. CONCLUSIONS: Signals present during a delay can enhance the ability of amphetamine to promote choice of delayed rewards.", "author" : [ { "dropping-particle" : "", "family" : "Cardinal", "given" : "R. N.", "non-dropping-particle" : "", "parse-names" : false, "suffix" : "" }, { "dropping-particle" : "", "family" : "Robbins", "given" : "T. W.", "non-dropping-particle" : "", "parse-names" : false, "suffix" : "" }, { "dropping-particle" : "", "family" : "Everitt", "given" : "B. J.", "non-dropping-particle" : "", "parse-names" : false, "suffix" : "" } ], "container-title" : "Psychopharmacology", "id" : "ITEM-1", "issue" : "4", "issued" : { "date-parts" : [ [ "2000" ] ] }, "page" : "362-375", "title" : "The effects of d-amphetamine, chlordiazepoxide, \u03b1-flupenthixol and behavioural manipulations on choice of signalled and unsignalled delayed reinforcement in rats", "type" : "article-journal", "volume" : "152" }, "uris" : [ "http://www.mendeley.com/documents/?uuid=14186425-057e-49fe-bc6e-6d80e96e43fe" ] } ], "mendeley" : { "formattedCitation" : "R. N. Cardinal, T. W. Robbins, and B. J. Everitt, \u2018The Effects of D-Amphetamine, Chlordiazepoxide, \u03b1-Flupenthixol and Behavioural Manipulations on Choice of Signalled and Unsignalled Delayed Reinforcement in Rats\u2019, &lt;i&gt;Psychopharmacology&lt;/i&gt;, 152.4 (2000), 362\u201375 &lt;https://doi.org/10.1007/s002130000536&gt;.", "manualFormatting" : "R. N. Cardinal, T. W. Robbins, and B. J. Everitt, \u2018The Effects of D-Amphetamine, Chlordiazepoxide, \u03b1-Flupenthixol and Behavioural Manipulations on Choice of Signalled and Unsignalled Delayed Reinforcement in Rats\u2019, Psychopharmacology, 152.4 (2000), 362\u201375.", "plainTextFormattedCitation" : "R. N. Cardinal, T. W. Robbins, and B. J. Everitt, \u2018The Effects of D-Amphetamine, Chlordiazepoxide, \u03b1-Flupenthixol and Behavioural Manipulations on Choice of Signalled and Unsignalled Delayed Reinforcement in Rats\u2019, Psychopharmacology, 152.4 (2000), 362\u201375 .", "previouslyFormattedCitation" : "R. N. Cardinal, T. W. Robbins, and B. J. Everitt, \u2018The Effects of D-Amphetamine, Chlordiazepoxide, \u03b1-Flupenthixol and Behavioural Manipulations on Choice of Signalled and Unsignalled Delayed Reinforcement in Rats\u2019, &lt;i&gt;Psychopharmacology&lt;/i&gt;, 152.4 (2000), 362\u201375 &lt;https://doi.org/10.1007/s002130000536&gt;."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749D7" w:rsidRPr="006F02F9">
        <w:rPr>
          <w:rFonts w:ascii="Times New Roman" w:hAnsi="Times New Roman" w:cs="Times New Roman"/>
          <w:noProof/>
          <w:sz w:val="24"/>
          <w:szCs w:val="24"/>
        </w:rPr>
        <w:t xml:space="preserve">R. N. Cardinal, T. W. Robbins, and B. J. Everitt, ‘The Effects of D-Amphetamine, Chlordiazepoxide, α-Flupenthixol and Behavioural Manipulations on Choice of Signalled and Unsignalled Delayed Reinforcement in Rats’, </w:t>
      </w:r>
      <w:r w:rsidR="007749D7" w:rsidRPr="006F02F9">
        <w:rPr>
          <w:rFonts w:ascii="Times New Roman" w:hAnsi="Times New Roman" w:cs="Times New Roman"/>
          <w:i/>
          <w:noProof/>
          <w:sz w:val="24"/>
          <w:szCs w:val="24"/>
        </w:rPr>
        <w:t>Psychopharmacology</w:t>
      </w:r>
      <w:r w:rsidR="007749D7" w:rsidRPr="006F02F9">
        <w:rPr>
          <w:rFonts w:ascii="Times New Roman" w:hAnsi="Times New Roman" w:cs="Times New Roman"/>
          <w:noProof/>
          <w:sz w:val="24"/>
          <w:szCs w:val="24"/>
        </w:rPr>
        <w:t>, 152.4 (2000), 362–75.</w:t>
      </w:r>
      <w:r w:rsidRPr="006F02F9">
        <w:rPr>
          <w:rFonts w:ascii="Times New Roman" w:hAnsi="Times New Roman" w:cs="Times New Roman"/>
          <w:sz w:val="24"/>
          <w:szCs w:val="24"/>
        </w:rPr>
        <w:fldChar w:fldCharType="end"/>
      </w:r>
    </w:p>
    <w:p w14:paraId="7AC9D52C" w14:textId="77777777" w:rsidR="007749D7"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sz w:val="24"/>
          <w:szCs w:val="24"/>
        </w:rPr>
        <w:fldChar w:fldCharType="begin" w:fldLock="1"/>
      </w:r>
      <w:r w:rsidR="008B5314" w:rsidRPr="006F02F9">
        <w:rPr>
          <w:rFonts w:ascii="Times New Roman" w:hAnsi="Times New Roman" w:cs="Times New Roman"/>
          <w:sz w:val="24"/>
          <w:szCs w:val="24"/>
        </w:rPr>
        <w:instrText>ADDIN CSL_CITATION { "citationItems" : [ { "id" : "ITEM-1", "itemData" : { "DOI" : "10.1523/JNEUROSCI.1982-05.2005", "ISBN" : "1529-2401 (Electronic)", "ISSN" : "1529-2401", "PMID" : "16207870", "abstract" : "Recent computational modeling and slice physiology studies have suggested that long-term encoding may depend on sustained spiking during brief memory delays in parahippocampal neurons, and that this persistent spiking activity is modulated by effects of acetylcholine at muscarinic receptors. Our recent functional magnetic resonance imaging (fMRI) study has shown that sustained parahippocampal delay period activity during delayed match-to-sample performance in healthy young individuals predicted subsequent memory of visual stimuli on a recognition memory assessment 20 min later (Schon et al., 2004). The current study combined this fMRI paradigm with a pharmacological manipulation to test whether this long-term encoding-related delay activity is reduced in subjects who receive the muscarinic cholinergic antagonist scopolamine before fMRI scanning. Subsequent memory was predicted by sustained activity during brief memory delays bilaterally in the perirhinal/entorhinal cortex, in the right posterior parahippocampal and mid-fusiform gyri, and in the hippocampal body in healthy young individuals without a scopolamine challenge. This activity was reduced in subjects receiving scopolamine. The results are consistent with computational modeling data and behavioral pharmacological studies, suggesting that long-term encoding-related activity may be reduced if cholinergic receptors are blocked by scopolamine.", "author" : [ { "dropping-particle" : "", "family" : "Schon", "given" : "Karin", "non-dropping-particle" : "", "parse-names" : false, "suffix" : "" }, { "dropping-particle" : "", "family" : "Atri", "given" : "Alireza", "non-dropping-particle" : "", "parse-names" : false, "suffix" : "" }, { "dropping-particle" : "", "family" : "Hasselmo", "given" : "Michael E", "non-dropping-particle" : "", "parse-names" : false, "suffix" : "" }, { "dropping-particle" : "", "family" : "Tricarico", "given" : "Marisa D", "non-dropping-particle" : "", "parse-names" : false, "suffix" : "" }, { "dropping-particle" : "", "family" : "LoPresti", "given" : "Matthew L", "non-dropping-particle" : "", "parse-names" : false, "suffix" : "" }, { "dropping-particle" : "", "family" : "Stern", "given" : "Chantal E", "non-dropping-particle" : "", "parse-names" : false, "suffix" : "" } ], "container-title" : "The Journal of neuroscience : the official journal of the Society for Neuroscience", "id" : "ITEM-1", "issue" : "40", "issued" : { "date-parts" : [ [ "2005" ] ] }, "page" : "9112-23", "title" : "Scopolamine reduces persistent activity related to long-term encoding in the parahippocampal gyrus during delayed matching in humans.", "type" : "article-journal", "volume" : "25" }, "uris" : [ "http://www.mendeley.com/documents/?uuid=cbe8b3ea-5b30-4993-b096-50dda3d55266" ] } ], "mendeley" : { "formattedCitation" : "Karin Schon and others, \u2018Scopolamine Reduces Persistent Activity Related to Long-Term Encoding in the Parahippocampal Gyrus during Delayed Matching in Humans.\u2019, &lt;i&gt;The Journal of Neuroscience\u202f: The Official Journal of the Society for Neuroscience&lt;/i&gt;, 25.40 (2005), 9112\u201323 &lt;https://doi.org/10.1523/JNEUROSCI.1982-05.2005&gt;.", "manualFormatting" : "Karin Schon and others, \u2018Scopolamine Reduces Persistent Activity Related to Long-Term Encoding in the Parahippocampal Gyrus during Delayed Matching in Humans.\u2019, The Journal of Neuroscience\u202f: The Official Journal of the Society for Neuroscience, 25.40 (2005), 9112\u201323.", "plainTextFormattedCitation" : "Karin Schon and others, \u2018Scopolamine Reduces Persistent Activity Related to Long-Term Encoding in the Parahippocampal Gyrus during Delayed Matching in Humans.\u2019, The Journal of Neuroscience\u202f: The Official Journal of the Society for Neuroscience, 25.40 (2005), 9112\u201323 .", "previouslyFormattedCitation" : "Karin Schon and others, \u2018Scopolamine Reduces Persistent Activity Related to Long-Term Encoding in the Parahippocampal Gyrus during Delayed Matching in Humans.\u2019, &lt;i&gt;The Journal of Neuroscience\u202f: The Official Journal of the Society for Neuroscience&lt;/i&gt;, 25.40 (2005), 9112\u201323 &lt;https://doi.org/10.1523/JNEUROSCI.1982-05.2005&gt;."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7749D7" w:rsidRPr="006F02F9">
        <w:rPr>
          <w:rFonts w:ascii="Times New Roman" w:hAnsi="Times New Roman" w:cs="Times New Roman"/>
          <w:noProof/>
          <w:sz w:val="24"/>
          <w:szCs w:val="24"/>
        </w:rPr>
        <w:t xml:space="preserve">Karin Schon and others, ‘Scopolamine Reduces Persistent Activity Related to Long-Term Encoding in the Parahippocampal Gyrus during Delayed Matching in Humans.’, </w:t>
      </w:r>
      <w:r w:rsidR="007749D7" w:rsidRPr="006F02F9">
        <w:rPr>
          <w:rFonts w:ascii="Times New Roman" w:hAnsi="Times New Roman" w:cs="Times New Roman"/>
          <w:i/>
          <w:noProof/>
          <w:sz w:val="24"/>
          <w:szCs w:val="24"/>
        </w:rPr>
        <w:t>The Journal of Neuroscience : The Official Journal of the Society for Neuroscience</w:t>
      </w:r>
      <w:r w:rsidR="007749D7" w:rsidRPr="006F02F9">
        <w:rPr>
          <w:rFonts w:ascii="Times New Roman" w:hAnsi="Times New Roman" w:cs="Times New Roman"/>
          <w:noProof/>
          <w:sz w:val="24"/>
          <w:szCs w:val="24"/>
        </w:rPr>
        <w:t>, 25.40 (2005), 9112–23.</w:t>
      </w:r>
      <w:r w:rsidRPr="006F02F9">
        <w:rPr>
          <w:rFonts w:ascii="Times New Roman" w:hAnsi="Times New Roman" w:cs="Times New Roman"/>
          <w:sz w:val="24"/>
          <w:szCs w:val="24"/>
        </w:rPr>
        <w:fldChar w:fldCharType="end"/>
      </w:r>
    </w:p>
    <w:p w14:paraId="2C03E362"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sz w:val="24"/>
          <w:szCs w:val="24"/>
        </w:rPr>
        <w:lastRenderedPageBreak/>
        <w:fldChar w:fldCharType="begin" w:fldLock="1"/>
      </w:r>
      <w:r w:rsidR="008B5314" w:rsidRPr="006F02F9">
        <w:rPr>
          <w:rFonts w:ascii="Times New Roman" w:hAnsi="Times New Roman" w:cs="Times New Roman"/>
          <w:sz w:val="24"/>
          <w:szCs w:val="24"/>
        </w:rPr>
        <w:instrText>ADDIN CSL_CITATION { "citationItems" : [ { "id" : "ITEM-1", "itemData" : { "author" : [ { "dropping-particle" : "al", "family" : "Pu F", "given" : "Mishima K et", "non-dropping-particle" : "", "parse-names" : false, "suffix" : "" } ], "container-title" : "J Pharmacol Sci.", "id" : "ITEM-1", "issued" : { "date-parts" : [ [ "0" ] ] }, "page" : "329-34.", "title" : "Neuroprotective effects of quercetin and rutin on spatial memory impairment in an 8-arm radial maze task and neuronal death induced by repeated cerebral ischemia in rats", "type" : "article-journal", "volume" : "104(4)" }, "uris" : [ "http://www.mendeley.com/documents/?uuid=8c6df62f-fa6a-44a2-acf2-9819ce0418a2" ] } ], "mendeley" : { "formattedCitation" : "Mishima K et al Pu F, \u2018Neuroprotective Effects of Quercetin and Rutin on Spatial Memory Impairment in an 8-Arm Radial Maze Task and Neuronal Death Induced by Repeated Cerebral Ischemia in Rats\u2019, &lt;i&gt;J Pharmacol Sci.&lt;/i&gt;, 104(4), 329\u201334.", "plainTextFormattedCitation" : "Mishima K et al Pu F, \u2018Neuroprotective Effects of Quercetin and Rutin on Spatial Memory Impairment in an 8-Arm Radial Maze Task and Neuronal Death Induced by Repeated Cerebral Ischemia in Rats\u2019, J Pharmacol Sci., 104(4), 329\u201334.", "previouslyFormattedCitation" : "Mishima K et al Pu F, \u2018Neuroprotective Effects of Quercetin and Rutin on Spatial Memory Impairment in an 8-Arm Radial Maze Task and Neuronal Death Induced by Repeated Cerebral Ischemia in Rats\u2019, &lt;i&gt;J Pharmacol Sci.&lt;/i&gt;, 104(4), 329\u201334."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8B5314" w:rsidRPr="006F02F9">
        <w:rPr>
          <w:rFonts w:ascii="Times New Roman" w:hAnsi="Times New Roman" w:cs="Times New Roman"/>
          <w:noProof/>
          <w:sz w:val="24"/>
          <w:szCs w:val="24"/>
        </w:rPr>
        <w:t xml:space="preserve">Mishima K et al Pu F, ‘Neuroprotective Effects of Quercetin and Rutin on Spatial Memory Impairment in an 8-Arm Radial Maze Task and Neuronal Death Induced by Repeated Cerebral Ischemia in Rats’, </w:t>
      </w:r>
      <w:r w:rsidR="008B5314" w:rsidRPr="006F02F9">
        <w:rPr>
          <w:rFonts w:ascii="Times New Roman" w:hAnsi="Times New Roman" w:cs="Times New Roman"/>
          <w:i/>
          <w:noProof/>
          <w:sz w:val="24"/>
          <w:szCs w:val="24"/>
        </w:rPr>
        <w:t>J Pharmacol Sci.</w:t>
      </w:r>
      <w:r w:rsidR="008B5314" w:rsidRPr="006F02F9">
        <w:rPr>
          <w:rFonts w:ascii="Times New Roman" w:hAnsi="Times New Roman" w:cs="Times New Roman"/>
          <w:noProof/>
          <w:sz w:val="24"/>
          <w:szCs w:val="24"/>
        </w:rPr>
        <w:t>, 104(4), 329–34.</w:t>
      </w:r>
      <w:r w:rsidRPr="006F02F9">
        <w:rPr>
          <w:rFonts w:ascii="Times New Roman" w:hAnsi="Times New Roman" w:cs="Times New Roman"/>
          <w:sz w:val="24"/>
          <w:szCs w:val="24"/>
        </w:rPr>
        <w:fldChar w:fldCharType="end"/>
      </w:r>
    </w:p>
    <w:p w14:paraId="2C36FDBF"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"author" : [ { "dropping-particle" : "", "family" : "Pyrzanowska J et al.", "given" : "", "non-dropping-particle" : "", "parse-names" : false, "suffix" : "" } ], "container-title" : "Pharmacol Rep.", "id" : "ITEM-1", "issue" : "4", "issued" : { "date-parts" : [ [ "0" ] ] }, "page" : "808-16", "title" : "Influence of long-term administration of rutin on spatial memory as well as the concentration of brain neurotransmitters in aged rats", "type" : "article-journal", "volume" : "64" }, "uris" : [ "http://www.mendeley.com/documents/?uuid=bb6c5954-30e5-4180-b685-e1276ed954b6" ] } ], "mendeley" : { "formattedCitation" : "Pyrzanowska J et al., \u2018Influence of Long-Term Administration of Rutin on Spatial Memory as Well as the Concentration of Brain Neurotransmitters in Aged Rats\u2019, &lt;i&gt;Pharmacol Rep.&lt;/i&gt;, 64.4, 808\u201316.", "plainTextFormattedCitation" : "Pyrzanowska J et al., \u2018Influence of Long-Term Administration of Rutin on Spatial Memory as Well as the Concentration of Brain Neurotransmitters in Aged Rats\u2019, Pharmacol Rep., 64.4, 808\u201316.", "previouslyFormattedCitation" : "Pyrzanowska J et al., \u2018Influence of Long-Term Administration of Rutin on Spatial Memory as Well as the Concentration of Brain Neurotransmitters in Aged Rats\u2019, &lt;i&gt;Pharmacol Rep.&lt;/i&gt;, 64.4, 808\u201316."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8B5314" w:rsidRPr="006F02F9">
        <w:rPr>
          <w:rFonts w:ascii="Times New Roman" w:hAnsi="Times New Roman" w:cs="Times New Roman"/>
          <w:noProof/>
          <w:sz w:val="24"/>
          <w:szCs w:val="24"/>
        </w:rPr>
        <w:t xml:space="preserve">Pyrzanowska J et al., ‘Influence of Long-Term Administration of Rutin on Spatial Memory as Well as the Concentration of Brain Neurotransmitters in Aged Rats’, </w:t>
      </w:r>
      <w:r w:rsidR="008B5314" w:rsidRPr="006F02F9">
        <w:rPr>
          <w:rFonts w:ascii="Times New Roman" w:hAnsi="Times New Roman" w:cs="Times New Roman"/>
          <w:i/>
          <w:noProof/>
          <w:sz w:val="24"/>
          <w:szCs w:val="24"/>
        </w:rPr>
        <w:t>Pharmacol Rep.</w:t>
      </w:r>
      <w:r w:rsidR="008B5314" w:rsidRPr="006F02F9">
        <w:rPr>
          <w:rFonts w:ascii="Times New Roman" w:hAnsi="Times New Roman" w:cs="Times New Roman"/>
          <w:noProof/>
          <w:sz w:val="24"/>
          <w:szCs w:val="24"/>
        </w:rPr>
        <w:t>, 64.4, 808–16.</w:t>
      </w:r>
      <w:r w:rsidRPr="006F02F9">
        <w:rPr>
          <w:rFonts w:ascii="Times New Roman" w:hAnsi="Times New Roman" w:cs="Times New Roman"/>
          <w:noProof/>
          <w:sz w:val="24"/>
          <w:szCs w:val="24"/>
        </w:rPr>
        <w:fldChar w:fldCharType="end"/>
      </w:r>
    </w:p>
    <w:p w14:paraId="54B14561"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"author" : [ { "dropping-particle" : "", "family" : "Abd-El-Fattah AA, El-Sawalhi MM, Rashed ER", "given" : "ElGhazaly MA", "non-dropping-particle" : "", "parse-names" : false, "suffix" : "" } ], "container-title" : "Int J Radiat Biol,", "id" : "ITEM-1", "issued" : { "date-parts" : [ [ "2010" ] ] }, "page" : "1070\u20131078.", "title" : "Possible role of vitamin E, coenzyme Q10 and rutin in protection against cerebral ischemia/reperfusion injury in irradiated rats.", "type" : "article-journal", "volume" : "86" }, "uris" : [ "http://www.mendeley.com/documents/?uuid=9e2fb410-c8c1-4456-98a8-99a43e69c4ee" ] } ], "mendeley" : { "formattedCitation" : "ElGhazaly MA Abd-El-Fattah AA, El-Sawalhi MM, Rashed ER, \u2018Possible Role of Vitamin E, Coenzyme Q10 and Rutin in Protection against Cerebral Ischemia/reperfusion Injury in Irradiated Rats.\u2019, &lt;i&gt;Int J Radiat Biol,&lt;/i&gt; 86 (2010), 1070\u20131078.", "plainTextFormattedCitation" : "ElGhazaly MA Abd-El-Fattah AA, El-Sawalhi MM, Rashed ER, \u2018Possible Role of Vitamin E, Coenzyme Q10 and Rutin in Protection against Cerebral Ischemia/reperfusion Injury in Irradiated Rats.\u2019, Int J Radiat Biol, 86 (2010), 1070\u20131078.", "previouslyFormattedCitation" : "ElGhazaly MA Abd-El-Fattah AA, El-Sawalhi MM, Rashed ER, \u2018Possible Role of Vitamin E, Coenzyme Q10 and Rutin in Protection against Cerebral Ischemia/reperfusion Injury in Irradiated Rats.\u2019, &lt;i&gt;Int J Radiat Biol,&lt;/i&gt; 86 (2010), 1070\u20131078."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8B5314" w:rsidRPr="006F02F9">
        <w:rPr>
          <w:rFonts w:ascii="Times New Roman" w:hAnsi="Times New Roman" w:cs="Times New Roman"/>
          <w:noProof/>
          <w:sz w:val="24"/>
          <w:szCs w:val="24"/>
        </w:rPr>
        <w:t xml:space="preserve">ElGhazaly MA Abd-El-Fattah AA, El-Sawalhi MM, Rashed ER, ‘Possible Role of Vitamin E, Coenzyme Q10 and Rutin in Protection against Cerebral Ischemia/reperfusion Injury in Irradiated Rats.’, </w:t>
      </w:r>
      <w:r w:rsidR="008B5314" w:rsidRPr="006F02F9">
        <w:rPr>
          <w:rFonts w:ascii="Times New Roman" w:hAnsi="Times New Roman" w:cs="Times New Roman"/>
          <w:i/>
          <w:noProof/>
          <w:sz w:val="24"/>
          <w:szCs w:val="24"/>
        </w:rPr>
        <w:t>Int J Radiat Biol,</w:t>
      </w:r>
      <w:r w:rsidR="008B5314" w:rsidRPr="006F02F9">
        <w:rPr>
          <w:rFonts w:ascii="Times New Roman" w:hAnsi="Times New Roman" w:cs="Times New Roman"/>
          <w:noProof/>
          <w:sz w:val="24"/>
          <w:szCs w:val="24"/>
        </w:rPr>
        <w:t xml:space="preserve"> 86 (2010), 1070–1078.</w:t>
      </w:r>
      <w:r w:rsidRPr="006F02F9">
        <w:rPr>
          <w:rFonts w:ascii="Times New Roman" w:hAnsi="Times New Roman" w:cs="Times New Roman"/>
          <w:noProof/>
          <w:sz w:val="24"/>
          <w:szCs w:val="24"/>
        </w:rPr>
        <w:fldChar w:fldCharType="end"/>
      </w:r>
    </w:p>
    <w:p w14:paraId="2FBF6E89"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7A111B" w:rsidRPr="006F02F9">
        <w:rPr>
          <w:rFonts w:ascii="Times New Roman" w:hAnsi="Times New Roman" w:cs="Times New Roman"/>
          <w:noProof/>
          <w:sz w:val="24"/>
          <w:szCs w:val="24"/>
        </w:rPr>
        <w:instrText>ADDIN CSL_CITATION { "citationItems" : [ { "id" : "ITEM-1", "itemData" : { "DOI" : "S0006-8993(09)01429-2 [pii]\\n10.1016/j.brainres.2009.07.026", "ISBN" : "1872-6240 (Electronic)\\n0006-8993 (Linking)", "PMID" : "19631195", "abstract" : "Free radical induced neural damage is implicated in cerebral ischemia-reperfusion (IR) injury and antioxidants are reported to have neuroprotective activity. The present study was designed to assess the neuroprotective role of rutin (Vitamin P), and mechanism of action. The middle cerebral artery (MCA) of an adult male Wistar rat was occluded for 2 h and reperfused for 22 h. The administration of rutin (25 mg/kg bwt., orally) once daily for 21 days before middle cerebral artery occlusion (MCAO) showed marked reduction in infarct size, reduced the neurological deficits in terms of behaviors, suppressed neuronal loss and diminished the p53 expression in MCAO rats. A significantly depleted activity of antioxidant enzymes, glutathione peroxidase (GPx), glutathione reductase (GR), catalase (CAT) and superoxide dismutase (SOD) and content of glutathione (GSH) in MCAO group were protected significantly in MCAO group pretreated with rutin. Conversely, the elevated level of thiobarbituric acid reactive species (TBARS), H(2)O(2) and protein carbonyl (PC) in MCAO group was attenuated significantly in rutin-pretreated group when compared with MCAO group. These results indicate that rutin attenuates ischemic neural apoptosis by reducing the expression of p53, preventing morphological changes and increasing endogenous antioxidant enzymatic activities. Thus, rutin treatment may represent a novel approach in lowering the risk or improving the function of ischemia-reperfusion brain injury-related disorders.", "author" : [ { "dropping-particle" : "", "family" : "Khan", "given" : "M M", "non-dropping-particle" : "", "parse-names" : false, "suffix" : "" }, { "dropping-particle" : "", "family" : "Ahmad", "given" : "A", "non-dropping-particle" : "", "parse-names" : false, "suffix" : "" }, { "dropping-particle" : "", "family" : "Ishrat", "given" : "T", "non-dropping-particle" : "", "parse-names" : false, "suffix" : "" }, { "dropping-particle" : "", "family" : "Khuwaja", "given" : "G", "non-dropping-particle" : "", "parse-names" : false, "suffix" : "" }, { "dropping-particle" : "", "family" : "Srivastawa", "given" : "P", "non-dropping-particle" : "", "parse-names" : false, "suffix" : "" }, { "dropping-particle" : "", "family" : "Khan", "given" : "M B", "non-dropping-particle" : "", "parse-names" : false, "suffix" : "" }, { "dropping-particle" : "", "family" : "Raza", "given" : "S S", "non-dropping-particle" : "", "parse-names" : false, "suffix" : "" }, { "dropping-particle" : "", "family" : "Javed", "given" : "H", "non-dropping-particle" : "", "parse-names" : false, "suffix" : "" }, { "dropping-particle" : "", "family" : "Vaibhav", "given" : "K", "non-dropping-particle" : "", "parse-names" : false, "suffix" : "" }, { "dropping-particle" : "", "family" : "Khan", "given" : "A", "non-dropping-particle" : "", "parse-names" : false, "suffix" : "" }, { "dropping-particle" : "", "family" : "Islam", "given" : "F", "non-dropping-particle" : "", "parse-names" : false, "suffix" : "" } ], "container-title" : "Brain Res", "id" : "ITEM-1", "issued" : { "date-parts" : [ [ "2009" ] ] }, "page" : "123-135", "title" : "Rutin protects the neural damage induced by transient focal ischemia in rats", "type" : "article-journal", "volume" : "1292" }, "uris" : [ "http://www.mendeley.com/documents/?uuid=077d8e7a-1121-405c-bd71-c3004abbff6f" ] } ], "mendeley" : { "formattedCitation" : "M M Khan and others, \u2018Rutin Protects the Neural Damage Induced by Transient Focal Ischemia in Rats\u2019, &lt;i&gt;Brain Res&lt;/i&gt;, 1292 (2009), 123\u201335 &lt;https://doi.org/S0006-8993(09)01429-2 [pii]\\n10.1016/j.brainres.2009.07.026&gt;.", "manualFormatting" : "M M Khan and others, \u2018Rutin Protects the Neural Damage Induced by Transient Focal Ischemia in Rats\u2019, Brain Res, 1292 (2009), 123\u201335.", "plainTextFormattedCitation" : "M M Khan and others, \u2018Rutin Protects the Neural Damage Induced by Transient Focal Ischemia in Rats\u2019, Brain Res, 1292 (2009), 123\u201335 .", "previouslyFormattedCitation" : "M M Khan and others, \u2018Rutin Protects the Neural Damage Induced by Transient Focal Ischemia in Rats\u2019, &lt;i&gt;Brain Res&lt;/i&gt;, 1292 (2009), 123\u201335 &lt;https://doi.org/S0006-8993(09)01429-2 [pii]\\n10.1016/j.brainres.2009.07.026&gt;."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7A111B" w:rsidRPr="006F02F9">
        <w:rPr>
          <w:rFonts w:ascii="Times New Roman" w:hAnsi="Times New Roman" w:cs="Times New Roman"/>
          <w:noProof/>
          <w:sz w:val="24"/>
          <w:szCs w:val="24"/>
        </w:rPr>
        <w:t xml:space="preserve">M M Khan and others, ‘Rutin Protects the Neural Damage Induced by Transient Focal Ischemia in Rats’, </w:t>
      </w:r>
      <w:r w:rsidR="007A111B" w:rsidRPr="006F02F9">
        <w:rPr>
          <w:rFonts w:ascii="Times New Roman" w:hAnsi="Times New Roman" w:cs="Times New Roman"/>
          <w:i/>
          <w:noProof/>
          <w:sz w:val="24"/>
          <w:szCs w:val="24"/>
        </w:rPr>
        <w:t>Brain Res</w:t>
      </w:r>
      <w:r w:rsidR="007A111B" w:rsidRPr="006F02F9">
        <w:rPr>
          <w:rFonts w:ascii="Times New Roman" w:hAnsi="Times New Roman" w:cs="Times New Roman"/>
          <w:noProof/>
          <w:sz w:val="24"/>
          <w:szCs w:val="24"/>
        </w:rPr>
        <w:t>, 1292 (2009), 123–35.</w:t>
      </w:r>
      <w:r w:rsidRPr="006F02F9">
        <w:rPr>
          <w:rFonts w:ascii="Times New Roman" w:hAnsi="Times New Roman" w:cs="Times New Roman"/>
          <w:noProof/>
          <w:sz w:val="24"/>
          <w:szCs w:val="24"/>
        </w:rPr>
        <w:fldChar w:fldCharType="end"/>
      </w:r>
    </w:p>
    <w:p w14:paraId="5E003E82" w14:textId="77777777" w:rsidR="0045327E"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"DOI" : "10.7150/ijms.8220", "ISBN" : "1449-1907 (Electronic)\\r1449-1907 (Linking)", "ISSN" : "14491907", "PMID" : "24693223", "abstract" : "This study investigated the antifatigue effects of rutin, a flavonoid extracted from the ethyl acetate extract of S. involucrata. Mice were subjected to a weight-loaded forced swim test (WFST) on alternate days for 3 wk. Rutin was administered orally to the mice for 7 days in dosages of 15, 30, and 60 mg/kg body weight, and several biomarkers of physical fatigue were evaluated: swimming time, change in body weight, lipid peroxidation, lactic acid (LA), glycogen, and the activities of the antioxidant enzymes superoxide dismutase (SOD) and glutathione peroxidase (GPx). On Day 7, the rutin-treated mice had a 3-fold longer exhaustive swimming time than the control mice, as well as significantly reduced blood LA concentrations. The 15, 30, and 60 mg/kg body weight rutin-supplemented groups displayed 11.2%, 22.5%, and 37.7% reduced malondialdehyde (MDA) concentrations, respectively, in brain and muscle tissues compared with the control exercised group. Our results indicated that the administration of rutin protected the mice against the depletion of SOD and GPx activities significantly. Following 7 days of rutin treatment, we sacrificed the mice and analyzed their soleus muscle and brain for peroxisome proliferator-activated receptor-\u03b1 coactivator (PGC-1\u03b1) and sirtuin 1 (SIRT1) mRNA expression. We observed that rutin treatment increased PGC-1\u03b1 and SIRT1 mRNA and protein expression. The changes in these markers of mitochondrial biogenesis were associated with increased maximal endurance capacity. The application of 2D gel electrophoresis to analyze the rutin-responsive protein profiles in the WFST mouse brain further revealed the upregulation of the CB1 cannabinoid receptor-interacting protein 1, myelin basic protein, Rho GDP dissociation inhibitor (GDI) alpha, and TPI, indicating that rutin might inhibit anxiety through the upregulation of the expression of anxiety-associated proteins. Western blot analysis of MAPK expression further confirmed the antianxiety effects of rutin. Our study results thus indicate that rutin treatment ameliorates the various impairments associated with physical fatigue.", "author" : [ { "dropping-particle" : "", "family" : "Su", "given" : "Kang Yi", "non-dropping-particle" : "", "parse-names" : false, "suffix" : "" }, { "dropping-particle" : "", "family" : "Yu", "given" : "Chao Yuan", "non-dropping-particle" : "", "parse-names" : false, "suffix" : "" }, { "dropping-particle" : "", "family" : "Chen", "given" : "Yue Wen", "non-dropping-particle" : "", "parse-names" : false, "suffix" : "" }, { "dropping-particle" : "", "family" : "Huang", "given" : "Yi Tsau", "non-dropping-particle" : "", "parse-names" : false, "suffix" : "" }, { "dropping-particle" : "", "family" : "Chen", "given" : "Chun Ting", "non-dropping-particle" : "", "parse-names" : false, "suffix" : "" }, { "dropping-particle" : "", "family" : "Wu", "given" : "Hsueh Fu", "non-dropping-particle" : "", "parse-names" : false, "suffix" : "" }, { "dropping-particle" : "", "family" : "Sophia Chen", "given" : "Yi Lin", "non-dropping-particle" : "", "parse-names" : false, "suffix" : "" } ], "container-title" : "International Journal of Medical Sciences", "id" : "ITEM-1", "issue" : "5", "issued" : { "date-parts" : [ [ "2014" ] ] }, "page" : "528-537", "title" : "Rutin, a flavonoid and principal component of Saussurea involucrata, attenuates physical fatigue in a forced swimming mouse model", "type" : "article-journal", "volume" : "11" }, "uris" : [ "http://www.mendeley.com/documents/?uuid=0b0341c2-929e-4f7f-9936-3686d365e351" ] } ], "mendeley" : { "formattedCitation" : "Kang Yi Su and others, \u2018Rutin, a Flavonoid and Principal Component of Saussurea Involucrata, Attenuates Physical Fatigue in a Forced Swimming Mouse Model\u2019, &lt;i&gt;International Journal of Medical Sciences&lt;/i&gt;, 11.5 (2014), 528\u201337 &lt;https://doi.org/10.7150/ijms.8220&gt;.", "manualFormatting" : "Kang Yi Su and others, \u2018Rutin, a Flavonoid and Principal Component of Saussurea Involucrata, Attenuates Physical Fatigue in a Forced Swimming Mouse Model\u2019, International Journal of Medical Sciences, 11.5 (2014), 528\u201337.", "plainTextFormattedCitation" : "Kang Yi Su and others, \u2018Rutin, a Flavonoid and Principal Component of Saussurea Involucrata, Attenuates Physical Fatigue in a Forced Swimming Mouse Model\u2019, International Journal of Medical Sciences, 11.5 (2014), 528\u201337 .", "previouslyFormattedCitation" : "Kang Yi Su and others, \u2018Rutin, a Flavonoid and Principal Component of Saussurea Involucrata, Attenuates Physical Fatigue in a Forced Swimming Mouse Model\u2019, &lt;i&gt;International Journal of Medical Sciences&lt;/i&gt;, 11.5 (2014), 528\u201337 &lt;https://doi.org/10.7150/ijms.8220&gt;."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45327E" w:rsidRPr="006F02F9">
        <w:rPr>
          <w:rFonts w:ascii="Times New Roman" w:hAnsi="Times New Roman" w:cs="Times New Roman"/>
          <w:noProof/>
          <w:sz w:val="24"/>
          <w:szCs w:val="24"/>
        </w:rPr>
        <w:t xml:space="preserve">Kang Yi Su and others, ‘Rutin, a Flavonoid and Principal Component of Saussurea Involucrata, Attenuates Physical Fatigue in a Forced Swimming Mouse Model’, </w:t>
      </w:r>
      <w:r w:rsidR="0045327E" w:rsidRPr="006F02F9">
        <w:rPr>
          <w:rFonts w:ascii="Times New Roman" w:hAnsi="Times New Roman" w:cs="Times New Roman"/>
          <w:i/>
          <w:noProof/>
          <w:sz w:val="24"/>
          <w:szCs w:val="24"/>
        </w:rPr>
        <w:t>International Journal of Medical Sciences</w:t>
      </w:r>
      <w:r w:rsidR="0045327E" w:rsidRPr="006F02F9">
        <w:rPr>
          <w:rFonts w:ascii="Times New Roman" w:hAnsi="Times New Roman" w:cs="Times New Roman"/>
          <w:noProof/>
          <w:sz w:val="24"/>
          <w:szCs w:val="24"/>
        </w:rPr>
        <w:t>, 11.5 (2014), 528–37.</w:t>
      </w:r>
      <w:r w:rsidRPr="006F02F9">
        <w:rPr>
          <w:rFonts w:ascii="Times New Roman" w:hAnsi="Times New Roman" w:cs="Times New Roman"/>
          <w:noProof/>
          <w:sz w:val="24"/>
          <w:szCs w:val="24"/>
        </w:rPr>
        <w:fldChar w:fldCharType="end"/>
      </w:r>
    </w:p>
    <w:p w14:paraId="4A6AD8AB" w14:textId="77777777" w:rsidR="00653BEA" w:rsidRPr="006F02F9" w:rsidRDefault="0070529E" w:rsidP="0045327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"DOI" : "10.2147/CIA.S14008", "ISBN" : "1178-1998 (Electronic)\\r1176-9092 (Linking)", "ISSN" : "11769092", "PMID" : "21472092", "abstract" : "Alzheimer's disease (AD) is the most common neurodegenerative disorder, originating sporadically in the population aged over 65 years, and advanced age is the principal risk factor leading to AD development. In spite of the large amount of research going on around the globe and all the information now available about AD, there is still no origin or triggering process known so far. Drugs approved for the treatment of AD include tacrine, donepezil, rivastigmine, galantamine, and memantine. These may delay or slow down the degenerative process for a while, but they can neither stop nor reverse its progression. Because that this might be due to a lack of effect of these drugs on degenerating neurons, even when they are able to potentiate the brain in nondegenerative conditions, we propose here an alternative therapy consisting of initial repair of neuronal membranes followed by conventional drug therapies. The rehabilitation of neurons in a degeneration process would enable the drugs to act more effectively on them and improve the effects of treatment in AD patients.", "author" : [ { "dropping-particle" : "", "family" : "Aranda-Abreu", "given" : "Gonzalo Emiliano", "non-dropping-particle" : "", "parse-names" : false, "suffix" : "" }, { "dropping-particle" : "", "family" : "Hern\u00e1ndez-Aguilar", "given" : "Mar\u00eda Elena", "non-dropping-particle" : "", "parse-names" : false, "suffix" : "" }, { "dropping-particle" : "", "family" : "Denes", "given" : "Jorge Manzo", "non-dropping-particle" : "", "parse-names" : false, "suffix" : "" }, { "dropping-particle" : "", "family" : "Hern\u00e1ndez", "given" : "Luis Isauro Garc\u00eda", "non-dropping-particle" : "", "parse-names" : false, "suffix" : "" }, { "dropping-particle" : "", "family" : "Rivero", "given" : "Marisol Herrera", "non-dropping-particle" : "", "parse-names" : false, "suffix" : "" } ], "container-title" : "Clinical Interventions in Aging", "id" : "ITEM-1", "issue" : "1", "issued" : { "date-parts" : [ [ "2011" ] ] }, "page" : "53-59", "title" : "Rehabilitating a brain with Alzheimer's: A proposal", "type" : "article", "volume" : "6" }, "uris" : [ "http://www.mendeley.com/documents/?uuid=bab7e1ff-11c0-4d15-9e75-d1e9cdc27ed9" ] } ], "mendeley" : { "formattedCitation" : "Gonzalo Emiliano Aranda-Abreu and others, \u2018Rehabilitating a Brain with Alzheimer\u2019s: A Proposal\u2019, &lt;i&gt;Clinical Interventions in Aging&lt;/i&gt;, 2011, 53\u201359 &lt;https://doi.org/10.2147/CIA.S14008&gt;.", "manualFormatting" : "Gonzalo Emiliano Aranda-Abreu and others, \u2018Rehabilitating a Brain with Alzheimer\u2019s: A Proposal\u2019, Clinical Interventions in Aging, 2011, 53\u201359.", "plainTextFormattedCitation" : "Gonzalo Emiliano Aranda-Abreu and others, \u2018Rehabilitating a Brain with Alzheimer\u2019s: A Proposal\u2019, Clinical Interventions in Aging, 2011, 53\u201359 .", "previouslyFormattedCitation" : "Gonzalo Emiliano Aranda-Abreu and others, \u2018Rehabilitating a Brain with Alzheimer\u2019s: A Proposal\u2019, &lt;i&gt;Clinical Interventions in Aging&lt;/i&gt;, 2011, 53\u201359 &lt;https://doi.org/10.2147/CIA.S14008&gt;."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653BEA" w:rsidRPr="006F02F9">
        <w:rPr>
          <w:rFonts w:ascii="Times New Roman" w:hAnsi="Times New Roman" w:cs="Times New Roman"/>
          <w:noProof/>
          <w:sz w:val="24"/>
          <w:szCs w:val="24"/>
        </w:rPr>
        <w:t xml:space="preserve">Gonzalo Emiliano Aranda-Abreu and others, ‘Rehabilitating a Brain with Alzheimer’s: A Proposal’, </w:t>
      </w:r>
      <w:r w:rsidR="00653BEA" w:rsidRPr="006F02F9">
        <w:rPr>
          <w:rFonts w:ascii="Times New Roman" w:hAnsi="Times New Roman" w:cs="Times New Roman"/>
          <w:i/>
          <w:noProof/>
          <w:sz w:val="24"/>
          <w:szCs w:val="24"/>
        </w:rPr>
        <w:t>Clinical Interventions in Aging</w:t>
      </w:r>
      <w:r w:rsidR="00653BEA" w:rsidRPr="006F02F9">
        <w:rPr>
          <w:rFonts w:ascii="Times New Roman" w:hAnsi="Times New Roman" w:cs="Times New Roman"/>
          <w:noProof/>
          <w:sz w:val="24"/>
          <w:szCs w:val="24"/>
        </w:rPr>
        <w:t>, 2011, 53–59.</w:t>
      </w:r>
      <w:r w:rsidRPr="006F02F9">
        <w:rPr>
          <w:rFonts w:ascii="Times New Roman" w:hAnsi="Times New Roman" w:cs="Times New Roman"/>
          <w:noProof/>
          <w:sz w:val="24"/>
          <w:szCs w:val="24"/>
        </w:rPr>
        <w:fldChar w:fldCharType="end"/>
      </w:r>
    </w:p>
    <w:p w14:paraId="0006F0FE" w14:textId="77777777" w:rsidR="00653BEA" w:rsidRPr="006F02F9" w:rsidRDefault="0070529E" w:rsidP="00B71E1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"author" : [ { "dropping-particle" : "", "family" : "Vandana S. Nade et al", "given" : "", "non-dropping-particle" : "", "parse-names" : false, "suffix" : "" } ], "container-title" : "Indian J Pharmacol.", "id" : "ITEM-1", "issued" : { "date-parts" : [ [ "0" ] ] }, "page" : "137\u2013142", "title" : "Cognitive enhancing and antioxidant activity of ethyl acetate soluble fraction of the methanol extract of Hibiscus rosa sinensis in scopolamine-induced amnesia", "type" : "article-journal", "volume" : "43(2)" }, "uris" : [ "http://www.mendeley.com/documents/?uuid=85b382b2-eef3-4ee3-acab-c35eb2051bae" ] } ], "mendeley" : { "formattedCitation" : "Vandana S. Nade et al, \u2018Cognitive Enhancing and Antioxidant Activity of Ethyl Acetate Soluble Fraction of the Methanol Extract of Hibiscus Rosa Sinensis in Scopolamine-Induced Amnesia\u2019, &lt;i&gt;Indian J Pharmacol.&lt;/i&gt;, 43(2), 137\u2013142.", "plainTextFormattedCitation" : "Vandana S. Nade et al, \u2018Cognitive Enhancing and Antioxidant Activity of Ethyl Acetate Soluble Fraction of the Methanol Extract of Hibiscus Rosa Sinensis in Scopolamine-Induced Amnesia\u2019, Indian J Pharmacol., 43(2), 137\u2013142.", "previouslyFormattedCitation" : "Vandana S. Nade et al, \u2018Cognitive Enhancing and Antioxidant Activity of Ethyl Acetate Soluble Fraction of the Methanol Extract of Hibiscus Rosa Sinensis in Scopolamine-Induced Amnesia\u2019, &lt;i&gt;Indian J Pharmacol.&lt;/i&gt;, 43(2), 137\u2013142."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8B5314" w:rsidRPr="006F02F9">
        <w:rPr>
          <w:rFonts w:ascii="Times New Roman" w:hAnsi="Times New Roman" w:cs="Times New Roman"/>
          <w:noProof/>
          <w:sz w:val="24"/>
          <w:szCs w:val="24"/>
        </w:rPr>
        <w:t xml:space="preserve">Vandana S. Nade et al, ‘Cognitive Enhancing and Antioxidant Activity of Ethyl Acetate Soluble Fraction of the Methanol Extract of Hibiscus Rosa Sinensis in Scopolamine-Induced Amnesia’, </w:t>
      </w:r>
      <w:r w:rsidR="008B5314" w:rsidRPr="006F02F9">
        <w:rPr>
          <w:rFonts w:ascii="Times New Roman" w:hAnsi="Times New Roman" w:cs="Times New Roman"/>
          <w:i/>
          <w:noProof/>
          <w:sz w:val="24"/>
          <w:szCs w:val="24"/>
        </w:rPr>
        <w:t>Indian J Pharmacol.</w:t>
      </w:r>
      <w:r w:rsidR="008B5314" w:rsidRPr="006F02F9">
        <w:rPr>
          <w:rFonts w:ascii="Times New Roman" w:hAnsi="Times New Roman" w:cs="Times New Roman"/>
          <w:noProof/>
          <w:sz w:val="24"/>
          <w:szCs w:val="24"/>
        </w:rPr>
        <w:t>, 43(2), 137–142.</w:t>
      </w:r>
      <w:r w:rsidRPr="006F02F9">
        <w:rPr>
          <w:rFonts w:ascii="Times New Roman" w:hAnsi="Times New Roman" w:cs="Times New Roman"/>
          <w:noProof/>
          <w:sz w:val="24"/>
          <w:szCs w:val="24"/>
        </w:rPr>
        <w:fldChar w:fldCharType="end"/>
      </w:r>
    </w:p>
    <w:p w14:paraId="2557DDB9" w14:textId="77777777" w:rsidR="00653BEA" w:rsidRPr="006F02F9" w:rsidRDefault="0070529E" w:rsidP="00B71E1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8B5314" w:rsidRPr="006F02F9">
        <w:rPr>
          <w:rFonts w:ascii="Times New Roman" w:hAnsi="Times New Roman" w:cs="Times New Roman"/>
          <w:noProof/>
          <w:sz w:val="24"/>
          <w:szCs w:val="24"/>
        </w:rPr>
        <w:instrText>ADDIN CSL_CITATION { "citationItems" : [ { "id" : "ITEM-1", "itemData" : { "author" : [ { "dropping-particle" : "", "family" : "M. Shahid, K. K. Pillai", "given" : "D. Vohora", "non-dropping-particle" : "", "parse-names" : false, "suffix" : "" } ], "container-title" : "Indian J Pharmacol", "id" : "ITEM-1", "issue" : "Issue 1", "issued" : { "date-parts" : [ [ "0" ] ] }, "page" : "20-24", "title" : "Reversal of phenytoin-induced impairment of spontaneous alternation by piracetam in mice: Involvement of cholinergic system", "type" : "article-journal", "volume" : "Vol 36" }, "uris" : [ "http://www.mendeley.com/documents/?uuid=43c2a05e-009c-4f73-bc80-65d04bbcb1fd" ] } ], "mendeley" : { "formattedCitation" : "D. Vohora M. Shahid, K. K. Pillai, \u2018Reversal of Phenytoin-Induced Impairment of Spontaneous Alternation by Piracetam in Mice: Involvement of Cholinergic System\u2019, &lt;i&gt;Indian J Pharmacol&lt;/i&gt;, Vol 36.Issue 1, 20\u201324.", "plainTextFormattedCitation" : "D. Vohora M. Shahid, K. K. Pillai, \u2018Reversal of Phenytoin-Induced Impairment of Spontaneous Alternation by Piracetam in Mice: Involvement of Cholinergic System\u2019, Indian J Pharmacol, Vol 36.Issue 1, 20\u201324.", "previouslyFormattedCitation" : "D. Vohora M. Shahid, K. K. Pillai, \u2018Reversal of Phenytoin-Induced Impairment of Spontaneous Alternation by Piracetam in Mice: Involvement of Cholinergic System\u2019, &lt;i&gt;Indian J Pharmacol&lt;/i&gt;, Vol 36.Issue 1, 20\u201324."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8B5314" w:rsidRPr="006F02F9">
        <w:rPr>
          <w:rFonts w:ascii="Times New Roman" w:hAnsi="Times New Roman" w:cs="Times New Roman"/>
          <w:noProof/>
          <w:sz w:val="24"/>
          <w:szCs w:val="24"/>
        </w:rPr>
        <w:t xml:space="preserve">D. Vohora M. Shahid, K. K. Pillai, ‘Reversal of Phenytoin-Induced Impairment of Spontaneous Alternation by Piracetam in Mice: Involvement of Cholinergic System’, </w:t>
      </w:r>
      <w:r w:rsidR="008B5314" w:rsidRPr="006F02F9">
        <w:rPr>
          <w:rFonts w:ascii="Times New Roman" w:hAnsi="Times New Roman" w:cs="Times New Roman"/>
          <w:i/>
          <w:noProof/>
          <w:sz w:val="24"/>
          <w:szCs w:val="24"/>
        </w:rPr>
        <w:t>Indian J Pharmacol</w:t>
      </w:r>
      <w:r w:rsidR="008B5314" w:rsidRPr="006F02F9">
        <w:rPr>
          <w:rFonts w:ascii="Times New Roman" w:hAnsi="Times New Roman" w:cs="Times New Roman"/>
          <w:noProof/>
          <w:sz w:val="24"/>
          <w:szCs w:val="24"/>
        </w:rPr>
        <w:t>, Vol 36.Issue 1, 20–24.</w:t>
      </w:r>
      <w:r w:rsidRPr="006F02F9">
        <w:rPr>
          <w:rFonts w:ascii="Times New Roman" w:hAnsi="Times New Roman" w:cs="Times New Roman"/>
          <w:noProof/>
          <w:sz w:val="24"/>
          <w:szCs w:val="24"/>
        </w:rPr>
        <w:fldChar w:fldCharType="end"/>
      </w:r>
    </w:p>
    <w:p w14:paraId="36E1C472" w14:textId="77777777" w:rsidR="00E273FE" w:rsidRPr="006F02F9" w:rsidRDefault="0070529E" w:rsidP="00B71E1E">
      <w:pPr>
        <w:pStyle w:val="ListParagraph"/>
        <w:numPr>
          <w:ilvl w:val="0"/>
          <w:numId w:val="2"/>
        </w:numPr>
        <w:jc w:val="both"/>
        <w:rPr>
          <w:rFonts w:ascii="Times New Roman" w:hAnsi="Times New Roman" w:cs="Times New Roman"/>
          <w:noProof/>
          <w:sz w:val="24"/>
          <w:szCs w:val="24"/>
        </w:rPr>
      </w:pPr>
      <w:r w:rsidRPr="006F02F9">
        <w:rPr>
          <w:rFonts w:ascii="Times New Roman" w:hAnsi="Times New Roman" w:cs="Times New Roman"/>
          <w:noProof/>
          <w:sz w:val="24"/>
          <w:szCs w:val="24"/>
        </w:rPr>
        <w:fldChar w:fldCharType="begin" w:fldLock="1"/>
      </w:r>
      <w:r w:rsidR="00E273FE" w:rsidRPr="006F02F9">
        <w:rPr>
          <w:rFonts w:ascii="Times New Roman" w:hAnsi="Times New Roman" w:cs="Times New Roman"/>
          <w:noProof/>
          <w:sz w:val="24"/>
          <w:szCs w:val="24"/>
        </w:rPr>
        <w:instrText>ADDIN CSL_CITATION { "citationItems" : [ { "id" : "ITEM-1", "itemData" : { "DOI" : "10.1016/j.etp.2011.01.016", "ISSN" : "09402993", "PMID" : "21382703", "abstract" : "Flavonoids are non-nutritive dietary components that are widely distributed in plants. The present study was undertaken to examine the protective influence of rutin, a polyphenolic flavonoid, on oxidative stress during ammonium chloride (AC)-induced hyperammonemia by measuring the levels of oxidative damage as well as antioxidant status. The levels of tissue (liver, brain and kidney) lipid peroxides and the antioxidants (total thiols, catalase, reduced glutathione and glutathione peroxidase) were analyzed. Hyperammonemia was induced by daily intraperitoneal injections of AC at a dose of 100. mg/kg body weight for 8. weeks. Decreased levels of tissue lipid peroxidation accompanied with increased antioxidant levels in hyperammonemic rats were observed during oral administration of rutin (50. mg/kg body weight), which clearly shows the antioxidant property of rutin. The study of induction of the antioxidant status is considered to be a reliable marker for evaluating the antiperoxidative effect of the polyphenolic compound. Our present findings show the protective role of rutin against lipid peroxidation and suggest that rutin possesses antioxidant potential that may be used for therapeutic purposes. ?? 2011 Elsevier GmbH.", "author" : [ { "dropping-particle" : "", "family" : "Mahmoud", "given" : "Ayman Moawad", "non-dropping-particle" : "", "parse-names" : false, "suffix" : "" } ], "container-title" : "Experimental and Toxicologic Pathology", "id" : "ITEM-1", "issue" : "7-8", "issued" : { "date-parts" : [ [ "2012" ] ] }, "page" : "783-789", "title" : "Influence of rutin on biochemical alterations in hyperammonemia in rats", "type" : "article-journal", "volume" : "64" }, "uris" : [ "http://www.mendeley.com/documents/?uuid=3c8ba486-106e-4497-810b-51d392214f3c" ] } ], "mendeley" : { "formattedCitation" : "Ayman Moawad Mahmoud, \u2018Influence of Rutin on Biochemical Alterations in Hyperammonemia in Rats\u2019, &lt;i&gt;Experimental and Toxicologic Pathology&lt;/i&gt;, 64.7\u20138 (2012), 783\u201389 &lt;https://doi.org/10.1016/j.etp.2011.01.016&gt;.", "manualFormatting" : "Ayman Moawad Mahmoud, \u2018Influence of Rutin on Biochemical Alterations in Hyperammonemia in Rats\u2019, Experimental and Toxicologic Pathology, 64.7\u20138 (2012), 783\u201389.", "plainTextFormattedCitation" : "Ayman Moawad Mahmoud, \u2018Influence of Rutin on Biochemical Alterations in Hyperammonemia in Rats\u2019, Experimental and Toxicologic Pathology, 64.7\u20138 (2012), 783\u201389 .", "previouslyFormattedCitation" : "Ayman Moawad Mahmoud, \u2018Influence of Rutin on Biochemical Alterations in Hyperammonemia in Rats\u2019, &lt;i&gt;Experimental and Toxicologic Pathology&lt;/i&gt;, 64.7\u20138 (2012), 783\u201389 &lt;https://doi.org/10.1016/j.etp.2011.01.016&gt;."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E273FE" w:rsidRPr="006F02F9">
        <w:rPr>
          <w:rFonts w:ascii="Times New Roman" w:hAnsi="Times New Roman" w:cs="Times New Roman"/>
          <w:noProof/>
          <w:sz w:val="24"/>
          <w:szCs w:val="24"/>
        </w:rPr>
        <w:t xml:space="preserve">Ayman Moawad Mahmoud, ‘Influence of Rutin on Biochemical Alterations in Hyperammonemia in Rats’, </w:t>
      </w:r>
      <w:r w:rsidR="00E273FE" w:rsidRPr="006F02F9">
        <w:rPr>
          <w:rFonts w:ascii="Times New Roman" w:hAnsi="Times New Roman" w:cs="Times New Roman"/>
          <w:i/>
          <w:noProof/>
          <w:sz w:val="24"/>
          <w:szCs w:val="24"/>
        </w:rPr>
        <w:t>Experimental and Toxicologic Pathology</w:t>
      </w:r>
      <w:r w:rsidR="00E273FE" w:rsidRPr="006F02F9">
        <w:rPr>
          <w:rFonts w:ascii="Times New Roman" w:hAnsi="Times New Roman" w:cs="Times New Roman"/>
          <w:noProof/>
          <w:sz w:val="24"/>
          <w:szCs w:val="24"/>
        </w:rPr>
        <w:t>, 64.7–8 (2012), 783–89.</w:t>
      </w:r>
      <w:r w:rsidRPr="006F02F9">
        <w:rPr>
          <w:rFonts w:ascii="Times New Roman" w:hAnsi="Times New Roman" w:cs="Times New Roman"/>
          <w:noProof/>
          <w:sz w:val="24"/>
          <w:szCs w:val="24"/>
        </w:rPr>
        <w:fldChar w:fldCharType="end"/>
      </w:r>
    </w:p>
    <w:p w14:paraId="0E3A2069" w14:textId="77777777" w:rsidR="00E273FE" w:rsidRPr="006F02F9" w:rsidRDefault="0070529E" w:rsidP="00E273F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E273FE" w:rsidRPr="006F02F9">
        <w:rPr>
          <w:rFonts w:ascii="Times New Roman" w:hAnsi="Times New Roman" w:cs="Times New Roman"/>
          <w:sz w:val="24"/>
          <w:szCs w:val="24"/>
        </w:rPr>
        <w:instrText>ADDIN CSL_CITATION { "citationItems" : [ { "id" : "ITEM-1", "itemData" : { "ISSN" : "1347-8613", "PMID" : "17666865", "abstract" : "In order to determine the differential effects of flavonoids on cerebral ischemia, we investigated the effects of (-)-epigallocatechin gallate (EGCG), catechin, rutin, and quercetin on spatial memory impairment and neuronal death induced by repeated cerebral ischemia in rats. Both rutin and quercetin (50 mg/kg x 2) improved spatial memory impairment in the 8-arm radial maze task and neuronal death in the hippocampal CA1 area; however, catechin (200 mg/kg x 2) and EGCG (50 mg/kg x 1) did not. Administration of EGCG (50 mg/kg x 2) resulted in a high mortality rate. These results suggest that in this repeated cerebral ischemia model, the 4-oxo group and the 2,3-double bond in the C ring of rutin and quercetin are related to their neuroprotective action.", "author" : [ { "dropping-particle" : "", "family" : "Pu", "given" : "Fengling", "non-dropping-particle" : "", "parse-names" : false, "suffix" : "" }, { "dropping-particle" : "", "family" : "Mishima", "given" : "Kenichi", "non-dropping-particle" : "", "parse-names" : false, "suffix" : "" }, { "dropping-particle" : "", "family" : "Irie", "given" : "Keiichi", "non-dropping-particle" : "", "parse-names" : false, "suffix" : "" }, { "dropping-particle" : "", "family" : "Motohashi", "given" : "Kyouko", "non-dropping-particle" : "", "parse-names" : false, "suffix" : "" }, { "dropping-particle" : "", "family" : "Tanaka", "given" : "Yurika", "non-dropping-particle" : "", "parse-names" : false, "suffix" : "" }, { "dropping-particle" : "", "family" : "Orito", "given" : "Kensuke", "non-dropping-particle" : "", "parse-names" : false, "suffix" : "" }, { "dropping-particle" : "", "family" : "Egawa", "given" : "Takashi", "non-dropping-particle" : "", "parse-names" : false, "suffix" : "" }, { "dropping-particle" : "", "family" : "Kitamura", "given" : "Yoshihisa", "non-dropping-particle" : "", "parse-names" : false, "suffix" : "" }, { "dropping-particle" : "", "family" : "Egashira", "given" : "Nobuaki", "non-dropping-particle" : "", "parse-names" : false, "suffix" : "" }, { "dropping-particle" : "", "family" : "Iwasaki", "given" : "Katsunori", "non-dropping-particle" : "", "parse-names" : false, "suffix" : "" }, { "dropping-particle" : "", "family" : "Fujiwara", "given" : "Michihiro", "non-dropping-particle" : "", "parse-names" : false, "suffix" : "" } ], "container-title" : "J Pharmacol Sci.", "id" : "ITEM-1", "issue" : "4", "issued" : { "date-parts" : [ [ "2007" ] ] }, "page" : "329-34", "title" : "Neuroprotective effects of quercetin and rutin on spatial memory impairment in an 8-arm radial maze task and neuronal death induced by repeated cerebral ischemia in rats.", "type" : "article-journal", "volume" : "104" }, "uris" : [ "http://www.mendeley.com/documents/?uuid=a070086a-df01-48ad-aa46-8916a45eddc3" ] } ], "mendeley" : { "formattedCitation" : "Fengling Pu and others, \u2018Neuroprotective Effects of Quercetin and Rutin on Spatial Memory Impairment in an 8-Arm Radial Maze Task and Neuronal Death Induced by Repeated Cerebral Ischemia in Rats.\u2019, &lt;i&gt;J Pharmacol Sci.&lt;/i&gt;, 104.4 (2007), 329\u201334 &lt;http://www.ncbi.nlm.nih.gov/pubmed/17666865&gt;.", "manualFormatting" : "Fengling Pu and others, \u2018Neuroprotective Effects of Quercetin and Rutin on Spatial Memory Impairment in an 8-Arm Radial Maze Task and Neuronal Death Induced by Repeated Cerebral Ischemia in Rats.\u2019, J Pharmacol Sci., 104.4 (2007), 329\u201334.", "plainTextFormattedCitation" : "Fengling Pu and others, \u2018Neuroprotective Effects of Quercetin and Rutin on Spatial Memory Impairment in an 8-Arm Radial Maze Task and Neuronal Death Induced by Repeated Cerebral Ischemia in Rats.\u2019, J Pharmacol Sci., 104.4 (2007), 329\u201334 .", "previouslyFormattedCitation" : "Fengling Pu and others, \u2018Neuroprotective Effects of Quercetin and Rutin on Spatial Memory Impairment in an 8-Arm Radial Maze Task and Neuronal Death Induced by Repeated Cerebral Ischemia in Rats.\u2019, &lt;i&gt;J Pharmacol Sci.&lt;/i&gt;, 104.4 (2007), 329\u201334 &lt;http://www.ncbi.nlm.nih.gov/pubmed/17666865&gt;."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E273FE" w:rsidRPr="006F02F9">
        <w:rPr>
          <w:rFonts w:ascii="Times New Roman" w:hAnsi="Times New Roman" w:cs="Times New Roman"/>
          <w:noProof/>
          <w:sz w:val="24"/>
          <w:szCs w:val="24"/>
        </w:rPr>
        <w:t xml:space="preserve">Fengling Pu and others, ‘Neuroprotective Effects of Quercetin and Rutin on Spatial Memory Impairment in an 8-Arm Radial Maze Task and Neuronal Death Induced by Repeated Cerebral Ischemia in Rats.’, </w:t>
      </w:r>
      <w:r w:rsidR="00E273FE" w:rsidRPr="006F02F9">
        <w:rPr>
          <w:rFonts w:ascii="Times New Roman" w:hAnsi="Times New Roman" w:cs="Times New Roman"/>
          <w:i/>
          <w:noProof/>
          <w:sz w:val="24"/>
          <w:szCs w:val="24"/>
        </w:rPr>
        <w:t>J Pharmacol Sci.</w:t>
      </w:r>
      <w:r w:rsidR="00E273FE" w:rsidRPr="006F02F9">
        <w:rPr>
          <w:rFonts w:ascii="Times New Roman" w:hAnsi="Times New Roman" w:cs="Times New Roman"/>
          <w:noProof/>
          <w:sz w:val="24"/>
          <w:szCs w:val="24"/>
        </w:rPr>
        <w:t>, 104.4 (2007), 329–34.</w:t>
      </w:r>
      <w:r w:rsidRPr="006F02F9">
        <w:rPr>
          <w:rFonts w:ascii="Times New Roman" w:hAnsi="Times New Roman" w:cs="Times New Roman"/>
          <w:sz w:val="24"/>
          <w:szCs w:val="24"/>
        </w:rPr>
        <w:fldChar w:fldCharType="end"/>
      </w:r>
    </w:p>
    <w:p w14:paraId="66FA0B33" w14:textId="77777777" w:rsidR="007A111B" w:rsidRPr="006F02F9" w:rsidRDefault="0070529E" w:rsidP="007A111B">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E273FE" w:rsidRPr="006F02F9">
        <w:rPr>
          <w:rFonts w:ascii="Times New Roman" w:hAnsi="Times New Roman" w:cs="Times New Roman"/>
          <w:sz w:val="24"/>
          <w:szCs w:val="24"/>
        </w:rPr>
        <w:instrText>ADDIN CSL_CITATION { "citationItems" : [ { "id" : "ITEM-1", "itemData" : { "DOI" : "10.1016/S0197-4580(00)00103-2", "ISBN" : "0197-4580", "ISSN" : "01974580", "PMID" : "10794855", "abstract" : "Female Sprague-Dawley rats were ovariectomized at 13 months of age. Four groups received different regimens of estrogen or estrogen plus progesterone replacement beginning either immediately, 3 months, or 10 months after ovariectomy and were compared with non-hormone-treated controls. Eight to twelve months after ovariectomy, animals were trained on a delayed matching-to-position (DMP) spatial memory task. Long-term treatment with estrogen or estrogen plus progesterone significantly enhanced acquisition of the DMP task by aged animals after long-term loss of ovarian function. Weekly administration of estrogen and progesterone was at least as effective as, if not more effective than, continuous treatment with estrogen alone. In addition, treatment initiated 3 months, but not 10 months, after ovariectomy was as effective at enhancing DMP acquisition as continuous estrogen treatment initiated immediately after ovariectomy, suggesting a window of opportunity after the loss of ovarian function during which hormone replacement can effectively prevent the effects of aging and hormone deprivation on cognitive function. These findings suggest that repeated treatment with estrogen and progesterone initiated within a specific period of time after the loss of ovarian function may be effective at preventing specific negative effects of hormone deprivation on brain aging and cognitive decline. Copyright (C) 2000 Elsevier Science Inc.", "author" : [ { "dropping-particle" : "", "family" : "Gibbs", "given" : "Robert B.", "non-dropping-particle" : "", "parse-names" : false, "suffix" : "" } ], "container-title" : "Neurobiology of Aging", "id" : "ITEM-1", "issue" : "1", "issued" : { "date-parts" : [ [ "2000" ] ] }, "page" : "107-116", "title" : "Long-term treatment with estrogen and progesterone enhances acquisition of a spatial memory task by ovariectomized aged rats", "type" : "article-journal", "volume" : "21" }, "uris" : [ "http://www.mendeley.com/documents/?uuid=41c44dd7-b04a-4f7b-9b9f-2746c482b432" ] } ], "mendeley" : { "formattedCitation" : "Robert B. Gibbs, \u2018Long-Term Treatment with Estrogen and Progesterone Enhances Acquisition of a Spatial Memory Task by Ovariectomized Aged Rats\u2019, &lt;i&gt;Neurobiology of Aging&lt;/i&gt;, 21.1 (2000), 107\u201316 &lt;https://doi.org/10.1016/S0197-4580(00)00103-2&gt;.", "manualFormatting" : "Robert B. Gibbs, \u2018Long-Term Treatment with Estrogen and Progesterone Enhances Acquisition of a Spatial Memory Task by Ovariectomized Aged Rats\u2019, Neurobiology of Aging, 21.1 (2000), 107\u201316.", "plainTextFormattedCitation" : "Robert B. Gibbs, \u2018Long-Term Treatment with Estrogen and Progesterone Enhances Acquisition of a Spatial Memory Task by Ovariectomized Aged Rats\u2019, Neurobiology of Aging, 21.1 (2000), 107\u201316 .", "previouslyFormattedCitation" : "Robert B. Gibbs, \u2018Long-Term Treatment with Estrogen and Progesterone Enhances Acquisition of a Spatial Memory Task by Ovariectomized Aged Rats\u2019, &lt;i&gt;Neurobiology of Aging&lt;/i&gt;, 21.1 (2000), 107\u201316 &lt;https://doi.org/10.1016/S0197-4580(00)00103-2&gt;."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E273FE" w:rsidRPr="006F02F9">
        <w:rPr>
          <w:rFonts w:ascii="Times New Roman" w:hAnsi="Times New Roman" w:cs="Times New Roman"/>
          <w:noProof/>
          <w:sz w:val="24"/>
          <w:szCs w:val="24"/>
        </w:rPr>
        <w:t xml:space="preserve">Robert B. Gibbs, ‘Long-Term Treatment with Estrogen and Progesterone Enhances Acquisition of a Spatial Memory Task by Ovariectomized Aged Rats’, </w:t>
      </w:r>
      <w:r w:rsidR="00E273FE" w:rsidRPr="006F02F9">
        <w:rPr>
          <w:rFonts w:ascii="Times New Roman" w:hAnsi="Times New Roman" w:cs="Times New Roman"/>
          <w:i/>
          <w:noProof/>
          <w:sz w:val="24"/>
          <w:szCs w:val="24"/>
        </w:rPr>
        <w:t>Neurobiology of Aging</w:t>
      </w:r>
      <w:r w:rsidR="00E273FE" w:rsidRPr="006F02F9">
        <w:rPr>
          <w:rFonts w:ascii="Times New Roman" w:hAnsi="Times New Roman" w:cs="Times New Roman"/>
          <w:noProof/>
          <w:sz w:val="24"/>
          <w:szCs w:val="24"/>
        </w:rPr>
        <w:t>, 21.1 (2000), 107–16.</w:t>
      </w:r>
      <w:r w:rsidRPr="006F02F9">
        <w:rPr>
          <w:rFonts w:ascii="Times New Roman" w:hAnsi="Times New Roman" w:cs="Times New Roman"/>
          <w:sz w:val="24"/>
          <w:szCs w:val="24"/>
        </w:rPr>
        <w:fldChar w:fldCharType="end"/>
      </w:r>
    </w:p>
    <w:p w14:paraId="218C8011" w14:textId="77777777" w:rsidR="00655468" w:rsidRPr="006F02F9" w:rsidRDefault="0070529E" w:rsidP="007A111B">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7A111B" w:rsidRPr="006F02F9">
        <w:rPr>
          <w:rFonts w:ascii="Times New Roman" w:hAnsi="Times New Roman" w:cs="Times New Roman"/>
          <w:sz w:val="24"/>
          <w:szCs w:val="24"/>
        </w:rPr>
        <w:instrText>ADDIN CSL_CITATION { "citationItems" : [ { "id" : "ITEM-1", "itemData" : { "author" : [ { "dropping-particle" : "", "family" : "Abd-El-Fattah AA, El-Sawalhi MM, Rashed ER", "given" : "ElGhazaly MA", "non-dropping-particle" : "", "parse-names" : false, "suffix" : "" } ], "container-title" : "Int J Radiat Biol,", "id" : "ITEM-1", "issued" : { "date-parts" : [ [ "2010" ] ] }, "page" : "1070\u20131078.", "title" : "Possible role of vitamin E, coenzyme Q10 and rutin in protection against cerebral ischemia/reperfusion injury in irradiated rats.", "type" : "article-journal", "volume" : "86" }, "uris" : [ "http://www.mendeley.com/documents/?uuid=9e2fb410-c8c1-4456-98a8-99a43e69c4ee" ] } ], "mendeley" : { "formattedCitation" : "Abd-El-Fattah AA, El-Sawalhi MM, Rashed ER.", "manualFormatting" : "J L Herrero and others, \u2018Acetylcholine Contributes through Muscarinic Receptors to Attentional Modulation in V1.\u2019, Nature, 454.7208 (2008), 1110\u201314..", "plainTextFormattedCitation" : "Abd-El-Fattah AA, El-Sawalhi MM, Rashed ER.", "previouslyFormattedCitation" : "Abd-El-Fattah AA, El-Sawalhi MM, Rashed ER."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Pr="006F02F9">
        <w:rPr>
          <w:rFonts w:ascii="Times New Roman" w:hAnsi="Times New Roman" w:cs="Times New Roman"/>
          <w:noProof/>
          <w:sz w:val="24"/>
          <w:szCs w:val="24"/>
        </w:rPr>
        <w:fldChar w:fldCharType="begin" w:fldLock="1"/>
      </w:r>
      <w:r w:rsidR="007A111B" w:rsidRPr="006F02F9">
        <w:rPr>
          <w:rFonts w:ascii="Times New Roman" w:hAnsi="Times New Roman" w:cs="Times New Roman"/>
          <w:noProof/>
          <w:sz w:val="24"/>
          <w:szCs w:val="24"/>
        </w:rPr>
        <w:instrText>ADDIN CSL_CITATION { "citationItems" : [ { "id" : "ITEM-1", "itemData" : { "DOI" : "10.1038/nature07141", "ISBN" : "1476-4687 (Electronic)\\n0028-0836 (Linking)", "ISSN" : "1476-4687", "PMID" : "18633352", "abstract" : "Attention exerts a strong influence over neuronal processing in cortical areas. It selectively increases firing rates and affects tuning properties, including changing receptive field locations and sizes. Although these effects are well studied, their cellular mechanisms are poorly understood. To study the cellular mechanisms, we combined iontophoretic pharmacological analysis of cholinergic receptors with single cell recordings in V1 while rhesus macaque monkeys (Macaca mulatta) performed a task that demanded top-down spatial attention. Attending to the receptive field of the V1 neuron under study caused an increase in firing rates. Here we show that this attentional modulation was enhanced by low doses of acetylcholine. Furthermore, applying the muscarinic antagonist scopolamine reduced attentional modulation, whereas the nicotinic antagonist mecamylamine had no systematic effect. These results demonstrate that muscarinic cholinergic mechanisms play a central part in mediating the effects of attention in V1.", "author" : [ { "dropping-particle" : "", "family" : "Herrero", "given" : "J L", "non-dropping-particle" : "", "parse-names" : false, "suffix" : "" }, { "dropping-particle" : "", "family" : "Roberts", "given" : "M J", "non-dropping-particle" : "", "parse-names" : false, "suffix" : "" }, { "dropping-particle" : "", "family" : "Delicato", "given" : "L S", "non-dropping-particle" : "", "parse-names" : false, "suffix" : "" }, { "dropping-particle" : "", "family" : "Gieselmann", "given" : "M A", "non-dropping-particle" : "", "parse-names" : false, "suffix" : "" }, { "dropping-particle" : "", "family" : "Dayan", "given" : "Peter", "non-dropping-particle" : "", "parse-names" : false, "suffix" : "" }, { "dropping-particle" : "", "family" : "Thiele", "given" : "A", "non-dropping-particle" : "", "parse-names" : false, "suffix" : "" } ], "container-title" : "Nature", "id" : "ITEM-1", "issue" : "7208", "issued" : { "date-parts" : [ [ "2008" ] ] }, "page" : "1110-4", "title" : "Acetylcholine contributes through muscarinic receptors to attentional modulation in V1.", "type" : "article-journal", "volume" : "454" }, "uris" : [ "http://www.mendeley.com/documents/?uuid=8284f919-c5f0-4351-8d56-2fba28f8d055" ] } ], "mendeley" : { "formattedCitation" : "J L Herrero and others, \u2018Acetylcholine Contributes through Muscarinic Receptors to Attentional Modulation in V1.\u2019, &lt;i&gt;Nature&lt;/i&gt;, 454.7208 (2008), 1110\u201314 &lt;https://doi.org/10.1038/nature07141&gt;.", "manualFormatting" : "J L Herrero and others, \u2018Acetylcholine Contributes through Muscarinic Receptors to Attentional Modulation in V1.\u2019, Nature, 454.7208 (2008), 1110\u201314.", "plainTextFormattedCitation" : "J L Herrero and others, \u2018Acetylcholine Contributes through Muscarinic Receptors to Attentional Modulation in V1.\u2019, Nature, 454.7208 (2008), 1110\u201314 .", "previouslyFormattedCitation" : "J L Herrero and others, \u2018Acetylcholine Contributes through Muscarinic Receptors to Attentional Modulation in V1.\u2019, &lt;i&gt;Nature&lt;/i&gt;, 454.7208 (2008), 1110\u201314 &lt;https://doi.org/10.1038/nature07141&gt;." }, "properties" : { "noteIndex" : 0 }, "schema" : "https://github.com/citation-style-language/schema/raw/master/csl-citation.json" }</w:instrText>
      </w:r>
      <w:r w:rsidRPr="006F02F9">
        <w:rPr>
          <w:rFonts w:ascii="Times New Roman" w:hAnsi="Times New Roman" w:cs="Times New Roman"/>
          <w:noProof/>
          <w:sz w:val="24"/>
          <w:szCs w:val="24"/>
        </w:rPr>
        <w:fldChar w:fldCharType="separate"/>
      </w:r>
      <w:r w:rsidR="007A111B" w:rsidRPr="006F02F9">
        <w:rPr>
          <w:rFonts w:ascii="Times New Roman" w:hAnsi="Times New Roman" w:cs="Times New Roman"/>
          <w:noProof/>
          <w:sz w:val="24"/>
          <w:szCs w:val="24"/>
        </w:rPr>
        <w:t xml:space="preserve">J L Herrero and others, ‘Acetylcholine Contributes through Muscarinic Receptors to Attentional Modulation in V1.’, </w:t>
      </w:r>
      <w:r w:rsidR="007A111B" w:rsidRPr="006F02F9">
        <w:rPr>
          <w:rFonts w:ascii="Times New Roman" w:hAnsi="Times New Roman" w:cs="Times New Roman"/>
          <w:i/>
          <w:noProof/>
          <w:sz w:val="24"/>
          <w:szCs w:val="24"/>
        </w:rPr>
        <w:t>Nature</w:t>
      </w:r>
      <w:r w:rsidR="007A111B" w:rsidRPr="006F02F9">
        <w:rPr>
          <w:rFonts w:ascii="Times New Roman" w:hAnsi="Times New Roman" w:cs="Times New Roman"/>
          <w:noProof/>
          <w:sz w:val="24"/>
          <w:szCs w:val="24"/>
        </w:rPr>
        <w:t>, 454.7208 (2008), 1110–14.</w:t>
      </w:r>
      <w:r w:rsidRPr="006F02F9">
        <w:rPr>
          <w:rFonts w:ascii="Times New Roman" w:hAnsi="Times New Roman" w:cs="Times New Roman"/>
          <w:noProof/>
          <w:sz w:val="24"/>
          <w:szCs w:val="24"/>
        </w:rPr>
        <w:fldChar w:fldCharType="end"/>
      </w:r>
      <w:r w:rsidR="00655468" w:rsidRPr="006F02F9">
        <w:rPr>
          <w:rFonts w:ascii="Times New Roman" w:hAnsi="Times New Roman" w:cs="Times New Roman"/>
          <w:noProof/>
          <w:sz w:val="24"/>
          <w:szCs w:val="24"/>
        </w:rPr>
        <w:t>.</w:t>
      </w:r>
      <w:r w:rsidRPr="006F02F9">
        <w:rPr>
          <w:rFonts w:ascii="Times New Roman" w:hAnsi="Times New Roman" w:cs="Times New Roman"/>
          <w:sz w:val="24"/>
          <w:szCs w:val="24"/>
        </w:rPr>
        <w:fldChar w:fldCharType="end"/>
      </w:r>
    </w:p>
    <w:p w14:paraId="2619CC2B"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"S0006-8993(09)01429-2 [pii]\\n10.1016/j.brainres.2009.07.026", "ISBN" : "1872-6240 (Electronic)\\n0006-8993 (Linking)", "PMID" : "19631195", "abstract" : "Free radical induced neural damage is implicated in cerebral ischemia-reperfusion (IR) injury and antioxidants are reported to have neuroprotective activity. The present study was designed to assess the neuroprotective role of rutin (Vitamin P), and mechanism of action. The middle cerebral artery (MCA) of an adult male Wistar rat was occluded for 2 h and reperfused for 22 h. The administration of rutin (25 mg/kg bwt., orally) once daily for 21 days before middle cerebral artery occlusion (MCAO) showed marked reduction in infarct size, reduced the neurological deficits in terms of behaviors, suppressed neuronal loss and diminished the p53 expression in MCAO rats. A significantly depleted activity of antioxidant enzymes, glutathione peroxidase (GPx), glutathione reductase (GR), catalase (CAT) and superoxide dismutase (SOD) and content of glutathione (GSH) in MCAO group were protected significantly in MCAO group pretreated with rutin. Conversely, the elevated level of thiobarbituric acid reactive species (TBARS), H(2)O(2) and protein carbonyl (PC) in MCAO group was attenuated significantly in rutin-pretreated group when compared with MCAO group. These results indicate that rutin attenuates ischemic neural apoptosis by reducing the expression of p53, preventing morphological changes and increasing endogenous antioxidant enzymatic activities. Thus, rutin treatment may represent a novel approach in lowering the risk or improving the function of ischemia-reperfusion brain injury-related disorders.", "author" : [ { "dropping-particle" : "", "family" : "Khan", "given" : "M M", "non-dropping-particle" : "", "parse-names" : false, "suffix" : "" }, { "dropping-particle" : "", "family" : "Ahmad", "given" : "A", "non-dropping-particle" : "", "parse-names" : false, "suffix" : "" }, { "dropping-particle" : "", "family" : "Ishrat", "given" : "T", "non-dropping-particle" : "", "parse-names" : false, "suffix" : "" }, { "dropping-particle" : "", "family" : "Khuwaja", "given" : "G", "non-dropping-particle" : "", "parse-names" : false, "suffix" : "" }, { "dropping-particle" : "", "family" : "Srivastawa", "given" : "P", "non-dropping-particle" : "", "parse-names" : false, "suffix" : "" }, { "dropping-particle" : "", "family" : "Khan", "given" : "M B", "non-dropping-particle" : "", "parse-names" : false, "suffix" : "" }, { "dropping-particle" : "", "family" : "Raza", "given" : "S S", "non-dropping-particle" : "", "parse-names" : false, "suffix" : "" }, { "dropping-particle" : "", "family" : "Javed", "given" : "H", "non-dropping-particle" : "", "parse-names" : false, "suffix" : "" }, { "dropping-particle" : "", "family" : "Vaibhav", "given" : "K", "non-dropping-particle" : "", "parse-names" : false, "suffix" : "" }, { "dropping-particle" : "", "family" : "Khan", "given" : "A", "non-dropping-particle" : "", "parse-names" : false, "suffix" : "" }, { "dropping-particle" : "", "family" : "Islam", "given" : "F", "non-dropping-particle" : "", "parse-names" : false, "suffix" : "" } ], "container-title" : "Brain Res", "id" : "ITEM-1", "issued" : { "date-parts" : [ [ "2009" ] ] }, "page" : "123-135", "title" : "Rutin protects the neural damage induced by transient focal ischemia in rats", "type" : "article-journal", "volume" : "1292" }, "uris" : [ "http://www.mendeley.com/documents/?uuid=077d8e7a-1121-405c-bd71-c3004abbff6f" ] } ], "mendeley" : { "formattedCitation" : "M M Khan and others.", "manualFormatting" : "M M Khan and others, \u2018Rutin Protects the Neural Damage Induced by Transient Focal Ischemia in Rats\u2019, Brain Res, 1292 (2009), 123\u201335.", "plainTextFormattedCitation" : "M M Khan and others.", "previouslyFormattedCitation" : "M M Khan and others."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M M Khan and others, ‘Rutin Protects the Neural Damage Induced by Transient Focal Ischemia in Rats’, </w:t>
      </w:r>
      <w:r w:rsidR="00655468" w:rsidRPr="006F02F9">
        <w:rPr>
          <w:rFonts w:ascii="Times New Roman" w:hAnsi="Times New Roman" w:cs="Times New Roman"/>
          <w:i/>
          <w:noProof/>
          <w:sz w:val="24"/>
          <w:szCs w:val="24"/>
        </w:rPr>
        <w:t>Brain Res</w:t>
      </w:r>
      <w:r w:rsidR="00655468" w:rsidRPr="006F02F9">
        <w:rPr>
          <w:rFonts w:ascii="Times New Roman" w:hAnsi="Times New Roman" w:cs="Times New Roman"/>
          <w:noProof/>
          <w:sz w:val="24"/>
          <w:szCs w:val="24"/>
        </w:rPr>
        <w:t>, 1292 (2009), 123–35.</w:t>
      </w:r>
      <w:r w:rsidRPr="006F02F9">
        <w:rPr>
          <w:rFonts w:ascii="Times New Roman" w:hAnsi="Times New Roman" w:cs="Times New Roman"/>
          <w:sz w:val="24"/>
          <w:szCs w:val="24"/>
        </w:rPr>
        <w:fldChar w:fldCharType="end"/>
      </w:r>
    </w:p>
    <w:p w14:paraId="46BA45BE"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"10.7150/ijms.8220", "ISBN" : "1449-1907 (Electronic)\\r1449-1907 (Linking)", "ISSN" : "14491907", "PMID" : "24693223", "abstract" : "This study investigated the antifatigue effects of rutin, a flavonoid extracted from the ethyl acetate extract of S. involucrata. Mice were subjected to a weight-loaded forced swim test (WFST) on alternate days for 3 wk. Rutin was administered orally to the mice for 7 days in dosages of 15, 30, and 60 mg/kg body weight, and several biomarkers of physical fatigue were evaluated: swimming time, change in body weight, lipid peroxidation, lactic acid (LA), glycogen, and the activities of the antioxidant enzymes superoxide dismutase (SOD) and glutathione peroxidase (GPx). On Day 7, the rutin-treated mice had a 3-fold longer exhaustive swimming time than the control mice, as well as significantly reduced blood LA concentrations. The 15, 30, and 60 mg/kg body weight rutin-supplemented groups displayed 11.2%, 22.5%, and 37.7% reduced malondialdehyde (MDA) concentrations, respectively, in brain and muscle tissues compared with the control exercised group. Our results indicated that the administration of rutin protected the mice against the depletion of SOD and GPx activities significantly. Following 7 days of rutin treatment, we sacrificed the mice and analyzed their soleus muscle and brain for peroxisome proliferator-activated receptor-\u03b1 coactivator (PGC-1\u03b1) and sirtuin 1 (SIRT1) mRNA expression. We observed that rutin treatment increased PGC-1\u03b1 and SIRT1 mRNA and protein expression. The changes in these markers of mitochondrial biogenesis were associated with increased maximal endurance capacity. The application of 2D gel electrophoresis to analyze the rutin-responsive protein profiles in the WFST mouse brain further revealed the upregulation of the CB1 cannabinoid receptor-interacting protein 1, myelin basic protein, Rho GDP dissociation inhibitor (GDI) alpha, and TPI, indicating that rutin might inhibit anxiety through the upregulation of the expression of anxiety-associated proteins. Western blot analysis of MAPK expression further confirmed the antianxiety effects of rutin. Our study results thus indicate that rutin treatment ameliorates the various impairments associated with physical fatigue.", "author" : [ { "dropping-particle" : "", "family" : "Su", "given" : "Kang Yi", "non-dropping-particle" : "", "parse-names" : false, "suffix" : "" }, { "dropping-particle" : "", "family" : "Yu", "given" : "Chao Yuan", "non-dropping-particle" : "", "parse-names" : false, "suffix" : "" }, { "dropping-particle" : "", "family" : "Chen", "given" : "Yue Wen", "non-dropping-particle" : "", "parse-names" : false, "suffix" : "" }, { "dropping-particle" : "", "family" : "Huang", "given" : "Yi Tsau", "non-dropping-particle" : "", "parse-names" : false, "suffix" : "" }, { "dropping-particle" : "", "family" : "Chen", "given" : "Chun Ting", "non-dropping-particle" : "", "parse-names" : false, "suffix" : "" }, { "dropping-particle" : "", "family" : "Wu", "given" : "Hsueh Fu", "non-dropping-particle" : "", "parse-names" : false, "suffix" : "" }, { "dropping-particle" : "", "family" : "Sophia Chen", "given" : "Yi Lin", "non-dropping-particle" : "", "parse-names" : false, "suffix" : "" } ], "container-title" : "International Journal of Medical Sciences", "id" : "ITEM-1", "issue" : "5", "issued" : { "date-parts" : [ [ "2014" ] ] }, "page" : "528-537", "title" : "Rutin, a flavonoid and principal component of Saussurea involucrata, attenuates physical fatigue in a forced swimming mouse model", "type" : "article-journal", "volume" : "11" }, "uris" : [ "http://www.mendeley.com/documents/?uuid=0b0341c2-929e-4f7f-9936-3686d365e351" ] } ], "mendeley" : { "formattedCitation" : "Su and others.", "manualFormatting" : "Kang Yi Su and others, \u2018Rutin, a Flavonoid and Principal Component of Saussurea Involucrata, Attenuates Physical Fatigue in a Forced Swimming Mouse Model\u2019, International Journal of Medical Sciences, 11.5 (2014), 528\u201337.", "plainTextFormattedCitation" : "Su and others.", "previouslyFormattedCitation" : "Su and others."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Kang Yi Su and others, ‘Rutin, a Flavonoid and Principal Component of Saussurea Involucrata, Attenuates Physical Fatigue in a Forced Swimming Mouse Model’, </w:t>
      </w:r>
      <w:r w:rsidR="00655468" w:rsidRPr="006F02F9">
        <w:rPr>
          <w:rFonts w:ascii="Times New Roman" w:hAnsi="Times New Roman" w:cs="Times New Roman"/>
          <w:i/>
          <w:noProof/>
          <w:sz w:val="24"/>
          <w:szCs w:val="24"/>
        </w:rPr>
        <w:t>International Journal of Medical Sciences</w:t>
      </w:r>
      <w:r w:rsidR="00655468" w:rsidRPr="006F02F9">
        <w:rPr>
          <w:rFonts w:ascii="Times New Roman" w:hAnsi="Times New Roman" w:cs="Times New Roman"/>
          <w:noProof/>
          <w:sz w:val="24"/>
          <w:szCs w:val="24"/>
        </w:rPr>
        <w:t>, 11.5 (2014), 528–37.</w:t>
      </w:r>
      <w:r w:rsidRPr="006F02F9">
        <w:rPr>
          <w:rFonts w:ascii="Times New Roman" w:hAnsi="Times New Roman" w:cs="Times New Roman"/>
          <w:sz w:val="24"/>
          <w:szCs w:val="24"/>
        </w:rPr>
        <w:fldChar w:fldCharType="end"/>
      </w:r>
    </w:p>
    <w:p w14:paraId="731265BC"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lastRenderedPageBreak/>
        <w:fldChar w:fldCharType="begin" w:fldLock="1"/>
      </w:r>
      <w:r w:rsidR="00655468" w:rsidRPr="006F02F9">
        <w:rPr>
          <w:rFonts w:ascii="Times New Roman" w:hAnsi="Times New Roman" w:cs="Times New Roman"/>
          <w:sz w:val="24"/>
          <w:szCs w:val="24"/>
        </w:rPr>
        <w:instrText>ADDIN CSL_CITATION { "citationItems" : [ { "id" : "ITEM-1", "itemData" : { "DOI" : "10.2147/CIA.S14008", "ISBN" : "1178-1998 (Electronic)\\r1176-9092 (Linking)", "ISSN" : "11769092", "PMID" : "21472092", "abstract" : "Alzheimer's disease (AD) is the most common neurodegenerative disorder, originating sporadically in the population aged over 65 years, and advanced age is the principal risk factor leading to AD development. In spite of the large amount of research going on around the globe and all the information now available about AD, there is still no origin or triggering process known so far. Drugs approved for the treatment of AD include tacrine, donepezil, rivastigmine, galantamine, and memantine. These may delay or slow down the degenerative process for a while, but they can neither stop nor reverse its progression. Because that this might be due to a lack of effect of these drugs on degenerating neurons, even when they are able to potentiate the brain in nondegenerative conditions, we propose here an alternative therapy consisting of initial repair of neuronal membranes followed by conventional drug therapies. The rehabilitation of neurons in a degeneration process would enable the drugs to act more effectively on them and improve the effects of treatment in AD patients.", "author" : [ { "dropping-particle" : "", "family" : "Aranda-Abreu", "given" : "Gonzalo Emiliano", "non-dropping-particle" : "", "parse-names" : false, "suffix" : "" }, { "dropping-particle" : "", "family" : "Hern\u00e1ndez-Aguilar", "given" : "Mar\u00eda Elena", "non-dropping-particle" : "", "parse-names" : false, "suffix" : "" }, { "dropping-particle" : "", "family" : "Denes", "given" : "Jorge Manzo", "non-dropping-particle" : "", "parse-names" : false, "suffix" : "" }, { "dropping-particle" : "", "family" : "Hern\u00e1ndez", "given" : "Luis Isauro Garc\u00eda", "non-dropping-particle" : "", "parse-names" : false, "suffix" : "" }, { "dropping-particle" : "", "family" : "Rivero", "given" : "Marisol Herrera", "non-dropping-particle" : "", "parse-names" : false, "suffix" : "" } ], "container-title" : "Clinical Interventions in Aging", "id" : "ITEM-1", "issue" : "1", "issued" : { "date-parts" : [ [ "2011" ] ] }, "page" : "53-59", "title" : "Rehabilitating a brain with Alzheimer's: A proposal", "type" : "article", "volume" : "6" }, "uris" : [ "http://www.mendeley.com/documents/?uuid=bab7e1ff-11c0-4d15-9e75-d1e9cdc27ed9" ] } ], "mendeley" : { "formattedCitation" : "Aranda-Abreu and others.", "manualFormatting" : "Gonzalo Emiliano Aranda-Abreu and others, \u2018Rehabilitating a Brain with Alzheimer\u2019s: A Proposal\u2019, Clinical Interventions in Aging, 2011, 53\u201359.", "plainTextFormattedCitation" : "Aranda-Abreu and others.", "previouslyFormattedCitation" : "Aranda-Abreu and others."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Gonzalo Emiliano Aranda-Abreu and others, ‘Rehabilitating a Brain with Alzheimer’s: A Proposal’, </w:t>
      </w:r>
      <w:r w:rsidR="00655468" w:rsidRPr="006F02F9">
        <w:rPr>
          <w:rFonts w:ascii="Times New Roman" w:hAnsi="Times New Roman" w:cs="Times New Roman"/>
          <w:i/>
          <w:noProof/>
          <w:sz w:val="24"/>
          <w:szCs w:val="24"/>
        </w:rPr>
        <w:t>Clinical Interventions in Aging</w:t>
      </w:r>
      <w:r w:rsidR="00655468" w:rsidRPr="006F02F9">
        <w:rPr>
          <w:rFonts w:ascii="Times New Roman" w:hAnsi="Times New Roman" w:cs="Times New Roman"/>
          <w:noProof/>
          <w:sz w:val="24"/>
          <w:szCs w:val="24"/>
        </w:rPr>
        <w:t>, 2011, 53–59.</w:t>
      </w:r>
      <w:r w:rsidRPr="006F02F9">
        <w:rPr>
          <w:rFonts w:ascii="Times New Roman" w:hAnsi="Times New Roman" w:cs="Times New Roman"/>
          <w:sz w:val="24"/>
          <w:szCs w:val="24"/>
        </w:rPr>
        <w:fldChar w:fldCharType="end"/>
      </w:r>
    </w:p>
    <w:p w14:paraId="23D5C3BA"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"author" : [ { "dropping-particle" : "", "family" : "Vandana S. Nade et al", "given" : "", "non-dropping-particle" : "", "parse-names" : false, "suffix" : "" } ], "container-title" : "Indian J Pharmacol.", "id" : "ITEM-1", "issued" : { "date-parts" : [ [ "0" ] ] }, "page" : "137\u2013142", "title" : "Cognitive enhancing and antioxidant activity of ethyl acetate soluble fraction of the methanol extract of Hibiscus rosa sinensis in scopolamine-induced amnesia", "type" : "article-journal", "volume" : "43(2)" }, "uris" : [ "http://www.mendeley.com/documents/?uuid=85b382b2-eef3-4ee3-acab-c35eb2051bae" ] } ], "mendeley" : { "formattedCitation" : "Vandana S. Nade et al.", "plainTextFormattedCitation" : "Vandana S. Nade et al.", "previouslyFormattedCitation" : "Vandana S. Nade et al."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Vandana S. Nade et al.</w:t>
      </w:r>
      <w:r w:rsidRPr="006F02F9">
        <w:rPr>
          <w:rFonts w:ascii="Times New Roman" w:hAnsi="Times New Roman" w:cs="Times New Roman"/>
          <w:sz w:val="24"/>
          <w:szCs w:val="24"/>
        </w:rPr>
        <w:fldChar w:fldCharType="end"/>
      </w:r>
    </w:p>
    <w:p w14:paraId="5AC275BC"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"author" : [ { "dropping-particle" : "", "family" : "M. Shahid, K. K. Pillai", "given" : "D. Vohora", "non-dropping-particle" : "", "parse-names" : false, "suffix" : "" } ], "container-title" : "Indian J Pharmacol", "id" : "ITEM-1", "issue" : "Issue 1", "issued" : { "date-parts" : [ [ "0" ] ] }, "page" : "20-24", "title" : "Reversal of phenytoin-induced impairment of spontaneous alternation by piracetam in mice: Involvement of cholinergic system", "type" : "article-journal", "volume" : "Vol 36" }, "uris" : [ "http://www.mendeley.com/documents/?uuid=43c2a05e-009c-4f73-bc80-65d04bbcb1fd" ] } ], "mendeley" : { "formattedCitation" : "M. Shahid, K. K. Pillai.", "plainTextFormattedCitation" : "M. Shahid, K. K. Pillai.", "previouslyFormattedCitation" : "M. Shahid, K. K. Pillai."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M. Shahid, K. K. Pillai.</w:t>
      </w:r>
      <w:r w:rsidRPr="006F02F9">
        <w:rPr>
          <w:rFonts w:ascii="Times New Roman" w:hAnsi="Times New Roman" w:cs="Times New Roman"/>
          <w:sz w:val="24"/>
          <w:szCs w:val="24"/>
        </w:rPr>
        <w:fldChar w:fldCharType="end"/>
      </w:r>
    </w:p>
    <w:p w14:paraId="712B8BDB"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"10.1016/0006-8993(91)91404-O", "ISBN" : "0006-8993 (Print)", "ISSN" : "00068993", "PMID" : "1839967", "abstract" : "In chronically prepared rats, electrical stimulation (100 Hz, 0.1 ms pulses) of the dorsal raphe nucleus, some sites in the median raphe nucleus, and adjoining regions of the midbrain produced locomotion accompanied by hippocampal rhythmical slow activity (RSA) and neocortical low voltage fast activity (LVFA). Both the behaviour and the cerebral waveforms persisted after injection of scopolamine HBr (5 mg/kg, s.c.). Median raphe stimulation usually produced behavioural freezing or an unnatural forced movement accompanied by RSA and LVFA. The behavioural response and the LVFA were not affected by scopolamine but scopolamine eliminated the RSA, replacing it with a low amplitude irregular (suppressed) pattern. p-Chlorophenylalanine (PCPA, 500 mg/kg/day ?? 3, i.p.) reduced the RSA and LVFA normally present during walking after scopolamine but did not reduce the hippocampal suppression produced by median raphe stimulation in scopolamine-treated rats. Hippocampal suppression and LVFA in response to median raphe stimulation were also present in urethane (1.0-1.5 g/kg, i.p.) anesthetized rats, whether pretreated with PCPA or not. Stimulation at most other midbrain sites produced RSA and LVFA in the urethane condition. RSA was abolished in the urethane plus scopolamine condition. The data support the view that scopolamine-resistant RSA and LVFA are dependent on serotonergic projections. The hippocampal suppression produced by median raphe stimulation may be dependent on non-serotonergic neurotransmission. ?? 1991.", "author" : [ { "dropping-particle" : "", "family" : "Peck", "given" : "Barbara Kay", "non-dropping-particle" : "", "parse-names" : false, "suffix" : "" }, { "dropping-particle" : "", "family" : "Vanderwolf", "given" : "C. H.", "non-dropping-particle" : "", "parse-names" : false, "suffix" : "" } ], "container-title" : "Brain Research", "id" : "ITEM-1", "issue" : "1-2", "issued" : { "date-parts" : [ [ "1991" ] ] }, "page" : "244-252", "title" : "Effects of raphe stimulation on hippocampal and neocortical activity and behaviour", "type" : "article-journal", "volume" : "568" }, "uris" : [ "http://www.mendeley.com/documents/?uuid=0f22e6b6-6504-4160-a2fb-c17648f309b8" ] } ], "mendeley" : { "formattedCitation" : "Barbara Kay Peck and C. H. Vanderwolf, \u2018Effects of Raphe Stimulation on Hippocampal and Neocortical Activity and Behaviour\u2019, &lt;i&gt;Brain Research&lt;/i&gt;, 568.1\u20132 (1991), 244\u201352 &lt;https://doi.org/10.1016/0006-8993(91)91404-O&gt;.", "manualFormatting" : "Barbara Kay Peck and C. H. Vanderwolf, \u2018Effects of Raphe Stimulation on Hippocampal and Neocortical Activity and Behaviour\u2019, Brain Research, 568.1\u20132 (1991), 244\u201352.", "plainTextFormattedCitation" : "Barbara Kay Peck and C. H. Vanderwolf, \u2018Effects of Raphe Stimulation on Hippocampal and Neocortical Activity and Behaviour\u2019, Brain Research, 568.1\u20132 (1991), 244\u201352 .", "previouslyFormattedCitation" : "Barbara Kay Peck and C. H. Vanderwolf, \u2018Effects of Raphe Stimulation on Hippocampal and Neocortical Activity and Behaviour\u2019, &lt;i&gt;Brain Research&lt;/i&gt;, 568.1\u20132 (1991), 244\u201352 &lt;https://doi.org/10.1016/0006-8993(91)91404-O&gt;."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Barbara Kay Peck and C. H. Vanderwolf, ‘Effects of Raphe Stimulation on Hippocampal and Neocortical Activity and Behaviour’, </w:t>
      </w:r>
      <w:r w:rsidR="00655468" w:rsidRPr="006F02F9">
        <w:rPr>
          <w:rFonts w:ascii="Times New Roman" w:hAnsi="Times New Roman" w:cs="Times New Roman"/>
          <w:i/>
          <w:noProof/>
          <w:sz w:val="24"/>
          <w:szCs w:val="24"/>
        </w:rPr>
        <w:t>Brain Research</w:t>
      </w:r>
      <w:r w:rsidR="00655468" w:rsidRPr="006F02F9">
        <w:rPr>
          <w:rFonts w:ascii="Times New Roman" w:hAnsi="Times New Roman" w:cs="Times New Roman"/>
          <w:noProof/>
          <w:sz w:val="24"/>
          <w:szCs w:val="24"/>
        </w:rPr>
        <w:t>, 568.1–2 (1991), 244–52.</w:t>
      </w:r>
      <w:r w:rsidRPr="006F02F9">
        <w:rPr>
          <w:rFonts w:ascii="Times New Roman" w:hAnsi="Times New Roman" w:cs="Times New Roman"/>
          <w:sz w:val="24"/>
          <w:szCs w:val="24"/>
        </w:rPr>
        <w:fldChar w:fldCharType="end"/>
      </w:r>
    </w:p>
    <w:p w14:paraId="2EA1333E"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"author" : [ { "dropping-particle" : "al", "family" : "Pu F", "given" : "Mishima K et", "non-dropping-particle" : "", "parse-names" : false, "suffix" : "" } ], "container-title" : "J Pharmacol Sci.", "id" : "ITEM-1", "issue" : "4", "issued" : { "date-parts" : [ [ "0" ] ] }, "page" : "329-34", "title" : "Neuroprotective effects of quercetin and rutin on spatial memory impairment in an 8-arm radial maze task and neuronal death induced by repeated cerebral ischemia in rats.", "type" : "article-journal", "volume" : "104" }, "uris" : [ "http://www.mendeley.com/documents/?uuid=542c26e5-4e3a-4161-a858-d1689a3cdf2f" ] } ], "mendeley" : { "formattedCitation" : "Mishima K et al Pu F, \u2018Neuroprotective Effects of Quercetin and Rutin on Spatial Memory Impairment in an 8-Arm Radial Maze Task and Neuronal Death Induced by Repeated Cerebral Ischemia in Rats.\u2019, &lt;i&gt;J Pharmacol Sci.&lt;/i&gt;, 104.4, 329\u201334.", "plainTextFormattedCitation" : "Mishima K et al Pu F, \u2018Neuroprotective Effects of Quercetin and Rutin on Spatial Memory Impairment in an 8-Arm Radial Maze Task and Neuronal Death Induced by Repeated Cerebral Ischemia in Rats.\u2019, J Pharmacol Sci., 104.4, 329\u201334.", "previouslyFormattedCitation" : "Mishima K et al Pu F, \u2018Neuroprotective Effects of Quercetin and Rutin on Spatial Memory Impairment in an 8-Arm Radial Maze Task and Neuronal Death Induced by Repeated Cerebral Ischemia in Rats.\u2019, &lt;i&gt;J Pharmacol Sci.&lt;/i&gt;, 104.4, 329\u201334."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Mishima K et al Pu F, ‘Neuroprotective Effects of Quercetin and Rutin on Spatial Memory Impairment in an 8-Arm Radial Maze Task and Neuronal Death Induced by Repeated Cerebral Ischemia in Rats.’, </w:t>
      </w:r>
      <w:r w:rsidR="00655468" w:rsidRPr="006F02F9">
        <w:rPr>
          <w:rFonts w:ascii="Times New Roman" w:hAnsi="Times New Roman" w:cs="Times New Roman"/>
          <w:i/>
          <w:noProof/>
          <w:sz w:val="24"/>
          <w:szCs w:val="24"/>
        </w:rPr>
        <w:t>J Pharmacol Sci.</w:t>
      </w:r>
      <w:r w:rsidR="00655468" w:rsidRPr="006F02F9">
        <w:rPr>
          <w:rFonts w:ascii="Times New Roman" w:hAnsi="Times New Roman" w:cs="Times New Roman"/>
          <w:noProof/>
          <w:sz w:val="24"/>
          <w:szCs w:val="24"/>
        </w:rPr>
        <w:t>, 104.4, 329–34.</w:t>
      </w:r>
      <w:r w:rsidRPr="006F02F9">
        <w:rPr>
          <w:rFonts w:ascii="Times New Roman" w:hAnsi="Times New Roman" w:cs="Times New Roman"/>
          <w:sz w:val="24"/>
          <w:szCs w:val="24"/>
        </w:rPr>
        <w:fldChar w:fldCharType="end"/>
      </w:r>
    </w:p>
    <w:p w14:paraId="79378D8A"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"10.1016/j.brainres.2009.07.026", "ISBN" : "0006-8993", "ISSN" : "00068993", "PMID" : "19631195", "abstract" : "Free radical induced neural damage is implicated in cerebral ischemia-reperfusion (IR) injury and antioxidants are reported to have neuroprotective activity. The present study was designed to assess the neuroprotective role of rutin (Vitamin P), and mechanism of action. The middle cerebral artery (MCA) of an adult male Wistar rat was occluded for 2??h and reperfused for 22??h. The administration of rutin (25??mg/kg bwt., orally) once daily for 21??days before middle cerebral artery occlusion (MCAO) showed marked reduction in infarct size, reduced the neurological deficits in terms of behaviors, suppressed neuronal loss and diminished the p53 expression in MCAO rats. A significantly depleted activity of antioxidant enzymes, glutathione peroxidase (GPx), glutathione reductase (GR), catalase (CAT) and superoxide dismutase (SOD) and content of glutathione (GSH) in MCAO group were protected significantly in MCAO group pretreated with rutin. Conversely, the elevated level of thiobarbituric acid reactive species (TBARS), H2O2 and protein carbonyl (PC) in MCAO group was attenuated significantly in rutin-pretreated group when compared with MCAO group. These results indicate that rutin attenuates ischemic neural apoptosis by reducing the expression of p53, preventing morphological changes and increasing endogenous antioxidant enzymatic activities. Thus, rutin treatment may represent a novel approach in lowering the risk or improving the function of ischemia-reperfusion brain injury-related disorders. ?? 2009 Elsevier B.V. All rights reserved.", "author" : [ { "dropping-particle" : "", "family" : "Khan", "given" : "Mohd Badruzzaman Moshahid", "non-dropping-particle" : "", "parse-names" : false, "suffix" : "" }, { "dropping-particle" : "", "family" : "Ahmad", "given" : "Ajmal", "non-dropping-particle" : "", "parse-names" : false, "suffix" : "" }, { "dropping-particle" : "", "family" : "Ishrat", "given" : "Tauheed", "non-dropping-particle" : "", "parse-names" : false, "suffix" : "" }, { "dropping-particle" : "", "family" : "Khuwaja", "given" : "Gulrana", "non-dropping-particle" : "", "parse-names" : false, "suffix" : "" }, { "dropping-particle" : "", "family" : "Srivastawa", "given" : "Pallavi", "non-dropping-particle" : "", "parse-names" : false, "suffix" : "" }, { "dropping-particle" : "", "family" : "Khan", "given" : "Mohd Badruzzaman Moshahid", "non-dropping-particle" : "", "parse-names" : false, "suffix" : "" }, { "dropping-particle" : "", "family" : "Raza", "given" : "Syed Shadab", "non-dropping-particle" : "", "parse-names" : false, "suffix" : "" }, { "dropping-particle" : "", "family" : "Javed", "given" : "Hayate", "non-dropping-particle" : "", "parse-names" : false, "suffix" : "" }, { "dropping-particle" : "", "family" : "Vaibhav", "given" : "Kumar", "non-dropping-particle" : "", "parse-names" : false, "suffix" : "" }, { "dropping-particle" : "", "family" : "Khan", "given" : "Andleeb", "non-dropping-particle" : "", "parse-names" : false, "suffix" : "" }, { "dropping-particle" : "", "family" : "Islam", "given" : "Fakhrul", "non-dropping-particle" : "", "parse-names" : false, "suffix" : "" } ], "container-title" : "Brain Research", "id" : "ITEM-1", "issued" : { "date-parts" : [ [ "2009" ] ] }, "page" : "123-135", "title" : "Rutin protects the neural damage induced by transient focal ischemia in rats", "type" : "article-journal", "volume" : "1292" }, "uris" : [ "http://www.mendeley.com/documents/?uuid=c98f6cd9-fd72-4898-b4b2-77546f2a1b8a" ] } ], "mendeley" : { "formattedCitation" : "Mohd Badruzzaman Moshahid Khan and others, \u2018Rutin Protects the Neural Damage Induced by Transient Focal Ischemia in Rats\u2019, &lt;i&gt;Brain Research&lt;/i&gt;, 1292 (2009), 123\u201335 &lt;https://doi.org/10.1016/j.brainres.2009.07.026&gt;.", "plainTextFormattedCitation" : "Mohd Badruzzaman Moshahid Khan and others, \u2018Rutin Protects the Neural Damage Induced by Transient Focal Ischemia in Rats\u2019, Brain Research, 1292 (2009), 123\u201335 .", "previouslyFormattedCitation" : "Mohd Badruzzaman Moshahid Khan and others, \u2018Rutin Protects the Neural Damage Induced by Transient Focal Ischemia in Rats\u2019, &lt;i&gt;Brain Research&lt;/i&gt;, 1292 (2009), 123\u201335 &lt;https://doi.org/10.1016/j.brainres.2009.07.026&gt;."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Mohd Badruzzaman Moshahid Khan and others, ‘Rutin Protects the Neural Damage Induced by Transient Focal Ischemia in Rats’, </w:t>
      </w:r>
      <w:r w:rsidR="00655468" w:rsidRPr="006F02F9">
        <w:rPr>
          <w:rFonts w:ascii="Times New Roman" w:hAnsi="Times New Roman" w:cs="Times New Roman"/>
          <w:i/>
          <w:noProof/>
          <w:sz w:val="24"/>
          <w:szCs w:val="24"/>
        </w:rPr>
        <w:t>Brain Research</w:t>
      </w:r>
      <w:r w:rsidR="00655468" w:rsidRPr="006F02F9">
        <w:rPr>
          <w:rFonts w:ascii="Times New Roman" w:hAnsi="Times New Roman" w:cs="Times New Roman"/>
          <w:noProof/>
          <w:sz w:val="24"/>
          <w:szCs w:val="24"/>
        </w:rPr>
        <w:t>, 1292 (2009), 123–35 .</w:t>
      </w:r>
      <w:r w:rsidRPr="006F02F9">
        <w:rPr>
          <w:rFonts w:ascii="Times New Roman" w:hAnsi="Times New Roman" w:cs="Times New Roman"/>
          <w:sz w:val="24"/>
          <w:szCs w:val="24"/>
        </w:rPr>
        <w:fldChar w:fldCharType="end"/>
      </w:r>
    </w:p>
    <w:p w14:paraId="633DD3ED" w14:textId="77777777" w:rsidR="00655468" w:rsidRPr="006F02F9" w:rsidRDefault="0070529E" w:rsidP="00655468">
      <w:pPr>
        <w:pStyle w:val="ListParagraph"/>
        <w:numPr>
          <w:ilvl w:val="0"/>
          <w:numId w:val="2"/>
        </w:numPr>
        <w:spacing w:line="360" w:lineRule="auto"/>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"ISBN" : "0271-678X", "abstract" : "Background and purpose: Free radical induced neuronal damage is implicated in cerebral ischemia reperfusion (IR) injury and antioxidants are reported to have neuroprotective activity. The present study was designed to assess the neuroprotective mechanisms of rutin (Vitamin P), a free radical scavenger, through antioxidative, anti-inflammatory and antiapoptotic pathways. Methods: The middle cerebral artery of adult male wistar rat was occluded for 2h and reperfused for 22h. Rats were pretreated with Rutin (50 mg/kg) for 15 days. Infarct volume and neurological deficit scores were evaluated at several time points after ischemia. 24h after MCAO, the brains were removed for assays of antioxidants, calcium, H2O2, DNA fragmentation, PARP, caspase-3, release of mitochondrial cytochrome c and p53. Results: Neurological deficits were significantly decreased in rats treated with rutin. Rutin pretreatment improved the antioxidant status, diminished the cytochrome-c expression, decrease DNA fragmentation and brain infarct. Furthermore, rutin markedly suppressed the p53 protein expression and calcium level. Conclusions: These results indicate that rutin attenuates ischemic neuronal apoptosis by inhibiting cytochrome c release, increasing endogenous antioxidant enzymatic activities and reducing the p53 expression. Thus, rutin shows an excellent neuroprotective effect against ischemia/reperfusion brain injury.", "author" : [ { "dropping-particle" : "", "family" : "M.", "given" : "Khan", "non-dropping-particle" : "", "parse-names" : false, "suffix" : "" }, { "dropping-particle" : "", "family" : "F.", "given" : "Islam", "non-dropping-particle" : "", "parse-names" : false, "suffix" : "" } ], "container-title" : "Journal of Cerebral Blood Flow and Metabolism", "id" : "ITEM-1", "issued" : { "date-parts" : [ [ "2009" ] ] }, "page" : "S421", "title" : "Rutin protects against transient focal cerebral ischemia in rats", "type" : "article-journal", "volume" : "29" }, "uris" : [ "http://www.mendeley.com/documents/?uuid=cfd0ddc6-128e-4f0e-a396-d594bf9ef209" ] } ], "mendeley" : { "formattedCitation" : "Khan M. and Islam F., \u2018Rutin Protects against Transient Focal Cerebral Ischemia in Rats\u2019, &lt;i&gt;Journal of Cerebral Blood Flow and Metabolism&lt;/i&gt;, 29 (2009), S421 &lt;http://ovidsp.ovid.com/ovidweb.cgi?T=JS&amp;PAGE=reference&amp;D=emed9&amp;NEWS=N&amp;AN=70031084&gt;.", "plainTextFormattedCitation" : "Khan M. and Islam F., \u2018Rutin Protects against Transient Focal Cerebral Ischemia in Rats\u2019, Journal of Cerebral Blood Flow and Metabolism, 29 (2009), S421 .", "previouslyFormattedCitation" : "Khan M. and Islam F., \u2018Rutin Protects against Transient Focal Cerebral Ischemia in Rats\u2019, &lt;i&gt;Journal of Cerebral Blood Flow and Metabolism&lt;/i&gt;, 29 (2009), S421 &lt;http://ovidsp.ovid.com/ovidweb.cgi?T=JS&amp;PAGE=reference&amp;D=emed9&amp;NEWS=N&amp;AN=70031084&gt;."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Khan M. and Islam F., ‘Rutin Protects against Transient Focal Cerebral Ischemia in Rats’, </w:t>
      </w:r>
      <w:r w:rsidR="00655468" w:rsidRPr="006F02F9">
        <w:rPr>
          <w:rFonts w:ascii="Times New Roman" w:hAnsi="Times New Roman" w:cs="Times New Roman"/>
          <w:i/>
          <w:noProof/>
          <w:sz w:val="24"/>
          <w:szCs w:val="24"/>
        </w:rPr>
        <w:t>Journal of Cerebral Blood Flow and Metabolism</w:t>
      </w:r>
      <w:r w:rsidR="00655468" w:rsidRPr="006F02F9">
        <w:rPr>
          <w:rFonts w:ascii="Times New Roman" w:hAnsi="Times New Roman" w:cs="Times New Roman"/>
          <w:noProof/>
          <w:sz w:val="24"/>
          <w:szCs w:val="24"/>
        </w:rPr>
        <w:t>, 29 (2009), S421 .</w:t>
      </w:r>
      <w:r w:rsidRPr="006F02F9">
        <w:rPr>
          <w:rFonts w:ascii="Times New Roman" w:hAnsi="Times New Roman" w:cs="Times New Roman"/>
          <w:sz w:val="24"/>
          <w:szCs w:val="24"/>
        </w:rPr>
        <w:fldChar w:fldCharType="end"/>
      </w:r>
    </w:p>
    <w:p w14:paraId="55F82169" w14:textId="77777777" w:rsidR="00655468" w:rsidRPr="006F02F9" w:rsidRDefault="0070529E" w:rsidP="00E273F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655468" w:rsidRPr="006F02F9">
        <w:rPr>
          <w:rFonts w:ascii="Times New Roman" w:hAnsi="Times New Roman" w:cs="Times New Roman"/>
          <w:sz w:val="24"/>
          <w:szCs w:val="24"/>
        </w:rPr>
        <w:instrText>ADDIN CSL_CITATION { "citationItems" : [ { "id" : "ITEM-1", "itemData" : { "DOI" : "10.1016/0091-3057(95)00059-6", "ISBN" : "0091-3057 (Print)\\r0091-3057 (Linking)", "ISSN" : "00913057", "PMID" : "7501653", "abstract" : "Groups of adult, male, Wistar rats were administered phenytoin (DPH) at 5, 12.5, 25, 50, or 75 mg/kg IP for 21 days. The learning and memory of these rats were assessed using the T-maze and passive avoidance tests. The plasma DPH levels, acetylcholine esterase (AChE) activity in different brain regions, and the levels of monoamines in the hippocampus were measured. The results indicate that DPH below the therapeutic plasma level did not significantly impair learning and memory. Correspondingly, no changes were noted in the brain 5-HT or AChE activity. However, DPH, at therapeutic plasma concentrations (i.e., 10.5 ??/ml and 14 ??g/ml in the dosage range of 50 and 75 mg/kg, respectively), significantly impaired learning and memory in rats. The impaired learning and memory functions were associated with increased 5-HT levels and decreased AChE activity in the hippocampus. With a dose of 75 mg/kg DPH, there was a reduction in the AChE activity in the striatum, in addition to hippocampus. It is conjectured that the neurochemical changes brought about by DPH at therapeutic plasma levels may account for the impairment of learning, memory, and cognitive functions in epilepsy. ?? 1995.", "author" : [ { "dropping-particle" : "", "family" : "Sudha", "given" : "S.", "non-dropping-particle" : "", "parse-names" : false, "suffix" : "" }, { "dropping-particle" : "", "family" : "Lakshmana", "given" : "Madepalli K.", "non-dropping-particle" : "", "parse-names" : false, "suffix" : "" }, { "dropping-particle" : "", "family" : "Pradhan", "given" : "N.", "non-dropping-particle" : "", "parse-names" : false, "suffix" : "" } ], "container-title" : "Pharmacology, Biochemistry and Behavior", "id" : "ITEM-1", "issue" : "1", "issued" : { "date-parts" : [ [ "1995" ] ] }, "page" : "119-124", "title" : "Chronic phenytoin induced impairment of learning and memory with associated changes in brain acetylcholine esterase activity and monoamine levels", "type" : "article-journal", "volume" : "52" }, "uris" : [ "http://www.mendeley.com/documents/?uuid=9552a687-6d08-4829-91f2-ee9facd65cf1" ] } ], "mendeley" : { "formattedCitation" : "S. Sudha, Madepalli K. Lakshmana, and N. Pradhan, \u2018Chronic Phenytoin Induced Impairment of Learning and Memory with Associated Changes in Brain Acetylcholine Esterase Activity and Monoamine Levels\u2019, &lt;i&gt;Pharmacology, Biochemistry and Behavior&lt;/i&gt;, 52.1 (1995), 119\u201324 &lt;https://doi.org/10.1016/0091-3057(95)00059-6&gt;.", "manualFormatting" : "S. Sudha, Madepalli K. Lakshmana, and N. Pradhan, \u2018Chronic Phenytoin Induced Impairment of Learning and Memory with Associated Changes in Brain Acetylcholine Esterase Activity and Monoamine Levels\u2019, Pharmacology, Biochemistry and Behavior, 52.1 (1995), 119\u201324.", "plainTextFormattedCitation" : "S. Sudha, Madepalli K. Lakshmana, and N. Pradhan, \u2018Chronic Phenytoin Induced Impairment of Learning and Memory with Associated Changes in Brain Acetylcholine Esterase Activity and Monoamine Levels\u2019, Pharmacology, Biochemistry and Behavior, 52.1 (1995), 119\u201324 .", "previouslyFormattedCitation" : "S. Sudha, Madepalli K. Lakshmana, and N. Pradhan, \u2018Chronic Phenytoin Induced Impairment of Learning and Memory with Associated Changes in Brain Acetylcholine Esterase Activity and Monoamine Levels\u2019, &lt;i&gt;Pharmacology, Biochemistry and Behavior&lt;/i&gt;, 52.1 (1995), 119\u201324 &lt;https://doi.org/10.1016/0091-3057(95)00059-6&gt;."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S. Sudha, Madepalli K. Lakshmana, and N. Pradhan, ‘Chronic Phenytoin Induced Impairment of Learning and Memory with Associated Changes in Brain Acetylcholine Esterase Activity and Monoamine Levels’, </w:t>
      </w:r>
      <w:r w:rsidR="00655468" w:rsidRPr="006F02F9">
        <w:rPr>
          <w:rFonts w:ascii="Times New Roman" w:hAnsi="Times New Roman" w:cs="Times New Roman"/>
          <w:i/>
          <w:noProof/>
          <w:sz w:val="24"/>
          <w:szCs w:val="24"/>
        </w:rPr>
        <w:t>Pharmacology, Biochemistry and Behavior</w:t>
      </w:r>
      <w:r w:rsidR="00655468" w:rsidRPr="006F02F9">
        <w:rPr>
          <w:rFonts w:ascii="Times New Roman" w:hAnsi="Times New Roman" w:cs="Times New Roman"/>
          <w:noProof/>
          <w:sz w:val="24"/>
          <w:szCs w:val="24"/>
        </w:rPr>
        <w:t>, 52.1 (1995), 119–24.</w:t>
      </w:r>
      <w:r w:rsidRPr="006F02F9">
        <w:rPr>
          <w:rFonts w:ascii="Times New Roman" w:hAnsi="Times New Roman" w:cs="Times New Roman"/>
          <w:sz w:val="24"/>
          <w:szCs w:val="24"/>
        </w:rPr>
        <w:fldChar w:fldCharType="end"/>
      </w:r>
    </w:p>
    <w:p w14:paraId="2B268BB8" w14:textId="77777777" w:rsidR="00655468" w:rsidRPr="006F02F9" w:rsidRDefault="0070529E" w:rsidP="00E273F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CF30E3" w:rsidRPr="006F02F9">
        <w:rPr>
          <w:rFonts w:ascii="Times New Roman" w:hAnsi="Times New Roman" w:cs="Times New Roman"/>
          <w:sz w:val="24"/>
          <w:szCs w:val="24"/>
        </w:rPr>
        <w:instrText>ADDIN CSL_CITATION { "citationItems" : [ { "id" : "ITEM-1", "itemData" : { "author" : [ { "dropping-particle" : "", "family" : "Goh WW, Sergot MJ, Sng JC", "given" : "Wong L", "non-dropping-particle" : "", "parse-names" : false, "suffix" : "" } ], "container-title" : "Proteome Res.", "id" : "ITEM-1", "issue" : "12(5)", "issued" : { "date-parts" : [ [ "0" ] ] }, "page" : "2116-27", "title" : "Comparative network-based recovery analysis and proteomic profiling of neurological changes in valproic Acid-treated mice.", "type" : "article-journal", "volume" : "3" }, "uris" : [ "http://www.mendeley.com/documents/?uuid=368a626f-fc3b-4260-9c74-a885fb1bcadf" ] } ], "mendeley" : { "formattedCitation" : "Wong L Goh WW, Sergot MJ, Sng JC, \u2018Comparative Network-Based Recovery Analysis and Proteomic Profiling of Neurological Changes in Valproic Acid-Treated Mice.\u2019, &lt;i&gt;Proteome Res.&lt;/i&gt;, 3.12(5), 2116\u201327.", "plainTextFormattedCitation" : "Wong L Goh WW, Sergot MJ, Sng JC, \u2018Comparative Network-Based Recovery Analysis and Proteomic Profiling of Neurological Changes in Valproic Acid-Treated Mice.\u2019, Proteome Res., 3.12(5), 2116\u201327.", "previouslyFormattedCitation" : "Wong L Goh WW, Sergot MJ, Sng JC, \u2018Comparative Network-Based Recovery Analysis and Proteomic Profiling of Neurological Changes in Valproic Acid-Treated Mice.\u2019, &lt;i&gt;Proteome Res.&lt;/i&gt;, 3.12(5), 2116\u201327."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655468" w:rsidRPr="006F02F9">
        <w:rPr>
          <w:rFonts w:ascii="Times New Roman" w:hAnsi="Times New Roman" w:cs="Times New Roman"/>
          <w:noProof/>
          <w:sz w:val="24"/>
          <w:szCs w:val="24"/>
        </w:rPr>
        <w:t xml:space="preserve">Wong L Goh WW, Sergot MJ, Sng JC, ‘Comparative Network-Based Recovery Analysis and Proteomic Profiling of Neurological Changes in Valproic Acid-Treated Mice.’, </w:t>
      </w:r>
      <w:r w:rsidR="00655468" w:rsidRPr="006F02F9">
        <w:rPr>
          <w:rFonts w:ascii="Times New Roman" w:hAnsi="Times New Roman" w:cs="Times New Roman"/>
          <w:i/>
          <w:noProof/>
          <w:sz w:val="24"/>
          <w:szCs w:val="24"/>
        </w:rPr>
        <w:t>Proteome Res.</w:t>
      </w:r>
      <w:r w:rsidR="00655468" w:rsidRPr="006F02F9">
        <w:rPr>
          <w:rFonts w:ascii="Times New Roman" w:hAnsi="Times New Roman" w:cs="Times New Roman"/>
          <w:noProof/>
          <w:sz w:val="24"/>
          <w:szCs w:val="24"/>
        </w:rPr>
        <w:t>, 3.12(5), 2116–27.</w:t>
      </w:r>
      <w:r w:rsidRPr="006F02F9">
        <w:rPr>
          <w:rFonts w:ascii="Times New Roman" w:hAnsi="Times New Roman" w:cs="Times New Roman"/>
          <w:sz w:val="24"/>
          <w:szCs w:val="24"/>
        </w:rPr>
        <w:fldChar w:fldCharType="end"/>
      </w:r>
    </w:p>
    <w:p w14:paraId="00CACBC4" w14:textId="77777777" w:rsidR="00655468" w:rsidRPr="006F02F9" w:rsidRDefault="0070529E" w:rsidP="00E273FE">
      <w:pPr>
        <w:pStyle w:val="ListParagraph"/>
        <w:numPr>
          <w:ilvl w:val="0"/>
          <w:numId w:val="2"/>
        </w:numPr>
        <w:jc w:val="both"/>
        <w:rPr>
          <w:rFonts w:ascii="Times New Roman" w:hAnsi="Times New Roman" w:cs="Times New Roman"/>
          <w:sz w:val="24"/>
          <w:szCs w:val="24"/>
        </w:rPr>
      </w:pPr>
      <w:r w:rsidRPr="006F02F9">
        <w:rPr>
          <w:rFonts w:ascii="Times New Roman" w:hAnsi="Times New Roman" w:cs="Times New Roman"/>
          <w:sz w:val="24"/>
          <w:szCs w:val="24"/>
        </w:rPr>
        <w:fldChar w:fldCharType="begin" w:fldLock="1"/>
      </w:r>
      <w:r w:rsidR="00CF30E3" w:rsidRPr="006F02F9">
        <w:rPr>
          <w:rFonts w:ascii="Times New Roman" w:hAnsi="Times New Roman" w:cs="Times New Roman"/>
          <w:sz w:val="24"/>
          <w:szCs w:val="24"/>
        </w:rPr>
        <w:instrText>ADDIN CSL_CITATION { "citationItems" : [ { "id" : "ITEM-1", "itemData" : { "DOI" : "10.1007/s10072-011-0853-4", "ISBN" : "1007201108534", "ISSN" : "15901874", "PMID" : "22076484", "abstract" : "The present study was carried out to elucidate the effectiveness of curcumin in ameliorating the expression of superoxide dismutase (SOD) in cerebral cortex and cerebellum of rat brain under 6-propyl-2-thiouracil (PTU)-induced hypothyroidism. Induction of hypothyroidism in adult rats by PTU resulted in augmentation of lipid peroxidation (LPx), an index of oxidative stress in cerebellum but not in cerebral cortex. Curcumin-supplementation to PTU-treated (hypothyroid) rats showed significant reduction in the level of LPx in both the regions of brain. The decreased translated products (SOD1 and SOD2) and the unchanged activity of SOD in cerebral cortex of PTU-treated rats were increased on supplementation of curcumin to the hypothyroid rats. Declined translated products of SOD1 and SOD2 in cerebellum of PTU-treated rats were alleviated on administration of curcumin to hypothyroid rats. On the other hand, the decreased activity of SOD in cerebellum of PTU-treated rats was further declined on administration of curcumin to the hypothyroid rats. Results of the present investigation indicate that curcumin differentially modulates the expression of superoxide dismutase in rat brain cortex and cerebellum under PTU-induced hypothyroidism.", "author" : [ { "dropping-particle" : "", "family" : "Jena", "given" : "Srikanta", "non-dropping-particle" : "", "parse-names" : false, "suffix" : "" }, { "dropping-particle" : "", "family" : "Anand", "given" : "Chinmay", "non-dropping-particle" : "", "parse-names" : false, "suffix" : "" }, { "dropping-particle" : "", "family" : "Chainy", "given" : "Gagan Bihari Nityananda", "non-dropping-particle" : "", "parse-names" : false, "suffix" : "" }, { "dropping-particle" : "", "family" : "Dandapat", "given" : "Jagneshwar", "non-dropping-particle" : "", "parse-names" : false, "suffix" : "" } ], "container-title" : "Neurological Sciences", "id" : "ITEM-1", "issue" : "4", "issued" : { "date-parts" : [ [ "2012" ] ] }, "page" : "869-873", "title" : "Induction of oxidative stress and inhibition of superoxide dismutase expression in rat cerebral cortex and cerebellum by PTU-induced hypothyroidism and its reversal by curcumin", "type" : "article-journal", "volume" : "33" }, "uris" : [ "http://www.mendeley.com/documents/?uuid=9ee8df2e-9f77-4b2a-9aef-28b719df9fbb" ] } ], "mendeley" : { "formattedCitation" : "Srikanta Jena and others, \u2018Induction of Oxidative Stress and Inhibition of Superoxide Dismutase Expression in Rat Cerebral Cortex and Cerebellum by PTU-Induced Hypothyroidism and Its Reversal by Curcumin\u2019, &lt;i&gt;Neurological Sciences&lt;/i&gt;, 33.4 (2012), 869\u201373 &lt;https://doi.org/10.1007/s10072-011-0853-4&gt;.", "manualFormatting" : "Srikanta Jena and others, \u2018Induction of Oxidative Stress and Inhibition of Superoxide Dismutase Expression in Rat Cerebral Cortex and Cerebellum by PTU-Induced Hypothyroidism and Its Reversal by Curcumin\u2019, Neurological Sciences, 33.4 (2012), 869\u201373.", "plainTextFormattedCitation" : "Srikanta Jena and others, \u2018Induction of Oxidative Stress and Inhibition of Superoxide Dismutase Expression in Rat Cerebral Cortex and Cerebellum by PTU-Induced Hypothyroidism and Its Reversal by Curcumin\u2019, Neurological Sciences, 33.4 (2012), 869\u201373 .", "previouslyFormattedCitation" : "Srikanta Jena and others, \u2018Induction of Oxidative Stress and Inhibition of Superoxide Dismutase Expression in Rat Cerebral Cortex and Cerebellum by PTU-Induced Hypothyroidism and Its Reversal by Curcumin\u2019, &lt;i&gt;Neurological Sciences&lt;/i&gt;, 33.4 (2012), 869\u201373 &lt;https://doi.org/10.1007/s10072-011-0853-4&gt;."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CF30E3" w:rsidRPr="006F02F9">
        <w:rPr>
          <w:rFonts w:ascii="Times New Roman" w:hAnsi="Times New Roman" w:cs="Times New Roman"/>
          <w:noProof/>
          <w:sz w:val="24"/>
          <w:szCs w:val="24"/>
        </w:rPr>
        <w:t xml:space="preserve">Srikanta Jena and others, ‘Induction of Oxidative Stress and Inhibition of Superoxide Dismutase Expression in Rat Cerebral Cortex and Cerebellum by PTU-Induced Hypothyroidism and Its Reversal by Curcumin’, </w:t>
      </w:r>
      <w:r w:rsidR="00CF30E3" w:rsidRPr="006F02F9">
        <w:rPr>
          <w:rFonts w:ascii="Times New Roman" w:hAnsi="Times New Roman" w:cs="Times New Roman"/>
          <w:i/>
          <w:noProof/>
          <w:sz w:val="24"/>
          <w:szCs w:val="24"/>
        </w:rPr>
        <w:t>Neurological Sciences</w:t>
      </w:r>
      <w:r w:rsidR="00CF30E3" w:rsidRPr="006F02F9">
        <w:rPr>
          <w:rFonts w:ascii="Times New Roman" w:hAnsi="Times New Roman" w:cs="Times New Roman"/>
          <w:noProof/>
          <w:sz w:val="24"/>
          <w:szCs w:val="24"/>
        </w:rPr>
        <w:t>, 33.4 (2012), 869–73.</w:t>
      </w:r>
      <w:r w:rsidRPr="006F02F9">
        <w:rPr>
          <w:rFonts w:ascii="Times New Roman" w:hAnsi="Times New Roman" w:cs="Times New Roman"/>
          <w:sz w:val="24"/>
          <w:szCs w:val="24"/>
        </w:rPr>
        <w:fldChar w:fldCharType="end"/>
      </w:r>
    </w:p>
    <w:p w14:paraId="7EF7E156" w14:textId="77777777" w:rsidR="00CF30E3" w:rsidRPr="00E273FE" w:rsidRDefault="0070529E" w:rsidP="00E273FE">
      <w:pPr>
        <w:pStyle w:val="ListParagraph"/>
        <w:numPr>
          <w:ilvl w:val="0"/>
          <w:numId w:val="2"/>
        </w:numPr>
        <w:jc w:val="both"/>
        <w:rPr>
          <w:rFonts w:ascii="Times New Roman" w:hAnsi="Times New Roman" w:cs="Times New Roman"/>
          <w:sz w:val="28"/>
          <w:szCs w:val="28"/>
        </w:rPr>
      </w:pPr>
      <w:r w:rsidRPr="006F02F9">
        <w:rPr>
          <w:rFonts w:ascii="Times New Roman" w:hAnsi="Times New Roman" w:cs="Times New Roman"/>
          <w:sz w:val="24"/>
          <w:szCs w:val="24"/>
        </w:rPr>
        <w:fldChar w:fldCharType="begin" w:fldLock="1"/>
      </w:r>
      <w:r w:rsidR="007A111B" w:rsidRPr="006F02F9">
        <w:rPr>
          <w:rFonts w:ascii="Times New Roman" w:hAnsi="Times New Roman" w:cs="Times New Roman"/>
          <w:sz w:val="24"/>
          <w:szCs w:val="24"/>
        </w:rPr>
        <w:instrText>ADDIN CSL_CITATION { "citationItems" : [ { "id" : "ITEM-1", "itemData" : { "DOI" : "10.1111/j.1527-3458.2005.tb00268.x", "ISBN" : "1080-563X (Print) 1080-563X (Linking)", "ISSN" : "1080-563X", "PMID" : "16007238", "abstract" : "Piracetam, a derivative of the neurotransmitter gamma-aminobutyric acid (GABA), has a variety of physiological effects that may result, at least in part, from the restoration of cell membrane fluidity. At a neuronal level, piracetam modulates neurotransmission in a range of transmitter systems (including cholinergic and glutamatergic), has neuroprotective and anticonvulsant properties, and improves neuroplasticity. At a vascular level, it appears to reduce erythrocyte adhesion to vascular endothelium, hinder vasospasm, and facilitate microcirculation. This diverse range of physiological effects is consistent with its use in a range of clinical indications. Its efficacy is documented in cognitive disorders and dementia, vertigo, cortical myoclonus, dyslexia, and sickle cell anemia. While high doses are sometimes necessary, piracetam is well tolerated.", "author" : [ { "dropping-particle" : "", "family" : "Winblad", "given" : "Bengt", "non-dropping-particle" : "", "parse-names" : false, "suffix" : "" } ], "container-title" : "CNS drug reviews", "id" : "ITEM-1", "issue" : "2", "issued" : { "date-parts" : [ [ "2005" ] ] }, "page" : "169-182", "title" : "Piracetam: A Review of Pharmacological Properties and Clinical Uses", "type" : "article-journal", "volume" : "11" }, "uris" : [ "http://www.mendeley.com/documents/?uuid=9fb1f5aa-8b60-41b2-9e84-02bd650e30c7" ] } ], "mendeley" : { "formattedCitation" : "Bengt Winblad, \u2018Piracetam: A Review of Pharmacological Properties and Clinical Uses\u2019, &lt;i&gt;CNS Drug Reviews&lt;/i&gt;, 11.2 (2005), 169\u201382 &lt;https://doi.org/10.1111/j.1527-3458.2005.tb00268.x&gt;.", "plainTextFormattedCitation" : "Bengt Winblad, \u2018Piracetam: A Review of Pharmacological Properties and Clinical Uses\u2019, CNS Drug Reviews, 11.2 (2005), 169\u201382 .", "previouslyFormattedCitation" : "Bengt Winblad, \u2018Piracetam: A Review of Pharmacological Properties and Clinical Uses\u2019, &lt;i&gt;CNS Drug Reviews&lt;/i&gt;, 11.2 (2005), 169\u201382 &lt;https://doi.org/10.1111/j.1527-3458.2005.tb00268.x&gt;." }, "properties" : { "noteIndex" : 0 }, "schema" : "https://github.com/citation-style-language/schema/raw/master/csl-citation.json" }</w:instrText>
      </w:r>
      <w:r w:rsidRPr="006F02F9">
        <w:rPr>
          <w:rFonts w:ascii="Times New Roman" w:hAnsi="Times New Roman" w:cs="Times New Roman"/>
          <w:sz w:val="24"/>
          <w:szCs w:val="24"/>
        </w:rPr>
        <w:fldChar w:fldCharType="separate"/>
      </w:r>
      <w:r w:rsidR="00CF30E3" w:rsidRPr="006F02F9">
        <w:rPr>
          <w:rFonts w:ascii="Times New Roman" w:hAnsi="Times New Roman" w:cs="Times New Roman"/>
          <w:noProof/>
          <w:sz w:val="24"/>
          <w:szCs w:val="24"/>
        </w:rPr>
        <w:t xml:space="preserve">Bengt Winblad, ‘Piracetam: A Review of Pharmacological Properties and Clinical Uses’, </w:t>
      </w:r>
      <w:r w:rsidR="00CF30E3" w:rsidRPr="006F02F9">
        <w:rPr>
          <w:rFonts w:ascii="Times New Roman" w:hAnsi="Times New Roman" w:cs="Times New Roman"/>
          <w:i/>
          <w:noProof/>
          <w:sz w:val="24"/>
          <w:szCs w:val="24"/>
        </w:rPr>
        <w:t>CNS Drug Reviews</w:t>
      </w:r>
      <w:r w:rsidR="00CF30E3" w:rsidRPr="006F02F9">
        <w:rPr>
          <w:rFonts w:ascii="Times New Roman" w:hAnsi="Times New Roman" w:cs="Times New Roman"/>
          <w:noProof/>
          <w:sz w:val="24"/>
          <w:szCs w:val="24"/>
        </w:rPr>
        <w:t>, 11.2 (2005), 169–82 .</w:t>
      </w:r>
      <w:r w:rsidRPr="006F02F9">
        <w:rPr>
          <w:rFonts w:ascii="Times New Roman" w:hAnsi="Times New Roman" w:cs="Times New Roman"/>
          <w:sz w:val="24"/>
          <w:szCs w:val="24"/>
        </w:rPr>
        <w:fldChar w:fldCharType="end"/>
      </w:r>
    </w:p>
    <w:p w14:paraId="068C96DC" w14:textId="77777777" w:rsidR="00B71E1E" w:rsidRDefault="00B71E1E" w:rsidP="00655468">
      <w:pPr>
        <w:jc w:val="both"/>
        <w:rPr>
          <w:rFonts w:ascii="Times New Roman" w:hAnsi="Times New Roman" w:cs="Times New Roman"/>
          <w:sz w:val="28"/>
          <w:szCs w:val="28"/>
        </w:rPr>
      </w:pPr>
    </w:p>
    <w:p w14:paraId="5A842341" w14:textId="77777777" w:rsidR="0021206A" w:rsidRPr="009E2A32" w:rsidRDefault="0021206A" w:rsidP="009E2A32">
      <w:pPr>
        <w:jc w:val="both"/>
        <w:rPr>
          <w:rFonts w:ascii="Times New Roman" w:hAnsi="Times New Roman" w:cs="Times New Roman"/>
          <w:sz w:val="28"/>
          <w:szCs w:val="28"/>
        </w:rPr>
      </w:pPr>
    </w:p>
    <w:p w14:paraId="1A494A55" w14:textId="18FB1D14" w:rsidR="00977AE3" w:rsidRDefault="00977AE3" w:rsidP="00B71E1E">
      <w:pPr>
        <w:rPr>
          <w:rFonts w:ascii="Times New Roman" w:hAnsi="Times New Roman" w:cs="Times New Roman"/>
          <w:sz w:val="28"/>
          <w:szCs w:val="28"/>
        </w:rPr>
      </w:pPr>
    </w:p>
    <w:p w14:paraId="74973B84" w14:textId="68D31A15" w:rsidR="00C743E8" w:rsidRDefault="00C743E8" w:rsidP="00B71E1E">
      <w:pPr>
        <w:rPr>
          <w:rFonts w:ascii="Times New Roman" w:hAnsi="Times New Roman" w:cs="Times New Roman"/>
          <w:sz w:val="28"/>
          <w:szCs w:val="28"/>
        </w:rPr>
      </w:pPr>
    </w:p>
    <w:p w14:paraId="059C7D76" w14:textId="77777777" w:rsidR="00C743E8" w:rsidRDefault="00C743E8" w:rsidP="00B71E1E">
      <w:pPr>
        <w:rPr>
          <w:rFonts w:ascii="Times New Roman" w:hAnsi="Times New Roman" w:cs="Times New Roman"/>
          <w:sz w:val="28"/>
          <w:szCs w:val="28"/>
        </w:rPr>
      </w:pPr>
    </w:p>
    <w:p w14:paraId="08B570EE" w14:textId="624F46F2" w:rsidR="00B71E1E" w:rsidRPr="006F02F9" w:rsidRDefault="0014548D" w:rsidP="00B71E1E">
      <w:pPr>
        <w:rPr>
          <w:rFonts w:ascii="Times New Roman" w:hAnsi="Times New Roman" w:cs="Times New Roman"/>
          <w:sz w:val="20"/>
          <w:szCs w:val="20"/>
        </w:rPr>
      </w:pPr>
      <w:r w:rsidRPr="0014548D">
        <w:rPr>
          <w:rFonts w:ascii="Times New Roman" w:hAnsi="Times New Roman" w:cs="Times New Roman"/>
          <w:sz w:val="20"/>
          <w:szCs w:val="20"/>
        </w:rPr>
        <w:t>Table 1</w:t>
      </w:r>
      <w:r>
        <w:rPr>
          <w:rFonts w:ascii="Times New Roman" w:hAnsi="Times New Roman" w:cs="Times New Roman"/>
          <w:sz w:val="20"/>
          <w:szCs w:val="20"/>
        </w:rPr>
        <w:t>-</w:t>
      </w:r>
      <w:r w:rsidR="00FA0A44" w:rsidRPr="006F02F9">
        <w:rPr>
          <w:rFonts w:ascii="Times New Roman" w:hAnsi="Times New Roman" w:cs="Times New Roman"/>
          <w:sz w:val="20"/>
          <w:szCs w:val="20"/>
        </w:rPr>
        <w:t xml:space="preserve">Effect of acute </w:t>
      </w:r>
      <w:proofErr w:type="spellStart"/>
      <w:r w:rsidR="00FA0A44" w:rsidRPr="006F02F9">
        <w:rPr>
          <w:rFonts w:ascii="Times New Roman" w:hAnsi="Times New Roman" w:cs="Times New Roman"/>
          <w:sz w:val="20"/>
          <w:szCs w:val="20"/>
        </w:rPr>
        <w:t>levetracetam</w:t>
      </w:r>
      <w:proofErr w:type="spellEnd"/>
      <w:r w:rsidR="00FA0A44" w:rsidRPr="006F02F9">
        <w:rPr>
          <w:rFonts w:ascii="Times New Roman" w:hAnsi="Times New Roman" w:cs="Times New Roman"/>
          <w:sz w:val="20"/>
          <w:szCs w:val="20"/>
        </w:rPr>
        <w:t xml:space="preserve"> (</w:t>
      </w:r>
      <w:proofErr w:type="spellStart"/>
      <w:r w:rsidR="00FA0A44" w:rsidRPr="006F02F9">
        <w:rPr>
          <w:rFonts w:ascii="Times New Roman" w:hAnsi="Times New Roman" w:cs="Times New Roman"/>
          <w:sz w:val="20"/>
          <w:szCs w:val="20"/>
        </w:rPr>
        <w:t>leve</w:t>
      </w:r>
      <w:proofErr w:type="spellEnd"/>
      <w:r w:rsidR="00B71E1E" w:rsidRPr="006F02F9">
        <w:rPr>
          <w:rFonts w:ascii="Times New Roman" w:hAnsi="Times New Roman" w:cs="Times New Roman"/>
          <w:sz w:val="20"/>
          <w:szCs w:val="20"/>
        </w:rPr>
        <w:t xml:space="preserve">), acute piracetam (PIM) and its combination on ICES and SAB in mice </w:t>
      </w:r>
    </w:p>
    <w:tbl>
      <w:tblPr>
        <w:tblStyle w:val="TableGrid"/>
        <w:tblW w:w="10620" w:type="dxa"/>
        <w:tblInd w:w="-522" w:type="dxa"/>
        <w:tblLook w:val="04A0" w:firstRow="1" w:lastRow="0" w:firstColumn="1" w:lastColumn="0" w:noHBand="0" w:noVBand="1"/>
      </w:tblPr>
      <w:tblGrid>
        <w:gridCol w:w="1814"/>
        <w:gridCol w:w="8"/>
        <w:gridCol w:w="1362"/>
        <w:gridCol w:w="10"/>
        <w:gridCol w:w="1106"/>
        <w:gridCol w:w="9"/>
        <w:gridCol w:w="1483"/>
        <w:gridCol w:w="137"/>
        <w:gridCol w:w="1339"/>
        <w:gridCol w:w="17"/>
        <w:gridCol w:w="1358"/>
        <w:gridCol w:w="1977"/>
      </w:tblGrid>
      <w:tr w:rsidR="00B71E1E" w:rsidRPr="006F02F9" w14:paraId="523DBA72" w14:textId="77777777" w:rsidTr="00977AE3">
        <w:trPr>
          <w:trHeight w:val="345"/>
        </w:trPr>
        <w:tc>
          <w:tcPr>
            <w:tcW w:w="1814" w:type="dxa"/>
            <w:vMerge w:val="restart"/>
          </w:tcPr>
          <w:p w14:paraId="33BA09F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lastRenderedPageBreak/>
              <w:t xml:space="preserve">Group                </w:t>
            </w:r>
          </w:p>
        </w:tc>
        <w:tc>
          <w:tcPr>
            <w:tcW w:w="1370" w:type="dxa"/>
            <w:gridSpan w:val="2"/>
            <w:vMerge w:val="restart"/>
          </w:tcPr>
          <w:p w14:paraId="031D28B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Treatment </w:t>
            </w:r>
          </w:p>
        </w:tc>
        <w:tc>
          <w:tcPr>
            <w:tcW w:w="1125" w:type="dxa"/>
            <w:gridSpan w:val="3"/>
            <w:vMerge w:val="restart"/>
          </w:tcPr>
          <w:p w14:paraId="10AFC21C" w14:textId="77777777" w:rsidR="00B71E1E" w:rsidRPr="006F02F9" w:rsidRDefault="001C3CAF" w:rsidP="008935C6">
            <w:pPr>
              <w:rPr>
                <w:rFonts w:ascii="Times New Roman" w:hAnsi="Times New Roman" w:cs="Times New Roman"/>
                <w:sz w:val="20"/>
                <w:szCs w:val="20"/>
              </w:rPr>
            </w:pPr>
            <w:r w:rsidRPr="006F02F9">
              <w:rPr>
                <w:rFonts w:ascii="Times New Roman" w:hAnsi="Times New Roman" w:cs="Times New Roman"/>
                <w:sz w:val="20"/>
                <w:szCs w:val="20"/>
              </w:rPr>
              <w:t>Dose (mg/kg</w:t>
            </w:r>
            <w:r w:rsidR="00B71E1E" w:rsidRPr="006F02F9">
              <w:rPr>
                <w:rFonts w:ascii="Times New Roman" w:hAnsi="Times New Roman" w:cs="Times New Roman"/>
                <w:sz w:val="20"/>
                <w:szCs w:val="20"/>
              </w:rPr>
              <w:t>)</w:t>
            </w:r>
          </w:p>
        </w:tc>
        <w:tc>
          <w:tcPr>
            <w:tcW w:w="2976" w:type="dxa"/>
            <w:gridSpan w:val="4"/>
            <w:tcBorders>
              <w:bottom w:val="single" w:sz="4" w:space="0" w:color="auto"/>
            </w:tcBorders>
          </w:tcPr>
          <w:p w14:paraId="41B6668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ICES</w:t>
            </w:r>
          </w:p>
        </w:tc>
        <w:tc>
          <w:tcPr>
            <w:tcW w:w="3335" w:type="dxa"/>
            <w:gridSpan w:val="2"/>
            <w:tcBorders>
              <w:bottom w:val="single" w:sz="4" w:space="0" w:color="auto"/>
            </w:tcBorders>
          </w:tcPr>
          <w:p w14:paraId="0D88C01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SAB</w:t>
            </w:r>
          </w:p>
        </w:tc>
      </w:tr>
      <w:tr w:rsidR="00B71E1E" w:rsidRPr="006F02F9" w14:paraId="78D56170" w14:textId="77777777" w:rsidTr="00977AE3">
        <w:trPr>
          <w:trHeight w:val="473"/>
        </w:trPr>
        <w:tc>
          <w:tcPr>
            <w:tcW w:w="1814" w:type="dxa"/>
            <w:vMerge/>
          </w:tcPr>
          <w:p w14:paraId="252698EF" w14:textId="77777777" w:rsidR="00B71E1E" w:rsidRPr="006F02F9" w:rsidRDefault="00B71E1E" w:rsidP="008935C6">
            <w:pPr>
              <w:rPr>
                <w:rFonts w:ascii="Times New Roman" w:hAnsi="Times New Roman" w:cs="Times New Roman"/>
                <w:sz w:val="20"/>
                <w:szCs w:val="20"/>
              </w:rPr>
            </w:pPr>
          </w:p>
        </w:tc>
        <w:tc>
          <w:tcPr>
            <w:tcW w:w="1370" w:type="dxa"/>
            <w:gridSpan w:val="2"/>
            <w:vMerge/>
          </w:tcPr>
          <w:p w14:paraId="54C5C36B" w14:textId="77777777" w:rsidR="00B71E1E" w:rsidRPr="006F02F9" w:rsidRDefault="00B71E1E" w:rsidP="008935C6">
            <w:pPr>
              <w:rPr>
                <w:rFonts w:ascii="Times New Roman" w:hAnsi="Times New Roman" w:cs="Times New Roman"/>
                <w:sz w:val="20"/>
                <w:szCs w:val="20"/>
              </w:rPr>
            </w:pPr>
          </w:p>
        </w:tc>
        <w:tc>
          <w:tcPr>
            <w:tcW w:w="1125" w:type="dxa"/>
            <w:gridSpan w:val="3"/>
            <w:vMerge/>
          </w:tcPr>
          <w:p w14:paraId="41E6BB5C" w14:textId="77777777" w:rsidR="00B71E1E" w:rsidRPr="006F02F9" w:rsidRDefault="00B71E1E" w:rsidP="008935C6">
            <w:pPr>
              <w:rPr>
                <w:rFonts w:ascii="Times New Roman" w:hAnsi="Times New Roman" w:cs="Times New Roman"/>
                <w:sz w:val="20"/>
                <w:szCs w:val="20"/>
              </w:rPr>
            </w:pPr>
          </w:p>
        </w:tc>
        <w:tc>
          <w:tcPr>
            <w:tcW w:w="1620" w:type="dxa"/>
            <w:gridSpan w:val="2"/>
            <w:tcBorders>
              <w:top w:val="single" w:sz="4" w:space="0" w:color="auto"/>
              <w:right w:val="single" w:sz="4" w:space="0" w:color="auto"/>
            </w:tcBorders>
          </w:tcPr>
          <w:p w14:paraId="4BAE89F2" w14:textId="77777777" w:rsidR="00B71E1E" w:rsidRPr="006F02F9" w:rsidRDefault="00B71E1E" w:rsidP="008935C6">
            <w:pPr>
              <w:rPr>
                <w:rFonts w:ascii="Times New Roman" w:hAnsi="Times New Roman" w:cs="Times New Roman"/>
                <w:sz w:val="20"/>
                <w:szCs w:val="20"/>
              </w:rPr>
            </w:pPr>
            <w:proofErr w:type="gramStart"/>
            <w:r w:rsidRPr="006F02F9">
              <w:rPr>
                <w:rFonts w:ascii="Times New Roman" w:hAnsi="Times New Roman" w:cs="Times New Roman"/>
                <w:sz w:val="20"/>
                <w:szCs w:val="20"/>
              </w:rPr>
              <w:t>Seizure  threshold</w:t>
            </w:r>
            <w:proofErr w:type="gramEnd"/>
            <w:r w:rsidRPr="006F02F9">
              <w:rPr>
                <w:rFonts w:ascii="Times New Roman" w:hAnsi="Times New Roman" w:cs="Times New Roman"/>
                <w:sz w:val="20"/>
                <w:szCs w:val="20"/>
              </w:rPr>
              <w:t xml:space="preserve">  current(mA)</w:t>
            </w:r>
          </w:p>
        </w:tc>
        <w:tc>
          <w:tcPr>
            <w:tcW w:w="1356" w:type="dxa"/>
            <w:gridSpan w:val="2"/>
            <w:tcBorders>
              <w:top w:val="single" w:sz="4" w:space="0" w:color="auto"/>
              <w:left w:val="single" w:sz="4" w:space="0" w:color="auto"/>
            </w:tcBorders>
          </w:tcPr>
          <w:p w14:paraId="01EED45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protection </w:t>
            </w:r>
          </w:p>
        </w:tc>
        <w:tc>
          <w:tcPr>
            <w:tcW w:w="1358" w:type="dxa"/>
            <w:tcBorders>
              <w:top w:val="single" w:sz="4" w:space="0" w:color="auto"/>
              <w:right w:val="single" w:sz="4" w:space="0" w:color="auto"/>
            </w:tcBorders>
          </w:tcPr>
          <w:p w14:paraId="4255F09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alteration </w:t>
            </w:r>
          </w:p>
        </w:tc>
        <w:tc>
          <w:tcPr>
            <w:tcW w:w="1977" w:type="dxa"/>
            <w:tcBorders>
              <w:top w:val="single" w:sz="4" w:space="0" w:color="auto"/>
              <w:left w:val="single" w:sz="4" w:space="0" w:color="auto"/>
            </w:tcBorders>
          </w:tcPr>
          <w:p w14:paraId="75FCA86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No. of arm </w:t>
            </w:r>
            <w:proofErr w:type="spellStart"/>
            <w:r w:rsidRPr="006F02F9">
              <w:rPr>
                <w:rFonts w:ascii="Times New Roman" w:hAnsi="Times New Roman" w:cs="Times New Roman"/>
                <w:sz w:val="20"/>
                <w:szCs w:val="20"/>
              </w:rPr>
              <w:t>enteries</w:t>
            </w:r>
            <w:proofErr w:type="spellEnd"/>
            <w:r w:rsidRPr="006F02F9">
              <w:rPr>
                <w:rFonts w:ascii="Times New Roman" w:hAnsi="Times New Roman" w:cs="Times New Roman"/>
                <w:sz w:val="20"/>
                <w:szCs w:val="20"/>
              </w:rPr>
              <w:t xml:space="preserve"> </w:t>
            </w:r>
          </w:p>
        </w:tc>
      </w:tr>
      <w:tr w:rsidR="00B71E1E" w:rsidRPr="006F02F9" w14:paraId="7B3DC035" w14:textId="77777777" w:rsidTr="00977AE3">
        <w:trPr>
          <w:trHeight w:val="277"/>
        </w:trPr>
        <w:tc>
          <w:tcPr>
            <w:tcW w:w="1814" w:type="dxa"/>
          </w:tcPr>
          <w:p w14:paraId="2D0806C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I </w:t>
            </w:r>
          </w:p>
        </w:tc>
        <w:tc>
          <w:tcPr>
            <w:tcW w:w="1370" w:type="dxa"/>
            <w:gridSpan w:val="2"/>
          </w:tcPr>
          <w:p w14:paraId="27F94C0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Distilled water </w:t>
            </w:r>
          </w:p>
        </w:tc>
        <w:tc>
          <w:tcPr>
            <w:tcW w:w="1125" w:type="dxa"/>
            <w:gridSpan w:val="3"/>
          </w:tcPr>
          <w:p w14:paraId="21E6577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 mg//kg</w:t>
            </w:r>
          </w:p>
        </w:tc>
        <w:tc>
          <w:tcPr>
            <w:tcW w:w="1620" w:type="dxa"/>
            <w:gridSpan w:val="2"/>
            <w:tcBorders>
              <w:right w:val="single" w:sz="4" w:space="0" w:color="auto"/>
            </w:tcBorders>
          </w:tcPr>
          <w:p w14:paraId="1CB5A56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16.1 ±0.41</w:t>
            </w:r>
          </w:p>
        </w:tc>
        <w:tc>
          <w:tcPr>
            <w:tcW w:w="1356" w:type="dxa"/>
            <w:gridSpan w:val="2"/>
            <w:tcBorders>
              <w:left w:val="single" w:sz="4" w:space="0" w:color="auto"/>
            </w:tcBorders>
          </w:tcPr>
          <w:p w14:paraId="7F96427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280D354"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71.1±3.14</w:t>
            </w:r>
          </w:p>
        </w:tc>
        <w:tc>
          <w:tcPr>
            <w:tcW w:w="1977" w:type="dxa"/>
            <w:tcBorders>
              <w:left w:val="single" w:sz="4" w:space="0" w:color="auto"/>
            </w:tcBorders>
          </w:tcPr>
          <w:p w14:paraId="6338205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15±1.51</w:t>
            </w:r>
          </w:p>
        </w:tc>
      </w:tr>
      <w:tr w:rsidR="00B71E1E" w:rsidRPr="006F02F9" w14:paraId="03F1AD85" w14:textId="77777777" w:rsidTr="00977AE3">
        <w:trPr>
          <w:trHeight w:val="294"/>
        </w:trPr>
        <w:tc>
          <w:tcPr>
            <w:tcW w:w="1814" w:type="dxa"/>
          </w:tcPr>
          <w:p w14:paraId="0B03B53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II</w:t>
            </w:r>
          </w:p>
        </w:tc>
        <w:tc>
          <w:tcPr>
            <w:tcW w:w="1370" w:type="dxa"/>
            <w:gridSpan w:val="2"/>
          </w:tcPr>
          <w:p w14:paraId="284B60C9"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6ECCD12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w:t>
            </w:r>
          </w:p>
        </w:tc>
        <w:tc>
          <w:tcPr>
            <w:tcW w:w="1620" w:type="dxa"/>
            <w:gridSpan w:val="2"/>
            <w:tcBorders>
              <w:right w:val="single" w:sz="4" w:space="0" w:color="auto"/>
            </w:tcBorders>
          </w:tcPr>
          <w:p w14:paraId="42802EE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21.4 ± 1.39</w:t>
            </w:r>
          </w:p>
        </w:tc>
        <w:tc>
          <w:tcPr>
            <w:tcW w:w="1356" w:type="dxa"/>
            <w:gridSpan w:val="2"/>
            <w:tcBorders>
              <w:left w:val="single" w:sz="4" w:space="0" w:color="auto"/>
            </w:tcBorders>
          </w:tcPr>
          <w:p w14:paraId="4A94A2F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33BF2E2"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63.1±2</w:t>
            </w:r>
            <w:r w:rsidR="00B71E1E" w:rsidRPr="006F02F9">
              <w:rPr>
                <w:rFonts w:ascii="Times New Roman" w:hAnsi="Times New Roman" w:cs="Times New Roman"/>
                <w:sz w:val="20"/>
                <w:szCs w:val="20"/>
              </w:rPr>
              <w:t>.</w:t>
            </w:r>
            <w:r w:rsidRPr="006F02F9">
              <w:rPr>
                <w:rFonts w:ascii="Times New Roman" w:hAnsi="Times New Roman" w:cs="Times New Roman"/>
                <w:sz w:val="20"/>
                <w:szCs w:val="20"/>
              </w:rPr>
              <w:t>4</w:t>
            </w:r>
          </w:p>
        </w:tc>
        <w:tc>
          <w:tcPr>
            <w:tcW w:w="1977" w:type="dxa"/>
            <w:tcBorders>
              <w:left w:val="single" w:sz="4" w:space="0" w:color="auto"/>
            </w:tcBorders>
          </w:tcPr>
          <w:p w14:paraId="6DE1A130"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14</w:t>
            </w:r>
            <w:r w:rsidR="00C9283E" w:rsidRPr="006F02F9">
              <w:rPr>
                <w:rFonts w:ascii="Times New Roman" w:hAnsi="Times New Roman" w:cs="Times New Roman"/>
                <w:sz w:val="20"/>
                <w:szCs w:val="20"/>
              </w:rPr>
              <w:t>±1.01</w:t>
            </w:r>
          </w:p>
        </w:tc>
      </w:tr>
      <w:tr w:rsidR="00B71E1E" w:rsidRPr="006F02F9" w14:paraId="79F68298" w14:textId="77777777" w:rsidTr="00977AE3">
        <w:trPr>
          <w:trHeight w:val="294"/>
        </w:trPr>
        <w:tc>
          <w:tcPr>
            <w:tcW w:w="1814" w:type="dxa"/>
          </w:tcPr>
          <w:p w14:paraId="699A7D30"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III</w:t>
            </w:r>
          </w:p>
        </w:tc>
        <w:tc>
          <w:tcPr>
            <w:tcW w:w="1370" w:type="dxa"/>
            <w:gridSpan w:val="2"/>
          </w:tcPr>
          <w:p w14:paraId="66C18B47"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2A0911C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w:t>
            </w:r>
          </w:p>
        </w:tc>
        <w:tc>
          <w:tcPr>
            <w:tcW w:w="1620" w:type="dxa"/>
            <w:gridSpan w:val="2"/>
            <w:tcBorders>
              <w:right w:val="single" w:sz="4" w:space="0" w:color="auto"/>
            </w:tcBorders>
          </w:tcPr>
          <w:p w14:paraId="38FB400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29.4 ±2.16</w:t>
            </w:r>
          </w:p>
        </w:tc>
        <w:tc>
          <w:tcPr>
            <w:tcW w:w="1356" w:type="dxa"/>
            <w:gridSpan w:val="2"/>
            <w:tcBorders>
              <w:left w:val="single" w:sz="4" w:space="0" w:color="auto"/>
            </w:tcBorders>
          </w:tcPr>
          <w:p w14:paraId="19D5273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214F13F2" w14:textId="77777777" w:rsidR="00B71E1E" w:rsidRPr="006F02F9" w:rsidRDefault="00C9283E" w:rsidP="008935C6">
            <w:pPr>
              <w:rPr>
                <w:rFonts w:ascii="Times New Roman" w:hAnsi="Times New Roman" w:cs="Times New Roman"/>
                <w:sz w:val="20"/>
                <w:szCs w:val="20"/>
              </w:rPr>
            </w:pPr>
            <w:r w:rsidRPr="006F02F9">
              <w:rPr>
                <w:rFonts w:ascii="Times New Roman" w:hAnsi="Times New Roman" w:cs="Times New Roman"/>
                <w:sz w:val="20"/>
                <w:szCs w:val="20"/>
              </w:rPr>
              <w:t>53.7±2</w:t>
            </w:r>
            <w:r w:rsidR="00B71E1E" w:rsidRPr="006F02F9">
              <w:rPr>
                <w:rFonts w:ascii="Times New Roman" w:hAnsi="Times New Roman" w:cs="Times New Roman"/>
                <w:sz w:val="20"/>
                <w:szCs w:val="20"/>
              </w:rPr>
              <w:t>.</w:t>
            </w:r>
            <w:r w:rsidRPr="006F02F9">
              <w:rPr>
                <w:rFonts w:ascii="Times New Roman" w:hAnsi="Times New Roman" w:cs="Times New Roman"/>
                <w:sz w:val="20"/>
                <w:szCs w:val="20"/>
              </w:rPr>
              <w:t>8</w:t>
            </w:r>
          </w:p>
        </w:tc>
        <w:tc>
          <w:tcPr>
            <w:tcW w:w="1977" w:type="dxa"/>
            <w:tcBorders>
              <w:left w:val="single" w:sz="4" w:space="0" w:color="auto"/>
            </w:tcBorders>
          </w:tcPr>
          <w:p w14:paraId="71BCFB02" w14:textId="77777777" w:rsidR="00B71E1E" w:rsidRPr="006F02F9" w:rsidRDefault="00C9283E" w:rsidP="008935C6">
            <w:pPr>
              <w:rPr>
                <w:rFonts w:ascii="Times New Roman" w:hAnsi="Times New Roman" w:cs="Times New Roman"/>
                <w:sz w:val="20"/>
                <w:szCs w:val="20"/>
              </w:rPr>
            </w:pPr>
            <w:r w:rsidRPr="006F02F9">
              <w:rPr>
                <w:rFonts w:ascii="Times New Roman" w:hAnsi="Times New Roman" w:cs="Times New Roman"/>
                <w:sz w:val="20"/>
                <w:szCs w:val="20"/>
              </w:rPr>
              <w:t>15±1.10</w:t>
            </w:r>
          </w:p>
        </w:tc>
      </w:tr>
      <w:tr w:rsidR="00B71E1E" w:rsidRPr="006F02F9" w14:paraId="47CD1802" w14:textId="77777777" w:rsidTr="00977AE3">
        <w:trPr>
          <w:trHeight w:val="195"/>
        </w:trPr>
        <w:tc>
          <w:tcPr>
            <w:tcW w:w="1814" w:type="dxa"/>
          </w:tcPr>
          <w:p w14:paraId="00FCFFA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IV</w:t>
            </w:r>
          </w:p>
        </w:tc>
        <w:tc>
          <w:tcPr>
            <w:tcW w:w="1370" w:type="dxa"/>
            <w:gridSpan w:val="2"/>
          </w:tcPr>
          <w:p w14:paraId="04E76117"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3B84592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22</w:t>
            </w:r>
          </w:p>
        </w:tc>
        <w:tc>
          <w:tcPr>
            <w:tcW w:w="1620" w:type="dxa"/>
            <w:gridSpan w:val="2"/>
            <w:tcBorders>
              <w:right w:val="single" w:sz="4" w:space="0" w:color="auto"/>
            </w:tcBorders>
          </w:tcPr>
          <w:p w14:paraId="5F5D933B" w14:textId="77777777" w:rsidR="00B71E1E" w:rsidRPr="006F02F9" w:rsidRDefault="00B71E1E" w:rsidP="008935C6">
            <w:pPr>
              <w:rPr>
                <w:rFonts w:ascii="Times New Roman" w:hAnsi="Times New Roman" w:cs="Times New Roman"/>
                <w:sz w:val="20"/>
                <w:szCs w:val="20"/>
              </w:rPr>
            </w:pPr>
            <w:proofErr w:type="gramStart"/>
            <w:r w:rsidRPr="006F02F9">
              <w:rPr>
                <w:rFonts w:ascii="Times New Roman" w:hAnsi="Times New Roman" w:cs="Times New Roman"/>
                <w:sz w:val="20"/>
                <w:szCs w:val="20"/>
              </w:rPr>
              <w:t>40  ±</w:t>
            </w:r>
            <w:proofErr w:type="gramEnd"/>
            <w:r w:rsidRPr="006F02F9">
              <w:rPr>
                <w:rFonts w:ascii="Times New Roman" w:hAnsi="Times New Roman" w:cs="Times New Roman"/>
                <w:sz w:val="20"/>
                <w:szCs w:val="20"/>
              </w:rPr>
              <w:t>0.0</w:t>
            </w:r>
          </w:p>
        </w:tc>
        <w:tc>
          <w:tcPr>
            <w:tcW w:w="1356" w:type="dxa"/>
            <w:gridSpan w:val="2"/>
            <w:tcBorders>
              <w:left w:val="single" w:sz="4" w:space="0" w:color="auto"/>
            </w:tcBorders>
          </w:tcPr>
          <w:p w14:paraId="23E6196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100</w:t>
            </w:r>
          </w:p>
        </w:tc>
        <w:tc>
          <w:tcPr>
            <w:tcW w:w="1358" w:type="dxa"/>
            <w:tcBorders>
              <w:right w:val="single" w:sz="4" w:space="0" w:color="auto"/>
            </w:tcBorders>
          </w:tcPr>
          <w:p w14:paraId="4D692529" w14:textId="77777777" w:rsidR="00B71E1E" w:rsidRPr="006F02F9" w:rsidRDefault="00C9283E" w:rsidP="008935C6">
            <w:pPr>
              <w:rPr>
                <w:rFonts w:ascii="Times New Roman" w:hAnsi="Times New Roman" w:cs="Times New Roman"/>
                <w:sz w:val="20"/>
                <w:szCs w:val="20"/>
              </w:rPr>
            </w:pPr>
            <w:r w:rsidRPr="006F02F9">
              <w:rPr>
                <w:rFonts w:ascii="Times New Roman" w:hAnsi="Times New Roman" w:cs="Times New Roman"/>
                <w:sz w:val="20"/>
                <w:szCs w:val="20"/>
              </w:rPr>
              <w:t>44.2±3</w:t>
            </w:r>
            <w:r w:rsidR="00B71E1E" w:rsidRPr="006F02F9">
              <w:rPr>
                <w:rFonts w:ascii="Times New Roman" w:hAnsi="Times New Roman" w:cs="Times New Roman"/>
                <w:sz w:val="20"/>
                <w:szCs w:val="20"/>
              </w:rPr>
              <w:t>.</w:t>
            </w:r>
            <w:r w:rsidRPr="006F02F9">
              <w:rPr>
                <w:rFonts w:ascii="Times New Roman" w:hAnsi="Times New Roman" w:cs="Times New Roman"/>
                <w:sz w:val="20"/>
                <w:szCs w:val="20"/>
              </w:rPr>
              <w:t>9</w:t>
            </w:r>
          </w:p>
        </w:tc>
        <w:tc>
          <w:tcPr>
            <w:tcW w:w="1977" w:type="dxa"/>
            <w:tcBorders>
              <w:left w:val="single" w:sz="4" w:space="0" w:color="auto"/>
            </w:tcBorders>
          </w:tcPr>
          <w:p w14:paraId="55C37E3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C9283E" w:rsidRPr="006F02F9">
              <w:rPr>
                <w:rFonts w:ascii="Times New Roman" w:hAnsi="Times New Roman" w:cs="Times New Roman"/>
                <w:sz w:val="20"/>
                <w:szCs w:val="20"/>
              </w:rPr>
              <w:t>8±1.02</w:t>
            </w:r>
          </w:p>
        </w:tc>
      </w:tr>
      <w:tr w:rsidR="00B71E1E" w:rsidRPr="006F02F9" w14:paraId="0C38E700" w14:textId="77777777" w:rsidTr="00977AE3">
        <w:trPr>
          <w:trHeight w:val="294"/>
        </w:trPr>
        <w:tc>
          <w:tcPr>
            <w:tcW w:w="10620" w:type="dxa"/>
            <w:gridSpan w:val="12"/>
          </w:tcPr>
          <w:p w14:paraId="221EE86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F     35.1104</w:t>
            </w: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H      11.0</w:t>
            </w:r>
            <w:r w:rsidRPr="006F02F9">
              <w:rPr>
                <w:rFonts w:ascii="Times New Roman" w:hAnsi="Times New Roman" w:cs="Times New Roman"/>
                <w:sz w:val="20"/>
                <w:szCs w:val="20"/>
              </w:rPr>
              <w:t>7</w:t>
            </w:r>
          </w:p>
          <w:p w14:paraId="16C5C16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df     3                                             df    3</w:t>
            </w:r>
          </w:p>
          <w:p w14:paraId="3B99896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p    &lt; 0.01                                      p      &lt; 0.01</w:t>
            </w:r>
          </w:p>
        </w:tc>
      </w:tr>
      <w:tr w:rsidR="00B71E1E" w:rsidRPr="006F02F9" w14:paraId="1F2650C7" w14:textId="77777777" w:rsidTr="00977AE3">
        <w:trPr>
          <w:trHeight w:val="294"/>
        </w:trPr>
        <w:tc>
          <w:tcPr>
            <w:tcW w:w="1814" w:type="dxa"/>
          </w:tcPr>
          <w:p w14:paraId="7E028F6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I(control)</w:t>
            </w:r>
          </w:p>
        </w:tc>
        <w:tc>
          <w:tcPr>
            <w:tcW w:w="1370" w:type="dxa"/>
            <w:gridSpan w:val="2"/>
          </w:tcPr>
          <w:p w14:paraId="4344B9F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Distilled water</w:t>
            </w:r>
          </w:p>
        </w:tc>
        <w:tc>
          <w:tcPr>
            <w:tcW w:w="1125" w:type="dxa"/>
            <w:gridSpan w:val="3"/>
          </w:tcPr>
          <w:p w14:paraId="3E9FE8B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 ml/kg</w:t>
            </w:r>
          </w:p>
        </w:tc>
        <w:tc>
          <w:tcPr>
            <w:tcW w:w="1620" w:type="dxa"/>
            <w:gridSpan w:val="2"/>
            <w:tcBorders>
              <w:right w:val="single" w:sz="4" w:space="0" w:color="auto"/>
            </w:tcBorders>
          </w:tcPr>
          <w:p w14:paraId="17AF8B1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15.2 + 0.33 </w:t>
            </w:r>
          </w:p>
        </w:tc>
        <w:tc>
          <w:tcPr>
            <w:tcW w:w="1356" w:type="dxa"/>
            <w:gridSpan w:val="2"/>
            <w:tcBorders>
              <w:left w:val="single" w:sz="4" w:space="0" w:color="auto"/>
            </w:tcBorders>
          </w:tcPr>
          <w:p w14:paraId="4478170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E180BF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79.0+ 6.04</w:t>
            </w:r>
          </w:p>
        </w:tc>
        <w:tc>
          <w:tcPr>
            <w:tcW w:w="1977" w:type="dxa"/>
            <w:tcBorders>
              <w:left w:val="single" w:sz="4" w:space="0" w:color="auto"/>
            </w:tcBorders>
          </w:tcPr>
          <w:p w14:paraId="0B8F9A7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16.2 + 1.75</w:t>
            </w:r>
          </w:p>
        </w:tc>
      </w:tr>
      <w:tr w:rsidR="00B71E1E" w:rsidRPr="006F02F9" w14:paraId="1CD33CA8" w14:textId="77777777" w:rsidTr="00977AE3">
        <w:trPr>
          <w:trHeight w:val="294"/>
        </w:trPr>
        <w:tc>
          <w:tcPr>
            <w:tcW w:w="1814" w:type="dxa"/>
          </w:tcPr>
          <w:p w14:paraId="1BF5B1F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V</w:t>
            </w:r>
          </w:p>
        </w:tc>
        <w:tc>
          <w:tcPr>
            <w:tcW w:w="1370" w:type="dxa"/>
            <w:gridSpan w:val="2"/>
          </w:tcPr>
          <w:p w14:paraId="3BB8479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27A01C7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125</w:t>
            </w:r>
          </w:p>
        </w:tc>
        <w:tc>
          <w:tcPr>
            <w:tcW w:w="1620" w:type="dxa"/>
            <w:gridSpan w:val="2"/>
            <w:tcBorders>
              <w:right w:val="single" w:sz="4" w:space="0" w:color="auto"/>
            </w:tcBorders>
          </w:tcPr>
          <w:p w14:paraId="446FDCB0"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15.8 + 0.85</w:t>
            </w:r>
          </w:p>
        </w:tc>
        <w:tc>
          <w:tcPr>
            <w:tcW w:w="1356" w:type="dxa"/>
            <w:gridSpan w:val="2"/>
            <w:tcBorders>
              <w:left w:val="single" w:sz="4" w:space="0" w:color="auto"/>
            </w:tcBorders>
          </w:tcPr>
          <w:p w14:paraId="12722A4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0CC8D3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79.3 ± 6.19</w:t>
            </w:r>
          </w:p>
        </w:tc>
        <w:tc>
          <w:tcPr>
            <w:tcW w:w="1977" w:type="dxa"/>
            <w:tcBorders>
              <w:left w:val="single" w:sz="4" w:space="0" w:color="auto"/>
            </w:tcBorders>
          </w:tcPr>
          <w:p w14:paraId="0251F290"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20.0 ± 2.860</w:t>
            </w:r>
          </w:p>
        </w:tc>
      </w:tr>
      <w:tr w:rsidR="00B71E1E" w:rsidRPr="006F02F9" w14:paraId="3BA136D8" w14:textId="77777777" w:rsidTr="00977AE3">
        <w:trPr>
          <w:trHeight w:val="294"/>
        </w:trPr>
        <w:tc>
          <w:tcPr>
            <w:tcW w:w="1814" w:type="dxa"/>
          </w:tcPr>
          <w:p w14:paraId="6ECAB14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VI</w:t>
            </w:r>
          </w:p>
        </w:tc>
        <w:tc>
          <w:tcPr>
            <w:tcW w:w="1370" w:type="dxa"/>
            <w:gridSpan w:val="2"/>
          </w:tcPr>
          <w:p w14:paraId="7100D79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485CEA5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250</w:t>
            </w:r>
          </w:p>
        </w:tc>
        <w:tc>
          <w:tcPr>
            <w:tcW w:w="1620" w:type="dxa"/>
            <w:gridSpan w:val="2"/>
            <w:tcBorders>
              <w:right w:val="single" w:sz="4" w:space="0" w:color="auto"/>
            </w:tcBorders>
          </w:tcPr>
          <w:p w14:paraId="2F96137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15.9 + 0.42</w:t>
            </w:r>
          </w:p>
        </w:tc>
        <w:tc>
          <w:tcPr>
            <w:tcW w:w="1356" w:type="dxa"/>
            <w:gridSpan w:val="2"/>
            <w:tcBorders>
              <w:left w:val="single" w:sz="4" w:space="0" w:color="auto"/>
            </w:tcBorders>
          </w:tcPr>
          <w:p w14:paraId="2B76C27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060EDBB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84.7 ± 6.27</w:t>
            </w:r>
          </w:p>
        </w:tc>
        <w:tc>
          <w:tcPr>
            <w:tcW w:w="1977" w:type="dxa"/>
            <w:tcBorders>
              <w:left w:val="single" w:sz="4" w:space="0" w:color="auto"/>
            </w:tcBorders>
          </w:tcPr>
          <w:p w14:paraId="0310EEA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16.8 ± 2.420</w:t>
            </w:r>
          </w:p>
        </w:tc>
      </w:tr>
      <w:tr w:rsidR="00B71E1E" w:rsidRPr="006F02F9" w14:paraId="106ADA4D" w14:textId="77777777" w:rsidTr="00977AE3">
        <w:trPr>
          <w:trHeight w:val="294"/>
        </w:trPr>
        <w:tc>
          <w:tcPr>
            <w:tcW w:w="1814" w:type="dxa"/>
          </w:tcPr>
          <w:p w14:paraId="32C1C7B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VII</w:t>
            </w:r>
          </w:p>
        </w:tc>
        <w:tc>
          <w:tcPr>
            <w:tcW w:w="1370" w:type="dxa"/>
            <w:gridSpan w:val="2"/>
          </w:tcPr>
          <w:p w14:paraId="4F16F69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3EFEF38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500</w:t>
            </w:r>
          </w:p>
        </w:tc>
        <w:tc>
          <w:tcPr>
            <w:tcW w:w="1620" w:type="dxa"/>
            <w:gridSpan w:val="2"/>
            <w:tcBorders>
              <w:right w:val="single" w:sz="4" w:space="0" w:color="auto"/>
            </w:tcBorders>
          </w:tcPr>
          <w:p w14:paraId="55D1080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16.6 + 1.74</w:t>
            </w:r>
          </w:p>
        </w:tc>
        <w:tc>
          <w:tcPr>
            <w:tcW w:w="1356" w:type="dxa"/>
            <w:gridSpan w:val="2"/>
            <w:tcBorders>
              <w:left w:val="single" w:sz="4" w:space="0" w:color="auto"/>
            </w:tcBorders>
          </w:tcPr>
          <w:p w14:paraId="4F2E2F7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39E0AFA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86.9 ± 6.91</w:t>
            </w:r>
          </w:p>
        </w:tc>
        <w:tc>
          <w:tcPr>
            <w:tcW w:w="1977" w:type="dxa"/>
            <w:tcBorders>
              <w:left w:val="single" w:sz="4" w:space="0" w:color="auto"/>
            </w:tcBorders>
          </w:tcPr>
          <w:p w14:paraId="7BC0041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20.1 ± 1.900</w:t>
            </w:r>
          </w:p>
        </w:tc>
      </w:tr>
      <w:tr w:rsidR="00B71E1E" w:rsidRPr="006F02F9" w14:paraId="30E94DB2" w14:textId="77777777" w:rsidTr="0097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10620" w:type="dxa"/>
            <w:gridSpan w:val="12"/>
          </w:tcPr>
          <w:p w14:paraId="6E4588EC" w14:textId="77777777" w:rsidR="0043339A" w:rsidRPr="006F02F9" w:rsidRDefault="00B71E1E"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H      8.64 </w:t>
            </w:r>
          </w:p>
          <w:p w14:paraId="7CA2B47A" w14:textId="77777777" w:rsidR="0043339A" w:rsidRPr="006F02F9" w:rsidRDefault="0043339A"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df     3   </w:t>
            </w:r>
          </w:p>
          <w:p w14:paraId="08F29825" w14:textId="77777777" w:rsidR="0043339A" w:rsidRPr="006F02F9" w:rsidRDefault="0043339A"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P &lt; 0.05                                                                                                                                                                                                       </w:t>
            </w:r>
          </w:p>
          <w:p w14:paraId="5DC3859A" w14:textId="77777777" w:rsidR="00B71E1E" w:rsidRPr="006F02F9" w:rsidRDefault="00B71E1E"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p>
        </w:tc>
      </w:tr>
      <w:tr w:rsidR="00B71E1E" w:rsidRPr="006F02F9" w14:paraId="1C31C0AB" w14:textId="77777777" w:rsidTr="0097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1822" w:type="dxa"/>
            <w:gridSpan w:val="2"/>
          </w:tcPr>
          <w:p w14:paraId="01567CF6"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VIII</w:t>
            </w:r>
          </w:p>
        </w:tc>
        <w:tc>
          <w:tcPr>
            <w:tcW w:w="1372" w:type="dxa"/>
            <w:gridSpan w:val="2"/>
          </w:tcPr>
          <w:p w14:paraId="6E048DEE" w14:textId="77777777" w:rsidR="00B71E1E" w:rsidRPr="006F02F9" w:rsidRDefault="00B71E1E" w:rsidP="008935C6">
            <w:pPr>
              <w:ind w:left="108"/>
              <w:rPr>
                <w:rFonts w:ascii="Times New Roman" w:hAnsi="Times New Roman" w:cs="Times New Roman"/>
                <w:sz w:val="20"/>
                <w:szCs w:val="20"/>
              </w:rPr>
            </w:pPr>
            <w:proofErr w:type="spellStart"/>
            <w:r w:rsidRPr="006F02F9">
              <w:rPr>
                <w:rFonts w:ascii="Times New Roman" w:hAnsi="Times New Roman" w:cs="Times New Roman"/>
                <w:sz w:val="20"/>
                <w:szCs w:val="20"/>
              </w:rPr>
              <w:t>Rutin</w:t>
            </w:r>
            <w:proofErr w:type="spellEnd"/>
            <w:r w:rsidRPr="006F02F9">
              <w:rPr>
                <w:rFonts w:ascii="Times New Roman" w:hAnsi="Times New Roman" w:cs="Times New Roman"/>
                <w:sz w:val="20"/>
                <w:szCs w:val="20"/>
              </w:rPr>
              <w:t xml:space="preserve"> </w:t>
            </w:r>
          </w:p>
        </w:tc>
        <w:tc>
          <w:tcPr>
            <w:tcW w:w="1106" w:type="dxa"/>
          </w:tcPr>
          <w:p w14:paraId="3FC5D5E1"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125</w:t>
            </w:r>
          </w:p>
        </w:tc>
        <w:tc>
          <w:tcPr>
            <w:tcW w:w="1492" w:type="dxa"/>
            <w:gridSpan w:val="2"/>
          </w:tcPr>
          <w:p w14:paraId="23AAE5D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15.0±0.16</w:t>
            </w:r>
          </w:p>
        </w:tc>
        <w:tc>
          <w:tcPr>
            <w:tcW w:w="1476" w:type="dxa"/>
            <w:gridSpan w:val="2"/>
          </w:tcPr>
          <w:p w14:paraId="6E403F6C"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0</w:t>
            </w:r>
          </w:p>
        </w:tc>
        <w:tc>
          <w:tcPr>
            <w:tcW w:w="1375" w:type="dxa"/>
            <w:gridSpan w:val="2"/>
          </w:tcPr>
          <w:p w14:paraId="31CDF5A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74.2±3.91</w:t>
            </w:r>
          </w:p>
        </w:tc>
        <w:tc>
          <w:tcPr>
            <w:tcW w:w="1977" w:type="dxa"/>
          </w:tcPr>
          <w:p w14:paraId="45565618"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19.1±2.40</w:t>
            </w:r>
          </w:p>
        </w:tc>
      </w:tr>
      <w:tr w:rsidR="00B71E1E" w:rsidRPr="006F02F9" w14:paraId="2D45DEC8" w14:textId="77777777" w:rsidTr="00977AE3">
        <w:trPr>
          <w:trHeight w:val="294"/>
        </w:trPr>
        <w:tc>
          <w:tcPr>
            <w:tcW w:w="1814" w:type="dxa"/>
            <w:tcBorders>
              <w:right w:val="single" w:sz="4" w:space="0" w:color="auto"/>
            </w:tcBorders>
          </w:tcPr>
          <w:p w14:paraId="3BB933D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IX</w:t>
            </w:r>
          </w:p>
        </w:tc>
        <w:tc>
          <w:tcPr>
            <w:tcW w:w="1370" w:type="dxa"/>
            <w:gridSpan w:val="2"/>
            <w:tcBorders>
              <w:left w:val="single" w:sz="4" w:space="0" w:color="auto"/>
              <w:right w:val="single" w:sz="4" w:space="0" w:color="auto"/>
            </w:tcBorders>
          </w:tcPr>
          <w:p w14:paraId="4B05AEA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proofErr w:type="spellStart"/>
            <w:r w:rsidRPr="006F02F9">
              <w:rPr>
                <w:rFonts w:ascii="Times New Roman" w:hAnsi="Times New Roman" w:cs="Times New Roman"/>
                <w:sz w:val="20"/>
                <w:szCs w:val="20"/>
              </w:rPr>
              <w:t>Rutin</w:t>
            </w:r>
            <w:proofErr w:type="spellEnd"/>
          </w:p>
        </w:tc>
        <w:tc>
          <w:tcPr>
            <w:tcW w:w="1125" w:type="dxa"/>
            <w:gridSpan w:val="3"/>
            <w:tcBorders>
              <w:left w:val="single" w:sz="4" w:space="0" w:color="auto"/>
              <w:right w:val="single" w:sz="4" w:space="0" w:color="auto"/>
            </w:tcBorders>
          </w:tcPr>
          <w:p w14:paraId="3409C1F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250</w:t>
            </w:r>
          </w:p>
        </w:tc>
        <w:tc>
          <w:tcPr>
            <w:tcW w:w="1620" w:type="dxa"/>
            <w:gridSpan w:val="2"/>
            <w:tcBorders>
              <w:left w:val="single" w:sz="4" w:space="0" w:color="auto"/>
              <w:right w:val="single" w:sz="4" w:space="0" w:color="auto"/>
            </w:tcBorders>
          </w:tcPr>
          <w:p w14:paraId="7563DCC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15.1±0.45</w:t>
            </w:r>
          </w:p>
        </w:tc>
        <w:tc>
          <w:tcPr>
            <w:tcW w:w="1356" w:type="dxa"/>
            <w:gridSpan w:val="2"/>
            <w:tcBorders>
              <w:left w:val="single" w:sz="4" w:space="0" w:color="auto"/>
              <w:right w:val="single" w:sz="4" w:space="0" w:color="auto"/>
            </w:tcBorders>
          </w:tcPr>
          <w:p w14:paraId="13199E4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left w:val="single" w:sz="4" w:space="0" w:color="auto"/>
              <w:right w:val="single" w:sz="4" w:space="0" w:color="auto"/>
            </w:tcBorders>
          </w:tcPr>
          <w:p w14:paraId="58D9D77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77.1±3.92</w:t>
            </w:r>
          </w:p>
        </w:tc>
        <w:tc>
          <w:tcPr>
            <w:tcW w:w="1977" w:type="dxa"/>
            <w:tcBorders>
              <w:left w:val="single" w:sz="4" w:space="0" w:color="auto"/>
            </w:tcBorders>
          </w:tcPr>
          <w:p w14:paraId="382CE47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20.9±2.76</w:t>
            </w:r>
          </w:p>
        </w:tc>
      </w:tr>
      <w:tr w:rsidR="00B71E1E" w:rsidRPr="006F02F9" w14:paraId="112C5E33" w14:textId="77777777" w:rsidTr="00977AE3">
        <w:trPr>
          <w:trHeight w:val="294"/>
        </w:trPr>
        <w:tc>
          <w:tcPr>
            <w:tcW w:w="1814" w:type="dxa"/>
            <w:tcBorders>
              <w:bottom w:val="single" w:sz="4" w:space="0" w:color="auto"/>
            </w:tcBorders>
          </w:tcPr>
          <w:p w14:paraId="6C807CE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X</w:t>
            </w:r>
          </w:p>
        </w:tc>
        <w:tc>
          <w:tcPr>
            <w:tcW w:w="1370" w:type="dxa"/>
            <w:gridSpan w:val="2"/>
            <w:tcBorders>
              <w:bottom w:val="single" w:sz="4" w:space="0" w:color="auto"/>
            </w:tcBorders>
          </w:tcPr>
          <w:p w14:paraId="18450A2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proofErr w:type="spellStart"/>
            <w:r w:rsidRPr="006F02F9">
              <w:rPr>
                <w:rFonts w:ascii="Times New Roman" w:hAnsi="Times New Roman" w:cs="Times New Roman"/>
                <w:sz w:val="20"/>
                <w:szCs w:val="20"/>
              </w:rPr>
              <w:t>Rutin</w:t>
            </w:r>
            <w:proofErr w:type="spellEnd"/>
          </w:p>
        </w:tc>
        <w:tc>
          <w:tcPr>
            <w:tcW w:w="1125" w:type="dxa"/>
            <w:gridSpan w:val="3"/>
            <w:tcBorders>
              <w:bottom w:val="single" w:sz="4" w:space="0" w:color="auto"/>
            </w:tcBorders>
          </w:tcPr>
          <w:p w14:paraId="2BA4533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500</w:t>
            </w:r>
          </w:p>
        </w:tc>
        <w:tc>
          <w:tcPr>
            <w:tcW w:w="1620" w:type="dxa"/>
            <w:gridSpan w:val="2"/>
            <w:tcBorders>
              <w:bottom w:val="single" w:sz="4" w:space="0" w:color="auto"/>
            </w:tcBorders>
          </w:tcPr>
          <w:p w14:paraId="5A1929E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15.7±0.89</w:t>
            </w:r>
          </w:p>
        </w:tc>
        <w:tc>
          <w:tcPr>
            <w:tcW w:w="1356" w:type="dxa"/>
            <w:gridSpan w:val="2"/>
            <w:tcBorders>
              <w:bottom w:val="single" w:sz="4" w:space="0" w:color="auto"/>
            </w:tcBorders>
          </w:tcPr>
          <w:p w14:paraId="1269D40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bottom w:val="single" w:sz="4" w:space="0" w:color="auto"/>
            </w:tcBorders>
          </w:tcPr>
          <w:p w14:paraId="00F88244"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80.5±4.07</w:t>
            </w:r>
          </w:p>
        </w:tc>
        <w:tc>
          <w:tcPr>
            <w:tcW w:w="1977" w:type="dxa"/>
            <w:tcBorders>
              <w:bottom w:val="single" w:sz="4" w:space="0" w:color="auto"/>
            </w:tcBorders>
          </w:tcPr>
          <w:p w14:paraId="58AA1D2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21.8±2.85</w:t>
            </w:r>
          </w:p>
        </w:tc>
      </w:tr>
      <w:tr w:rsidR="00B71E1E" w:rsidRPr="006F02F9" w14:paraId="154ED3CC" w14:textId="77777777" w:rsidTr="00977AE3">
        <w:trPr>
          <w:trHeight w:val="294"/>
        </w:trPr>
        <w:tc>
          <w:tcPr>
            <w:tcW w:w="10620" w:type="dxa"/>
            <w:gridSpan w:val="12"/>
            <w:tcBorders>
              <w:top w:val="single" w:sz="4" w:space="0" w:color="auto"/>
            </w:tcBorders>
          </w:tcPr>
          <w:p w14:paraId="6E2675F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H               7.49</w:t>
            </w:r>
          </w:p>
          <w:p w14:paraId="54892BD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Df              3</w:t>
            </w:r>
          </w:p>
          <w:p w14:paraId="2D64F66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P                 &lt;0.05      </w:t>
            </w:r>
          </w:p>
        </w:tc>
      </w:tr>
      <w:tr w:rsidR="003B2C80" w:rsidRPr="006F02F9" w14:paraId="34771C06" w14:textId="77777777" w:rsidTr="00977AE3">
        <w:trPr>
          <w:trHeight w:val="294"/>
        </w:trPr>
        <w:tc>
          <w:tcPr>
            <w:tcW w:w="1814" w:type="dxa"/>
          </w:tcPr>
          <w:p w14:paraId="0C1FF9ED"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III</w:t>
            </w:r>
          </w:p>
        </w:tc>
        <w:tc>
          <w:tcPr>
            <w:tcW w:w="1370" w:type="dxa"/>
            <w:gridSpan w:val="2"/>
          </w:tcPr>
          <w:p w14:paraId="41C3B125"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0B6FAD30"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12</w:t>
            </w:r>
          </w:p>
        </w:tc>
        <w:tc>
          <w:tcPr>
            <w:tcW w:w="1620" w:type="dxa"/>
            <w:gridSpan w:val="2"/>
            <w:tcBorders>
              <w:right w:val="single" w:sz="4" w:space="0" w:color="auto"/>
            </w:tcBorders>
          </w:tcPr>
          <w:p w14:paraId="5653CE9F"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29.4 ±2.16</w:t>
            </w:r>
          </w:p>
        </w:tc>
        <w:tc>
          <w:tcPr>
            <w:tcW w:w="1356" w:type="dxa"/>
            <w:gridSpan w:val="2"/>
            <w:tcBorders>
              <w:left w:val="single" w:sz="4" w:space="0" w:color="auto"/>
            </w:tcBorders>
          </w:tcPr>
          <w:p w14:paraId="682A8ED6"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43B6A938" w14:textId="77777777" w:rsidR="003B2C80" w:rsidRPr="006F02F9" w:rsidRDefault="003B2C80" w:rsidP="00300DDB">
            <w:pPr>
              <w:rPr>
                <w:rFonts w:ascii="Times New Roman" w:hAnsi="Times New Roman" w:cs="Times New Roman"/>
                <w:sz w:val="20"/>
                <w:szCs w:val="20"/>
              </w:rPr>
            </w:pPr>
            <w:r w:rsidRPr="006F02F9">
              <w:rPr>
                <w:rFonts w:ascii="Times New Roman" w:hAnsi="Times New Roman" w:cs="Times New Roman"/>
                <w:sz w:val="20"/>
                <w:szCs w:val="20"/>
              </w:rPr>
              <w:t>53.7±2.8</w:t>
            </w:r>
          </w:p>
        </w:tc>
        <w:tc>
          <w:tcPr>
            <w:tcW w:w="1977" w:type="dxa"/>
            <w:tcBorders>
              <w:left w:val="single" w:sz="4" w:space="0" w:color="auto"/>
            </w:tcBorders>
          </w:tcPr>
          <w:p w14:paraId="51869E63" w14:textId="77777777" w:rsidR="003B2C80" w:rsidRPr="006F02F9" w:rsidRDefault="003B2C80" w:rsidP="00300DDB">
            <w:pPr>
              <w:rPr>
                <w:rFonts w:ascii="Times New Roman" w:hAnsi="Times New Roman" w:cs="Times New Roman"/>
                <w:sz w:val="20"/>
                <w:szCs w:val="20"/>
              </w:rPr>
            </w:pPr>
            <w:r w:rsidRPr="006F02F9">
              <w:rPr>
                <w:rFonts w:ascii="Times New Roman" w:hAnsi="Times New Roman" w:cs="Times New Roman"/>
                <w:sz w:val="20"/>
                <w:szCs w:val="20"/>
              </w:rPr>
              <w:t>15±1.10</w:t>
            </w:r>
          </w:p>
        </w:tc>
      </w:tr>
      <w:tr w:rsidR="003B2C80" w:rsidRPr="006F02F9" w14:paraId="37425738" w14:textId="77777777" w:rsidTr="00977AE3">
        <w:trPr>
          <w:trHeight w:val="294"/>
        </w:trPr>
        <w:tc>
          <w:tcPr>
            <w:tcW w:w="1814" w:type="dxa"/>
          </w:tcPr>
          <w:p w14:paraId="587AE6C6"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VI</w:t>
            </w:r>
          </w:p>
        </w:tc>
        <w:tc>
          <w:tcPr>
            <w:tcW w:w="1370" w:type="dxa"/>
            <w:gridSpan w:val="2"/>
          </w:tcPr>
          <w:p w14:paraId="7DF4168A"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18119975"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250</w:t>
            </w:r>
          </w:p>
        </w:tc>
        <w:tc>
          <w:tcPr>
            <w:tcW w:w="1620" w:type="dxa"/>
            <w:gridSpan w:val="2"/>
            <w:tcBorders>
              <w:right w:val="single" w:sz="4" w:space="0" w:color="auto"/>
            </w:tcBorders>
          </w:tcPr>
          <w:p w14:paraId="7638D193"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15.3 + 0.42</w:t>
            </w:r>
          </w:p>
        </w:tc>
        <w:tc>
          <w:tcPr>
            <w:tcW w:w="1356" w:type="dxa"/>
            <w:gridSpan w:val="2"/>
            <w:tcBorders>
              <w:left w:val="single" w:sz="4" w:space="0" w:color="auto"/>
            </w:tcBorders>
          </w:tcPr>
          <w:p w14:paraId="7CCCFDD1"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5F324039"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86.1 ± 4.72</w:t>
            </w:r>
          </w:p>
        </w:tc>
        <w:tc>
          <w:tcPr>
            <w:tcW w:w="1977" w:type="dxa"/>
            <w:tcBorders>
              <w:left w:val="single" w:sz="4" w:space="0" w:color="auto"/>
            </w:tcBorders>
          </w:tcPr>
          <w:p w14:paraId="25D6A9F1"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16.8 ± 2.40</w:t>
            </w:r>
          </w:p>
        </w:tc>
      </w:tr>
      <w:tr w:rsidR="003B2C80" w:rsidRPr="006F02F9" w14:paraId="56754F57" w14:textId="77777777" w:rsidTr="00977AE3">
        <w:trPr>
          <w:trHeight w:val="294"/>
        </w:trPr>
        <w:tc>
          <w:tcPr>
            <w:tcW w:w="1814" w:type="dxa"/>
          </w:tcPr>
          <w:p w14:paraId="0718E2ED"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XI</w:t>
            </w:r>
          </w:p>
        </w:tc>
        <w:tc>
          <w:tcPr>
            <w:tcW w:w="1370" w:type="dxa"/>
            <w:gridSpan w:val="2"/>
          </w:tcPr>
          <w:p w14:paraId="60C660EF" w14:textId="77777777" w:rsidR="003B2C80" w:rsidRPr="006F02F9" w:rsidRDefault="003B2C80"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leve</w:t>
            </w:r>
            <w:proofErr w:type="spellEnd"/>
            <w:r w:rsidRPr="006F02F9">
              <w:rPr>
                <w:rFonts w:ascii="Times New Roman" w:hAnsi="Times New Roman" w:cs="Times New Roman"/>
                <w:sz w:val="20"/>
                <w:szCs w:val="20"/>
              </w:rPr>
              <w:t xml:space="preserve"> + PIM </w:t>
            </w:r>
          </w:p>
        </w:tc>
        <w:tc>
          <w:tcPr>
            <w:tcW w:w="1125" w:type="dxa"/>
            <w:gridSpan w:val="3"/>
          </w:tcPr>
          <w:p w14:paraId="35818B90"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12+ 250</w:t>
            </w:r>
          </w:p>
        </w:tc>
        <w:tc>
          <w:tcPr>
            <w:tcW w:w="1620" w:type="dxa"/>
            <w:gridSpan w:val="2"/>
            <w:tcBorders>
              <w:right w:val="single" w:sz="4" w:space="0" w:color="auto"/>
            </w:tcBorders>
          </w:tcPr>
          <w:p w14:paraId="45D3EBE1"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31.0</w:t>
            </w:r>
            <w:proofErr w:type="gramStart"/>
            <w:r w:rsidRPr="006F02F9">
              <w:rPr>
                <w:rFonts w:ascii="Times New Roman" w:hAnsi="Times New Roman" w:cs="Times New Roman"/>
                <w:sz w:val="20"/>
                <w:szCs w:val="20"/>
              </w:rPr>
              <w:t>±  1</w:t>
            </w:r>
            <w:proofErr w:type="gramEnd"/>
            <w:r w:rsidRPr="006F02F9">
              <w:rPr>
                <w:rFonts w:ascii="Times New Roman" w:hAnsi="Times New Roman" w:cs="Times New Roman"/>
                <w:sz w:val="20"/>
                <w:szCs w:val="20"/>
              </w:rPr>
              <w:t>.06</w:t>
            </w:r>
          </w:p>
        </w:tc>
        <w:tc>
          <w:tcPr>
            <w:tcW w:w="1356" w:type="dxa"/>
            <w:gridSpan w:val="2"/>
            <w:tcBorders>
              <w:left w:val="single" w:sz="4" w:space="0" w:color="auto"/>
            </w:tcBorders>
          </w:tcPr>
          <w:p w14:paraId="6E0CE509"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7FBB835A"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71.4 ± 6.46</w:t>
            </w:r>
          </w:p>
        </w:tc>
        <w:tc>
          <w:tcPr>
            <w:tcW w:w="1977" w:type="dxa"/>
            <w:tcBorders>
              <w:left w:val="single" w:sz="4" w:space="0" w:color="auto"/>
            </w:tcBorders>
          </w:tcPr>
          <w:p w14:paraId="57AB01EA"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21.6 ± 1.9 </w:t>
            </w:r>
          </w:p>
        </w:tc>
      </w:tr>
      <w:tr w:rsidR="003B2C80" w:rsidRPr="006F02F9" w14:paraId="508D1296" w14:textId="77777777" w:rsidTr="00977AE3">
        <w:trPr>
          <w:trHeight w:val="294"/>
        </w:trPr>
        <w:tc>
          <w:tcPr>
            <w:tcW w:w="1814" w:type="dxa"/>
          </w:tcPr>
          <w:p w14:paraId="6D719492"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XII</w:t>
            </w:r>
          </w:p>
        </w:tc>
        <w:tc>
          <w:tcPr>
            <w:tcW w:w="1370" w:type="dxa"/>
            <w:gridSpan w:val="2"/>
          </w:tcPr>
          <w:p w14:paraId="395D8852" w14:textId="77777777" w:rsidR="003B2C80" w:rsidRPr="006F02F9" w:rsidRDefault="003B2C80"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leve</w:t>
            </w:r>
            <w:proofErr w:type="spellEnd"/>
            <w:r w:rsidRPr="006F02F9">
              <w:rPr>
                <w:rFonts w:ascii="Times New Roman" w:hAnsi="Times New Roman" w:cs="Times New Roman"/>
                <w:sz w:val="20"/>
                <w:szCs w:val="20"/>
              </w:rPr>
              <w:t xml:space="preserve"> + </w:t>
            </w:r>
            <w:proofErr w:type="spellStart"/>
            <w:r w:rsidRPr="006F02F9">
              <w:rPr>
                <w:rFonts w:ascii="Times New Roman" w:hAnsi="Times New Roman" w:cs="Times New Roman"/>
                <w:sz w:val="20"/>
                <w:szCs w:val="20"/>
              </w:rPr>
              <w:t>Rutin</w:t>
            </w:r>
            <w:proofErr w:type="spellEnd"/>
            <w:r w:rsidRPr="006F02F9">
              <w:rPr>
                <w:rFonts w:ascii="Times New Roman" w:hAnsi="Times New Roman" w:cs="Times New Roman"/>
                <w:sz w:val="20"/>
                <w:szCs w:val="20"/>
              </w:rPr>
              <w:t xml:space="preserve"> </w:t>
            </w:r>
          </w:p>
        </w:tc>
        <w:tc>
          <w:tcPr>
            <w:tcW w:w="1125" w:type="dxa"/>
            <w:gridSpan w:val="3"/>
          </w:tcPr>
          <w:p w14:paraId="54437F30"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12 +250</w:t>
            </w:r>
          </w:p>
        </w:tc>
        <w:tc>
          <w:tcPr>
            <w:tcW w:w="1620" w:type="dxa"/>
            <w:gridSpan w:val="2"/>
            <w:tcBorders>
              <w:right w:val="single" w:sz="4" w:space="0" w:color="auto"/>
            </w:tcBorders>
          </w:tcPr>
          <w:p w14:paraId="3C7346A1"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30.9</w:t>
            </w:r>
            <w:proofErr w:type="gramStart"/>
            <w:r w:rsidRPr="006F02F9">
              <w:rPr>
                <w:rFonts w:ascii="Times New Roman" w:hAnsi="Times New Roman" w:cs="Times New Roman"/>
                <w:sz w:val="20"/>
                <w:szCs w:val="20"/>
              </w:rPr>
              <w:t>±  1</w:t>
            </w:r>
            <w:proofErr w:type="gramEnd"/>
            <w:r w:rsidRPr="006F02F9">
              <w:rPr>
                <w:rFonts w:ascii="Times New Roman" w:hAnsi="Times New Roman" w:cs="Times New Roman"/>
                <w:sz w:val="20"/>
                <w:szCs w:val="20"/>
              </w:rPr>
              <w:t>.02</w:t>
            </w:r>
          </w:p>
        </w:tc>
        <w:tc>
          <w:tcPr>
            <w:tcW w:w="1356" w:type="dxa"/>
            <w:gridSpan w:val="2"/>
            <w:tcBorders>
              <w:left w:val="single" w:sz="4" w:space="0" w:color="auto"/>
            </w:tcBorders>
          </w:tcPr>
          <w:p w14:paraId="2D69616F"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3ECBBC16"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69.4± 4.61</w:t>
            </w:r>
          </w:p>
        </w:tc>
        <w:tc>
          <w:tcPr>
            <w:tcW w:w="1977" w:type="dxa"/>
            <w:tcBorders>
              <w:left w:val="single" w:sz="4" w:space="0" w:color="auto"/>
            </w:tcBorders>
          </w:tcPr>
          <w:p w14:paraId="28FB6CE3"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22.6 ± 1.84</w:t>
            </w:r>
          </w:p>
        </w:tc>
      </w:tr>
      <w:tr w:rsidR="003B2C80" w:rsidRPr="006F02F9" w14:paraId="3F25835F" w14:textId="77777777" w:rsidTr="00977AE3">
        <w:trPr>
          <w:trHeight w:val="294"/>
        </w:trPr>
        <w:tc>
          <w:tcPr>
            <w:tcW w:w="10620" w:type="dxa"/>
            <w:gridSpan w:val="12"/>
          </w:tcPr>
          <w:p w14:paraId="4F0EE154"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                                                                                          F            39.70                            H               8.46</w:t>
            </w:r>
          </w:p>
          <w:p w14:paraId="08E72F62"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                                                                                         Df           3                                   df               3</w:t>
            </w:r>
          </w:p>
          <w:p w14:paraId="28116A3E"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                                                                                          P              &lt; 0.01                         p               &lt; 0.01</w:t>
            </w:r>
          </w:p>
        </w:tc>
      </w:tr>
    </w:tbl>
    <w:p w14:paraId="1D2DABDB"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Values are mean + SEM, Values within parentheses are number of animals, ICES- Increasing current electroshock seizure, SAB-Spontaneous alternation </w:t>
      </w:r>
      <w:proofErr w:type="spellStart"/>
      <w:r w:rsidRPr="006F02F9">
        <w:rPr>
          <w:rFonts w:ascii="Times New Roman" w:hAnsi="Times New Roman" w:cs="Times New Roman"/>
          <w:sz w:val="20"/>
          <w:szCs w:val="20"/>
        </w:rPr>
        <w:t>behaviour</w:t>
      </w:r>
      <w:proofErr w:type="spellEnd"/>
      <w:r w:rsidRPr="006F02F9">
        <w:rPr>
          <w:rFonts w:ascii="Times New Roman" w:hAnsi="Times New Roman" w:cs="Times New Roman"/>
          <w:sz w:val="20"/>
          <w:szCs w:val="20"/>
        </w:rPr>
        <w:t xml:space="preserve">. Seizure threshold current values were </w:t>
      </w:r>
      <w:proofErr w:type="spellStart"/>
      <w:r w:rsidRPr="006F02F9">
        <w:rPr>
          <w:rFonts w:ascii="Times New Roman" w:hAnsi="Times New Roman" w:cs="Times New Roman"/>
          <w:sz w:val="20"/>
          <w:szCs w:val="20"/>
        </w:rPr>
        <w:t>analysed</w:t>
      </w:r>
      <w:proofErr w:type="spellEnd"/>
      <w:r w:rsidRPr="006F02F9">
        <w:rPr>
          <w:rFonts w:ascii="Times New Roman" w:hAnsi="Times New Roman" w:cs="Times New Roman"/>
          <w:sz w:val="20"/>
          <w:szCs w:val="20"/>
        </w:rPr>
        <w:t xml:space="preserve"> using one-way ANOVA followed by Dunnett’s test and alternation values by Kruskal–Wallis H test followed by a multiple range test, *P&lt;0.05, † P&lt;0.01 Vs control, ‡ P&lt; 0.05 Vs Group III</w:t>
      </w:r>
    </w:p>
    <w:p w14:paraId="7C26A9F3" w14:textId="77777777" w:rsidR="00B71E1E" w:rsidRPr="006F02F9" w:rsidRDefault="00B71E1E" w:rsidP="00B71E1E">
      <w:pPr>
        <w:rPr>
          <w:rFonts w:ascii="Times New Roman" w:hAnsi="Times New Roman" w:cs="Times New Roman"/>
          <w:sz w:val="20"/>
          <w:szCs w:val="20"/>
        </w:rPr>
      </w:pPr>
    </w:p>
    <w:p w14:paraId="7252D4B9" w14:textId="77777777" w:rsidR="00B71E1E" w:rsidRPr="006F02F9" w:rsidRDefault="00B71E1E" w:rsidP="00B71E1E">
      <w:pPr>
        <w:rPr>
          <w:rFonts w:ascii="Times New Roman" w:hAnsi="Times New Roman" w:cs="Times New Roman"/>
          <w:sz w:val="20"/>
          <w:szCs w:val="20"/>
        </w:rPr>
      </w:pPr>
    </w:p>
    <w:p w14:paraId="6EB7AA60" w14:textId="271532B7" w:rsidR="00B71E1E" w:rsidRPr="006F02F9" w:rsidRDefault="008B2C7F" w:rsidP="00B71E1E">
      <w:pPr>
        <w:rPr>
          <w:rFonts w:ascii="Times New Roman" w:hAnsi="Times New Roman" w:cs="Times New Roman"/>
          <w:sz w:val="20"/>
          <w:szCs w:val="20"/>
        </w:rPr>
      </w:pPr>
      <w:r w:rsidRPr="008B2C7F">
        <w:rPr>
          <w:rFonts w:ascii="Times New Roman" w:hAnsi="Times New Roman" w:cs="Times New Roman"/>
          <w:sz w:val="20"/>
          <w:szCs w:val="20"/>
        </w:rPr>
        <w:t>table 2</w:t>
      </w:r>
      <w:r>
        <w:rPr>
          <w:rFonts w:ascii="Times New Roman" w:hAnsi="Times New Roman" w:cs="Times New Roman"/>
          <w:sz w:val="20"/>
          <w:szCs w:val="20"/>
        </w:rPr>
        <w:t>-</w:t>
      </w:r>
      <w:r w:rsidR="00B71E1E" w:rsidRPr="006F02F9">
        <w:rPr>
          <w:rFonts w:ascii="Times New Roman" w:hAnsi="Times New Roman" w:cs="Times New Roman"/>
          <w:sz w:val="20"/>
          <w:szCs w:val="20"/>
        </w:rPr>
        <w:t>Effect of ch</w:t>
      </w:r>
      <w:r w:rsidR="00EA4ADD" w:rsidRPr="006F02F9">
        <w:rPr>
          <w:rFonts w:ascii="Times New Roman" w:hAnsi="Times New Roman" w:cs="Times New Roman"/>
          <w:sz w:val="20"/>
          <w:szCs w:val="20"/>
        </w:rPr>
        <w:t xml:space="preserve">ronic </w:t>
      </w:r>
      <w:proofErr w:type="spellStart"/>
      <w:r w:rsidR="00EA4ADD" w:rsidRPr="006F02F9">
        <w:rPr>
          <w:rFonts w:ascii="Times New Roman" w:hAnsi="Times New Roman" w:cs="Times New Roman"/>
          <w:sz w:val="20"/>
          <w:szCs w:val="20"/>
        </w:rPr>
        <w:t>Levetracetam</w:t>
      </w:r>
      <w:proofErr w:type="spellEnd"/>
      <w:r w:rsidR="0009386B" w:rsidRPr="006F02F9">
        <w:rPr>
          <w:rFonts w:ascii="Times New Roman" w:hAnsi="Times New Roman" w:cs="Times New Roman"/>
          <w:sz w:val="20"/>
          <w:szCs w:val="20"/>
        </w:rPr>
        <w:t xml:space="preserve"> (LEVE</w:t>
      </w:r>
      <w:r w:rsidR="00B71E1E" w:rsidRPr="006F02F9">
        <w:rPr>
          <w:rFonts w:ascii="Times New Roman" w:hAnsi="Times New Roman" w:cs="Times New Roman"/>
          <w:sz w:val="20"/>
          <w:szCs w:val="20"/>
        </w:rPr>
        <w:t xml:space="preserve">) and piracetam (PIM) on SAB </w:t>
      </w:r>
    </w:p>
    <w:tbl>
      <w:tblPr>
        <w:tblStyle w:val="TableGrid"/>
        <w:tblW w:w="0" w:type="auto"/>
        <w:tblLook w:val="04A0" w:firstRow="1" w:lastRow="0" w:firstColumn="1" w:lastColumn="0" w:noHBand="0" w:noVBand="1"/>
      </w:tblPr>
      <w:tblGrid>
        <w:gridCol w:w="2341"/>
        <w:gridCol w:w="2333"/>
        <w:gridCol w:w="2342"/>
        <w:gridCol w:w="2334"/>
      </w:tblGrid>
      <w:tr w:rsidR="00B71E1E" w:rsidRPr="006F02F9" w14:paraId="6764308C" w14:textId="77777777" w:rsidTr="008935C6">
        <w:tc>
          <w:tcPr>
            <w:tcW w:w="2394" w:type="dxa"/>
          </w:tcPr>
          <w:p w14:paraId="171017B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Treatment </w:t>
            </w:r>
          </w:p>
        </w:tc>
        <w:tc>
          <w:tcPr>
            <w:tcW w:w="2394" w:type="dxa"/>
          </w:tcPr>
          <w:p w14:paraId="5F6B990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Dose </w:t>
            </w:r>
          </w:p>
        </w:tc>
        <w:tc>
          <w:tcPr>
            <w:tcW w:w="2394" w:type="dxa"/>
          </w:tcPr>
          <w:p w14:paraId="3DDAACE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 alternation </w:t>
            </w:r>
          </w:p>
        </w:tc>
        <w:tc>
          <w:tcPr>
            <w:tcW w:w="2394" w:type="dxa"/>
          </w:tcPr>
          <w:p w14:paraId="09283AC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No. of arms </w:t>
            </w:r>
            <w:r w:rsidR="00CD098C" w:rsidRPr="006F02F9">
              <w:rPr>
                <w:rFonts w:ascii="Times New Roman" w:hAnsi="Times New Roman" w:cs="Times New Roman"/>
                <w:sz w:val="20"/>
                <w:szCs w:val="20"/>
              </w:rPr>
              <w:t>entries</w:t>
            </w:r>
          </w:p>
        </w:tc>
      </w:tr>
      <w:tr w:rsidR="00B71E1E" w:rsidRPr="006F02F9" w14:paraId="0B6BE87E" w14:textId="77777777" w:rsidTr="008935C6">
        <w:tc>
          <w:tcPr>
            <w:tcW w:w="2394" w:type="dxa"/>
            <w:tcBorders>
              <w:bottom w:val="single" w:sz="4" w:space="0" w:color="auto"/>
            </w:tcBorders>
          </w:tcPr>
          <w:p w14:paraId="09A74A8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Control </w:t>
            </w:r>
          </w:p>
        </w:tc>
        <w:tc>
          <w:tcPr>
            <w:tcW w:w="2394" w:type="dxa"/>
          </w:tcPr>
          <w:p w14:paraId="71E38E9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 ml/kg</w:t>
            </w:r>
          </w:p>
        </w:tc>
        <w:tc>
          <w:tcPr>
            <w:tcW w:w="2394" w:type="dxa"/>
          </w:tcPr>
          <w:p w14:paraId="41E2E7E4"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69.32 ± 4.14 (9)</w:t>
            </w:r>
          </w:p>
        </w:tc>
        <w:tc>
          <w:tcPr>
            <w:tcW w:w="2394" w:type="dxa"/>
          </w:tcPr>
          <w:p w14:paraId="38E6DAF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11.25 ±0.75</w:t>
            </w:r>
          </w:p>
        </w:tc>
      </w:tr>
      <w:tr w:rsidR="00B71E1E" w:rsidRPr="006F02F9" w14:paraId="72933550" w14:textId="77777777" w:rsidTr="008935C6">
        <w:tc>
          <w:tcPr>
            <w:tcW w:w="2394" w:type="dxa"/>
            <w:tcBorders>
              <w:top w:val="single" w:sz="4" w:space="0" w:color="auto"/>
            </w:tcBorders>
          </w:tcPr>
          <w:p w14:paraId="45C2CF50"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2394" w:type="dxa"/>
          </w:tcPr>
          <w:p w14:paraId="5D9809F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8</w:t>
            </w:r>
          </w:p>
        </w:tc>
        <w:tc>
          <w:tcPr>
            <w:tcW w:w="2394" w:type="dxa"/>
          </w:tcPr>
          <w:p w14:paraId="2CC39476" w14:textId="77777777" w:rsidR="00B71E1E" w:rsidRPr="006F02F9" w:rsidRDefault="001C3CAF" w:rsidP="008935C6">
            <w:pPr>
              <w:rPr>
                <w:rFonts w:ascii="Times New Roman" w:hAnsi="Times New Roman" w:cs="Times New Roman"/>
                <w:sz w:val="20"/>
                <w:szCs w:val="20"/>
              </w:rPr>
            </w:pPr>
            <w:r w:rsidRPr="006F02F9">
              <w:rPr>
                <w:rFonts w:ascii="Times New Roman" w:hAnsi="Times New Roman" w:cs="Times New Roman"/>
                <w:sz w:val="20"/>
                <w:szCs w:val="20"/>
              </w:rPr>
              <w:t>63.1±2.4</w:t>
            </w:r>
          </w:p>
        </w:tc>
        <w:tc>
          <w:tcPr>
            <w:tcW w:w="2394" w:type="dxa"/>
          </w:tcPr>
          <w:p w14:paraId="66234822" w14:textId="77777777" w:rsidR="00B71E1E" w:rsidRPr="006F02F9" w:rsidRDefault="001C3CAF" w:rsidP="008935C6">
            <w:pPr>
              <w:rPr>
                <w:rFonts w:ascii="Times New Roman" w:hAnsi="Times New Roman" w:cs="Times New Roman"/>
                <w:sz w:val="20"/>
                <w:szCs w:val="20"/>
              </w:rPr>
            </w:pPr>
            <w:r w:rsidRPr="006F02F9">
              <w:rPr>
                <w:rFonts w:ascii="Times New Roman" w:hAnsi="Times New Roman" w:cs="Times New Roman"/>
                <w:sz w:val="20"/>
                <w:szCs w:val="20"/>
              </w:rPr>
              <w:t>14±1.01</w:t>
            </w:r>
          </w:p>
        </w:tc>
      </w:tr>
      <w:tr w:rsidR="00E75A5E" w:rsidRPr="006F02F9" w14:paraId="15AFCC81" w14:textId="77777777" w:rsidTr="008935C6">
        <w:tc>
          <w:tcPr>
            <w:tcW w:w="2394" w:type="dxa"/>
          </w:tcPr>
          <w:p w14:paraId="14712CA9"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2394" w:type="dxa"/>
          </w:tcPr>
          <w:p w14:paraId="54CB06C4"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w:t>
            </w:r>
          </w:p>
        </w:tc>
        <w:tc>
          <w:tcPr>
            <w:tcW w:w="2394" w:type="dxa"/>
          </w:tcPr>
          <w:p w14:paraId="0BCF6FF6" w14:textId="77777777" w:rsidR="00E75A5E" w:rsidRPr="006F02F9" w:rsidRDefault="00E75A5E" w:rsidP="00FF1A4D">
            <w:pPr>
              <w:rPr>
                <w:rFonts w:ascii="Times New Roman" w:hAnsi="Times New Roman" w:cs="Times New Roman"/>
                <w:sz w:val="20"/>
                <w:szCs w:val="20"/>
              </w:rPr>
            </w:pPr>
            <w:r w:rsidRPr="006F02F9">
              <w:rPr>
                <w:rFonts w:ascii="Times New Roman" w:hAnsi="Times New Roman" w:cs="Times New Roman"/>
                <w:sz w:val="20"/>
                <w:szCs w:val="20"/>
              </w:rPr>
              <w:t>53.7±2.8</w:t>
            </w:r>
          </w:p>
        </w:tc>
        <w:tc>
          <w:tcPr>
            <w:tcW w:w="2394" w:type="dxa"/>
          </w:tcPr>
          <w:p w14:paraId="3006F348" w14:textId="77777777" w:rsidR="00E75A5E" w:rsidRPr="006F02F9" w:rsidRDefault="00E75A5E" w:rsidP="00FF1A4D">
            <w:pPr>
              <w:rPr>
                <w:rFonts w:ascii="Times New Roman" w:hAnsi="Times New Roman" w:cs="Times New Roman"/>
                <w:sz w:val="20"/>
                <w:szCs w:val="20"/>
              </w:rPr>
            </w:pPr>
            <w:r w:rsidRPr="006F02F9">
              <w:rPr>
                <w:rFonts w:ascii="Times New Roman" w:hAnsi="Times New Roman" w:cs="Times New Roman"/>
                <w:sz w:val="20"/>
                <w:szCs w:val="20"/>
              </w:rPr>
              <w:t>15±1.10</w:t>
            </w:r>
          </w:p>
        </w:tc>
      </w:tr>
      <w:tr w:rsidR="00E75A5E" w:rsidRPr="006F02F9" w14:paraId="7F896827" w14:textId="77777777" w:rsidTr="008935C6">
        <w:tc>
          <w:tcPr>
            <w:tcW w:w="2394" w:type="dxa"/>
          </w:tcPr>
          <w:p w14:paraId="14451EF2"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2394" w:type="dxa"/>
          </w:tcPr>
          <w:p w14:paraId="3AC0F897"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125</w:t>
            </w:r>
          </w:p>
        </w:tc>
        <w:tc>
          <w:tcPr>
            <w:tcW w:w="2394" w:type="dxa"/>
          </w:tcPr>
          <w:p w14:paraId="180D880F" w14:textId="77777777" w:rsidR="00E75A5E" w:rsidRPr="006F02F9" w:rsidRDefault="00A37990" w:rsidP="00FF1A4D">
            <w:pPr>
              <w:rPr>
                <w:rFonts w:ascii="Times New Roman" w:hAnsi="Times New Roman" w:cs="Times New Roman"/>
                <w:sz w:val="20"/>
                <w:szCs w:val="20"/>
              </w:rPr>
            </w:pPr>
            <w:r w:rsidRPr="006F02F9">
              <w:rPr>
                <w:rFonts w:ascii="Times New Roman" w:hAnsi="Times New Roman" w:cs="Times New Roman"/>
                <w:sz w:val="20"/>
                <w:szCs w:val="20"/>
              </w:rPr>
              <w:t>76.2 ± 2</w:t>
            </w:r>
            <w:r w:rsidR="00E75A5E" w:rsidRPr="006F02F9">
              <w:rPr>
                <w:rFonts w:ascii="Times New Roman" w:hAnsi="Times New Roman" w:cs="Times New Roman"/>
                <w:sz w:val="20"/>
                <w:szCs w:val="20"/>
              </w:rPr>
              <w:t>.19</w:t>
            </w:r>
          </w:p>
        </w:tc>
        <w:tc>
          <w:tcPr>
            <w:tcW w:w="2394" w:type="dxa"/>
          </w:tcPr>
          <w:p w14:paraId="5A295AB3" w14:textId="77777777" w:rsidR="00E75A5E" w:rsidRPr="006F02F9" w:rsidRDefault="00E75A5E" w:rsidP="00FF1A4D">
            <w:pPr>
              <w:rPr>
                <w:rFonts w:ascii="Times New Roman" w:hAnsi="Times New Roman" w:cs="Times New Roman"/>
                <w:sz w:val="20"/>
                <w:szCs w:val="20"/>
              </w:rPr>
            </w:pPr>
            <w:r w:rsidRPr="006F02F9">
              <w:rPr>
                <w:rFonts w:ascii="Times New Roman" w:hAnsi="Times New Roman" w:cs="Times New Roman"/>
                <w:sz w:val="20"/>
                <w:szCs w:val="20"/>
              </w:rPr>
              <w:t>20.0 ± 2.860</w:t>
            </w:r>
          </w:p>
        </w:tc>
      </w:tr>
      <w:tr w:rsidR="00E75A5E" w:rsidRPr="006F02F9" w14:paraId="423E9913" w14:textId="77777777" w:rsidTr="008935C6">
        <w:tc>
          <w:tcPr>
            <w:tcW w:w="2394" w:type="dxa"/>
          </w:tcPr>
          <w:p w14:paraId="556DAC48" w14:textId="77777777" w:rsidR="00E75A5E" w:rsidRPr="006F02F9" w:rsidRDefault="00E75A5E"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lastRenderedPageBreak/>
              <w:t>Rutin</w:t>
            </w:r>
            <w:proofErr w:type="spellEnd"/>
            <w:r w:rsidRPr="006F02F9">
              <w:rPr>
                <w:rFonts w:ascii="Times New Roman" w:hAnsi="Times New Roman" w:cs="Times New Roman"/>
                <w:sz w:val="20"/>
                <w:szCs w:val="20"/>
              </w:rPr>
              <w:t xml:space="preserve"> </w:t>
            </w:r>
          </w:p>
        </w:tc>
        <w:tc>
          <w:tcPr>
            <w:tcW w:w="2394" w:type="dxa"/>
          </w:tcPr>
          <w:p w14:paraId="6B7739C5"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125</w:t>
            </w:r>
          </w:p>
        </w:tc>
        <w:tc>
          <w:tcPr>
            <w:tcW w:w="2394" w:type="dxa"/>
          </w:tcPr>
          <w:p w14:paraId="57F01ED2" w14:textId="77777777" w:rsidR="00E75A5E" w:rsidRPr="006F02F9" w:rsidRDefault="00A37990" w:rsidP="00FF1A4D">
            <w:pPr>
              <w:rPr>
                <w:rFonts w:ascii="Times New Roman" w:hAnsi="Times New Roman" w:cs="Times New Roman"/>
                <w:sz w:val="20"/>
                <w:szCs w:val="20"/>
              </w:rPr>
            </w:pPr>
            <w:proofErr w:type="gramStart"/>
            <w:r w:rsidRPr="006F02F9">
              <w:rPr>
                <w:rFonts w:ascii="Times New Roman" w:hAnsi="Times New Roman" w:cs="Times New Roman"/>
                <w:sz w:val="20"/>
                <w:szCs w:val="20"/>
              </w:rPr>
              <w:t>79.3</w:t>
            </w:r>
            <w:r w:rsidR="00ED3F60" w:rsidRPr="006F02F9">
              <w:rPr>
                <w:rFonts w:ascii="Times New Roman" w:hAnsi="Times New Roman" w:cs="Times New Roman"/>
                <w:sz w:val="20"/>
                <w:szCs w:val="20"/>
              </w:rPr>
              <w:t xml:space="preserve">  ±</w:t>
            </w:r>
            <w:proofErr w:type="gramEnd"/>
            <w:r w:rsidR="00ED3F60" w:rsidRPr="006F02F9">
              <w:rPr>
                <w:rFonts w:ascii="Times New Roman" w:hAnsi="Times New Roman" w:cs="Times New Roman"/>
                <w:sz w:val="20"/>
                <w:szCs w:val="20"/>
              </w:rPr>
              <w:t xml:space="preserve"> 2.0</w:t>
            </w:r>
            <w:r w:rsidR="00E75A5E" w:rsidRPr="006F02F9">
              <w:rPr>
                <w:rFonts w:ascii="Times New Roman" w:hAnsi="Times New Roman" w:cs="Times New Roman"/>
                <w:sz w:val="20"/>
                <w:szCs w:val="20"/>
              </w:rPr>
              <w:t>6</w:t>
            </w:r>
          </w:p>
        </w:tc>
        <w:tc>
          <w:tcPr>
            <w:tcW w:w="2394" w:type="dxa"/>
          </w:tcPr>
          <w:p w14:paraId="31DB39A1" w14:textId="77777777" w:rsidR="00E75A5E" w:rsidRPr="006F02F9" w:rsidRDefault="00ED3F60" w:rsidP="008935C6">
            <w:pPr>
              <w:rPr>
                <w:rFonts w:ascii="Times New Roman" w:hAnsi="Times New Roman" w:cs="Times New Roman"/>
                <w:sz w:val="20"/>
                <w:szCs w:val="20"/>
              </w:rPr>
            </w:pPr>
            <w:proofErr w:type="gramStart"/>
            <w:r w:rsidRPr="006F02F9">
              <w:rPr>
                <w:rFonts w:ascii="Times New Roman" w:hAnsi="Times New Roman" w:cs="Times New Roman"/>
                <w:sz w:val="20"/>
                <w:szCs w:val="20"/>
              </w:rPr>
              <w:t>21.7  ±</w:t>
            </w:r>
            <w:proofErr w:type="gramEnd"/>
            <w:r w:rsidRPr="006F02F9">
              <w:rPr>
                <w:rFonts w:ascii="Times New Roman" w:hAnsi="Times New Roman" w:cs="Times New Roman"/>
                <w:sz w:val="20"/>
                <w:szCs w:val="20"/>
              </w:rPr>
              <w:t>2.0</w:t>
            </w:r>
            <w:r w:rsidR="00E75A5E" w:rsidRPr="006F02F9">
              <w:rPr>
                <w:rFonts w:ascii="Times New Roman" w:hAnsi="Times New Roman" w:cs="Times New Roman"/>
                <w:sz w:val="20"/>
                <w:szCs w:val="20"/>
              </w:rPr>
              <w:t>9</w:t>
            </w:r>
          </w:p>
        </w:tc>
      </w:tr>
      <w:tr w:rsidR="00E75A5E" w:rsidRPr="006F02F9" w14:paraId="3A9A568F" w14:textId="77777777" w:rsidTr="008935C6">
        <w:tc>
          <w:tcPr>
            <w:tcW w:w="2394" w:type="dxa"/>
          </w:tcPr>
          <w:p w14:paraId="76834198"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LEVE+ PIM</w:t>
            </w:r>
          </w:p>
        </w:tc>
        <w:tc>
          <w:tcPr>
            <w:tcW w:w="2394" w:type="dxa"/>
          </w:tcPr>
          <w:p w14:paraId="2478604D"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12+ 125</w:t>
            </w:r>
          </w:p>
        </w:tc>
        <w:tc>
          <w:tcPr>
            <w:tcW w:w="2394" w:type="dxa"/>
          </w:tcPr>
          <w:p w14:paraId="39133C05" w14:textId="7777777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80.1 + 3</w:t>
            </w:r>
            <w:r w:rsidR="00E75A5E" w:rsidRPr="006F02F9">
              <w:rPr>
                <w:rFonts w:ascii="Times New Roman" w:hAnsi="Times New Roman" w:cs="Times New Roman"/>
                <w:sz w:val="20"/>
                <w:szCs w:val="20"/>
              </w:rPr>
              <w:t>.09</w:t>
            </w:r>
          </w:p>
        </w:tc>
        <w:tc>
          <w:tcPr>
            <w:tcW w:w="2394" w:type="dxa"/>
          </w:tcPr>
          <w:p w14:paraId="31F261AF" w14:textId="7777777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17.9 ± 1.1</w:t>
            </w:r>
            <w:r w:rsidR="00E75A5E" w:rsidRPr="006F02F9">
              <w:rPr>
                <w:rFonts w:ascii="Times New Roman" w:hAnsi="Times New Roman" w:cs="Times New Roman"/>
                <w:sz w:val="20"/>
                <w:szCs w:val="20"/>
              </w:rPr>
              <w:t>6</w:t>
            </w:r>
          </w:p>
        </w:tc>
      </w:tr>
      <w:tr w:rsidR="00E75A5E" w:rsidRPr="006F02F9" w14:paraId="3413AD77" w14:textId="77777777" w:rsidTr="008935C6">
        <w:tc>
          <w:tcPr>
            <w:tcW w:w="2394" w:type="dxa"/>
          </w:tcPr>
          <w:p w14:paraId="4DF77993"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LEVE + </w:t>
            </w:r>
            <w:proofErr w:type="spellStart"/>
            <w:r w:rsidRPr="006F02F9">
              <w:rPr>
                <w:rFonts w:ascii="Times New Roman" w:hAnsi="Times New Roman" w:cs="Times New Roman"/>
                <w:sz w:val="20"/>
                <w:szCs w:val="20"/>
              </w:rPr>
              <w:t>Rutin</w:t>
            </w:r>
            <w:proofErr w:type="spellEnd"/>
          </w:p>
        </w:tc>
        <w:tc>
          <w:tcPr>
            <w:tcW w:w="2394" w:type="dxa"/>
          </w:tcPr>
          <w:p w14:paraId="29FFDD23"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12+125</w:t>
            </w:r>
          </w:p>
        </w:tc>
        <w:tc>
          <w:tcPr>
            <w:tcW w:w="2394" w:type="dxa"/>
          </w:tcPr>
          <w:p w14:paraId="57D34E4C" w14:textId="7777777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82.9 ± 3.0</w:t>
            </w:r>
            <w:r w:rsidR="00E75A5E" w:rsidRPr="006F02F9">
              <w:rPr>
                <w:rFonts w:ascii="Times New Roman" w:hAnsi="Times New Roman" w:cs="Times New Roman"/>
                <w:sz w:val="20"/>
                <w:szCs w:val="20"/>
              </w:rPr>
              <w:t>6</w:t>
            </w:r>
          </w:p>
        </w:tc>
        <w:tc>
          <w:tcPr>
            <w:tcW w:w="2394" w:type="dxa"/>
          </w:tcPr>
          <w:p w14:paraId="606F977E" w14:textId="7777777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19.9 ± 1.</w:t>
            </w:r>
            <w:r w:rsidR="00E75A5E" w:rsidRPr="006F02F9">
              <w:rPr>
                <w:rFonts w:ascii="Times New Roman" w:hAnsi="Times New Roman" w:cs="Times New Roman"/>
                <w:sz w:val="20"/>
                <w:szCs w:val="20"/>
              </w:rPr>
              <w:t>9</w:t>
            </w:r>
            <w:r w:rsidRPr="006F02F9">
              <w:rPr>
                <w:rFonts w:ascii="Times New Roman" w:hAnsi="Times New Roman" w:cs="Times New Roman"/>
                <w:sz w:val="20"/>
                <w:szCs w:val="20"/>
              </w:rPr>
              <w:t>7</w:t>
            </w:r>
          </w:p>
        </w:tc>
      </w:tr>
    </w:tbl>
    <w:p w14:paraId="71F28F43"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Values are </w:t>
      </w:r>
      <w:proofErr w:type="spellStart"/>
      <w:r w:rsidRPr="006F02F9">
        <w:rPr>
          <w:rFonts w:ascii="Times New Roman" w:hAnsi="Times New Roman" w:cs="Times New Roman"/>
          <w:sz w:val="20"/>
          <w:szCs w:val="20"/>
        </w:rPr>
        <w:t>mean+SEM</w:t>
      </w:r>
      <w:proofErr w:type="spellEnd"/>
      <w:r w:rsidRPr="006F02F9">
        <w:rPr>
          <w:rFonts w:ascii="Times New Roman" w:hAnsi="Times New Roman" w:cs="Times New Roman"/>
          <w:sz w:val="20"/>
          <w:szCs w:val="20"/>
        </w:rPr>
        <w:t xml:space="preserve">, Values within parentheses are number of </w:t>
      </w:r>
      <w:r w:rsidR="00CD098C" w:rsidRPr="006F02F9">
        <w:rPr>
          <w:rFonts w:ascii="Times New Roman" w:hAnsi="Times New Roman" w:cs="Times New Roman"/>
          <w:sz w:val="20"/>
          <w:szCs w:val="20"/>
        </w:rPr>
        <w:t xml:space="preserve">animals, </w:t>
      </w:r>
      <w:proofErr w:type="spellStart"/>
      <w:r w:rsidR="00CD098C"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-whole brain </w:t>
      </w:r>
      <w:proofErr w:type="spellStart"/>
      <w:r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 activity. *P&lt;0.05 Vs control (multiple range test)</w:t>
      </w:r>
    </w:p>
    <w:p w14:paraId="016EDFCD" w14:textId="77777777" w:rsidR="00B71E1E" w:rsidRPr="006F02F9" w:rsidRDefault="00B71E1E" w:rsidP="00B71E1E">
      <w:pPr>
        <w:rPr>
          <w:rFonts w:ascii="Times New Roman" w:hAnsi="Times New Roman" w:cs="Times New Roman"/>
          <w:sz w:val="20"/>
          <w:szCs w:val="20"/>
        </w:rPr>
      </w:pPr>
    </w:p>
    <w:p w14:paraId="158C62AA" w14:textId="77777777" w:rsidR="00B71E1E" w:rsidRPr="006F02F9" w:rsidRDefault="00B71E1E" w:rsidP="00B71E1E">
      <w:pPr>
        <w:rPr>
          <w:rFonts w:ascii="Times New Roman" w:hAnsi="Times New Roman" w:cs="Times New Roman"/>
          <w:sz w:val="20"/>
          <w:szCs w:val="20"/>
        </w:rPr>
      </w:pPr>
    </w:p>
    <w:p w14:paraId="45B1C729" w14:textId="77777777" w:rsidR="00B71E1E" w:rsidRPr="006F02F9" w:rsidRDefault="00B71E1E" w:rsidP="00B71E1E">
      <w:pPr>
        <w:rPr>
          <w:rFonts w:ascii="Times New Roman" w:hAnsi="Times New Roman" w:cs="Times New Roman"/>
          <w:sz w:val="20"/>
          <w:szCs w:val="20"/>
        </w:rPr>
      </w:pPr>
    </w:p>
    <w:p w14:paraId="50324619" w14:textId="77777777" w:rsidR="00B71E1E" w:rsidRPr="006F02F9" w:rsidRDefault="00B71E1E" w:rsidP="00B71E1E">
      <w:pPr>
        <w:rPr>
          <w:rFonts w:ascii="Times New Roman" w:hAnsi="Times New Roman" w:cs="Times New Roman"/>
          <w:sz w:val="20"/>
          <w:szCs w:val="20"/>
        </w:rPr>
      </w:pPr>
    </w:p>
    <w:p w14:paraId="33B81948" w14:textId="77777777" w:rsidR="001C3CAF" w:rsidRPr="006F02F9" w:rsidRDefault="001C3CAF" w:rsidP="00B71E1E">
      <w:pPr>
        <w:rPr>
          <w:rFonts w:ascii="Times New Roman" w:hAnsi="Times New Roman" w:cs="Times New Roman"/>
          <w:sz w:val="20"/>
          <w:szCs w:val="20"/>
        </w:rPr>
      </w:pPr>
    </w:p>
    <w:p w14:paraId="38AE9DB9" w14:textId="31B1E869" w:rsidR="00B71E1E" w:rsidRPr="006F02F9" w:rsidRDefault="00641911" w:rsidP="00B71E1E">
      <w:pPr>
        <w:rPr>
          <w:rFonts w:ascii="Times New Roman" w:hAnsi="Times New Roman" w:cs="Times New Roman"/>
          <w:sz w:val="20"/>
          <w:szCs w:val="20"/>
        </w:rPr>
      </w:pPr>
      <w:r w:rsidRPr="00641911">
        <w:rPr>
          <w:rFonts w:ascii="Times New Roman" w:hAnsi="Times New Roman" w:cs="Times New Roman"/>
          <w:sz w:val="20"/>
          <w:szCs w:val="20"/>
        </w:rPr>
        <w:t>table 3</w:t>
      </w:r>
      <w:r>
        <w:rPr>
          <w:rFonts w:ascii="Times New Roman" w:hAnsi="Times New Roman" w:cs="Times New Roman"/>
          <w:sz w:val="20"/>
          <w:szCs w:val="20"/>
        </w:rPr>
        <w:t xml:space="preserve">- </w:t>
      </w:r>
      <w:r w:rsidR="00EA4ADD" w:rsidRPr="006F02F9">
        <w:rPr>
          <w:rFonts w:ascii="Times New Roman" w:hAnsi="Times New Roman" w:cs="Times New Roman"/>
          <w:sz w:val="20"/>
          <w:szCs w:val="20"/>
        </w:rPr>
        <w:t xml:space="preserve">Effect of acute </w:t>
      </w:r>
      <w:proofErr w:type="spellStart"/>
      <w:r w:rsidR="00CD098C" w:rsidRPr="006F02F9">
        <w:rPr>
          <w:rFonts w:ascii="Times New Roman" w:hAnsi="Times New Roman" w:cs="Times New Roman"/>
          <w:sz w:val="20"/>
          <w:szCs w:val="20"/>
        </w:rPr>
        <w:t>Levitracetam</w:t>
      </w:r>
      <w:proofErr w:type="spellEnd"/>
      <w:r w:rsidR="00EA4ADD" w:rsidRPr="006F02F9">
        <w:rPr>
          <w:rFonts w:ascii="Times New Roman" w:hAnsi="Times New Roman" w:cs="Times New Roman"/>
          <w:sz w:val="20"/>
          <w:szCs w:val="20"/>
        </w:rPr>
        <w:t xml:space="preserve"> </w:t>
      </w:r>
      <w:r w:rsidR="0009386B"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 acute piracetam (PIM) and its combination on </w:t>
      </w:r>
      <w:proofErr w:type="spellStart"/>
      <w:r w:rsidR="00B71E1E" w:rsidRPr="006F02F9">
        <w:rPr>
          <w:rFonts w:ascii="Times New Roman" w:hAnsi="Times New Roman" w:cs="Times New Roman"/>
          <w:sz w:val="20"/>
          <w:szCs w:val="20"/>
        </w:rPr>
        <w:t>AChE</w:t>
      </w:r>
      <w:proofErr w:type="spellEnd"/>
      <w:r w:rsidR="00B71E1E" w:rsidRPr="006F02F9">
        <w:rPr>
          <w:rFonts w:ascii="Times New Roman" w:hAnsi="Times New Roman" w:cs="Times New Roman"/>
          <w:sz w:val="20"/>
          <w:szCs w:val="20"/>
        </w:rPr>
        <w:t xml:space="preserve"> activity in mice </w:t>
      </w:r>
    </w:p>
    <w:tbl>
      <w:tblPr>
        <w:tblW w:w="10499"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0"/>
        <w:gridCol w:w="4203"/>
        <w:gridCol w:w="2746"/>
      </w:tblGrid>
      <w:tr w:rsidR="00B71E1E" w:rsidRPr="006F02F9" w14:paraId="31E35B23" w14:textId="77777777" w:rsidTr="008935C6">
        <w:trPr>
          <w:trHeight w:val="1071"/>
        </w:trPr>
        <w:tc>
          <w:tcPr>
            <w:tcW w:w="3550" w:type="dxa"/>
          </w:tcPr>
          <w:p w14:paraId="1DE58F6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Treatment</w:t>
            </w:r>
          </w:p>
        </w:tc>
        <w:tc>
          <w:tcPr>
            <w:tcW w:w="4203" w:type="dxa"/>
          </w:tcPr>
          <w:p w14:paraId="0ABA7FE4"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Dose </w:t>
            </w:r>
          </w:p>
          <w:p w14:paraId="2FC906C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(mg/kg, p.o.)</w:t>
            </w:r>
          </w:p>
        </w:tc>
        <w:tc>
          <w:tcPr>
            <w:tcW w:w="2746" w:type="dxa"/>
          </w:tcPr>
          <w:p w14:paraId="4E15B591" w14:textId="77777777" w:rsidR="00B71E1E" w:rsidRPr="006F02F9" w:rsidRDefault="00B71E1E"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AChE</w:t>
            </w:r>
            <w:proofErr w:type="spellEnd"/>
          </w:p>
        </w:tc>
      </w:tr>
      <w:tr w:rsidR="00B71E1E" w:rsidRPr="006F02F9" w14:paraId="60E5ECD7" w14:textId="77777777" w:rsidTr="008935C6">
        <w:trPr>
          <w:trHeight w:val="4538"/>
        </w:trPr>
        <w:tc>
          <w:tcPr>
            <w:tcW w:w="3550" w:type="dxa"/>
          </w:tcPr>
          <w:p w14:paraId="7A2C10E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Control</w:t>
            </w:r>
          </w:p>
          <w:p w14:paraId="07922B5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(distilled water)</w:t>
            </w:r>
          </w:p>
          <w:p w14:paraId="0D948664"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 xml:space="preserve"> LEVE</w:t>
            </w:r>
          </w:p>
          <w:p w14:paraId="15F45424"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 </w:t>
            </w:r>
          </w:p>
          <w:p w14:paraId="594CAA3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PIM </w:t>
            </w:r>
          </w:p>
          <w:p w14:paraId="6D29EDB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PIM </w:t>
            </w:r>
          </w:p>
          <w:p w14:paraId="7C919677"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+PIM </w:t>
            </w:r>
          </w:p>
          <w:p w14:paraId="78463F59"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 + </w:t>
            </w:r>
            <w:proofErr w:type="spellStart"/>
            <w:r w:rsidR="00B71E1E" w:rsidRPr="006F02F9">
              <w:rPr>
                <w:rFonts w:ascii="Times New Roman" w:hAnsi="Times New Roman" w:cs="Times New Roman"/>
                <w:sz w:val="20"/>
                <w:szCs w:val="20"/>
              </w:rPr>
              <w:t>Rutin</w:t>
            </w:r>
            <w:proofErr w:type="spellEnd"/>
            <w:r w:rsidR="00B71E1E" w:rsidRPr="006F02F9">
              <w:rPr>
                <w:rFonts w:ascii="Times New Roman" w:hAnsi="Times New Roman" w:cs="Times New Roman"/>
                <w:sz w:val="20"/>
                <w:szCs w:val="20"/>
              </w:rPr>
              <w:t xml:space="preserve"> </w:t>
            </w:r>
          </w:p>
          <w:p w14:paraId="39F93DBB" w14:textId="77777777" w:rsidR="00EA4ADD" w:rsidRPr="006F02F9" w:rsidRDefault="00EA4ADD" w:rsidP="008935C6">
            <w:pPr>
              <w:rPr>
                <w:rFonts w:ascii="Times New Roman" w:hAnsi="Times New Roman" w:cs="Times New Roman"/>
                <w:sz w:val="20"/>
                <w:szCs w:val="20"/>
              </w:rPr>
            </w:pPr>
            <w:r w:rsidRPr="006F02F9">
              <w:rPr>
                <w:rFonts w:ascii="Times New Roman" w:hAnsi="Times New Roman" w:cs="Times New Roman"/>
                <w:sz w:val="20"/>
                <w:szCs w:val="20"/>
              </w:rPr>
              <w:t>LEVE + Gal</w:t>
            </w:r>
          </w:p>
        </w:tc>
        <w:tc>
          <w:tcPr>
            <w:tcW w:w="4203" w:type="dxa"/>
          </w:tcPr>
          <w:p w14:paraId="29C20747" w14:textId="77777777" w:rsidR="00B71E1E" w:rsidRPr="006F02F9" w:rsidRDefault="00B71E1E" w:rsidP="008935C6">
            <w:pPr>
              <w:rPr>
                <w:rFonts w:ascii="Times New Roman" w:hAnsi="Times New Roman" w:cs="Times New Roman"/>
                <w:sz w:val="20"/>
                <w:szCs w:val="20"/>
              </w:rPr>
            </w:pPr>
          </w:p>
          <w:p w14:paraId="139DE83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10 ml/kg </w:t>
            </w:r>
          </w:p>
          <w:p w14:paraId="2BE1588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8 </w:t>
            </w:r>
          </w:p>
          <w:p w14:paraId="7F0DD36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w:t>
            </w:r>
          </w:p>
          <w:p w14:paraId="50744EF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125 </w:t>
            </w:r>
          </w:p>
          <w:p w14:paraId="1906424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250  </w:t>
            </w:r>
          </w:p>
          <w:p w14:paraId="2028A05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12+250 </w:t>
            </w:r>
          </w:p>
          <w:p w14:paraId="519CE71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12+250</w:t>
            </w:r>
          </w:p>
          <w:p w14:paraId="0B59B533" w14:textId="77777777" w:rsidR="00EA4ADD" w:rsidRPr="006F02F9" w:rsidRDefault="00EA4ADD" w:rsidP="008935C6">
            <w:pPr>
              <w:rPr>
                <w:rFonts w:ascii="Times New Roman" w:hAnsi="Times New Roman" w:cs="Times New Roman"/>
                <w:sz w:val="20"/>
                <w:szCs w:val="20"/>
              </w:rPr>
            </w:pPr>
            <w:r w:rsidRPr="006F02F9">
              <w:rPr>
                <w:rFonts w:ascii="Times New Roman" w:hAnsi="Times New Roman" w:cs="Times New Roman"/>
                <w:sz w:val="20"/>
                <w:szCs w:val="20"/>
              </w:rPr>
              <w:t>12+250</w:t>
            </w:r>
          </w:p>
        </w:tc>
        <w:tc>
          <w:tcPr>
            <w:tcW w:w="2746" w:type="dxa"/>
          </w:tcPr>
          <w:p w14:paraId="0B890B38" w14:textId="77777777" w:rsidR="00B71E1E" w:rsidRPr="006F02F9" w:rsidRDefault="00B71E1E" w:rsidP="008935C6">
            <w:pPr>
              <w:rPr>
                <w:rFonts w:ascii="Times New Roman" w:hAnsi="Times New Roman" w:cs="Times New Roman"/>
                <w:sz w:val="20"/>
                <w:szCs w:val="20"/>
              </w:rPr>
            </w:pPr>
          </w:p>
          <w:p w14:paraId="238024D5"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107.1</w:t>
            </w:r>
            <w:r w:rsidR="00B71E1E" w:rsidRPr="006F02F9">
              <w:rPr>
                <w:rFonts w:ascii="Times New Roman" w:hAnsi="Times New Roman" w:cs="Times New Roman"/>
                <w:sz w:val="20"/>
                <w:szCs w:val="20"/>
              </w:rPr>
              <w:t xml:space="preserve"> + 6.19 </w:t>
            </w:r>
          </w:p>
          <w:p w14:paraId="0611CFC8"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109.0 + 7.1</w:t>
            </w:r>
            <w:r w:rsidR="00B71E1E" w:rsidRPr="006F02F9">
              <w:rPr>
                <w:rFonts w:ascii="Times New Roman" w:hAnsi="Times New Roman" w:cs="Times New Roman"/>
                <w:sz w:val="20"/>
                <w:szCs w:val="20"/>
              </w:rPr>
              <w:t xml:space="preserve">6 </w:t>
            </w:r>
          </w:p>
          <w:p w14:paraId="745CDB4F"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187.6 + 11.0</w:t>
            </w:r>
            <w:r w:rsidR="00B71E1E" w:rsidRPr="006F02F9">
              <w:rPr>
                <w:rFonts w:ascii="Times New Roman" w:hAnsi="Times New Roman" w:cs="Times New Roman"/>
                <w:sz w:val="20"/>
                <w:szCs w:val="20"/>
              </w:rPr>
              <w:t xml:space="preserve">6* </w:t>
            </w:r>
          </w:p>
          <w:p w14:paraId="2956539F"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111.4</w:t>
            </w:r>
            <w:r w:rsidR="00B71E1E" w:rsidRPr="006F02F9">
              <w:rPr>
                <w:rFonts w:ascii="Times New Roman" w:hAnsi="Times New Roman" w:cs="Times New Roman"/>
                <w:sz w:val="20"/>
                <w:szCs w:val="20"/>
              </w:rPr>
              <w:t xml:space="preserve"> + 9.04 </w:t>
            </w:r>
          </w:p>
          <w:p w14:paraId="6FD2C038"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96.3</w:t>
            </w:r>
            <w:r w:rsidR="00B71E1E" w:rsidRPr="006F02F9">
              <w:rPr>
                <w:rFonts w:ascii="Times New Roman" w:hAnsi="Times New Roman" w:cs="Times New Roman"/>
                <w:sz w:val="20"/>
                <w:szCs w:val="20"/>
              </w:rPr>
              <w:t xml:space="preserve"> + 7.41* </w:t>
            </w:r>
          </w:p>
          <w:p w14:paraId="03250CCC"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121.1 + 5.0</w:t>
            </w:r>
            <w:r w:rsidR="00B71E1E" w:rsidRPr="006F02F9">
              <w:rPr>
                <w:rFonts w:ascii="Times New Roman" w:hAnsi="Times New Roman" w:cs="Times New Roman"/>
                <w:sz w:val="20"/>
                <w:szCs w:val="20"/>
              </w:rPr>
              <w:t xml:space="preserve">3 </w:t>
            </w:r>
          </w:p>
          <w:p w14:paraId="3F68A9AD" w14:textId="77777777"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122.8+ 4.86</w:t>
            </w:r>
          </w:p>
          <w:p w14:paraId="2D423B33" w14:textId="77777777" w:rsidR="00EA4ADD" w:rsidRPr="006F02F9" w:rsidRDefault="00EA4ADD" w:rsidP="008935C6">
            <w:pPr>
              <w:rPr>
                <w:rFonts w:ascii="Times New Roman" w:hAnsi="Times New Roman" w:cs="Times New Roman"/>
                <w:sz w:val="20"/>
                <w:szCs w:val="20"/>
              </w:rPr>
            </w:pPr>
            <w:r w:rsidRPr="006F02F9">
              <w:rPr>
                <w:rFonts w:ascii="Times New Roman" w:hAnsi="Times New Roman" w:cs="Times New Roman"/>
                <w:sz w:val="20"/>
                <w:szCs w:val="20"/>
              </w:rPr>
              <w:t>120.6+4.70</w:t>
            </w:r>
          </w:p>
        </w:tc>
      </w:tr>
    </w:tbl>
    <w:p w14:paraId="6FBBE1B9"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H                               </w:t>
      </w:r>
      <w:r w:rsidR="003E5935" w:rsidRPr="006F02F9">
        <w:rPr>
          <w:rFonts w:ascii="Times New Roman" w:hAnsi="Times New Roman" w:cs="Times New Roman"/>
          <w:sz w:val="20"/>
          <w:szCs w:val="20"/>
        </w:rPr>
        <w:t xml:space="preserve"> 17.1</w:t>
      </w:r>
      <w:r w:rsidRPr="006F02F9">
        <w:rPr>
          <w:rFonts w:ascii="Times New Roman" w:hAnsi="Times New Roman" w:cs="Times New Roman"/>
          <w:sz w:val="20"/>
          <w:szCs w:val="20"/>
        </w:rPr>
        <w:t>7</w:t>
      </w:r>
    </w:p>
    <w:p w14:paraId="15CF6C72"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Df                               5</w:t>
      </w:r>
    </w:p>
    <w:p w14:paraId="51801D2A"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P                            &lt;0.01</w:t>
      </w:r>
    </w:p>
    <w:tbl>
      <w:tblPr>
        <w:tblW w:w="11135" w:type="dxa"/>
        <w:tblInd w:w="-696" w:type="dxa"/>
        <w:tblBorders>
          <w:top w:val="single" w:sz="4" w:space="0" w:color="auto"/>
        </w:tblBorders>
        <w:tblLook w:val="0000" w:firstRow="0" w:lastRow="0" w:firstColumn="0" w:lastColumn="0" w:noHBand="0" w:noVBand="0"/>
      </w:tblPr>
      <w:tblGrid>
        <w:gridCol w:w="11135"/>
      </w:tblGrid>
      <w:tr w:rsidR="00B71E1E" w:rsidRPr="006F02F9" w14:paraId="022EBC78" w14:textId="77777777" w:rsidTr="008935C6">
        <w:trPr>
          <w:trHeight w:val="831"/>
        </w:trPr>
        <w:tc>
          <w:tcPr>
            <w:tcW w:w="11135" w:type="dxa"/>
            <w:tcBorders>
              <w:bottom w:val="single" w:sz="4" w:space="0" w:color="auto"/>
            </w:tcBorders>
          </w:tcPr>
          <w:p w14:paraId="3AEBC69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Values are </w:t>
            </w:r>
            <w:proofErr w:type="spellStart"/>
            <w:r w:rsidRPr="006F02F9">
              <w:rPr>
                <w:rFonts w:ascii="Times New Roman" w:hAnsi="Times New Roman" w:cs="Times New Roman"/>
                <w:sz w:val="20"/>
                <w:szCs w:val="20"/>
              </w:rPr>
              <w:t>mean+SEM</w:t>
            </w:r>
            <w:proofErr w:type="spellEnd"/>
            <w:r w:rsidRPr="006F02F9">
              <w:rPr>
                <w:rFonts w:ascii="Times New Roman" w:hAnsi="Times New Roman" w:cs="Times New Roman"/>
                <w:sz w:val="20"/>
                <w:szCs w:val="20"/>
              </w:rPr>
              <w:t xml:space="preserve">, Values within parentheses are number of animals, </w:t>
            </w:r>
            <w:proofErr w:type="spellStart"/>
            <w:r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-whole brain </w:t>
            </w:r>
            <w:proofErr w:type="spellStart"/>
            <w:r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 activity. *P&lt;0.05 Vs control (multiple range test)</w:t>
            </w:r>
          </w:p>
        </w:tc>
      </w:tr>
    </w:tbl>
    <w:p w14:paraId="5600F5C0" w14:textId="77777777" w:rsidR="00B71E1E" w:rsidRPr="006F02F9" w:rsidRDefault="00B71E1E" w:rsidP="00B71E1E">
      <w:pPr>
        <w:rPr>
          <w:rFonts w:ascii="Times New Roman" w:hAnsi="Times New Roman" w:cs="Times New Roman"/>
          <w:sz w:val="20"/>
          <w:szCs w:val="20"/>
        </w:rPr>
      </w:pPr>
    </w:p>
    <w:p w14:paraId="7DE09C64" w14:textId="77777777" w:rsidR="00B71E1E" w:rsidRPr="006F02F9" w:rsidRDefault="00B71E1E" w:rsidP="00B71E1E">
      <w:pPr>
        <w:rPr>
          <w:sz w:val="20"/>
          <w:szCs w:val="20"/>
        </w:rPr>
      </w:pPr>
    </w:p>
    <w:p w14:paraId="2CDCB0C6" w14:textId="77777777" w:rsidR="00B71E1E" w:rsidRPr="006F02F9" w:rsidRDefault="00B71E1E" w:rsidP="00B71E1E">
      <w:pPr>
        <w:rPr>
          <w:sz w:val="20"/>
          <w:szCs w:val="20"/>
        </w:rPr>
      </w:pPr>
    </w:p>
    <w:p w14:paraId="29766CEE" w14:textId="77777777" w:rsidR="00B71E1E" w:rsidRPr="006F02F9" w:rsidRDefault="00B71E1E" w:rsidP="00D8655A">
      <w:pPr>
        <w:rPr>
          <w:sz w:val="20"/>
          <w:szCs w:val="20"/>
        </w:rPr>
      </w:pPr>
    </w:p>
    <w:p w14:paraId="3F3DA780" w14:textId="77777777" w:rsidR="00D8655A" w:rsidRPr="006F02F9" w:rsidRDefault="00D8655A" w:rsidP="00D8655A">
      <w:pPr>
        <w:rPr>
          <w:sz w:val="20"/>
          <w:szCs w:val="20"/>
        </w:rPr>
      </w:pPr>
    </w:p>
    <w:sectPr w:rsidR="00D8655A" w:rsidRPr="006F02F9" w:rsidSect="006225C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Agbo" w:date="2025-01-25T14:43:00Z" w:initials="JA">
    <w:p w14:paraId="50F06A78" w14:textId="3EFB6C4A" w:rsidR="00523630" w:rsidRDefault="00523630">
      <w:pPr>
        <w:pStyle w:val="CommentText"/>
      </w:pPr>
      <w:r>
        <w:rPr>
          <w:rStyle w:val="CommentReference"/>
        </w:rPr>
        <w:annotationRef/>
      </w:r>
      <w:r>
        <w:t xml:space="preserve"> There should be a space between seizures and the bracket.</w:t>
      </w:r>
    </w:p>
  </w:comment>
  <w:comment w:id="1" w:author="John Agbo" w:date="2025-01-25T20:42:00Z" w:initials="JA">
    <w:p w14:paraId="67490E32" w14:textId="7B01D966" w:rsidR="008C28DA" w:rsidRDefault="008C28DA">
      <w:pPr>
        <w:pStyle w:val="CommentText"/>
      </w:pPr>
      <w:r>
        <w:rPr>
          <w:rStyle w:val="CommentReference"/>
        </w:rPr>
        <w:annotationRef/>
      </w:r>
      <w:r>
        <w:t>There must be a space between the bracket and the word</w:t>
      </w:r>
    </w:p>
  </w:comment>
  <w:comment w:id="2" w:author="John Agbo" w:date="2025-01-25T20:44:00Z" w:initials="JA">
    <w:p w14:paraId="5ED4877E" w14:textId="0BAAF70F" w:rsidR="008C28DA" w:rsidRDefault="008C28DA">
      <w:pPr>
        <w:pStyle w:val="CommentText"/>
      </w:pPr>
      <w:r>
        <w:rPr>
          <w:rStyle w:val="CommentReference"/>
        </w:rPr>
        <w:annotationRef/>
      </w:r>
      <w:r>
        <w:t>There shouldn’t be a comma before the bracket and the word, it should come after the brackets.</w:t>
      </w:r>
    </w:p>
  </w:comment>
  <w:comment w:id="3" w:author="John Agbo" w:date="2025-01-25T20:57:00Z" w:initials="JA">
    <w:p w14:paraId="1B91F5F0" w14:textId="77777777" w:rsidR="0091467E" w:rsidRDefault="0091467E">
      <w:pPr>
        <w:pStyle w:val="CommentText"/>
      </w:pPr>
      <w:r>
        <w:rPr>
          <w:rStyle w:val="CommentReference"/>
        </w:rPr>
        <w:annotationRef/>
      </w:r>
      <w:r>
        <w:t>Delete one</w:t>
      </w:r>
    </w:p>
    <w:p w14:paraId="0CCEEFB8" w14:textId="5629C5B1" w:rsidR="0091467E" w:rsidRDefault="0091467E">
      <w:pPr>
        <w:pStyle w:val="CommentText"/>
      </w:pPr>
    </w:p>
  </w:comment>
  <w:comment w:id="4" w:author="John Agbo" w:date="2025-01-25T20:58:00Z" w:initials="JA">
    <w:p w14:paraId="7988C6B1" w14:textId="77777777" w:rsidR="0091467E" w:rsidRDefault="0091467E">
      <w:pPr>
        <w:pStyle w:val="CommentText"/>
      </w:pPr>
      <w:r>
        <w:rPr>
          <w:rStyle w:val="CommentReference"/>
        </w:rPr>
        <w:annotationRef/>
      </w:r>
      <w:r>
        <w:t>Known not know</w:t>
      </w:r>
    </w:p>
    <w:p w14:paraId="4994BB79" w14:textId="5A6F43CC" w:rsidR="0091467E" w:rsidRDefault="0091467E">
      <w:pPr>
        <w:pStyle w:val="CommentText"/>
      </w:pPr>
    </w:p>
  </w:comment>
  <w:comment w:id="5" w:author="John Agbo" w:date="2025-01-25T21:00:00Z" w:initials="JA">
    <w:p w14:paraId="284BB509" w14:textId="1A40CC20" w:rsidR="0091467E" w:rsidRDefault="0091467E">
      <w:pPr>
        <w:pStyle w:val="CommentText"/>
      </w:pPr>
      <w:r>
        <w:rPr>
          <w:rStyle w:val="CommentReference"/>
        </w:rPr>
        <w:annotationRef/>
      </w:r>
      <w:r>
        <w:t>?</w:t>
      </w:r>
    </w:p>
  </w:comment>
  <w:comment w:id="6" w:author="John Agbo" w:date="2025-01-25T21:04:00Z" w:initials="JA">
    <w:p w14:paraId="25FEB938" w14:textId="3CBC5902" w:rsidR="004C4456" w:rsidRDefault="004C4456">
      <w:pPr>
        <w:pStyle w:val="CommentText"/>
      </w:pPr>
      <w:r>
        <w:rPr>
          <w:rStyle w:val="CommentReference"/>
        </w:rPr>
        <w:annotationRef/>
      </w:r>
      <w:r>
        <w:t>Poor write-up</w:t>
      </w:r>
    </w:p>
  </w:comment>
  <w:comment w:id="7" w:author="John Agbo" w:date="2025-01-25T21:03:00Z" w:initials="JA">
    <w:p w14:paraId="68C9EFBB" w14:textId="77777777" w:rsidR="0091467E" w:rsidRDefault="0091467E">
      <w:pPr>
        <w:pStyle w:val="CommentText"/>
      </w:pPr>
      <w:r>
        <w:rPr>
          <w:rStyle w:val="CommentReference"/>
        </w:rPr>
        <w:annotationRef/>
      </w:r>
      <w:r w:rsidR="004C4456">
        <w:t>There should be a space between the two words</w:t>
      </w:r>
    </w:p>
    <w:p w14:paraId="42E39542" w14:textId="14324D3E" w:rsidR="004C4456" w:rsidRDefault="004C4456">
      <w:pPr>
        <w:pStyle w:val="CommentText"/>
      </w:pPr>
    </w:p>
  </w:comment>
  <w:comment w:id="8" w:author="John Agbo" w:date="2025-01-25T21:05:00Z" w:initials="JA">
    <w:p w14:paraId="50100DCE" w14:textId="77777777" w:rsidR="004C4456" w:rsidRDefault="004C4456">
      <w:pPr>
        <w:pStyle w:val="CommentText"/>
      </w:pPr>
      <w:r>
        <w:rPr>
          <w:rStyle w:val="CommentReference"/>
        </w:rPr>
        <w:annotationRef/>
      </w:r>
      <w:r>
        <w:t>There should be a comma between the two words</w:t>
      </w:r>
    </w:p>
    <w:p w14:paraId="20AF7580" w14:textId="70D5AB0D" w:rsidR="004C4456" w:rsidRDefault="004C4456">
      <w:pPr>
        <w:pStyle w:val="CommentText"/>
      </w:pPr>
    </w:p>
  </w:comment>
  <w:comment w:id="9" w:author="John Agbo" w:date="2025-01-25T21:07:00Z" w:initials="JA">
    <w:p w14:paraId="21708214" w14:textId="2E94D504" w:rsidR="004C4456" w:rsidRDefault="004C4456">
      <w:pPr>
        <w:pStyle w:val="CommentText"/>
      </w:pPr>
      <w:r>
        <w:rPr>
          <w:rStyle w:val="CommentReference"/>
        </w:rPr>
        <w:annotationRef/>
      </w:r>
      <w:proofErr w:type="spellStart"/>
      <w:r>
        <w:t>Rutin</w:t>
      </w:r>
      <w:proofErr w:type="spellEnd"/>
      <w:r>
        <w:t xml:space="preserve"> is singular and cannot go with flavonoids that are written in plural with “s”</w:t>
      </w:r>
    </w:p>
  </w:comment>
  <w:comment w:id="10" w:author="John Agbo" w:date="2025-01-26T09:08:00Z" w:initials="JA">
    <w:p w14:paraId="33998EC5" w14:textId="77777777" w:rsidR="00984018" w:rsidRDefault="00984018">
      <w:pPr>
        <w:pStyle w:val="CommentText"/>
      </w:pPr>
      <w:r>
        <w:rPr>
          <w:rStyle w:val="CommentReference"/>
        </w:rPr>
        <w:annotationRef/>
      </w:r>
      <w:r>
        <w:t>Space after the full stop</w:t>
      </w:r>
    </w:p>
    <w:p w14:paraId="728C8F5E" w14:textId="5878F69B" w:rsidR="00984018" w:rsidRDefault="00984018">
      <w:pPr>
        <w:pStyle w:val="CommentText"/>
      </w:pPr>
    </w:p>
  </w:comment>
  <w:comment w:id="11" w:author="John Agbo" w:date="2025-01-25T21:16:00Z" w:initials="JA">
    <w:p w14:paraId="2E7AB5A4" w14:textId="6980EA03" w:rsidR="00BE40B9" w:rsidRDefault="00BE40B9">
      <w:pPr>
        <w:pStyle w:val="CommentText"/>
      </w:pPr>
      <w:r>
        <w:rPr>
          <w:rStyle w:val="CommentReference"/>
        </w:rPr>
        <w:annotationRef/>
      </w:r>
      <w:r w:rsidRPr="00BF3FA7">
        <w:rPr>
          <w:rFonts w:ascii="Times New Roman" w:hAnsi="Times New Roman" w:cs="Times New Roman"/>
          <w:sz w:val="24"/>
          <w:szCs w:val="24"/>
          <w:lang w:val="en-IN"/>
        </w:rPr>
        <w:t xml:space="preserve">chronic studies </w:t>
      </w:r>
      <w:r>
        <w:rPr>
          <w:rStyle w:val="CommentReference"/>
        </w:rPr>
        <w:annotationRef/>
      </w:r>
      <w:r>
        <w:rPr>
          <w:rFonts w:ascii="Times New Roman" w:hAnsi="Times New Roman" w:cs="Times New Roman"/>
          <w:sz w:val="24"/>
          <w:szCs w:val="24"/>
          <w:lang w:val="en-IN"/>
        </w:rPr>
        <w:t>?</w:t>
      </w:r>
    </w:p>
  </w:comment>
  <w:comment w:id="12" w:author="John Agbo" w:date="2025-01-26T09:34:00Z" w:initials="JA">
    <w:p w14:paraId="1F33BDE1" w14:textId="1F0811F8" w:rsidR="00FA2746" w:rsidRDefault="00FA2746">
      <w:pPr>
        <w:pStyle w:val="CommentText"/>
      </w:pPr>
      <w:r>
        <w:rPr>
          <w:rStyle w:val="CommentReference"/>
        </w:rPr>
        <w:annotationRef/>
      </w:r>
    </w:p>
  </w:comment>
  <w:comment w:id="13" w:author="John Agbo" w:date="2025-01-25T21:17:00Z" w:initials="JA">
    <w:p w14:paraId="119E75D2" w14:textId="08DA8A66" w:rsidR="00BE40B9" w:rsidRDefault="00BE40B9">
      <w:pPr>
        <w:pStyle w:val="CommentText"/>
      </w:pPr>
      <w:r>
        <w:rPr>
          <w:rStyle w:val="CommentReference"/>
        </w:rPr>
        <w:annotationRef/>
      </w:r>
      <w:r w:rsidRPr="00BF3FA7">
        <w:rPr>
          <w:rFonts w:ascii="Times New Roman" w:hAnsi="Times New Roman" w:cs="Times New Roman"/>
          <w:sz w:val="24"/>
          <w:szCs w:val="24"/>
          <w:lang w:val="en-IN"/>
        </w:rPr>
        <w:t>In long-term research</w:t>
      </w:r>
      <w:r>
        <w:rPr>
          <w:rStyle w:val="CommentReference"/>
        </w:rPr>
        <w:annotationRef/>
      </w:r>
      <w:r>
        <w:rPr>
          <w:rFonts w:ascii="Times New Roman" w:hAnsi="Times New Roman" w:cs="Times New Roman"/>
          <w:sz w:val="24"/>
          <w:szCs w:val="24"/>
          <w:lang w:val="en-IN"/>
        </w:rPr>
        <w:t xml:space="preserve">, what is the meaning of this </w:t>
      </w:r>
      <w:proofErr w:type="spellStart"/>
      <w:r>
        <w:rPr>
          <w:rFonts w:ascii="Times New Roman" w:hAnsi="Times New Roman" w:cs="Times New Roman"/>
          <w:sz w:val="24"/>
          <w:szCs w:val="24"/>
          <w:lang w:val="en-IN"/>
        </w:rPr>
        <w:t>ststement</w:t>
      </w:r>
      <w:proofErr w:type="spellEnd"/>
      <w:r>
        <w:rPr>
          <w:rFonts w:ascii="Times New Roman" w:hAnsi="Times New Roman" w:cs="Times New Roman"/>
          <w:sz w:val="24"/>
          <w:szCs w:val="24"/>
          <w:lang w:val="en-IN"/>
        </w:rPr>
        <w:t>?</w:t>
      </w:r>
    </w:p>
  </w:comment>
  <w:comment w:id="14" w:author="John Agbo" w:date="2025-01-26T09:13:00Z" w:initials="JA">
    <w:p w14:paraId="1D96C573" w14:textId="70C75058" w:rsidR="00984018" w:rsidRDefault="00984018">
      <w:pPr>
        <w:pStyle w:val="CommentText"/>
      </w:pPr>
      <w:r>
        <w:rPr>
          <w:rStyle w:val="CommentReference"/>
        </w:rPr>
        <w:annotationRef/>
      </w:r>
      <w:r>
        <w:t>You must give a sp</w:t>
      </w:r>
      <w:r w:rsidR="00CD34E9">
        <w:t xml:space="preserve">ace </w:t>
      </w:r>
      <w:r>
        <w:t xml:space="preserve">before starting a new sentence </w:t>
      </w:r>
      <w:r w:rsidR="00CD34E9">
        <w:t>after a full stop.</w:t>
      </w:r>
    </w:p>
  </w:comment>
  <w:comment w:id="15" w:author="John Agbo" w:date="2025-01-26T09:18:00Z" w:initials="JA">
    <w:p w14:paraId="05D4FC32" w14:textId="593DC871" w:rsidR="00CD34E9" w:rsidRDefault="00CD34E9">
      <w:pPr>
        <w:pStyle w:val="CommentText"/>
      </w:pPr>
      <w:r>
        <w:rPr>
          <w:rStyle w:val="CommentReference"/>
        </w:rPr>
        <w:annotationRef/>
      </w:r>
      <w:r>
        <w:t xml:space="preserve">The acronym of </w:t>
      </w:r>
      <w:proofErr w:type="spellStart"/>
      <w:r>
        <w:t>AChE</w:t>
      </w:r>
      <w:proofErr w:type="spellEnd"/>
      <w:r>
        <w:t xml:space="preserve"> is never written this way anywhere in research literature</w:t>
      </w:r>
    </w:p>
  </w:comment>
  <w:comment w:id="16" w:author="John Agbo" w:date="2025-01-26T09:36:00Z" w:initials="JA">
    <w:p w14:paraId="38FC18F1" w14:textId="77777777" w:rsidR="00FA2746" w:rsidRDefault="00FA2746">
      <w:pPr>
        <w:pStyle w:val="CommentText"/>
      </w:pPr>
      <w:r>
        <w:rPr>
          <w:rStyle w:val="CommentReference"/>
        </w:rPr>
        <w:annotationRef/>
      </w:r>
      <w:r>
        <w:t xml:space="preserve">You have to stick to just one reference style. Many reference styles are </w:t>
      </w:r>
    </w:p>
    <w:p w14:paraId="13A61789" w14:textId="4B55E341" w:rsidR="00FA2746" w:rsidRDefault="00FA2746">
      <w:pPr>
        <w:pStyle w:val="CommentText"/>
      </w:pPr>
      <w:r>
        <w:t>converged in this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F06A78" w15:done="0"/>
  <w15:commentEx w15:paraId="67490E32" w15:done="0"/>
  <w15:commentEx w15:paraId="5ED4877E" w15:done="0"/>
  <w15:commentEx w15:paraId="0CCEEFB8" w15:done="0"/>
  <w15:commentEx w15:paraId="4994BB79" w15:done="0"/>
  <w15:commentEx w15:paraId="284BB509" w15:done="0"/>
  <w15:commentEx w15:paraId="25FEB938" w15:done="0"/>
  <w15:commentEx w15:paraId="42E39542" w15:done="0"/>
  <w15:commentEx w15:paraId="20AF7580" w15:done="0"/>
  <w15:commentEx w15:paraId="21708214" w15:done="0"/>
  <w15:commentEx w15:paraId="728C8F5E" w15:done="0"/>
  <w15:commentEx w15:paraId="2E7AB5A4" w15:done="0"/>
  <w15:commentEx w15:paraId="1F33BDE1" w15:paraIdParent="2E7AB5A4" w15:done="0"/>
  <w15:commentEx w15:paraId="119E75D2" w15:done="0"/>
  <w15:commentEx w15:paraId="1D96C573" w15:done="0"/>
  <w15:commentEx w15:paraId="05D4FC32" w15:done="0"/>
  <w15:commentEx w15:paraId="13A617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F7721" w16cex:dateUtc="2025-01-25T20:43:00Z"/>
  <w16cex:commentExtensible w16cex:durableId="2B3FCB4A" w16cex:dateUtc="2025-01-26T02:42:00Z"/>
  <w16cex:commentExtensible w16cex:durableId="2B3FCBA0" w16cex:dateUtc="2025-01-26T02:44:00Z"/>
  <w16cex:commentExtensible w16cex:durableId="2B3FCEC1" w16cex:dateUtc="2025-01-26T02:57:00Z"/>
  <w16cex:commentExtensible w16cex:durableId="2B3FCEF1" w16cex:dateUtc="2025-01-26T02:58:00Z"/>
  <w16cex:commentExtensible w16cex:durableId="2B3FCF88" w16cex:dateUtc="2025-01-26T03:00:00Z"/>
  <w16cex:commentExtensible w16cex:durableId="2B3FD04A" w16cex:dateUtc="2025-01-26T03:04:00Z"/>
  <w16cex:commentExtensible w16cex:durableId="2B3FD010" w16cex:dateUtc="2025-01-26T03:03:00Z"/>
  <w16cex:commentExtensible w16cex:durableId="2B3FD0AB" w16cex:dateUtc="2025-01-26T03:05:00Z"/>
  <w16cex:commentExtensible w16cex:durableId="2B3FD104" w16cex:dateUtc="2025-01-26T03:07:00Z"/>
  <w16cex:commentExtensible w16cex:durableId="2B407A13" w16cex:dateUtc="2025-01-26T15:08:00Z"/>
  <w16cex:commentExtensible w16cex:durableId="2B3FD314" w16cex:dateUtc="2025-01-26T03:16:00Z"/>
  <w16cex:commentExtensible w16cex:durableId="2B408035" w16cex:dateUtc="2025-01-26T15:34:00Z"/>
  <w16cex:commentExtensible w16cex:durableId="2B3FD353" w16cex:dateUtc="2025-01-26T03:17:00Z"/>
  <w16cex:commentExtensible w16cex:durableId="2B407B2A" w16cex:dateUtc="2025-01-26T15:13:00Z"/>
  <w16cex:commentExtensible w16cex:durableId="2B407C76" w16cex:dateUtc="2025-01-26T15:18:00Z"/>
  <w16cex:commentExtensible w16cex:durableId="2B40809B" w16cex:dateUtc="2025-01-26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06A78" w16cid:durableId="2B3F7721"/>
  <w16cid:commentId w16cid:paraId="67490E32" w16cid:durableId="2B3FCB4A"/>
  <w16cid:commentId w16cid:paraId="5ED4877E" w16cid:durableId="2B3FCBA0"/>
  <w16cid:commentId w16cid:paraId="0CCEEFB8" w16cid:durableId="2B3FCEC1"/>
  <w16cid:commentId w16cid:paraId="4994BB79" w16cid:durableId="2B3FCEF1"/>
  <w16cid:commentId w16cid:paraId="284BB509" w16cid:durableId="2B3FCF88"/>
  <w16cid:commentId w16cid:paraId="25FEB938" w16cid:durableId="2B3FD04A"/>
  <w16cid:commentId w16cid:paraId="42E39542" w16cid:durableId="2B3FD010"/>
  <w16cid:commentId w16cid:paraId="20AF7580" w16cid:durableId="2B3FD0AB"/>
  <w16cid:commentId w16cid:paraId="21708214" w16cid:durableId="2B3FD104"/>
  <w16cid:commentId w16cid:paraId="728C8F5E" w16cid:durableId="2B407A13"/>
  <w16cid:commentId w16cid:paraId="2E7AB5A4" w16cid:durableId="2B3FD314"/>
  <w16cid:commentId w16cid:paraId="1F33BDE1" w16cid:durableId="2B408035"/>
  <w16cid:commentId w16cid:paraId="119E75D2" w16cid:durableId="2B3FD353"/>
  <w16cid:commentId w16cid:paraId="1D96C573" w16cid:durableId="2B407B2A"/>
  <w16cid:commentId w16cid:paraId="05D4FC32" w16cid:durableId="2B407C76"/>
  <w16cid:commentId w16cid:paraId="13A61789" w16cid:durableId="2B408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097F" w14:textId="77777777" w:rsidR="0080133D" w:rsidRDefault="0080133D" w:rsidP="00C743E8">
      <w:pPr>
        <w:spacing w:after="0" w:line="240" w:lineRule="auto"/>
      </w:pPr>
      <w:r>
        <w:separator/>
      </w:r>
    </w:p>
  </w:endnote>
  <w:endnote w:type="continuationSeparator" w:id="0">
    <w:p w14:paraId="1E9440F8" w14:textId="77777777" w:rsidR="0080133D" w:rsidRDefault="0080133D" w:rsidP="00C7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69D2" w14:textId="77777777" w:rsidR="00C743E8" w:rsidRDefault="00C74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1149" w14:textId="77777777" w:rsidR="00C743E8" w:rsidRDefault="00C74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807" w14:textId="77777777" w:rsidR="00C743E8" w:rsidRDefault="00C74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F98A" w14:textId="77777777" w:rsidR="0080133D" w:rsidRDefault="0080133D" w:rsidP="00C743E8">
      <w:pPr>
        <w:spacing w:after="0" w:line="240" w:lineRule="auto"/>
      </w:pPr>
      <w:r>
        <w:separator/>
      </w:r>
    </w:p>
  </w:footnote>
  <w:footnote w:type="continuationSeparator" w:id="0">
    <w:p w14:paraId="06C15F55" w14:textId="77777777" w:rsidR="0080133D" w:rsidRDefault="0080133D" w:rsidP="00C74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C3F0" w14:textId="7BEE8E6E" w:rsidR="00C743E8" w:rsidRDefault="0080133D">
    <w:pPr>
      <w:pStyle w:val="Header"/>
    </w:pPr>
    <w:r>
      <w:rPr>
        <w:noProof/>
      </w:rPr>
      <w:pict w14:anchorId="0E58B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15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9A77" w14:textId="6F0B1EFF" w:rsidR="00C743E8" w:rsidRDefault="0080133D">
    <w:pPr>
      <w:pStyle w:val="Header"/>
    </w:pPr>
    <w:r>
      <w:rPr>
        <w:noProof/>
      </w:rPr>
      <w:pict w14:anchorId="51EF9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15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3A0D" w14:textId="57CCD972" w:rsidR="00C743E8" w:rsidRDefault="0080133D">
    <w:pPr>
      <w:pStyle w:val="Header"/>
    </w:pPr>
    <w:r>
      <w:rPr>
        <w:noProof/>
      </w:rPr>
      <w:pict w14:anchorId="298E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15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738F0"/>
    <w:multiLevelType w:val="hybridMultilevel"/>
    <w:tmpl w:val="036A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C7A10"/>
    <w:multiLevelType w:val="hybridMultilevel"/>
    <w:tmpl w:val="3B4AD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C87B6D"/>
    <w:multiLevelType w:val="hybridMultilevel"/>
    <w:tmpl w:val="B1AEF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Agbo">
    <w15:presenceInfo w15:providerId="AD" w15:userId="S::jagbo@umc.edu::42b9b58c-ca57-47bf-b610-4315fc5e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78"/>
    <w:rsid w:val="000206DD"/>
    <w:rsid w:val="00020CE7"/>
    <w:rsid w:val="00022149"/>
    <w:rsid w:val="0003207B"/>
    <w:rsid w:val="00032483"/>
    <w:rsid w:val="00042DF3"/>
    <w:rsid w:val="000501F4"/>
    <w:rsid w:val="0006523D"/>
    <w:rsid w:val="00065F4A"/>
    <w:rsid w:val="00086147"/>
    <w:rsid w:val="0009386B"/>
    <w:rsid w:val="000B0286"/>
    <w:rsid w:val="000C1DFD"/>
    <w:rsid w:val="000C3BE1"/>
    <w:rsid w:val="000D3AAD"/>
    <w:rsid w:val="000D3E65"/>
    <w:rsid w:val="000E4ADE"/>
    <w:rsid w:val="00126F3A"/>
    <w:rsid w:val="0014296F"/>
    <w:rsid w:val="0014548D"/>
    <w:rsid w:val="00154FAB"/>
    <w:rsid w:val="001702B6"/>
    <w:rsid w:val="001B583B"/>
    <w:rsid w:val="001C07D3"/>
    <w:rsid w:val="001C3CAF"/>
    <w:rsid w:val="002013EE"/>
    <w:rsid w:val="0021206A"/>
    <w:rsid w:val="00212A63"/>
    <w:rsid w:val="00215FB2"/>
    <w:rsid w:val="002163F0"/>
    <w:rsid w:val="002223A9"/>
    <w:rsid w:val="00243E85"/>
    <w:rsid w:val="00265321"/>
    <w:rsid w:val="00276A85"/>
    <w:rsid w:val="002964C3"/>
    <w:rsid w:val="002A28C3"/>
    <w:rsid w:val="002C1ECB"/>
    <w:rsid w:val="002D0847"/>
    <w:rsid w:val="002D4D9F"/>
    <w:rsid w:val="002F64C2"/>
    <w:rsid w:val="003507BF"/>
    <w:rsid w:val="00353C00"/>
    <w:rsid w:val="003746A3"/>
    <w:rsid w:val="003916B9"/>
    <w:rsid w:val="003A56FB"/>
    <w:rsid w:val="003B2C80"/>
    <w:rsid w:val="003C14DD"/>
    <w:rsid w:val="003C1721"/>
    <w:rsid w:val="003C54D2"/>
    <w:rsid w:val="003C56D2"/>
    <w:rsid w:val="003E5935"/>
    <w:rsid w:val="003F2E15"/>
    <w:rsid w:val="00412265"/>
    <w:rsid w:val="00423978"/>
    <w:rsid w:val="00425E51"/>
    <w:rsid w:val="0043339A"/>
    <w:rsid w:val="004355A4"/>
    <w:rsid w:val="0045327E"/>
    <w:rsid w:val="004535B6"/>
    <w:rsid w:val="0045631D"/>
    <w:rsid w:val="00492102"/>
    <w:rsid w:val="00496940"/>
    <w:rsid w:val="004A7600"/>
    <w:rsid w:val="004B5C67"/>
    <w:rsid w:val="004C4456"/>
    <w:rsid w:val="004C5541"/>
    <w:rsid w:val="00500594"/>
    <w:rsid w:val="00511CA1"/>
    <w:rsid w:val="00523630"/>
    <w:rsid w:val="0052536D"/>
    <w:rsid w:val="005270E1"/>
    <w:rsid w:val="005567DE"/>
    <w:rsid w:val="00564A28"/>
    <w:rsid w:val="00571F4E"/>
    <w:rsid w:val="0057207E"/>
    <w:rsid w:val="00597365"/>
    <w:rsid w:val="00597C8D"/>
    <w:rsid w:val="005A0F1B"/>
    <w:rsid w:val="005C20DF"/>
    <w:rsid w:val="005E0FC7"/>
    <w:rsid w:val="005E16E7"/>
    <w:rsid w:val="006118E6"/>
    <w:rsid w:val="006225C1"/>
    <w:rsid w:val="00632D83"/>
    <w:rsid w:val="00634218"/>
    <w:rsid w:val="00641911"/>
    <w:rsid w:val="00653BEA"/>
    <w:rsid w:val="00655468"/>
    <w:rsid w:val="006B52E4"/>
    <w:rsid w:val="006C0375"/>
    <w:rsid w:val="006C114B"/>
    <w:rsid w:val="006F02F9"/>
    <w:rsid w:val="007039C6"/>
    <w:rsid w:val="0070529E"/>
    <w:rsid w:val="0071615A"/>
    <w:rsid w:val="00716307"/>
    <w:rsid w:val="00732504"/>
    <w:rsid w:val="007548CB"/>
    <w:rsid w:val="00767563"/>
    <w:rsid w:val="007742A2"/>
    <w:rsid w:val="007749D7"/>
    <w:rsid w:val="007848E5"/>
    <w:rsid w:val="00790868"/>
    <w:rsid w:val="007A111B"/>
    <w:rsid w:val="007A17BE"/>
    <w:rsid w:val="007B7740"/>
    <w:rsid w:val="007D0651"/>
    <w:rsid w:val="007E45C6"/>
    <w:rsid w:val="0080133D"/>
    <w:rsid w:val="0080669E"/>
    <w:rsid w:val="00821A52"/>
    <w:rsid w:val="008349DD"/>
    <w:rsid w:val="0083579E"/>
    <w:rsid w:val="00843473"/>
    <w:rsid w:val="008458EB"/>
    <w:rsid w:val="00846646"/>
    <w:rsid w:val="00866505"/>
    <w:rsid w:val="00871FF9"/>
    <w:rsid w:val="00872DAE"/>
    <w:rsid w:val="00876355"/>
    <w:rsid w:val="008B2C7F"/>
    <w:rsid w:val="008B5314"/>
    <w:rsid w:val="008C28DA"/>
    <w:rsid w:val="008D0FA6"/>
    <w:rsid w:val="008D425E"/>
    <w:rsid w:val="008D555F"/>
    <w:rsid w:val="008D5F21"/>
    <w:rsid w:val="0090562F"/>
    <w:rsid w:val="009120B9"/>
    <w:rsid w:val="0091467E"/>
    <w:rsid w:val="00972FEB"/>
    <w:rsid w:val="00977AE3"/>
    <w:rsid w:val="00984018"/>
    <w:rsid w:val="0099407B"/>
    <w:rsid w:val="00996857"/>
    <w:rsid w:val="009B79C6"/>
    <w:rsid w:val="009C1F87"/>
    <w:rsid w:val="009C73D0"/>
    <w:rsid w:val="009E2A32"/>
    <w:rsid w:val="00A12A1A"/>
    <w:rsid w:val="00A37990"/>
    <w:rsid w:val="00A733A9"/>
    <w:rsid w:val="00AB2BC3"/>
    <w:rsid w:val="00AC037C"/>
    <w:rsid w:val="00AD6927"/>
    <w:rsid w:val="00AE7B43"/>
    <w:rsid w:val="00B06EFC"/>
    <w:rsid w:val="00B11BCE"/>
    <w:rsid w:val="00B24AC5"/>
    <w:rsid w:val="00B3168E"/>
    <w:rsid w:val="00B371C7"/>
    <w:rsid w:val="00B64934"/>
    <w:rsid w:val="00B71E1E"/>
    <w:rsid w:val="00BD10F4"/>
    <w:rsid w:val="00BD1DC9"/>
    <w:rsid w:val="00BD74DE"/>
    <w:rsid w:val="00BE0EBF"/>
    <w:rsid w:val="00BE40B9"/>
    <w:rsid w:val="00BF3FA7"/>
    <w:rsid w:val="00C40308"/>
    <w:rsid w:val="00C5191B"/>
    <w:rsid w:val="00C553E2"/>
    <w:rsid w:val="00C56309"/>
    <w:rsid w:val="00C743E8"/>
    <w:rsid w:val="00C81829"/>
    <w:rsid w:val="00C85B7B"/>
    <w:rsid w:val="00C9283E"/>
    <w:rsid w:val="00CB3B22"/>
    <w:rsid w:val="00CB7438"/>
    <w:rsid w:val="00CD098C"/>
    <w:rsid w:val="00CD21DB"/>
    <w:rsid w:val="00CD34E9"/>
    <w:rsid w:val="00CE05FB"/>
    <w:rsid w:val="00CE2504"/>
    <w:rsid w:val="00CF1E56"/>
    <w:rsid w:val="00CF212A"/>
    <w:rsid w:val="00CF30E3"/>
    <w:rsid w:val="00D1298E"/>
    <w:rsid w:val="00D12EED"/>
    <w:rsid w:val="00D16686"/>
    <w:rsid w:val="00D21EF0"/>
    <w:rsid w:val="00D25045"/>
    <w:rsid w:val="00D30353"/>
    <w:rsid w:val="00D34DB8"/>
    <w:rsid w:val="00D61A92"/>
    <w:rsid w:val="00D630A6"/>
    <w:rsid w:val="00D66AA2"/>
    <w:rsid w:val="00D8655A"/>
    <w:rsid w:val="00D957D2"/>
    <w:rsid w:val="00DE7352"/>
    <w:rsid w:val="00DF7584"/>
    <w:rsid w:val="00E2102B"/>
    <w:rsid w:val="00E21DCC"/>
    <w:rsid w:val="00E273FE"/>
    <w:rsid w:val="00E3177E"/>
    <w:rsid w:val="00E3609F"/>
    <w:rsid w:val="00E62DEA"/>
    <w:rsid w:val="00E75005"/>
    <w:rsid w:val="00E75A5E"/>
    <w:rsid w:val="00EA03ED"/>
    <w:rsid w:val="00EA4ADD"/>
    <w:rsid w:val="00EB50C4"/>
    <w:rsid w:val="00EB5DD9"/>
    <w:rsid w:val="00EC17CB"/>
    <w:rsid w:val="00ED2289"/>
    <w:rsid w:val="00ED3F60"/>
    <w:rsid w:val="00EF6065"/>
    <w:rsid w:val="00F01942"/>
    <w:rsid w:val="00F17EA4"/>
    <w:rsid w:val="00F2153F"/>
    <w:rsid w:val="00F64340"/>
    <w:rsid w:val="00FA0A44"/>
    <w:rsid w:val="00FA2746"/>
    <w:rsid w:val="00FA3835"/>
    <w:rsid w:val="00FE313D"/>
    <w:rsid w:val="00FF5E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6971FD"/>
  <w15:docId w15:val="{A74EF9F6-D54C-4E6B-A0D8-25D7DDA8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C1"/>
  </w:style>
  <w:style w:type="paragraph" w:styleId="Heading3">
    <w:name w:val="heading 3"/>
    <w:basedOn w:val="Normal"/>
    <w:link w:val="Heading3Char"/>
    <w:uiPriority w:val="9"/>
    <w:qFormat/>
    <w:rsid w:val="004239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39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9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39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3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3978"/>
  </w:style>
  <w:style w:type="character" w:customStyle="1" w:styleId="highlight">
    <w:name w:val="highlight"/>
    <w:basedOn w:val="DefaultParagraphFont"/>
    <w:rsid w:val="00423978"/>
  </w:style>
  <w:style w:type="character" w:styleId="Hyperlink">
    <w:name w:val="Hyperlink"/>
    <w:basedOn w:val="DefaultParagraphFont"/>
    <w:uiPriority w:val="99"/>
    <w:unhideWhenUsed/>
    <w:rsid w:val="004535B6"/>
    <w:rPr>
      <w:color w:val="0000FF" w:themeColor="hyperlink"/>
      <w:u w:val="single"/>
    </w:rPr>
  </w:style>
  <w:style w:type="table" w:styleId="TableGrid">
    <w:name w:val="Table Grid"/>
    <w:basedOn w:val="TableNormal"/>
    <w:uiPriority w:val="59"/>
    <w:rsid w:val="00B71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1EF0"/>
    <w:pPr>
      <w:ind w:left="720"/>
      <w:contextualSpacing/>
    </w:pPr>
  </w:style>
  <w:style w:type="character" w:styleId="UnresolvedMention">
    <w:name w:val="Unresolved Mention"/>
    <w:basedOn w:val="DefaultParagraphFont"/>
    <w:uiPriority w:val="99"/>
    <w:semiHidden/>
    <w:unhideWhenUsed/>
    <w:rsid w:val="002013EE"/>
    <w:rPr>
      <w:color w:val="605E5C"/>
      <w:shd w:val="clear" w:color="auto" w:fill="E1DFDD"/>
    </w:rPr>
  </w:style>
  <w:style w:type="paragraph" w:styleId="Header">
    <w:name w:val="header"/>
    <w:basedOn w:val="Normal"/>
    <w:link w:val="HeaderChar"/>
    <w:uiPriority w:val="99"/>
    <w:unhideWhenUsed/>
    <w:rsid w:val="00C7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3E8"/>
  </w:style>
  <w:style w:type="paragraph" w:styleId="Footer">
    <w:name w:val="footer"/>
    <w:basedOn w:val="Normal"/>
    <w:link w:val="FooterChar"/>
    <w:uiPriority w:val="99"/>
    <w:unhideWhenUsed/>
    <w:rsid w:val="00C74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3E8"/>
  </w:style>
  <w:style w:type="character" w:styleId="CommentReference">
    <w:name w:val="annotation reference"/>
    <w:basedOn w:val="DefaultParagraphFont"/>
    <w:uiPriority w:val="99"/>
    <w:semiHidden/>
    <w:unhideWhenUsed/>
    <w:rsid w:val="00523630"/>
    <w:rPr>
      <w:sz w:val="16"/>
      <w:szCs w:val="16"/>
    </w:rPr>
  </w:style>
  <w:style w:type="paragraph" w:styleId="CommentText">
    <w:name w:val="annotation text"/>
    <w:basedOn w:val="Normal"/>
    <w:link w:val="CommentTextChar"/>
    <w:uiPriority w:val="99"/>
    <w:semiHidden/>
    <w:unhideWhenUsed/>
    <w:rsid w:val="00523630"/>
    <w:pPr>
      <w:spacing w:line="240" w:lineRule="auto"/>
    </w:pPr>
    <w:rPr>
      <w:sz w:val="20"/>
      <w:szCs w:val="20"/>
    </w:rPr>
  </w:style>
  <w:style w:type="character" w:customStyle="1" w:styleId="CommentTextChar">
    <w:name w:val="Comment Text Char"/>
    <w:basedOn w:val="DefaultParagraphFont"/>
    <w:link w:val="CommentText"/>
    <w:uiPriority w:val="99"/>
    <w:semiHidden/>
    <w:rsid w:val="00523630"/>
    <w:rPr>
      <w:sz w:val="20"/>
      <w:szCs w:val="20"/>
    </w:rPr>
  </w:style>
  <w:style w:type="paragraph" w:styleId="CommentSubject">
    <w:name w:val="annotation subject"/>
    <w:basedOn w:val="CommentText"/>
    <w:next w:val="CommentText"/>
    <w:link w:val="CommentSubjectChar"/>
    <w:uiPriority w:val="99"/>
    <w:semiHidden/>
    <w:unhideWhenUsed/>
    <w:rsid w:val="00523630"/>
    <w:rPr>
      <w:b/>
      <w:bCs/>
    </w:rPr>
  </w:style>
  <w:style w:type="character" w:customStyle="1" w:styleId="CommentSubjectChar">
    <w:name w:val="Comment Subject Char"/>
    <w:basedOn w:val="CommentTextChar"/>
    <w:link w:val="CommentSubject"/>
    <w:uiPriority w:val="99"/>
    <w:semiHidden/>
    <w:rsid w:val="005236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8429">
      <w:bodyDiv w:val="1"/>
      <w:marLeft w:val="0"/>
      <w:marRight w:val="0"/>
      <w:marTop w:val="0"/>
      <w:marBottom w:val="0"/>
      <w:divBdr>
        <w:top w:val="none" w:sz="0" w:space="0" w:color="auto"/>
        <w:left w:val="none" w:sz="0" w:space="0" w:color="auto"/>
        <w:bottom w:val="none" w:sz="0" w:space="0" w:color="auto"/>
        <w:right w:val="none" w:sz="0" w:space="0" w:color="auto"/>
      </w:divBdr>
    </w:div>
    <w:div w:id="52045606">
      <w:bodyDiv w:val="1"/>
      <w:marLeft w:val="0"/>
      <w:marRight w:val="0"/>
      <w:marTop w:val="0"/>
      <w:marBottom w:val="0"/>
      <w:divBdr>
        <w:top w:val="none" w:sz="0" w:space="0" w:color="auto"/>
        <w:left w:val="none" w:sz="0" w:space="0" w:color="auto"/>
        <w:bottom w:val="none" w:sz="0" w:space="0" w:color="auto"/>
        <w:right w:val="none" w:sz="0" w:space="0" w:color="auto"/>
      </w:divBdr>
    </w:div>
    <w:div w:id="78060645">
      <w:bodyDiv w:val="1"/>
      <w:marLeft w:val="0"/>
      <w:marRight w:val="0"/>
      <w:marTop w:val="0"/>
      <w:marBottom w:val="0"/>
      <w:divBdr>
        <w:top w:val="none" w:sz="0" w:space="0" w:color="auto"/>
        <w:left w:val="none" w:sz="0" w:space="0" w:color="auto"/>
        <w:bottom w:val="none" w:sz="0" w:space="0" w:color="auto"/>
        <w:right w:val="none" w:sz="0" w:space="0" w:color="auto"/>
      </w:divBdr>
    </w:div>
    <w:div w:id="125507408">
      <w:bodyDiv w:val="1"/>
      <w:marLeft w:val="0"/>
      <w:marRight w:val="0"/>
      <w:marTop w:val="0"/>
      <w:marBottom w:val="0"/>
      <w:divBdr>
        <w:top w:val="none" w:sz="0" w:space="0" w:color="auto"/>
        <w:left w:val="none" w:sz="0" w:space="0" w:color="auto"/>
        <w:bottom w:val="none" w:sz="0" w:space="0" w:color="auto"/>
        <w:right w:val="none" w:sz="0" w:space="0" w:color="auto"/>
      </w:divBdr>
    </w:div>
    <w:div w:id="130641336">
      <w:bodyDiv w:val="1"/>
      <w:marLeft w:val="0"/>
      <w:marRight w:val="0"/>
      <w:marTop w:val="0"/>
      <w:marBottom w:val="0"/>
      <w:divBdr>
        <w:top w:val="none" w:sz="0" w:space="0" w:color="auto"/>
        <w:left w:val="none" w:sz="0" w:space="0" w:color="auto"/>
        <w:bottom w:val="none" w:sz="0" w:space="0" w:color="auto"/>
        <w:right w:val="none" w:sz="0" w:space="0" w:color="auto"/>
      </w:divBdr>
    </w:div>
    <w:div w:id="136842307">
      <w:bodyDiv w:val="1"/>
      <w:marLeft w:val="0"/>
      <w:marRight w:val="0"/>
      <w:marTop w:val="0"/>
      <w:marBottom w:val="0"/>
      <w:divBdr>
        <w:top w:val="none" w:sz="0" w:space="0" w:color="auto"/>
        <w:left w:val="none" w:sz="0" w:space="0" w:color="auto"/>
        <w:bottom w:val="none" w:sz="0" w:space="0" w:color="auto"/>
        <w:right w:val="none" w:sz="0" w:space="0" w:color="auto"/>
      </w:divBdr>
    </w:div>
    <w:div w:id="179975893">
      <w:bodyDiv w:val="1"/>
      <w:marLeft w:val="0"/>
      <w:marRight w:val="0"/>
      <w:marTop w:val="0"/>
      <w:marBottom w:val="0"/>
      <w:divBdr>
        <w:top w:val="none" w:sz="0" w:space="0" w:color="auto"/>
        <w:left w:val="none" w:sz="0" w:space="0" w:color="auto"/>
        <w:bottom w:val="none" w:sz="0" w:space="0" w:color="auto"/>
        <w:right w:val="none" w:sz="0" w:space="0" w:color="auto"/>
      </w:divBdr>
    </w:div>
    <w:div w:id="279147039">
      <w:bodyDiv w:val="1"/>
      <w:marLeft w:val="0"/>
      <w:marRight w:val="0"/>
      <w:marTop w:val="0"/>
      <w:marBottom w:val="0"/>
      <w:divBdr>
        <w:top w:val="none" w:sz="0" w:space="0" w:color="auto"/>
        <w:left w:val="none" w:sz="0" w:space="0" w:color="auto"/>
        <w:bottom w:val="none" w:sz="0" w:space="0" w:color="auto"/>
        <w:right w:val="none" w:sz="0" w:space="0" w:color="auto"/>
      </w:divBdr>
    </w:div>
    <w:div w:id="281109662">
      <w:bodyDiv w:val="1"/>
      <w:marLeft w:val="0"/>
      <w:marRight w:val="0"/>
      <w:marTop w:val="0"/>
      <w:marBottom w:val="0"/>
      <w:divBdr>
        <w:top w:val="none" w:sz="0" w:space="0" w:color="auto"/>
        <w:left w:val="none" w:sz="0" w:space="0" w:color="auto"/>
        <w:bottom w:val="none" w:sz="0" w:space="0" w:color="auto"/>
        <w:right w:val="none" w:sz="0" w:space="0" w:color="auto"/>
      </w:divBdr>
    </w:div>
    <w:div w:id="317735191">
      <w:bodyDiv w:val="1"/>
      <w:marLeft w:val="0"/>
      <w:marRight w:val="0"/>
      <w:marTop w:val="0"/>
      <w:marBottom w:val="0"/>
      <w:divBdr>
        <w:top w:val="none" w:sz="0" w:space="0" w:color="auto"/>
        <w:left w:val="none" w:sz="0" w:space="0" w:color="auto"/>
        <w:bottom w:val="none" w:sz="0" w:space="0" w:color="auto"/>
        <w:right w:val="none" w:sz="0" w:space="0" w:color="auto"/>
      </w:divBdr>
    </w:div>
    <w:div w:id="356545501">
      <w:bodyDiv w:val="1"/>
      <w:marLeft w:val="0"/>
      <w:marRight w:val="0"/>
      <w:marTop w:val="0"/>
      <w:marBottom w:val="0"/>
      <w:divBdr>
        <w:top w:val="none" w:sz="0" w:space="0" w:color="auto"/>
        <w:left w:val="none" w:sz="0" w:space="0" w:color="auto"/>
        <w:bottom w:val="none" w:sz="0" w:space="0" w:color="auto"/>
        <w:right w:val="none" w:sz="0" w:space="0" w:color="auto"/>
      </w:divBdr>
    </w:div>
    <w:div w:id="372585563">
      <w:bodyDiv w:val="1"/>
      <w:marLeft w:val="0"/>
      <w:marRight w:val="0"/>
      <w:marTop w:val="0"/>
      <w:marBottom w:val="0"/>
      <w:divBdr>
        <w:top w:val="none" w:sz="0" w:space="0" w:color="auto"/>
        <w:left w:val="none" w:sz="0" w:space="0" w:color="auto"/>
        <w:bottom w:val="none" w:sz="0" w:space="0" w:color="auto"/>
        <w:right w:val="none" w:sz="0" w:space="0" w:color="auto"/>
      </w:divBdr>
    </w:div>
    <w:div w:id="439183516">
      <w:bodyDiv w:val="1"/>
      <w:marLeft w:val="0"/>
      <w:marRight w:val="0"/>
      <w:marTop w:val="0"/>
      <w:marBottom w:val="0"/>
      <w:divBdr>
        <w:top w:val="none" w:sz="0" w:space="0" w:color="auto"/>
        <w:left w:val="none" w:sz="0" w:space="0" w:color="auto"/>
        <w:bottom w:val="none" w:sz="0" w:space="0" w:color="auto"/>
        <w:right w:val="none" w:sz="0" w:space="0" w:color="auto"/>
      </w:divBdr>
    </w:div>
    <w:div w:id="449708322">
      <w:bodyDiv w:val="1"/>
      <w:marLeft w:val="0"/>
      <w:marRight w:val="0"/>
      <w:marTop w:val="0"/>
      <w:marBottom w:val="0"/>
      <w:divBdr>
        <w:top w:val="none" w:sz="0" w:space="0" w:color="auto"/>
        <w:left w:val="none" w:sz="0" w:space="0" w:color="auto"/>
        <w:bottom w:val="none" w:sz="0" w:space="0" w:color="auto"/>
        <w:right w:val="none" w:sz="0" w:space="0" w:color="auto"/>
      </w:divBdr>
    </w:div>
    <w:div w:id="499080027">
      <w:bodyDiv w:val="1"/>
      <w:marLeft w:val="0"/>
      <w:marRight w:val="0"/>
      <w:marTop w:val="0"/>
      <w:marBottom w:val="0"/>
      <w:divBdr>
        <w:top w:val="none" w:sz="0" w:space="0" w:color="auto"/>
        <w:left w:val="none" w:sz="0" w:space="0" w:color="auto"/>
        <w:bottom w:val="none" w:sz="0" w:space="0" w:color="auto"/>
        <w:right w:val="none" w:sz="0" w:space="0" w:color="auto"/>
      </w:divBdr>
    </w:div>
    <w:div w:id="521360808">
      <w:bodyDiv w:val="1"/>
      <w:marLeft w:val="0"/>
      <w:marRight w:val="0"/>
      <w:marTop w:val="0"/>
      <w:marBottom w:val="0"/>
      <w:divBdr>
        <w:top w:val="none" w:sz="0" w:space="0" w:color="auto"/>
        <w:left w:val="none" w:sz="0" w:space="0" w:color="auto"/>
        <w:bottom w:val="none" w:sz="0" w:space="0" w:color="auto"/>
        <w:right w:val="none" w:sz="0" w:space="0" w:color="auto"/>
      </w:divBdr>
    </w:div>
    <w:div w:id="582375087">
      <w:bodyDiv w:val="1"/>
      <w:marLeft w:val="0"/>
      <w:marRight w:val="0"/>
      <w:marTop w:val="0"/>
      <w:marBottom w:val="0"/>
      <w:divBdr>
        <w:top w:val="none" w:sz="0" w:space="0" w:color="auto"/>
        <w:left w:val="none" w:sz="0" w:space="0" w:color="auto"/>
        <w:bottom w:val="none" w:sz="0" w:space="0" w:color="auto"/>
        <w:right w:val="none" w:sz="0" w:space="0" w:color="auto"/>
      </w:divBdr>
    </w:div>
    <w:div w:id="586304663">
      <w:bodyDiv w:val="1"/>
      <w:marLeft w:val="0"/>
      <w:marRight w:val="0"/>
      <w:marTop w:val="0"/>
      <w:marBottom w:val="0"/>
      <w:divBdr>
        <w:top w:val="none" w:sz="0" w:space="0" w:color="auto"/>
        <w:left w:val="none" w:sz="0" w:space="0" w:color="auto"/>
        <w:bottom w:val="none" w:sz="0" w:space="0" w:color="auto"/>
        <w:right w:val="none" w:sz="0" w:space="0" w:color="auto"/>
      </w:divBdr>
    </w:div>
    <w:div w:id="642924506">
      <w:bodyDiv w:val="1"/>
      <w:marLeft w:val="0"/>
      <w:marRight w:val="0"/>
      <w:marTop w:val="0"/>
      <w:marBottom w:val="0"/>
      <w:divBdr>
        <w:top w:val="none" w:sz="0" w:space="0" w:color="auto"/>
        <w:left w:val="none" w:sz="0" w:space="0" w:color="auto"/>
        <w:bottom w:val="none" w:sz="0" w:space="0" w:color="auto"/>
        <w:right w:val="none" w:sz="0" w:space="0" w:color="auto"/>
      </w:divBdr>
    </w:div>
    <w:div w:id="646710597">
      <w:bodyDiv w:val="1"/>
      <w:marLeft w:val="0"/>
      <w:marRight w:val="0"/>
      <w:marTop w:val="0"/>
      <w:marBottom w:val="0"/>
      <w:divBdr>
        <w:top w:val="none" w:sz="0" w:space="0" w:color="auto"/>
        <w:left w:val="none" w:sz="0" w:space="0" w:color="auto"/>
        <w:bottom w:val="none" w:sz="0" w:space="0" w:color="auto"/>
        <w:right w:val="none" w:sz="0" w:space="0" w:color="auto"/>
      </w:divBdr>
    </w:div>
    <w:div w:id="649209248">
      <w:bodyDiv w:val="1"/>
      <w:marLeft w:val="0"/>
      <w:marRight w:val="0"/>
      <w:marTop w:val="0"/>
      <w:marBottom w:val="0"/>
      <w:divBdr>
        <w:top w:val="none" w:sz="0" w:space="0" w:color="auto"/>
        <w:left w:val="none" w:sz="0" w:space="0" w:color="auto"/>
        <w:bottom w:val="none" w:sz="0" w:space="0" w:color="auto"/>
        <w:right w:val="none" w:sz="0" w:space="0" w:color="auto"/>
      </w:divBdr>
    </w:div>
    <w:div w:id="715278125">
      <w:bodyDiv w:val="1"/>
      <w:marLeft w:val="0"/>
      <w:marRight w:val="0"/>
      <w:marTop w:val="0"/>
      <w:marBottom w:val="0"/>
      <w:divBdr>
        <w:top w:val="none" w:sz="0" w:space="0" w:color="auto"/>
        <w:left w:val="none" w:sz="0" w:space="0" w:color="auto"/>
        <w:bottom w:val="none" w:sz="0" w:space="0" w:color="auto"/>
        <w:right w:val="none" w:sz="0" w:space="0" w:color="auto"/>
      </w:divBdr>
    </w:div>
    <w:div w:id="777022715">
      <w:bodyDiv w:val="1"/>
      <w:marLeft w:val="0"/>
      <w:marRight w:val="0"/>
      <w:marTop w:val="0"/>
      <w:marBottom w:val="0"/>
      <w:divBdr>
        <w:top w:val="none" w:sz="0" w:space="0" w:color="auto"/>
        <w:left w:val="none" w:sz="0" w:space="0" w:color="auto"/>
        <w:bottom w:val="none" w:sz="0" w:space="0" w:color="auto"/>
        <w:right w:val="none" w:sz="0" w:space="0" w:color="auto"/>
      </w:divBdr>
    </w:div>
    <w:div w:id="818806997">
      <w:bodyDiv w:val="1"/>
      <w:marLeft w:val="0"/>
      <w:marRight w:val="0"/>
      <w:marTop w:val="0"/>
      <w:marBottom w:val="0"/>
      <w:divBdr>
        <w:top w:val="none" w:sz="0" w:space="0" w:color="auto"/>
        <w:left w:val="none" w:sz="0" w:space="0" w:color="auto"/>
        <w:bottom w:val="none" w:sz="0" w:space="0" w:color="auto"/>
        <w:right w:val="none" w:sz="0" w:space="0" w:color="auto"/>
      </w:divBdr>
    </w:div>
    <w:div w:id="830100358">
      <w:bodyDiv w:val="1"/>
      <w:marLeft w:val="0"/>
      <w:marRight w:val="0"/>
      <w:marTop w:val="0"/>
      <w:marBottom w:val="0"/>
      <w:divBdr>
        <w:top w:val="none" w:sz="0" w:space="0" w:color="auto"/>
        <w:left w:val="none" w:sz="0" w:space="0" w:color="auto"/>
        <w:bottom w:val="none" w:sz="0" w:space="0" w:color="auto"/>
        <w:right w:val="none" w:sz="0" w:space="0" w:color="auto"/>
      </w:divBdr>
    </w:div>
    <w:div w:id="844629312">
      <w:bodyDiv w:val="1"/>
      <w:marLeft w:val="0"/>
      <w:marRight w:val="0"/>
      <w:marTop w:val="0"/>
      <w:marBottom w:val="0"/>
      <w:divBdr>
        <w:top w:val="none" w:sz="0" w:space="0" w:color="auto"/>
        <w:left w:val="none" w:sz="0" w:space="0" w:color="auto"/>
        <w:bottom w:val="none" w:sz="0" w:space="0" w:color="auto"/>
        <w:right w:val="none" w:sz="0" w:space="0" w:color="auto"/>
      </w:divBdr>
    </w:div>
    <w:div w:id="949967802">
      <w:bodyDiv w:val="1"/>
      <w:marLeft w:val="0"/>
      <w:marRight w:val="0"/>
      <w:marTop w:val="0"/>
      <w:marBottom w:val="0"/>
      <w:divBdr>
        <w:top w:val="none" w:sz="0" w:space="0" w:color="auto"/>
        <w:left w:val="none" w:sz="0" w:space="0" w:color="auto"/>
        <w:bottom w:val="none" w:sz="0" w:space="0" w:color="auto"/>
        <w:right w:val="none" w:sz="0" w:space="0" w:color="auto"/>
      </w:divBdr>
    </w:div>
    <w:div w:id="957566081">
      <w:bodyDiv w:val="1"/>
      <w:marLeft w:val="0"/>
      <w:marRight w:val="0"/>
      <w:marTop w:val="0"/>
      <w:marBottom w:val="0"/>
      <w:divBdr>
        <w:top w:val="none" w:sz="0" w:space="0" w:color="auto"/>
        <w:left w:val="none" w:sz="0" w:space="0" w:color="auto"/>
        <w:bottom w:val="none" w:sz="0" w:space="0" w:color="auto"/>
        <w:right w:val="none" w:sz="0" w:space="0" w:color="auto"/>
      </w:divBdr>
    </w:div>
    <w:div w:id="1144589640">
      <w:bodyDiv w:val="1"/>
      <w:marLeft w:val="0"/>
      <w:marRight w:val="0"/>
      <w:marTop w:val="0"/>
      <w:marBottom w:val="0"/>
      <w:divBdr>
        <w:top w:val="none" w:sz="0" w:space="0" w:color="auto"/>
        <w:left w:val="none" w:sz="0" w:space="0" w:color="auto"/>
        <w:bottom w:val="none" w:sz="0" w:space="0" w:color="auto"/>
        <w:right w:val="none" w:sz="0" w:space="0" w:color="auto"/>
      </w:divBdr>
    </w:div>
    <w:div w:id="1228296066">
      <w:bodyDiv w:val="1"/>
      <w:marLeft w:val="0"/>
      <w:marRight w:val="0"/>
      <w:marTop w:val="0"/>
      <w:marBottom w:val="0"/>
      <w:divBdr>
        <w:top w:val="none" w:sz="0" w:space="0" w:color="auto"/>
        <w:left w:val="none" w:sz="0" w:space="0" w:color="auto"/>
        <w:bottom w:val="none" w:sz="0" w:space="0" w:color="auto"/>
        <w:right w:val="none" w:sz="0" w:space="0" w:color="auto"/>
      </w:divBdr>
    </w:div>
    <w:div w:id="1266646804">
      <w:bodyDiv w:val="1"/>
      <w:marLeft w:val="0"/>
      <w:marRight w:val="0"/>
      <w:marTop w:val="0"/>
      <w:marBottom w:val="0"/>
      <w:divBdr>
        <w:top w:val="none" w:sz="0" w:space="0" w:color="auto"/>
        <w:left w:val="none" w:sz="0" w:space="0" w:color="auto"/>
        <w:bottom w:val="none" w:sz="0" w:space="0" w:color="auto"/>
        <w:right w:val="none" w:sz="0" w:space="0" w:color="auto"/>
      </w:divBdr>
    </w:div>
    <w:div w:id="1390105324">
      <w:bodyDiv w:val="1"/>
      <w:marLeft w:val="0"/>
      <w:marRight w:val="0"/>
      <w:marTop w:val="0"/>
      <w:marBottom w:val="0"/>
      <w:divBdr>
        <w:top w:val="none" w:sz="0" w:space="0" w:color="auto"/>
        <w:left w:val="none" w:sz="0" w:space="0" w:color="auto"/>
        <w:bottom w:val="none" w:sz="0" w:space="0" w:color="auto"/>
        <w:right w:val="none" w:sz="0" w:space="0" w:color="auto"/>
      </w:divBdr>
    </w:div>
    <w:div w:id="1431702016">
      <w:bodyDiv w:val="1"/>
      <w:marLeft w:val="0"/>
      <w:marRight w:val="0"/>
      <w:marTop w:val="0"/>
      <w:marBottom w:val="0"/>
      <w:divBdr>
        <w:top w:val="none" w:sz="0" w:space="0" w:color="auto"/>
        <w:left w:val="none" w:sz="0" w:space="0" w:color="auto"/>
        <w:bottom w:val="none" w:sz="0" w:space="0" w:color="auto"/>
        <w:right w:val="none" w:sz="0" w:space="0" w:color="auto"/>
      </w:divBdr>
    </w:div>
    <w:div w:id="1448357787">
      <w:bodyDiv w:val="1"/>
      <w:marLeft w:val="0"/>
      <w:marRight w:val="0"/>
      <w:marTop w:val="0"/>
      <w:marBottom w:val="0"/>
      <w:divBdr>
        <w:top w:val="none" w:sz="0" w:space="0" w:color="auto"/>
        <w:left w:val="none" w:sz="0" w:space="0" w:color="auto"/>
        <w:bottom w:val="none" w:sz="0" w:space="0" w:color="auto"/>
        <w:right w:val="none" w:sz="0" w:space="0" w:color="auto"/>
      </w:divBdr>
    </w:div>
    <w:div w:id="1483618561">
      <w:bodyDiv w:val="1"/>
      <w:marLeft w:val="0"/>
      <w:marRight w:val="0"/>
      <w:marTop w:val="0"/>
      <w:marBottom w:val="0"/>
      <w:divBdr>
        <w:top w:val="none" w:sz="0" w:space="0" w:color="auto"/>
        <w:left w:val="none" w:sz="0" w:space="0" w:color="auto"/>
        <w:bottom w:val="none" w:sz="0" w:space="0" w:color="auto"/>
        <w:right w:val="none" w:sz="0" w:space="0" w:color="auto"/>
      </w:divBdr>
    </w:div>
    <w:div w:id="1650674739">
      <w:bodyDiv w:val="1"/>
      <w:marLeft w:val="0"/>
      <w:marRight w:val="0"/>
      <w:marTop w:val="0"/>
      <w:marBottom w:val="0"/>
      <w:divBdr>
        <w:top w:val="none" w:sz="0" w:space="0" w:color="auto"/>
        <w:left w:val="none" w:sz="0" w:space="0" w:color="auto"/>
        <w:bottom w:val="none" w:sz="0" w:space="0" w:color="auto"/>
        <w:right w:val="none" w:sz="0" w:space="0" w:color="auto"/>
      </w:divBdr>
    </w:div>
    <w:div w:id="1665426851">
      <w:bodyDiv w:val="1"/>
      <w:marLeft w:val="0"/>
      <w:marRight w:val="0"/>
      <w:marTop w:val="0"/>
      <w:marBottom w:val="0"/>
      <w:divBdr>
        <w:top w:val="none" w:sz="0" w:space="0" w:color="auto"/>
        <w:left w:val="none" w:sz="0" w:space="0" w:color="auto"/>
        <w:bottom w:val="none" w:sz="0" w:space="0" w:color="auto"/>
        <w:right w:val="none" w:sz="0" w:space="0" w:color="auto"/>
      </w:divBdr>
    </w:div>
    <w:div w:id="1688095905">
      <w:bodyDiv w:val="1"/>
      <w:marLeft w:val="0"/>
      <w:marRight w:val="0"/>
      <w:marTop w:val="0"/>
      <w:marBottom w:val="0"/>
      <w:divBdr>
        <w:top w:val="none" w:sz="0" w:space="0" w:color="auto"/>
        <w:left w:val="none" w:sz="0" w:space="0" w:color="auto"/>
        <w:bottom w:val="none" w:sz="0" w:space="0" w:color="auto"/>
        <w:right w:val="none" w:sz="0" w:space="0" w:color="auto"/>
      </w:divBdr>
    </w:div>
    <w:div w:id="1720087794">
      <w:bodyDiv w:val="1"/>
      <w:marLeft w:val="0"/>
      <w:marRight w:val="0"/>
      <w:marTop w:val="0"/>
      <w:marBottom w:val="0"/>
      <w:divBdr>
        <w:top w:val="none" w:sz="0" w:space="0" w:color="auto"/>
        <w:left w:val="none" w:sz="0" w:space="0" w:color="auto"/>
        <w:bottom w:val="none" w:sz="0" w:space="0" w:color="auto"/>
        <w:right w:val="none" w:sz="0" w:space="0" w:color="auto"/>
      </w:divBdr>
    </w:div>
    <w:div w:id="1844472671">
      <w:bodyDiv w:val="1"/>
      <w:marLeft w:val="0"/>
      <w:marRight w:val="0"/>
      <w:marTop w:val="0"/>
      <w:marBottom w:val="0"/>
      <w:divBdr>
        <w:top w:val="none" w:sz="0" w:space="0" w:color="auto"/>
        <w:left w:val="none" w:sz="0" w:space="0" w:color="auto"/>
        <w:bottom w:val="none" w:sz="0" w:space="0" w:color="auto"/>
        <w:right w:val="none" w:sz="0" w:space="0" w:color="auto"/>
      </w:divBdr>
    </w:div>
    <w:div w:id="1885827130">
      <w:bodyDiv w:val="1"/>
      <w:marLeft w:val="0"/>
      <w:marRight w:val="0"/>
      <w:marTop w:val="0"/>
      <w:marBottom w:val="0"/>
      <w:divBdr>
        <w:top w:val="none" w:sz="0" w:space="0" w:color="auto"/>
        <w:left w:val="none" w:sz="0" w:space="0" w:color="auto"/>
        <w:bottom w:val="none" w:sz="0" w:space="0" w:color="auto"/>
        <w:right w:val="none" w:sz="0" w:space="0" w:color="auto"/>
      </w:divBdr>
    </w:div>
    <w:div w:id="1905141599">
      <w:bodyDiv w:val="1"/>
      <w:marLeft w:val="0"/>
      <w:marRight w:val="0"/>
      <w:marTop w:val="0"/>
      <w:marBottom w:val="0"/>
      <w:divBdr>
        <w:top w:val="none" w:sz="0" w:space="0" w:color="auto"/>
        <w:left w:val="none" w:sz="0" w:space="0" w:color="auto"/>
        <w:bottom w:val="none" w:sz="0" w:space="0" w:color="auto"/>
        <w:right w:val="none" w:sz="0" w:space="0" w:color="auto"/>
      </w:divBdr>
    </w:div>
    <w:div w:id="1986078712">
      <w:bodyDiv w:val="1"/>
      <w:marLeft w:val="0"/>
      <w:marRight w:val="0"/>
      <w:marTop w:val="0"/>
      <w:marBottom w:val="0"/>
      <w:divBdr>
        <w:top w:val="none" w:sz="0" w:space="0" w:color="auto"/>
        <w:left w:val="none" w:sz="0" w:space="0" w:color="auto"/>
        <w:bottom w:val="none" w:sz="0" w:space="0" w:color="auto"/>
        <w:right w:val="none" w:sz="0" w:space="0" w:color="auto"/>
      </w:divBdr>
    </w:div>
    <w:div w:id="1997876304">
      <w:bodyDiv w:val="1"/>
      <w:marLeft w:val="0"/>
      <w:marRight w:val="0"/>
      <w:marTop w:val="0"/>
      <w:marBottom w:val="0"/>
      <w:divBdr>
        <w:top w:val="none" w:sz="0" w:space="0" w:color="auto"/>
        <w:left w:val="none" w:sz="0" w:space="0" w:color="auto"/>
        <w:bottom w:val="none" w:sz="0" w:space="0" w:color="auto"/>
        <w:right w:val="none" w:sz="0" w:space="0" w:color="auto"/>
      </w:divBdr>
    </w:div>
    <w:div w:id="2069181362">
      <w:bodyDiv w:val="1"/>
      <w:marLeft w:val="0"/>
      <w:marRight w:val="0"/>
      <w:marTop w:val="0"/>
      <w:marBottom w:val="0"/>
      <w:divBdr>
        <w:top w:val="none" w:sz="0" w:space="0" w:color="auto"/>
        <w:left w:val="none" w:sz="0" w:space="0" w:color="auto"/>
        <w:bottom w:val="none" w:sz="0" w:space="0" w:color="auto"/>
        <w:right w:val="none" w:sz="0" w:space="0" w:color="auto"/>
      </w:divBdr>
    </w:div>
    <w:div w:id="21080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3558-F04C-425F-A962-E853C8A3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23349</Words>
  <Characters>133091</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John Agbo</cp:lastModifiedBy>
  <cp:revision>3</cp:revision>
  <dcterms:created xsi:type="dcterms:W3CDTF">2025-01-26T03:24:00Z</dcterms:created>
  <dcterms:modified xsi:type="dcterms:W3CDTF">2025-01-26T16:02:00Z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f3b9a2cc-8026-3d1e-b3cb-0634a9fffd88</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