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A3B33" w14:textId="77777777" w:rsidR="00895342" w:rsidRDefault="00067AD2">
      <w:pPr>
        <w:spacing w:line="240" w:lineRule="auto"/>
        <w:jc w:val="center"/>
        <w:rPr>
          <w:rFonts w:ascii="Arial" w:hAnsi="Arial" w:cs="Arial"/>
          <w:b/>
          <w:sz w:val="24"/>
          <w:lang w:val="en-US"/>
        </w:rPr>
      </w:pPr>
      <w:r>
        <w:rPr>
          <w:rFonts w:ascii="Arial" w:hAnsi="Arial" w:cs="Arial"/>
          <w:b/>
          <w:sz w:val="24"/>
          <w:lang w:val="en-US"/>
        </w:rPr>
        <w:t xml:space="preserve">EFFECT OF ORGANIC FARMING ON SOIL </w:t>
      </w:r>
      <w:r>
        <w:rPr>
          <w:rFonts w:ascii="Arial" w:hAnsi="Arial" w:cs="Arial"/>
          <w:b/>
          <w:sz w:val="24"/>
        </w:rPr>
        <w:t xml:space="preserve">PHYSICAL PROPERTIES AND ORGANIC CARBON POOLS </w:t>
      </w:r>
      <w:r>
        <w:rPr>
          <w:rFonts w:ascii="Arial" w:hAnsi="Arial" w:cs="Arial"/>
          <w:b/>
          <w:sz w:val="24"/>
          <w:lang w:val="en-US"/>
        </w:rPr>
        <w:t>IN GROUNDNUT BASED CROPPING SYSTEMS</w:t>
      </w:r>
    </w:p>
    <w:p w14:paraId="79F7786F" w14:textId="77777777" w:rsidR="00363890" w:rsidRDefault="00363890">
      <w:pPr>
        <w:spacing w:after="120" w:line="240" w:lineRule="auto"/>
        <w:jc w:val="both"/>
        <w:rPr>
          <w:rFonts w:ascii="Arial" w:hAnsi="Arial" w:cs="Arial"/>
          <w:b/>
        </w:rPr>
      </w:pPr>
    </w:p>
    <w:p w14:paraId="6F2FB04F" w14:textId="57412A0F" w:rsidR="00895342" w:rsidRDefault="00067AD2">
      <w:pPr>
        <w:spacing w:after="120" w:line="240" w:lineRule="auto"/>
        <w:jc w:val="both"/>
        <w:rPr>
          <w:rFonts w:ascii="Arial" w:hAnsi="Arial" w:cs="Arial"/>
          <w:b/>
        </w:rPr>
      </w:pPr>
      <w:r>
        <w:rPr>
          <w:rFonts w:ascii="Arial" w:hAnsi="Arial" w:cs="Arial"/>
          <w:b/>
        </w:rPr>
        <w:t xml:space="preserve">ABSTRACT </w:t>
      </w:r>
    </w:p>
    <w:tbl>
      <w:tblPr>
        <w:tblStyle w:val="TableGrid"/>
        <w:tblW w:w="0" w:type="auto"/>
        <w:tblLook w:val="04A0" w:firstRow="1" w:lastRow="0" w:firstColumn="1" w:lastColumn="0" w:noHBand="0" w:noVBand="1"/>
      </w:tblPr>
      <w:tblGrid>
        <w:gridCol w:w="9016"/>
      </w:tblGrid>
      <w:tr w:rsidR="00895342" w14:paraId="7260746C" w14:textId="77777777">
        <w:tc>
          <w:tcPr>
            <w:tcW w:w="9016" w:type="dxa"/>
          </w:tcPr>
          <w:p w14:paraId="138BB9B8" w14:textId="32491B4F" w:rsidR="00895342" w:rsidRDefault="00067AD2" w:rsidP="005B33CD">
            <w:pPr>
              <w:spacing w:after="120" w:line="240" w:lineRule="auto"/>
              <w:jc w:val="both"/>
              <w:rPr>
                <w:rFonts w:ascii="Arial" w:hAnsi="Arial" w:cs="Arial"/>
                <w:b/>
                <w:sz w:val="20"/>
                <w:szCs w:val="20"/>
              </w:rPr>
            </w:pPr>
            <w:r>
              <w:rPr>
                <w:rFonts w:ascii="Arial" w:hAnsi="Arial" w:cs="Arial"/>
                <w:sz w:val="20"/>
                <w:szCs w:val="20"/>
              </w:rPr>
              <w:t>The agricultural production systems leading to loss of soil organic carbon (SOC) might be contributing to release of CO</w:t>
            </w:r>
            <w:r>
              <w:rPr>
                <w:rFonts w:ascii="Arial" w:hAnsi="Arial" w:cs="Arial"/>
                <w:sz w:val="20"/>
                <w:szCs w:val="20"/>
                <w:vertAlign w:val="subscript"/>
              </w:rPr>
              <w:t>2</w:t>
            </w:r>
            <w:r>
              <w:rPr>
                <w:rFonts w:ascii="Arial" w:hAnsi="Arial" w:cs="Arial"/>
                <w:sz w:val="20"/>
                <w:szCs w:val="20"/>
              </w:rPr>
              <w:t xml:space="preserve"> into the atmosphere. Therefore, an attempt was made to assess the organic carbon </w:t>
            </w:r>
            <w:proofErr w:type="spellStart"/>
            <w:r>
              <w:rPr>
                <w:rFonts w:ascii="Arial" w:hAnsi="Arial" w:cs="Arial"/>
                <w:sz w:val="20"/>
                <w:szCs w:val="20"/>
              </w:rPr>
              <w:t>stock</w:t>
            </w:r>
            <w:proofErr w:type="gramStart"/>
            <w:ins w:id="0" w:author="mouki" w:date="2025-02-21T22:35:00Z">
              <w:r w:rsidR="005B33CD">
                <w:rPr>
                  <w:rFonts w:ascii="Arial" w:hAnsi="Arial" w:cs="Arial"/>
                  <w:sz w:val="20"/>
                  <w:szCs w:val="20"/>
                </w:rPr>
                <w:t>,</w:t>
              </w:r>
            </w:ins>
            <w:proofErr w:type="gramEnd"/>
            <w:del w:id="1" w:author="mouki" w:date="2025-02-21T22:35:00Z">
              <w:r w:rsidDel="005B33CD">
                <w:rPr>
                  <w:rFonts w:ascii="Arial" w:hAnsi="Arial" w:cs="Arial"/>
                  <w:sz w:val="20"/>
                  <w:szCs w:val="20"/>
                </w:rPr>
                <w:delText xml:space="preserve"> and </w:delText>
              </w:r>
            </w:del>
            <w:r>
              <w:rPr>
                <w:rFonts w:ascii="Arial" w:hAnsi="Arial" w:cs="Arial"/>
                <w:sz w:val="20"/>
                <w:szCs w:val="20"/>
              </w:rPr>
              <w:t>related</w:t>
            </w:r>
            <w:proofErr w:type="spellEnd"/>
            <w:r>
              <w:rPr>
                <w:rFonts w:ascii="Arial" w:hAnsi="Arial" w:cs="Arial"/>
                <w:sz w:val="20"/>
                <w:szCs w:val="20"/>
              </w:rPr>
              <w:t xml:space="preserve"> soil </w:t>
            </w:r>
            <w:ins w:id="2" w:author="mouki" w:date="2025-02-21T21:59:00Z">
              <w:r w:rsidR="00B77250">
                <w:rPr>
                  <w:rFonts w:ascii="Arial" w:hAnsi="Arial" w:cs="Arial"/>
                  <w:sz w:val="20"/>
                  <w:szCs w:val="20"/>
                </w:rPr>
                <w:t>physical</w:t>
              </w:r>
            </w:ins>
            <w:ins w:id="3" w:author="mouki" w:date="2025-02-21T22:35:00Z">
              <w:r w:rsidR="005B33CD">
                <w:rPr>
                  <w:rFonts w:ascii="Arial" w:hAnsi="Arial" w:cs="Arial"/>
                  <w:sz w:val="20"/>
                  <w:szCs w:val="20"/>
                </w:rPr>
                <w:t xml:space="preserve"> and </w:t>
              </w:r>
              <w:proofErr w:type="spellStart"/>
              <w:r w:rsidR="005B33CD">
                <w:rPr>
                  <w:rFonts w:ascii="Arial" w:hAnsi="Arial" w:cs="Arial"/>
                  <w:sz w:val="20"/>
                  <w:szCs w:val="20"/>
                </w:rPr>
                <w:t>physi</w:t>
              </w:r>
              <w:bookmarkStart w:id="4" w:name="_GoBack"/>
              <w:bookmarkEnd w:id="4"/>
              <w:r w:rsidR="005B33CD">
                <w:rPr>
                  <w:rFonts w:ascii="Arial" w:hAnsi="Arial" w:cs="Arial"/>
                  <w:sz w:val="20"/>
                  <w:szCs w:val="20"/>
                </w:rPr>
                <w:t>co</w:t>
              </w:r>
              <w:proofErr w:type="spellEnd"/>
              <w:r w:rsidR="005B33CD">
                <w:rPr>
                  <w:rFonts w:ascii="Arial" w:hAnsi="Arial" w:cs="Arial"/>
                  <w:sz w:val="20"/>
                  <w:szCs w:val="20"/>
                </w:rPr>
                <w:t>-chemical</w:t>
              </w:r>
            </w:ins>
            <w:ins w:id="5" w:author="mouki" w:date="2025-02-21T21:59:00Z">
              <w:r w:rsidR="00B77250">
                <w:rPr>
                  <w:rFonts w:ascii="Arial" w:hAnsi="Arial" w:cs="Arial"/>
                  <w:sz w:val="20"/>
                  <w:szCs w:val="20"/>
                </w:rPr>
                <w:t xml:space="preserve"> </w:t>
              </w:r>
            </w:ins>
            <w:r>
              <w:rPr>
                <w:rFonts w:ascii="Arial" w:hAnsi="Arial" w:cs="Arial"/>
                <w:sz w:val="20"/>
                <w:szCs w:val="20"/>
              </w:rPr>
              <w:t xml:space="preserve">properties under different groundnut based cropping systems </w:t>
            </w:r>
            <w:r>
              <w:rPr>
                <w:rFonts w:ascii="Arial" w:hAnsi="Arial" w:cs="Arial"/>
                <w:i/>
                <w:iCs/>
                <w:sz w:val="20"/>
                <w:szCs w:val="20"/>
              </w:rPr>
              <w:t>viz</w:t>
            </w:r>
            <w:r>
              <w:rPr>
                <w:rFonts w:ascii="Arial" w:hAnsi="Arial" w:cs="Arial"/>
                <w:sz w:val="20"/>
                <w:szCs w:val="20"/>
              </w:rPr>
              <w:t>., groundnut-groundnut, groundnut-</w:t>
            </w:r>
            <w:proofErr w:type="spellStart"/>
            <w:r>
              <w:rPr>
                <w:rFonts w:ascii="Arial" w:hAnsi="Arial" w:cs="Arial"/>
                <w:sz w:val="20"/>
                <w:szCs w:val="20"/>
              </w:rPr>
              <w:t>blackgram</w:t>
            </w:r>
            <w:proofErr w:type="spellEnd"/>
            <w:r>
              <w:rPr>
                <w:rFonts w:ascii="Arial" w:hAnsi="Arial" w:cs="Arial"/>
                <w:sz w:val="20"/>
                <w:szCs w:val="20"/>
              </w:rPr>
              <w:t xml:space="preserve">, groundnut-finger millet and groundnut-foxtail millet. Soil samples (0-15 and 15-30 cm depth) were collected from each cropping system after the harvest of the </w:t>
            </w:r>
            <w:r>
              <w:rPr>
                <w:rFonts w:ascii="Arial" w:hAnsi="Arial" w:cs="Arial"/>
                <w:i/>
                <w:iCs/>
                <w:sz w:val="20"/>
                <w:szCs w:val="20"/>
              </w:rPr>
              <w:t xml:space="preserve">rabi </w:t>
            </w:r>
            <w:r>
              <w:rPr>
                <w:rFonts w:ascii="Arial" w:hAnsi="Arial" w:cs="Arial"/>
                <w:sz w:val="20"/>
                <w:szCs w:val="20"/>
              </w:rPr>
              <w:t>crop. Analysis on particle size distribution and pH revealed that soil was sandy loam and neutral to slightly alkaline in nature. The soil physical properties were varied under organic farming and ICM practice. The lower bulk density (1.51 and 1.60 Mg m</w:t>
            </w:r>
            <w:r>
              <w:rPr>
                <w:rFonts w:ascii="Arial" w:hAnsi="Arial" w:cs="Arial"/>
                <w:sz w:val="20"/>
                <w:szCs w:val="20"/>
                <w:vertAlign w:val="superscript"/>
              </w:rPr>
              <w:t>-3</w:t>
            </w:r>
            <w:r>
              <w:rPr>
                <w:rFonts w:ascii="Arial" w:hAnsi="Arial" w:cs="Arial"/>
                <w:sz w:val="20"/>
                <w:szCs w:val="20"/>
              </w:rPr>
              <w:t>), higher porosity (43.10 and 39.69 per cent), aggregate stability (66.22 and 64.79 per cent), MWD (0.93 and 0.91 mm), infiltration rate (19.02 cm hr</w:t>
            </w:r>
            <w:r>
              <w:rPr>
                <w:rFonts w:ascii="Arial" w:hAnsi="Arial" w:cs="Arial"/>
                <w:sz w:val="20"/>
                <w:szCs w:val="20"/>
                <w:vertAlign w:val="superscript"/>
              </w:rPr>
              <w:t>-1</w:t>
            </w:r>
            <w:r>
              <w:rPr>
                <w:rFonts w:ascii="Arial" w:hAnsi="Arial" w:cs="Arial"/>
                <w:sz w:val="20"/>
                <w:szCs w:val="20"/>
              </w:rPr>
              <w:t>) and saturated hydraulic conductivity (8.98 and 7.79 cm hr</w:t>
            </w:r>
            <w:r>
              <w:rPr>
                <w:rFonts w:ascii="Arial" w:hAnsi="Arial" w:cs="Arial"/>
                <w:sz w:val="20"/>
                <w:szCs w:val="20"/>
                <w:vertAlign w:val="superscript"/>
              </w:rPr>
              <w:t>-1</w:t>
            </w:r>
            <w:r>
              <w:rPr>
                <w:rFonts w:ascii="Arial" w:hAnsi="Arial" w:cs="Arial"/>
                <w:sz w:val="20"/>
                <w:szCs w:val="20"/>
              </w:rPr>
              <w:t>) were recorded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xml:space="preserve">) at 0-15 and 15-30 cm, respectively. </w:t>
            </w:r>
            <w:r>
              <w:rPr>
                <w:rFonts w:ascii="Arial" w:hAnsi="Arial" w:cs="Arial"/>
                <w:bCs/>
                <w:sz w:val="20"/>
                <w:szCs w:val="20"/>
              </w:rPr>
              <w:t xml:space="preserve">The soil </w:t>
            </w:r>
            <w:r>
              <w:rPr>
                <w:rFonts w:ascii="Arial" w:hAnsi="Arial" w:cs="Arial"/>
                <w:sz w:val="20"/>
                <w:szCs w:val="20"/>
              </w:rPr>
              <w:t xml:space="preserve">moisture content was recorded at flowering, peg initiation, and pod development during </w:t>
            </w:r>
            <w:r>
              <w:rPr>
                <w:rFonts w:ascii="Arial" w:hAnsi="Arial" w:cs="Arial"/>
                <w:i/>
                <w:iCs/>
                <w:sz w:val="20"/>
                <w:szCs w:val="20"/>
              </w:rPr>
              <w:t xml:space="preserve">kharif </w:t>
            </w:r>
            <w:r>
              <w:rPr>
                <w:rFonts w:ascii="Arial" w:hAnsi="Arial" w:cs="Arial"/>
                <w:sz w:val="20"/>
                <w:szCs w:val="20"/>
              </w:rPr>
              <w:t xml:space="preserve">season and higher was recorded under organic farming (17.58, 23.12 and 11.52 per cent; 16.96, 22.48 and 10.86 per cent) compared to ICM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(16.58, 21.32 and 10.28 per cent; 15.88, 20.84 and 9.88 per cent) at 0-15 cm and 15-30 cm, respectively. However, the physical properties were not varied among different groundnut based cropping systems. The higher OC (0.54 and 0.49 per cent), water soluble carbon (13.91 and 11.57 </w:t>
            </w:r>
            <w:r>
              <w:rPr>
                <w:rFonts w:ascii="Arial" w:hAnsi="Arial" w:cs="Arial"/>
                <w:bCs/>
                <w:sz w:val="20"/>
                <w:szCs w:val="20"/>
              </w:rPr>
              <w:t>mg kg</w:t>
            </w:r>
            <w:r>
              <w:rPr>
                <w:rFonts w:ascii="Arial" w:hAnsi="Arial" w:cs="Arial"/>
                <w:bCs/>
                <w:sz w:val="20"/>
                <w:szCs w:val="20"/>
                <w:vertAlign w:val="superscript"/>
              </w:rPr>
              <w:t>-1</w:t>
            </w:r>
            <w:r>
              <w:rPr>
                <w:rFonts w:ascii="Arial" w:hAnsi="Arial" w:cs="Arial"/>
                <w:b/>
                <w:bCs/>
                <w:sz w:val="20"/>
                <w:szCs w:val="20"/>
              </w:rPr>
              <w:t xml:space="preserve">), </w:t>
            </w:r>
            <w:r>
              <w:rPr>
                <w:rFonts w:ascii="Arial" w:hAnsi="Arial" w:cs="Arial"/>
                <w:bCs/>
                <w:sz w:val="20"/>
                <w:szCs w:val="20"/>
              </w:rPr>
              <w:t xml:space="preserve">active C pool (0.27 and 0.24 per cent) and passive C pool (0.26 and 0.25 per cent) were recorded under </w:t>
            </w:r>
            <w:r>
              <w:rPr>
                <w:rFonts w:ascii="Arial" w:hAnsi="Arial" w:cs="Arial"/>
                <w:sz w:val="20"/>
                <w:szCs w:val="20"/>
              </w:rPr>
              <w:t xml:space="preserve">organic farming compared to ICM practice at 0-15 and 15-30 cm, respectively. </w:t>
            </w:r>
          </w:p>
        </w:tc>
      </w:tr>
    </w:tbl>
    <w:p w14:paraId="795F565B" w14:textId="77777777" w:rsidR="00895342" w:rsidRDefault="00895342">
      <w:pPr>
        <w:spacing w:after="120" w:line="240" w:lineRule="auto"/>
        <w:jc w:val="both"/>
        <w:rPr>
          <w:rFonts w:ascii="Arial" w:hAnsi="Arial" w:cs="Arial"/>
          <w:b/>
          <w:sz w:val="8"/>
        </w:rPr>
      </w:pPr>
    </w:p>
    <w:p w14:paraId="5980DC77" w14:textId="105F3ADC" w:rsidR="00895342" w:rsidRDefault="00067AD2">
      <w:pPr>
        <w:spacing w:after="120" w:line="240" w:lineRule="auto"/>
        <w:jc w:val="both"/>
        <w:rPr>
          <w:rFonts w:ascii="Arial" w:hAnsi="Arial" w:cs="Times New Roman"/>
          <w:sz w:val="20"/>
          <w:szCs w:val="24"/>
        </w:rPr>
      </w:pPr>
      <w:r>
        <w:rPr>
          <w:rFonts w:ascii="Arial" w:hAnsi="Arial" w:cs="Arial"/>
          <w:sz w:val="20"/>
          <w:szCs w:val="20"/>
        </w:rPr>
        <w:t xml:space="preserve">Keywords: </w:t>
      </w:r>
      <w:del w:id="6" w:author="mouki" w:date="2025-02-21T21:58:00Z">
        <w:r w:rsidDel="00B77250">
          <w:rPr>
            <w:rFonts w:ascii="Arial" w:hAnsi="Arial" w:cs="Arial"/>
            <w:sz w:val="20"/>
            <w:szCs w:val="20"/>
          </w:rPr>
          <w:delText xml:space="preserve">Carbon </w:delText>
        </w:r>
      </w:del>
      <w:ins w:id="7" w:author="mouki" w:date="2025-02-21T21:58:00Z">
        <w:r w:rsidR="00B77250">
          <w:rPr>
            <w:rFonts w:ascii="Arial" w:hAnsi="Arial" w:cs="Arial"/>
            <w:sz w:val="20"/>
            <w:szCs w:val="20"/>
          </w:rPr>
          <w:t xml:space="preserve">carbon </w:t>
        </w:r>
      </w:ins>
      <w:r>
        <w:rPr>
          <w:rFonts w:ascii="Arial" w:hAnsi="Arial" w:cs="Arial"/>
          <w:sz w:val="20"/>
          <w:szCs w:val="20"/>
        </w:rPr>
        <w:t xml:space="preserve">pools, cropping systems, ICM practice, </w:t>
      </w:r>
      <w:del w:id="8" w:author="mouki" w:date="2025-02-21T21:58:00Z">
        <w:r w:rsidDel="00B77250">
          <w:rPr>
            <w:rFonts w:ascii="Arial" w:hAnsi="Arial" w:cs="Arial"/>
            <w:sz w:val="20"/>
            <w:szCs w:val="20"/>
          </w:rPr>
          <w:delText xml:space="preserve">Organic </w:delText>
        </w:r>
      </w:del>
      <w:ins w:id="9" w:author="mouki" w:date="2025-02-21T21:58:00Z">
        <w:r w:rsidR="00B77250">
          <w:rPr>
            <w:rFonts w:ascii="Arial" w:hAnsi="Arial" w:cs="Arial"/>
            <w:sz w:val="20"/>
            <w:szCs w:val="20"/>
          </w:rPr>
          <w:t xml:space="preserve">organic </w:t>
        </w:r>
      </w:ins>
      <w:r>
        <w:rPr>
          <w:rFonts w:ascii="Arial" w:hAnsi="Arial" w:cs="Arial"/>
          <w:sz w:val="20"/>
          <w:szCs w:val="20"/>
        </w:rPr>
        <w:t>farming</w:t>
      </w:r>
      <w:ins w:id="10" w:author="mouki" w:date="2025-02-21T21:58:00Z">
        <w:r w:rsidR="00B77250">
          <w:rPr>
            <w:rFonts w:ascii="Arial" w:hAnsi="Arial" w:cs="Arial"/>
            <w:sz w:val="20"/>
            <w:szCs w:val="20"/>
          </w:rPr>
          <w:t>,</w:t>
        </w:r>
      </w:ins>
      <w:ins w:id="11" w:author="mouki" w:date="2025-02-21T21:59:00Z">
        <w:r w:rsidR="00B77250">
          <w:rPr>
            <w:rFonts w:ascii="Arial" w:hAnsi="Arial" w:cs="Arial"/>
            <w:sz w:val="20"/>
            <w:szCs w:val="20"/>
          </w:rPr>
          <w:t xml:space="preserve"> soil physical properties</w:t>
        </w:r>
      </w:ins>
      <w:del w:id="12" w:author="mouki" w:date="2025-02-21T21:59:00Z">
        <w:r w:rsidDel="00B77250">
          <w:rPr>
            <w:rFonts w:ascii="Arial" w:hAnsi="Arial" w:cs="Times New Roman"/>
            <w:sz w:val="20"/>
            <w:szCs w:val="24"/>
          </w:rPr>
          <w:delText>.</w:delText>
        </w:r>
      </w:del>
    </w:p>
    <w:p w14:paraId="3F96A15D" w14:textId="77777777" w:rsidR="00895342" w:rsidRDefault="00895342">
      <w:pPr>
        <w:spacing w:after="120" w:line="240" w:lineRule="auto"/>
        <w:jc w:val="both"/>
        <w:rPr>
          <w:rFonts w:ascii="Arial" w:hAnsi="Arial" w:cs="Times New Roman"/>
          <w:sz w:val="20"/>
          <w:szCs w:val="24"/>
        </w:rPr>
      </w:pPr>
    </w:p>
    <w:p w14:paraId="10B9485A" w14:textId="77777777" w:rsidR="00895342" w:rsidRDefault="00067AD2">
      <w:pPr>
        <w:spacing w:after="120" w:line="240" w:lineRule="auto"/>
        <w:jc w:val="both"/>
        <w:rPr>
          <w:rFonts w:ascii="Arial" w:hAnsi="Arial" w:cs="Arial"/>
          <w:b/>
        </w:rPr>
      </w:pPr>
      <w:r>
        <w:rPr>
          <w:rFonts w:ascii="Arial" w:hAnsi="Arial" w:cs="Arial"/>
          <w:b/>
        </w:rPr>
        <w:t>1. INTRODUCTION</w:t>
      </w:r>
    </w:p>
    <w:p w14:paraId="2F1956D3" w14:textId="6E3AAC24" w:rsidR="00895342" w:rsidRDefault="00067AD2">
      <w:pPr>
        <w:spacing w:after="120" w:line="240" w:lineRule="auto"/>
        <w:jc w:val="both"/>
        <w:rPr>
          <w:rFonts w:ascii="Arial" w:hAnsi="Arial" w:cs="Arial"/>
          <w:sz w:val="20"/>
          <w:szCs w:val="20"/>
        </w:rPr>
      </w:pPr>
      <w:r>
        <w:rPr>
          <w:rFonts w:ascii="Arial" w:hAnsi="Arial" w:cs="Arial"/>
          <w:sz w:val="20"/>
          <w:szCs w:val="20"/>
        </w:rPr>
        <w:t xml:space="preserve">Climate change and food insecurity are pressing global challenges faced by humanity (Hasegawa </w:t>
      </w:r>
      <w:r>
        <w:rPr>
          <w:rFonts w:ascii="Arial" w:hAnsi="Arial" w:cs="Arial"/>
          <w:i/>
          <w:sz w:val="20"/>
          <w:szCs w:val="20"/>
        </w:rPr>
        <w:t xml:space="preserve">et al., </w:t>
      </w:r>
      <w:r>
        <w:rPr>
          <w:rFonts w:ascii="Arial" w:hAnsi="Arial" w:cs="Arial"/>
          <w:sz w:val="20"/>
          <w:szCs w:val="20"/>
        </w:rPr>
        <w:t>2021). One effective approach to address both issues involve sequestering atmospheric CO</w:t>
      </w:r>
      <w:r>
        <w:rPr>
          <w:rFonts w:ascii="Arial" w:hAnsi="Arial" w:cs="Arial"/>
          <w:sz w:val="20"/>
          <w:szCs w:val="20"/>
          <w:vertAlign w:val="subscript"/>
        </w:rPr>
        <w:t>2</w:t>
      </w:r>
      <w:r>
        <w:rPr>
          <w:rFonts w:ascii="Arial" w:hAnsi="Arial" w:cs="Arial"/>
          <w:sz w:val="20"/>
          <w:szCs w:val="20"/>
        </w:rPr>
        <w:t xml:space="preserve">-C in agricultural soils. Implementing management practices such as suitable crop rotations (Wright and Hons, 2005) and integrated nutrient management (Mandal </w:t>
      </w:r>
      <w:r>
        <w:rPr>
          <w:rFonts w:ascii="Arial" w:hAnsi="Arial" w:cs="Arial"/>
          <w:i/>
          <w:sz w:val="20"/>
          <w:szCs w:val="20"/>
        </w:rPr>
        <w:t>et al.,</w:t>
      </w:r>
      <w:r>
        <w:rPr>
          <w:rFonts w:ascii="Arial" w:hAnsi="Arial" w:cs="Arial"/>
          <w:sz w:val="20"/>
          <w:szCs w:val="20"/>
        </w:rPr>
        <w:t xml:space="preserve"> 2007; </w:t>
      </w:r>
      <w:proofErr w:type="spellStart"/>
      <w:r>
        <w:rPr>
          <w:rFonts w:ascii="Arial" w:hAnsi="Arial" w:cs="Arial"/>
          <w:sz w:val="20"/>
          <w:szCs w:val="20"/>
        </w:rPr>
        <w:t>Majumder</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2008</w:t>
      </w:r>
      <w:r w:rsidR="00737522">
        <w:rPr>
          <w:rFonts w:ascii="Arial" w:hAnsi="Arial" w:cs="Arial"/>
          <w:sz w:val="20"/>
          <w:szCs w:val="20"/>
        </w:rPr>
        <w:t xml:space="preserve">; Reddy </w:t>
      </w:r>
      <w:r w:rsidR="00737522" w:rsidRPr="00737522">
        <w:rPr>
          <w:rFonts w:ascii="Arial" w:hAnsi="Arial" w:cs="Arial"/>
          <w:i/>
          <w:sz w:val="20"/>
          <w:szCs w:val="20"/>
        </w:rPr>
        <w:t>et al</w:t>
      </w:r>
      <w:r w:rsidR="00737522">
        <w:rPr>
          <w:rFonts w:ascii="Arial" w:hAnsi="Arial" w:cs="Arial"/>
          <w:sz w:val="20"/>
          <w:szCs w:val="20"/>
        </w:rPr>
        <w:t>., 2019</w:t>
      </w:r>
      <w:r>
        <w:rPr>
          <w:rFonts w:ascii="Arial" w:hAnsi="Arial" w:cs="Arial"/>
          <w:sz w:val="20"/>
          <w:szCs w:val="20"/>
        </w:rPr>
        <w:t>) can play a pivotal role</w:t>
      </w:r>
      <w:ins w:id="13" w:author="mouki" w:date="2025-02-21T22:00:00Z">
        <w:r w:rsidR="00B77250">
          <w:rPr>
            <w:rFonts w:ascii="Arial" w:hAnsi="Arial" w:cs="Arial"/>
            <w:sz w:val="20"/>
            <w:szCs w:val="20"/>
          </w:rPr>
          <w:t xml:space="preserve"> for sequestering the atmospheric carbon in to the soil</w:t>
        </w:r>
      </w:ins>
      <w:r>
        <w:rPr>
          <w:rFonts w:ascii="Arial" w:hAnsi="Arial" w:cs="Arial"/>
          <w:sz w:val="20"/>
          <w:szCs w:val="20"/>
        </w:rPr>
        <w:t>.</w:t>
      </w:r>
      <w:ins w:id="14" w:author="mouki" w:date="2025-02-21T22:00:00Z">
        <w:r w:rsidR="00B77250">
          <w:rPr>
            <w:rFonts w:ascii="Arial" w:hAnsi="Arial" w:cs="Arial"/>
            <w:sz w:val="20"/>
            <w:szCs w:val="20"/>
          </w:rPr>
          <w:t xml:space="preserve"> </w:t>
        </w:r>
      </w:ins>
      <w:r>
        <w:rPr>
          <w:rFonts w:ascii="Arial" w:hAnsi="Arial" w:cs="Arial"/>
          <w:sz w:val="20"/>
          <w:szCs w:val="20"/>
        </w:rPr>
        <w:t>Soil health, defined as the capacity of soil to function as a living system, is essential for maintaining the stability of terrestrial ecosystems and buffering against disturbances like drought, climate change, pest infestations and soil pollution. However, soil degradation, which undermines soil health, poses significant risks to the well-being of humans, animals and plants</w:t>
      </w:r>
      <w:r w:rsidR="0073372A">
        <w:rPr>
          <w:rFonts w:ascii="Arial" w:hAnsi="Arial" w:cs="Arial"/>
          <w:sz w:val="20"/>
          <w:szCs w:val="20"/>
        </w:rPr>
        <w:t xml:space="preserve"> (Suresh </w:t>
      </w:r>
      <w:r w:rsidR="0073372A" w:rsidRPr="0073372A">
        <w:rPr>
          <w:rFonts w:ascii="Arial" w:hAnsi="Arial" w:cs="Arial"/>
          <w:i/>
          <w:sz w:val="20"/>
          <w:szCs w:val="20"/>
        </w:rPr>
        <w:t>et al</w:t>
      </w:r>
      <w:r w:rsidR="0073372A">
        <w:rPr>
          <w:rFonts w:ascii="Arial" w:hAnsi="Arial" w:cs="Arial"/>
          <w:sz w:val="20"/>
          <w:szCs w:val="20"/>
        </w:rPr>
        <w:t>., 2017)</w:t>
      </w:r>
      <w:r>
        <w:rPr>
          <w:rFonts w:ascii="Arial" w:hAnsi="Arial" w:cs="Arial"/>
          <w:sz w:val="20"/>
          <w:szCs w:val="20"/>
        </w:rPr>
        <w:t xml:space="preserve">. Restoring soil health through sustainable farming practices is a </w:t>
      </w:r>
      <w:del w:id="15" w:author="mouki" w:date="2025-02-21T22:01:00Z">
        <w:r w:rsidDel="00B77250">
          <w:rPr>
            <w:rFonts w:ascii="Arial" w:hAnsi="Arial" w:cs="Arial"/>
            <w:sz w:val="20"/>
            <w:szCs w:val="20"/>
          </w:rPr>
          <w:delText>ltime</w:delText>
        </w:r>
      </w:del>
      <w:ins w:id="16" w:author="mouki" w:date="2025-02-21T22:01:00Z">
        <w:r w:rsidR="00B77250">
          <w:rPr>
            <w:rFonts w:ascii="Arial" w:hAnsi="Arial" w:cs="Arial"/>
            <w:sz w:val="20"/>
            <w:szCs w:val="20"/>
          </w:rPr>
          <w:t>time</w:t>
        </w:r>
      </w:ins>
      <w:r>
        <w:rPr>
          <w:rFonts w:ascii="Arial" w:hAnsi="Arial" w:cs="Arial"/>
          <w:sz w:val="20"/>
          <w:szCs w:val="20"/>
        </w:rPr>
        <w:t xml:space="preserve"> consuming process, especially in regions with limited growing degree days. Therefore, the key challenge lies in identifying soil management techniques that enhance soil organic carbon sequestration and moisture retention, ensuring sustained productivity and profitability for farmers.</w:t>
      </w:r>
    </w:p>
    <w:p w14:paraId="7A24A3FB" w14:textId="497F46DC" w:rsidR="00895342" w:rsidRDefault="00067AD2">
      <w:pPr>
        <w:spacing w:after="120" w:line="240" w:lineRule="auto"/>
        <w:ind w:firstLine="720"/>
        <w:jc w:val="both"/>
        <w:rPr>
          <w:rFonts w:ascii="Arial" w:hAnsi="Arial" w:cs="Arial"/>
          <w:sz w:val="20"/>
          <w:szCs w:val="20"/>
        </w:rPr>
      </w:pPr>
      <w:del w:id="17" w:author="mouki" w:date="2025-02-21T22:02:00Z">
        <w:r w:rsidDel="00B77250">
          <w:rPr>
            <w:rFonts w:ascii="Arial" w:hAnsi="Arial" w:cs="Arial"/>
            <w:noProof/>
            <w:sz w:val="20"/>
            <w:szCs w:val="20"/>
            <w:rPrChange w:id="18">
              <w:rPr>
                <w:noProof/>
              </w:rPr>
            </w:rPrChange>
          </w:rPr>
          <mc:AlternateContent>
            <mc:Choice Requires="wps">
              <w:drawing>
                <wp:anchor distT="0" distB="0" distL="114300" distR="114300" simplePos="0" relativeHeight="251659264" behindDoc="0" locked="0" layoutInCell="1" allowOverlap="1" wp14:anchorId="42D1D0AE" wp14:editId="568B6E17">
                  <wp:simplePos x="0" y="0"/>
                  <wp:positionH relativeFrom="column">
                    <wp:posOffset>488983</wp:posOffset>
                  </wp:positionH>
                  <wp:positionV relativeFrom="paragraph">
                    <wp:posOffset>920193</wp:posOffset>
                  </wp:positionV>
                  <wp:extent cx="3532665" cy="225218"/>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3532665" cy="2252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400CA9" w14:textId="77777777" w:rsidR="00B77250" w:rsidRDefault="00B7725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5pt;margin-top:72.45pt;width:278.1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" filled="f" stroked="f" strokeweight=".5pt">
                  <v:textbox>
                    <w:txbxContent>
                      <w:p w14:paraId="2E400CA9" w14:textId="77777777" w:rsidR="00B77250" w:rsidRDefault="00B77250"/>
                    </w:txbxContent>
                  </v:textbox>
                </v:shape>
              </w:pict>
            </mc:Fallback>
          </mc:AlternateContent>
        </w:r>
      </w:del>
      <w:r>
        <w:rPr>
          <w:rFonts w:ascii="Arial" w:hAnsi="Arial" w:cs="Arial"/>
          <w:sz w:val="20"/>
          <w:szCs w:val="20"/>
        </w:rPr>
        <w:t>The use of organic manures, a traditional agricultural practice employed for centuries, remains vital for providing nutrients and improving soil quality. Organic manure application enhances soil physical properties by increasing soil aggregation and stability, reducing micropore volume while increasing macropores, improving saturated hydraulic conductivity, and boosting water infiltration rate. Additionally, it enhances soil water holding capacity at both field capacity and wilting point (</w:t>
      </w:r>
      <w:proofErr w:type="spellStart"/>
      <w:r>
        <w:rPr>
          <w:rFonts w:ascii="Arial" w:hAnsi="Arial" w:cs="Arial"/>
          <w:sz w:val="20"/>
          <w:szCs w:val="20"/>
        </w:rPr>
        <w:t>Sulfab</w:t>
      </w:r>
      <w:proofErr w:type="spellEnd"/>
      <w:r>
        <w:rPr>
          <w:rFonts w:ascii="Arial" w:hAnsi="Arial" w:cs="Arial"/>
          <w:sz w:val="20"/>
          <w:szCs w:val="20"/>
        </w:rPr>
        <w:t>, 2013).</w:t>
      </w:r>
      <w:ins w:id="19" w:author="mouki" w:date="2025-02-21T22:03:00Z">
        <w:r w:rsidR="00B77250">
          <w:rPr>
            <w:rFonts w:ascii="Arial" w:hAnsi="Arial" w:cs="Arial"/>
            <w:sz w:val="20"/>
            <w:szCs w:val="20"/>
          </w:rPr>
          <w:t xml:space="preserve"> </w:t>
        </w:r>
      </w:ins>
      <w:r>
        <w:rPr>
          <w:rFonts w:ascii="Arial" w:hAnsi="Arial" w:cs="Arial"/>
          <w:sz w:val="20"/>
          <w:szCs w:val="20"/>
        </w:rPr>
        <w:t xml:space="preserve">Groundnut leaves contribute residual fertility, which benefits subsequent crops in rainfed farming systems. Incorporating organic manures like farmyard manure and vermicompost further improves soil structure, microbial activity and moisture conservation, ultimately stabilizing crop productivity in </w:t>
      </w:r>
      <w:proofErr w:type="spellStart"/>
      <w:r>
        <w:rPr>
          <w:rFonts w:ascii="Arial" w:hAnsi="Arial" w:cs="Arial"/>
          <w:sz w:val="20"/>
          <w:szCs w:val="20"/>
        </w:rPr>
        <w:t>rainfed</w:t>
      </w:r>
      <w:proofErr w:type="spellEnd"/>
      <w:r>
        <w:rPr>
          <w:rFonts w:ascii="Arial" w:hAnsi="Arial" w:cs="Arial"/>
          <w:sz w:val="20"/>
          <w:szCs w:val="20"/>
        </w:rPr>
        <w:t xml:space="preserve"> </w:t>
      </w:r>
      <w:del w:id="20" w:author="mouki" w:date="2025-02-21T22:03:00Z">
        <w:r w:rsidDel="00B77250">
          <w:rPr>
            <w:rFonts w:ascii="Arial" w:hAnsi="Arial" w:cs="Arial"/>
            <w:sz w:val="20"/>
            <w:szCs w:val="20"/>
          </w:rPr>
          <w:delText xml:space="preserve">areas </w:delText>
        </w:r>
      </w:del>
      <w:ins w:id="21" w:author="mouki" w:date="2025-02-21T22:03:00Z">
        <w:r w:rsidR="00B77250">
          <w:rPr>
            <w:rFonts w:ascii="Arial" w:hAnsi="Arial" w:cs="Arial"/>
            <w:sz w:val="20"/>
            <w:szCs w:val="20"/>
          </w:rPr>
          <w:t xml:space="preserve">regions </w:t>
        </w:r>
      </w:ins>
      <w:r>
        <w:rPr>
          <w:rFonts w:ascii="Arial" w:hAnsi="Arial" w:cs="Arial"/>
          <w:sz w:val="20"/>
          <w:szCs w:val="20"/>
        </w:rPr>
        <w:t>(</w:t>
      </w:r>
      <w:proofErr w:type="spellStart"/>
      <w:r>
        <w:rPr>
          <w:rFonts w:ascii="Arial" w:hAnsi="Arial" w:cs="Arial"/>
          <w:sz w:val="20"/>
          <w:szCs w:val="20"/>
        </w:rPr>
        <w:t>Lourduraj</w:t>
      </w:r>
      <w:proofErr w:type="spellEnd"/>
      <w:r>
        <w:rPr>
          <w:rFonts w:ascii="Arial" w:hAnsi="Arial" w:cs="Arial"/>
          <w:sz w:val="20"/>
          <w:szCs w:val="20"/>
        </w:rPr>
        <w:t>, 1999). Beneficial double-cropping systems in limited water source areas include groundnut followed by green gram, black gram, finger millet, cowpea, field bean, and horse gram. Groundnuts can also be intercropped with various cereals and millets to enhance productivity and resource efficiency.</w:t>
      </w:r>
    </w:p>
    <w:p w14:paraId="6AB3D163" w14:textId="77777777" w:rsidR="00895342" w:rsidRDefault="00067AD2">
      <w:pPr>
        <w:spacing w:after="120" w:line="240" w:lineRule="auto"/>
        <w:jc w:val="both"/>
        <w:rPr>
          <w:rFonts w:ascii="Arial" w:hAnsi="Arial" w:cs="Arial"/>
          <w:b/>
          <w:bCs/>
        </w:rPr>
      </w:pPr>
      <w:r>
        <w:rPr>
          <w:rFonts w:ascii="Arial" w:hAnsi="Arial" w:cs="Arial"/>
          <w:b/>
          <w:bCs/>
        </w:rPr>
        <w:lastRenderedPageBreak/>
        <w:t>2. MATERIAL AND METHODS</w:t>
      </w:r>
    </w:p>
    <w:p w14:paraId="0F74B0E3" w14:textId="5F266B2D"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lang w:val="en-US"/>
        </w:rPr>
        <w:tab/>
      </w:r>
      <w:r>
        <w:rPr>
          <w:rFonts w:ascii="Arial" w:hAnsi="Arial" w:cs="Arial"/>
          <w:sz w:val="20"/>
          <w:szCs w:val="20"/>
        </w:rPr>
        <w:t xml:space="preserve">A long-term field experiment at </w:t>
      </w:r>
      <w:r>
        <w:rPr>
          <w:rFonts w:ascii="Arial" w:hAnsi="Arial" w:cs="Arial"/>
          <w:sz w:val="20"/>
          <w:szCs w:val="20"/>
          <w:lang w:val="en-US"/>
        </w:rPr>
        <w:t xml:space="preserve">Regional Agricultural Research Station, Tirupati of </w:t>
      </w:r>
      <w:r>
        <w:rPr>
          <w:rFonts w:ascii="Arial" w:hAnsi="Arial" w:cs="Arial"/>
          <w:sz w:val="20"/>
          <w:szCs w:val="20"/>
        </w:rPr>
        <w:t xml:space="preserve"> Acharya N. G. Ranga Agricultural University was started in the year 2016 to study the effect of organic farming practices in groundnut based cropping systems </w:t>
      </w:r>
      <w:del w:id="22" w:author="mouki" w:date="2025-02-21T22:04:00Z">
        <w:r w:rsidDel="00B77250">
          <w:rPr>
            <w:rFonts w:ascii="Arial" w:hAnsi="Arial" w:cs="Arial"/>
            <w:sz w:val="20"/>
            <w:szCs w:val="20"/>
          </w:rPr>
          <w:delText xml:space="preserve">on </w:delText>
        </w:r>
      </w:del>
      <w:ins w:id="23" w:author="mouki" w:date="2025-02-21T22:04:00Z">
        <w:r w:rsidR="00B77250">
          <w:rPr>
            <w:rFonts w:ascii="Arial" w:hAnsi="Arial" w:cs="Arial"/>
            <w:sz w:val="20"/>
            <w:szCs w:val="20"/>
          </w:rPr>
          <w:t xml:space="preserve">in </w:t>
        </w:r>
      </w:ins>
      <w:proofErr w:type="spellStart"/>
      <w:r>
        <w:rPr>
          <w:rFonts w:ascii="Arial" w:hAnsi="Arial" w:cs="Arial"/>
          <w:i/>
          <w:sz w:val="20"/>
          <w:szCs w:val="20"/>
        </w:rPr>
        <w:t>Alfisols</w:t>
      </w:r>
      <w:proofErr w:type="spellEnd"/>
      <w:r>
        <w:rPr>
          <w:rFonts w:ascii="Arial" w:hAnsi="Arial" w:cs="Arial"/>
          <w:sz w:val="20"/>
          <w:szCs w:val="20"/>
          <w:lang w:val="en-US"/>
        </w:rPr>
        <w:t xml:space="preserve"> and the present investigation </w:t>
      </w:r>
      <w:r>
        <w:rPr>
          <w:rFonts w:ascii="Arial" w:hAnsi="Arial" w:cs="Arial"/>
          <w:sz w:val="20"/>
          <w:szCs w:val="20"/>
        </w:rPr>
        <w:t>was carried out as part of the on</w:t>
      </w:r>
      <w:ins w:id="24" w:author="mouki" w:date="2025-02-21T22:04:00Z">
        <w:r w:rsidR="00A47105">
          <w:rPr>
            <w:rFonts w:ascii="Arial" w:hAnsi="Arial" w:cs="Arial"/>
            <w:sz w:val="20"/>
            <w:szCs w:val="20"/>
          </w:rPr>
          <w:t>-</w:t>
        </w:r>
      </w:ins>
      <w:r>
        <w:rPr>
          <w:rFonts w:ascii="Arial" w:hAnsi="Arial" w:cs="Arial"/>
          <w:sz w:val="20"/>
          <w:szCs w:val="20"/>
        </w:rPr>
        <w:t xml:space="preserve">going experiment during </w:t>
      </w:r>
      <w:proofErr w:type="spellStart"/>
      <w:r>
        <w:rPr>
          <w:rFonts w:ascii="Arial" w:hAnsi="Arial" w:cs="Arial"/>
          <w:i/>
          <w:iCs/>
          <w:sz w:val="20"/>
          <w:szCs w:val="20"/>
        </w:rPr>
        <w:t>kharif</w:t>
      </w:r>
      <w:proofErr w:type="spellEnd"/>
      <w:r>
        <w:rPr>
          <w:rFonts w:ascii="Arial" w:hAnsi="Arial" w:cs="Arial"/>
          <w:sz w:val="20"/>
          <w:szCs w:val="20"/>
        </w:rPr>
        <w:t xml:space="preserve"> and </w:t>
      </w:r>
      <w:proofErr w:type="spellStart"/>
      <w:r>
        <w:rPr>
          <w:rFonts w:ascii="Arial" w:hAnsi="Arial" w:cs="Arial"/>
          <w:i/>
          <w:iCs/>
          <w:sz w:val="20"/>
          <w:szCs w:val="20"/>
        </w:rPr>
        <w:t>rabi</w:t>
      </w:r>
      <w:proofErr w:type="spellEnd"/>
      <w:r>
        <w:rPr>
          <w:rFonts w:ascii="Arial" w:hAnsi="Arial" w:cs="Arial"/>
          <w:sz w:val="20"/>
          <w:szCs w:val="20"/>
        </w:rPr>
        <w:t xml:space="preserve"> </w:t>
      </w:r>
      <w:r>
        <w:rPr>
          <w:rFonts w:ascii="Arial" w:hAnsi="Arial" w:cs="Arial"/>
          <w:sz w:val="20"/>
          <w:szCs w:val="20"/>
          <w:lang w:val="en-US"/>
        </w:rPr>
        <w:t xml:space="preserve">2023-24 </w:t>
      </w:r>
      <w:r>
        <w:rPr>
          <w:rFonts w:ascii="Arial" w:hAnsi="Arial" w:cs="Arial"/>
          <w:sz w:val="20"/>
          <w:szCs w:val="20"/>
        </w:rPr>
        <w:t>which is geographically situated at 13.6° N latitude and 79.3° E longitude with an altitude of 189.2 meters above mean sea level in the Southern Agro-</w:t>
      </w:r>
      <w:del w:id="25" w:author="mouki" w:date="2025-02-21T22:04:00Z">
        <w:r w:rsidDel="00A47105">
          <w:rPr>
            <w:rFonts w:ascii="Arial" w:hAnsi="Arial" w:cs="Arial"/>
            <w:sz w:val="20"/>
            <w:szCs w:val="20"/>
          </w:rPr>
          <w:delText xml:space="preserve">climatic </w:delText>
        </w:r>
      </w:del>
      <w:ins w:id="26" w:author="mouki" w:date="2025-02-21T22:04:00Z">
        <w:r w:rsidR="00A47105">
          <w:rPr>
            <w:rFonts w:ascii="Arial" w:hAnsi="Arial" w:cs="Arial"/>
            <w:sz w:val="20"/>
            <w:szCs w:val="20"/>
          </w:rPr>
          <w:t xml:space="preserve">Climatic </w:t>
        </w:r>
      </w:ins>
      <w:del w:id="27" w:author="mouki" w:date="2025-02-21T22:04:00Z">
        <w:r w:rsidDel="00A47105">
          <w:rPr>
            <w:rFonts w:ascii="Arial" w:hAnsi="Arial" w:cs="Arial"/>
            <w:sz w:val="20"/>
            <w:szCs w:val="20"/>
          </w:rPr>
          <w:delText xml:space="preserve">zone </w:delText>
        </w:r>
      </w:del>
      <w:ins w:id="28" w:author="mouki" w:date="2025-02-21T22:04:00Z">
        <w:r w:rsidR="00A47105">
          <w:rPr>
            <w:rFonts w:ascii="Arial" w:hAnsi="Arial" w:cs="Arial"/>
            <w:sz w:val="20"/>
            <w:szCs w:val="20"/>
          </w:rPr>
          <w:t xml:space="preserve">Zone </w:t>
        </w:r>
      </w:ins>
      <w:r>
        <w:rPr>
          <w:rFonts w:ascii="Arial" w:hAnsi="Arial" w:cs="Arial"/>
          <w:sz w:val="20"/>
          <w:szCs w:val="20"/>
        </w:rPr>
        <w:t xml:space="preserve">of Andhra Pradesh. During the </w:t>
      </w:r>
      <w:r>
        <w:rPr>
          <w:rFonts w:ascii="Arial" w:hAnsi="Arial" w:cs="Arial"/>
          <w:i/>
          <w:iCs/>
          <w:sz w:val="20"/>
          <w:szCs w:val="20"/>
        </w:rPr>
        <w:t xml:space="preserve">kharif </w:t>
      </w:r>
      <w:r>
        <w:rPr>
          <w:rFonts w:ascii="Arial" w:hAnsi="Arial" w:cs="Arial"/>
          <w:sz w:val="20"/>
          <w:szCs w:val="20"/>
        </w:rPr>
        <w:t xml:space="preserve">season, the experiment was laid into two main plots </w:t>
      </w:r>
      <w:r>
        <w:rPr>
          <w:rFonts w:ascii="Arial" w:hAnsi="Arial" w:cs="Arial"/>
          <w:i/>
          <w:iCs/>
          <w:sz w:val="20"/>
          <w:szCs w:val="20"/>
        </w:rPr>
        <w:t>viz</w:t>
      </w:r>
      <w:r>
        <w:rPr>
          <w:rFonts w:ascii="Arial" w:hAnsi="Arial" w:cs="Arial"/>
          <w:sz w:val="20"/>
          <w:szCs w:val="20"/>
        </w:rPr>
        <w:t>., M</w:t>
      </w:r>
      <w:r>
        <w:rPr>
          <w:rFonts w:ascii="Arial" w:hAnsi="Arial" w:cs="Arial"/>
          <w:sz w:val="20"/>
          <w:szCs w:val="20"/>
          <w:vertAlign w:val="subscript"/>
        </w:rPr>
        <w:t>1</w:t>
      </w:r>
      <w:r>
        <w:rPr>
          <w:rFonts w:ascii="Arial" w:hAnsi="Arial" w:cs="Arial"/>
          <w:sz w:val="20"/>
          <w:szCs w:val="20"/>
        </w:rPr>
        <w:t>, organic farming (10 t ha</w:t>
      </w:r>
      <w:r>
        <w:rPr>
          <w:rFonts w:ascii="Arial" w:hAnsi="Arial" w:cs="Arial"/>
          <w:sz w:val="20"/>
          <w:szCs w:val="20"/>
          <w:vertAlign w:val="superscript"/>
        </w:rPr>
        <w:t xml:space="preserve">-1 </w:t>
      </w:r>
      <w:r>
        <w:rPr>
          <w:rFonts w:ascii="Arial" w:hAnsi="Arial" w:cs="Arial"/>
          <w:sz w:val="20"/>
          <w:szCs w:val="20"/>
        </w:rPr>
        <w:t xml:space="preserve">FYM 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lang w:val="en-US"/>
        </w:rPr>
        <w:t xml:space="preserve">Rhizobium, </w:t>
      </w:r>
      <w:r>
        <w:rPr>
          <w:rFonts w:ascii="Arial" w:hAnsi="Arial" w:cs="Arial"/>
          <w:sz w:val="20"/>
          <w:szCs w:val="20"/>
          <w:lang w:val="en-US"/>
        </w:rPr>
        <w:t xml:space="preserve">KRB and </w:t>
      </w:r>
      <w:proofErr w:type="spellStart"/>
      <w:r>
        <w:rPr>
          <w:rFonts w:ascii="Arial" w:hAnsi="Arial" w:cs="Arial"/>
          <w:i/>
          <w:iCs/>
          <w:sz w:val="20"/>
          <w:szCs w:val="20"/>
        </w:rPr>
        <w:t>Trichoderma</w:t>
      </w:r>
      <w:proofErr w:type="spellEnd"/>
      <w:r>
        <w:rPr>
          <w:rFonts w:ascii="Arial" w:hAnsi="Arial" w:cs="Arial"/>
          <w:i/>
          <w:iCs/>
          <w:sz w:val="20"/>
          <w:szCs w:val="20"/>
        </w:rPr>
        <w:t xml:space="preserve"> </w:t>
      </w:r>
      <w:bookmarkStart w:id="29" w:name="_Hlk186801387"/>
      <w:proofErr w:type="spellStart"/>
      <w:r>
        <w:rPr>
          <w:rFonts w:ascii="Arial" w:hAnsi="Arial" w:cs="Arial"/>
          <w:i/>
          <w:iCs/>
          <w:sz w:val="20"/>
          <w:szCs w:val="20"/>
        </w:rPr>
        <w:t>viridae</w:t>
      </w:r>
      <w:bookmarkEnd w:id="29"/>
      <w:proofErr w:type="spellEnd"/>
      <w:r>
        <w:rPr>
          <w:rFonts w:ascii="Arial" w:hAnsi="Arial" w:cs="Arial"/>
          <w:sz w:val="20"/>
          <w:szCs w:val="20"/>
        </w:rPr>
        <w:t xml:space="preserve"> each @ 5kg ha</w:t>
      </w:r>
      <w:r>
        <w:rPr>
          <w:rFonts w:ascii="Arial" w:hAnsi="Arial" w:cs="Arial"/>
          <w:sz w:val="20"/>
          <w:szCs w:val="20"/>
          <w:vertAlign w:val="superscript"/>
        </w:rPr>
        <w:t>-1</w:t>
      </w:r>
      <w:r>
        <w:rPr>
          <w:rFonts w:ascii="Arial" w:hAnsi="Arial" w:cs="Arial"/>
          <w:sz w:val="20"/>
          <w:szCs w:val="20"/>
        </w:rPr>
        <w:t>, spraying of neem oil and pheromone traps @ 20 no’s ha</w:t>
      </w:r>
      <w:r>
        <w:rPr>
          <w:rFonts w:ascii="Arial" w:hAnsi="Arial" w:cs="Arial"/>
          <w:sz w:val="20"/>
          <w:szCs w:val="20"/>
          <w:vertAlign w:val="superscript"/>
        </w:rPr>
        <w:t>-1</w:t>
      </w:r>
      <w:r>
        <w:rPr>
          <w:rFonts w:ascii="Arial" w:hAnsi="Arial" w:cs="Arial"/>
          <w:sz w:val="20"/>
          <w:szCs w:val="20"/>
        </w:rPr>
        <w:t>) and M</w:t>
      </w:r>
      <w:r>
        <w:rPr>
          <w:rFonts w:ascii="Arial" w:hAnsi="Arial" w:cs="Arial"/>
          <w:sz w:val="20"/>
          <w:szCs w:val="20"/>
          <w:vertAlign w:val="subscript"/>
        </w:rPr>
        <w:t>2</w:t>
      </w:r>
      <w:r>
        <w:rPr>
          <w:rFonts w:ascii="Arial" w:hAnsi="Arial" w:cs="Arial"/>
          <w:sz w:val="20"/>
          <w:szCs w:val="20"/>
        </w:rPr>
        <w:t>, ICM</w:t>
      </w:r>
      <w:ins w:id="30" w:author="mouki" w:date="2025-02-21T22:05:00Z">
        <w:r w:rsidR="00A47105">
          <w:rPr>
            <w:rFonts w:ascii="Arial" w:hAnsi="Arial" w:cs="Arial"/>
            <w:sz w:val="20"/>
            <w:szCs w:val="20"/>
          </w:rPr>
          <w:t xml:space="preserve"> (</w:t>
        </w:r>
      </w:ins>
      <w:ins w:id="31" w:author="mouki" w:date="2025-02-21T22:17:00Z">
        <w:r w:rsidR="00737522" w:rsidRPr="00737522">
          <w:rPr>
            <w:rFonts w:ascii="Arial" w:hAnsi="Arial" w:cs="Arial"/>
            <w:sz w:val="20"/>
            <w:szCs w:val="20"/>
          </w:rPr>
          <w:t>integrated crop management</w:t>
        </w:r>
      </w:ins>
      <w:ins w:id="32" w:author="mouki" w:date="2025-02-21T22:05:00Z">
        <w:r w:rsidR="00A47105">
          <w:rPr>
            <w:rFonts w:ascii="Arial" w:hAnsi="Arial" w:cs="Arial"/>
            <w:sz w:val="20"/>
            <w:szCs w:val="20"/>
          </w:rPr>
          <w:t>)</w:t>
        </w:r>
      </w:ins>
      <w:r>
        <w:rPr>
          <w:rFonts w:ascii="Arial" w:hAnsi="Arial" w:cs="Arial"/>
          <w:sz w:val="20"/>
          <w:szCs w:val="20"/>
        </w:rPr>
        <w:t xml:space="preserve"> practice (RDF 20:40:50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seed treatment with </w:t>
      </w:r>
      <w:proofErr w:type="spellStart"/>
      <w:r>
        <w:rPr>
          <w:rFonts w:ascii="Arial" w:hAnsi="Arial" w:cs="Arial"/>
          <w:sz w:val="20"/>
          <w:szCs w:val="20"/>
        </w:rPr>
        <w:t>Dithane</w:t>
      </w:r>
      <w:proofErr w:type="spellEnd"/>
      <w:r>
        <w:rPr>
          <w:rFonts w:ascii="Arial" w:hAnsi="Arial" w:cs="Arial"/>
          <w:sz w:val="20"/>
          <w:szCs w:val="20"/>
        </w:rPr>
        <w:t xml:space="preserve"> M-45, chemical weed control and need based plant protection measures) with groundnut crop as a rainfed crop. During </w:t>
      </w:r>
      <w:r>
        <w:rPr>
          <w:rFonts w:ascii="Arial" w:hAnsi="Arial" w:cs="Arial"/>
          <w:i/>
          <w:iCs/>
          <w:sz w:val="20"/>
          <w:szCs w:val="20"/>
        </w:rPr>
        <w:t xml:space="preserve">rabi </w:t>
      </w:r>
      <w:r>
        <w:rPr>
          <w:rFonts w:ascii="Arial" w:hAnsi="Arial" w:cs="Arial"/>
          <w:sz w:val="20"/>
          <w:szCs w:val="20"/>
        </w:rPr>
        <w:t xml:space="preserve">season, each main plots were divided into four sub plots </w:t>
      </w:r>
      <w:r>
        <w:rPr>
          <w:rFonts w:ascii="Arial" w:hAnsi="Arial" w:cs="Arial"/>
          <w:i/>
          <w:iCs/>
          <w:sz w:val="20"/>
          <w:szCs w:val="20"/>
        </w:rPr>
        <w:t>viz</w:t>
      </w:r>
      <w:r>
        <w:rPr>
          <w:rFonts w:ascii="Arial" w:hAnsi="Arial" w:cs="Arial"/>
          <w:sz w:val="20"/>
          <w:szCs w:val="20"/>
        </w:rPr>
        <w:t>., groundnut (S</w:t>
      </w:r>
      <w:r>
        <w:rPr>
          <w:rFonts w:ascii="Arial" w:hAnsi="Arial" w:cs="Arial"/>
          <w:sz w:val="20"/>
          <w:szCs w:val="20"/>
          <w:vertAlign w:val="subscript"/>
        </w:rPr>
        <w:t>1</w:t>
      </w:r>
      <w:r>
        <w:rPr>
          <w:rFonts w:ascii="Arial" w:hAnsi="Arial" w:cs="Arial"/>
          <w:sz w:val="20"/>
          <w:szCs w:val="20"/>
        </w:rPr>
        <w:t xml:space="preserve">), </w:t>
      </w:r>
      <w:proofErr w:type="spellStart"/>
      <w:r>
        <w:rPr>
          <w:rFonts w:ascii="Arial" w:hAnsi="Arial" w:cs="Arial"/>
          <w:sz w:val="20"/>
          <w:szCs w:val="20"/>
        </w:rPr>
        <w:t>blackgram</w:t>
      </w:r>
      <w:proofErr w:type="spellEnd"/>
      <w:r>
        <w:rPr>
          <w:rFonts w:ascii="Arial" w:hAnsi="Arial" w:cs="Arial"/>
          <w:sz w:val="20"/>
          <w:szCs w:val="20"/>
        </w:rPr>
        <w:t xml:space="preserve"> (S</w:t>
      </w:r>
      <w:r>
        <w:rPr>
          <w:rFonts w:ascii="Arial" w:hAnsi="Arial" w:cs="Arial"/>
          <w:sz w:val="20"/>
          <w:szCs w:val="20"/>
          <w:vertAlign w:val="subscript"/>
        </w:rPr>
        <w:t>2</w:t>
      </w:r>
      <w:r>
        <w:rPr>
          <w:rFonts w:ascii="Arial" w:hAnsi="Arial" w:cs="Arial"/>
          <w:sz w:val="20"/>
          <w:szCs w:val="20"/>
        </w:rPr>
        <w:t>), finger millet (S</w:t>
      </w:r>
      <w:r>
        <w:rPr>
          <w:rFonts w:ascii="Arial" w:hAnsi="Arial" w:cs="Arial"/>
          <w:sz w:val="20"/>
          <w:szCs w:val="20"/>
          <w:vertAlign w:val="subscript"/>
        </w:rPr>
        <w:t>3</w:t>
      </w:r>
      <w:r>
        <w:rPr>
          <w:rFonts w:ascii="Arial" w:hAnsi="Arial" w:cs="Arial"/>
          <w:sz w:val="20"/>
          <w:szCs w:val="20"/>
        </w:rPr>
        <w:t>) and foxtail millet (S</w:t>
      </w:r>
      <w:r>
        <w:rPr>
          <w:rFonts w:ascii="Arial" w:hAnsi="Arial" w:cs="Arial"/>
          <w:sz w:val="20"/>
          <w:szCs w:val="20"/>
          <w:vertAlign w:val="subscript"/>
        </w:rPr>
        <w:t>4</w:t>
      </w:r>
      <w:r>
        <w:rPr>
          <w:rFonts w:ascii="Arial" w:hAnsi="Arial" w:cs="Arial"/>
          <w:sz w:val="20"/>
          <w:szCs w:val="20"/>
        </w:rPr>
        <w:t>). To the organic farming sub plots, 10 t ha</w:t>
      </w:r>
      <w:r>
        <w:rPr>
          <w:rFonts w:ascii="Arial" w:hAnsi="Arial" w:cs="Arial"/>
          <w:sz w:val="20"/>
          <w:szCs w:val="20"/>
          <w:vertAlign w:val="superscript"/>
        </w:rPr>
        <w:t xml:space="preserve">-1 </w:t>
      </w:r>
      <w:r>
        <w:rPr>
          <w:rFonts w:ascii="Arial" w:hAnsi="Arial" w:cs="Arial"/>
          <w:sz w:val="20"/>
          <w:szCs w:val="20"/>
        </w:rPr>
        <w:t xml:space="preserve">FYM was applied at last plough, soil application of </w:t>
      </w:r>
      <w:r>
        <w:rPr>
          <w:rFonts w:ascii="Arial" w:hAnsi="Arial" w:cs="Arial"/>
          <w:i/>
          <w:iCs/>
          <w:sz w:val="20"/>
          <w:szCs w:val="20"/>
        </w:rPr>
        <w:t>PSB</w:t>
      </w:r>
      <w:r>
        <w:rPr>
          <w:rFonts w:ascii="Arial" w:hAnsi="Arial" w:cs="Arial"/>
          <w:sz w:val="20"/>
          <w:szCs w:val="20"/>
        </w:rPr>
        <w:t xml:space="preserve">, </w:t>
      </w:r>
      <w:r>
        <w:rPr>
          <w:rFonts w:ascii="Arial" w:hAnsi="Arial" w:cs="Arial"/>
          <w:i/>
          <w:iCs/>
          <w:sz w:val="20"/>
          <w:szCs w:val="20"/>
        </w:rPr>
        <w:t>Rhizobium</w:t>
      </w:r>
      <w:r>
        <w:rPr>
          <w:rFonts w:ascii="Arial" w:hAnsi="Arial" w:cs="Arial"/>
          <w:sz w:val="20"/>
          <w:szCs w:val="20"/>
        </w:rPr>
        <w:t xml:space="preserve"> (for groundnut and </w:t>
      </w:r>
      <w:proofErr w:type="spellStart"/>
      <w:r>
        <w:rPr>
          <w:rFonts w:ascii="Arial" w:hAnsi="Arial" w:cs="Arial"/>
          <w:sz w:val="20"/>
          <w:szCs w:val="20"/>
        </w:rPr>
        <w:t>blackgram</w:t>
      </w:r>
      <w:proofErr w:type="spellEnd"/>
      <w:r>
        <w:rPr>
          <w:rFonts w:ascii="Arial" w:hAnsi="Arial" w:cs="Arial"/>
          <w:sz w:val="20"/>
          <w:szCs w:val="20"/>
        </w:rPr>
        <w:t xml:space="preserve">), </w:t>
      </w:r>
      <w:proofErr w:type="spellStart"/>
      <w:r>
        <w:rPr>
          <w:rFonts w:ascii="Arial" w:hAnsi="Arial" w:cs="Arial"/>
          <w:i/>
          <w:iCs/>
          <w:sz w:val="20"/>
          <w:szCs w:val="20"/>
          <w:lang w:val="en-US"/>
        </w:rPr>
        <w:t>Azospirillum</w:t>
      </w:r>
      <w:proofErr w:type="spellEnd"/>
      <w:r>
        <w:rPr>
          <w:rFonts w:ascii="Arial" w:hAnsi="Arial" w:cs="Arial"/>
          <w:i/>
          <w:iCs/>
          <w:sz w:val="20"/>
          <w:szCs w:val="20"/>
          <w:lang w:val="en-US"/>
        </w:rPr>
        <w:t xml:space="preserve"> </w:t>
      </w:r>
      <w:r>
        <w:rPr>
          <w:rFonts w:ascii="Arial" w:hAnsi="Arial" w:cs="Arial"/>
          <w:sz w:val="20"/>
          <w:szCs w:val="20"/>
          <w:lang w:val="en-US"/>
        </w:rPr>
        <w:t>(for finger millet and foxtail millet</w:t>
      </w:r>
      <w:r>
        <w:rPr>
          <w:rFonts w:ascii="Arial" w:hAnsi="Arial" w:cs="Arial"/>
          <w:sz w:val="20"/>
          <w:szCs w:val="20"/>
        </w:rPr>
        <w:t>)</w:t>
      </w:r>
      <w:r>
        <w:rPr>
          <w:rFonts w:ascii="Arial" w:hAnsi="Arial" w:cs="Arial"/>
          <w:sz w:val="20"/>
          <w:szCs w:val="20"/>
          <w:lang w:val="en-US"/>
        </w:rPr>
        <w:t>,</w:t>
      </w:r>
      <w:r>
        <w:rPr>
          <w:rFonts w:ascii="Arial" w:hAnsi="Arial" w:cs="Arial"/>
          <w:i/>
          <w:iCs/>
          <w:sz w:val="20"/>
          <w:szCs w:val="20"/>
          <w:lang w:val="en-US"/>
        </w:rPr>
        <w:t xml:space="preserve"> </w:t>
      </w:r>
      <w:r>
        <w:rPr>
          <w:rFonts w:ascii="Arial" w:hAnsi="Arial" w:cs="Arial"/>
          <w:sz w:val="20"/>
          <w:szCs w:val="20"/>
          <w:lang w:val="en-US"/>
        </w:rPr>
        <w:t xml:space="preserve">KRB and </w:t>
      </w:r>
      <w:proofErr w:type="spellStart"/>
      <w:r>
        <w:rPr>
          <w:rFonts w:ascii="Arial" w:hAnsi="Arial" w:cs="Arial"/>
          <w:i/>
          <w:iCs/>
          <w:sz w:val="20"/>
          <w:szCs w:val="20"/>
        </w:rPr>
        <w:t>Trichoderma</w:t>
      </w:r>
      <w:proofErr w:type="spellEnd"/>
      <w:r>
        <w:rPr>
          <w:rFonts w:ascii="Arial" w:hAnsi="Arial" w:cs="Arial"/>
          <w:i/>
          <w:iCs/>
          <w:sz w:val="20"/>
          <w:szCs w:val="20"/>
        </w:rPr>
        <w:t xml:space="preserve"> </w:t>
      </w:r>
      <w:proofErr w:type="spellStart"/>
      <w:r>
        <w:rPr>
          <w:rFonts w:ascii="Arial" w:hAnsi="Arial" w:cs="Arial"/>
          <w:i/>
          <w:iCs/>
          <w:sz w:val="20"/>
          <w:szCs w:val="20"/>
        </w:rPr>
        <w:t>viridae</w:t>
      </w:r>
      <w:proofErr w:type="spellEnd"/>
      <w:r>
        <w:rPr>
          <w:rFonts w:ascii="Arial" w:hAnsi="Arial" w:cs="Arial"/>
          <w:sz w:val="20"/>
          <w:szCs w:val="20"/>
          <w:lang w:val="en-US"/>
        </w:rPr>
        <w:t xml:space="preserve"> each @ </w:t>
      </w:r>
      <w:r>
        <w:rPr>
          <w:rFonts w:ascii="Arial" w:hAnsi="Arial" w:cs="Arial"/>
          <w:sz w:val="20"/>
          <w:szCs w:val="20"/>
        </w:rPr>
        <w:t>5 kg ha</w:t>
      </w:r>
      <w:r>
        <w:rPr>
          <w:rFonts w:ascii="Arial" w:hAnsi="Arial" w:cs="Arial"/>
          <w:sz w:val="20"/>
          <w:szCs w:val="20"/>
          <w:vertAlign w:val="superscript"/>
        </w:rPr>
        <w:t>-1</w:t>
      </w:r>
      <w:r>
        <w:rPr>
          <w:rFonts w:ascii="Arial" w:hAnsi="Arial" w:cs="Arial"/>
          <w:sz w:val="20"/>
          <w:szCs w:val="20"/>
        </w:rPr>
        <w:t>, pheromone traps @ 20 no’s ha</w:t>
      </w:r>
      <w:r>
        <w:rPr>
          <w:rFonts w:ascii="Arial" w:hAnsi="Arial" w:cs="Arial"/>
          <w:sz w:val="20"/>
          <w:szCs w:val="20"/>
          <w:vertAlign w:val="superscript"/>
        </w:rPr>
        <w:t>-1</w:t>
      </w:r>
      <w:r>
        <w:rPr>
          <w:rFonts w:ascii="Arial" w:hAnsi="Arial" w:cs="Arial"/>
          <w:sz w:val="20"/>
          <w:szCs w:val="20"/>
        </w:rPr>
        <w:t xml:space="preserve"> and </w:t>
      </w:r>
      <w:proofErr w:type="spellStart"/>
      <w:r>
        <w:rPr>
          <w:rFonts w:ascii="Arial" w:hAnsi="Arial" w:cs="Arial"/>
          <w:sz w:val="20"/>
          <w:szCs w:val="20"/>
        </w:rPr>
        <w:t>neem</w:t>
      </w:r>
      <w:proofErr w:type="spellEnd"/>
      <w:r>
        <w:rPr>
          <w:rFonts w:ascii="Arial" w:hAnsi="Arial" w:cs="Arial"/>
          <w:sz w:val="20"/>
          <w:szCs w:val="20"/>
        </w:rPr>
        <w:t xml:space="preserve"> oil spraying was done. To the ICM subplots, RDF (20-40-50, 20-50-0, 60-30-20 and 40-20-0 of N: P</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5</w:t>
      </w:r>
      <w:r>
        <w:rPr>
          <w:rFonts w:ascii="Arial" w:hAnsi="Arial" w:cs="Arial"/>
          <w:sz w:val="20"/>
          <w:szCs w:val="20"/>
        </w:rPr>
        <w:t>: K</w:t>
      </w:r>
      <w:r>
        <w:rPr>
          <w:rFonts w:ascii="Arial" w:hAnsi="Arial" w:cs="Arial"/>
          <w:sz w:val="20"/>
          <w:szCs w:val="20"/>
          <w:vertAlign w:val="subscript"/>
        </w:rPr>
        <w:t>2</w:t>
      </w:r>
      <w:r>
        <w:rPr>
          <w:rFonts w:ascii="Arial" w:hAnsi="Arial" w:cs="Arial"/>
          <w:sz w:val="20"/>
          <w:szCs w:val="20"/>
        </w:rPr>
        <w:t>O kg ha</w:t>
      </w:r>
      <w:r>
        <w:rPr>
          <w:rFonts w:ascii="Arial" w:hAnsi="Arial" w:cs="Arial"/>
          <w:sz w:val="20"/>
          <w:szCs w:val="20"/>
          <w:vertAlign w:val="superscript"/>
        </w:rPr>
        <w:t>-1</w:t>
      </w:r>
      <w:r>
        <w:rPr>
          <w:rFonts w:ascii="Arial" w:hAnsi="Arial" w:cs="Arial"/>
          <w:sz w:val="20"/>
          <w:szCs w:val="20"/>
        </w:rPr>
        <w:t xml:space="preserve"> to groundnut, </w:t>
      </w:r>
      <w:proofErr w:type="spellStart"/>
      <w:r>
        <w:rPr>
          <w:rFonts w:ascii="Arial" w:hAnsi="Arial" w:cs="Arial"/>
          <w:sz w:val="20"/>
          <w:szCs w:val="20"/>
        </w:rPr>
        <w:t>blackgram</w:t>
      </w:r>
      <w:proofErr w:type="spellEnd"/>
      <w:r>
        <w:rPr>
          <w:rFonts w:ascii="Arial" w:hAnsi="Arial" w:cs="Arial"/>
          <w:sz w:val="20"/>
          <w:szCs w:val="20"/>
        </w:rPr>
        <w:t>, finger millet and foxtail millet</w:t>
      </w:r>
      <w:ins w:id="33" w:author="mouki" w:date="2025-02-21T22:06:00Z">
        <w:r w:rsidR="00A47105">
          <w:rPr>
            <w:rFonts w:ascii="Arial" w:hAnsi="Arial" w:cs="Arial"/>
            <w:sz w:val="20"/>
            <w:szCs w:val="20"/>
          </w:rPr>
          <w:t xml:space="preserve"> respectively were applied</w:t>
        </w:r>
      </w:ins>
      <w:r>
        <w:rPr>
          <w:rFonts w:ascii="Arial" w:hAnsi="Arial" w:cs="Arial"/>
          <w:sz w:val="20"/>
          <w:szCs w:val="20"/>
        </w:rPr>
        <w:t xml:space="preserve">), seed treatment with </w:t>
      </w:r>
      <w:proofErr w:type="spellStart"/>
      <w:r>
        <w:rPr>
          <w:rFonts w:ascii="Arial" w:hAnsi="Arial" w:cs="Arial"/>
          <w:sz w:val="20"/>
          <w:szCs w:val="20"/>
        </w:rPr>
        <w:t>Dithane</w:t>
      </w:r>
      <w:proofErr w:type="spellEnd"/>
      <w:r>
        <w:rPr>
          <w:rFonts w:ascii="Arial" w:hAnsi="Arial" w:cs="Arial"/>
          <w:sz w:val="20"/>
          <w:szCs w:val="20"/>
        </w:rPr>
        <w:t xml:space="preserve"> M-45, chemical weed control and need based plant protection measures were taken. Soil samples were collected from each sub plot at depths of 0-15 and 15-30 cm after harvest of the </w:t>
      </w:r>
      <w:r>
        <w:rPr>
          <w:rFonts w:ascii="Arial" w:hAnsi="Arial" w:cs="Arial"/>
          <w:i/>
          <w:iCs/>
          <w:sz w:val="20"/>
          <w:szCs w:val="20"/>
        </w:rPr>
        <w:t xml:space="preserve">rabi </w:t>
      </w:r>
      <w:r>
        <w:rPr>
          <w:rFonts w:ascii="Arial" w:hAnsi="Arial" w:cs="Arial"/>
          <w:sz w:val="20"/>
          <w:szCs w:val="20"/>
        </w:rPr>
        <w:t xml:space="preserve">crops and analysed for various physical and </w:t>
      </w:r>
      <w:proofErr w:type="spellStart"/>
      <w:r>
        <w:rPr>
          <w:rFonts w:ascii="Arial" w:hAnsi="Arial" w:cs="Arial"/>
          <w:sz w:val="20"/>
          <w:szCs w:val="20"/>
        </w:rPr>
        <w:t>physico</w:t>
      </w:r>
      <w:proofErr w:type="spellEnd"/>
      <w:r>
        <w:rPr>
          <w:rFonts w:ascii="Arial" w:hAnsi="Arial" w:cs="Arial"/>
          <w:sz w:val="20"/>
          <w:szCs w:val="20"/>
        </w:rPr>
        <w:t xml:space="preserve"> chemical properties. The method of analysis were as outlined by Piper (1950) for particle size distribution using hydrometer, Blake and Hartge (1986) for determination of bulk density and porosity using core sampler, and Yoder (1936) for determination of aggregate stability and MWD. The soil moisture content was recorded by using </w:t>
      </w:r>
      <w:del w:id="34" w:author="mouki" w:date="2025-02-21T22:07:00Z">
        <w:r w:rsidDel="00A47105">
          <w:rPr>
            <w:rFonts w:ascii="Arial" w:hAnsi="Arial" w:cs="Arial"/>
            <w:sz w:val="20"/>
            <w:szCs w:val="20"/>
          </w:rPr>
          <w:delText xml:space="preserve">Time </w:delText>
        </w:r>
      </w:del>
      <w:ins w:id="35" w:author="mouki" w:date="2025-02-21T22:07:00Z">
        <w:r w:rsidR="00A47105">
          <w:rPr>
            <w:rFonts w:ascii="Arial" w:hAnsi="Arial" w:cs="Arial"/>
            <w:sz w:val="20"/>
            <w:szCs w:val="20"/>
          </w:rPr>
          <w:t xml:space="preserve">time </w:t>
        </w:r>
      </w:ins>
      <w:r>
        <w:rPr>
          <w:rFonts w:ascii="Arial" w:hAnsi="Arial" w:cs="Arial"/>
          <w:sz w:val="20"/>
          <w:szCs w:val="20"/>
        </w:rPr>
        <w:t xml:space="preserve">domain </w:t>
      </w:r>
      <w:proofErr w:type="spellStart"/>
      <w:r>
        <w:rPr>
          <w:rFonts w:ascii="Arial" w:hAnsi="Arial" w:cs="Arial"/>
          <w:sz w:val="20"/>
          <w:szCs w:val="20"/>
        </w:rPr>
        <w:t>refractometry</w:t>
      </w:r>
      <w:proofErr w:type="spellEnd"/>
      <w:r>
        <w:rPr>
          <w:rFonts w:ascii="Arial" w:hAnsi="Arial" w:cs="Arial"/>
          <w:sz w:val="20"/>
          <w:szCs w:val="20"/>
        </w:rPr>
        <w:t xml:space="preserve"> (TDR) during critical stages of </w:t>
      </w:r>
      <w:r>
        <w:rPr>
          <w:rFonts w:ascii="Arial" w:hAnsi="Arial" w:cs="Arial"/>
          <w:i/>
          <w:iCs/>
          <w:sz w:val="20"/>
          <w:szCs w:val="20"/>
        </w:rPr>
        <w:t>kharif</w:t>
      </w:r>
      <w:r>
        <w:rPr>
          <w:rFonts w:ascii="Arial" w:hAnsi="Arial" w:cs="Arial"/>
          <w:sz w:val="20"/>
          <w:szCs w:val="20"/>
        </w:rPr>
        <w:t xml:space="preserve"> groundnut in both organic ad ICM plots.</w:t>
      </w:r>
      <w:r>
        <w:rPr>
          <w:rFonts w:ascii="Arial" w:hAnsi="Arial" w:cs="Times New Roman"/>
          <w:sz w:val="20"/>
          <w:szCs w:val="27"/>
        </w:rPr>
        <w:t xml:space="preserve"> </w:t>
      </w:r>
      <w:r>
        <w:rPr>
          <w:rFonts w:ascii="Arial" w:hAnsi="Arial" w:cs="Arial"/>
          <w:sz w:val="20"/>
          <w:szCs w:val="20"/>
        </w:rPr>
        <w:t xml:space="preserve">Soil pH and EC were determined using 1:2.5 soil water suspension as described by Jackson (1973). Soil organic carbon was analysed by wet chromic acid digestion as out lined by Walkley and Black (1934) and water soluble carbon by </w:t>
      </w:r>
      <w:r>
        <w:rPr>
          <w:rFonts w:ascii="Arial" w:hAnsi="Arial" w:cs="Arial"/>
          <w:bCs/>
          <w:sz w:val="20"/>
          <w:szCs w:val="20"/>
        </w:rPr>
        <w:t xml:space="preserve">McGill </w:t>
      </w:r>
      <w:r>
        <w:rPr>
          <w:rFonts w:ascii="Arial" w:hAnsi="Arial" w:cs="Arial"/>
          <w:bCs/>
          <w:i/>
          <w:sz w:val="20"/>
          <w:szCs w:val="20"/>
        </w:rPr>
        <w:t>et al</w:t>
      </w:r>
      <w:r>
        <w:rPr>
          <w:rFonts w:ascii="Arial" w:hAnsi="Arial" w:cs="Arial"/>
          <w:bCs/>
          <w:iCs/>
          <w:sz w:val="20"/>
          <w:szCs w:val="20"/>
        </w:rPr>
        <w:t>.</w:t>
      </w:r>
      <w:r>
        <w:rPr>
          <w:rFonts w:ascii="Arial" w:hAnsi="Arial" w:cs="Arial"/>
          <w:bCs/>
          <w:sz w:val="20"/>
          <w:szCs w:val="20"/>
        </w:rPr>
        <w:t xml:space="preserve"> (1986). </w:t>
      </w:r>
      <w:r>
        <w:rPr>
          <w:rFonts w:ascii="Arial" w:hAnsi="Arial" w:cs="Arial"/>
          <w:sz w:val="20"/>
          <w:szCs w:val="20"/>
        </w:rPr>
        <w:t xml:space="preserve">Other carbon pools </w:t>
      </w:r>
      <w:r>
        <w:rPr>
          <w:rFonts w:ascii="Arial" w:hAnsi="Arial" w:cs="Arial"/>
          <w:i/>
          <w:iCs/>
          <w:sz w:val="20"/>
          <w:szCs w:val="20"/>
        </w:rPr>
        <w:t>viz</w:t>
      </w:r>
      <w:r>
        <w:rPr>
          <w:rFonts w:ascii="Arial" w:hAnsi="Arial" w:cs="Arial"/>
          <w:sz w:val="20"/>
          <w:szCs w:val="20"/>
        </w:rPr>
        <w:t xml:space="preserve">., active carbon pool and passive carbon pool were determined as per the procedures outlined by </w:t>
      </w:r>
      <w:r>
        <w:rPr>
          <w:rFonts w:ascii="Arial" w:hAnsi="Arial" w:cs="Arial"/>
          <w:bCs/>
          <w:sz w:val="20"/>
          <w:szCs w:val="20"/>
        </w:rPr>
        <w:t xml:space="preserve">Kolar </w:t>
      </w:r>
      <w:r>
        <w:rPr>
          <w:rFonts w:ascii="Arial" w:hAnsi="Arial" w:cs="Arial"/>
          <w:bCs/>
          <w:i/>
          <w:sz w:val="20"/>
          <w:szCs w:val="20"/>
        </w:rPr>
        <w:t xml:space="preserve">et </w:t>
      </w:r>
      <w:r>
        <w:rPr>
          <w:rFonts w:ascii="Arial" w:hAnsi="Arial" w:cs="Arial"/>
          <w:bCs/>
          <w:i/>
          <w:iCs/>
          <w:sz w:val="20"/>
          <w:szCs w:val="20"/>
        </w:rPr>
        <w:t>al</w:t>
      </w:r>
      <w:r>
        <w:rPr>
          <w:rFonts w:ascii="Arial" w:hAnsi="Arial" w:cs="Arial"/>
          <w:bCs/>
          <w:sz w:val="20"/>
          <w:szCs w:val="20"/>
        </w:rPr>
        <w:t>. (</w:t>
      </w:r>
      <w:r>
        <w:rPr>
          <w:rFonts w:ascii="Arial" w:hAnsi="Arial" w:cs="Arial"/>
          <w:bCs/>
          <w:iCs/>
          <w:sz w:val="20"/>
          <w:szCs w:val="20"/>
        </w:rPr>
        <w:t>2011)</w:t>
      </w:r>
      <w:r>
        <w:rPr>
          <w:rFonts w:ascii="Arial" w:hAnsi="Arial" w:cs="Arial"/>
          <w:bCs/>
          <w:sz w:val="20"/>
          <w:szCs w:val="20"/>
        </w:rPr>
        <w:t xml:space="preserve"> and (Chan, 2001). </w:t>
      </w:r>
      <w:bookmarkStart w:id="36" w:name="_Hlk187068988"/>
      <w:r>
        <w:rPr>
          <w:rFonts w:ascii="Arial" w:hAnsi="Arial" w:cs="Arial"/>
          <w:sz w:val="20"/>
          <w:szCs w:val="20"/>
        </w:rPr>
        <w:t>Statistical analysis was conducted for the results using t-test and ANOVA with data processed in SPSS.</w:t>
      </w:r>
    </w:p>
    <w:bookmarkEnd w:id="36"/>
    <w:p w14:paraId="0AB2B9DA" w14:textId="77777777" w:rsidR="00895342" w:rsidRDefault="00067AD2">
      <w:pPr>
        <w:spacing w:after="120" w:line="240" w:lineRule="auto"/>
        <w:jc w:val="both"/>
        <w:rPr>
          <w:rFonts w:ascii="Arial" w:hAnsi="Arial" w:cs="Arial"/>
          <w:b/>
          <w:bCs/>
        </w:rPr>
      </w:pPr>
      <w:r>
        <w:rPr>
          <w:rFonts w:ascii="Arial" w:hAnsi="Arial" w:cs="Arial"/>
          <w:b/>
          <w:bCs/>
        </w:rPr>
        <w:t>3. RESULTS AND DISCUSSION</w:t>
      </w:r>
    </w:p>
    <w:p w14:paraId="05909B51" w14:textId="77777777" w:rsidR="00895342" w:rsidRDefault="00067AD2">
      <w:pPr>
        <w:tabs>
          <w:tab w:val="left" w:pos="720"/>
        </w:tabs>
        <w:spacing w:after="120" w:line="240" w:lineRule="auto"/>
        <w:jc w:val="both"/>
        <w:rPr>
          <w:rFonts w:ascii="Arial" w:hAnsi="Arial" w:cs="Arial"/>
          <w:b/>
          <w:sz w:val="20"/>
          <w:szCs w:val="20"/>
        </w:rPr>
      </w:pPr>
      <w:r>
        <w:rPr>
          <w:rFonts w:ascii="Arial" w:hAnsi="Arial" w:cs="Arial"/>
          <w:sz w:val="20"/>
          <w:szCs w:val="20"/>
        </w:rPr>
        <w:t>The data pertaining to various soil physical and physio-chemical properties under organic farming and ICM practice with different groundnut based cropping systems were presented and discussed here under.</w:t>
      </w:r>
    </w:p>
    <w:p w14:paraId="17A331F8" w14:textId="77777777" w:rsidR="00895342" w:rsidRDefault="00067AD2">
      <w:pPr>
        <w:tabs>
          <w:tab w:val="left" w:pos="720"/>
        </w:tabs>
        <w:spacing w:after="120" w:line="240" w:lineRule="auto"/>
        <w:jc w:val="both"/>
        <w:rPr>
          <w:rFonts w:ascii="Arial" w:hAnsi="Arial" w:cs="Arial"/>
          <w:b/>
        </w:rPr>
      </w:pPr>
      <w:r>
        <w:rPr>
          <w:rFonts w:ascii="Arial" w:hAnsi="Arial" w:cs="Arial"/>
          <w:b/>
        </w:rPr>
        <w:t>3.1 PARTICLE SIZE DISTRIBUTION</w:t>
      </w:r>
    </w:p>
    <w:p w14:paraId="6AC0ABC4" w14:textId="77777777" w:rsidR="00895342" w:rsidRDefault="00067AD2">
      <w:pPr>
        <w:spacing w:after="120" w:line="240" w:lineRule="auto"/>
        <w:jc w:val="both"/>
        <w:rPr>
          <w:rFonts w:ascii="Arial" w:hAnsi="Arial" w:cs="Arial"/>
          <w:sz w:val="20"/>
          <w:szCs w:val="20"/>
        </w:rPr>
      </w:pPr>
      <w:r>
        <w:rPr>
          <w:rFonts w:ascii="Arial" w:hAnsi="Arial" w:cs="Arial"/>
          <w:sz w:val="20"/>
          <w:szCs w:val="20"/>
        </w:rPr>
        <w:t>The particle size distribution was not significantly influenced by organic farming (M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xml:space="preserve">). The textural class of both organic and ICM practices was sandy loam only, hence long-term practice of organic or integrated crop management (ICM) have not altered the soil texture, since it was permanent property (Srinivasarao </w:t>
      </w:r>
      <w:r>
        <w:rPr>
          <w:rFonts w:ascii="Arial" w:hAnsi="Arial" w:cs="Arial"/>
          <w:i/>
          <w:iCs/>
          <w:sz w:val="20"/>
          <w:szCs w:val="20"/>
        </w:rPr>
        <w:t>et al</w:t>
      </w:r>
      <w:r>
        <w:rPr>
          <w:rFonts w:ascii="Arial" w:hAnsi="Arial" w:cs="Arial"/>
          <w:sz w:val="20"/>
          <w:szCs w:val="20"/>
        </w:rPr>
        <w:t>., 2012).</w:t>
      </w:r>
    </w:p>
    <w:p w14:paraId="7C8A72A3" w14:textId="77777777" w:rsidR="00895342" w:rsidRDefault="00067AD2">
      <w:pPr>
        <w:spacing w:after="120" w:line="240" w:lineRule="auto"/>
        <w:jc w:val="both"/>
        <w:rPr>
          <w:rFonts w:ascii="Arial" w:hAnsi="Arial" w:cs="Arial"/>
          <w:b/>
        </w:rPr>
      </w:pPr>
      <w:r>
        <w:rPr>
          <w:rFonts w:ascii="Arial" w:hAnsi="Arial" w:cs="Arial"/>
          <w:b/>
        </w:rPr>
        <w:t>3.2 BULK DENSITY AND POROSITY</w:t>
      </w:r>
    </w:p>
    <w:p w14:paraId="665CE1C1" w14:textId="4374D889"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lower bulk density values were recorded </w:t>
      </w:r>
      <w:del w:id="37" w:author="mouki" w:date="2025-02-21T22:09:00Z">
        <w:r w:rsidDel="00A47105">
          <w:rPr>
            <w:rFonts w:ascii="Arial" w:hAnsi="Arial" w:cs="Arial"/>
            <w:sz w:val="20"/>
            <w:szCs w:val="20"/>
          </w:rPr>
          <w:delText>as 1.51 and 1.60 Mg m</w:delText>
        </w:r>
        <w:r w:rsidDel="00A47105">
          <w:rPr>
            <w:rFonts w:ascii="Arial" w:hAnsi="Arial" w:cs="Arial"/>
            <w:sz w:val="20"/>
            <w:szCs w:val="20"/>
            <w:vertAlign w:val="superscript"/>
          </w:rPr>
          <w:delText>-3</w:delText>
        </w:r>
        <w:r w:rsidDel="00A47105">
          <w:rPr>
            <w:rFonts w:ascii="Arial" w:hAnsi="Arial" w:cs="Arial"/>
            <w:sz w:val="20"/>
            <w:szCs w:val="20"/>
          </w:rPr>
          <w:delText xml:space="preserve"> </w:delText>
        </w:r>
      </w:del>
      <w:r>
        <w:rPr>
          <w:rFonts w:ascii="Arial" w:hAnsi="Arial" w:cs="Arial"/>
          <w:sz w:val="20"/>
          <w:szCs w:val="20"/>
        </w:rPr>
        <w:t>under organic farming (M</w:t>
      </w:r>
      <w:r>
        <w:rPr>
          <w:rFonts w:ascii="Arial" w:hAnsi="Arial" w:cs="Arial"/>
          <w:sz w:val="20"/>
          <w:szCs w:val="20"/>
          <w:vertAlign w:val="subscript"/>
        </w:rPr>
        <w:t>1</w:t>
      </w:r>
      <w:r>
        <w:rPr>
          <w:rFonts w:ascii="Arial" w:hAnsi="Arial" w:cs="Arial"/>
          <w:sz w:val="20"/>
          <w:szCs w:val="20"/>
        </w:rPr>
        <w:t xml:space="preserve">) </w:t>
      </w:r>
      <w:ins w:id="38" w:author="mouki" w:date="2025-02-21T22:09:00Z">
        <w:r w:rsidR="00A47105">
          <w:rPr>
            <w:rFonts w:ascii="Arial" w:hAnsi="Arial" w:cs="Arial"/>
            <w:sz w:val="20"/>
            <w:szCs w:val="20"/>
          </w:rPr>
          <w:t>(</w:t>
        </w:r>
        <w:r w:rsidR="00A47105" w:rsidRPr="00A47105">
          <w:rPr>
            <w:rFonts w:ascii="Arial" w:hAnsi="Arial" w:cs="Arial"/>
            <w:sz w:val="20"/>
            <w:szCs w:val="20"/>
          </w:rPr>
          <w:t>1.51 and 1.60 Mg m</w:t>
        </w:r>
        <w:r w:rsidR="00A47105" w:rsidRPr="00A47105">
          <w:rPr>
            <w:rFonts w:ascii="Arial" w:hAnsi="Arial" w:cs="Arial"/>
            <w:sz w:val="20"/>
            <w:szCs w:val="20"/>
            <w:vertAlign w:val="superscript"/>
          </w:rPr>
          <w:t>-3</w:t>
        </w:r>
        <w:r w:rsidR="00A47105">
          <w:rPr>
            <w:rFonts w:ascii="Arial" w:hAnsi="Arial" w:cs="Arial"/>
            <w:sz w:val="20"/>
            <w:szCs w:val="20"/>
          </w:rPr>
          <w:t>)</w:t>
        </w:r>
        <w:r w:rsidR="00A47105" w:rsidRPr="00A47105">
          <w:rPr>
            <w:rFonts w:ascii="Arial" w:hAnsi="Arial" w:cs="Arial"/>
            <w:sz w:val="20"/>
            <w:szCs w:val="20"/>
          </w:rPr>
          <w:t xml:space="preserve"> </w:t>
        </w:r>
      </w:ins>
      <w:r>
        <w:rPr>
          <w:rFonts w:ascii="Arial" w:hAnsi="Arial" w:cs="Arial"/>
          <w:sz w:val="20"/>
          <w:szCs w:val="20"/>
        </w:rPr>
        <w:t>compared to ICM practice (M</w:t>
      </w:r>
      <w:r>
        <w:rPr>
          <w:rFonts w:ascii="Arial" w:hAnsi="Arial" w:cs="Arial"/>
          <w:sz w:val="20"/>
          <w:szCs w:val="20"/>
          <w:vertAlign w:val="subscript"/>
        </w:rPr>
        <w:t>2</w:t>
      </w:r>
      <w:r>
        <w:rPr>
          <w:rFonts w:ascii="Arial" w:hAnsi="Arial" w:cs="Arial"/>
          <w:sz w:val="20"/>
          <w:szCs w:val="20"/>
        </w:rPr>
        <w:t>) (1.63 and 1.68 Mg m</w:t>
      </w:r>
      <w:r>
        <w:rPr>
          <w:rFonts w:ascii="Arial" w:hAnsi="Arial" w:cs="Arial"/>
          <w:sz w:val="20"/>
          <w:szCs w:val="20"/>
          <w:vertAlign w:val="superscript"/>
        </w:rPr>
        <w:t>-3</w:t>
      </w:r>
      <w:r>
        <w:rPr>
          <w:rFonts w:ascii="Arial" w:hAnsi="Arial" w:cs="Arial"/>
          <w:sz w:val="20"/>
          <w:szCs w:val="20"/>
        </w:rPr>
        <w:t>) at 0-15 and 15-30 cm, respectively. However, no significant differences in bulk density were observed among the different groundnut based cropping systems adopted (Table 1). Higher soil porosity values (43.10 and 39.69 per cent) were observed under organic farming (M</w:t>
      </w:r>
      <w:r>
        <w:rPr>
          <w:rFonts w:ascii="Arial" w:hAnsi="Arial" w:cs="Arial"/>
          <w:sz w:val="20"/>
          <w:szCs w:val="20"/>
          <w:vertAlign w:val="subscript"/>
        </w:rPr>
        <w:t>1</w:t>
      </w:r>
      <w:r>
        <w:rPr>
          <w:rFonts w:ascii="Arial" w:hAnsi="Arial" w:cs="Arial"/>
          <w:sz w:val="20"/>
          <w:szCs w:val="20"/>
        </w:rPr>
        <w:t>) compared to ICM practice (M</w:t>
      </w:r>
      <w:r>
        <w:rPr>
          <w:rFonts w:ascii="Arial" w:hAnsi="Arial" w:cs="Arial"/>
          <w:sz w:val="20"/>
          <w:szCs w:val="20"/>
          <w:vertAlign w:val="subscript"/>
        </w:rPr>
        <w:t>2</w:t>
      </w:r>
      <w:r>
        <w:rPr>
          <w:rFonts w:ascii="Arial" w:hAnsi="Arial" w:cs="Arial"/>
          <w:sz w:val="20"/>
          <w:szCs w:val="20"/>
        </w:rPr>
        <w:t>) (38.85 and 36.75 per cent) at 0-15 cm and 15-30 cm, respectively. However, the adoption of different groundnut based cropping systems in both the treatments did not result in any significant changes in soil porosity.</w:t>
      </w:r>
    </w:p>
    <w:p w14:paraId="144DA3C6"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reduced bulk density under organic farming is primarily attributed to the application of farmyard manure (FYM), which contributes to the development of a well-structured soil profile. FYM enhances soil porosity, particularly microporosity, by adding organic matter that binds soil particles together. This process increases soil volume and consequently reduces bulk density compared to ICM practice (Sharma </w:t>
      </w:r>
      <w:r>
        <w:rPr>
          <w:rFonts w:ascii="Arial" w:hAnsi="Arial" w:cs="Arial"/>
          <w:i/>
          <w:sz w:val="20"/>
          <w:szCs w:val="20"/>
        </w:rPr>
        <w:t>et al.,</w:t>
      </w:r>
      <w:r>
        <w:rPr>
          <w:rFonts w:ascii="Arial" w:hAnsi="Arial" w:cs="Arial"/>
          <w:sz w:val="20"/>
          <w:szCs w:val="20"/>
        </w:rPr>
        <w:t xml:space="preserve"> 2000).</w:t>
      </w:r>
      <w:r>
        <w:rPr>
          <w:rFonts w:ascii="Arial" w:hAnsi="Arial" w:cs="Arial"/>
          <w:sz w:val="20"/>
          <w:szCs w:val="20"/>
        </w:rPr>
        <w:tab/>
      </w:r>
    </w:p>
    <w:p w14:paraId="0190A3AC" w14:textId="77777777" w:rsidR="00895342" w:rsidRDefault="00067AD2">
      <w:pPr>
        <w:tabs>
          <w:tab w:val="left" w:pos="720"/>
        </w:tabs>
        <w:spacing w:after="120" w:line="240" w:lineRule="auto"/>
        <w:jc w:val="both"/>
        <w:rPr>
          <w:rFonts w:ascii="Arial" w:hAnsi="Arial" w:cs="Arial"/>
          <w:b/>
          <w:bCs/>
        </w:rPr>
      </w:pPr>
      <w:r>
        <w:rPr>
          <w:rFonts w:ascii="Arial" w:hAnsi="Arial" w:cs="Arial"/>
          <w:b/>
          <w:bCs/>
        </w:rPr>
        <w:t>3.3 AGGREGATE STABILITY AND MEAN WEIGHT DIAMETER</w:t>
      </w:r>
    </w:p>
    <w:p w14:paraId="24E3AE90"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lastRenderedPageBreak/>
        <w:t>The organic farming (M1) treatment showed higher aggregate stability (66.22 and 64.79 per cent) and mean weight diameter (MWD) (0.93 and 0.91 mm) as compared to ICM practice (M</w:t>
      </w:r>
      <w:r>
        <w:rPr>
          <w:rFonts w:ascii="Arial" w:hAnsi="Arial" w:cs="Arial"/>
          <w:sz w:val="20"/>
          <w:szCs w:val="20"/>
          <w:vertAlign w:val="subscript"/>
        </w:rPr>
        <w:t>2</w:t>
      </w:r>
      <w:r>
        <w:rPr>
          <w:rFonts w:ascii="Arial" w:hAnsi="Arial" w:cs="Arial"/>
          <w:sz w:val="20"/>
          <w:szCs w:val="20"/>
        </w:rPr>
        <w:t>) (57.96 and 54.47 per cent; 0.81 and 0.76 mm) at 0-15 cm and 15-30 cm, respectively. However, neither aggregate stability nor MWD was not significantly affected by different cropping systems in both the treatments. (Table 1).</w:t>
      </w:r>
    </w:p>
    <w:p w14:paraId="4DACA32E"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increased MWD observed under the organic farming treatment can be attributed to the role of organic matter as a binding agent. Application of farm yard manure facilitated the formation of stable aggregates by cementing primary particles and clay domains together (Hatti </w:t>
      </w:r>
      <w:r>
        <w:rPr>
          <w:rFonts w:ascii="Arial" w:hAnsi="Arial" w:cs="Arial"/>
          <w:i/>
          <w:iCs/>
          <w:sz w:val="20"/>
          <w:szCs w:val="20"/>
        </w:rPr>
        <w:t>et al</w:t>
      </w:r>
      <w:r>
        <w:rPr>
          <w:rFonts w:ascii="Arial" w:hAnsi="Arial" w:cs="Arial"/>
          <w:sz w:val="20"/>
          <w:szCs w:val="20"/>
        </w:rPr>
        <w:t>. 2008).</w:t>
      </w:r>
    </w:p>
    <w:p w14:paraId="72FCEB05" w14:textId="77777777" w:rsidR="00895342" w:rsidRDefault="00067AD2">
      <w:pPr>
        <w:tabs>
          <w:tab w:val="left" w:pos="720"/>
        </w:tabs>
        <w:spacing w:after="120" w:line="240" w:lineRule="auto"/>
        <w:jc w:val="both"/>
        <w:rPr>
          <w:rFonts w:ascii="Arial" w:hAnsi="Arial" w:cs="Arial"/>
          <w:b/>
          <w:bCs/>
        </w:rPr>
      </w:pPr>
      <w:r>
        <w:rPr>
          <w:rFonts w:ascii="Arial" w:hAnsi="Arial" w:cs="Arial"/>
          <w:b/>
          <w:bCs/>
        </w:rPr>
        <w:t>3.4 INFILTRATION RATE AND SATURATED HYDRAULIC CONDUCTIVITY</w:t>
      </w:r>
    </w:p>
    <w:p w14:paraId="6BD1161A" w14:textId="4D12B10E"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infiltration rate and saturated hydraulic conductivity was varied under organic farming and ICM practice (Table 1). Infiltration rate which refers to the rate at which water enters the soil, was recorded higher under organic farming (M</w:t>
      </w:r>
      <w:r>
        <w:rPr>
          <w:rFonts w:ascii="Arial" w:hAnsi="Arial" w:cs="Arial"/>
          <w:sz w:val="20"/>
          <w:szCs w:val="20"/>
          <w:vertAlign w:val="subscript"/>
        </w:rPr>
        <w:t>1</w:t>
      </w:r>
      <w:r>
        <w:rPr>
          <w:rFonts w:ascii="Arial" w:hAnsi="Arial" w:cs="Arial"/>
          <w:sz w:val="20"/>
          <w:szCs w:val="20"/>
        </w:rPr>
        <w:t>) treatment (19.02 cm hr</w:t>
      </w:r>
      <w:r>
        <w:rPr>
          <w:rFonts w:ascii="Arial" w:hAnsi="Arial" w:cs="Arial"/>
          <w:sz w:val="20"/>
          <w:szCs w:val="20"/>
          <w:vertAlign w:val="superscript"/>
        </w:rPr>
        <w:t>-1</w:t>
      </w:r>
      <w:r>
        <w:rPr>
          <w:rFonts w:ascii="Arial" w:hAnsi="Arial" w:cs="Arial"/>
          <w:sz w:val="20"/>
          <w:szCs w:val="20"/>
        </w:rPr>
        <w:t>) as compared to ICM practice (M</w:t>
      </w:r>
      <w:r>
        <w:rPr>
          <w:rFonts w:ascii="Arial" w:hAnsi="Arial" w:cs="Arial"/>
          <w:sz w:val="20"/>
          <w:szCs w:val="20"/>
          <w:vertAlign w:val="subscript"/>
        </w:rPr>
        <w:t>2</w:t>
      </w:r>
      <w:r>
        <w:rPr>
          <w:rFonts w:ascii="Arial" w:hAnsi="Arial" w:cs="Arial"/>
          <w:sz w:val="20"/>
          <w:szCs w:val="20"/>
        </w:rPr>
        <w:t>) (15.98 cm hr</w:t>
      </w:r>
      <w:r>
        <w:rPr>
          <w:rFonts w:ascii="Arial" w:hAnsi="Arial" w:cs="Arial"/>
          <w:sz w:val="20"/>
          <w:szCs w:val="20"/>
          <w:vertAlign w:val="superscript"/>
        </w:rPr>
        <w:t>-1</w:t>
      </w:r>
      <w:r>
        <w:rPr>
          <w:rFonts w:ascii="Arial" w:hAnsi="Arial" w:cs="Arial"/>
          <w:sz w:val="20"/>
          <w:szCs w:val="20"/>
        </w:rPr>
        <w:t>). However, the rate of water intake was not significantly influenced by the adoption of different groundnut based cropping systems. Saturated hydraulic conductivity indicates the downward movement of water through saturated soil column and it was slightly higher under organic farming (M</w:t>
      </w:r>
      <w:r>
        <w:rPr>
          <w:rFonts w:ascii="Arial" w:hAnsi="Arial" w:cs="Arial"/>
          <w:sz w:val="20"/>
          <w:szCs w:val="20"/>
          <w:vertAlign w:val="subscript"/>
        </w:rPr>
        <w:t>1</w:t>
      </w:r>
      <w:r>
        <w:rPr>
          <w:rFonts w:ascii="Arial" w:hAnsi="Arial" w:cs="Arial"/>
          <w:sz w:val="20"/>
          <w:szCs w:val="20"/>
        </w:rPr>
        <w:t>) (8.98 and 7.79 cm hr</w:t>
      </w:r>
      <w:r>
        <w:rPr>
          <w:rFonts w:ascii="Arial" w:hAnsi="Arial" w:cs="Arial"/>
          <w:sz w:val="20"/>
          <w:szCs w:val="20"/>
          <w:vertAlign w:val="superscript"/>
        </w:rPr>
        <w:t>-1</w:t>
      </w:r>
      <w:r>
        <w:rPr>
          <w:rFonts w:ascii="Arial" w:hAnsi="Arial" w:cs="Arial"/>
          <w:sz w:val="20"/>
          <w:szCs w:val="20"/>
        </w:rPr>
        <w:t>) compared to ICM practice (7.48 and 6.93 cm hr</w:t>
      </w:r>
      <w:r>
        <w:rPr>
          <w:rFonts w:ascii="Arial" w:hAnsi="Arial" w:cs="Arial"/>
          <w:sz w:val="20"/>
          <w:szCs w:val="20"/>
          <w:vertAlign w:val="superscript"/>
        </w:rPr>
        <w:t>-1</w:t>
      </w:r>
      <w:r>
        <w:rPr>
          <w:rFonts w:ascii="Arial" w:hAnsi="Arial" w:cs="Arial"/>
          <w:sz w:val="20"/>
          <w:szCs w:val="20"/>
        </w:rPr>
        <w:t xml:space="preserve">) at 0-15 and 15-30 cm, respectively. But, however, it was not significantly influenced by different groundnut based cropping systems in both the treatments. The higher infiltration rate observed under organic farming can be attributed primarily to the application of </w:t>
      </w:r>
      <w:del w:id="39" w:author="mouki" w:date="2025-02-21T22:12:00Z">
        <w:r w:rsidDel="00A47105">
          <w:rPr>
            <w:rFonts w:ascii="Arial" w:hAnsi="Arial" w:cs="Arial"/>
            <w:sz w:val="20"/>
            <w:szCs w:val="20"/>
          </w:rPr>
          <w:delText>farmyard manure</w:delText>
        </w:r>
      </w:del>
      <w:ins w:id="40" w:author="mouki" w:date="2025-02-21T22:12:00Z">
        <w:r w:rsidR="00A47105">
          <w:rPr>
            <w:rFonts w:ascii="Arial" w:hAnsi="Arial" w:cs="Arial"/>
            <w:sz w:val="20"/>
            <w:szCs w:val="20"/>
          </w:rPr>
          <w:t>FYM</w:t>
        </w:r>
      </w:ins>
      <w:r>
        <w:rPr>
          <w:rFonts w:ascii="Arial" w:hAnsi="Arial" w:cs="Arial"/>
          <w:sz w:val="20"/>
          <w:szCs w:val="20"/>
        </w:rPr>
        <w:t xml:space="preserve">. FYM improves soil structure and enhances biological activity, leading to increased aggregation of soil particles. This aggregation creates a more porous soil structure with enhanced macropore formation, facilitating the movement of water into the soil (Sarkar </w:t>
      </w:r>
      <w:r>
        <w:rPr>
          <w:rFonts w:ascii="Arial" w:hAnsi="Arial" w:cs="Arial"/>
          <w:i/>
          <w:sz w:val="20"/>
          <w:szCs w:val="20"/>
        </w:rPr>
        <w:t>et al.,</w:t>
      </w:r>
      <w:r>
        <w:rPr>
          <w:rFonts w:ascii="Arial" w:hAnsi="Arial" w:cs="Arial"/>
          <w:sz w:val="20"/>
          <w:szCs w:val="20"/>
        </w:rPr>
        <w:t xml:space="preserve"> 2003; Fueki </w:t>
      </w:r>
      <w:r>
        <w:rPr>
          <w:rFonts w:ascii="Arial" w:hAnsi="Arial" w:cs="Arial"/>
          <w:i/>
          <w:sz w:val="20"/>
          <w:szCs w:val="20"/>
        </w:rPr>
        <w:t>et al.,</w:t>
      </w:r>
      <w:r>
        <w:rPr>
          <w:rFonts w:ascii="Arial" w:hAnsi="Arial" w:cs="Arial"/>
          <w:sz w:val="20"/>
          <w:szCs w:val="20"/>
        </w:rPr>
        <w:t xml:space="preserve"> 2012).</w:t>
      </w:r>
    </w:p>
    <w:p w14:paraId="4F49C3E1" w14:textId="77777777" w:rsidR="00895342" w:rsidRDefault="00067AD2">
      <w:pPr>
        <w:tabs>
          <w:tab w:val="left" w:pos="720"/>
        </w:tabs>
        <w:spacing w:after="120" w:line="240" w:lineRule="auto"/>
        <w:jc w:val="both"/>
        <w:rPr>
          <w:rFonts w:ascii="Arial" w:hAnsi="Arial" w:cs="Arial"/>
          <w:b/>
          <w:bCs/>
        </w:rPr>
      </w:pPr>
      <w:r>
        <w:rPr>
          <w:rFonts w:ascii="Arial" w:hAnsi="Arial" w:cs="Arial"/>
          <w:b/>
          <w:bCs/>
        </w:rPr>
        <w:t xml:space="preserve">3.5 AVAILABLE SOIL MOISTURE CONTENT AND </w:t>
      </w:r>
      <w:r>
        <w:rPr>
          <w:rFonts w:ascii="Arial" w:hAnsi="Arial" w:cs="Arial"/>
          <w:b/>
        </w:rPr>
        <w:t>PROFILE WATER STORAGE DEPTH</w:t>
      </w:r>
    </w:p>
    <w:p w14:paraId="5BEC5FE2"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available soil moisture content </w:t>
      </w:r>
      <w:r>
        <w:rPr>
          <w:rFonts w:ascii="Arial" w:hAnsi="Arial" w:cs="Arial"/>
          <w:bCs/>
          <w:color w:val="000000" w:themeColor="text1"/>
          <w:sz w:val="20"/>
          <w:szCs w:val="20"/>
        </w:rPr>
        <w:t>(Table 2 and Fig.1)</w:t>
      </w:r>
      <w:r>
        <w:rPr>
          <w:rFonts w:ascii="Arial" w:hAnsi="Arial" w:cs="Arial"/>
          <w:color w:val="000000" w:themeColor="text1"/>
          <w:sz w:val="20"/>
          <w:szCs w:val="20"/>
        </w:rPr>
        <w:t xml:space="preserve"> </w:t>
      </w:r>
      <w:r>
        <w:rPr>
          <w:rFonts w:ascii="Arial" w:hAnsi="Arial" w:cs="Arial"/>
          <w:sz w:val="20"/>
          <w:szCs w:val="20"/>
        </w:rPr>
        <w:t xml:space="preserve">was measured by TDR 350 at 0-15 and 15-30 cm depth at flowering, peg initiation and pod development stages during </w:t>
      </w:r>
      <w:r>
        <w:rPr>
          <w:rFonts w:ascii="Arial" w:hAnsi="Arial" w:cs="Arial"/>
          <w:i/>
          <w:iCs/>
          <w:sz w:val="20"/>
          <w:szCs w:val="20"/>
        </w:rPr>
        <w:t>kharif</w:t>
      </w:r>
      <w:r>
        <w:rPr>
          <w:rFonts w:ascii="Arial" w:hAnsi="Arial" w:cs="Arial"/>
          <w:sz w:val="20"/>
          <w:szCs w:val="20"/>
        </w:rPr>
        <w:t xml:space="preserve"> season. The organic farming (M</w:t>
      </w:r>
      <w:r>
        <w:rPr>
          <w:rFonts w:ascii="Arial" w:hAnsi="Arial" w:cs="Arial"/>
          <w:sz w:val="20"/>
          <w:szCs w:val="20"/>
          <w:vertAlign w:val="subscript"/>
        </w:rPr>
        <w:t>1</w:t>
      </w:r>
      <w:r>
        <w:rPr>
          <w:rFonts w:ascii="Arial" w:hAnsi="Arial" w:cs="Arial"/>
          <w:sz w:val="20"/>
          <w:szCs w:val="20"/>
        </w:rPr>
        <w:t>) treatment showed higher soil moisture content compared to ICM practice (M</w:t>
      </w:r>
      <w:r>
        <w:rPr>
          <w:rFonts w:ascii="Arial" w:hAnsi="Arial" w:cs="Arial"/>
          <w:sz w:val="20"/>
          <w:szCs w:val="20"/>
          <w:vertAlign w:val="subscript"/>
        </w:rPr>
        <w:t>2</w:t>
      </w:r>
      <w:r>
        <w:rPr>
          <w:rFonts w:ascii="Arial" w:hAnsi="Arial" w:cs="Arial"/>
          <w:sz w:val="20"/>
          <w:szCs w:val="20"/>
        </w:rPr>
        <w:t xml:space="preserve">) at various growth stages (flowering, peg initiation and pod development) and at different soil depths. The mean soil moisture content (%) at flowering, peg initiation and pod development in organic farming </w:t>
      </w:r>
      <w:r>
        <w:rPr>
          <w:rFonts w:ascii="Arial" w:hAnsi="Arial" w:cs="Arial"/>
          <w:bCs/>
          <w:sz w:val="20"/>
          <w:szCs w:val="20"/>
        </w:rPr>
        <w:t>(M</w:t>
      </w:r>
      <w:r>
        <w:rPr>
          <w:rFonts w:ascii="Arial" w:hAnsi="Arial" w:cs="Arial"/>
          <w:bCs/>
          <w:sz w:val="20"/>
          <w:szCs w:val="20"/>
          <w:vertAlign w:val="subscript"/>
        </w:rPr>
        <w:t>1</w:t>
      </w:r>
      <w:r>
        <w:rPr>
          <w:rFonts w:ascii="Arial" w:hAnsi="Arial" w:cs="Arial"/>
          <w:bCs/>
          <w:sz w:val="20"/>
          <w:szCs w:val="20"/>
        </w:rPr>
        <w:t xml:space="preserve">) </w:t>
      </w:r>
      <w:r>
        <w:rPr>
          <w:rFonts w:ascii="Arial" w:hAnsi="Arial" w:cs="Arial"/>
          <w:sz w:val="20"/>
          <w:szCs w:val="20"/>
        </w:rPr>
        <w:t xml:space="preserve">treatment were 17.58, 23.12 and 11.52 per cent at 0-15 cm and 16.96, 22.48 and 10.86 at 15-30 cm. The ICM practice </w:t>
      </w:r>
      <w:r>
        <w:rPr>
          <w:rFonts w:ascii="Arial" w:hAnsi="Arial" w:cs="Arial"/>
          <w:bCs/>
          <w:sz w:val="20"/>
          <w:szCs w:val="20"/>
        </w:rPr>
        <w:t>(M</w:t>
      </w:r>
      <w:r>
        <w:rPr>
          <w:rFonts w:ascii="Arial" w:hAnsi="Arial" w:cs="Arial"/>
          <w:bCs/>
          <w:sz w:val="20"/>
          <w:szCs w:val="20"/>
          <w:vertAlign w:val="subscript"/>
        </w:rPr>
        <w:t>2</w:t>
      </w:r>
      <w:r>
        <w:rPr>
          <w:rFonts w:ascii="Arial" w:hAnsi="Arial" w:cs="Arial"/>
          <w:bCs/>
          <w:sz w:val="20"/>
          <w:szCs w:val="20"/>
        </w:rPr>
        <w:t xml:space="preserve">) </w:t>
      </w:r>
      <w:r>
        <w:rPr>
          <w:rFonts w:ascii="Arial" w:hAnsi="Arial" w:cs="Arial"/>
          <w:sz w:val="20"/>
          <w:szCs w:val="20"/>
        </w:rPr>
        <w:t xml:space="preserve">recorded lower mean moisture content during all the stages with 16.58, 21.32 and 10.28 per cent at 0-15 cm and 15.88, 20.84 and 9.88 at 15-30 cm. According to </w:t>
      </w:r>
      <w:r>
        <w:rPr>
          <w:rFonts w:ascii="Arial" w:hAnsi="Arial" w:cs="Arial"/>
          <w:bCs/>
          <w:sz w:val="20"/>
          <w:szCs w:val="20"/>
        </w:rPr>
        <w:t>Lal (2004)</w:t>
      </w:r>
      <w:r>
        <w:rPr>
          <w:rFonts w:ascii="Arial" w:hAnsi="Arial" w:cs="Arial"/>
          <w:sz w:val="20"/>
          <w:szCs w:val="20"/>
        </w:rPr>
        <w:t>, organic amendments such as compost, manure and crop residues contribute to increased soil aggregation and porosity, which helps to retain soil moisture and reduce evaporation. The profile water storage depth was not varied between organic farming (M</w:t>
      </w:r>
      <w:r>
        <w:rPr>
          <w:rFonts w:ascii="Arial" w:hAnsi="Arial" w:cs="Arial"/>
          <w:sz w:val="20"/>
          <w:szCs w:val="20"/>
          <w:vertAlign w:val="subscript"/>
        </w:rPr>
        <w:t>1</w:t>
      </w:r>
      <w:r>
        <w:rPr>
          <w:rFonts w:ascii="Arial" w:hAnsi="Arial" w:cs="Arial"/>
          <w:sz w:val="20"/>
          <w:szCs w:val="20"/>
        </w:rPr>
        <w:t>) and ICM practice (M</w:t>
      </w:r>
      <w:r>
        <w:rPr>
          <w:rFonts w:ascii="Arial" w:hAnsi="Arial" w:cs="Arial"/>
          <w:sz w:val="20"/>
          <w:szCs w:val="20"/>
          <w:vertAlign w:val="subscript"/>
        </w:rPr>
        <w:t>2</w:t>
      </w:r>
      <w:r>
        <w:rPr>
          <w:rFonts w:ascii="Arial" w:hAnsi="Arial" w:cs="Arial"/>
          <w:sz w:val="20"/>
          <w:szCs w:val="20"/>
        </w:rPr>
        <w:t>) and values were at par with 26.3 and 26.2 cm m</w:t>
      </w:r>
      <w:r>
        <w:rPr>
          <w:rFonts w:ascii="Arial" w:hAnsi="Arial" w:cs="Arial"/>
          <w:sz w:val="20"/>
          <w:szCs w:val="20"/>
          <w:vertAlign w:val="superscript"/>
        </w:rPr>
        <w:t>-1</w:t>
      </w:r>
      <w:r>
        <w:rPr>
          <w:rFonts w:ascii="Arial" w:hAnsi="Arial" w:cs="Arial"/>
          <w:sz w:val="20"/>
          <w:szCs w:val="20"/>
        </w:rPr>
        <w:t xml:space="preserve">, respectively. </w:t>
      </w:r>
      <w:r>
        <w:rPr>
          <w:rFonts w:ascii="Arial" w:hAnsi="Arial" w:cs="Arial"/>
          <w:bCs/>
          <w:spacing w:val="-2"/>
          <w:sz w:val="20"/>
          <w:szCs w:val="20"/>
        </w:rPr>
        <w:t>Ghuman and Sur (2001) reported higher</w:t>
      </w:r>
      <w:r>
        <w:rPr>
          <w:rFonts w:ascii="Arial" w:hAnsi="Arial" w:cs="Arial"/>
          <w:sz w:val="20"/>
          <w:szCs w:val="20"/>
        </w:rPr>
        <w:t xml:space="preserve"> </w:t>
      </w:r>
      <w:r>
        <w:rPr>
          <w:rFonts w:ascii="Arial" w:hAnsi="Arial" w:cs="Arial"/>
          <w:bCs/>
          <w:spacing w:val="-2"/>
          <w:sz w:val="20"/>
          <w:szCs w:val="20"/>
        </w:rPr>
        <w:t xml:space="preserve">soil moisture storage in the 1.8 m deep profile was </w:t>
      </w:r>
      <w:proofErr w:type="spellStart"/>
      <w:r>
        <w:rPr>
          <w:rFonts w:ascii="Arial" w:hAnsi="Arial" w:cs="Arial"/>
          <w:bCs/>
          <w:spacing w:val="-2"/>
          <w:sz w:val="20"/>
          <w:szCs w:val="20"/>
        </w:rPr>
        <w:t>upto</w:t>
      </w:r>
      <w:proofErr w:type="spellEnd"/>
      <w:r>
        <w:rPr>
          <w:rFonts w:ascii="Arial" w:hAnsi="Arial" w:cs="Arial"/>
          <w:bCs/>
          <w:spacing w:val="-2"/>
          <w:sz w:val="20"/>
          <w:szCs w:val="20"/>
        </w:rPr>
        <w:t xml:space="preserve"> 27-85 mm in the manured plots than control during four of six years due to the improvement in organic carbon content of the soil.</w:t>
      </w:r>
    </w:p>
    <w:p w14:paraId="16275671" w14:textId="77777777" w:rsidR="00895342" w:rsidRDefault="00067AD2">
      <w:pPr>
        <w:rPr>
          <w:rFonts w:ascii="Arial" w:eastAsia="Times New Roman" w:hAnsi="Arial" w:cs="Arial"/>
          <w:b/>
          <w:bCs/>
          <w:color w:val="000000"/>
          <w:sz w:val="20"/>
          <w:szCs w:val="20"/>
        </w:rPr>
      </w:pPr>
      <w:r>
        <w:rPr>
          <w:rFonts w:ascii="Arial" w:eastAsia="Times New Roman" w:hAnsi="Arial" w:cs="Arial"/>
          <w:b/>
          <w:bCs/>
          <w:color w:val="000000"/>
          <w:sz w:val="20"/>
          <w:szCs w:val="20"/>
        </w:rPr>
        <w:br w:type="page"/>
      </w:r>
    </w:p>
    <w:p w14:paraId="7E2BF1C2" w14:textId="77777777" w:rsidR="00895342" w:rsidRDefault="00895342">
      <w:pPr>
        <w:tabs>
          <w:tab w:val="left" w:pos="720"/>
        </w:tabs>
        <w:spacing w:after="120" w:line="240" w:lineRule="auto"/>
        <w:jc w:val="both"/>
        <w:rPr>
          <w:rFonts w:ascii="Arial" w:eastAsia="Times New Roman" w:hAnsi="Arial" w:cs="Arial"/>
          <w:b/>
          <w:bCs/>
          <w:color w:val="000000"/>
          <w:sz w:val="20"/>
          <w:szCs w:val="20"/>
        </w:rPr>
        <w:sectPr w:rsidR="0089534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76E68EF8" w14:textId="77777777" w:rsidR="00895342" w:rsidRDefault="00067AD2">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1. Effect of organic farming on soil physical properties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ook w:val="04A0" w:firstRow="1" w:lastRow="0" w:firstColumn="1" w:lastColumn="0" w:noHBand="0" w:noVBand="1"/>
      </w:tblPr>
      <w:tblGrid>
        <w:gridCol w:w="3511"/>
        <w:gridCol w:w="912"/>
        <w:gridCol w:w="916"/>
        <w:gridCol w:w="913"/>
        <w:gridCol w:w="916"/>
        <w:gridCol w:w="913"/>
        <w:gridCol w:w="916"/>
        <w:gridCol w:w="913"/>
        <w:gridCol w:w="916"/>
        <w:gridCol w:w="1522"/>
        <w:gridCol w:w="913"/>
        <w:gridCol w:w="913"/>
      </w:tblGrid>
      <w:tr w:rsidR="00895342" w14:paraId="30BB22C7" w14:textId="77777777">
        <w:trPr>
          <w:trHeight w:val="7"/>
          <w:jc w:val="center"/>
        </w:trPr>
        <w:tc>
          <w:tcPr>
            <w:tcW w:w="123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0607A4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Treatments</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6E4724F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Bulk density             (Mg m</w:t>
            </w:r>
            <w:r>
              <w:rPr>
                <w:rFonts w:ascii="Arial" w:eastAsia="Times New Roman" w:hAnsi="Arial" w:cs="Arial"/>
                <w:b/>
                <w:bCs/>
                <w:color w:val="000000"/>
                <w:sz w:val="18"/>
                <w:szCs w:val="20"/>
                <w:vertAlign w:val="superscript"/>
              </w:rPr>
              <w:t>-3</w:t>
            </w:r>
            <w:r>
              <w:rPr>
                <w:rFonts w:ascii="Arial" w:eastAsia="Times New Roman" w:hAnsi="Arial" w:cs="Arial"/>
                <w:b/>
                <w:bCs/>
                <w:color w:val="000000"/>
                <w:sz w:val="18"/>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3A614CA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Porosity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41C67C8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Aggregate stability (%)</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76A358E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Mean weight diameter (mm)</w:t>
            </w:r>
          </w:p>
        </w:tc>
        <w:tc>
          <w:tcPr>
            <w:tcW w:w="537" w:type="pct"/>
            <w:vMerge w:val="restart"/>
            <w:tcBorders>
              <w:top w:val="single" w:sz="4" w:space="0" w:color="auto"/>
              <w:left w:val="nil"/>
              <w:right w:val="single" w:sz="4" w:space="0" w:color="auto"/>
            </w:tcBorders>
            <w:vAlign w:val="center"/>
          </w:tcPr>
          <w:p w14:paraId="739648F1"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Infiltration rate                   (cm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c>
          <w:tcPr>
            <w:tcW w:w="644" w:type="pct"/>
            <w:gridSpan w:val="2"/>
            <w:tcBorders>
              <w:top w:val="single" w:sz="4" w:space="0" w:color="auto"/>
              <w:left w:val="nil"/>
              <w:bottom w:val="single" w:sz="4" w:space="0" w:color="auto"/>
              <w:right w:val="single" w:sz="4" w:space="0" w:color="auto"/>
            </w:tcBorders>
            <w:vAlign w:val="center"/>
          </w:tcPr>
          <w:p w14:paraId="67793A3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Saturated hydraulic conductivity (cm hr</w:t>
            </w:r>
            <w:r>
              <w:rPr>
                <w:rFonts w:ascii="Arial" w:eastAsia="Times New Roman" w:hAnsi="Arial" w:cs="Arial"/>
                <w:b/>
                <w:bCs/>
                <w:color w:val="000000"/>
                <w:sz w:val="18"/>
                <w:szCs w:val="20"/>
                <w:vertAlign w:val="superscript"/>
              </w:rPr>
              <w:t>-1</w:t>
            </w:r>
            <w:r>
              <w:rPr>
                <w:rFonts w:ascii="Arial" w:eastAsia="Times New Roman" w:hAnsi="Arial" w:cs="Arial"/>
                <w:b/>
                <w:bCs/>
                <w:color w:val="000000"/>
                <w:sz w:val="18"/>
                <w:szCs w:val="20"/>
              </w:rPr>
              <w:t>)</w:t>
            </w:r>
          </w:p>
        </w:tc>
      </w:tr>
      <w:tr w:rsidR="00895342" w14:paraId="576BA2A0" w14:textId="77777777">
        <w:trPr>
          <w:trHeight w:val="7"/>
          <w:jc w:val="center"/>
        </w:trPr>
        <w:tc>
          <w:tcPr>
            <w:tcW w:w="1239" w:type="pct"/>
            <w:vMerge/>
            <w:tcBorders>
              <w:top w:val="single" w:sz="4" w:space="0" w:color="auto"/>
              <w:left w:val="single" w:sz="4" w:space="0" w:color="auto"/>
              <w:bottom w:val="single" w:sz="4" w:space="0" w:color="000000"/>
              <w:right w:val="single" w:sz="4" w:space="0" w:color="auto"/>
            </w:tcBorders>
            <w:vAlign w:val="center"/>
          </w:tcPr>
          <w:p w14:paraId="1631FB1F" w14:textId="77777777" w:rsidR="00895342" w:rsidRDefault="00895342">
            <w:pPr>
              <w:spacing w:after="0" w:line="240" w:lineRule="auto"/>
              <w:jc w:val="both"/>
              <w:rPr>
                <w:rFonts w:ascii="Arial" w:eastAsia="Times New Roman" w:hAnsi="Arial" w:cs="Arial"/>
                <w:b/>
                <w:bCs/>
                <w:color w:val="000000"/>
                <w:sz w:val="18"/>
                <w:szCs w:val="20"/>
              </w:rPr>
            </w:pPr>
          </w:p>
        </w:tc>
        <w:tc>
          <w:tcPr>
            <w:tcW w:w="322" w:type="pct"/>
            <w:tcBorders>
              <w:top w:val="nil"/>
              <w:left w:val="nil"/>
              <w:bottom w:val="single" w:sz="4" w:space="0" w:color="auto"/>
              <w:right w:val="single" w:sz="4" w:space="0" w:color="auto"/>
            </w:tcBorders>
            <w:shd w:val="clear" w:color="auto" w:fill="auto"/>
            <w:vAlign w:val="center"/>
          </w:tcPr>
          <w:p w14:paraId="167B8B0A"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C91A9A5"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1B25DC76"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6875337"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60902F3C"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670EADD"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04EEE081"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5B275B86"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537" w:type="pct"/>
            <w:vMerge/>
            <w:tcBorders>
              <w:left w:val="nil"/>
              <w:bottom w:val="single" w:sz="4" w:space="0" w:color="auto"/>
              <w:right w:val="single" w:sz="4" w:space="0" w:color="auto"/>
            </w:tcBorders>
            <w:vAlign w:val="center"/>
          </w:tcPr>
          <w:p w14:paraId="0FEF1965" w14:textId="77777777" w:rsidR="00895342" w:rsidRDefault="00895342">
            <w:pPr>
              <w:spacing w:after="0" w:line="240" w:lineRule="auto"/>
              <w:jc w:val="center"/>
              <w:rPr>
                <w:rFonts w:ascii="Arial" w:eastAsia="Times New Roman" w:hAnsi="Arial" w:cs="Arial"/>
                <w:b/>
                <w:bCs/>
                <w:color w:val="000000"/>
                <w:sz w:val="16"/>
                <w:szCs w:val="20"/>
              </w:rPr>
            </w:pPr>
          </w:p>
        </w:tc>
        <w:tc>
          <w:tcPr>
            <w:tcW w:w="322" w:type="pct"/>
            <w:tcBorders>
              <w:top w:val="nil"/>
              <w:left w:val="nil"/>
              <w:bottom w:val="single" w:sz="4" w:space="0" w:color="auto"/>
              <w:right w:val="single" w:sz="4" w:space="0" w:color="auto"/>
            </w:tcBorders>
            <w:vAlign w:val="center"/>
          </w:tcPr>
          <w:p w14:paraId="62ADF8E1"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2" w:type="pct"/>
            <w:tcBorders>
              <w:top w:val="nil"/>
              <w:left w:val="nil"/>
              <w:bottom w:val="single" w:sz="4" w:space="0" w:color="auto"/>
              <w:right w:val="single" w:sz="4" w:space="0" w:color="auto"/>
            </w:tcBorders>
            <w:vAlign w:val="center"/>
          </w:tcPr>
          <w:p w14:paraId="4731AAA0" w14:textId="77777777" w:rsidR="00895342" w:rsidRDefault="00067AD2">
            <w:pPr>
              <w:spacing w:after="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895342" w14:paraId="69C98E54"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574AC08C"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treatments</w:t>
            </w:r>
          </w:p>
        </w:tc>
      </w:tr>
      <w:tr w:rsidR="00895342" w14:paraId="333427E9"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46613B0"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w:t>
            </w:r>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Organic farming</w:t>
            </w:r>
          </w:p>
        </w:tc>
        <w:tc>
          <w:tcPr>
            <w:tcW w:w="322" w:type="pct"/>
            <w:tcBorders>
              <w:top w:val="nil"/>
              <w:left w:val="nil"/>
              <w:bottom w:val="single" w:sz="4" w:space="0" w:color="auto"/>
              <w:right w:val="single" w:sz="4" w:space="0" w:color="auto"/>
            </w:tcBorders>
            <w:shd w:val="clear" w:color="auto" w:fill="auto"/>
            <w:noWrap/>
            <w:vAlign w:val="center"/>
          </w:tcPr>
          <w:p w14:paraId="0B0E4BB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1.51</w:t>
            </w:r>
          </w:p>
        </w:tc>
        <w:tc>
          <w:tcPr>
            <w:tcW w:w="323" w:type="pct"/>
            <w:tcBorders>
              <w:top w:val="nil"/>
              <w:left w:val="nil"/>
              <w:bottom w:val="single" w:sz="4" w:space="0" w:color="auto"/>
              <w:right w:val="single" w:sz="4" w:space="0" w:color="auto"/>
            </w:tcBorders>
            <w:shd w:val="clear" w:color="auto" w:fill="auto"/>
            <w:noWrap/>
            <w:vAlign w:val="center"/>
          </w:tcPr>
          <w:p w14:paraId="3E7B59DD"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2" w:type="pct"/>
            <w:tcBorders>
              <w:top w:val="nil"/>
              <w:left w:val="nil"/>
              <w:bottom w:val="single" w:sz="4" w:space="0" w:color="auto"/>
              <w:right w:val="single" w:sz="4" w:space="0" w:color="auto"/>
            </w:tcBorders>
            <w:shd w:val="clear" w:color="auto" w:fill="auto"/>
            <w:noWrap/>
            <w:vAlign w:val="center"/>
          </w:tcPr>
          <w:p w14:paraId="1D333779"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43.14</w:t>
            </w:r>
          </w:p>
        </w:tc>
        <w:tc>
          <w:tcPr>
            <w:tcW w:w="323" w:type="pct"/>
            <w:tcBorders>
              <w:top w:val="nil"/>
              <w:left w:val="nil"/>
              <w:bottom w:val="single" w:sz="4" w:space="0" w:color="auto"/>
              <w:right w:val="single" w:sz="4" w:space="0" w:color="auto"/>
            </w:tcBorders>
            <w:shd w:val="clear" w:color="auto" w:fill="auto"/>
            <w:noWrap/>
            <w:vAlign w:val="center"/>
          </w:tcPr>
          <w:p w14:paraId="50E3DBAC"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39.69</w:t>
            </w:r>
          </w:p>
        </w:tc>
        <w:tc>
          <w:tcPr>
            <w:tcW w:w="322" w:type="pct"/>
            <w:tcBorders>
              <w:top w:val="nil"/>
              <w:left w:val="nil"/>
              <w:bottom w:val="single" w:sz="4" w:space="0" w:color="auto"/>
              <w:right w:val="single" w:sz="4" w:space="0" w:color="auto"/>
            </w:tcBorders>
            <w:shd w:val="clear" w:color="auto" w:fill="auto"/>
            <w:noWrap/>
            <w:vAlign w:val="center"/>
          </w:tcPr>
          <w:p w14:paraId="506F309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66.22</w:t>
            </w:r>
          </w:p>
        </w:tc>
        <w:tc>
          <w:tcPr>
            <w:tcW w:w="323" w:type="pct"/>
            <w:tcBorders>
              <w:top w:val="nil"/>
              <w:left w:val="nil"/>
              <w:bottom w:val="single" w:sz="4" w:space="0" w:color="auto"/>
              <w:right w:val="single" w:sz="4" w:space="0" w:color="auto"/>
            </w:tcBorders>
            <w:shd w:val="clear" w:color="auto" w:fill="auto"/>
            <w:noWrap/>
            <w:vAlign w:val="center"/>
          </w:tcPr>
          <w:p w14:paraId="54A832A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64.79</w:t>
            </w:r>
          </w:p>
        </w:tc>
        <w:tc>
          <w:tcPr>
            <w:tcW w:w="322" w:type="pct"/>
            <w:tcBorders>
              <w:top w:val="nil"/>
              <w:left w:val="nil"/>
              <w:bottom w:val="single" w:sz="4" w:space="0" w:color="auto"/>
              <w:right w:val="single" w:sz="4" w:space="0" w:color="auto"/>
            </w:tcBorders>
            <w:shd w:val="clear" w:color="auto" w:fill="auto"/>
            <w:noWrap/>
            <w:vAlign w:val="center"/>
          </w:tcPr>
          <w:p w14:paraId="53AB042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0.93</w:t>
            </w:r>
          </w:p>
        </w:tc>
        <w:tc>
          <w:tcPr>
            <w:tcW w:w="323" w:type="pct"/>
            <w:tcBorders>
              <w:top w:val="nil"/>
              <w:left w:val="nil"/>
              <w:bottom w:val="single" w:sz="4" w:space="0" w:color="auto"/>
              <w:right w:val="single" w:sz="4" w:space="0" w:color="auto"/>
            </w:tcBorders>
            <w:shd w:val="clear" w:color="auto" w:fill="auto"/>
            <w:noWrap/>
            <w:vAlign w:val="center"/>
          </w:tcPr>
          <w:p w14:paraId="62CC53A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0.91</w:t>
            </w:r>
          </w:p>
        </w:tc>
        <w:tc>
          <w:tcPr>
            <w:tcW w:w="537" w:type="pct"/>
            <w:tcBorders>
              <w:top w:val="nil"/>
              <w:left w:val="nil"/>
              <w:bottom w:val="single" w:sz="4" w:space="0" w:color="auto"/>
              <w:right w:val="single" w:sz="4" w:space="0" w:color="auto"/>
            </w:tcBorders>
            <w:vAlign w:val="center"/>
          </w:tcPr>
          <w:p w14:paraId="53B2A3B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19.02</w:t>
            </w:r>
          </w:p>
        </w:tc>
        <w:tc>
          <w:tcPr>
            <w:tcW w:w="322" w:type="pct"/>
            <w:tcBorders>
              <w:top w:val="nil"/>
              <w:left w:val="nil"/>
              <w:bottom w:val="single" w:sz="4" w:space="0" w:color="auto"/>
              <w:right w:val="single" w:sz="4" w:space="0" w:color="auto"/>
            </w:tcBorders>
            <w:vAlign w:val="center"/>
          </w:tcPr>
          <w:p w14:paraId="07402A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8.98</w:t>
            </w:r>
          </w:p>
        </w:tc>
        <w:tc>
          <w:tcPr>
            <w:tcW w:w="322" w:type="pct"/>
            <w:tcBorders>
              <w:top w:val="nil"/>
              <w:left w:val="nil"/>
              <w:bottom w:val="single" w:sz="4" w:space="0" w:color="auto"/>
              <w:right w:val="single" w:sz="4" w:space="0" w:color="auto"/>
            </w:tcBorders>
            <w:vAlign w:val="center"/>
          </w:tcPr>
          <w:p w14:paraId="43A1D9F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7.79</w:t>
            </w:r>
          </w:p>
        </w:tc>
      </w:tr>
      <w:tr w:rsidR="00895342" w14:paraId="66169971"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2EBD22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M</w:t>
            </w:r>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w:t>
            </w:r>
            <w:r>
              <w:rPr>
                <w:rFonts w:ascii="Arial" w:eastAsia="Times New Roman" w:hAnsi="Arial" w:cs="Arial"/>
                <w:color w:val="000000"/>
                <w:sz w:val="18"/>
                <w:szCs w:val="20"/>
                <w:vertAlign w:val="subscript"/>
              </w:rPr>
              <w:t xml:space="preserve"> </w:t>
            </w:r>
            <w:r>
              <w:rPr>
                <w:rFonts w:ascii="Arial" w:eastAsia="Times New Roman" w:hAnsi="Arial" w:cs="Arial"/>
                <w:color w:val="000000"/>
                <w:sz w:val="18"/>
                <w:szCs w:val="20"/>
              </w:rPr>
              <w:t>ICM</w:t>
            </w:r>
          </w:p>
        </w:tc>
        <w:tc>
          <w:tcPr>
            <w:tcW w:w="322" w:type="pct"/>
            <w:tcBorders>
              <w:top w:val="nil"/>
              <w:left w:val="nil"/>
              <w:bottom w:val="single" w:sz="4" w:space="0" w:color="auto"/>
              <w:right w:val="single" w:sz="4" w:space="0" w:color="auto"/>
            </w:tcBorders>
            <w:shd w:val="clear" w:color="auto" w:fill="auto"/>
            <w:noWrap/>
            <w:vAlign w:val="center"/>
          </w:tcPr>
          <w:p w14:paraId="5BEB4C4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1.63</w:t>
            </w:r>
          </w:p>
        </w:tc>
        <w:tc>
          <w:tcPr>
            <w:tcW w:w="323" w:type="pct"/>
            <w:tcBorders>
              <w:top w:val="nil"/>
              <w:left w:val="nil"/>
              <w:bottom w:val="single" w:sz="4" w:space="0" w:color="auto"/>
              <w:right w:val="single" w:sz="4" w:space="0" w:color="auto"/>
            </w:tcBorders>
            <w:shd w:val="clear" w:color="auto" w:fill="auto"/>
            <w:noWrap/>
            <w:vAlign w:val="center"/>
          </w:tcPr>
          <w:p w14:paraId="6CDA660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1.68</w:t>
            </w:r>
          </w:p>
        </w:tc>
        <w:tc>
          <w:tcPr>
            <w:tcW w:w="322" w:type="pct"/>
            <w:tcBorders>
              <w:top w:val="nil"/>
              <w:left w:val="nil"/>
              <w:bottom w:val="single" w:sz="4" w:space="0" w:color="auto"/>
              <w:right w:val="single" w:sz="4" w:space="0" w:color="auto"/>
            </w:tcBorders>
            <w:shd w:val="clear" w:color="auto" w:fill="auto"/>
            <w:noWrap/>
            <w:vAlign w:val="center"/>
          </w:tcPr>
          <w:p w14:paraId="118A299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38.85</w:t>
            </w:r>
          </w:p>
        </w:tc>
        <w:tc>
          <w:tcPr>
            <w:tcW w:w="323" w:type="pct"/>
            <w:tcBorders>
              <w:top w:val="nil"/>
              <w:left w:val="nil"/>
              <w:bottom w:val="single" w:sz="4" w:space="0" w:color="auto"/>
              <w:right w:val="single" w:sz="4" w:space="0" w:color="auto"/>
            </w:tcBorders>
            <w:shd w:val="clear" w:color="auto" w:fill="auto"/>
            <w:noWrap/>
            <w:vAlign w:val="center"/>
          </w:tcPr>
          <w:p w14:paraId="7C6B2FB1"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36.75</w:t>
            </w:r>
          </w:p>
        </w:tc>
        <w:tc>
          <w:tcPr>
            <w:tcW w:w="322" w:type="pct"/>
            <w:tcBorders>
              <w:top w:val="nil"/>
              <w:left w:val="nil"/>
              <w:bottom w:val="single" w:sz="4" w:space="0" w:color="auto"/>
              <w:right w:val="single" w:sz="4" w:space="0" w:color="auto"/>
            </w:tcBorders>
            <w:shd w:val="clear" w:color="auto" w:fill="auto"/>
            <w:noWrap/>
            <w:vAlign w:val="center"/>
          </w:tcPr>
          <w:p w14:paraId="37119A54"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57.96</w:t>
            </w:r>
          </w:p>
        </w:tc>
        <w:tc>
          <w:tcPr>
            <w:tcW w:w="323" w:type="pct"/>
            <w:tcBorders>
              <w:top w:val="nil"/>
              <w:left w:val="nil"/>
              <w:bottom w:val="single" w:sz="4" w:space="0" w:color="auto"/>
              <w:right w:val="single" w:sz="4" w:space="0" w:color="auto"/>
            </w:tcBorders>
            <w:shd w:val="clear" w:color="auto" w:fill="auto"/>
            <w:noWrap/>
            <w:vAlign w:val="center"/>
          </w:tcPr>
          <w:p w14:paraId="395A5A43"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54.47</w:t>
            </w:r>
          </w:p>
        </w:tc>
        <w:tc>
          <w:tcPr>
            <w:tcW w:w="322" w:type="pct"/>
            <w:tcBorders>
              <w:top w:val="nil"/>
              <w:left w:val="nil"/>
              <w:bottom w:val="single" w:sz="4" w:space="0" w:color="auto"/>
              <w:right w:val="single" w:sz="4" w:space="0" w:color="auto"/>
            </w:tcBorders>
            <w:shd w:val="clear" w:color="auto" w:fill="auto"/>
            <w:noWrap/>
            <w:vAlign w:val="center"/>
          </w:tcPr>
          <w:p w14:paraId="5A459CB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0.81</w:t>
            </w:r>
          </w:p>
        </w:tc>
        <w:tc>
          <w:tcPr>
            <w:tcW w:w="323" w:type="pct"/>
            <w:tcBorders>
              <w:top w:val="nil"/>
              <w:left w:val="nil"/>
              <w:bottom w:val="single" w:sz="4" w:space="0" w:color="auto"/>
              <w:right w:val="single" w:sz="4" w:space="0" w:color="auto"/>
            </w:tcBorders>
            <w:shd w:val="clear" w:color="auto" w:fill="auto"/>
            <w:noWrap/>
            <w:vAlign w:val="center"/>
          </w:tcPr>
          <w:p w14:paraId="3B99492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0.76</w:t>
            </w:r>
          </w:p>
        </w:tc>
        <w:tc>
          <w:tcPr>
            <w:tcW w:w="537" w:type="pct"/>
            <w:tcBorders>
              <w:top w:val="nil"/>
              <w:left w:val="nil"/>
              <w:bottom w:val="single" w:sz="4" w:space="0" w:color="auto"/>
              <w:right w:val="single" w:sz="4" w:space="0" w:color="auto"/>
            </w:tcBorders>
            <w:vAlign w:val="center"/>
          </w:tcPr>
          <w:p w14:paraId="0297697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15.98</w:t>
            </w:r>
          </w:p>
        </w:tc>
        <w:tc>
          <w:tcPr>
            <w:tcW w:w="322" w:type="pct"/>
            <w:tcBorders>
              <w:top w:val="nil"/>
              <w:left w:val="nil"/>
              <w:bottom w:val="single" w:sz="4" w:space="0" w:color="auto"/>
              <w:right w:val="single" w:sz="4" w:space="0" w:color="auto"/>
            </w:tcBorders>
            <w:vAlign w:val="center"/>
          </w:tcPr>
          <w:p w14:paraId="05B65C25"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7.48</w:t>
            </w:r>
          </w:p>
        </w:tc>
        <w:tc>
          <w:tcPr>
            <w:tcW w:w="322" w:type="pct"/>
            <w:tcBorders>
              <w:top w:val="nil"/>
              <w:left w:val="nil"/>
              <w:bottom w:val="single" w:sz="4" w:space="0" w:color="auto"/>
              <w:right w:val="single" w:sz="4" w:space="0" w:color="auto"/>
            </w:tcBorders>
            <w:vAlign w:val="center"/>
          </w:tcPr>
          <w:p w14:paraId="3FF99D5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6.93</w:t>
            </w:r>
          </w:p>
        </w:tc>
      </w:tr>
      <w:tr w:rsidR="00895342" w14:paraId="37D0E75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C097C77"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62F890B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74D55C4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2" w:type="pct"/>
            <w:tcBorders>
              <w:top w:val="nil"/>
              <w:left w:val="nil"/>
              <w:bottom w:val="single" w:sz="4" w:space="0" w:color="auto"/>
              <w:right w:val="single" w:sz="4" w:space="0" w:color="auto"/>
            </w:tcBorders>
            <w:shd w:val="clear" w:color="auto" w:fill="auto"/>
            <w:noWrap/>
            <w:vAlign w:val="center"/>
          </w:tcPr>
          <w:p w14:paraId="384203C8"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5797F063"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0.39</w:t>
            </w:r>
          </w:p>
        </w:tc>
        <w:tc>
          <w:tcPr>
            <w:tcW w:w="322" w:type="pct"/>
            <w:tcBorders>
              <w:top w:val="nil"/>
              <w:left w:val="nil"/>
              <w:bottom w:val="single" w:sz="4" w:space="0" w:color="auto"/>
              <w:right w:val="single" w:sz="4" w:space="0" w:color="auto"/>
            </w:tcBorders>
            <w:shd w:val="clear" w:color="auto" w:fill="auto"/>
            <w:noWrap/>
            <w:vAlign w:val="center"/>
          </w:tcPr>
          <w:p w14:paraId="7AEDF2E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158CB28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0.57</w:t>
            </w:r>
          </w:p>
        </w:tc>
        <w:tc>
          <w:tcPr>
            <w:tcW w:w="322" w:type="pct"/>
            <w:tcBorders>
              <w:top w:val="nil"/>
              <w:left w:val="nil"/>
              <w:bottom w:val="single" w:sz="4" w:space="0" w:color="auto"/>
              <w:right w:val="single" w:sz="4" w:space="0" w:color="auto"/>
            </w:tcBorders>
            <w:shd w:val="clear" w:color="auto" w:fill="auto"/>
            <w:noWrap/>
            <w:vAlign w:val="center"/>
          </w:tcPr>
          <w:p w14:paraId="51A9D5C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7B7C4E3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6AD0D8D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0.44</w:t>
            </w:r>
          </w:p>
        </w:tc>
        <w:tc>
          <w:tcPr>
            <w:tcW w:w="322" w:type="pct"/>
            <w:tcBorders>
              <w:top w:val="nil"/>
              <w:left w:val="nil"/>
              <w:bottom w:val="single" w:sz="4" w:space="0" w:color="auto"/>
              <w:right w:val="single" w:sz="4" w:space="0" w:color="auto"/>
            </w:tcBorders>
            <w:vAlign w:val="center"/>
          </w:tcPr>
          <w:p w14:paraId="691C642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0.13</w:t>
            </w:r>
          </w:p>
        </w:tc>
        <w:tc>
          <w:tcPr>
            <w:tcW w:w="322" w:type="pct"/>
            <w:tcBorders>
              <w:top w:val="nil"/>
              <w:left w:val="nil"/>
              <w:bottom w:val="single" w:sz="4" w:space="0" w:color="auto"/>
              <w:right w:val="single" w:sz="4" w:space="0" w:color="auto"/>
            </w:tcBorders>
            <w:vAlign w:val="center"/>
          </w:tcPr>
          <w:p w14:paraId="013A6211"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r>
      <w:tr w:rsidR="00895342" w14:paraId="060E65AA"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6448B5AC"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546E797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0.05</w:t>
            </w:r>
          </w:p>
        </w:tc>
        <w:tc>
          <w:tcPr>
            <w:tcW w:w="323" w:type="pct"/>
            <w:tcBorders>
              <w:top w:val="nil"/>
              <w:left w:val="nil"/>
              <w:bottom w:val="single" w:sz="4" w:space="0" w:color="auto"/>
              <w:right w:val="single" w:sz="4" w:space="0" w:color="auto"/>
            </w:tcBorders>
            <w:shd w:val="clear" w:color="auto" w:fill="auto"/>
            <w:noWrap/>
            <w:vAlign w:val="center"/>
          </w:tcPr>
          <w:p w14:paraId="2D36152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0.06</w:t>
            </w:r>
          </w:p>
        </w:tc>
        <w:tc>
          <w:tcPr>
            <w:tcW w:w="322" w:type="pct"/>
            <w:tcBorders>
              <w:top w:val="nil"/>
              <w:left w:val="nil"/>
              <w:bottom w:val="single" w:sz="4" w:space="0" w:color="auto"/>
              <w:right w:val="single" w:sz="4" w:space="0" w:color="auto"/>
            </w:tcBorders>
            <w:shd w:val="clear" w:color="auto" w:fill="auto"/>
            <w:noWrap/>
            <w:vAlign w:val="center"/>
          </w:tcPr>
          <w:p w14:paraId="0ED76ED7"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2.86</w:t>
            </w:r>
          </w:p>
        </w:tc>
        <w:tc>
          <w:tcPr>
            <w:tcW w:w="323" w:type="pct"/>
            <w:tcBorders>
              <w:top w:val="nil"/>
              <w:left w:val="nil"/>
              <w:bottom w:val="single" w:sz="4" w:space="0" w:color="auto"/>
              <w:right w:val="single" w:sz="4" w:space="0" w:color="auto"/>
            </w:tcBorders>
            <w:shd w:val="clear" w:color="auto" w:fill="auto"/>
            <w:noWrap/>
            <w:vAlign w:val="center"/>
          </w:tcPr>
          <w:p w14:paraId="79C3DB82"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2.35</w:t>
            </w:r>
          </w:p>
        </w:tc>
        <w:tc>
          <w:tcPr>
            <w:tcW w:w="322" w:type="pct"/>
            <w:tcBorders>
              <w:top w:val="nil"/>
              <w:left w:val="nil"/>
              <w:bottom w:val="single" w:sz="4" w:space="0" w:color="auto"/>
              <w:right w:val="single" w:sz="4" w:space="0" w:color="auto"/>
            </w:tcBorders>
            <w:shd w:val="clear" w:color="auto" w:fill="auto"/>
            <w:noWrap/>
            <w:vAlign w:val="center"/>
          </w:tcPr>
          <w:p w14:paraId="69C90D4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3.04</w:t>
            </w:r>
          </w:p>
        </w:tc>
        <w:tc>
          <w:tcPr>
            <w:tcW w:w="323" w:type="pct"/>
            <w:tcBorders>
              <w:top w:val="nil"/>
              <w:left w:val="nil"/>
              <w:bottom w:val="single" w:sz="4" w:space="0" w:color="auto"/>
              <w:right w:val="single" w:sz="4" w:space="0" w:color="auto"/>
            </w:tcBorders>
            <w:shd w:val="clear" w:color="auto" w:fill="auto"/>
            <w:noWrap/>
            <w:vAlign w:val="center"/>
          </w:tcPr>
          <w:p w14:paraId="610F2AC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3.48</w:t>
            </w:r>
          </w:p>
        </w:tc>
        <w:tc>
          <w:tcPr>
            <w:tcW w:w="322" w:type="pct"/>
            <w:tcBorders>
              <w:top w:val="nil"/>
              <w:left w:val="nil"/>
              <w:bottom w:val="single" w:sz="4" w:space="0" w:color="auto"/>
              <w:right w:val="single" w:sz="4" w:space="0" w:color="auto"/>
            </w:tcBorders>
            <w:shd w:val="clear" w:color="auto" w:fill="auto"/>
            <w:noWrap/>
            <w:vAlign w:val="center"/>
          </w:tcPr>
          <w:p w14:paraId="1DE98AF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2384B159"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0.09</w:t>
            </w:r>
          </w:p>
        </w:tc>
        <w:tc>
          <w:tcPr>
            <w:tcW w:w="537" w:type="pct"/>
            <w:tcBorders>
              <w:top w:val="nil"/>
              <w:left w:val="nil"/>
              <w:bottom w:val="single" w:sz="4" w:space="0" w:color="auto"/>
              <w:right w:val="single" w:sz="4" w:space="0" w:color="auto"/>
            </w:tcBorders>
            <w:vAlign w:val="center"/>
          </w:tcPr>
          <w:p w14:paraId="34945C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2.69</w:t>
            </w:r>
          </w:p>
        </w:tc>
        <w:tc>
          <w:tcPr>
            <w:tcW w:w="322" w:type="pct"/>
            <w:tcBorders>
              <w:top w:val="nil"/>
              <w:left w:val="nil"/>
              <w:bottom w:val="single" w:sz="4" w:space="0" w:color="auto"/>
              <w:right w:val="single" w:sz="4" w:space="0" w:color="auto"/>
            </w:tcBorders>
            <w:vAlign w:val="center"/>
          </w:tcPr>
          <w:p w14:paraId="3AB62AA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0.81</w:t>
            </w:r>
          </w:p>
        </w:tc>
        <w:tc>
          <w:tcPr>
            <w:tcW w:w="322" w:type="pct"/>
            <w:tcBorders>
              <w:top w:val="nil"/>
              <w:left w:val="nil"/>
              <w:bottom w:val="single" w:sz="4" w:space="0" w:color="auto"/>
              <w:right w:val="single" w:sz="4" w:space="0" w:color="auto"/>
            </w:tcBorders>
            <w:vAlign w:val="center"/>
          </w:tcPr>
          <w:p w14:paraId="798F35C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0.47</w:t>
            </w:r>
          </w:p>
        </w:tc>
      </w:tr>
      <w:tr w:rsidR="00895342" w14:paraId="61B3DC1E"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715EECEB"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Sub treatments</w:t>
            </w:r>
          </w:p>
        </w:tc>
      </w:tr>
      <w:tr w:rsidR="00895342" w14:paraId="441C4CFF"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4C1068B4"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1</w:t>
            </w:r>
            <w:r>
              <w:rPr>
                <w:rFonts w:ascii="Arial" w:eastAsia="Times New Roman" w:hAnsi="Arial" w:cs="Arial"/>
                <w:color w:val="000000"/>
                <w:sz w:val="18"/>
                <w:szCs w:val="20"/>
              </w:rPr>
              <w:t xml:space="preserve"> : Groundnut - groundnut</w:t>
            </w:r>
          </w:p>
        </w:tc>
        <w:tc>
          <w:tcPr>
            <w:tcW w:w="322" w:type="pct"/>
            <w:tcBorders>
              <w:top w:val="nil"/>
              <w:left w:val="nil"/>
              <w:bottom w:val="single" w:sz="4" w:space="0" w:color="auto"/>
              <w:right w:val="single" w:sz="4" w:space="0" w:color="auto"/>
            </w:tcBorders>
            <w:shd w:val="clear" w:color="auto" w:fill="auto"/>
            <w:noWrap/>
            <w:vAlign w:val="center"/>
          </w:tcPr>
          <w:p w14:paraId="2C8D9A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1.56</w:t>
            </w:r>
          </w:p>
        </w:tc>
        <w:tc>
          <w:tcPr>
            <w:tcW w:w="323" w:type="pct"/>
            <w:tcBorders>
              <w:top w:val="nil"/>
              <w:left w:val="nil"/>
              <w:bottom w:val="single" w:sz="4" w:space="0" w:color="auto"/>
              <w:right w:val="single" w:sz="4" w:space="0" w:color="auto"/>
            </w:tcBorders>
            <w:shd w:val="clear" w:color="auto" w:fill="auto"/>
            <w:noWrap/>
            <w:vAlign w:val="center"/>
          </w:tcPr>
          <w:p w14:paraId="4F6399C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1.64</w:t>
            </w:r>
          </w:p>
        </w:tc>
        <w:tc>
          <w:tcPr>
            <w:tcW w:w="322" w:type="pct"/>
            <w:tcBorders>
              <w:top w:val="nil"/>
              <w:left w:val="nil"/>
              <w:bottom w:val="single" w:sz="4" w:space="0" w:color="auto"/>
              <w:right w:val="single" w:sz="4" w:space="0" w:color="auto"/>
            </w:tcBorders>
            <w:shd w:val="clear" w:color="auto" w:fill="auto"/>
            <w:noWrap/>
            <w:vAlign w:val="center"/>
          </w:tcPr>
          <w:p w14:paraId="3B0F9C9F"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41.29</w:t>
            </w:r>
          </w:p>
        </w:tc>
        <w:tc>
          <w:tcPr>
            <w:tcW w:w="323" w:type="pct"/>
            <w:tcBorders>
              <w:top w:val="nil"/>
              <w:left w:val="nil"/>
              <w:bottom w:val="single" w:sz="4" w:space="0" w:color="auto"/>
              <w:right w:val="single" w:sz="4" w:space="0" w:color="auto"/>
            </w:tcBorders>
            <w:shd w:val="clear" w:color="auto" w:fill="auto"/>
            <w:noWrap/>
            <w:vAlign w:val="center"/>
          </w:tcPr>
          <w:p w14:paraId="60F8491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38.47</w:t>
            </w:r>
          </w:p>
        </w:tc>
        <w:tc>
          <w:tcPr>
            <w:tcW w:w="322" w:type="pct"/>
            <w:tcBorders>
              <w:top w:val="nil"/>
              <w:left w:val="nil"/>
              <w:bottom w:val="single" w:sz="4" w:space="0" w:color="auto"/>
              <w:right w:val="single" w:sz="4" w:space="0" w:color="auto"/>
            </w:tcBorders>
            <w:shd w:val="clear" w:color="auto" w:fill="auto"/>
            <w:noWrap/>
            <w:vAlign w:val="center"/>
          </w:tcPr>
          <w:p w14:paraId="3019D71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62.61</w:t>
            </w:r>
          </w:p>
        </w:tc>
        <w:tc>
          <w:tcPr>
            <w:tcW w:w="323" w:type="pct"/>
            <w:tcBorders>
              <w:top w:val="nil"/>
              <w:left w:val="nil"/>
              <w:bottom w:val="single" w:sz="4" w:space="0" w:color="auto"/>
              <w:right w:val="single" w:sz="4" w:space="0" w:color="auto"/>
            </w:tcBorders>
            <w:shd w:val="clear" w:color="auto" w:fill="auto"/>
            <w:noWrap/>
            <w:vAlign w:val="center"/>
          </w:tcPr>
          <w:p w14:paraId="6A5C98D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60.05</w:t>
            </w:r>
          </w:p>
        </w:tc>
        <w:tc>
          <w:tcPr>
            <w:tcW w:w="322" w:type="pct"/>
            <w:tcBorders>
              <w:top w:val="nil"/>
              <w:left w:val="nil"/>
              <w:bottom w:val="single" w:sz="4" w:space="0" w:color="auto"/>
              <w:right w:val="single" w:sz="4" w:space="0" w:color="auto"/>
            </w:tcBorders>
            <w:shd w:val="clear" w:color="auto" w:fill="auto"/>
            <w:noWrap/>
            <w:vAlign w:val="center"/>
          </w:tcPr>
          <w:p w14:paraId="7D605EF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0.88</w:t>
            </w:r>
          </w:p>
        </w:tc>
        <w:tc>
          <w:tcPr>
            <w:tcW w:w="323" w:type="pct"/>
            <w:tcBorders>
              <w:top w:val="nil"/>
              <w:left w:val="nil"/>
              <w:bottom w:val="single" w:sz="4" w:space="0" w:color="auto"/>
              <w:right w:val="single" w:sz="4" w:space="0" w:color="auto"/>
            </w:tcBorders>
            <w:shd w:val="clear" w:color="auto" w:fill="auto"/>
            <w:noWrap/>
            <w:vAlign w:val="center"/>
          </w:tcPr>
          <w:p w14:paraId="7529563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0.84</w:t>
            </w:r>
          </w:p>
        </w:tc>
        <w:tc>
          <w:tcPr>
            <w:tcW w:w="537" w:type="pct"/>
            <w:tcBorders>
              <w:top w:val="nil"/>
              <w:left w:val="nil"/>
              <w:bottom w:val="single" w:sz="4" w:space="0" w:color="auto"/>
              <w:right w:val="single" w:sz="4" w:space="0" w:color="auto"/>
            </w:tcBorders>
            <w:vAlign w:val="center"/>
          </w:tcPr>
          <w:p w14:paraId="4DDE813B"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c>
          <w:tcPr>
            <w:tcW w:w="322" w:type="pct"/>
            <w:tcBorders>
              <w:top w:val="nil"/>
              <w:left w:val="nil"/>
              <w:bottom w:val="single" w:sz="4" w:space="0" w:color="auto"/>
              <w:right w:val="single" w:sz="4" w:space="0" w:color="auto"/>
            </w:tcBorders>
            <w:vAlign w:val="center"/>
          </w:tcPr>
          <w:p w14:paraId="6C10A63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7.93</w:t>
            </w:r>
          </w:p>
        </w:tc>
        <w:tc>
          <w:tcPr>
            <w:tcW w:w="322" w:type="pct"/>
            <w:tcBorders>
              <w:top w:val="nil"/>
              <w:left w:val="nil"/>
              <w:bottom w:val="single" w:sz="4" w:space="0" w:color="auto"/>
              <w:right w:val="single" w:sz="4" w:space="0" w:color="auto"/>
            </w:tcBorders>
            <w:vAlign w:val="center"/>
          </w:tcPr>
          <w:p w14:paraId="55C6BBB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8.63</w:t>
            </w:r>
          </w:p>
        </w:tc>
      </w:tr>
      <w:tr w:rsidR="00895342" w14:paraId="537A3163"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CC2B399"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2</w:t>
            </w:r>
            <w:r>
              <w:rPr>
                <w:rFonts w:ascii="Arial" w:eastAsia="Times New Roman" w:hAnsi="Arial" w:cs="Arial"/>
                <w:color w:val="000000"/>
                <w:sz w:val="18"/>
                <w:szCs w:val="20"/>
              </w:rPr>
              <w:t xml:space="preserve"> : Groundnut - </w:t>
            </w:r>
            <w:proofErr w:type="spellStart"/>
            <w:r>
              <w:rPr>
                <w:rFonts w:ascii="Arial" w:eastAsia="Times New Roman" w:hAnsi="Arial" w:cs="Arial"/>
                <w:color w:val="000000"/>
                <w:sz w:val="18"/>
                <w:szCs w:val="20"/>
              </w:rPr>
              <w:t>blackgram</w:t>
            </w:r>
            <w:proofErr w:type="spellEnd"/>
          </w:p>
        </w:tc>
        <w:tc>
          <w:tcPr>
            <w:tcW w:w="322" w:type="pct"/>
            <w:tcBorders>
              <w:top w:val="nil"/>
              <w:left w:val="nil"/>
              <w:bottom w:val="single" w:sz="4" w:space="0" w:color="auto"/>
              <w:right w:val="single" w:sz="4" w:space="0" w:color="auto"/>
            </w:tcBorders>
            <w:shd w:val="clear" w:color="auto" w:fill="auto"/>
            <w:noWrap/>
            <w:vAlign w:val="center"/>
          </w:tcPr>
          <w:p w14:paraId="2470A9B5"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1.54</w:t>
            </w:r>
          </w:p>
        </w:tc>
        <w:tc>
          <w:tcPr>
            <w:tcW w:w="323" w:type="pct"/>
            <w:tcBorders>
              <w:top w:val="nil"/>
              <w:left w:val="nil"/>
              <w:bottom w:val="single" w:sz="4" w:space="0" w:color="auto"/>
              <w:right w:val="single" w:sz="4" w:space="0" w:color="auto"/>
            </w:tcBorders>
            <w:shd w:val="clear" w:color="auto" w:fill="auto"/>
            <w:noWrap/>
            <w:vAlign w:val="center"/>
          </w:tcPr>
          <w:p w14:paraId="112B564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1.59</w:t>
            </w:r>
          </w:p>
        </w:tc>
        <w:tc>
          <w:tcPr>
            <w:tcW w:w="322" w:type="pct"/>
            <w:tcBorders>
              <w:top w:val="nil"/>
              <w:left w:val="nil"/>
              <w:bottom w:val="single" w:sz="4" w:space="0" w:color="auto"/>
              <w:right w:val="single" w:sz="4" w:space="0" w:color="auto"/>
            </w:tcBorders>
            <w:shd w:val="clear" w:color="auto" w:fill="auto"/>
            <w:noWrap/>
            <w:vAlign w:val="center"/>
          </w:tcPr>
          <w:p w14:paraId="4699AD3F"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42.17</w:t>
            </w:r>
          </w:p>
        </w:tc>
        <w:tc>
          <w:tcPr>
            <w:tcW w:w="323" w:type="pct"/>
            <w:tcBorders>
              <w:top w:val="nil"/>
              <w:left w:val="nil"/>
              <w:bottom w:val="single" w:sz="4" w:space="0" w:color="auto"/>
              <w:right w:val="single" w:sz="4" w:space="0" w:color="auto"/>
            </w:tcBorders>
            <w:shd w:val="clear" w:color="auto" w:fill="auto"/>
            <w:noWrap/>
            <w:vAlign w:val="center"/>
          </w:tcPr>
          <w:p w14:paraId="1098205B"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40.35</w:t>
            </w:r>
          </w:p>
        </w:tc>
        <w:tc>
          <w:tcPr>
            <w:tcW w:w="322" w:type="pct"/>
            <w:tcBorders>
              <w:top w:val="nil"/>
              <w:left w:val="nil"/>
              <w:bottom w:val="single" w:sz="4" w:space="0" w:color="auto"/>
              <w:right w:val="single" w:sz="4" w:space="0" w:color="auto"/>
            </w:tcBorders>
            <w:shd w:val="clear" w:color="auto" w:fill="auto"/>
            <w:noWrap/>
            <w:vAlign w:val="center"/>
          </w:tcPr>
          <w:p w14:paraId="371E0E1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63.71</w:t>
            </w:r>
          </w:p>
        </w:tc>
        <w:tc>
          <w:tcPr>
            <w:tcW w:w="323" w:type="pct"/>
            <w:tcBorders>
              <w:top w:val="nil"/>
              <w:left w:val="nil"/>
              <w:bottom w:val="single" w:sz="4" w:space="0" w:color="auto"/>
              <w:right w:val="single" w:sz="4" w:space="0" w:color="auto"/>
            </w:tcBorders>
            <w:shd w:val="clear" w:color="auto" w:fill="auto"/>
            <w:noWrap/>
            <w:vAlign w:val="center"/>
          </w:tcPr>
          <w:p w14:paraId="170E4ED6"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60.80</w:t>
            </w:r>
          </w:p>
        </w:tc>
        <w:tc>
          <w:tcPr>
            <w:tcW w:w="322" w:type="pct"/>
            <w:tcBorders>
              <w:top w:val="nil"/>
              <w:left w:val="nil"/>
              <w:bottom w:val="single" w:sz="4" w:space="0" w:color="auto"/>
              <w:right w:val="single" w:sz="4" w:space="0" w:color="auto"/>
            </w:tcBorders>
            <w:shd w:val="clear" w:color="auto" w:fill="auto"/>
            <w:noWrap/>
            <w:vAlign w:val="center"/>
          </w:tcPr>
          <w:p w14:paraId="1AF3251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0.89</w:t>
            </w:r>
          </w:p>
        </w:tc>
        <w:tc>
          <w:tcPr>
            <w:tcW w:w="323" w:type="pct"/>
            <w:tcBorders>
              <w:top w:val="nil"/>
              <w:left w:val="nil"/>
              <w:bottom w:val="single" w:sz="4" w:space="0" w:color="auto"/>
              <w:right w:val="single" w:sz="4" w:space="0" w:color="auto"/>
            </w:tcBorders>
            <w:shd w:val="clear" w:color="auto" w:fill="auto"/>
            <w:noWrap/>
            <w:vAlign w:val="center"/>
          </w:tcPr>
          <w:p w14:paraId="7CE373F1"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537" w:type="pct"/>
            <w:tcBorders>
              <w:top w:val="nil"/>
              <w:left w:val="nil"/>
              <w:bottom w:val="single" w:sz="4" w:space="0" w:color="auto"/>
              <w:right w:val="single" w:sz="4" w:space="0" w:color="auto"/>
            </w:tcBorders>
            <w:vAlign w:val="center"/>
          </w:tcPr>
          <w:p w14:paraId="3CE3DD6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c>
          <w:tcPr>
            <w:tcW w:w="322" w:type="pct"/>
            <w:tcBorders>
              <w:top w:val="nil"/>
              <w:left w:val="nil"/>
              <w:bottom w:val="single" w:sz="4" w:space="0" w:color="auto"/>
              <w:right w:val="single" w:sz="4" w:space="0" w:color="auto"/>
            </w:tcBorders>
            <w:vAlign w:val="center"/>
          </w:tcPr>
          <w:p w14:paraId="0CB1DE8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7.45</w:t>
            </w:r>
          </w:p>
        </w:tc>
        <w:tc>
          <w:tcPr>
            <w:tcW w:w="322" w:type="pct"/>
            <w:tcBorders>
              <w:top w:val="nil"/>
              <w:left w:val="nil"/>
              <w:bottom w:val="single" w:sz="4" w:space="0" w:color="auto"/>
              <w:right w:val="single" w:sz="4" w:space="0" w:color="auto"/>
            </w:tcBorders>
            <w:vAlign w:val="center"/>
          </w:tcPr>
          <w:p w14:paraId="1EB2FBF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8.48</w:t>
            </w:r>
          </w:p>
        </w:tc>
      </w:tr>
      <w:tr w:rsidR="00895342" w14:paraId="78CB73A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1C5954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3</w:t>
            </w:r>
            <w:r>
              <w:rPr>
                <w:rFonts w:ascii="Arial" w:eastAsia="Times New Roman" w:hAnsi="Arial" w:cs="Arial"/>
                <w:color w:val="000000"/>
                <w:sz w:val="18"/>
                <w:szCs w:val="20"/>
              </w:rPr>
              <w:t xml:space="preserve"> : Groundnut - finger millet</w:t>
            </w:r>
          </w:p>
        </w:tc>
        <w:tc>
          <w:tcPr>
            <w:tcW w:w="322" w:type="pct"/>
            <w:tcBorders>
              <w:top w:val="nil"/>
              <w:left w:val="nil"/>
              <w:bottom w:val="single" w:sz="4" w:space="0" w:color="auto"/>
              <w:right w:val="single" w:sz="4" w:space="0" w:color="auto"/>
            </w:tcBorders>
            <w:shd w:val="clear" w:color="auto" w:fill="auto"/>
            <w:noWrap/>
            <w:vAlign w:val="center"/>
          </w:tcPr>
          <w:p w14:paraId="63FDB23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1.60</w:t>
            </w:r>
          </w:p>
        </w:tc>
        <w:tc>
          <w:tcPr>
            <w:tcW w:w="323" w:type="pct"/>
            <w:tcBorders>
              <w:top w:val="nil"/>
              <w:left w:val="nil"/>
              <w:bottom w:val="single" w:sz="4" w:space="0" w:color="auto"/>
              <w:right w:val="single" w:sz="4" w:space="0" w:color="auto"/>
            </w:tcBorders>
            <w:shd w:val="clear" w:color="auto" w:fill="auto"/>
            <w:noWrap/>
            <w:vAlign w:val="center"/>
          </w:tcPr>
          <w:p w14:paraId="16AAE2D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1.69</w:t>
            </w:r>
          </w:p>
        </w:tc>
        <w:tc>
          <w:tcPr>
            <w:tcW w:w="322" w:type="pct"/>
            <w:tcBorders>
              <w:top w:val="nil"/>
              <w:left w:val="nil"/>
              <w:bottom w:val="single" w:sz="4" w:space="0" w:color="auto"/>
              <w:right w:val="single" w:sz="4" w:space="0" w:color="auto"/>
            </w:tcBorders>
            <w:shd w:val="clear" w:color="auto" w:fill="auto"/>
            <w:noWrap/>
            <w:vAlign w:val="center"/>
          </w:tcPr>
          <w:p w14:paraId="34CE0DEE"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39.98</w:t>
            </w:r>
          </w:p>
        </w:tc>
        <w:tc>
          <w:tcPr>
            <w:tcW w:w="323" w:type="pct"/>
            <w:tcBorders>
              <w:top w:val="nil"/>
              <w:left w:val="nil"/>
              <w:bottom w:val="single" w:sz="4" w:space="0" w:color="auto"/>
              <w:right w:val="single" w:sz="4" w:space="0" w:color="auto"/>
            </w:tcBorders>
            <w:shd w:val="clear" w:color="auto" w:fill="auto"/>
            <w:noWrap/>
            <w:vAlign w:val="center"/>
          </w:tcPr>
          <w:p w14:paraId="5FF92E8A"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36.66</w:t>
            </w:r>
          </w:p>
        </w:tc>
        <w:tc>
          <w:tcPr>
            <w:tcW w:w="322" w:type="pct"/>
            <w:tcBorders>
              <w:top w:val="nil"/>
              <w:left w:val="nil"/>
              <w:bottom w:val="single" w:sz="4" w:space="0" w:color="auto"/>
              <w:right w:val="single" w:sz="4" w:space="0" w:color="auto"/>
            </w:tcBorders>
            <w:shd w:val="clear" w:color="auto" w:fill="auto"/>
            <w:noWrap/>
            <w:vAlign w:val="center"/>
          </w:tcPr>
          <w:p w14:paraId="757B3E1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60.52</w:t>
            </w:r>
          </w:p>
        </w:tc>
        <w:tc>
          <w:tcPr>
            <w:tcW w:w="323" w:type="pct"/>
            <w:tcBorders>
              <w:top w:val="nil"/>
              <w:left w:val="nil"/>
              <w:bottom w:val="single" w:sz="4" w:space="0" w:color="auto"/>
              <w:right w:val="single" w:sz="4" w:space="0" w:color="auto"/>
            </w:tcBorders>
            <w:shd w:val="clear" w:color="auto" w:fill="auto"/>
            <w:noWrap/>
            <w:vAlign w:val="center"/>
          </w:tcPr>
          <w:p w14:paraId="140B0AE0"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58.43</w:t>
            </w:r>
          </w:p>
        </w:tc>
        <w:tc>
          <w:tcPr>
            <w:tcW w:w="322" w:type="pct"/>
            <w:tcBorders>
              <w:top w:val="nil"/>
              <w:left w:val="nil"/>
              <w:bottom w:val="single" w:sz="4" w:space="0" w:color="auto"/>
              <w:right w:val="single" w:sz="4" w:space="0" w:color="auto"/>
            </w:tcBorders>
            <w:shd w:val="clear" w:color="auto" w:fill="auto"/>
            <w:noWrap/>
            <w:vAlign w:val="center"/>
          </w:tcPr>
          <w:p w14:paraId="06ACDE2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0.85</w:t>
            </w:r>
          </w:p>
        </w:tc>
        <w:tc>
          <w:tcPr>
            <w:tcW w:w="323" w:type="pct"/>
            <w:tcBorders>
              <w:top w:val="nil"/>
              <w:left w:val="nil"/>
              <w:bottom w:val="single" w:sz="4" w:space="0" w:color="auto"/>
              <w:right w:val="single" w:sz="4" w:space="0" w:color="auto"/>
            </w:tcBorders>
            <w:shd w:val="clear" w:color="auto" w:fill="auto"/>
            <w:noWrap/>
            <w:vAlign w:val="center"/>
          </w:tcPr>
          <w:p w14:paraId="30D399D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0.82</w:t>
            </w:r>
          </w:p>
        </w:tc>
        <w:tc>
          <w:tcPr>
            <w:tcW w:w="537" w:type="pct"/>
            <w:tcBorders>
              <w:top w:val="nil"/>
              <w:left w:val="nil"/>
              <w:bottom w:val="single" w:sz="4" w:space="0" w:color="auto"/>
              <w:right w:val="single" w:sz="4" w:space="0" w:color="auto"/>
            </w:tcBorders>
            <w:vAlign w:val="center"/>
          </w:tcPr>
          <w:p w14:paraId="40C2C4B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c>
          <w:tcPr>
            <w:tcW w:w="322" w:type="pct"/>
            <w:tcBorders>
              <w:top w:val="nil"/>
              <w:left w:val="nil"/>
              <w:bottom w:val="single" w:sz="4" w:space="0" w:color="auto"/>
              <w:right w:val="single" w:sz="4" w:space="0" w:color="auto"/>
            </w:tcBorders>
            <w:vAlign w:val="center"/>
          </w:tcPr>
          <w:p w14:paraId="0B01B657"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7.07</w:t>
            </w:r>
          </w:p>
        </w:tc>
        <w:tc>
          <w:tcPr>
            <w:tcW w:w="322" w:type="pct"/>
            <w:tcBorders>
              <w:top w:val="nil"/>
              <w:left w:val="nil"/>
              <w:bottom w:val="single" w:sz="4" w:space="0" w:color="auto"/>
              <w:right w:val="single" w:sz="4" w:space="0" w:color="auto"/>
            </w:tcBorders>
            <w:vAlign w:val="center"/>
          </w:tcPr>
          <w:p w14:paraId="5BBCE5DF"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8.00</w:t>
            </w:r>
          </w:p>
        </w:tc>
      </w:tr>
      <w:tr w:rsidR="00895342" w14:paraId="2F38CE4D"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021A19E"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S</w:t>
            </w:r>
            <w:r>
              <w:rPr>
                <w:rFonts w:ascii="Arial" w:eastAsia="Times New Roman" w:hAnsi="Arial" w:cs="Arial"/>
                <w:color w:val="000000"/>
                <w:sz w:val="18"/>
                <w:szCs w:val="20"/>
                <w:vertAlign w:val="subscript"/>
              </w:rPr>
              <w:t>4</w:t>
            </w:r>
            <w:r>
              <w:rPr>
                <w:rFonts w:ascii="Arial" w:eastAsia="Times New Roman" w:hAnsi="Arial" w:cs="Arial"/>
                <w:color w:val="000000"/>
                <w:sz w:val="18"/>
                <w:szCs w:val="20"/>
              </w:rPr>
              <w:t xml:space="preserve"> : Groundnut - foxtail millet</w:t>
            </w:r>
          </w:p>
        </w:tc>
        <w:tc>
          <w:tcPr>
            <w:tcW w:w="322" w:type="pct"/>
            <w:tcBorders>
              <w:top w:val="nil"/>
              <w:left w:val="nil"/>
              <w:bottom w:val="single" w:sz="4" w:space="0" w:color="auto"/>
              <w:right w:val="single" w:sz="4" w:space="0" w:color="auto"/>
            </w:tcBorders>
            <w:shd w:val="clear" w:color="auto" w:fill="auto"/>
            <w:noWrap/>
            <w:vAlign w:val="center"/>
          </w:tcPr>
          <w:p w14:paraId="15420849"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1.58</w:t>
            </w:r>
          </w:p>
        </w:tc>
        <w:tc>
          <w:tcPr>
            <w:tcW w:w="323" w:type="pct"/>
            <w:tcBorders>
              <w:top w:val="nil"/>
              <w:left w:val="nil"/>
              <w:bottom w:val="single" w:sz="4" w:space="0" w:color="auto"/>
              <w:right w:val="single" w:sz="4" w:space="0" w:color="auto"/>
            </w:tcBorders>
            <w:shd w:val="clear" w:color="auto" w:fill="auto"/>
            <w:noWrap/>
            <w:vAlign w:val="center"/>
          </w:tcPr>
          <w:p w14:paraId="2144A2DA"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1.67</w:t>
            </w:r>
          </w:p>
        </w:tc>
        <w:tc>
          <w:tcPr>
            <w:tcW w:w="322" w:type="pct"/>
            <w:tcBorders>
              <w:top w:val="nil"/>
              <w:left w:val="nil"/>
              <w:bottom w:val="single" w:sz="4" w:space="0" w:color="auto"/>
              <w:right w:val="single" w:sz="4" w:space="0" w:color="auto"/>
            </w:tcBorders>
            <w:shd w:val="clear" w:color="auto" w:fill="auto"/>
            <w:noWrap/>
            <w:vAlign w:val="center"/>
          </w:tcPr>
          <w:p w14:paraId="61283FD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40.54</w:t>
            </w:r>
          </w:p>
        </w:tc>
        <w:tc>
          <w:tcPr>
            <w:tcW w:w="323" w:type="pct"/>
            <w:tcBorders>
              <w:top w:val="nil"/>
              <w:left w:val="nil"/>
              <w:bottom w:val="single" w:sz="4" w:space="0" w:color="auto"/>
              <w:right w:val="single" w:sz="4" w:space="0" w:color="auto"/>
            </w:tcBorders>
            <w:shd w:val="clear" w:color="auto" w:fill="auto"/>
            <w:noWrap/>
            <w:vAlign w:val="center"/>
          </w:tcPr>
          <w:p w14:paraId="6026E3BD" w14:textId="77777777" w:rsidR="00895342" w:rsidRDefault="00067AD2">
            <w:pPr>
              <w:spacing w:after="0" w:line="240" w:lineRule="auto"/>
              <w:jc w:val="center"/>
              <w:rPr>
                <w:rFonts w:ascii="Arial" w:eastAsia="Times New Roman" w:hAnsi="Arial" w:cs="Arial"/>
                <w:color w:val="000000"/>
                <w:sz w:val="18"/>
                <w:szCs w:val="20"/>
              </w:rPr>
            </w:pPr>
            <w:r>
              <w:rPr>
                <w:rFonts w:ascii="Arial" w:hAnsi="Arial" w:cs="Arial"/>
                <w:color w:val="000000"/>
                <w:sz w:val="18"/>
                <w:szCs w:val="20"/>
              </w:rPr>
              <w:t>37.41</w:t>
            </w:r>
          </w:p>
        </w:tc>
        <w:tc>
          <w:tcPr>
            <w:tcW w:w="322" w:type="pct"/>
            <w:tcBorders>
              <w:top w:val="nil"/>
              <w:left w:val="nil"/>
              <w:bottom w:val="single" w:sz="4" w:space="0" w:color="auto"/>
              <w:right w:val="single" w:sz="4" w:space="0" w:color="auto"/>
            </w:tcBorders>
            <w:shd w:val="clear" w:color="auto" w:fill="auto"/>
            <w:noWrap/>
            <w:vAlign w:val="center"/>
          </w:tcPr>
          <w:p w14:paraId="4EFBBD6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61.52</w:t>
            </w:r>
          </w:p>
        </w:tc>
        <w:tc>
          <w:tcPr>
            <w:tcW w:w="323" w:type="pct"/>
            <w:tcBorders>
              <w:top w:val="nil"/>
              <w:left w:val="nil"/>
              <w:bottom w:val="single" w:sz="4" w:space="0" w:color="auto"/>
              <w:right w:val="single" w:sz="4" w:space="0" w:color="auto"/>
            </w:tcBorders>
            <w:shd w:val="clear" w:color="auto" w:fill="auto"/>
            <w:noWrap/>
            <w:vAlign w:val="center"/>
          </w:tcPr>
          <w:p w14:paraId="2A9ECA6D"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59.25</w:t>
            </w:r>
          </w:p>
        </w:tc>
        <w:tc>
          <w:tcPr>
            <w:tcW w:w="322" w:type="pct"/>
            <w:tcBorders>
              <w:top w:val="nil"/>
              <w:left w:val="nil"/>
              <w:bottom w:val="single" w:sz="4" w:space="0" w:color="auto"/>
              <w:right w:val="single" w:sz="4" w:space="0" w:color="auto"/>
            </w:tcBorders>
            <w:shd w:val="clear" w:color="auto" w:fill="auto"/>
            <w:noWrap/>
            <w:vAlign w:val="center"/>
          </w:tcPr>
          <w:p w14:paraId="28C88A8C"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0.86</w:t>
            </w:r>
          </w:p>
        </w:tc>
        <w:tc>
          <w:tcPr>
            <w:tcW w:w="323" w:type="pct"/>
            <w:tcBorders>
              <w:top w:val="nil"/>
              <w:left w:val="nil"/>
              <w:bottom w:val="single" w:sz="4" w:space="0" w:color="auto"/>
              <w:right w:val="single" w:sz="4" w:space="0" w:color="auto"/>
            </w:tcBorders>
            <w:shd w:val="clear" w:color="auto" w:fill="auto"/>
            <w:noWrap/>
            <w:vAlign w:val="center"/>
          </w:tcPr>
          <w:p w14:paraId="3077D34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0.83</w:t>
            </w:r>
          </w:p>
        </w:tc>
        <w:tc>
          <w:tcPr>
            <w:tcW w:w="537" w:type="pct"/>
            <w:tcBorders>
              <w:top w:val="nil"/>
              <w:left w:val="nil"/>
              <w:bottom w:val="single" w:sz="4" w:space="0" w:color="auto"/>
              <w:right w:val="single" w:sz="4" w:space="0" w:color="auto"/>
            </w:tcBorders>
            <w:vAlign w:val="center"/>
          </w:tcPr>
          <w:p w14:paraId="7FF05FDE"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c>
          <w:tcPr>
            <w:tcW w:w="322" w:type="pct"/>
            <w:tcBorders>
              <w:top w:val="nil"/>
              <w:left w:val="nil"/>
              <w:bottom w:val="single" w:sz="4" w:space="0" w:color="auto"/>
              <w:right w:val="single" w:sz="4" w:space="0" w:color="auto"/>
            </w:tcBorders>
            <w:vAlign w:val="center"/>
          </w:tcPr>
          <w:p w14:paraId="439AC022"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7.00</w:t>
            </w:r>
          </w:p>
        </w:tc>
        <w:tc>
          <w:tcPr>
            <w:tcW w:w="322" w:type="pct"/>
            <w:tcBorders>
              <w:top w:val="nil"/>
              <w:left w:val="nil"/>
              <w:bottom w:val="single" w:sz="4" w:space="0" w:color="auto"/>
              <w:right w:val="single" w:sz="4" w:space="0" w:color="auto"/>
            </w:tcBorders>
            <w:vAlign w:val="center"/>
          </w:tcPr>
          <w:p w14:paraId="22C9B531" w14:textId="77777777" w:rsidR="00895342" w:rsidRDefault="00067AD2">
            <w:pPr>
              <w:spacing w:after="0" w:line="240" w:lineRule="auto"/>
              <w:jc w:val="center"/>
              <w:rPr>
                <w:rFonts w:ascii="Arial" w:eastAsia="Times New Roman" w:hAnsi="Arial" w:cs="Arial"/>
                <w:color w:val="000000"/>
                <w:sz w:val="18"/>
                <w:szCs w:val="20"/>
              </w:rPr>
            </w:pPr>
            <w:r>
              <w:rPr>
                <w:rFonts w:ascii="Arial" w:eastAsia="Times New Roman" w:hAnsi="Arial" w:cs="Arial"/>
                <w:color w:val="000000"/>
                <w:sz w:val="18"/>
                <w:szCs w:val="20"/>
              </w:rPr>
              <w:t>7.82</w:t>
            </w:r>
          </w:p>
        </w:tc>
      </w:tr>
      <w:tr w:rsidR="00895342" w14:paraId="60713C9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314F2DF9"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45A386A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2D72267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0F3A5CA1"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0.55</w:t>
            </w:r>
          </w:p>
        </w:tc>
        <w:tc>
          <w:tcPr>
            <w:tcW w:w="323" w:type="pct"/>
            <w:tcBorders>
              <w:top w:val="nil"/>
              <w:left w:val="nil"/>
              <w:bottom w:val="single" w:sz="4" w:space="0" w:color="auto"/>
              <w:right w:val="single" w:sz="4" w:space="0" w:color="auto"/>
            </w:tcBorders>
            <w:shd w:val="clear" w:color="auto" w:fill="auto"/>
            <w:noWrap/>
            <w:vAlign w:val="center"/>
          </w:tcPr>
          <w:p w14:paraId="4D004535"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0.87</w:t>
            </w:r>
          </w:p>
        </w:tc>
        <w:tc>
          <w:tcPr>
            <w:tcW w:w="322" w:type="pct"/>
            <w:tcBorders>
              <w:top w:val="nil"/>
              <w:left w:val="nil"/>
              <w:bottom w:val="single" w:sz="4" w:space="0" w:color="auto"/>
              <w:right w:val="single" w:sz="4" w:space="0" w:color="auto"/>
            </w:tcBorders>
            <w:shd w:val="clear" w:color="auto" w:fill="auto"/>
            <w:noWrap/>
            <w:vAlign w:val="center"/>
          </w:tcPr>
          <w:p w14:paraId="1E6BEF5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0.78</w:t>
            </w:r>
          </w:p>
        </w:tc>
        <w:tc>
          <w:tcPr>
            <w:tcW w:w="323" w:type="pct"/>
            <w:tcBorders>
              <w:top w:val="nil"/>
              <w:left w:val="nil"/>
              <w:bottom w:val="single" w:sz="4" w:space="0" w:color="auto"/>
              <w:right w:val="single" w:sz="4" w:space="0" w:color="auto"/>
            </w:tcBorders>
            <w:shd w:val="clear" w:color="auto" w:fill="auto"/>
            <w:noWrap/>
            <w:vAlign w:val="center"/>
          </w:tcPr>
          <w:p w14:paraId="2DCA152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0.65</w:t>
            </w:r>
          </w:p>
        </w:tc>
        <w:tc>
          <w:tcPr>
            <w:tcW w:w="322" w:type="pct"/>
            <w:tcBorders>
              <w:top w:val="nil"/>
              <w:left w:val="nil"/>
              <w:bottom w:val="single" w:sz="4" w:space="0" w:color="auto"/>
              <w:right w:val="single" w:sz="4" w:space="0" w:color="auto"/>
            </w:tcBorders>
            <w:shd w:val="clear" w:color="auto" w:fill="auto"/>
            <w:noWrap/>
            <w:vAlign w:val="center"/>
          </w:tcPr>
          <w:p w14:paraId="3C9A619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099FCC2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5268DC1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c>
          <w:tcPr>
            <w:tcW w:w="322" w:type="pct"/>
            <w:tcBorders>
              <w:top w:val="nil"/>
              <w:left w:val="nil"/>
              <w:bottom w:val="single" w:sz="4" w:space="0" w:color="auto"/>
              <w:right w:val="single" w:sz="4" w:space="0" w:color="auto"/>
            </w:tcBorders>
            <w:vAlign w:val="center"/>
          </w:tcPr>
          <w:p w14:paraId="1BD1822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0.26</w:t>
            </w:r>
          </w:p>
        </w:tc>
        <w:tc>
          <w:tcPr>
            <w:tcW w:w="322" w:type="pct"/>
            <w:tcBorders>
              <w:top w:val="nil"/>
              <w:left w:val="nil"/>
              <w:bottom w:val="single" w:sz="4" w:space="0" w:color="auto"/>
              <w:right w:val="single" w:sz="4" w:space="0" w:color="auto"/>
            </w:tcBorders>
            <w:vAlign w:val="center"/>
          </w:tcPr>
          <w:p w14:paraId="4F7BEE49"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0.23</w:t>
            </w:r>
          </w:p>
        </w:tc>
      </w:tr>
      <w:tr w:rsidR="00895342" w14:paraId="573E6065"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732F218F"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72275293"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997B35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BC7AD4D"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3650529E" w14:textId="77777777" w:rsidR="00895342" w:rsidRDefault="00067AD2">
            <w:pPr>
              <w:spacing w:after="0" w:line="240" w:lineRule="auto"/>
              <w:jc w:val="center"/>
              <w:rPr>
                <w:rFonts w:ascii="Arial" w:eastAsia="Times New Roman" w:hAnsi="Arial" w:cs="Arial"/>
                <w:b/>
                <w:bCs/>
                <w:color w:val="000000"/>
                <w:sz w:val="18"/>
                <w:szCs w:val="20"/>
              </w:rPr>
            </w:pPr>
            <w:r>
              <w:rPr>
                <w:rFonts w:ascii="Arial"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27E43C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0F9FA1D"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0FCEA7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1BB154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112CC99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7E3E278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317E598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895342" w14:paraId="4AC3659A"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0F04EB4B"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Interaction</w:t>
            </w:r>
          </w:p>
        </w:tc>
      </w:tr>
      <w:tr w:rsidR="00895342" w14:paraId="1B618234"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451D981E"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Sub at same level main (S x M)</w:t>
            </w:r>
          </w:p>
        </w:tc>
      </w:tr>
      <w:tr w:rsidR="00895342" w14:paraId="458EC48F"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06CCCD6D"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79F17B7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401AEFF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64744E9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0.77</w:t>
            </w:r>
          </w:p>
        </w:tc>
        <w:tc>
          <w:tcPr>
            <w:tcW w:w="323" w:type="pct"/>
            <w:tcBorders>
              <w:top w:val="nil"/>
              <w:left w:val="nil"/>
              <w:bottom w:val="single" w:sz="4" w:space="0" w:color="auto"/>
              <w:right w:val="single" w:sz="4" w:space="0" w:color="auto"/>
            </w:tcBorders>
            <w:shd w:val="clear" w:color="auto" w:fill="auto"/>
            <w:noWrap/>
            <w:vAlign w:val="center"/>
          </w:tcPr>
          <w:p w14:paraId="5CF6CBD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1.23</w:t>
            </w:r>
          </w:p>
        </w:tc>
        <w:tc>
          <w:tcPr>
            <w:tcW w:w="322" w:type="pct"/>
            <w:tcBorders>
              <w:top w:val="nil"/>
              <w:left w:val="nil"/>
              <w:bottom w:val="single" w:sz="4" w:space="0" w:color="auto"/>
              <w:right w:val="single" w:sz="4" w:space="0" w:color="auto"/>
            </w:tcBorders>
            <w:shd w:val="clear" w:color="auto" w:fill="auto"/>
            <w:noWrap/>
            <w:vAlign w:val="center"/>
          </w:tcPr>
          <w:p w14:paraId="02F7F08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1.10</w:t>
            </w:r>
          </w:p>
        </w:tc>
        <w:tc>
          <w:tcPr>
            <w:tcW w:w="323" w:type="pct"/>
            <w:tcBorders>
              <w:top w:val="nil"/>
              <w:left w:val="nil"/>
              <w:bottom w:val="single" w:sz="4" w:space="0" w:color="auto"/>
              <w:right w:val="single" w:sz="4" w:space="0" w:color="auto"/>
            </w:tcBorders>
            <w:shd w:val="clear" w:color="auto" w:fill="auto"/>
            <w:noWrap/>
            <w:vAlign w:val="center"/>
          </w:tcPr>
          <w:p w14:paraId="7CD2F53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0.92</w:t>
            </w:r>
          </w:p>
        </w:tc>
        <w:tc>
          <w:tcPr>
            <w:tcW w:w="322" w:type="pct"/>
            <w:tcBorders>
              <w:top w:val="nil"/>
              <w:left w:val="nil"/>
              <w:bottom w:val="single" w:sz="4" w:space="0" w:color="auto"/>
              <w:right w:val="single" w:sz="4" w:space="0" w:color="auto"/>
            </w:tcBorders>
            <w:shd w:val="clear" w:color="auto" w:fill="auto"/>
            <w:noWrap/>
            <w:vAlign w:val="center"/>
          </w:tcPr>
          <w:p w14:paraId="4416CD4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39CCE18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0.01</w:t>
            </w:r>
          </w:p>
        </w:tc>
        <w:tc>
          <w:tcPr>
            <w:tcW w:w="537" w:type="pct"/>
            <w:tcBorders>
              <w:top w:val="nil"/>
              <w:left w:val="nil"/>
              <w:bottom w:val="single" w:sz="4" w:space="0" w:color="auto"/>
              <w:right w:val="single" w:sz="4" w:space="0" w:color="auto"/>
            </w:tcBorders>
            <w:vAlign w:val="center"/>
          </w:tcPr>
          <w:p w14:paraId="03F594C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7F592C6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0.33</w:t>
            </w:r>
          </w:p>
        </w:tc>
        <w:tc>
          <w:tcPr>
            <w:tcW w:w="322" w:type="pct"/>
            <w:tcBorders>
              <w:top w:val="nil"/>
              <w:left w:val="nil"/>
              <w:bottom w:val="single" w:sz="4" w:space="0" w:color="auto"/>
              <w:right w:val="single" w:sz="4" w:space="0" w:color="auto"/>
            </w:tcBorders>
            <w:vAlign w:val="center"/>
          </w:tcPr>
          <w:p w14:paraId="1B090EF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0.36</w:t>
            </w:r>
          </w:p>
        </w:tc>
      </w:tr>
      <w:tr w:rsidR="00895342" w14:paraId="73F03F3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11784B5"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4E4AD6A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281A197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C4FBEA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52C18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3D700E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49915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35A0CD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0AAE06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466FC2E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48942E6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77C5A24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r w:rsidR="00895342" w14:paraId="188740EE" w14:textId="77777777">
        <w:trPr>
          <w:trHeight w:val="7"/>
          <w:jc w:val="center"/>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14:paraId="62B6C3ED" w14:textId="77777777" w:rsidR="00895342" w:rsidRDefault="00067AD2">
            <w:pPr>
              <w:spacing w:after="0" w:line="240" w:lineRule="auto"/>
              <w:jc w:val="both"/>
              <w:rPr>
                <w:rFonts w:ascii="Arial" w:eastAsia="Times New Roman" w:hAnsi="Arial" w:cs="Arial"/>
                <w:b/>
                <w:bCs/>
                <w:color w:val="000000"/>
                <w:sz w:val="18"/>
                <w:szCs w:val="20"/>
              </w:rPr>
            </w:pPr>
            <w:r>
              <w:rPr>
                <w:rFonts w:ascii="Arial" w:eastAsia="Times New Roman" w:hAnsi="Arial" w:cs="Arial"/>
                <w:b/>
                <w:bCs/>
                <w:color w:val="000000"/>
                <w:sz w:val="18"/>
                <w:szCs w:val="20"/>
              </w:rPr>
              <w:t>Main at same or different level sub (M x S)</w:t>
            </w:r>
          </w:p>
        </w:tc>
      </w:tr>
      <w:tr w:rsidR="00895342" w14:paraId="17104F0C"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17D2982C" w14:textId="77777777" w:rsidR="00895342" w:rsidRDefault="00067AD2">
            <w:pPr>
              <w:spacing w:after="0" w:line="240" w:lineRule="auto"/>
              <w:jc w:val="both"/>
              <w:rPr>
                <w:rFonts w:ascii="Arial" w:eastAsia="Times New Roman" w:hAnsi="Arial" w:cs="Arial"/>
                <w:color w:val="000000"/>
                <w:sz w:val="18"/>
                <w:szCs w:val="20"/>
              </w:rPr>
            </w:pPr>
            <w:proofErr w:type="spellStart"/>
            <w:r>
              <w:rPr>
                <w:rFonts w:ascii="Arial" w:eastAsia="Times New Roman" w:hAnsi="Arial" w:cs="Arial"/>
                <w:color w:val="000000"/>
                <w:sz w:val="18"/>
                <w:szCs w:val="20"/>
              </w:rPr>
              <w:t>SEm</w:t>
            </w:r>
            <w:proofErr w:type="spellEnd"/>
            <w:r>
              <w:rPr>
                <w:rFonts w:ascii="Arial" w:eastAsia="Times New Roman" w:hAnsi="Arial" w:cs="Arial"/>
                <w:color w:val="000000"/>
                <w:sz w:val="18"/>
                <w:szCs w:val="20"/>
              </w:rPr>
              <w:t>±</w:t>
            </w:r>
          </w:p>
        </w:tc>
        <w:tc>
          <w:tcPr>
            <w:tcW w:w="322" w:type="pct"/>
            <w:tcBorders>
              <w:top w:val="nil"/>
              <w:left w:val="nil"/>
              <w:bottom w:val="single" w:sz="4" w:space="0" w:color="auto"/>
              <w:right w:val="single" w:sz="4" w:space="0" w:color="auto"/>
            </w:tcBorders>
            <w:shd w:val="clear" w:color="auto" w:fill="auto"/>
            <w:noWrap/>
            <w:vAlign w:val="center"/>
          </w:tcPr>
          <w:p w14:paraId="05247BD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63AEE4B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0.03</w:t>
            </w:r>
          </w:p>
        </w:tc>
        <w:tc>
          <w:tcPr>
            <w:tcW w:w="322" w:type="pct"/>
            <w:tcBorders>
              <w:top w:val="nil"/>
              <w:left w:val="nil"/>
              <w:bottom w:val="single" w:sz="4" w:space="0" w:color="auto"/>
              <w:right w:val="single" w:sz="4" w:space="0" w:color="auto"/>
            </w:tcBorders>
            <w:shd w:val="clear" w:color="auto" w:fill="auto"/>
            <w:noWrap/>
            <w:vAlign w:val="center"/>
          </w:tcPr>
          <w:p w14:paraId="4789B1AD"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0.82</w:t>
            </w:r>
          </w:p>
        </w:tc>
        <w:tc>
          <w:tcPr>
            <w:tcW w:w="323" w:type="pct"/>
            <w:tcBorders>
              <w:top w:val="nil"/>
              <w:left w:val="nil"/>
              <w:bottom w:val="single" w:sz="4" w:space="0" w:color="auto"/>
              <w:right w:val="single" w:sz="4" w:space="0" w:color="auto"/>
            </w:tcBorders>
            <w:shd w:val="clear" w:color="auto" w:fill="auto"/>
            <w:noWrap/>
            <w:vAlign w:val="center"/>
          </w:tcPr>
          <w:p w14:paraId="0872083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1.13</w:t>
            </w:r>
          </w:p>
        </w:tc>
        <w:tc>
          <w:tcPr>
            <w:tcW w:w="322" w:type="pct"/>
            <w:tcBorders>
              <w:top w:val="nil"/>
              <w:left w:val="nil"/>
              <w:bottom w:val="single" w:sz="4" w:space="0" w:color="auto"/>
              <w:right w:val="single" w:sz="4" w:space="0" w:color="auto"/>
            </w:tcBorders>
            <w:shd w:val="clear" w:color="auto" w:fill="auto"/>
            <w:noWrap/>
            <w:vAlign w:val="center"/>
          </w:tcPr>
          <w:p w14:paraId="19B24C6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1.08</w:t>
            </w:r>
          </w:p>
        </w:tc>
        <w:tc>
          <w:tcPr>
            <w:tcW w:w="323" w:type="pct"/>
            <w:tcBorders>
              <w:top w:val="nil"/>
              <w:left w:val="nil"/>
              <w:bottom w:val="single" w:sz="4" w:space="0" w:color="auto"/>
              <w:right w:val="single" w:sz="4" w:space="0" w:color="auto"/>
            </w:tcBorders>
            <w:shd w:val="clear" w:color="auto" w:fill="auto"/>
            <w:noWrap/>
            <w:vAlign w:val="center"/>
          </w:tcPr>
          <w:p w14:paraId="6829A8CA"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0.98</w:t>
            </w:r>
          </w:p>
        </w:tc>
        <w:tc>
          <w:tcPr>
            <w:tcW w:w="322" w:type="pct"/>
            <w:tcBorders>
              <w:top w:val="nil"/>
              <w:left w:val="nil"/>
              <w:bottom w:val="single" w:sz="4" w:space="0" w:color="auto"/>
              <w:right w:val="single" w:sz="4" w:space="0" w:color="auto"/>
            </w:tcBorders>
            <w:shd w:val="clear" w:color="auto" w:fill="auto"/>
            <w:noWrap/>
            <w:vAlign w:val="center"/>
          </w:tcPr>
          <w:p w14:paraId="213D2F0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434179E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0.02</w:t>
            </w:r>
          </w:p>
        </w:tc>
        <w:tc>
          <w:tcPr>
            <w:tcW w:w="537" w:type="pct"/>
            <w:tcBorders>
              <w:top w:val="nil"/>
              <w:left w:val="nil"/>
              <w:bottom w:val="single" w:sz="4" w:space="0" w:color="auto"/>
              <w:right w:val="single" w:sz="4" w:space="0" w:color="auto"/>
            </w:tcBorders>
            <w:vAlign w:val="center"/>
          </w:tcPr>
          <w:p w14:paraId="41EF724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0.52</w:t>
            </w:r>
          </w:p>
        </w:tc>
        <w:tc>
          <w:tcPr>
            <w:tcW w:w="322" w:type="pct"/>
            <w:tcBorders>
              <w:top w:val="nil"/>
              <w:left w:val="nil"/>
              <w:bottom w:val="single" w:sz="4" w:space="0" w:color="auto"/>
              <w:right w:val="single" w:sz="4" w:space="0" w:color="auto"/>
            </w:tcBorders>
            <w:vAlign w:val="center"/>
          </w:tcPr>
          <w:p w14:paraId="19FF1CCE"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c>
          <w:tcPr>
            <w:tcW w:w="322" w:type="pct"/>
            <w:tcBorders>
              <w:top w:val="nil"/>
              <w:left w:val="nil"/>
              <w:bottom w:val="single" w:sz="4" w:space="0" w:color="auto"/>
              <w:right w:val="single" w:sz="4" w:space="0" w:color="auto"/>
            </w:tcBorders>
            <w:vAlign w:val="center"/>
          </w:tcPr>
          <w:p w14:paraId="6B00C19B"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0.32</w:t>
            </w:r>
          </w:p>
        </w:tc>
      </w:tr>
      <w:tr w:rsidR="00895342" w14:paraId="32090AB5" w14:textId="77777777">
        <w:trPr>
          <w:trHeight w:val="7"/>
          <w:jc w:val="center"/>
        </w:trPr>
        <w:tc>
          <w:tcPr>
            <w:tcW w:w="1239" w:type="pct"/>
            <w:tcBorders>
              <w:top w:val="nil"/>
              <w:left w:val="single" w:sz="4" w:space="0" w:color="auto"/>
              <w:bottom w:val="single" w:sz="4" w:space="0" w:color="auto"/>
              <w:right w:val="single" w:sz="4" w:space="0" w:color="auto"/>
            </w:tcBorders>
            <w:shd w:val="clear" w:color="auto" w:fill="auto"/>
            <w:noWrap/>
            <w:vAlign w:val="center"/>
          </w:tcPr>
          <w:p w14:paraId="67B53D06" w14:textId="77777777" w:rsidR="00895342" w:rsidRDefault="00067AD2">
            <w:pPr>
              <w:spacing w:after="0" w:line="240" w:lineRule="auto"/>
              <w:jc w:val="both"/>
              <w:rPr>
                <w:rFonts w:ascii="Arial" w:eastAsia="Times New Roman" w:hAnsi="Arial" w:cs="Arial"/>
                <w:color w:val="000000"/>
                <w:sz w:val="18"/>
                <w:szCs w:val="20"/>
              </w:rPr>
            </w:pPr>
            <w:r>
              <w:rPr>
                <w:rFonts w:ascii="Arial" w:eastAsia="Times New Roman" w:hAnsi="Arial" w:cs="Arial"/>
                <w:color w:val="000000"/>
                <w:sz w:val="18"/>
                <w:szCs w:val="20"/>
              </w:rPr>
              <w:t>CD (</w:t>
            </w:r>
            <w:r>
              <w:rPr>
                <w:rFonts w:ascii="Arial" w:eastAsia="Times New Roman" w:hAnsi="Arial" w:cs="Arial"/>
                <w:i/>
                <w:iCs/>
                <w:color w:val="000000"/>
                <w:sz w:val="18"/>
                <w:szCs w:val="20"/>
              </w:rPr>
              <w:t>P</w:t>
            </w:r>
            <w:r>
              <w:rPr>
                <w:rFonts w:ascii="Arial" w:eastAsia="Times New Roman" w:hAnsi="Arial" w:cs="Arial"/>
                <w:color w:val="000000"/>
                <w:sz w:val="18"/>
                <w:szCs w:val="20"/>
              </w:rPr>
              <w:t xml:space="preserve"> = .05)</w:t>
            </w:r>
          </w:p>
        </w:tc>
        <w:tc>
          <w:tcPr>
            <w:tcW w:w="322" w:type="pct"/>
            <w:tcBorders>
              <w:top w:val="nil"/>
              <w:left w:val="nil"/>
              <w:bottom w:val="single" w:sz="4" w:space="0" w:color="auto"/>
              <w:right w:val="single" w:sz="4" w:space="0" w:color="auto"/>
            </w:tcBorders>
            <w:shd w:val="clear" w:color="auto" w:fill="auto"/>
            <w:noWrap/>
            <w:vAlign w:val="center"/>
          </w:tcPr>
          <w:p w14:paraId="2EF2FBD4"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3AB3B607"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B5B055C"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DE95398"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B38B86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5A06F426"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57D14080"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11A46185"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537" w:type="pct"/>
            <w:tcBorders>
              <w:top w:val="nil"/>
              <w:left w:val="nil"/>
              <w:bottom w:val="single" w:sz="4" w:space="0" w:color="auto"/>
              <w:right w:val="single" w:sz="4" w:space="0" w:color="auto"/>
            </w:tcBorders>
            <w:vAlign w:val="center"/>
          </w:tcPr>
          <w:p w14:paraId="6A3DD7D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618D8F72"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c>
          <w:tcPr>
            <w:tcW w:w="322" w:type="pct"/>
            <w:tcBorders>
              <w:top w:val="nil"/>
              <w:left w:val="nil"/>
              <w:bottom w:val="single" w:sz="4" w:space="0" w:color="auto"/>
              <w:right w:val="single" w:sz="4" w:space="0" w:color="auto"/>
            </w:tcBorders>
            <w:vAlign w:val="center"/>
          </w:tcPr>
          <w:p w14:paraId="0EC4E16F" w14:textId="77777777" w:rsidR="00895342" w:rsidRDefault="00067AD2">
            <w:pPr>
              <w:spacing w:after="0" w:line="240" w:lineRule="auto"/>
              <w:jc w:val="center"/>
              <w:rPr>
                <w:rFonts w:ascii="Arial" w:eastAsia="Times New Roman" w:hAnsi="Arial" w:cs="Arial"/>
                <w:b/>
                <w:bCs/>
                <w:color w:val="000000"/>
                <w:sz w:val="18"/>
                <w:szCs w:val="20"/>
              </w:rPr>
            </w:pPr>
            <w:r>
              <w:rPr>
                <w:rFonts w:ascii="Arial" w:eastAsia="Times New Roman" w:hAnsi="Arial" w:cs="Arial"/>
                <w:b/>
                <w:bCs/>
                <w:color w:val="000000"/>
                <w:sz w:val="18"/>
                <w:szCs w:val="20"/>
              </w:rPr>
              <w:t>NS</w:t>
            </w:r>
          </w:p>
        </w:tc>
      </w:tr>
    </w:tbl>
    <w:p w14:paraId="1FECA21D" w14:textId="77777777" w:rsidR="00895342" w:rsidRDefault="00895342">
      <w:pPr>
        <w:tabs>
          <w:tab w:val="left" w:pos="720"/>
        </w:tabs>
        <w:spacing w:after="120" w:line="240" w:lineRule="auto"/>
        <w:jc w:val="both"/>
        <w:rPr>
          <w:rFonts w:ascii="Arial" w:hAnsi="Arial" w:cs="Arial"/>
          <w:sz w:val="20"/>
          <w:szCs w:val="20"/>
        </w:rPr>
      </w:pPr>
    </w:p>
    <w:p w14:paraId="5413FCA3" w14:textId="77777777" w:rsidR="00895342" w:rsidRDefault="00067AD2">
      <w:pPr>
        <w:spacing w:after="120" w:line="240" w:lineRule="auto"/>
        <w:ind w:left="936" w:hanging="936"/>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Table 2. </w:t>
      </w:r>
      <w:r>
        <w:rPr>
          <w:rFonts w:ascii="Arial" w:eastAsia="Times New Roman" w:hAnsi="Arial" w:cs="Arial"/>
          <w:b/>
          <w:bCs/>
          <w:color w:val="000000"/>
          <w:sz w:val="20"/>
          <w:szCs w:val="20"/>
        </w:rPr>
        <w:tab/>
        <w:t xml:space="preserve">Effect of organic farming on available soil moisture content (%) at critical stages of groundnut during </w:t>
      </w:r>
      <w:r>
        <w:rPr>
          <w:rFonts w:ascii="Arial" w:eastAsia="Times New Roman" w:hAnsi="Arial" w:cs="Arial"/>
          <w:b/>
          <w:bCs/>
          <w:i/>
          <w:iCs/>
          <w:color w:val="000000"/>
          <w:sz w:val="20"/>
          <w:szCs w:val="20"/>
        </w:rPr>
        <w:t>kharif</w:t>
      </w:r>
      <w:r>
        <w:rPr>
          <w:rFonts w:ascii="Arial" w:eastAsia="Times New Roman" w:hAnsi="Arial" w:cs="Arial"/>
          <w:b/>
          <w:bCs/>
          <w:color w:val="000000"/>
          <w:sz w:val="20"/>
          <w:szCs w:val="20"/>
        </w:rPr>
        <w:t xml:space="preserve"> 2023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741"/>
        <w:gridCol w:w="1030"/>
        <w:gridCol w:w="1026"/>
        <w:gridCol w:w="1026"/>
        <w:gridCol w:w="1046"/>
        <w:gridCol w:w="1032"/>
        <w:gridCol w:w="1026"/>
        <w:gridCol w:w="1026"/>
        <w:gridCol w:w="1026"/>
        <w:gridCol w:w="1026"/>
        <w:gridCol w:w="1035"/>
        <w:gridCol w:w="1029"/>
        <w:gridCol w:w="6"/>
      </w:tblGrid>
      <w:tr w:rsidR="00895342" w14:paraId="21BC5D96" w14:textId="77777777">
        <w:trPr>
          <w:trHeight w:val="51"/>
        </w:trPr>
        <w:tc>
          <w:tcPr>
            <w:tcW w:w="740" w:type="pct"/>
            <w:vMerge w:val="restart"/>
            <w:shd w:val="clear" w:color="auto" w:fill="auto"/>
            <w:noWrap/>
            <w:vAlign w:val="center"/>
          </w:tcPr>
          <w:p w14:paraId="1DCFEBB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Treatments</w:t>
            </w:r>
          </w:p>
        </w:tc>
        <w:tc>
          <w:tcPr>
            <w:tcW w:w="2081" w:type="pct"/>
            <w:gridSpan w:val="6"/>
            <w:shd w:val="clear" w:color="auto" w:fill="auto"/>
            <w:vAlign w:val="center"/>
          </w:tcPr>
          <w:p w14:paraId="4C924736"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0-15 cm</w:t>
            </w:r>
          </w:p>
        </w:tc>
        <w:tc>
          <w:tcPr>
            <w:tcW w:w="2178" w:type="pct"/>
            <w:gridSpan w:val="7"/>
            <w:shd w:val="clear" w:color="auto" w:fill="auto"/>
            <w:vAlign w:val="center"/>
          </w:tcPr>
          <w:p w14:paraId="22C2AEE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15-30 cm</w:t>
            </w:r>
          </w:p>
        </w:tc>
      </w:tr>
      <w:tr w:rsidR="00895342" w14:paraId="6DC58FF5" w14:textId="77777777">
        <w:trPr>
          <w:trHeight w:val="51"/>
        </w:trPr>
        <w:tc>
          <w:tcPr>
            <w:tcW w:w="740" w:type="pct"/>
            <w:vMerge/>
            <w:vAlign w:val="center"/>
          </w:tcPr>
          <w:p w14:paraId="525F0787" w14:textId="77777777" w:rsidR="00895342" w:rsidRDefault="00895342">
            <w:pPr>
              <w:spacing w:after="0" w:line="240" w:lineRule="auto"/>
              <w:jc w:val="center"/>
              <w:rPr>
                <w:rFonts w:ascii="Arial" w:eastAsia="Times New Roman" w:hAnsi="Arial" w:cs="Arial"/>
                <w:b/>
                <w:bCs/>
                <w:color w:val="000000"/>
                <w:sz w:val="20"/>
                <w:szCs w:val="20"/>
              </w:rPr>
            </w:pPr>
          </w:p>
        </w:tc>
        <w:tc>
          <w:tcPr>
            <w:tcW w:w="624" w:type="pct"/>
            <w:gridSpan w:val="2"/>
            <w:shd w:val="clear" w:color="auto" w:fill="auto"/>
            <w:vAlign w:val="center"/>
          </w:tcPr>
          <w:p w14:paraId="22B09D30"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6C8AF76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3" w:type="pct"/>
            <w:gridSpan w:val="2"/>
            <w:shd w:val="clear" w:color="auto" w:fill="auto"/>
            <w:vAlign w:val="center"/>
          </w:tcPr>
          <w:p w14:paraId="2A430B42"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c>
          <w:tcPr>
            <w:tcW w:w="724" w:type="pct"/>
            <w:gridSpan w:val="2"/>
            <w:shd w:val="clear" w:color="auto" w:fill="auto"/>
            <w:vAlign w:val="center"/>
          </w:tcPr>
          <w:p w14:paraId="6913A3CA"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Flowering</w:t>
            </w:r>
          </w:p>
        </w:tc>
        <w:tc>
          <w:tcPr>
            <w:tcW w:w="724" w:type="pct"/>
            <w:gridSpan w:val="2"/>
            <w:shd w:val="clear" w:color="auto" w:fill="auto"/>
            <w:vAlign w:val="center"/>
          </w:tcPr>
          <w:p w14:paraId="317F5ACB"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Peg initiation</w:t>
            </w:r>
          </w:p>
        </w:tc>
        <w:tc>
          <w:tcPr>
            <w:tcW w:w="730" w:type="pct"/>
            <w:gridSpan w:val="3"/>
            <w:shd w:val="clear" w:color="auto" w:fill="auto"/>
            <w:vAlign w:val="center"/>
          </w:tcPr>
          <w:p w14:paraId="7DCAF27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Pod development</w:t>
            </w:r>
          </w:p>
        </w:tc>
      </w:tr>
      <w:tr w:rsidR="00895342" w14:paraId="16C9A9CB" w14:textId="77777777">
        <w:trPr>
          <w:gridAfter w:val="1"/>
          <w:wAfter w:w="2" w:type="pct"/>
          <w:trHeight w:val="51"/>
        </w:trPr>
        <w:tc>
          <w:tcPr>
            <w:tcW w:w="740" w:type="pct"/>
            <w:vMerge/>
            <w:vAlign w:val="center"/>
          </w:tcPr>
          <w:p w14:paraId="4F308F3B" w14:textId="77777777" w:rsidR="00895342" w:rsidRDefault="00895342">
            <w:pPr>
              <w:spacing w:after="0" w:line="240" w:lineRule="auto"/>
              <w:jc w:val="center"/>
              <w:rPr>
                <w:rFonts w:ascii="Arial" w:eastAsia="Times New Roman" w:hAnsi="Arial" w:cs="Arial"/>
                <w:b/>
                <w:bCs/>
                <w:color w:val="000000"/>
                <w:sz w:val="20"/>
                <w:szCs w:val="20"/>
              </w:rPr>
            </w:pPr>
          </w:p>
        </w:tc>
        <w:tc>
          <w:tcPr>
            <w:tcW w:w="261" w:type="pct"/>
            <w:shd w:val="clear" w:color="auto" w:fill="auto"/>
            <w:noWrap/>
            <w:vAlign w:val="center"/>
          </w:tcPr>
          <w:p w14:paraId="14F3B390"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643C48B8"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77BE9787"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65C80A54"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9" w:type="pct"/>
            <w:shd w:val="clear" w:color="auto" w:fill="auto"/>
            <w:noWrap/>
            <w:vAlign w:val="center"/>
          </w:tcPr>
          <w:p w14:paraId="4641351F"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4" w:type="pct"/>
            <w:shd w:val="clear" w:color="auto" w:fill="auto"/>
            <w:noWrap/>
            <w:vAlign w:val="center"/>
          </w:tcPr>
          <w:p w14:paraId="4E9FC2B9"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61FE1297"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6B1C0D7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2" w:type="pct"/>
            <w:shd w:val="clear" w:color="auto" w:fill="auto"/>
            <w:noWrap/>
            <w:vAlign w:val="center"/>
          </w:tcPr>
          <w:p w14:paraId="2E3D4335"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2" w:type="pct"/>
            <w:shd w:val="clear" w:color="auto" w:fill="auto"/>
            <w:noWrap/>
            <w:vAlign w:val="center"/>
          </w:tcPr>
          <w:p w14:paraId="7F480BE9"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c>
          <w:tcPr>
            <w:tcW w:w="365" w:type="pct"/>
            <w:shd w:val="clear" w:color="auto" w:fill="auto"/>
            <w:noWrap/>
            <w:vAlign w:val="center"/>
          </w:tcPr>
          <w:p w14:paraId="09FDEAAD"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1</w:t>
            </w:r>
          </w:p>
        </w:tc>
        <w:tc>
          <w:tcPr>
            <w:tcW w:w="363" w:type="pct"/>
            <w:shd w:val="clear" w:color="auto" w:fill="auto"/>
            <w:noWrap/>
            <w:vAlign w:val="center"/>
          </w:tcPr>
          <w:p w14:paraId="6D209A3B" w14:textId="77777777" w:rsidR="00895342" w:rsidRDefault="00067AD2">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M</w:t>
            </w:r>
            <w:r>
              <w:rPr>
                <w:rFonts w:ascii="Arial" w:eastAsia="Times New Roman" w:hAnsi="Arial" w:cs="Arial"/>
                <w:b/>
                <w:bCs/>
                <w:color w:val="000000"/>
                <w:sz w:val="20"/>
                <w:szCs w:val="20"/>
                <w:vertAlign w:val="subscript"/>
              </w:rPr>
              <w:t>2</w:t>
            </w:r>
          </w:p>
        </w:tc>
      </w:tr>
      <w:tr w:rsidR="00895342" w14:paraId="5473A582" w14:textId="77777777">
        <w:trPr>
          <w:gridAfter w:val="1"/>
          <w:wAfter w:w="2" w:type="pct"/>
          <w:trHeight w:val="51"/>
        </w:trPr>
        <w:tc>
          <w:tcPr>
            <w:tcW w:w="740" w:type="pct"/>
            <w:shd w:val="clear" w:color="auto" w:fill="auto"/>
            <w:vAlign w:val="center"/>
          </w:tcPr>
          <w:p w14:paraId="51839B00"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Mean</w:t>
            </w:r>
          </w:p>
        </w:tc>
        <w:tc>
          <w:tcPr>
            <w:tcW w:w="261" w:type="pct"/>
            <w:shd w:val="clear" w:color="auto" w:fill="auto"/>
            <w:noWrap/>
            <w:vAlign w:val="center"/>
          </w:tcPr>
          <w:p w14:paraId="40DE2910"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17.58</w:t>
            </w:r>
          </w:p>
        </w:tc>
        <w:tc>
          <w:tcPr>
            <w:tcW w:w="363" w:type="pct"/>
            <w:shd w:val="clear" w:color="auto" w:fill="auto"/>
            <w:noWrap/>
            <w:vAlign w:val="center"/>
          </w:tcPr>
          <w:p w14:paraId="25DA316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16.58</w:t>
            </w:r>
          </w:p>
        </w:tc>
        <w:tc>
          <w:tcPr>
            <w:tcW w:w="362" w:type="pct"/>
            <w:shd w:val="clear" w:color="auto" w:fill="auto"/>
            <w:noWrap/>
            <w:vAlign w:val="center"/>
          </w:tcPr>
          <w:p w14:paraId="3EA5965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23.12</w:t>
            </w:r>
          </w:p>
        </w:tc>
        <w:tc>
          <w:tcPr>
            <w:tcW w:w="362" w:type="pct"/>
            <w:shd w:val="clear" w:color="auto" w:fill="auto"/>
            <w:noWrap/>
            <w:vAlign w:val="center"/>
          </w:tcPr>
          <w:p w14:paraId="7185F06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21.32</w:t>
            </w:r>
          </w:p>
        </w:tc>
        <w:tc>
          <w:tcPr>
            <w:tcW w:w="369" w:type="pct"/>
            <w:shd w:val="clear" w:color="auto" w:fill="auto"/>
            <w:noWrap/>
            <w:vAlign w:val="center"/>
          </w:tcPr>
          <w:p w14:paraId="3A64AD55"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11.52</w:t>
            </w:r>
          </w:p>
        </w:tc>
        <w:tc>
          <w:tcPr>
            <w:tcW w:w="364" w:type="pct"/>
            <w:shd w:val="clear" w:color="auto" w:fill="auto"/>
            <w:noWrap/>
            <w:vAlign w:val="center"/>
          </w:tcPr>
          <w:p w14:paraId="435A70E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10.28</w:t>
            </w:r>
          </w:p>
        </w:tc>
        <w:tc>
          <w:tcPr>
            <w:tcW w:w="362" w:type="pct"/>
            <w:shd w:val="clear" w:color="auto" w:fill="auto"/>
            <w:noWrap/>
            <w:vAlign w:val="center"/>
          </w:tcPr>
          <w:p w14:paraId="7FAAB571"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16.96</w:t>
            </w:r>
          </w:p>
        </w:tc>
        <w:tc>
          <w:tcPr>
            <w:tcW w:w="362" w:type="pct"/>
            <w:shd w:val="clear" w:color="auto" w:fill="auto"/>
            <w:noWrap/>
            <w:vAlign w:val="center"/>
          </w:tcPr>
          <w:p w14:paraId="52FFBA9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15.88</w:t>
            </w:r>
          </w:p>
        </w:tc>
        <w:tc>
          <w:tcPr>
            <w:tcW w:w="362" w:type="pct"/>
            <w:shd w:val="clear" w:color="auto" w:fill="auto"/>
            <w:noWrap/>
            <w:vAlign w:val="center"/>
          </w:tcPr>
          <w:p w14:paraId="37A62D8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22.48</w:t>
            </w:r>
          </w:p>
        </w:tc>
        <w:tc>
          <w:tcPr>
            <w:tcW w:w="362" w:type="pct"/>
            <w:shd w:val="clear" w:color="auto" w:fill="auto"/>
            <w:noWrap/>
            <w:vAlign w:val="center"/>
          </w:tcPr>
          <w:p w14:paraId="7D2CE1B0"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20.84</w:t>
            </w:r>
          </w:p>
        </w:tc>
        <w:tc>
          <w:tcPr>
            <w:tcW w:w="365" w:type="pct"/>
            <w:shd w:val="clear" w:color="auto" w:fill="auto"/>
            <w:noWrap/>
            <w:vAlign w:val="center"/>
          </w:tcPr>
          <w:p w14:paraId="3DDB1AB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10.86</w:t>
            </w:r>
          </w:p>
        </w:tc>
        <w:tc>
          <w:tcPr>
            <w:tcW w:w="363" w:type="pct"/>
            <w:shd w:val="clear" w:color="auto" w:fill="auto"/>
            <w:noWrap/>
            <w:vAlign w:val="center"/>
          </w:tcPr>
          <w:p w14:paraId="199DC3F7"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9.88</w:t>
            </w:r>
          </w:p>
        </w:tc>
      </w:tr>
      <w:tr w:rsidR="00895342" w14:paraId="39FED393" w14:textId="77777777">
        <w:trPr>
          <w:gridAfter w:val="1"/>
          <w:wAfter w:w="2" w:type="pct"/>
          <w:trHeight w:val="51"/>
        </w:trPr>
        <w:tc>
          <w:tcPr>
            <w:tcW w:w="740" w:type="pct"/>
            <w:shd w:val="clear" w:color="auto" w:fill="auto"/>
            <w:vAlign w:val="center"/>
          </w:tcPr>
          <w:p w14:paraId="73A150B4"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Standard deviation</w:t>
            </w:r>
          </w:p>
        </w:tc>
        <w:tc>
          <w:tcPr>
            <w:tcW w:w="261" w:type="pct"/>
            <w:shd w:val="clear" w:color="auto" w:fill="auto"/>
            <w:noWrap/>
            <w:vAlign w:val="center"/>
          </w:tcPr>
          <w:p w14:paraId="0EA1F97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1.89</w:t>
            </w:r>
          </w:p>
        </w:tc>
        <w:tc>
          <w:tcPr>
            <w:tcW w:w="363" w:type="pct"/>
            <w:shd w:val="clear" w:color="auto" w:fill="auto"/>
            <w:noWrap/>
            <w:vAlign w:val="center"/>
          </w:tcPr>
          <w:p w14:paraId="76ECD9B1"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1.73</w:t>
            </w:r>
          </w:p>
        </w:tc>
        <w:tc>
          <w:tcPr>
            <w:tcW w:w="362" w:type="pct"/>
            <w:shd w:val="clear" w:color="auto" w:fill="auto"/>
            <w:noWrap/>
            <w:vAlign w:val="center"/>
          </w:tcPr>
          <w:p w14:paraId="77685EB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3.21</w:t>
            </w:r>
          </w:p>
        </w:tc>
        <w:tc>
          <w:tcPr>
            <w:tcW w:w="362" w:type="pct"/>
            <w:shd w:val="clear" w:color="auto" w:fill="auto"/>
            <w:noWrap/>
            <w:vAlign w:val="center"/>
          </w:tcPr>
          <w:p w14:paraId="7A06D01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3.02</w:t>
            </w:r>
          </w:p>
        </w:tc>
        <w:tc>
          <w:tcPr>
            <w:tcW w:w="369" w:type="pct"/>
            <w:shd w:val="clear" w:color="auto" w:fill="auto"/>
            <w:noWrap/>
            <w:vAlign w:val="center"/>
          </w:tcPr>
          <w:p w14:paraId="726B2B45"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1.48</w:t>
            </w:r>
          </w:p>
        </w:tc>
        <w:tc>
          <w:tcPr>
            <w:tcW w:w="364" w:type="pct"/>
            <w:shd w:val="clear" w:color="auto" w:fill="auto"/>
            <w:noWrap/>
            <w:vAlign w:val="center"/>
          </w:tcPr>
          <w:p w14:paraId="1467F99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0.76</w:t>
            </w:r>
          </w:p>
        </w:tc>
        <w:tc>
          <w:tcPr>
            <w:tcW w:w="362" w:type="pct"/>
            <w:shd w:val="clear" w:color="auto" w:fill="auto"/>
            <w:noWrap/>
            <w:vAlign w:val="center"/>
          </w:tcPr>
          <w:p w14:paraId="73DE011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1.62</w:t>
            </w:r>
          </w:p>
        </w:tc>
        <w:tc>
          <w:tcPr>
            <w:tcW w:w="362" w:type="pct"/>
            <w:shd w:val="clear" w:color="auto" w:fill="auto"/>
            <w:noWrap/>
            <w:vAlign w:val="center"/>
          </w:tcPr>
          <w:p w14:paraId="26DDED1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1.59</w:t>
            </w:r>
          </w:p>
        </w:tc>
        <w:tc>
          <w:tcPr>
            <w:tcW w:w="362" w:type="pct"/>
            <w:shd w:val="clear" w:color="auto" w:fill="auto"/>
            <w:noWrap/>
            <w:vAlign w:val="center"/>
          </w:tcPr>
          <w:p w14:paraId="2ADE25E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2.92</w:t>
            </w:r>
          </w:p>
        </w:tc>
        <w:tc>
          <w:tcPr>
            <w:tcW w:w="362" w:type="pct"/>
            <w:shd w:val="clear" w:color="auto" w:fill="auto"/>
            <w:noWrap/>
            <w:vAlign w:val="center"/>
          </w:tcPr>
          <w:p w14:paraId="27613436"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2.91</w:t>
            </w:r>
          </w:p>
        </w:tc>
        <w:tc>
          <w:tcPr>
            <w:tcW w:w="365" w:type="pct"/>
            <w:shd w:val="clear" w:color="auto" w:fill="auto"/>
            <w:noWrap/>
            <w:vAlign w:val="center"/>
          </w:tcPr>
          <w:p w14:paraId="571CC9E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1.60</w:t>
            </w:r>
          </w:p>
        </w:tc>
        <w:tc>
          <w:tcPr>
            <w:tcW w:w="363" w:type="pct"/>
            <w:shd w:val="clear" w:color="auto" w:fill="auto"/>
            <w:noWrap/>
            <w:vAlign w:val="center"/>
          </w:tcPr>
          <w:p w14:paraId="067B0F1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0.78</w:t>
            </w:r>
          </w:p>
        </w:tc>
      </w:tr>
      <w:tr w:rsidR="00895342" w14:paraId="30D6191B" w14:textId="77777777">
        <w:trPr>
          <w:gridAfter w:val="1"/>
          <w:wAfter w:w="2" w:type="pct"/>
          <w:trHeight w:val="51"/>
        </w:trPr>
        <w:tc>
          <w:tcPr>
            <w:tcW w:w="740" w:type="pct"/>
            <w:shd w:val="clear" w:color="auto" w:fill="auto"/>
            <w:vAlign w:val="center"/>
          </w:tcPr>
          <w:p w14:paraId="00078FAA" w14:textId="77777777" w:rsidR="00895342" w:rsidRDefault="00067AD2">
            <w:pPr>
              <w:spacing w:after="0" w:line="240" w:lineRule="auto"/>
              <w:jc w:val="both"/>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SEm</w:t>
            </w:r>
            <w:proofErr w:type="spellEnd"/>
            <w:r>
              <w:rPr>
                <w:rFonts w:ascii="Arial" w:eastAsia="Times New Roman" w:hAnsi="Arial" w:cs="Arial"/>
                <w:b/>
                <w:bCs/>
                <w:color w:val="000000"/>
                <w:sz w:val="20"/>
                <w:szCs w:val="20"/>
              </w:rPr>
              <w:t>±</w:t>
            </w:r>
          </w:p>
        </w:tc>
        <w:tc>
          <w:tcPr>
            <w:tcW w:w="261" w:type="pct"/>
            <w:shd w:val="clear" w:color="auto" w:fill="auto"/>
            <w:noWrap/>
            <w:vAlign w:val="center"/>
          </w:tcPr>
          <w:p w14:paraId="3D1F176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0.84</w:t>
            </w:r>
          </w:p>
        </w:tc>
        <w:tc>
          <w:tcPr>
            <w:tcW w:w="363" w:type="pct"/>
            <w:shd w:val="clear" w:color="auto" w:fill="auto"/>
            <w:noWrap/>
            <w:vAlign w:val="center"/>
          </w:tcPr>
          <w:p w14:paraId="6CD13EB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0.77</w:t>
            </w:r>
          </w:p>
        </w:tc>
        <w:tc>
          <w:tcPr>
            <w:tcW w:w="362" w:type="pct"/>
            <w:shd w:val="clear" w:color="auto" w:fill="auto"/>
            <w:noWrap/>
            <w:vAlign w:val="center"/>
          </w:tcPr>
          <w:p w14:paraId="32606686"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1.44</w:t>
            </w:r>
          </w:p>
        </w:tc>
        <w:tc>
          <w:tcPr>
            <w:tcW w:w="362" w:type="pct"/>
            <w:shd w:val="clear" w:color="auto" w:fill="auto"/>
            <w:noWrap/>
            <w:vAlign w:val="center"/>
          </w:tcPr>
          <w:p w14:paraId="3749ED6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1.35</w:t>
            </w:r>
          </w:p>
        </w:tc>
        <w:tc>
          <w:tcPr>
            <w:tcW w:w="369" w:type="pct"/>
            <w:shd w:val="clear" w:color="auto" w:fill="auto"/>
            <w:noWrap/>
            <w:vAlign w:val="center"/>
          </w:tcPr>
          <w:p w14:paraId="2A24A61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0.66</w:t>
            </w:r>
          </w:p>
        </w:tc>
        <w:tc>
          <w:tcPr>
            <w:tcW w:w="364" w:type="pct"/>
            <w:shd w:val="clear" w:color="auto" w:fill="auto"/>
            <w:noWrap/>
            <w:vAlign w:val="center"/>
          </w:tcPr>
          <w:p w14:paraId="5B057462"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0.34</w:t>
            </w:r>
          </w:p>
        </w:tc>
        <w:tc>
          <w:tcPr>
            <w:tcW w:w="362" w:type="pct"/>
            <w:shd w:val="clear" w:color="auto" w:fill="auto"/>
            <w:noWrap/>
            <w:vAlign w:val="center"/>
          </w:tcPr>
          <w:p w14:paraId="7B4EC93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0.72</w:t>
            </w:r>
          </w:p>
        </w:tc>
        <w:tc>
          <w:tcPr>
            <w:tcW w:w="362" w:type="pct"/>
            <w:shd w:val="clear" w:color="auto" w:fill="auto"/>
            <w:noWrap/>
            <w:vAlign w:val="center"/>
          </w:tcPr>
          <w:p w14:paraId="188B09B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2" w:type="pct"/>
            <w:shd w:val="clear" w:color="auto" w:fill="auto"/>
            <w:noWrap/>
            <w:vAlign w:val="center"/>
          </w:tcPr>
          <w:p w14:paraId="29019D1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2" w:type="pct"/>
            <w:shd w:val="clear" w:color="auto" w:fill="auto"/>
            <w:noWrap/>
            <w:vAlign w:val="center"/>
          </w:tcPr>
          <w:p w14:paraId="3DF501E8"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1.30</w:t>
            </w:r>
          </w:p>
        </w:tc>
        <w:tc>
          <w:tcPr>
            <w:tcW w:w="365" w:type="pct"/>
            <w:shd w:val="clear" w:color="auto" w:fill="auto"/>
            <w:noWrap/>
            <w:vAlign w:val="center"/>
          </w:tcPr>
          <w:p w14:paraId="7B56E6B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0.71</w:t>
            </w:r>
          </w:p>
        </w:tc>
        <w:tc>
          <w:tcPr>
            <w:tcW w:w="363" w:type="pct"/>
            <w:shd w:val="clear" w:color="auto" w:fill="auto"/>
            <w:noWrap/>
            <w:vAlign w:val="center"/>
          </w:tcPr>
          <w:p w14:paraId="4FDEC91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0.35</w:t>
            </w:r>
          </w:p>
        </w:tc>
      </w:tr>
      <w:tr w:rsidR="00895342" w14:paraId="5141F17A" w14:textId="77777777">
        <w:trPr>
          <w:trHeight w:val="51"/>
        </w:trPr>
        <w:tc>
          <w:tcPr>
            <w:tcW w:w="740" w:type="pct"/>
            <w:shd w:val="clear" w:color="auto" w:fill="auto"/>
            <w:vAlign w:val="center"/>
          </w:tcPr>
          <w:p w14:paraId="208DE3CC"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t-value</w:t>
            </w:r>
          </w:p>
        </w:tc>
        <w:tc>
          <w:tcPr>
            <w:tcW w:w="624" w:type="pct"/>
            <w:gridSpan w:val="2"/>
            <w:shd w:val="clear" w:color="auto" w:fill="auto"/>
            <w:noWrap/>
            <w:vAlign w:val="center"/>
          </w:tcPr>
          <w:p w14:paraId="7E68CB6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0.87</w:t>
            </w:r>
          </w:p>
        </w:tc>
        <w:tc>
          <w:tcPr>
            <w:tcW w:w="724" w:type="pct"/>
            <w:gridSpan w:val="2"/>
            <w:shd w:val="clear" w:color="auto" w:fill="auto"/>
            <w:noWrap/>
            <w:vAlign w:val="center"/>
          </w:tcPr>
          <w:p w14:paraId="1550BE8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0.91</w:t>
            </w:r>
          </w:p>
        </w:tc>
        <w:tc>
          <w:tcPr>
            <w:tcW w:w="733" w:type="pct"/>
            <w:gridSpan w:val="2"/>
            <w:shd w:val="clear" w:color="auto" w:fill="auto"/>
            <w:noWrap/>
            <w:vAlign w:val="center"/>
          </w:tcPr>
          <w:p w14:paraId="55AB42FF"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1.67</w:t>
            </w:r>
          </w:p>
        </w:tc>
        <w:tc>
          <w:tcPr>
            <w:tcW w:w="724" w:type="pct"/>
            <w:gridSpan w:val="2"/>
            <w:shd w:val="clear" w:color="auto" w:fill="auto"/>
            <w:noWrap/>
            <w:vAlign w:val="center"/>
          </w:tcPr>
          <w:p w14:paraId="263622A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1.06</w:t>
            </w:r>
          </w:p>
        </w:tc>
        <w:tc>
          <w:tcPr>
            <w:tcW w:w="724" w:type="pct"/>
            <w:gridSpan w:val="2"/>
            <w:shd w:val="clear" w:color="auto" w:fill="auto"/>
            <w:noWrap/>
            <w:vAlign w:val="center"/>
          </w:tcPr>
          <w:p w14:paraId="05DD3239"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0.89</w:t>
            </w:r>
          </w:p>
        </w:tc>
        <w:tc>
          <w:tcPr>
            <w:tcW w:w="730" w:type="pct"/>
            <w:gridSpan w:val="3"/>
            <w:shd w:val="clear" w:color="auto" w:fill="auto"/>
            <w:noWrap/>
            <w:vAlign w:val="center"/>
          </w:tcPr>
          <w:p w14:paraId="11DC735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1.23</w:t>
            </w:r>
          </w:p>
        </w:tc>
      </w:tr>
      <w:tr w:rsidR="00895342" w14:paraId="37CC1E76" w14:textId="77777777">
        <w:trPr>
          <w:trHeight w:val="51"/>
        </w:trPr>
        <w:tc>
          <w:tcPr>
            <w:tcW w:w="740" w:type="pct"/>
            <w:shd w:val="clear" w:color="auto" w:fill="auto"/>
            <w:vAlign w:val="center"/>
          </w:tcPr>
          <w:p w14:paraId="69D9AE7C" w14:textId="77777777" w:rsidR="00895342" w:rsidRDefault="00067AD2">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p-value</w:t>
            </w:r>
          </w:p>
        </w:tc>
        <w:tc>
          <w:tcPr>
            <w:tcW w:w="624" w:type="pct"/>
            <w:gridSpan w:val="2"/>
            <w:shd w:val="clear" w:color="auto" w:fill="auto"/>
            <w:noWrap/>
            <w:vAlign w:val="center"/>
          </w:tcPr>
          <w:p w14:paraId="5F07AABB"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0.41</w:t>
            </w:r>
          </w:p>
        </w:tc>
        <w:tc>
          <w:tcPr>
            <w:tcW w:w="724" w:type="pct"/>
            <w:gridSpan w:val="2"/>
            <w:shd w:val="clear" w:color="auto" w:fill="auto"/>
            <w:noWrap/>
            <w:vAlign w:val="center"/>
          </w:tcPr>
          <w:p w14:paraId="442DA00D"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0.39</w:t>
            </w:r>
          </w:p>
        </w:tc>
        <w:tc>
          <w:tcPr>
            <w:tcW w:w="733" w:type="pct"/>
            <w:gridSpan w:val="2"/>
            <w:shd w:val="clear" w:color="auto" w:fill="auto"/>
            <w:noWrap/>
            <w:vAlign w:val="center"/>
          </w:tcPr>
          <w:p w14:paraId="2561DD94"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0.13</w:t>
            </w:r>
          </w:p>
        </w:tc>
        <w:tc>
          <w:tcPr>
            <w:tcW w:w="724" w:type="pct"/>
            <w:gridSpan w:val="2"/>
            <w:shd w:val="clear" w:color="auto" w:fill="auto"/>
            <w:noWrap/>
            <w:vAlign w:val="center"/>
          </w:tcPr>
          <w:p w14:paraId="367E3BDA"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0.32</w:t>
            </w:r>
          </w:p>
        </w:tc>
        <w:tc>
          <w:tcPr>
            <w:tcW w:w="724" w:type="pct"/>
            <w:gridSpan w:val="2"/>
            <w:shd w:val="clear" w:color="auto" w:fill="auto"/>
            <w:noWrap/>
            <w:vAlign w:val="center"/>
          </w:tcPr>
          <w:p w14:paraId="23CADFCE"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0.40</w:t>
            </w:r>
          </w:p>
        </w:tc>
        <w:tc>
          <w:tcPr>
            <w:tcW w:w="730" w:type="pct"/>
            <w:gridSpan w:val="3"/>
            <w:shd w:val="clear" w:color="auto" w:fill="auto"/>
            <w:noWrap/>
            <w:vAlign w:val="center"/>
          </w:tcPr>
          <w:p w14:paraId="38F8B1DC" w14:textId="77777777" w:rsidR="00895342" w:rsidRDefault="00067A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0.25</w:t>
            </w:r>
          </w:p>
        </w:tc>
      </w:tr>
    </w:tbl>
    <w:p w14:paraId="2CB97108" w14:textId="77777777" w:rsidR="00895342" w:rsidRDefault="00895342">
      <w:pPr>
        <w:tabs>
          <w:tab w:val="left" w:pos="720"/>
        </w:tabs>
        <w:spacing w:after="120" w:line="240" w:lineRule="auto"/>
        <w:jc w:val="both"/>
        <w:rPr>
          <w:rFonts w:ascii="Arial" w:hAnsi="Arial" w:cs="Arial"/>
          <w:sz w:val="20"/>
          <w:szCs w:val="20"/>
        </w:rPr>
      </w:pPr>
    </w:p>
    <w:p w14:paraId="6132036A" w14:textId="77777777" w:rsidR="00895342" w:rsidRDefault="00895342">
      <w:pPr>
        <w:tabs>
          <w:tab w:val="left" w:pos="720"/>
        </w:tabs>
        <w:spacing w:after="120" w:line="240" w:lineRule="auto"/>
        <w:ind w:firstLine="720"/>
        <w:jc w:val="both"/>
        <w:rPr>
          <w:rFonts w:ascii="Arial" w:hAnsi="Arial" w:cs="Arial"/>
          <w:sz w:val="20"/>
          <w:szCs w:val="20"/>
        </w:rPr>
        <w:sectPr w:rsidR="00895342">
          <w:pgSz w:w="16838" w:h="11906" w:orient="landscape"/>
          <w:pgMar w:top="1440" w:right="1440" w:bottom="1440" w:left="1440" w:header="706" w:footer="706" w:gutter="0"/>
          <w:cols w:space="708"/>
          <w:titlePg/>
          <w:docGrid w:linePitch="360"/>
        </w:sectPr>
      </w:pPr>
    </w:p>
    <w:p w14:paraId="56B9EC99" w14:textId="77777777" w:rsidR="00895342" w:rsidRDefault="00067AD2">
      <w:pPr>
        <w:tabs>
          <w:tab w:val="left" w:pos="720"/>
        </w:tabs>
        <w:spacing w:after="120" w:line="240" w:lineRule="auto"/>
        <w:ind w:firstLine="720"/>
        <w:jc w:val="both"/>
        <w:rPr>
          <w:rFonts w:ascii="Arial" w:hAnsi="Arial" w:cs="Arial"/>
          <w:sz w:val="20"/>
          <w:szCs w:val="20"/>
        </w:rPr>
      </w:pPr>
      <w:r>
        <w:rPr>
          <w:rFonts w:ascii="Arial" w:hAnsi="Arial" w:cs="Arial"/>
          <w:noProof/>
          <w:sz w:val="20"/>
          <w:szCs w:val="20"/>
        </w:rPr>
        <w:lastRenderedPageBreak/>
        <w:drawing>
          <wp:inline distT="0" distB="0" distL="0" distR="0" wp14:anchorId="4E53BA62" wp14:editId="7D222301">
            <wp:extent cx="4998720" cy="2781300"/>
            <wp:effectExtent l="0" t="0" r="11430" b="0"/>
            <wp:docPr id="8121978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B6836C" w14:textId="77777777" w:rsidR="00895342" w:rsidRDefault="00067AD2">
      <w:pPr>
        <w:tabs>
          <w:tab w:val="left" w:pos="720"/>
        </w:tabs>
        <w:spacing w:after="120" w:line="240" w:lineRule="auto"/>
        <w:ind w:firstLine="720"/>
        <w:jc w:val="both"/>
        <w:rPr>
          <w:rFonts w:ascii="Arial" w:hAnsi="Arial" w:cs="Arial"/>
          <w:sz w:val="20"/>
          <w:szCs w:val="20"/>
        </w:rPr>
      </w:pPr>
      <w:r>
        <w:rPr>
          <w:rFonts w:ascii="Arial" w:hAnsi="Arial" w:cs="Arial"/>
          <w:noProof/>
          <w:sz w:val="20"/>
          <w:szCs w:val="20"/>
        </w:rPr>
        <w:drawing>
          <wp:inline distT="0" distB="0" distL="0" distR="0" wp14:anchorId="21A5E2AA" wp14:editId="73F54CA0">
            <wp:extent cx="5029200" cy="2842260"/>
            <wp:effectExtent l="0" t="0" r="0" b="15240"/>
            <wp:docPr id="20957010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DC97E8" w14:textId="77777777" w:rsidR="00895342" w:rsidRDefault="00067AD2">
      <w:pPr>
        <w:spacing w:after="120" w:line="240" w:lineRule="auto"/>
        <w:ind w:left="720" w:hanging="720"/>
        <w:jc w:val="both"/>
        <w:rPr>
          <w:rFonts w:ascii="Arial" w:hAnsi="Arial" w:cs="Arial"/>
          <w:b/>
          <w:bCs/>
          <w:sz w:val="20"/>
          <w:szCs w:val="20"/>
        </w:rPr>
      </w:pPr>
      <w:r>
        <w:rPr>
          <w:rFonts w:ascii="Arial" w:hAnsi="Arial" w:cs="Arial"/>
          <w:b/>
          <w:bCs/>
          <w:sz w:val="20"/>
          <w:szCs w:val="20"/>
        </w:rPr>
        <w:t xml:space="preserve">Fig. 1 </w:t>
      </w:r>
      <w:r>
        <w:rPr>
          <w:rFonts w:ascii="Arial" w:hAnsi="Arial" w:cs="Arial"/>
          <w:b/>
          <w:bCs/>
          <w:sz w:val="20"/>
          <w:szCs w:val="20"/>
        </w:rPr>
        <w:tab/>
        <w:t xml:space="preserve">Effect of organic farming on available soil moisture content (%) at critical stages of groundnut during </w:t>
      </w:r>
      <w:r>
        <w:rPr>
          <w:rFonts w:ascii="Arial" w:hAnsi="Arial" w:cs="Arial"/>
          <w:b/>
          <w:bCs/>
          <w:i/>
          <w:iCs/>
          <w:sz w:val="20"/>
          <w:szCs w:val="20"/>
        </w:rPr>
        <w:t>kharif</w:t>
      </w:r>
      <w:r>
        <w:rPr>
          <w:rFonts w:ascii="Arial" w:hAnsi="Arial" w:cs="Arial"/>
          <w:b/>
          <w:bCs/>
          <w:sz w:val="20"/>
          <w:szCs w:val="20"/>
        </w:rPr>
        <w:t xml:space="preserve"> 2023</w:t>
      </w:r>
    </w:p>
    <w:p w14:paraId="6ABC78AB" w14:textId="77777777" w:rsidR="00895342" w:rsidRDefault="00895342">
      <w:pPr>
        <w:tabs>
          <w:tab w:val="left" w:pos="720"/>
        </w:tabs>
        <w:spacing w:after="120" w:line="240" w:lineRule="auto"/>
        <w:jc w:val="both"/>
        <w:rPr>
          <w:rFonts w:ascii="Arial" w:hAnsi="Arial" w:cs="Arial"/>
          <w:b/>
          <w:sz w:val="24"/>
        </w:rPr>
      </w:pPr>
    </w:p>
    <w:p w14:paraId="5B6E2CB5" w14:textId="77777777" w:rsidR="00895342" w:rsidRDefault="00067AD2">
      <w:pPr>
        <w:tabs>
          <w:tab w:val="left" w:pos="720"/>
        </w:tabs>
        <w:spacing w:after="120" w:line="240" w:lineRule="auto"/>
        <w:jc w:val="both"/>
        <w:rPr>
          <w:rFonts w:ascii="Arial" w:hAnsi="Arial" w:cs="Arial"/>
          <w:b/>
        </w:rPr>
      </w:pPr>
      <w:r>
        <w:rPr>
          <w:rFonts w:ascii="Arial" w:hAnsi="Arial" w:cs="Arial"/>
          <w:b/>
        </w:rPr>
        <w:t>3.6 SOIL REACTION (pH)</w:t>
      </w:r>
    </w:p>
    <w:p w14:paraId="2CB60DDF"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During the </w:t>
      </w:r>
      <w:r>
        <w:rPr>
          <w:rFonts w:ascii="Arial" w:hAnsi="Arial" w:cs="Arial"/>
          <w:i/>
          <w:iCs/>
          <w:sz w:val="20"/>
          <w:szCs w:val="20"/>
        </w:rPr>
        <w:t>rabi</w:t>
      </w:r>
      <w:r>
        <w:rPr>
          <w:rFonts w:ascii="Arial" w:hAnsi="Arial" w:cs="Arial"/>
          <w:sz w:val="20"/>
          <w:szCs w:val="20"/>
        </w:rPr>
        <w:t xml:space="preserve"> 2023-24 season, organic farming (M</w:t>
      </w:r>
      <w:r>
        <w:rPr>
          <w:rFonts w:ascii="Arial" w:hAnsi="Arial" w:cs="Arial"/>
          <w:sz w:val="20"/>
          <w:szCs w:val="20"/>
          <w:vertAlign w:val="subscript"/>
        </w:rPr>
        <w:t>1</w:t>
      </w:r>
      <w:r>
        <w:rPr>
          <w:rFonts w:ascii="Arial" w:hAnsi="Arial" w:cs="Arial"/>
          <w:sz w:val="20"/>
          <w:szCs w:val="20"/>
        </w:rPr>
        <w:t>) recorded higher soil pH values (7.42 and 7.37) compared to ICM practice (M</w:t>
      </w:r>
      <w:r>
        <w:rPr>
          <w:rFonts w:ascii="Arial" w:hAnsi="Arial" w:cs="Arial"/>
          <w:sz w:val="20"/>
          <w:szCs w:val="20"/>
          <w:vertAlign w:val="subscript"/>
        </w:rPr>
        <w:t>2</w:t>
      </w:r>
      <w:r>
        <w:rPr>
          <w:rFonts w:ascii="Arial" w:hAnsi="Arial" w:cs="Arial"/>
          <w:sz w:val="20"/>
          <w:szCs w:val="20"/>
        </w:rPr>
        <w:t>) (7.38 and 7.29) at 0-15 cm and 15-30 cm, respectively. Among the cropping systems, the groundnut-</w:t>
      </w:r>
      <w:proofErr w:type="spellStart"/>
      <w:r>
        <w:rPr>
          <w:rFonts w:ascii="Arial" w:hAnsi="Arial" w:cs="Arial"/>
          <w:sz w:val="20"/>
          <w:szCs w:val="20"/>
        </w:rPr>
        <w:t>blackgram</w:t>
      </w:r>
      <w:proofErr w:type="spellEnd"/>
      <w:r>
        <w:rPr>
          <w:rFonts w:ascii="Arial" w:hAnsi="Arial" w:cs="Arial"/>
          <w:sz w:val="20"/>
          <w:szCs w:val="20"/>
        </w:rPr>
        <w:t xml:space="preserve"> system (S</w:t>
      </w:r>
      <w:r>
        <w:rPr>
          <w:rFonts w:ascii="Arial" w:hAnsi="Arial" w:cs="Arial"/>
          <w:sz w:val="20"/>
          <w:szCs w:val="20"/>
          <w:vertAlign w:val="subscript"/>
        </w:rPr>
        <w:t>2</w:t>
      </w:r>
      <w:r>
        <w:rPr>
          <w:rFonts w:ascii="Arial" w:hAnsi="Arial" w:cs="Arial"/>
          <w:sz w:val="20"/>
          <w:szCs w:val="20"/>
        </w:rPr>
        <w:t>) exhibited numerically higher soil pH (7.47 and 7.38), followed by the groundnut-groundnut system (S</w:t>
      </w:r>
      <w:r>
        <w:rPr>
          <w:rFonts w:ascii="Arial" w:hAnsi="Arial" w:cs="Arial"/>
          <w:sz w:val="20"/>
          <w:szCs w:val="20"/>
          <w:vertAlign w:val="subscript"/>
        </w:rPr>
        <w:t>1</w:t>
      </w:r>
      <w:r>
        <w:rPr>
          <w:rFonts w:ascii="Arial" w:hAnsi="Arial" w:cs="Arial"/>
          <w:sz w:val="20"/>
          <w:szCs w:val="20"/>
        </w:rPr>
        <w:t>) (7.41 and 7.37). The interaction between organic and ICM practices showed no significant effects on soil pH during the season.</w:t>
      </w:r>
    </w:p>
    <w:p w14:paraId="5F3EEFFD"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A slight increase in soil pH was observed across management practices and cropping systems compared to the initial soil pH of 6.42, recorded at the initiation of the experiment in 2016. These variations in pH could be attributed to the differing effects of chemical fertilizers and organic matter in treated plots. The application of </w:t>
      </w:r>
      <w:del w:id="41" w:author="mouki" w:date="2025-02-21T22:14:00Z">
        <w:r w:rsidDel="00737522">
          <w:rPr>
            <w:rFonts w:ascii="Arial" w:hAnsi="Arial" w:cs="Arial"/>
            <w:sz w:val="20"/>
            <w:szCs w:val="20"/>
          </w:rPr>
          <w:delText>farmyard manure (</w:delText>
        </w:r>
      </w:del>
      <w:r>
        <w:rPr>
          <w:rFonts w:ascii="Arial" w:hAnsi="Arial" w:cs="Arial"/>
          <w:sz w:val="20"/>
          <w:szCs w:val="20"/>
        </w:rPr>
        <w:t>FYM</w:t>
      </w:r>
      <w:del w:id="42" w:author="mouki" w:date="2025-02-21T22:14:00Z">
        <w:r w:rsidDel="00737522">
          <w:rPr>
            <w:rFonts w:ascii="Arial" w:hAnsi="Arial" w:cs="Arial"/>
            <w:sz w:val="20"/>
            <w:szCs w:val="20"/>
          </w:rPr>
          <w:delText>)</w:delText>
        </w:r>
      </w:del>
      <w:r>
        <w:rPr>
          <w:rFonts w:ascii="Arial" w:hAnsi="Arial" w:cs="Arial"/>
          <w:sz w:val="20"/>
          <w:szCs w:val="20"/>
        </w:rPr>
        <w:t xml:space="preserve"> in organic farming likely contributed to the increased soil </w:t>
      </w:r>
      <w:proofErr w:type="spellStart"/>
      <w:r>
        <w:rPr>
          <w:rFonts w:ascii="Arial" w:hAnsi="Arial" w:cs="Arial"/>
          <w:sz w:val="20"/>
          <w:szCs w:val="20"/>
        </w:rPr>
        <w:t>pH.</w:t>
      </w:r>
      <w:proofErr w:type="spellEnd"/>
      <w:r>
        <w:rPr>
          <w:rFonts w:ascii="Arial" w:hAnsi="Arial" w:cs="Arial"/>
          <w:sz w:val="20"/>
          <w:szCs w:val="20"/>
        </w:rPr>
        <w:t xml:space="preserve"> Enhanced microbial activity facilitated the breakdown of organic matter, improving soil structure and reducing soil acidity by neutralizing excess hydrogen ions.</w:t>
      </w:r>
    </w:p>
    <w:p w14:paraId="0C899DCC" w14:textId="77777777" w:rsidR="00895342" w:rsidRDefault="00067AD2">
      <w:pPr>
        <w:rPr>
          <w:rFonts w:ascii="Arial" w:hAnsi="Arial" w:cs="Arial"/>
          <w:b/>
          <w:sz w:val="20"/>
        </w:rPr>
      </w:pPr>
      <w:r>
        <w:rPr>
          <w:rFonts w:ascii="Arial" w:hAnsi="Arial" w:cs="Arial"/>
          <w:b/>
          <w:sz w:val="20"/>
        </w:rPr>
        <w:br w:type="page"/>
      </w:r>
    </w:p>
    <w:p w14:paraId="16774945" w14:textId="77777777" w:rsidR="00895342" w:rsidRDefault="00067AD2">
      <w:pPr>
        <w:tabs>
          <w:tab w:val="left" w:pos="720"/>
        </w:tabs>
        <w:spacing w:after="120" w:line="240" w:lineRule="auto"/>
        <w:jc w:val="both"/>
        <w:rPr>
          <w:rFonts w:ascii="Arial" w:hAnsi="Arial" w:cs="Arial"/>
          <w:b/>
        </w:rPr>
      </w:pPr>
      <w:r>
        <w:rPr>
          <w:rFonts w:ascii="Arial" w:hAnsi="Arial" w:cs="Arial"/>
          <w:b/>
        </w:rPr>
        <w:lastRenderedPageBreak/>
        <w:t>3.7 ELECTRICAL CONDUCTIVITY</w:t>
      </w:r>
    </w:p>
    <w:p w14:paraId="79428B58"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e</w:t>
      </w:r>
      <w:r>
        <w:rPr>
          <w:rFonts w:ascii="Arial" w:hAnsi="Arial" w:cs="Arial"/>
          <w:bCs/>
          <w:sz w:val="20"/>
          <w:szCs w:val="20"/>
        </w:rPr>
        <w:t xml:space="preserve">lectrical conductivity was not significantly influenced by management practices and </w:t>
      </w:r>
      <w:r>
        <w:rPr>
          <w:rFonts w:ascii="Arial" w:hAnsi="Arial" w:cs="Arial"/>
          <w:sz w:val="20"/>
          <w:szCs w:val="20"/>
        </w:rPr>
        <w:t>among groundnut based cropping systems</w:t>
      </w:r>
      <w:r>
        <w:rPr>
          <w:rFonts w:ascii="Arial" w:hAnsi="Arial" w:cs="Arial"/>
          <w:bCs/>
          <w:sz w:val="20"/>
          <w:szCs w:val="20"/>
        </w:rPr>
        <w:t xml:space="preserve"> </w:t>
      </w:r>
      <w:r>
        <w:rPr>
          <w:rFonts w:ascii="Arial" w:hAnsi="Arial" w:cs="Arial"/>
          <w:sz w:val="20"/>
          <w:szCs w:val="20"/>
        </w:rPr>
        <w:t xml:space="preserve">and it remained unchanged from the initial EC (0.13 </w:t>
      </w:r>
      <w:proofErr w:type="spellStart"/>
      <w:r>
        <w:rPr>
          <w:rFonts w:ascii="Arial" w:hAnsi="Arial" w:cs="Arial"/>
          <w:sz w:val="20"/>
          <w:szCs w:val="20"/>
        </w:rPr>
        <w:t>dS</w:t>
      </w:r>
      <w:proofErr w:type="spellEnd"/>
      <w:r>
        <w:rPr>
          <w:rFonts w:ascii="Arial" w:hAnsi="Arial" w:cs="Arial"/>
          <w:sz w:val="20"/>
          <w:szCs w:val="20"/>
        </w:rPr>
        <w:t xml:space="preserve"> m</w:t>
      </w:r>
      <w:r>
        <w:rPr>
          <w:rFonts w:ascii="Arial" w:hAnsi="Arial" w:cs="Arial"/>
          <w:sz w:val="20"/>
          <w:szCs w:val="20"/>
          <w:vertAlign w:val="superscript"/>
        </w:rPr>
        <w:t>-1</w:t>
      </w:r>
      <w:r>
        <w:rPr>
          <w:rFonts w:ascii="Arial" w:hAnsi="Arial" w:cs="Arial"/>
          <w:sz w:val="20"/>
          <w:szCs w:val="20"/>
        </w:rPr>
        <w:t>, non-saline) recorded during 2016. This might be due to the fact that organic manures do not contain salts and hence there was no influence of organic manures on salt accumulation in soil.</w:t>
      </w:r>
    </w:p>
    <w:p w14:paraId="08E8A06A" w14:textId="77777777" w:rsidR="00895342" w:rsidRDefault="00067AD2">
      <w:pPr>
        <w:tabs>
          <w:tab w:val="left" w:pos="720"/>
        </w:tabs>
        <w:spacing w:after="120" w:line="240" w:lineRule="auto"/>
        <w:jc w:val="both"/>
        <w:rPr>
          <w:rFonts w:ascii="Arial" w:hAnsi="Arial" w:cs="Arial"/>
          <w:b/>
        </w:rPr>
      </w:pPr>
      <w:r>
        <w:rPr>
          <w:rFonts w:ascii="Arial" w:hAnsi="Arial" w:cs="Arial"/>
          <w:b/>
        </w:rPr>
        <w:t>3.8 ORGANIC CARBON</w:t>
      </w:r>
    </w:p>
    <w:p w14:paraId="5F5EB648" w14:textId="53C14264"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higher organic carbon content was recorded under organic farming (M</w:t>
      </w:r>
      <w:r>
        <w:rPr>
          <w:rFonts w:ascii="Arial" w:hAnsi="Arial" w:cs="Arial"/>
          <w:sz w:val="20"/>
          <w:szCs w:val="20"/>
          <w:vertAlign w:val="subscript"/>
        </w:rPr>
        <w:t>1</w:t>
      </w:r>
      <w:r>
        <w:rPr>
          <w:rFonts w:ascii="Arial" w:hAnsi="Arial" w:cs="Arial"/>
          <w:sz w:val="20"/>
          <w:szCs w:val="20"/>
        </w:rPr>
        <w:t>) (0.54 and 0.49 per cent) compared to ICM practice (M</w:t>
      </w:r>
      <w:r>
        <w:rPr>
          <w:rFonts w:ascii="Arial" w:hAnsi="Arial" w:cs="Arial"/>
          <w:sz w:val="20"/>
          <w:szCs w:val="20"/>
          <w:vertAlign w:val="subscript"/>
        </w:rPr>
        <w:t>2</w:t>
      </w:r>
      <w:r>
        <w:rPr>
          <w:rFonts w:ascii="Arial" w:hAnsi="Arial" w:cs="Arial"/>
          <w:sz w:val="20"/>
          <w:szCs w:val="20"/>
        </w:rPr>
        <w:t>) (0.44 and 0.39 per cent) at 0-15 and 15-30 cm, respectively. Both organic farming and ICM practice exhibited decreased trend in organic carbon content with depth.</w:t>
      </w:r>
      <w:ins w:id="43" w:author="mouki" w:date="2025-02-21T22:15:00Z">
        <w:r w:rsidR="00737522">
          <w:rPr>
            <w:rFonts w:ascii="Arial" w:hAnsi="Arial" w:cs="Arial"/>
            <w:sz w:val="20"/>
            <w:szCs w:val="20"/>
          </w:rPr>
          <w:t xml:space="preserve"> </w:t>
        </w:r>
      </w:ins>
      <w:r>
        <w:rPr>
          <w:rFonts w:ascii="Arial" w:hAnsi="Arial" w:cs="Arial"/>
          <w:sz w:val="20"/>
          <w:szCs w:val="20"/>
        </w:rPr>
        <w:t>The groundnut based cropping systems did not significantly influence organic carbon content. However, the groundnut-groundnut cropping system (S</w:t>
      </w:r>
      <w:r>
        <w:rPr>
          <w:rFonts w:ascii="Arial" w:hAnsi="Arial" w:cs="Arial"/>
          <w:sz w:val="20"/>
          <w:szCs w:val="20"/>
          <w:vertAlign w:val="subscript"/>
        </w:rPr>
        <w:t>1</w:t>
      </w:r>
      <w:r>
        <w:rPr>
          <w:rFonts w:ascii="Arial" w:hAnsi="Arial" w:cs="Arial"/>
          <w:sz w:val="20"/>
          <w:szCs w:val="20"/>
        </w:rPr>
        <w:t xml:space="preserve">) recorded higher organic carbon content at 0-15 cm (0.51%) and 15-30 cm (0.46%). The observed increase in organic carbon in the surface layer, compared to the initial soil organic carbon (SOC) content of 0.38% recorded in 2016, can be attributed to the cumulative effects of </w:t>
      </w:r>
      <w:del w:id="44" w:author="mouki" w:date="2025-02-21T22:15:00Z">
        <w:r w:rsidDel="00737522">
          <w:rPr>
            <w:rFonts w:ascii="Arial" w:hAnsi="Arial" w:cs="Arial"/>
            <w:sz w:val="20"/>
            <w:szCs w:val="20"/>
          </w:rPr>
          <w:delText>farmyard manure (</w:delText>
        </w:r>
      </w:del>
      <w:r>
        <w:rPr>
          <w:rFonts w:ascii="Arial" w:hAnsi="Arial" w:cs="Arial"/>
          <w:sz w:val="20"/>
          <w:szCs w:val="20"/>
        </w:rPr>
        <w:t>FYM</w:t>
      </w:r>
      <w:del w:id="45" w:author="mouki" w:date="2025-02-21T22:15:00Z">
        <w:r w:rsidDel="00737522">
          <w:rPr>
            <w:rFonts w:ascii="Arial" w:hAnsi="Arial" w:cs="Arial"/>
            <w:sz w:val="20"/>
            <w:szCs w:val="20"/>
          </w:rPr>
          <w:delText>)</w:delText>
        </w:r>
      </w:del>
      <w:r>
        <w:rPr>
          <w:rFonts w:ascii="Arial" w:hAnsi="Arial" w:cs="Arial"/>
          <w:sz w:val="20"/>
          <w:szCs w:val="20"/>
        </w:rPr>
        <w:t xml:space="preserve"> application over time.</w:t>
      </w:r>
      <w:ins w:id="46" w:author="mouki" w:date="2025-02-21T22:15:00Z">
        <w:r w:rsidR="00737522">
          <w:rPr>
            <w:rFonts w:ascii="Arial" w:hAnsi="Arial" w:cs="Arial"/>
            <w:sz w:val="20"/>
            <w:szCs w:val="20"/>
          </w:rPr>
          <w:t xml:space="preserve"> </w:t>
        </w:r>
      </w:ins>
      <w:r>
        <w:rPr>
          <w:rFonts w:ascii="Arial" w:hAnsi="Arial" w:cs="Arial"/>
          <w:sz w:val="20"/>
          <w:szCs w:val="20"/>
        </w:rPr>
        <w:t>The rise in soil organic carbon reflects the synergistic impact of organic manures on soil microflora, which enhanced the organic carbon pool over time (Sohan and Kler, 2007).</w:t>
      </w:r>
    </w:p>
    <w:p w14:paraId="4F83D5B3" w14:textId="77777777" w:rsidR="00895342" w:rsidRDefault="00067AD2">
      <w:pPr>
        <w:tabs>
          <w:tab w:val="left" w:pos="720"/>
        </w:tabs>
        <w:spacing w:after="120" w:line="240" w:lineRule="auto"/>
        <w:jc w:val="both"/>
        <w:rPr>
          <w:rFonts w:ascii="Arial" w:hAnsi="Arial" w:cs="Arial"/>
        </w:rPr>
      </w:pPr>
      <w:r>
        <w:rPr>
          <w:rFonts w:ascii="Arial" w:hAnsi="Arial" w:cs="Arial"/>
          <w:b/>
        </w:rPr>
        <w:t>3.9 WATER SOLUBLE CARBON</w:t>
      </w:r>
    </w:p>
    <w:p w14:paraId="0FAA234D" w14:textId="47FCEA2B"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organic farming treatment showed higher water soluble carbon content (13.91 mg kg</w:t>
      </w:r>
      <w:r>
        <w:rPr>
          <w:rFonts w:ascii="Arial" w:hAnsi="Arial" w:cs="Arial"/>
          <w:sz w:val="20"/>
          <w:szCs w:val="20"/>
          <w:vertAlign w:val="superscript"/>
        </w:rPr>
        <w:t xml:space="preserve">-1 </w:t>
      </w:r>
      <w:r>
        <w:rPr>
          <w:rFonts w:ascii="Arial" w:hAnsi="Arial" w:cs="Arial"/>
          <w:sz w:val="20"/>
          <w:szCs w:val="20"/>
        </w:rPr>
        <w:t>11.57 mg kg</w:t>
      </w:r>
      <w:r>
        <w:rPr>
          <w:rFonts w:ascii="Arial" w:hAnsi="Arial" w:cs="Arial"/>
          <w:sz w:val="20"/>
          <w:szCs w:val="20"/>
          <w:vertAlign w:val="superscript"/>
        </w:rPr>
        <w:t>-1</w:t>
      </w:r>
      <w:r>
        <w:rPr>
          <w:rFonts w:ascii="Arial" w:hAnsi="Arial" w:cs="Arial"/>
          <w:sz w:val="20"/>
          <w:szCs w:val="20"/>
        </w:rPr>
        <w:t>) compared to ICM practice (11.31 and 10.06 mg kg</w:t>
      </w:r>
      <w:r>
        <w:rPr>
          <w:rFonts w:ascii="Arial" w:hAnsi="Arial" w:cs="Arial"/>
          <w:sz w:val="20"/>
          <w:szCs w:val="20"/>
          <w:vertAlign w:val="superscript"/>
        </w:rPr>
        <w:t>-1</w:t>
      </w:r>
      <w:r>
        <w:rPr>
          <w:rFonts w:ascii="Arial" w:hAnsi="Arial" w:cs="Arial"/>
          <w:sz w:val="20"/>
          <w:szCs w:val="20"/>
        </w:rPr>
        <w:t>) at 0-15 cm and 15-30 cm, respectively. However, no significant variation in water soluble carbon content was observed among the different groundnut based cropping systems. The groundnut-groundnut (S</w:t>
      </w:r>
      <w:r>
        <w:rPr>
          <w:rFonts w:ascii="Arial" w:hAnsi="Arial" w:cs="Arial"/>
          <w:sz w:val="20"/>
          <w:szCs w:val="20"/>
          <w:vertAlign w:val="subscript"/>
        </w:rPr>
        <w:t>1</w:t>
      </w:r>
      <w:r>
        <w:rPr>
          <w:rFonts w:ascii="Arial" w:hAnsi="Arial" w:cs="Arial"/>
          <w:sz w:val="20"/>
          <w:szCs w:val="20"/>
        </w:rPr>
        <w:t>) cropping system showed relatively higher WSC content, with values of 13.65 mg kg</w:t>
      </w:r>
      <w:r>
        <w:rPr>
          <w:rFonts w:ascii="Arial" w:hAnsi="Arial" w:cs="Arial"/>
          <w:sz w:val="20"/>
          <w:szCs w:val="20"/>
          <w:vertAlign w:val="superscript"/>
        </w:rPr>
        <w:t>-1</w:t>
      </w:r>
      <w:r>
        <w:rPr>
          <w:rFonts w:ascii="Arial" w:hAnsi="Arial" w:cs="Arial"/>
          <w:sz w:val="20"/>
          <w:szCs w:val="20"/>
        </w:rPr>
        <w:t xml:space="preserve"> at 0-15 cm and 11.97 mg kg</w:t>
      </w:r>
      <w:r>
        <w:rPr>
          <w:rFonts w:ascii="Arial" w:hAnsi="Arial" w:cs="Arial"/>
          <w:sz w:val="20"/>
          <w:szCs w:val="20"/>
          <w:vertAlign w:val="superscript"/>
        </w:rPr>
        <w:t>-1</w:t>
      </w:r>
      <w:r>
        <w:rPr>
          <w:rFonts w:ascii="Arial" w:hAnsi="Arial" w:cs="Arial"/>
          <w:sz w:val="20"/>
          <w:szCs w:val="20"/>
        </w:rPr>
        <w:t xml:space="preserve"> at 15-30 cm. The increased WSC content in the organic farming treatments can be attributed to the greater carbon input from </w:t>
      </w:r>
      <w:del w:id="47" w:author="mouki" w:date="2025-02-21T22:16:00Z">
        <w:r w:rsidDel="00737522">
          <w:rPr>
            <w:rFonts w:ascii="Arial" w:hAnsi="Arial" w:cs="Arial"/>
            <w:sz w:val="20"/>
            <w:szCs w:val="20"/>
          </w:rPr>
          <w:delText>farmyard manure (</w:delText>
        </w:r>
      </w:del>
      <w:r>
        <w:rPr>
          <w:rFonts w:ascii="Arial" w:hAnsi="Arial" w:cs="Arial"/>
          <w:sz w:val="20"/>
          <w:szCs w:val="20"/>
        </w:rPr>
        <w:t>FYM</w:t>
      </w:r>
      <w:del w:id="48" w:author="mouki" w:date="2025-02-21T22:16:00Z">
        <w:r w:rsidDel="00737522">
          <w:rPr>
            <w:rFonts w:ascii="Arial" w:hAnsi="Arial" w:cs="Arial"/>
            <w:sz w:val="20"/>
            <w:szCs w:val="20"/>
          </w:rPr>
          <w:delText>)</w:delText>
        </w:r>
      </w:del>
      <w:r>
        <w:rPr>
          <w:rFonts w:ascii="Arial" w:hAnsi="Arial" w:cs="Arial"/>
          <w:sz w:val="20"/>
          <w:szCs w:val="20"/>
        </w:rPr>
        <w:t xml:space="preserve"> and enhanced crop productivity (Kumari </w:t>
      </w:r>
      <w:r>
        <w:rPr>
          <w:rFonts w:ascii="Arial" w:hAnsi="Arial" w:cs="Arial"/>
          <w:i/>
          <w:sz w:val="20"/>
          <w:szCs w:val="20"/>
        </w:rPr>
        <w:t xml:space="preserve">et al., </w:t>
      </w:r>
      <w:r>
        <w:rPr>
          <w:rFonts w:ascii="Arial" w:hAnsi="Arial" w:cs="Arial"/>
          <w:sz w:val="20"/>
          <w:szCs w:val="20"/>
        </w:rPr>
        <w:t xml:space="preserve">2013; Brar </w:t>
      </w:r>
      <w:r>
        <w:rPr>
          <w:rFonts w:ascii="Arial" w:hAnsi="Arial" w:cs="Arial"/>
          <w:i/>
          <w:sz w:val="20"/>
          <w:szCs w:val="20"/>
        </w:rPr>
        <w:t>et al.,</w:t>
      </w:r>
      <w:r>
        <w:rPr>
          <w:rFonts w:ascii="Arial" w:hAnsi="Arial" w:cs="Arial"/>
          <w:sz w:val="20"/>
          <w:szCs w:val="20"/>
        </w:rPr>
        <w:t xml:space="preserve"> 2013).</w:t>
      </w:r>
    </w:p>
    <w:p w14:paraId="0D18EA56" w14:textId="77777777" w:rsidR="00895342" w:rsidRDefault="00067AD2">
      <w:pPr>
        <w:tabs>
          <w:tab w:val="left" w:pos="720"/>
        </w:tabs>
        <w:spacing w:after="120" w:line="240" w:lineRule="auto"/>
        <w:jc w:val="both"/>
        <w:rPr>
          <w:rFonts w:ascii="Arial" w:hAnsi="Arial" w:cs="Arial"/>
          <w:b/>
        </w:rPr>
      </w:pPr>
      <w:r>
        <w:rPr>
          <w:rFonts w:ascii="Arial" w:hAnsi="Arial" w:cs="Arial"/>
          <w:b/>
        </w:rPr>
        <w:t>3.10 ACTIVE CARBON POOL (ACP)</w:t>
      </w:r>
    </w:p>
    <w:p w14:paraId="0FE2A2E9" w14:textId="19C0737D"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organic farming treatment recorded a higher active carbon (C) pool, with values of 0.27% at 0-15 cm and 0.24% at 15-30 cm, compared to </w:t>
      </w:r>
      <w:del w:id="49" w:author="mouki" w:date="2025-02-21T22:17:00Z">
        <w:r w:rsidDel="00737522">
          <w:rPr>
            <w:rFonts w:ascii="Arial" w:hAnsi="Arial" w:cs="Arial"/>
            <w:sz w:val="20"/>
            <w:szCs w:val="20"/>
          </w:rPr>
          <w:delText>integrated crop management (</w:delText>
        </w:r>
      </w:del>
      <w:r>
        <w:rPr>
          <w:rFonts w:ascii="Arial" w:hAnsi="Arial" w:cs="Arial"/>
          <w:sz w:val="20"/>
          <w:szCs w:val="20"/>
        </w:rPr>
        <w:t>ICM</w:t>
      </w:r>
      <w:del w:id="50" w:author="mouki" w:date="2025-02-21T22:17:00Z">
        <w:r w:rsidDel="00737522">
          <w:rPr>
            <w:rFonts w:ascii="Arial" w:hAnsi="Arial" w:cs="Arial"/>
            <w:sz w:val="20"/>
            <w:szCs w:val="20"/>
          </w:rPr>
          <w:delText>)</w:delText>
        </w:r>
      </w:del>
      <w:r>
        <w:rPr>
          <w:rFonts w:ascii="Arial" w:hAnsi="Arial" w:cs="Arial"/>
          <w:sz w:val="20"/>
          <w:szCs w:val="20"/>
        </w:rPr>
        <w:t xml:space="preserve"> practices, which showed 0.21% at 0-15 cm and 0.19% at 15-30 cm. However, no significant differences in the active C pool were observed among the different groundnut-based cropping systems.</w:t>
      </w:r>
    </w:p>
    <w:p w14:paraId="04908AEE" w14:textId="77777777"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The groundnut-groundnut (S</w:t>
      </w:r>
      <w:r>
        <w:rPr>
          <w:rFonts w:ascii="Arial" w:hAnsi="Arial" w:cs="Arial"/>
          <w:sz w:val="20"/>
          <w:szCs w:val="20"/>
          <w:vertAlign w:val="subscript"/>
        </w:rPr>
        <w:t>1</w:t>
      </w:r>
      <w:r>
        <w:rPr>
          <w:rFonts w:ascii="Arial" w:hAnsi="Arial" w:cs="Arial"/>
          <w:sz w:val="20"/>
          <w:szCs w:val="20"/>
        </w:rPr>
        <w:t>) cropping system recorded the highest active C pool, with values of 0.26% at 0-15 cm and 0.24% at 15-30 cm. The active C pool in sub-surface soils may result from the decomposition of root residues or translocation from surface soil.</w:t>
      </w:r>
    </w:p>
    <w:p w14:paraId="382E8E79" w14:textId="77777777" w:rsidR="00895342" w:rsidRDefault="00067AD2">
      <w:pPr>
        <w:tabs>
          <w:tab w:val="left" w:pos="720"/>
        </w:tabs>
        <w:spacing w:after="120" w:line="240" w:lineRule="auto"/>
        <w:jc w:val="both"/>
        <w:rPr>
          <w:rFonts w:ascii="Arial" w:hAnsi="Arial" w:cs="Arial"/>
          <w:b/>
        </w:rPr>
      </w:pPr>
      <w:r>
        <w:rPr>
          <w:rFonts w:ascii="Arial" w:hAnsi="Arial" w:cs="Arial"/>
          <w:b/>
        </w:rPr>
        <w:t>3.11 PASSIVE CARBON POOL (PCP)</w:t>
      </w:r>
    </w:p>
    <w:p w14:paraId="6D1C92C5" w14:textId="1B900589" w:rsidR="00895342" w:rsidRDefault="00067AD2">
      <w:pPr>
        <w:tabs>
          <w:tab w:val="left" w:pos="720"/>
        </w:tabs>
        <w:spacing w:after="120" w:line="240" w:lineRule="auto"/>
        <w:jc w:val="both"/>
        <w:rPr>
          <w:rFonts w:ascii="Arial" w:hAnsi="Arial" w:cs="Arial"/>
          <w:sz w:val="20"/>
          <w:szCs w:val="20"/>
        </w:rPr>
      </w:pPr>
      <w:r>
        <w:rPr>
          <w:rFonts w:ascii="Arial" w:hAnsi="Arial" w:cs="Arial"/>
          <w:sz w:val="20"/>
          <w:szCs w:val="20"/>
        </w:rPr>
        <w:t xml:space="preserve">The organic farming treatment recorded a higher passive carbon (C) pool, with values of 0.26% at 0-15 cm and 0.25% at 15-30 cm, compared to </w:t>
      </w:r>
      <w:del w:id="51" w:author="mouki" w:date="2025-02-21T22:18:00Z">
        <w:r w:rsidDel="00737522">
          <w:rPr>
            <w:rFonts w:ascii="Arial" w:hAnsi="Arial" w:cs="Arial"/>
            <w:sz w:val="20"/>
            <w:szCs w:val="20"/>
          </w:rPr>
          <w:delText>integrated crop management (</w:delText>
        </w:r>
      </w:del>
      <w:r>
        <w:rPr>
          <w:rFonts w:ascii="Arial" w:hAnsi="Arial" w:cs="Arial"/>
          <w:sz w:val="20"/>
          <w:szCs w:val="20"/>
        </w:rPr>
        <w:t>ICM</w:t>
      </w:r>
      <w:del w:id="52" w:author="mouki" w:date="2025-02-21T22:18:00Z">
        <w:r w:rsidDel="00737522">
          <w:rPr>
            <w:rFonts w:ascii="Arial" w:hAnsi="Arial" w:cs="Arial"/>
            <w:sz w:val="20"/>
            <w:szCs w:val="20"/>
          </w:rPr>
          <w:delText>)</w:delText>
        </w:r>
      </w:del>
      <w:r>
        <w:rPr>
          <w:rFonts w:ascii="Arial" w:hAnsi="Arial" w:cs="Arial"/>
          <w:sz w:val="20"/>
          <w:szCs w:val="20"/>
        </w:rPr>
        <w:t xml:space="preserve"> practices, which showed 0.20% at 0-15 cm and 0.18% at 15-30 cm. The passive C pool was not significantly influenced by the different groundnut-based cropping systems. However, the groundnut-groundnut (S</w:t>
      </w:r>
      <w:r>
        <w:rPr>
          <w:rFonts w:ascii="Arial" w:hAnsi="Arial" w:cs="Arial"/>
          <w:sz w:val="20"/>
          <w:szCs w:val="20"/>
          <w:vertAlign w:val="subscript"/>
        </w:rPr>
        <w:t>1</w:t>
      </w:r>
      <w:r>
        <w:rPr>
          <w:rFonts w:ascii="Arial" w:hAnsi="Arial" w:cs="Arial"/>
          <w:sz w:val="20"/>
          <w:szCs w:val="20"/>
        </w:rPr>
        <w:t xml:space="preserve">) cropping system exhibited the highest passive C pool, with values of 0.25% at 0-15 cm and 0.23% at 15-30 cm. There was no significant interaction effect between management practices and cropping systems. The application of </w:t>
      </w:r>
      <w:del w:id="53" w:author="mouki" w:date="2025-02-21T22:18:00Z">
        <w:r w:rsidDel="00737522">
          <w:rPr>
            <w:rFonts w:ascii="Arial" w:hAnsi="Arial" w:cs="Arial"/>
            <w:sz w:val="20"/>
            <w:szCs w:val="20"/>
          </w:rPr>
          <w:delText>farmyard manure (</w:delText>
        </w:r>
      </w:del>
      <w:r>
        <w:rPr>
          <w:rFonts w:ascii="Arial" w:hAnsi="Arial" w:cs="Arial"/>
          <w:sz w:val="20"/>
          <w:szCs w:val="20"/>
        </w:rPr>
        <w:t>FYM</w:t>
      </w:r>
      <w:del w:id="54" w:author="mouki" w:date="2025-02-21T22:18:00Z">
        <w:r w:rsidDel="00737522">
          <w:rPr>
            <w:rFonts w:ascii="Arial" w:hAnsi="Arial" w:cs="Arial"/>
            <w:sz w:val="20"/>
            <w:szCs w:val="20"/>
          </w:rPr>
          <w:delText>)</w:delText>
        </w:r>
      </w:del>
      <w:r>
        <w:rPr>
          <w:rFonts w:ascii="Arial" w:hAnsi="Arial" w:cs="Arial"/>
          <w:sz w:val="20"/>
          <w:szCs w:val="20"/>
        </w:rPr>
        <w:t xml:space="preserve"> increased the passive C pool due to the lower C</w:t>
      </w:r>
      <w:proofErr w:type="gramStart"/>
      <w:r>
        <w:rPr>
          <w:rFonts w:ascii="Arial" w:hAnsi="Arial" w:cs="Arial"/>
          <w:sz w:val="20"/>
          <w:szCs w:val="20"/>
        </w:rPr>
        <w:t>:N</w:t>
      </w:r>
      <w:proofErr w:type="gramEnd"/>
      <w:r>
        <w:rPr>
          <w:rFonts w:ascii="Arial" w:hAnsi="Arial" w:cs="Arial"/>
          <w:sz w:val="20"/>
          <w:szCs w:val="20"/>
        </w:rPr>
        <w:t xml:space="preserve"> ratio and the higher proportion of recalcitrant organic compounds in FYM compared to crop residues (Mondal </w:t>
      </w:r>
      <w:r>
        <w:rPr>
          <w:rFonts w:ascii="Arial" w:hAnsi="Arial" w:cs="Arial"/>
          <w:i/>
          <w:sz w:val="20"/>
          <w:szCs w:val="20"/>
        </w:rPr>
        <w:t>et al.,</w:t>
      </w:r>
      <w:r>
        <w:rPr>
          <w:rFonts w:ascii="Arial" w:hAnsi="Arial" w:cs="Arial"/>
          <w:sz w:val="20"/>
          <w:szCs w:val="20"/>
        </w:rPr>
        <w:t xml:space="preserve"> 2020).</w:t>
      </w:r>
    </w:p>
    <w:p w14:paraId="7C376F19" w14:textId="77777777" w:rsidR="00895342" w:rsidRDefault="00067AD2">
      <w:pPr>
        <w:rPr>
          <w:rFonts w:ascii="Arial" w:hAnsi="Arial" w:cs="Arial"/>
          <w:sz w:val="20"/>
          <w:szCs w:val="20"/>
        </w:rPr>
      </w:pPr>
      <w:r>
        <w:rPr>
          <w:rFonts w:ascii="Arial" w:hAnsi="Arial" w:cs="Arial"/>
          <w:sz w:val="20"/>
          <w:szCs w:val="20"/>
        </w:rPr>
        <w:br w:type="page"/>
      </w:r>
    </w:p>
    <w:p w14:paraId="75AE02B2" w14:textId="77777777" w:rsidR="00895342" w:rsidRDefault="00895342">
      <w:pPr>
        <w:tabs>
          <w:tab w:val="left" w:pos="720"/>
        </w:tabs>
        <w:spacing w:after="120" w:line="240" w:lineRule="auto"/>
        <w:jc w:val="both"/>
        <w:rPr>
          <w:rFonts w:ascii="Arial" w:eastAsia="Times New Roman" w:hAnsi="Arial" w:cs="Arial"/>
          <w:b/>
          <w:bCs/>
          <w:color w:val="000000"/>
          <w:sz w:val="20"/>
          <w:szCs w:val="20"/>
        </w:rPr>
        <w:sectPr w:rsidR="00895342">
          <w:pgSz w:w="11906" w:h="16838"/>
          <w:pgMar w:top="1440" w:right="1440" w:bottom="1440" w:left="1440" w:header="708" w:footer="708" w:gutter="0"/>
          <w:cols w:space="708"/>
          <w:titlePg/>
          <w:docGrid w:linePitch="360"/>
        </w:sectPr>
      </w:pPr>
    </w:p>
    <w:p w14:paraId="2FAA672B" w14:textId="77777777" w:rsidR="00895342" w:rsidRDefault="00067AD2">
      <w:pPr>
        <w:tabs>
          <w:tab w:val="left" w:pos="720"/>
        </w:tabs>
        <w:spacing w:after="120" w:line="240" w:lineRule="auto"/>
        <w:jc w:val="both"/>
        <w:rPr>
          <w:rFonts w:ascii="Arial" w:hAnsi="Arial" w:cs="Arial"/>
          <w:sz w:val="20"/>
          <w:szCs w:val="20"/>
        </w:rPr>
      </w:pPr>
      <w:r>
        <w:rPr>
          <w:rFonts w:ascii="Arial" w:eastAsia="Times New Roman" w:hAnsi="Arial" w:cs="Arial"/>
          <w:b/>
          <w:bCs/>
          <w:color w:val="000000"/>
          <w:sz w:val="20"/>
          <w:szCs w:val="20"/>
        </w:rPr>
        <w:lastRenderedPageBreak/>
        <w:t xml:space="preserve">Table 3. Effect of organic farming on soil pH, EC and carbon pools after </w:t>
      </w:r>
      <w:r>
        <w:rPr>
          <w:rFonts w:ascii="Arial" w:eastAsia="Times New Roman" w:hAnsi="Arial" w:cs="Arial"/>
          <w:b/>
          <w:bCs/>
          <w:i/>
          <w:iCs/>
          <w:color w:val="000000"/>
          <w:sz w:val="20"/>
          <w:szCs w:val="20"/>
        </w:rPr>
        <w:t>rabi</w:t>
      </w:r>
      <w:r>
        <w:rPr>
          <w:rFonts w:ascii="Arial" w:eastAsia="Times New Roman" w:hAnsi="Arial" w:cs="Arial"/>
          <w:b/>
          <w:bCs/>
          <w:color w:val="000000"/>
          <w:sz w:val="20"/>
          <w:szCs w:val="20"/>
        </w:rPr>
        <w:t>,</w:t>
      </w:r>
      <w:r>
        <w:rPr>
          <w:rFonts w:ascii="Arial" w:eastAsia="Times New Roman" w:hAnsi="Arial" w:cs="Arial"/>
          <w:b/>
          <w:bCs/>
          <w:i/>
          <w:iCs/>
          <w:color w:val="000000"/>
          <w:sz w:val="20"/>
          <w:szCs w:val="20"/>
        </w:rPr>
        <w:t xml:space="preserve"> </w:t>
      </w:r>
      <w:r>
        <w:rPr>
          <w:rFonts w:ascii="Arial" w:eastAsia="Times New Roman" w:hAnsi="Arial" w:cs="Arial"/>
          <w:b/>
          <w:bCs/>
          <w:color w:val="000000"/>
          <w:sz w:val="20"/>
          <w:szCs w:val="20"/>
        </w:rPr>
        <w:t>2023-24</w:t>
      </w:r>
    </w:p>
    <w:tbl>
      <w:tblPr>
        <w:tblW w:w="5000" w:type="pct"/>
        <w:jc w:val="center"/>
        <w:tblLayout w:type="fixed"/>
        <w:tblLook w:val="04A0" w:firstRow="1" w:lastRow="0" w:firstColumn="1" w:lastColumn="0" w:noHBand="0" w:noVBand="1"/>
      </w:tblPr>
      <w:tblGrid>
        <w:gridCol w:w="2828"/>
        <w:gridCol w:w="1009"/>
        <w:gridCol w:w="1006"/>
        <w:gridCol w:w="913"/>
        <w:gridCol w:w="1006"/>
        <w:gridCol w:w="913"/>
        <w:gridCol w:w="916"/>
        <w:gridCol w:w="930"/>
        <w:gridCol w:w="933"/>
        <w:gridCol w:w="930"/>
        <w:gridCol w:w="933"/>
        <w:gridCol w:w="930"/>
        <w:gridCol w:w="927"/>
      </w:tblGrid>
      <w:tr w:rsidR="00895342" w14:paraId="2FA56665" w14:textId="77777777">
        <w:trPr>
          <w:trHeight w:val="20"/>
          <w:jc w:val="center"/>
        </w:trPr>
        <w:tc>
          <w:tcPr>
            <w:tcW w:w="99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44A3E1"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Treatments</w:t>
            </w:r>
          </w:p>
        </w:tc>
        <w:tc>
          <w:tcPr>
            <w:tcW w:w="711" w:type="pct"/>
            <w:gridSpan w:val="2"/>
            <w:tcBorders>
              <w:top w:val="single" w:sz="4" w:space="0" w:color="auto"/>
              <w:left w:val="nil"/>
              <w:bottom w:val="single" w:sz="4" w:space="0" w:color="auto"/>
              <w:right w:val="single" w:sz="4" w:space="0" w:color="auto"/>
            </w:tcBorders>
            <w:shd w:val="clear" w:color="auto" w:fill="auto"/>
            <w:vAlign w:val="center"/>
          </w:tcPr>
          <w:p w14:paraId="5F4FBE9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pH</w:t>
            </w:r>
          </w:p>
        </w:tc>
        <w:tc>
          <w:tcPr>
            <w:tcW w:w="677" w:type="pct"/>
            <w:gridSpan w:val="2"/>
            <w:tcBorders>
              <w:top w:val="single" w:sz="4" w:space="0" w:color="auto"/>
              <w:left w:val="nil"/>
              <w:bottom w:val="single" w:sz="4" w:space="0" w:color="auto"/>
              <w:right w:val="single" w:sz="4" w:space="0" w:color="auto"/>
            </w:tcBorders>
            <w:shd w:val="clear" w:color="auto" w:fill="auto"/>
            <w:vAlign w:val="center"/>
          </w:tcPr>
          <w:p w14:paraId="115058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 xml:space="preserve">Electrical conductivity </w:t>
            </w:r>
          </w:p>
          <w:p w14:paraId="5265499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(dSm</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12C61B8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Organic carbon (%)</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551AB77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Water soluble carbon</w:t>
            </w:r>
          </w:p>
          <w:p w14:paraId="7CFC937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(mg kg</w:t>
            </w:r>
            <w:r>
              <w:rPr>
                <w:rFonts w:ascii="Arial" w:eastAsia="Times New Roman" w:hAnsi="Arial" w:cs="Arial"/>
                <w:b/>
                <w:bCs/>
                <w:color w:val="000000"/>
                <w:sz w:val="17"/>
                <w:szCs w:val="20"/>
                <w:vertAlign w:val="superscript"/>
              </w:rPr>
              <w:t>-1</w:t>
            </w:r>
            <w:r>
              <w:rPr>
                <w:rFonts w:ascii="Arial" w:eastAsia="Times New Roman" w:hAnsi="Arial" w:cs="Arial"/>
                <w:b/>
                <w:bCs/>
                <w:color w:val="000000"/>
                <w:sz w:val="17"/>
                <w:szCs w:val="20"/>
              </w:rPr>
              <w:t>)</w:t>
            </w:r>
          </w:p>
        </w:tc>
        <w:tc>
          <w:tcPr>
            <w:tcW w:w="657" w:type="pct"/>
            <w:gridSpan w:val="2"/>
            <w:tcBorders>
              <w:top w:val="single" w:sz="4" w:space="0" w:color="auto"/>
              <w:left w:val="nil"/>
              <w:bottom w:val="single" w:sz="4" w:space="0" w:color="auto"/>
              <w:right w:val="single" w:sz="4" w:space="0" w:color="auto"/>
            </w:tcBorders>
            <w:shd w:val="clear" w:color="auto" w:fill="auto"/>
            <w:vAlign w:val="center"/>
          </w:tcPr>
          <w:p w14:paraId="00B20A2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Active pools (%)</w:t>
            </w:r>
          </w:p>
        </w:tc>
        <w:tc>
          <w:tcPr>
            <w:tcW w:w="655" w:type="pct"/>
            <w:gridSpan w:val="2"/>
            <w:tcBorders>
              <w:top w:val="single" w:sz="4" w:space="0" w:color="auto"/>
              <w:left w:val="nil"/>
              <w:bottom w:val="single" w:sz="4" w:space="0" w:color="auto"/>
              <w:right w:val="single" w:sz="4" w:space="0" w:color="auto"/>
            </w:tcBorders>
            <w:shd w:val="clear" w:color="auto" w:fill="auto"/>
            <w:vAlign w:val="center"/>
          </w:tcPr>
          <w:p w14:paraId="493C76C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Passive pools (%)</w:t>
            </w:r>
          </w:p>
        </w:tc>
      </w:tr>
      <w:tr w:rsidR="00895342" w14:paraId="5C36D4A4" w14:textId="77777777">
        <w:trPr>
          <w:trHeight w:val="20"/>
          <w:jc w:val="center"/>
        </w:trPr>
        <w:tc>
          <w:tcPr>
            <w:tcW w:w="998" w:type="pct"/>
            <w:vMerge/>
            <w:tcBorders>
              <w:top w:val="single" w:sz="4" w:space="0" w:color="auto"/>
              <w:left w:val="single" w:sz="4" w:space="0" w:color="auto"/>
              <w:bottom w:val="single" w:sz="4" w:space="0" w:color="000000"/>
              <w:right w:val="single" w:sz="4" w:space="0" w:color="auto"/>
            </w:tcBorders>
            <w:vAlign w:val="center"/>
          </w:tcPr>
          <w:p w14:paraId="7755F52C" w14:textId="77777777" w:rsidR="00895342" w:rsidRDefault="00895342">
            <w:pPr>
              <w:spacing w:before="40" w:after="40" w:line="240" w:lineRule="auto"/>
              <w:jc w:val="center"/>
              <w:rPr>
                <w:rFonts w:ascii="Arial" w:eastAsia="Times New Roman" w:hAnsi="Arial" w:cs="Arial"/>
                <w:b/>
                <w:bCs/>
                <w:color w:val="000000"/>
                <w:sz w:val="17"/>
                <w:szCs w:val="20"/>
              </w:rPr>
            </w:pPr>
          </w:p>
        </w:tc>
        <w:tc>
          <w:tcPr>
            <w:tcW w:w="356" w:type="pct"/>
            <w:tcBorders>
              <w:top w:val="nil"/>
              <w:left w:val="nil"/>
              <w:bottom w:val="single" w:sz="4" w:space="0" w:color="auto"/>
              <w:right w:val="single" w:sz="4" w:space="0" w:color="auto"/>
            </w:tcBorders>
            <w:shd w:val="clear" w:color="auto" w:fill="auto"/>
            <w:vAlign w:val="center"/>
          </w:tcPr>
          <w:p w14:paraId="37AB99F0"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4D3D56E4"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453B4657"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55" w:type="pct"/>
            <w:tcBorders>
              <w:top w:val="nil"/>
              <w:left w:val="nil"/>
              <w:bottom w:val="single" w:sz="4" w:space="0" w:color="auto"/>
              <w:right w:val="single" w:sz="4" w:space="0" w:color="auto"/>
            </w:tcBorders>
            <w:shd w:val="clear" w:color="auto" w:fill="auto"/>
            <w:vAlign w:val="center"/>
          </w:tcPr>
          <w:p w14:paraId="0E064576"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2" w:type="pct"/>
            <w:tcBorders>
              <w:top w:val="nil"/>
              <w:left w:val="nil"/>
              <w:bottom w:val="single" w:sz="4" w:space="0" w:color="auto"/>
              <w:right w:val="single" w:sz="4" w:space="0" w:color="auto"/>
            </w:tcBorders>
            <w:shd w:val="clear" w:color="auto" w:fill="auto"/>
            <w:vAlign w:val="center"/>
          </w:tcPr>
          <w:p w14:paraId="21A368C8"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3" w:type="pct"/>
            <w:tcBorders>
              <w:top w:val="nil"/>
              <w:left w:val="nil"/>
              <w:bottom w:val="single" w:sz="4" w:space="0" w:color="auto"/>
              <w:right w:val="single" w:sz="4" w:space="0" w:color="auto"/>
            </w:tcBorders>
            <w:shd w:val="clear" w:color="auto" w:fill="auto"/>
            <w:vAlign w:val="center"/>
          </w:tcPr>
          <w:p w14:paraId="14F77AE1"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7531C262"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10FB0FBB"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0A974297"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9" w:type="pct"/>
            <w:tcBorders>
              <w:top w:val="nil"/>
              <w:left w:val="nil"/>
              <w:bottom w:val="single" w:sz="4" w:space="0" w:color="auto"/>
              <w:right w:val="single" w:sz="4" w:space="0" w:color="auto"/>
            </w:tcBorders>
            <w:shd w:val="clear" w:color="auto" w:fill="auto"/>
            <w:vAlign w:val="center"/>
          </w:tcPr>
          <w:p w14:paraId="67E26389"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c>
          <w:tcPr>
            <w:tcW w:w="328" w:type="pct"/>
            <w:tcBorders>
              <w:top w:val="nil"/>
              <w:left w:val="nil"/>
              <w:bottom w:val="single" w:sz="4" w:space="0" w:color="auto"/>
              <w:right w:val="single" w:sz="4" w:space="0" w:color="auto"/>
            </w:tcBorders>
            <w:shd w:val="clear" w:color="auto" w:fill="auto"/>
            <w:vAlign w:val="center"/>
          </w:tcPr>
          <w:p w14:paraId="73115FF3"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0-15 cm</w:t>
            </w:r>
          </w:p>
        </w:tc>
        <w:tc>
          <w:tcPr>
            <w:tcW w:w="327" w:type="pct"/>
            <w:tcBorders>
              <w:top w:val="nil"/>
              <w:left w:val="nil"/>
              <w:bottom w:val="single" w:sz="4" w:space="0" w:color="auto"/>
              <w:right w:val="single" w:sz="4" w:space="0" w:color="auto"/>
            </w:tcBorders>
            <w:shd w:val="clear" w:color="auto" w:fill="auto"/>
            <w:vAlign w:val="center"/>
          </w:tcPr>
          <w:p w14:paraId="7C9ADDAB" w14:textId="77777777" w:rsidR="00895342" w:rsidRDefault="00067AD2">
            <w:pPr>
              <w:spacing w:before="40" w:after="40" w:line="240" w:lineRule="auto"/>
              <w:jc w:val="center"/>
              <w:rPr>
                <w:rFonts w:ascii="Arial" w:eastAsia="Times New Roman" w:hAnsi="Arial" w:cs="Arial"/>
                <w:b/>
                <w:bCs/>
                <w:color w:val="000000"/>
                <w:sz w:val="16"/>
                <w:szCs w:val="20"/>
              </w:rPr>
            </w:pPr>
            <w:r>
              <w:rPr>
                <w:rFonts w:ascii="Arial" w:eastAsia="Times New Roman" w:hAnsi="Arial" w:cs="Arial"/>
                <w:b/>
                <w:bCs/>
                <w:color w:val="000000"/>
                <w:sz w:val="16"/>
                <w:szCs w:val="20"/>
              </w:rPr>
              <w:t>15-30 cm</w:t>
            </w:r>
          </w:p>
        </w:tc>
      </w:tr>
      <w:tr w:rsidR="00895342" w14:paraId="1739BC18"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3E888A98"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treatments</w:t>
            </w:r>
          </w:p>
        </w:tc>
      </w:tr>
      <w:tr w:rsidR="00895342" w14:paraId="28808DDD"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1CF19427"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w:t>
            </w:r>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Organic farming</w:t>
            </w:r>
          </w:p>
        </w:tc>
        <w:tc>
          <w:tcPr>
            <w:tcW w:w="356" w:type="pct"/>
            <w:tcBorders>
              <w:top w:val="nil"/>
              <w:left w:val="nil"/>
              <w:bottom w:val="single" w:sz="4" w:space="0" w:color="auto"/>
              <w:right w:val="single" w:sz="4" w:space="0" w:color="auto"/>
            </w:tcBorders>
            <w:shd w:val="clear" w:color="auto" w:fill="auto"/>
            <w:noWrap/>
            <w:vAlign w:val="center"/>
          </w:tcPr>
          <w:p w14:paraId="7ACD4ED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7.42</w:t>
            </w:r>
          </w:p>
        </w:tc>
        <w:tc>
          <w:tcPr>
            <w:tcW w:w="355" w:type="pct"/>
            <w:tcBorders>
              <w:top w:val="nil"/>
              <w:left w:val="nil"/>
              <w:bottom w:val="single" w:sz="4" w:space="0" w:color="auto"/>
              <w:right w:val="single" w:sz="4" w:space="0" w:color="auto"/>
            </w:tcBorders>
            <w:shd w:val="clear" w:color="auto" w:fill="auto"/>
            <w:noWrap/>
            <w:vAlign w:val="center"/>
          </w:tcPr>
          <w:p w14:paraId="3155A00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3CE959B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5F231F7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617AE03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0.54</w:t>
            </w:r>
          </w:p>
        </w:tc>
        <w:tc>
          <w:tcPr>
            <w:tcW w:w="323" w:type="pct"/>
            <w:tcBorders>
              <w:top w:val="nil"/>
              <w:left w:val="nil"/>
              <w:bottom w:val="single" w:sz="4" w:space="0" w:color="auto"/>
              <w:right w:val="single" w:sz="4" w:space="0" w:color="auto"/>
            </w:tcBorders>
            <w:shd w:val="clear" w:color="auto" w:fill="auto"/>
            <w:noWrap/>
            <w:vAlign w:val="center"/>
          </w:tcPr>
          <w:p w14:paraId="41F94CF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8" w:type="pct"/>
            <w:tcBorders>
              <w:top w:val="nil"/>
              <w:left w:val="nil"/>
              <w:bottom w:val="single" w:sz="4" w:space="0" w:color="auto"/>
              <w:right w:val="single" w:sz="4" w:space="0" w:color="auto"/>
            </w:tcBorders>
            <w:shd w:val="clear" w:color="auto" w:fill="auto"/>
            <w:noWrap/>
            <w:vAlign w:val="center"/>
          </w:tcPr>
          <w:p w14:paraId="140B750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13.91</w:t>
            </w:r>
          </w:p>
        </w:tc>
        <w:tc>
          <w:tcPr>
            <w:tcW w:w="329" w:type="pct"/>
            <w:tcBorders>
              <w:top w:val="nil"/>
              <w:left w:val="nil"/>
              <w:bottom w:val="single" w:sz="4" w:space="0" w:color="auto"/>
              <w:right w:val="single" w:sz="4" w:space="0" w:color="auto"/>
            </w:tcBorders>
            <w:shd w:val="clear" w:color="auto" w:fill="auto"/>
            <w:noWrap/>
            <w:vAlign w:val="center"/>
          </w:tcPr>
          <w:p w14:paraId="169575B2"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11.57</w:t>
            </w:r>
          </w:p>
        </w:tc>
        <w:tc>
          <w:tcPr>
            <w:tcW w:w="328" w:type="pct"/>
            <w:tcBorders>
              <w:top w:val="nil"/>
              <w:left w:val="nil"/>
              <w:bottom w:val="single" w:sz="4" w:space="0" w:color="auto"/>
              <w:right w:val="single" w:sz="4" w:space="0" w:color="auto"/>
            </w:tcBorders>
            <w:shd w:val="clear" w:color="auto" w:fill="auto"/>
            <w:noWrap/>
            <w:vAlign w:val="center"/>
          </w:tcPr>
          <w:p w14:paraId="7ED0F392"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0.27</w:t>
            </w:r>
          </w:p>
        </w:tc>
        <w:tc>
          <w:tcPr>
            <w:tcW w:w="329" w:type="pct"/>
            <w:tcBorders>
              <w:top w:val="nil"/>
              <w:left w:val="nil"/>
              <w:bottom w:val="single" w:sz="4" w:space="0" w:color="auto"/>
              <w:right w:val="single" w:sz="4" w:space="0" w:color="auto"/>
            </w:tcBorders>
            <w:shd w:val="clear" w:color="auto" w:fill="auto"/>
            <w:noWrap/>
            <w:vAlign w:val="center"/>
          </w:tcPr>
          <w:p w14:paraId="311D13F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4392A73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7" w:type="pct"/>
            <w:tcBorders>
              <w:top w:val="nil"/>
              <w:left w:val="nil"/>
              <w:bottom w:val="single" w:sz="4" w:space="0" w:color="auto"/>
              <w:right w:val="single" w:sz="4" w:space="0" w:color="auto"/>
            </w:tcBorders>
            <w:shd w:val="clear" w:color="auto" w:fill="auto"/>
            <w:noWrap/>
            <w:vAlign w:val="center"/>
          </w:tcPr>
          <w:p w14:paraId="6C26D32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r>
      <w:tr w:rsidR="00895342" w14:paraId="43BDC76E"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6CF1E64"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M</w:t>
            </w:r>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w:t>
            </w:r>
            <w:r>
              <w:rPr>
                <w:rFonts w:ascii="Arial" w:eastAsia="Times New Roman" w:hAnsi="Arial" w:cs="Arial"/>
                <w:color w:val="000000"/>
                <w:sz w:val="17"/>
                <w:szCs w:val="20"/>
                <w:vertAlign w:val="subscript"/>
              </w:rPr>
              <w:t xml:space="preserve"> </w:t>
            </w:r>
            <w:r>
              <w:rPr>
                <w:rFonts w:ascii="Arial" w:eastAsia="Times New Roman" w:hAnsi="Arial" w:cs="Arial"/>
                <w:color w:val="000000"/>
                <w:sz w:val="17"/>
                <w:szCs w:val="20"/>
              </w:rPr>
              <w:t>ICM</w:t>
            </w:r>
          </w:p>
        </w:tc>
        <w:tc>
          <w:tcPr>
            <w:tcW w:w="356" w:type="pct"/>
            <w:tcBorders>
              <w:top w:val="nil"/>
              <w:left w:val="nil"/>
              <w:bottom w:val="single" w:sz="4" w:space="0" w:color="auto"/>
              <w:right w:val="single" w:sz="4" w:space="0" w:color="auto"/>
            </w:tcBorders>
            <w:shd w:val="clear" w:color="auto" w:fill="auto"/>
            <w:noWrap/>
            <w:vAlign w:val="center"/>
          </w:tcPr>
          <w:p w14:paraId="32CDCAA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55" w:type="pct"/>
            <w:tcBorders>
              <w:top w:val="nil"/>
              <w:left w:val="nil"/>
              <w:bottom w:val="single" w:sz="4" w:space="0" w:color="auto"/>
              <w:right w:val="single" w:sz="4" w:space="0" w:color="auto"/>
            </w:tcBorders>
            <w:shd w:val="clear" w:color="auto" w:fill="auto"/>
            <w:noWrap/>
            <w:vAlign w:val="center"/>
          </w:tcPr>
          <w:p w14:paraId="1BE3565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7.29</w:t>
            </w:r>
          </w:p>
        </w:tc>
        <w:tc>
          <w:tcPr>
            <w:tcW w:w="322" w:type="pct"/>
            <w:tcBorders>
              <w:top w:val="nil"/>
              <w:left w:val="nil"/>
              <w:bottom w:val="single" w:sz="4" w:space="0" w:color="auto"/>
              <w:right w:val="single" w:sz="4" w:space="0" w:color="auto"/>
            </w:tcBorders>
            <w:shd w:val="clear" w:color="auto" w:fill="auto"/>
            <w:noWrap/>
            <w:vAlign w:val="center"/>
          </w:tcPr>
          <w:p w14:paraId="7B73DE8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272CF79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322991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3" w:type="pct"/>
            <w:tcBorders>
              <w:top w:val="nil"/>
              <w:left w:val="nil"/>
              <w:bottom w:val="single" w:sz="4" w:space="0" w:color="auto"/>
              <w:right w:val="single" w:sz="4" w:space="0" w:color="auto"/>
            </w:tcBorders>
            <w:shd w:val="clear" w:color="auto" w:fill="auto"/>
            <w:noWrap/>
            <w:vAlign w:val="center"/>
          </w:tcPr>
          <w:p w14:paraId="61580DA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0.39</w:t>
            </w:r>
          </w:p>
        </w:tc>
        <w:tc>
          <w:tcPr>
            <w:tcW w:w="328" w:type="pct"/>
            <w:tcBorders>
              <w:top w:val="nil"/>
              <w:left w:val="nil"/>
              <w:bottom w:val="single" w:sz="4" w:space="0" w:color="auto"/>
              <w:right w:val="single" w:sz="4" w:space="0" w:color="auto"/>
            </w:tcBorders>
            <w:shd w:val="clear" w:color="auto" w:fill="auto"/>
            <w:noWrap/>
            <w:vAlign w:val="center"/>
          </w:tcPr>
          <w:p w14:paraId="0A0FA02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11.31</w:t>
            </w:r>
          </w:p>
        </w:tc>
        <w:tc>
          <w:tcPr>
            <w:tcW w:w="329" w:type="pct"/>
            <w:tcBorders>
              <w:top w:val="nil"/>
              <w:left w:val="nil"/>
              <w:bottom w:val="single" w:sz="4" w:space="0" w:color="auto"/>
              <w:right w:val="single" w:sz="4" w:space="0" w:color="auto"/>
            </w:tcBorders>
            <w:shd w:val="clear" w:color="auto" w:fill="auto"/>
            <w:noWrap/>
            <w:vAlign w:val="center"/>
          </w:tcPr>
          <w:p w14:paraId="147FA74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10.06</w:t>
            </w:r>
          </w:p>
        </w:tc>
        <w:tc>
          <w:tcPr>
            <w:tcW w:w="328" w:type="pct"/>
            <w:tcBorders>
              <w:top w:val="nil"/>
              <w:left w:val="nil"/>
              <w:bottom w:val="single" w:sz="4" w:space="0" w:color="auto"/>
              <w:right w:val="single" w:sz="4" w:space="0" w:color="auto"/>
            </w:tcBorders>
            <w:shd w:val="clear" w:color="auto" w:fill="auto"/>
            <w:noWrap/>
            <w:vAlign w:val="center"/>
          </w:tcPr>
          <w:p w14:paraId="0041F21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7CF224C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c>
          <w:tcPr>
            <w:tcW w:w="328" w:type="pct"/>
            <w:tcBorders>
              <w:top w:val="nil"/>
              <w:left w:val="nil"/>
              <w:bottom w:val="single" w:sz="4" w:space="0" w:color="auto"/>
              <w:right w:val="single" w:sz="4" w:space="0" w:color="auto"/>
            </w:tcBorders>
            <w:shd w:val="clear" w:color="auto" w:fill="auto"/>
            <w:noWrap/>
            <w:vAlign w:val="center"/>
          </w:tcPr>
          <w:p w14:paraId="7079521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7" w:type="pct"/>
            <w:tcBorders>
              <w:top w:val="nil"/>
              <w:left w:val="nil"/>
              <w:bottom w:val="single" w:sz="4" w:space="0" w:color="auto"/>
              <w:right w:val="single" w:sz="4" w:space="0" w:color="auto"/>
            </w:tcBorders>
            <w:shd w:val="clear" w:color="auto" w:fill="auto"/>
            <w:noWrap/>
            <w:vAlign w:val="center"/>
          </w:tcPr>
          <w:p w14:paraId="794E166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0.18</w:t>
            </w:r>
          </w:p>
        </w:tc>
      </w:tr>
      <w:tr w:rsidR="00895342" w14:paraId="68530F98"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2989D5A"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13D9701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17AE1FD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2" w:type="pct"/>
            <w:tcBorders>
              <w:top w:val="nil"/>
              <w:left w:val="nil"/>
              <w:bottom w:val="single" w:sz="4" w:space="0" w:color="auto"/>
              <w:right w:val="single" w:sz="4" w:space="0" w:color="auto"/>
            </w:tcBorders>
            <w:shd w:val="clear" w:color="auto" w:fill="auto"/>
            <w:noWrap/>
            <w:vAlign w:val="center"/>
          </w:tcPr>
          <w:p w14:paraId="0E091E4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0.002</w:t>
            </w:r>
          </w:p>
        </w:tc>
        <w:tc>
          <w:tcPr>
            <w:tcW w:w="355" w:type="pct"/>
            <w:tcBorders>
              <w:top w:val="nil"/>
              <w:left w:val="nil"/>
              <w:bottom w:val="single" w:sz="4" w:space="0" w:color="auto"/>
              <w:right w:val="single" w:sz="4" w:space="0" w:color="auto"/>
            </w:tcBorders>
            <w:shd w:val="clear" w:color="auto" w:fill="auto"/>
            <w:noWrap/>
            <w:vAlign w:val="center"/>
          </w:tcPr>
          <w:p w14:paraId="0EDB5E1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2" w:type="pct"/>
            <w:tcBorders>
              <w:top w:val="nil"/>
              <w:left w:val="nil"/>
              <w:bottom w:val="single" w:sz="4" w:space="0" w:color="auto"/>
              <w:right w:val="single" w:sz="4" w:space="0" w:color="auto"/>
            </w:tcBorders>
            <w:shd w:val="clear" w:color="auto" w:fill="auto"/>
            <w:noWrap/>
            <w:vAlign w:val="center"/>
          </w:tcPr>
          <w:p w14:paraId="10B5591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1827C52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48C38EC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0.30</w:t>
            </w:r>
          </w:p>
        </w:tc>
        <w:tc>
          <w:tcPr>
            <w:tcW w:w="329" w:type="pct"/>
            <w:tcBorders>
              <w:top w:val="nil"/>
              <w:left w:val="nil"/>
              <w:bottom w:val="single" w:sz="4" w:space="0" w:color="auto"/>
              <w:right w:val="single" w:sz="4" w:space="0" w:color="auto"/>
            </w:tcBorders>
            <w:shd w:val="clear" w:color="auto" w:fill="auto"/>
            <w:noWrap/>
            <w:vAlign w:val="center"/>
          </w:tcPr>
          <w:p w14:paraId="114892A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282ED2E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9" w:type="pct"/>
            <w:tcBorders>
              <w:top w:val="nil"/>
              <w:left w:val="nil"/>
              <w:bottom w:val="single" w:sz="4" w:space="0" w:color="auto"/>
              <w:right w:val="single" w:sz="4" w:space="0" w:color="auto"/>
            </w:tcBorders>
            <w:shd w:val="clear" w:color="auto" w:fill="auto"/>
            <w:noWrap/>
            <w:vAlign w:val="center"/>
          </w:tcPr>
          <w:p w14:paraId="275DD7A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8" w:type="pct"/>
            <w:tcBorders>
              <w:top w:val="nil"/>
              <w:left w:val="nil"/>
              <w:bottom w:val="single" w:sz="4" w:space="0" w:color="auto"/>
              <w:right w:val="single" w:sz="4" w:space="0" w:color="auto"/>
            </w:tcBorders>
            <w:shd w:val="clear" w:color="auto" w:fill="auto"/>
            <w:noWrap/>
            <w:vAlign w:val="center"/>
          </w:tcPr>
          <w:p w14:paraId="56265B6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0.003</w:t>
            </w:r>
          </w:p>
        </w:tc>
        <w:tc>
          <w:tcPr>
            <w:tcW w:w="327" w:type="pct"/>
            <w:tcBorders>
              <w:top w:val="nil"/>
              <w:left w:val="nil"/>
              <w:bottom w:val="single" w:sz="4" w:space="0" w:color="auto"/>
              <w:right w:val="single" w:sz="4" w:space="0" w:color="auto"/>
            </w:tcBorders>
            <w:shd w:val="clear" w:color="auto" w:fill="auto"/>
            <w:noWrap/>
            <w:vAlign w:val="center"/>
          </w:tcPr>
          <w:p w14:paraId="188CB04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r>
      <w:tr w:rsidR="00895342" w14:paraId="11148E03"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58A33D4"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31F31E4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56DDC14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144D2DD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6FE56C6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F7C5B3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0.08</w:t>
            </w:r>
          </w:p>
        </w:tc>
        <w:tc>
          <w:tcPr>
            <w:tcW w:w="323" w:type="pct"/>
            <w:tcBorders>
              <w:top w:val="nil"/>
              <w:left w:val="nil"/>
              <w:bottom w:val="single" w:sz="4" w:space="0" w:color="auto"/>
              <w:right w:val="single" w:sz="4" w:space="0" w:color="auto"/>
            </w:tcBorders>
            <w:shd w:val="clear" w:color="auto" w:fill="auto"/>
            <w:noWrap/>
            <w:vAlign w:val="center"/>
          </w:tcPr>
          <w:p w14:paraId="70C46F5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28" w:type="pct"/>
            <w:tcBorders>
              <w:top w:val="nil"/>
              <w:left w:val="nil"/>
              <w:bottom w:val="single" w:sz="4" w:space="0" w:color="auto"/>
              <w:right w:val="single" w:sz="4" w:space="0" w:color="auto"/>
            </w:tcBorders>
            <w:shd w:val="clear" w:color="auto" w:fill="auto"/>
            <w:noWrap/>
            <w:vAlign w:val="center"/>
          </w:tcPr>
          <w:p w14:paraId="3AF09AC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1.84</w:t>
            </w:r>
          </w:p>
        </w:tc>
        <w:tc>
          <w:tcPr>
            <w:tcW w:w="329" w:type="pct"/>
            <w:tcBorders>
              <w:top w:val="nil"/>
              <w:left w:val="nil"/>
              <w:bottom w:val="single" w:sz="4" w:space="0" w:color="auto"/>
              <w:right w:val="single" w:sz="4" w:space="0" w:color="auto"/>
            </w:tcBorders>
            <w:shd w:val="clear" w:color="auto" w:fill="auto"/>
            <w:noWrap/>
            <w:vAlign w:val="center"/>
          </w:tcPr>
          <w:p w14:paraId="3B6E781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1.36</w:t>
            </w:r>
          </w:p>
        </w:tc>
        <w:tc>
          <w:tcPr>
            <w:tcW w:w="328" w:type="pct"/>
            <w:tcBorders>
              <w:top w:val="nil"/>
              <w:left w:val="nil"/>
              <w:bottom w:val="single" w:sz="4" w:space="0" w:color="auto"/>
              <w:right w:val="single" w:sz="4" w:space="0" w:color="auto"/>
            </w:tcBorders>
            <w:shd w:val="clear" w:color="auto" w:fill="auto"/>
            <w:noWrap/>
            <w:vAlign w:val="center"/>
          </w:tcPr>
          <w:p w14:paraId="180111B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9" w:type="pct"/>
            <w:tcBorders>
              <w:top w:val="nil"/>
              <w:left w:val="nil"/>
              <w:bottom w:val="single" w:sz="4" w:space="0" w:color="auto"/>
              <w:right w:val="single" w:sz="4" w:space="0" w:color="auto"/>
            </w:tcBorders>
            <w:shd w:val="clear" w:color="auto" w:fill="auto"/>
            <w:noWrap/>
            <w:vAlign w:val="center"/>
          </w:tcPr>
          <w:p w14:paraId="7C11AF1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8" w:type="pct"/>
            <w:tcBorders>
              <w:top w:val="nil"/>
              <w:left w:val="nil"/>
              <w:bottom w:val="single" w:sz="4" w:space="0" w:color="auto"/>
              <w:right w:val="single" w:sz="4" w:space="0" w:color="auto"/>
            </w:tcBorders>
            <w:shd w:val="clear" w:color="auto" w:fill="auto"/>
            <w:noWrap/>
            <w:vAlign w:val="center"/>
          </w:tcPr>
          <w:p w14:paraId="4D77BB4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7" w:type="pct"/>
            <w:tcBorders>
              <w:top w:val="nil"/>
              <w:left w:val="nil"/>
              <w:bottom w:val="single" w:sz="4" w:space="0" w:color="auto"/>
              <w:right w:val="single" w:sz="4" w:space="0" w:color="auto"/>
            </w:tcBorders>
            <w:shd w:val="clear" w:color="auto" w:fill="auto"/>
            <w:noWrap/>
            <w:vAlign w:val="center"/>
          </w:tcPr>
          <w:p w14:paraId="0557B70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0.03</w:t>
            </w:r>
          </w:p>
        </w:tc>
      </w:tr>
      <w:tr w:rsidR="00895342" w14:paraId="6CB47F42"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5C98CB1A"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treatments</w:t>
            </w:r>
          </w:p>
        </w:tc>
      </w:tr>
      <w:tr w:rsidR="00895342" w14:paraId="32EA513C"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382E682"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1</w:t>
            </w:r>
            <w:r>
              <w:rPr>
                <w:rFonts w:ascii="Arial" w:eastAsia="Times New Roman" w:hAnsi="Arial" w:cs="Arial"/>
                <w:color w:val="000000"/>
                <w:sz w:val="17"/>
                <w:szCs w:val="20"/>
              </w:rPr>
              <w:t xml:space="preserve"> : Groundnut - groundnut</w:t>
            </w:r>
          </w:p>
        </w:tc>
        <w:tc>
          <w:tcPr>
            <w:tcW w:w="356" w:type="pct"/>
            <w:tcBorders>
              <w:top w:val="nil"/>
              <w:left w:val="nil"/>
              <w:bottom w:val="single" w:sz="4" w:space="0" w:color="auto"/>
              <w:right w:val="single" w:sz="4" w:space="0" w:color="auto"/>
            </w:tcBorders>
            <w:shd w:val="clear" w:color="auto" w:fill="auto"/>
            <w:noWrap/>
            <w:vAlign w:val="center"/>
          </w:tcPr>
          <w:p w14:paraId="2FD1F9D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7.41</w:t>
            </w:r>
          </w:p>
        </w:tc>
        <w:tc>
          <w:tcPr>
            <w:tcW w:w="355" w:type="pct"/>
            <w:tcBorders>
              <w:top w:val="nil"/>
              <w:left w:val="nil"/>
              <w:bottom w:val="single" w:sz="4" w:space="0" w:color="auto"/>
              <w:right w:val="single" w:sz="4" w:space="0" w:color="auto"/>
            </w:tcBorders>
            <w:shd w:val="clear" w:color="auto" w:fill="auto"/>
            <w:noWrap/>
            <w:vAlign w:val="center"/>
          </w:tcPr>
          <w:p w14:paraId="256AAD8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22" w:type="pct"/>
            <w:tcBorders>
              <w:top w:val="nil"/>
              <w:left w:val="nil"/>
              <w:bottom w:val="single" w:sz="4" w:space="0" w:color="auto"/>
              <w:right w:val="single" w:sz="4" w:space="0" w:color="auto"/>
            </w:tcBorders>
            <w:shd w:val="clear" w:color="auto" w:fill="auto"/>
            <w:noWrap/>
            <w:vAlign w:val="center"/>
          </w:tcPr>
          <w:p w14:paraId="089020F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1C4E309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7EAA46B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0.51</w:t>
            </w:r>
          </w:p>
        </w:tc>
        <w:tc>
          <w:tcPr>
            <w:tcW w:w="323" w:type="pct"/>
            <w:tcBorders>
              <w:top w:val="nil"/>
              <w:left w:val="nil"/>
              <w:bottom w:val="single" w:sz="4" w:space="0" w:color="auto"/>
              <w:right w:val="single" w:sz="4" w:space="0" w:color="auto"/>
            </w:tcBorders>
            <w:shd w:val="clear" w:color="auto" w:fill="auto"/>
            <w:noWrap/>
            <w:vAlign w:val="center"/>
          </w:tcPr>
          <w:p w14:paraId="65691B4D"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0.46</w:t>
            </w:r>
          </w:p>
        </w:tc>
        <w:tc>
          <w:tcPr>
            <w:tcW w:w="328" w:type="pct"/>
            <w:tcBorders>
              <w:top w:val="nil"/>
              <w:left w:val="nil"/>
              <w:bottom w:val="single" w:sz="4" w:space="0" w:color="auto"/>
              <w:right w:val="single" w:sz="4" w:space="0" w:color="auto"/>
            </w:tcBorders>
            <w:shd w:val="clear" w:color="auto" w:fill="auto"/>
            <w:noWrap/>
            <w:vAlign w:val="center"/>
          </w:tcPr>
          <w:p w14:paraId="0C4934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13.65</w:t>
            </w:r>
          </w:p>
        </w:tc>
        <w:tc>
          <w:tcPr>
            <w:tcW w:w="329" w:type="pct"/>
            <w:tcBorders>
              <w:top w:val="nil"/>
              <w:left w:val="nil"/>
              <w:bottom w:val="single" w:sz="4" w:space="0" w:color="auto"/>
              <w:right w:val="single" w:sz="4" w:space="0" w:color="auto"/>
            </w:tcBorders>
            <w:shd w:val="clear" w:color="auto" w:fill="auto"/>
            <w:noWrap/>
            <w:vAlign w:val="center"/>
          </w:tcPr>
          <w:p w14:paraId="6F5D252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11.97</w:t>
            </w:r>
          </w:p>
        </w:tc>
        <w:tc>
          <w:tcPr>
            <w:tcW w:w="328" w:type="pct"/>
            <w:tcBorders>
              <w:top w:val="nil"/>
              <w:left w:val="nil"/>
              <w:bottom w:val="single" w:sz="4" w:space="0" w:color="auto"/>
              <w:right w:val="single" w:sz="4" w:space="0" w:color="auto"/>
            </w:tcBorders>
            <w:shd w:val="clear" w:color="auto" w:fill="auto"/>
            <w:noWrap/>
            <w:vAlign w:val="center"/>
          </w:tcPr>
          <w:p w14:paraId="6367A06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0.26</w:t>
            </w:r>
          </w:p>
        </w:tc>
        <w:tc>
          <w:tcPr>
            <w:tcW w:w="329" w:type="pct"/>
            <w:tcBorders>
              <w:top w:val="nil"/>
              <w:left w:val="nil"/>
              <w:bottom w:val="single" w:sz="4" w:space="0" w:color="auto"/>
              <w:right w:val="single" w:sz="4" w:space="0" w:color="auto"/>
            </w:tcBorders>
            <w:shd w:val="clear" w:color="auto" w:fill="auto"/>
            <w:noWrap/>
            <w:vAlign w:val="center"/>
          </w:tcPr>
          <w:p w14:paraId="1982BCF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8" w:type="pct"/>
            <w:tcBorders>
              <w:top w:val="nil"/>
              <w:left w:val="nil"/>
              <w:bottom w:val="single" w:sz="4" w:space="0" w:color="auto"/>
              <w:right w:val="single" w:sz="4" w:space="0" w:color="auto"/>
            </w:tcBorders>
            <w:shd w:val="clear" w:color="auto" w:fill="auto"/>
            <w:noWrap/>
            <w:vAlign w:val="center"/>
          </w:tcPr>
          <w:p w14:paraId="4798D04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0.25</w:t>
            </w:r>
          </w:p>
        </w:tc>
        <w:tc>
          <w:tcPr>
            <w:tcW w:w="327" w:type="pct"/>
            <w:tcBorders>
              <w:top w:val="nil"/>
              <w:left w:val="nil"/>
              <w:bottom w:val="single" w:sz="4" w:space="0" w:color="auto"/>
              <w:right w:val="single" w:sz="4" w:space="0" w:color="auto"/>
            </w:tcBorders>
            <w:shd w:val="clear" w:color="auto" w:fill="auto"/>
            <w:noWrap/>
            <w:vAlign w:val="center"/>
          </w:tcPr>
          <w:p w14:paraId="4C7B57F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r>
      <w:tr w:rsidR="00895342" w14:paraId="69D64F2B"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623B2E9B"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2</w:t>
            </w:r>
            <w:r>
              <w:rPr>
                <w:rFonts w:ascii="Arial" w:eastAsia="Times New Roman" w:hAnsi="Arial" w:cs="Arial"/>
                <w:color w:val="000000"/>
                <w:sz w:val="17"/>
                <w:szCs w:val="20"/>
              </w:rPr>
              <w:t xml:space="preserve"> : Groundnut - </w:t>
            </w:r>
            <w:proofErr w:type="spellStart"/>
            <w:r>
              <w:rPr>
                <w:rFonts w:ascii="Arial" w:eastAsia="Times New Roman" w:hAnsi="Arial" w:cs="Arial"/>
                <w:color w:val="000000"/>
                <w:sz w:val="17"/>
                <w:szCs w:val="20"/>
              </w:rPr>
              <w:t>blackgram</w:t>
            </w:r>
            <w:proofErr w:type="spellEnd"/>
          </w:p>
        </w:tc>
        <w:tc>
          <w:tcPr>
            <w:tcW w:w="356" w:type="pct"/>
            <w:tcBorders>
              <w:top w:val="nil"/>
              <w:left w:val="nil"/>
              <w:bottom w:val="single" w:sz="4" w:space="0" w:color="auto"/>
              <w:right w:val="single" w:sz="4" w:space="0" w:color="auto"/>
            </w:tcBorders>
            <w:shd w:val="clear" w:color="auto" w:fill="auto"/>
            <w:noWrap/>
            <w:vAlign w:val="center"/>
          </w:tcPr>
          <w:p w14:paraId="1377D8E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7.47</w:t>
            </w:r>
          </w:p>
        </w:tc>
        <w:tc>
          <w:tcPr>
            <w:tcW w:w="355" w:type="pct"/>
            <w:tcBorders>
              <w:top w:val="nil"/>
              <w:left w:val="nil"/>
              <w:bottom w:val="single" w:sz="4" w:space="0" w:color="auto"/>
              <w:right w:val="single" w:sz="4" w:space="0" w:color="auto"/>
            </w:tcBorders>
            <w:shd w:val="clear" w:color="auto" w:fill="auto"/>
            <w:noWrap/>
            <w:vAlign w:val="center"/>
          </w:tcPr>
          <w:p w14:paraId="77C92BF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7.38</w:t>
            </w:r>
          </w:p>
        </w:tc>
        <w:tc>
          <w:tcPr>
            <w:tcW w:w="322" w:type="pct"/>
            <w:tcBorders>
              <w:top w:val="nil"/>
              <w:left w:val="nil"/>
              <w:bottom w:val="single" w:sz="4" w:space="0" w:color="auto"/>
              <w:right w:val="single" w:sz="4" w:space="0" w:color="auto"/>
            </w:tcBorders>
            <w:shd w:val="clear" w:color="auto" w:fill="auto"/>
            <w:noWrap/>
            <w:vAlign w:val="center"/>
          </w:tcPr>
          <w:p w14:paraId="7BA9CF2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0.13</w:t>
            </w:r>
          </w:p>
        </w:tc>
        <w:tc>
          <w:tcPr>
            <w:tcW w:w="355" w:type="pct"/>
            <w:tcBorders>
              <w:top w:val="nil"/>
              <w:left w:val="nil"/>
              <w:bottom w:val="single" w:sz="4" w:space="0" w:color="auto"/>
              <w:right w:val="single" w:sz="4" w:space="0" w:color="auto"/>
            </w:tcBorders>
            <w:shd w:val="clear" w:color="auto" w:fill="auto"/>
            <w:noWrap/>
            <w:vAlign w:val="center"/>
          </w:tcPr>
          <w:p w14:paraId="3C7D967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0.15</w:t>
            </w:r>
          </w:p>
        </w:tc>
        <w:tc>
          <w:tcPr>
            <w:tcW w:w="322" w:type="pct"/>
            <w:tcBorders>
              <w:top w:val="nil"/>
              <w:left w:val="nil"/>
              <w:bottom w:val="single" w:sz="4" w:space="0" w:color="auto"/>
              <w:right w:val="single" w:sz="4" w:space="0" w:color="auto"/>
            </w:tcBorders>
            <w:shd w:val="clear" w:color="auto" w:fill="auto"/>
            <w:noWrap/>
            <w:vAlign w:val="center"/>
          </w:tcPr>
          <w:p w14:paraId="39011D3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0.50</w:t>
            </w:r>
          </w:p>
        </w:tc>
        <w:tc>
          <w:tcPr>
            <w:tcW w:w="323" w:type="pct"/>
            <w:tcBorders>
              <w:top w:val="nil"/>
              <w:left w:val="nil"/>
              <w:bottom w:val="single" w:sz="4" w:space="0" w:color="auto"/>
              <w:right w:val="single" w:sz="4" w:space="0" w:color="auto"/>
            </w:tcBorders>
            <w:shd w:val="clear" w:color="auto" w:fill="auto"/>
            <w:noWrap/>
            <w:vAlign w:val="center"/>
          </w:tcPr>
          <w:p w14:paraId="7ACB326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0.45</w:t>
            </w:r>
          </w:p>
        </w:tc>
        <w:tc>
          <w:tcPr>
            <w:tcW w:w="328" w:type="pct"/>
            <w:tcBorders>
              <w:top w:val="nil"/>
              <w:left w:val="nil"/>
              <w:bottom w:val="single" w:sz="4" w:space="0" w:color="auto"/>
              <w:right w:val="single" w:sz="4" w:space="0" w:color="auto"/>
            </w:tcBorders>
            <w:shd w:val="clear" w:color="auto" w:fill="auto"/>
            <w:noWrap/>
            <w:vAlign w:val="center"/>
          </w:tcPr>
          <w:p w14:paraId="60598EA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12.63</w:t>
            </w:r>
          </w:p>
        </w:tc>
        <w:tc>
          <w:tcPr>
            <w:tcW w:w="329" w:type="pct"/>
            <w:tcBorders>
              <w:top w:val="nil"/>
              <w:left w:val="nil"/>
              <w:bottom w:val="single" w:sz="4" w:space="0" w:color="auto"/>
              <w:right w:val="single" w:sz="4" w:space="0" w:color="auto"/>
            </w:tcBorders>
            <w:shd w:val="clear" w:color="auto" w:fill="auto"/>
            <w:noWrap/>
            <w:vAlign w:val="center"/>
          </w:tcPr>
          <w:p w14:paraId="66C38D63"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10.76</w:t>
            </w:r>
          </w:p>
        </w:tc>
        <w:tc>
          <w:tcPr>
            <w:tcW w:w="328" w:type="pct"/>
            <w:tcBorders>
              <w:top w:val="nil"/>
              <w:left w:val="nil"/>
              <w:bottom w:val="single" w:sz="4" w:space="0" w:color="auto"/>
              <w:right w:val="single" w:sz="4" w:space="0" w:color="auto"/>
            </w:tcBorders>
            <w:shd w:val="clear" w:color="auto" w:fill="auto"/>
            <w:noWrap/>
            <w:vAlign w:val="center"/>
          </w:tcPr>
          <w:p w14:paraId="7714098B"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9" w:type="pct"/>
            <w:tcBorders>
              <w:top w:val="nil"/>
              <w:left w:val="nil"/>
              <w:bottom w:val="single" w:sz="4" w:space="0" w:color="auto"/>
              <w:right w:val="single" w:sz="4" w:space="0" w:color="auto"/>
            </w:tcBorders>
            <w:shd w:val="clear" w:color="auto" w:fill="auto"/>
            <w:noWrap/>
            <w:vAlign w:val="center"/>
          </w:tcPr>
          <w:p w14:paraId="56BF1FF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8" w:type="pct"/>
            <w:tcBorders>
              <w:top w:val="nil"/>
              <w:left w:val="nil"/>
              <w:bottom w:val="single" w:sz="4" w:space="0" w:color="auto"/>
              <w:right w:val="single" w:sz="4" w:space="0" w:color="auto"/>
            </w:tcBorders>
            <w:shd w:val="clear" w:color="auto" w:fill="auto"/>
            <w:noWrap/>
            <w:vAlign w:val="center"/>
          </w:tcPr>
          <w:p w14:paraId="7D3B2EE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0.24</w:t>
            </w:r>
          </w:p>
        </w:tc>
        <w:tc>
          <w:tcPr>
            <w:tcW w:w="327" w:type="pct"/>
            <w:tcBorders>
              <w:top w:val="nil"/>
              <w:left w:val="nil"/>
              <w:bottom w:val="single" w:sz="4" w:space="0" w:color="auto"/>
              <w:right w:val="single" w:sz="4" w:space="0" w:color="auto"/>
            </w:tcBorders>
            <w:shd w:val="clear" w:color="auto" w:fill="auto"/>
            <w:noWrap/>
            <w:vAlign w:val="center"/>
          </w:tcPr>
          <w:p w14:paraId="6283801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r>
      <w:tr w:rsidR="00895342" w14:paraId="680951FE"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DA809C6"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3</w:t>
            </w:r>
            <w:r>
              <w:rPr>
                <w:rFonts w:ascii="Arial" w:eastAsia="Times New Roman" w:hAnsi="Arial" w:cs="Arial"/>
                <w:color w:val="000000"/>
                <w:sz w:val="17"/>
                <w:szCs w:val="20"/>
              </w:rPr>
              <w:t xml:space="preserve"> : Groundnut - finger millet</w:t>
            </w:r>
          </w:p>
        </w:tc>
        <w:tc>
          <w:tcPr>
            <w:tcW w:w="356" w:type="pct"/>
            <w:tcBorders>
              <w:top w:val="nil"/>
              <w:left w:val="nil"/>
              <w:bottom w:val="single" w:sz="4" w:space="0" w:color="auto"/>
              <w:right w:val="single" w:sz="4" w:space="0" w:color="auto"/>
            </w:tcBorders>
            <w:shd w:val="clear" w:color="auto" w:fill="auto"/>
            <w:noWrap/>
            <w:vAlign w:val="center"/>
          </w:tcPr>
          <w:p w14:paraId="128BD3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7.34</w:t>
            </w:r>
          </w:p>
        </w:tc>
        <w:tc>
          <w:tcPr>
            <w:tcW w:w="355" w:type="pct"/>
            <w:tcBorders>
              <w:top w:val="nil"/>
              <w:left w:val="nil"/>
              <w:bottom w:val="single" w:sz="4" w:space="0" w:color="auto"/>
              <w:right w:val="single" w:sz="4" w:space="0" w:color="auto"/>
            </w:tcBorders>
            <w:shd w:val="clear" w:color="auto" w:fill="auto"/>
            <w:noWrap/>
            <w:vAlign w:val="center"/>
          </w:tcPr>
          <w:p w14:paraId="192AEB0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7.28</w:t>
            </w:r>
          </w:p>
        </w:tc>
        <w:tc>
          <w:tcPr>
            <w:tcW w:w="322" w:type="pct"/>
            <w:tcBorders>
              <w:top w:val="nil"/>
              <w:left w:val="nil"/>
              <w:bottom w:val="single" w:sz="4" w:space="0" w:color="auto"/>
              <w:right w:val="single" w:sz="4" w:space="0" w:color="auto"/>
            </w:tcBorders>
            <w:shd w:val="clear" w:color="auto" w:fill="auto"/>
            <w:noWrap/>
            <w:vAlign w:val="center"/>
          </w:tcPr>
          <w:p w14:paraId="1E86B28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307B8FC1"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F46A71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0.47</w:t>
            </w:r>
          </w:p>
        </w:tc>
        <w:tc>
          <w:tcPr>
            <w:tcW w:w="323" w:type="pct"/>
            <w:tcBorders>
              <w:top w:val="nil"/>
              <w:left w:val="nil"/>
              <w:bottom w:val="single" w:sz="4" w:space="0" w:color="auto"/>
              <w:right w:val="single" w:sz="4" w:space="0" w:color="auto"/>
            </w:tcBorders>
            <w:shd w:val="clear" w:color="auto" w:fill="auto"/>
            <w:noWrap/>
            <w:vAlign w:val="center"/>
          </w:tcPr>
          <w:p w14:paraId="24861918"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0.42</w:t>
            </w:r>
          </w:p>
        </w:tc>
        <w:tc>
          <w:tcPr>
            <w:tcW w:w="328" w:type="pct"/>
            <w:tcBorders>
              <w:top w:val="nil"/>
              <w:left w:val="nil"/>
              <w:bottom w:val="single" w:sz="4" w:space="0" w:color="auto"/>
              <w:right w:val="single" w:sz="4" w:space="0" w:color="auto"/>
            </w:tcBorders>
            <w:shd w:val="clear" w:color="auto" w:fill="auto"/>
            <w:noWrap/>
            <w:vAlign w:val="center"/>
          </w:tcPr>
          <w:p w14:paraId="477D767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11.80</w:t>
            </w:r>
          </w:p>
        </w:tc>
        <w:tc>
          <w:tcPr>
            <w:tcW w:w="329" w:type="pct"/>
            <w:tcBorders>
              <w:top w:val="nil"/>
              <w:left w:val="nil"/>
              <w:bottom w:val="single" w:sz="4" w:space="0" w:color="auto"/>
              <w:right w:val="single" w:sz="4" w:space="0" w:color="auto"/>
            </w:tcBorders>
            <w:shd w:val="clear" w:color="auto" w:fill="auto"/>
            <w:noWrap/>
            <w:vAlign w:val="center"/>
          </w:tcPr>
          <w:p w14:paraId="3336E81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10.04</w:t>
            </w:r>
          </w:p>
        </w:tc>
        <w:tc>
          <w:tcPr>
            <w:tcW w:w="328" w:type="pct"/>
            <w:tcBorders>
              <w:top w:val="nil"/>
              <w:left w:val="nil"/>
              <w:bottom w:val="single" w:sz="4" w:space="0" w:color="auto"/>
              <w:right w:val="single" w:sz="4" w:space="0" w:color="auto"/>
            </w:tcBorders>
            <w:shd w:val="clear" w:color="auto" w:fill="auto"/>
            <w:noWrap/>
            <w:vAlign w:val="center"/>
          </w:tcPr>
          <w:p w14:paraId="5C73401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9" w:type="pct"/>
            <w:tcBorders>
              <w:top w:val="nil"/>
              <w:left w:val="nil"/>
              <w:bottom w:val="single" w:sz="4" w:space="0" w:color="auto"/>
              <w:right w:val="single" w:sz="4" w:space="0" w:color="auto"/>
            </w:tcBorders>
            <w:shd w:val="clear" w:color="auto" w:fill="auto"/>
            <w:noWrap/>
            <w:vAlign w:val="center"/>
          </w:tcPr>
          <w:p w14:paraId="4C6E2B2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0.20</w:t>
            </w:r>
          </w:p>
        </w:tc>
        <w:tc>
          <w:tcPr>
            <w:tcW w:w="328" w:type="pct"/>
            <w:tcBorders>
              <w:top w:val="nil"/>
              <w:left w:val="nil"/>
              <w:bottom w:val="single" w:sz="4" w:space="0" w:color="auto"/>
              <w:right w:val="single" w:sz="4" w:space="0" w:color="auto"/>
            </w:tcBorders>
            <w:shd w:val="clear" w:color="auto" w:fill="auto"/>
            <w:noWrap/>
            <w:vAlign w:val="center"/>
          </w:tcPr>
          <w:p w14:paraId="397AB35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7" w:type="pct"/>
            <w:tcBorders>
              <w:top w:val="nil"/>
              <w:left w:val="nil"/>
              <w:bottom w:val="single" w:sz="4" w:space="0" w:color="auto"/>
              <w:right w:val="single" w:sz="4" w:space="0" w:color="auto"/>
            </w:tcBorders>
            <w:shd w:val="clear" w:color="auto" w:fill="auto"/>
            <w:noWrap/>
            <w:vAlign w:val="center"/>
          </w:tcPr>
          <w:p w14:paraId="333DE1B9"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0.19</w:t>
            </w:r>
          </w:p>
        </w:tc>
      </w:tr>
      <w:tr w:rsidR="00895342" w14:paraId="42BC657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89B6AAB"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S</w:t>
            </w:r>
            <w:r>
              <w:rPr>
                <w:rFonts w:ascii="Arial" w:eastAsia="Times New Roman" w:hAnsi="Arial" w:cs="Arial"/>
                <w:color w:val="000000"/>
                <w:sz w:val="17"/>
                <w:szCs w:val="20"/>
                <w:vertAlign w:val="subscript"/>
              </w:rPr>
              <w:t>4</w:t>
            </w:r>
            <w:r>
              <w:rPr>
                <w:rFonts w:ascii="Arial" w:eastAsia="Times New Roman" w:hAnsi="Arial" w:cs="Arial"/>
                <w:color w:val="000000"/>
                <w:sz w:val="17"/>
                <w:szCs w:val="20"/>
              </w:rPr>
              <w:t xml:space="preserve"> : Groundnut - foxtail millet</w:t>
            </w:r>
          </w:p>
        </w:tc>
        <w:tc>
          <w:tcPr>
            <w:tcW w:w="356" w:type="pct"/>
            <w:tcBorders>
              <w:top w:val="nil"/>
              <w:left w:val="nil"/>
              <w:bottom w:val="single" w:sz="4" w:space="0" w:color="auto"/>
              <w:right w:val="single" w:sz="4" w:space="0" w:color="auto"/>
            </w:tcBorders>
            <w:shd w:val="clear" w:color="auto" w:fill="auto"/>
            <w:noWrap/>
            <w:vAlign w:val="center"/>
          </w:tcPr>
          <w:p w14:paraId="0D580375"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7.37</w:t>
            </w:r>
          </w:p>
        </w:tc>
        <w:tc>
          <w:tcPr>
            <w:tcW w:w="355" w:type="pct"/>
            <w:tcBorders>
              <w:top w:val="nil"/>
              <w:left w:val="nil"/>
              <w:bottom w:val="single" w:sz="4" w:space="0" w:color="auto"/>
              <w:right w:val="single" w:sz="4" w:space="0" w:color="auto"/>
            </w:tcBorders>
            <w:shd w:val="clear" w:color="auto" w:fill="auto"/>
            <w:noWrap/>
            <w:vAlign w:val="center"/>
          </w:tcPr>
          <w:p w14:paraId="0489511C"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7.30</w:t>
            </w:r>
          </w:p>
        </w:tc>
        <w:tc>
          <w:tcPr>
            <w:tcW w:w="322" w:type="pct"/>
            <w:tcBorders>
              <w:top w:val="nil"/>
              <w:left w:val="nil"/>
              <w:bottom w:val="single" w:sz="4" w:space="0" w:color="auto"/>
              <w:right w:val="single" w:sz="4" w:space="0" w:color="auto"/>
            </w:tcBorders>
            <w:shd w:val="clear" w:color="auto" w:fill="auto"/>
            <w:noWrap/>
            <w:vAlign w:val="center"/>
          </w:tcPr>
          <w:p w14:paraId="22F95C1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0.14</w:t>
            </w:r>
          </w:p>
        </w:tc>
        <w:tc>
          <w:tcPr>
            <w:tcW w:w="355" w:type="pct"/>
            <w:tcBorders>
              <w:top w:val="nil"/>
              <w:left w:val="nil"/>
              <w:bottom w:val="single" w:sz="4" w:space="0" w:color="auto"/>
              <w:right w:val="single" w:sz="4" w:space="0" w:color="auto"/>
            </w:tcBorders>
            <w:shd w:val="clear" w:color="auto" w:fill="auto"/>
            <w:noWrap/>
            <w:vAlign w:val="center"/>
          </w:tcPr>
          <w:p w14:paraId="534EABAE"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0.16</w:t>
            </w:r>
          </w:p>
        </w:tc>
        <w:tc>
          <w:tcPr>
            <w:tcW w:w="322" w:type="pct"/>
            <w:tcBorders>
              <w:top w:val="nil"/>
              <w:left w:val="nil"/>
              <w:bottom w:val="single" w:sz="4" w:space="0" w:color="auto"/>
              <w:right w:val="single" w:sz="4" w:space="0" w:color="auto"/>
            </w:tcBorders>
            <w:shd w:val="clear" w:color="auto" w:fill="auto"/>
            <w:noWrap/>
            <w:vAlign w:val="center"/>
          </w:tcPr>
          <w:p w14:paraId="0C1D1D7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0.49</w:t>
            </w:r>
          </w:p>
        </w:tc>
        <w:tc>
          <w:tcPr>
            <w:tcW w:w="323" w:type="pct"/>
            <w:tcBorders>
              <w:top w:val="nil"/>
              <w:left w:val="nil"/>
              <w:bottom w:val="single" w:sz="4" w:space="0" w:color="auto"/>
              <w:right w:val="single" w:sz="4" w:space="0" w:color="auto"/>
            </w:tcBorders>
            <w:shd w:val="clear" w:color="auto" w:fill="auto"/>
            <w:noWrap/>
            <w:vAlign w:val="center"/>
          </w:tcPr>
          <w:p w14:paraId="53FF0264"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790B92B6"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12.35</w:t>
            </w:r>
          </w:p>
        </w:tc>
        <w:tc>
          <w:tcPr>
            <w:tcW w:w="329" w:type="pct"/>
            <w:tcBorders>
              <w:top w:val="nil"/>
              <w:left w:val="nil"/>
              <w:bottom w:val="single" w:sz="4" w:space="0" w:color="auto"/>
              <w:right w:val="single" w:sz="4" w:space="0" w:color="auto"/>
            </w:tcBorders>
            <w:shd w:val="clear" w:color="auto" w:fill="auto"/>
            <w:noWrap/>
            <w:vAlign w:val="center"/>
          </w:tcPr>
          <w:p w14:paraId="4C084EE5"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10.49</w:t>
            </w:r>
          </w:p>
        </w:tc>
        <w:tc>
          <w:tcPr>
            <w:tcW w:w="328" w:type="pct"/>
            <w:tcBorders>
              <w:top w:val="nil"/>
              <w:left w:val="nil"/>
              <w:bottom w:val="single" w:sz="4" w:space="0" w:color="auto"/>
              <w:right w:val="single" w:sz="4" w:space="0" w:color="auto"/>
            </w:tcBorders>
            <w:shd w:val="clear" w:color="auto" w:fill="auto"/>
            <w:noWrap/>
            <w:vAlign w:val="center"/>
          </w:tcPr>
          <w:p w14:paraId="75C78DEA"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0.23</w:t>
            </w:r>
          </w:p>
        </w:tc>
        <w:tc>
          <w:tcPr>
            <w:tcW w:w="329" w:type="pct"/>
            <w:tcBorders>
              <w:top w:val="nil"/>
              <w:left w:val="nil"/>
              <w:bottom w:val="single" w:sz="4" w:space="0" w:color="auto"/>
              <w:right w:val="single" w:sz="4" w:space="0" w:color="auto"/>
            </w:tcBorders>
            <w:shd w:val="clear" w:color="auto" w:fill="auto"/>
            <w:noWrap/>
            <w:vAlign w:val="center"/>
          </w:tcPr>
          <w:p w14:paraId="039C4B57"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c>
          <w:tcPr>
            <w:tcW w:w="328" w:type="pct"/>
            <w:tcBorders>
              <w:top w:val="nil"/>
              <w:left w:val="nil"/>
              <w:bottom w:val="single" w:sz="4" w:space="0" w:color="auto"/>
              <w:right w:val="single" w:sz="4" w:space="0" w:color="auto"/>
            </w:tcBorders>
            <w:shd w:val="clear" w:color="auto" w:fill="auto"/>
            <w:noWrap/>
            <w:vAlign w:val="center"/>
          </w:tcPr>
          <w:p w14:paraId="1E02E980"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0.22</w:t>
            </w:r>
          </w:p>
        </w:tc>
        <w:tc>
          <w:tcPr>
            <w:tcW w:w="327" w:type="pct"/>
            <w:tcBorders>
              <w:top w:val="nil"/>
              <w:left w:val="nil"/>
              <w:bottom w:val="single" w:sz="4" w:space="0" w:color="auto"/>
              <w:right w:val="single" w:sz="4" w:space="0" w:color="auto"/>
            </w:tcBorders>
            <w:shd w:val="clear" w:color="auto" w:fill="auto"/>
            <w:noWrap/>
            <w:vAlign w:val="center"/>
          </w:tcPr>
          <w:p w14:paraId="70C4A35F" w14:textId="77777777" w:rsidR="00895342" w:rsidRDefault="00067AD2">
            <w:pPr>
              <w:spacing w:before="40" w:after="40" w:line="240" w:lineRule="auto"/>
              <w:jc w:val="center"/>
              <w:rPr>
                <w:rFonts w:ascii="Arial" w:eastAsia="Times New Roman" w:hAnsi="Arial" w:cs="Arial"/>
                <w:color w:val="000000"/>
                <w:sz w:val="17"/>
                <w:szCs w:val="20"/>
              </w:rPr>
            </w:pPr>
            <w:r>
              <w:rPr>
                <w:rFonts w:ascii="Arial" w:eastAsia="Times New Roman" w:hAnsi="Arial" w:cs="Arial"/>
                <w:color w:val="000000"/>
                <w:sz w:val="17"/>
                <w:szCs w:val="20"/>
              </w:rPr>
              <w:t>0.21</w:t>
            </w:r>
          </w:p>
        </w:tc>
      </w:tr>
      <w:tr w:rsidR="00895342" w14:paraId="1964CD35"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08DDDCC"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6D82CB3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55" w:type="pct"/>
            <w:tcBorders>
              <w:top w:val="nil"/>
              <w:left w:val="nil"/>
              <w:bottom w:val="single" w:sz="4" w:space="0" w:color="auto"/>
              <w:right w:val="single" w:sz="4" w:space="0" w:color="auto"/>
            </w:tcBorders>
            <w:shd w:val="clear" w:color="auto" w:fill="auto"/>
            <w:noWrap/>
            <w:vAlign w:val="center"/>
          </w:tcPr>
          <w:p w14:paraId="4DBA598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0.04</w:t>
            </w:r>
          </w:p>
        </w:tc>
        <w:tc>
          <w:tcPr>
            <w:tcW w:w="322" w:type="pct"/>
            <w:tcBorders>
              <w:top w:val="nil"/>
              <w:left w:val="nil"/>
              <w:bottom w:val="single" w:sz="4" w:space="0" w:color="auto"/>
              <w:right w:val="single" w:sz="4" w:space="0" w:color="auto"/>
            </w:tcBorders>
            <w:shd w:val="clear" w:color="auto" w:fill="auto"/>
            <w:noWrap/>
            <w:vAlign w:val="center"/>
          </w:tcPr>
          <w:p w14:paraId="0109E04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55" w:type="pct"/>
            <w:tcBorders>
              <w:top w:val="nil"/>
              <w:left w:val="nil"/>
              <w:bottom w:val="single" w:sz="4" w:space="0" w:color="auto"/>
              <w:right w:val="single" w:sz="4" w:space="0" w:color="auto"/>
            </w:tcBorders>
            <w:shd w:val="clear" w:color="auto" w:fill="auto"/>
            <w:noWrap/>
            <w:vAlign w:val="center"/>
          </w:tcPr>
          <w:p w14:paraId="72ED887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0.004</w:t>
            </w:r>
          </w:p>
        </w:tc>
        <w:tc>
          <w:tcPr>
            <w:tcW w:w="322" w:type="pct"/>
            <w:tcBorders>
              <w:top w:val="nil"/>
              <w:left w:val="nil"/>
              <w:bottom w:val="single" w:sz="4" w:space="0" w:color="auto"/>
              <w:right w:val="single" w:sz="4" w:space="0" w:color="auto"/>
            </w:tcBorders>
            <w:shd w:val="clear" w:color="auto" w:fill="auto"/>
            <w:noWrap/>
            <w:vAlign w:val="center"/>
          </w:tcPr>
          <w:p w14:paraId="1D98149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3" w:type="pct"/>
            <w:tcBorders>
              <w:top w:val="nil"/>
              <w:left w:val="nil"/>
              <w:bottom w:val="single" w:sz="4" w:space="0" w:color="auto"/>
              <w:right w:val="single" w:sz="4" w:space="0" w:color="auto"/>
            </w:tcBorders>
            <w:shd w:val="clear" w:color="auto" w:fill="auto"/>
            <w:noWrap/>
            <w:vAlign w:val="center"/>
          </w:tcPr>
          <w:p w14:paraId="6E59E8F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0A4C752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0.42</w:t>
            </w:r>
          </w:p>
        </w:tc>
        <w:tc>
          <w:tcPr>
            <w:tcW w:w="329" w:type="pct"/>
            <w:tcBorders>
              <w:top w:val="nil"/>
              <w:left w:val="nil"/>
              <w:bottom w:val="single" w:sz="4" w:space="0" w:color="auto"/>
              <w:right w:val="single" w:sz="4" w:space="0" w:color="auto"/>
            </w:tcBorders>
            <w:shd w:val="clear" w:color="auto" w:fill="auto"/>
            <w:noWrap/>
            <w:vAlign w:val="center"/>
          </w:tcPr>
          <w:p w14:paraId="3238009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0.44</w:t>
            </w:r>
          </w:p>
        </w:tc>
        <w:tc>
          <w:tcPr>
            <w:tcW w:w="328" w:type="pct"/>
            <w:tcBorders>
              <w:top w:val="nil"/>
              <w:left w:val="nil"/>
              <w:bottom w:val="single" w:sz="4" w:space="0" w:color="auto"/>
              <w:right w:val="single" w:sz="4" w:space="0" w:color="auto"/>
            </w:tcBorders>
            <w:shd w:val="clear" w:color="auto" w:fill="auto"/>
            <w:noWrap/>
            <w:vAlign w:val="center"/>
          </w:tcPr>
          <w:p w14:paraId="297C42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1F11176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6DBC770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722F3DD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0.009</w:t>
            </w:r>
          </w:p>
        </w:tc>
      </w:tr>
      <w:tr w:rsidR="00895342" w14:paraId="77544562"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B212B37"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5283C95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4CF680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43D64CC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0F4B3FC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54DADA49"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AF4FB4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5359E8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B48D2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73C5A68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009392A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86D7D9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5B76CAF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895342" w14:paraId="6F391FA8"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6F6A587"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Interaction</w:t>
            </w:r>
          </w:p>
        </w:tc>
      </w:tr>
      <w:tr w:rsidR="00895342" w14:paraId="3F312FA7"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7D80545B"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Sub at same level main (S x M)</w:t>
            </w:r>
          </w:p>
        </w:tc>
      </w:tr>
      <w:tr w:rsidR="00895342" w14:paraId="305E25B5"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5CFDF89A"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16370B1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55" w:type="pct"/>
            <w:tcBorders>
              <w:top w:val="nil"/>
              <w:left w:val="nil"/>
              <w:bottom w:val="single" w:sz="4" w:space="0" w:color="auto"/>
              <w:right w:val="single" w:sz="4" w:space="0" w:color="auto"/>
            </w:tcBorders>
            <w:shd w:val="clear" w:color="auto" w:fill="auto"/>
            <w:noWrap/>
            <w:vAlign w:val="center"/>
          </w:tcPr>
          <w:p w14:paraId="58B1D88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39CBDAE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5C9A9EE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22" w:type="pct"/>
            <w:tcBorders>
              <w:top w:val="nil"/>
              <w:left w:val="nil"/>
              <w:bottom w:val="single" w:sz="4" w:space="0" w:color="auto"/>
              <w:right w:val="single" w:sz="4" w:space="0" w:color="auto"/>
            </w:tcBorders>
            <w:shd w:val="clear" w:color="auto" w:fill="auto"/>
            <w:noWrap/>
            <w:vAlign w:val="center"/>
          </w:tcPr>
          <w:p w14:paraId="32CFA1F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62867A71"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5C1433D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0E15A37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0.63</w:t>
            </w:r>
          </w:p>
        </w:tc>
        <w:tc>
          <w:tcPr>
            <w:tcW w:w="328" w:type="pct"/>
            <w:tcBorders>
              <w:top w:val="nil"/>
              <w:left w:val="nil"/>
              <w:bottom w:val="single" w:sz="4" w:space="0" w:color="auto"/>
              <w:right w:val="single" w:sz="4" w:space="0" w:color="auto"/>
            </w:tcBorders>
            <w:shd w:val="clear" w:color="auto" w:fill="auto"/>
            <w:noWrap/>
            <w:vAlign w:val="center"/>
          </w:tcPr>
          <w:p w14:paraId="6F2BBB7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7BC4359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314824C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37B831E0"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895342" w14:paraId="5BDF28BF"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26D96799"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7D68200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1EA2EA9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6B0E88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798B5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2887395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66B03B1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11D8A65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F71690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7CD66E0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49480FDC"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6C95349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330EDA7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r w:rsidR="00895342" w14:paraId="5B9302F9" w14:textId="77777777">
        <w:trPr>
          <w:trHeight w:val="20"/>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1B2AFF5B" w14:textId="77777777" w:rsidR="00895342" w:rsidRDefault="00067AD2">
            <w:pPr>
              <w:spacing w:before="40" w:after="40" w:line="240" w:lineRule="auto"/>
              <w:jc w:val="both"/>
              <w:rPr>
                <w:rFonts w:ascii="Arial" w:eastAsia="Times New Roman" w:hAnsi="Arial" w:cs="Arial"/>
                <w:b/>
                <w:bCs/>
                <w:color w:val="000000"/>
                <w:sz w:val="17"/>
                <w:szCs w:val="20"/>
              </w:rPr>
            </w:pPr>
            <w:r>
              <w:rPr>
                <w:rFonts w:ascii="Arial" w:eastAsia="Times New Roman" w:hAnsi="Arial" w:cs="Arial"/>
                <w:b/>
                <w:bCs/>
                <w:color w:val="000000"/>
                <w:sz w:val="17"/>
                <w:szCs w:val="20"/>
              </w:rPr>
              <w:t>Main at same or different level sub (M x S)</w:t>
            </w:r>
          </w:p>
        </w:tc>
      </w:tr>
      <w:tr w:rsidR="00895342" w14:paraId="08732F0A"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31E5FE26" w14:textId="77777777" w:rsidR="00895342" w:rsidRDefault="00067AD2">
            <w:pPr>
              <w:spacing w:before="40" w:after="40" w:line="240" w:lineRule="auto"/>
              <w:jc w:val="both"/>
              <w:rPr>
                <w:rFonts w:ascii="Arial" w:eastAsia="Times New Roman" w:hAnsi="Arial" w:cs="Arial"/>
                <w:color w:val="000000"/>
                <w:sz w:val="17"/>
                <w:szCs w:val="20"/>
              </w:rPr>
            </w:pPr>
            <w:proofErr w:type="spellStart"/>
            <w:r>
              <w:rPr>
                <w:rFonts w:ascii="Arial" w:eastAsia="Times New Roman" w:hAnsi="Arial" w:cs="Arial"/>
                <w:color w:val="000000"/>
                <w:sz w:val="17"/>
                <w:szCs w:val="20"/>
              </w:rPr>
              <w:t>SEm</w:t>
            </w:r>
            <w:proofErr w:type="spellEnd"/>
            <w:r>
              <w:rPr>
                <w:rFonts w:ascii="Arial" w:eastAsia="Times New Roman" w:hAnsi="Arial" w:cs="Arial"/>
                <w:color w:val="000000"/>
                <w:sz w:val="17"/>
                <w:szCs w:val="20"/>
              </w:rPr>
              <w:t>±</w:t>
            </w:r>
          </w:p>
        </w:tc>
        <w:tc>
          <w:tcPr>
            <w:tcW w:w="356" w:type="pct"/>
            <w:tcBorders>
              <w:top w:val="nil"/>
              <w:left w:val="nil"/>
              <w:bottom w:val="single" w:sz="4" w:space="0" w:color="auto"/>
              <w:right w:val="single" w:sz="4" w:space="0" w:color="auto"/>
            </w:tcBorders>
            <w:shd w:val="clear" w:color="auto" w:fill="auto"/>
            <w:noWrap/>
            <w:vAlign w:val="center"/>
          </w:tcPr>
          <w:p w14:paraId="5F53BCAA"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0.06</w:t>
            </w:r>
          </w:p>
        </w:tc>
        <w:tc>
          <w:tcPr>
            <w:tcW w:w="355" w:type="pct"/>
            <w:tcBorders>
              <w:top w:val="nil"/>
              <w:left w:val="nil"/>
              <w:bottom w:val="single" w:sz="4" w:space="0" w:color="auto"/>
              <w:right w:val="single" w:sz="4" w:space="0" w:color="auto"/>
            </w:tcBorders>
            <w:shd w:val="clear" w:color="auto" w:fill="auto"/>
            <w:noWrap/>
            <w:vAlign w:val="center"/>
          </w:tcPr>
          <w:p w14:paraId="2A799CD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0.05</w:t>
            </w:r>
          </w:p>
        </w:tc>
        <w:tc>
          <w:tcPr>
            <w:tcW w:w="322" w:type="pct"/>
            <w:tcBorders>
              <w:top w:val="nil"/>
              <w:left w:val="nil"/>
              <w:bottom w:val="single" w:sz="4" w:space="0" w:color="auto"/>
              <w:right w:val="single" w:sz="4" w:space="0" w:color="auto"/>
            </w:tcBorders>
            <w:shd w:val="clear" w:color="auto" w:fill="auto"/>
            <w:noWrap/>
            <w:vAlign w:val="center"/>
          </w:tcPr>
          <w:p w14:paraId="1682270B"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0.005</w:t>
            </w:r>
          </w:p>
        </w:tc>
        <w:tc>
          <w:tcPr>
            <w:tcW w:w="355" w:type="pct"/>
            <w:tcBorders>
              <w:top w:val="nil"/>
              <w:left w:val="nil"/>
              <w:bottom w:val="single" w:sz="4" w:space="0" w:color="auto"/>
              <w:right w:val="single" w:sz="4" w:space="0" w:color="auto"/>
            </w:tcBorders>
            <w:shd w:val="clear" w:color="auto" w:fill="auto"/>
            <w:noWrap/>
            <w:vAlign w:val="center"/>
          </w:tcPr>
          <w:p w14:paraId="1A20830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0.006</w:t>
            </w:r>
          </w:p>
        </w:tc>
        <w:tc>
          <w:tcPr>
            <w:tcW w:w="322" w:type="pct"/>
            <w:tcBorders>
              <w:top w:val="nil"/>
              <w:left w:val="nil"/>
              <w:bottom w:val="single" w:sz="4" w:space="0" w:color="auto"/>
              <w:right w:val="single" w:sz="4" w:space="0" w:color="auto"/>
            </w:tcBorders>
            <w:shd w:val="clear" w:color="auto" w:fill="auto"/>
            <w:noWrap/>
            <w:vAlign w:val="center"/>
          </w:tcPr>
          <w:p w14:paraId="6C504A15"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3" w:type="pct"/>
            <w:tcBorders>
              <w:top w:val="nil"/>
              <w:left w:val="nil"/>
              <w:bottom w:val="single" w:sz="4" w:space="0" w:color="auto"/>
              <w:right w:val="single" w:sz="4" w:space="0" w:color="auto"/>
            </w:tcBorders>
            <w:shd w:val="clear" w:color="auto" w:fill="auto"/>
            <w:noWrap/>
            <w:vAlign w:val="center"/>
          </w:tcPr>
          <w:p w14:paraId="5F3708F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0.02</w:t>
            </w:r>
          </w:p>
        </w:tc>
        <w:tc>
          <w:tcPr>
            <w:tcW w:w="328" w:type="pct"/>
            <w:tcBorders>
              <w:top w:val="nil"/>
              <w:left w:val="nil"/>
              <w:bottom w:val="single" w:sz="4" w:space="0" w:color="auto"/>
              <w:right w:val="single" w:sz="4" w:space="0" w:color="auto"/>
            </w:tcBorders>
            <w:shd w:val="clear" w:color="auto" w:fill="auto"/>
            <w:noWrap/>
            <w:vAlign w:val="center"/>
          </w:tcPr>
          <w:p w14:paraId="5D5F6642"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9" w:type="pct"/>
            <w:tcBorders>
              <w:top w:val="nil"/>
              <w:left w:val="nil"/>
              <w:bottom w:val="single" w:sz="4" w:space="0" w:color="auto"/>
              <w:right w:val="single" w:sz="4" w:space="0" w:color="auto"/>
            </w:tcBorders>
            <w:shd w:val="clear" w:color="auto" w:fill="auto"/>
            <w:noWrap/>
            <w:vAlign w:val="center"/>
          </w:tcPr>
          <w:p w14:paraId="2FE2E83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0.59</w:t>
            </w:r>
          </w:p>
        </w:tc>
        <w:tc>
          <w:tcPr>
            <w:tcW w:w="328" w:type="pct"/>
            <w:tcBorders>
              <w:top w:val="nil"/>
              <w:left w:val="nil"/>
              <w:bottom w:val="single" w:sz="4" w:space="0" w:color="auto"/>
              <w:right w:val="single" w:sz="4" w:space="0" w:color="auto"/>
            </w:tcBorders>
            <w:shd w:val="clear" w:color="auto" w:fill="auto"/>
            <w:noWrap/>
            <w:vAlign w:val="center"/>
          </w:tcPr>
          <w:p w14:paraId="2EF35196"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9" w:type="pct"/>
            <w:tcBorders>
              <w:top w:val="nil"/>
              <w:left w:val="nil"/>
              <w:bottom w:val="single" w:sz="4" w:space="0" w:color="auto"/>
              <w:right w:val="single" w:sz="4" w:space="0" w:color="auto"/>
            </w:tcBorders>
            <w:shd w:val="clear" w:color="auto" w:fill="auto"/>
            <w:noWrap/>
            <w:vAlign w:val="center"/>
          </w:tcPr>
          <w:p w14:paraId="478DA5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8" w:type="pct"/>
            <w:tcBorders>
              <w:top w:val="nil"/>
              <w:left w:val="nil"/>
              <w:bottom w:val="single" w:sz="4" w:space="0" w:color="auto"/>
              <w:right w:val="single" w:sz="4" w:space="0" w:color="auto"/>
            </w:tcBorders>
            <w:shd w:val="clear" w:color="auto" w:fill="auto"/>
            <w:noWrap/>
            <w:vAlign w:val="center"/>
          </w:tcPr>
          <w:p w14:paraId="20143B8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c>
          <w:tcPr>
            <w:tcW w:w="327" w:type="pct"/>
            <w:tcBorders>
              <w:top w:val="nil"/>
              <w:left w:val="nil"/>
              <w:bottom w:val="single" w:sz="4" w:space="0" w:color="auto"/>
              <w:right w:val="single" w:sz="4" w:space="0" w:color="auto"/>
            </w:tcBorders>
            <w:shd w:val="clear" w:color="auto" w:fill="auto"/>
            <w:noWrap/>
            <w:vAlign w:val="center"/>
          </w:tcPr>
          <w:p w14:paraId="433CA42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0.01</w:t>
            </w:r>
          </w:p>
        </w:tc>
      </w:tr>
      <w:tr w:rsidR="00895342" w14:paraId="08AEFCB9" w14:textId="77777777">
        <w:trPr>
          <w:trHeight w:val="2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45E03A32" w14:textId="77777777" w:rsidR="00895342" w:rsidRDefault="00067AD2">
            <w:pPr>
              <w:spacing w:before="40" w:after="40" w:line="240" w:lineRule="auto"/>
              <w:jc w:val="both"/>
              <w:rPr>
                <w:rFonts w:ascii="Arial" w:eastAsia="Times New Roman" w:hAnsi="Arial" w:cs="Arial"/>
                <w:color w:val="000000"/>
                <w:sz w:val="17"/>
                <w:szCs w:val="20"/>
              </w:rPr>
            </w:pPr>
            <w:r>
              <w:rPr>
                <w:rFonts w:ascii="Arial" w:eastAsia="Times New Roman" w:hAnsi="Arial" w:cs="Arial"/>
                <w:color w:val="000000"/>
                <w:sz w:val="17"/>
                <w:szCs w:val="20"/>
              </w:rPr>
              <w:t>CD (</w:t>
            </w:r>
            <w:r>
              <w:rPr>
                <w:rFonts w:ascii="Arial" w:eastAsia="Times New Roman" w:hAnsi="Arial" w:cs="Arial"/>
                <w:i/>
                <w:iCs/>
                <w:color w:val="000000"/>
                <w:sz w:val="17"/>
                <w:szCs w:val="20"/>
              </w:rPr>
              <w:t>P</w:t>
            </w:r>
            <w:r>
              <w:rPr>
                <w:rFonts w:ascii="Arial" w:eastAsia="Times New Roman" w:hAnsi="Arial" w:cs="Arial"/>
                <w:color w:val="000000"/>
                <w:sz w:val="17"/>
                <w:szCs w:val="20"/>
              </w:rPr>
              <w:t xml:space="preserve"> = .05)</w:t>
            </w:r>
          </w:p>
        </w:tc>
        <w:tc>
          <w:tcPr>
            <w:tcW w:w="356" w:type="pct"/>
            <w:tcBorders>
              <w:top w:val="nil"/>
              <w:left w:val="nil"/>
              <w:bottom w:val="single" w:sz="4" w:space="0" w:color="auto"/>
              <w:right w:val="single" w:sz="4" w:space="0" w:color="auto"/>
            </w:tcBorders>
            <w:shd w:val="clear" w:color="auto" w:fill="auto"/>
            <w:noWrap/>
            <w:vAlign w:val="center"/>
          </w:tcPr>
          <w:p w14:paraId="46256668"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23D6803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7702A9E7"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55" w:type="pct"/>
            <w:tcBorders>
              <w:top w:val="nil"/>
              <w:left w:val="nil"/>
              <w:bottom w:val="single" w:sz="4" w:space="0" w:color="auto"/>
              <w:right w:val="single" w:sz="4" w:space="0" w:color="auto"/>
            </w:tcBorders>
            <w:shd w:val="clear" w:color="auto" w:fill="auto"/>
            <w:noWrap/>
            <w:vAlign w:val="center"/>
          </w:tcPr>
          <w:p w14:paraId="3C3D0BE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2" w:type="pct"/>
            <w:tcBorders>
              <w:top w:val="nil"/>
              <w:left w:val="nil"/>
              <w:bottom w:val="single" w:sz="4" w:space="0" w:color="auto"/>
              <w:right w:val="single" w:sz="4" w:space="0" w:color="auto"/>
            </w:tcBorders>
            <w:shd w:val="clear" w:color="auto" w:fill="auto"/>
            <w:noWrap/>
            <w:vAlign w:val="center"/>
          </w:tcPr>
          <w:p w14:paraId="0CFDDEC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3" w:type="pct"/>
            <w:tcBorders>
              <w:top w:val="nil"/>
              <w:left w:val="nil"/>
              <w:bottom w:val="single" w:sz="4" w:space="0" w:color="auto"/>
              <w:right w:val="single" w:sz="4" w:space="0" w:color="auto"/>
            </w:tcBorders>
            <w:shd w:val="clear" w:color="auto" w:fill="auto"/>
            <w:noWrap/>
            <w:vAlign w:val="center"/>
          </w:tcPr>
          <w:p w14:paraId="0259486D"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63C2AEE"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D47C22F"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04F147C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9" w:type="pct"/>
            <w:tcBorders>
              <w:top w:val="nil"/>
              <w:left w:val="nil"/>
              <w:bottom w:val="single" w:sz="4" w:space="0" w:color="auto"/>
              <w:right w:val="single" w:sz="4" w:space="0" w:color="auto"/>
            </w:tcBorders>
            <w:shd w:val="clear" w:color="auto" w:fill="auto"/>
            <w:noWrap/>
            <w:vAlign w:val="center"/>
          </w:tcPr>
          <w:p w14:paraId="375AD0A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8" w:type="pct"/>
            <w:tcBorders>
              <w:top w:val="nil"/>
              <w:left w:val="nil"/>
              <w:bottom w:val="single" w:sz="4" w:space="0" w:color="auto"/>
              <w:right w:val="single" w:sz="4" w:space="0" w:color="auto"/>
            </w:tcBorders>
            <w:shd w:val="clear" w:color="auto" w:fill="auto"/>
            <w:noWrap/>
            <w:vAlign w:val="center"/>
          </w:tcPr>
          <w:p w14:paraId="32030463"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c>
          <w:tcPr>
            <w:tcW w:w="327" w:type="pct"/>
            <w:tcBorders>
              <w:top w:val="nil"/>
              <w:left w:val="nil"/>
              <w:bottom w:val="single" w:sz="4" w:space="0" w:color="auto"/>
              <w:right w:val="single" w:sz="4" w:space="0" w:color="auto"/>
            </w:tcBorders>
            <w:shd w:val="clear" w:color="auto" w:fill="auto"/>
            <w:noWrap/>
            <w:vAlign w:val="center"/>
          </w:tcPr>
          <w:p w14:paraId="38CC1784" w14:textId="77777777" w:rsidR="00895342" w:rsidRDefault="00067AD2">
            <w:pPr>
              <w:spacing w:before="40" w:after="40" w:line="240" w:lineRule="auto"/>
              <w:jc w:val="center"/>
              <w:rPr>
                <w:rFonts w:ascii="Arial" w:eastAsia="Times New Roman" w:hAnsi="Arial" w:cs="Arial"/>
                <w:b/>
                <w:bCs/>
                <w:color w:val="000000"/>
                <w:sz w:val="17"/>
                <w:szCs w:val="20"/>
              </w:rPr>
            </w:pPr>
            <w:r>
              <w:rPr>
                <w:rFonts w:ascii="Arial" w:eastAsia="Times New Roman" w:hAnsi="Arial" w:cs="Arial"/>
                <w:b/>
                <w:bCs/>
                <w:color w:val="000000"/>
                <w:sz w:val="17"/>
                <w:szCs w:val="20"/>
              </w:rPr>
              <w:t>NS</w:t>
            </w:r>
          </w:p>
        </w:tc>
      </w:tr>
    </w:tbl>
    <w:p w14:paraId="3C21E98C" w14:textId="77777777" w:rsidR="00895342" w:rsidRDefault="00895342">
      <w:pPr>
        <w:tabs>
          <w:tab w:val="left" w:pos="720"/>
        </w:tabs>
        <w:spacing w:after="120" w:line="240" w:lineRule="auto"/>
        <w:jc w:val="both"/>
        <w:rPr>
          <w:rFonts w:ascii="Arial" w:hAnsi="Arial" w:cs="Arial"/>
          <w:sz w:val="20"/>
          <w:szCs w:val="20"/>
        </w:rPr>
      </w:pPr>
    </w:p>
    <w:p w14:paraId="7C097D5E" w14:textId="77777777" w:rsidR="00895342" w:rsidRDefault="00067AD2">
      <w:pPr>
        <w:rPr>
          <w:rFonts w:ascii="Arial" w:hAnsi="Arial" w:cs="Arial"/>
          <w:b/>
          <w:sz w:val="20"/>
        </w:rPr>
      </w:pPr>
      <w:r>
        <w:rPr>
          <w:rFonts w:ascii="Arial" w:hAnsi="Arial" w:cs="Arial"/>
          <w:b/>
          <w:sz w:val="20"/>
        </w:rPr>
        <w:br w:type="page"/>
      </w:r>
    </w:p>
    <w:p w14:paraId="131B735E" w14:textId="77777777" w:rsidR="00895342" w:rsidRDefault="00895342">
      <w:pPr>
        <w:tabs>
          <w:tab w:val="left" w:pos="720"/>
        </w:tabs>
        <w:spacing w:after="120" w:line="240" w:lineRule="auto"/>
        <w:jc w:val="both"/>
        <w:rPr>
          <w:rFonts w:ascii="Arial" w:hAnsi="Arial" w:cs="Arial"/>
          <w:b/>
          <w:sz w:val="20"/>
        </w:rPr>
        <w:sectPr w:rsidR="00895342">
          <w:pgSz w:w="16838" w:h="11906" w:orient="landscape"/>
          <w:pgMar w:top="1440" w:right="1440" w:bottom="1440" w:left="1440" w:header="706" w:footer="706" w:gutter="0"/>
          <w:cols w:space="708"/>
          <w:titlePg/>
          <w:docGrid w:linePitch="360"/>
        </w:sectPr>
      </w:pPr>
    </w:p>
    <w:p w14:paraId="1F258623" w14:textId="77777777" w:rsidR="00895342" w:rsidRDefault="00067AD2">
      <w:pPr>
        <w:tabs>
          <w:tab w:val="left" w:pos="720"/>
        </w:tabs>
        <w:spacing w:after="120" w:line="240" w:lineRule="auto"/>
        <w:jc w:val="both"/>
        <w:rPr>
          <w:rFonts w:ascii="Arial" w:hAnsi="Arial" w:cs="Arial"/>
          <w:b/>
        </w:rPr>
      </w:pPr>
      <w:r>
        <w:rPr>
          <w:rFonts w:ascii="Arial" w:hAnsi="Arial" w:cs="Arial"/>
          <w:b/>
        </w:rPr>
        <w:lastRenderedPageBreak/>
        <w:t>4. CONCLUSION</w:t>
      </w:r>
    </w:p>
    <w:p w14:paraId="7D97ADE6" w14:textId="7F311070" w:rsidR="00895342" w:rsidRDefault="00067AD2">
      <w:pPr>
        <w:tabs>
          <w:tab w:val="left" w:pos="720"/>
        </w:tabs>
        <w:spacing w:after="120" w:line="240" w:lineRule="auto"/>
        <w:jc w:val="both"/>
        <w:rPr>
          <w:rFonts w:ascii="Arial" w:hAnsi="Arial" w:cs="Arial"/>
          <w:b/>
          <w:sz w:val="20"/>
          <w:szCs w:val="20"/>
          <w:lang w:val="en-US"/>
        </w:rPr>
      </w:pPr>
      <w:r>
        <w:rPr>
          <w:rFonts w:ascii="Arial" w:hAnsi="Arial" w:cs="Arial"/>
          <w:sz w:val="20"/>
          <w:szCs w:val="20"/>
        </w:rPr>
        <w:t>The organic farming practice (M</w:t>
      </w:r>
      <w:r>
        <w:rPr>
          <w:rFonts w:ascii="Arial" w:hAnsi="Arial" w:cs="Arial"/>
          <w:sz w:val="20"/>
          <w:szCs w:val="20"/>
          <w:vertAlign w:val="subscript"/>
        </w:rPr>
        <w:t>1</w:t>
      </w:r>
      <w:r>
        <w:rPr>
          <w:rFonts w:ascii="Arial" w:hAnsi="Arial" w:cs="Arial"/>
          <w:sz w:val="20"/>
          <w:szCs w:val="20"/>
        </w:rPr>
        <w:t xml:space="preserve">) played an important role through incorporation of FYM in improving soil physical characteristics </w:t>
      </w:r>
      <w:r>
        <w:rPr>
          <w:rFonts w:ascii="Arial" w:hAnsi="Arial" w:cs="Arial"/>
          <w:i/>
          <w:iCs/>
          <w:sz w:val="20"/>
          <w:szCs w:val="20"/>
        </w:rPr>
        <w:t xml:space="preserve">viz., </w:t>
      </w:r>
      <w:r>
        <w:rPr>
          <w:rFonts w:ascii="Arial" w:hAnsi="Arial" w:cs="Arial"/>
          <w:sz w:val="20"/>
          <w:szCs w:val="20"/>
        </w:rPr>
        <w:t>bulk density, porosity, infiltration rate, moisture availability and aggregate stability</w:t>
      </w:r>
      <w:del w:id="55" w:author="mouki" w:date="2025-02-21T22:19:00Z">
        <w:r w:rsidDel="00737522">
          <w:rPr>
            <w:rFonts w:ascii="Arial" w:hAnsi="Arial" w:cs="Arial"/>
            <w:sz w:val="20"/>
            <w:szCs w:val="20"/>
          </w:rPr>
          <w:delText>, apart from increased micronutrient availability</w:delText>
        </w:r>
      </w:del>
      <w:r>
        <w:rPr>
          <w:rFonts w:ascii="Arial" w:hAnsi="Arial" w:cs="Arial"/>
          <w:sz w:val="20"/>
          <w:szCs w:val="20"/>
        </w:rPr>
        <w:t xml:space="preserve"> in the soil. The soil organic carbon (SOC), water soluble carbon, and various carbon pools (active and passive pools) were reportedly higher in organic farming (M</w:t>
      </w:r>
      <w:r>
        <w:rPr>
          <w:rFonts w:ascii="Arial" w:hAnsi="Arial" w:cs="Arial"/>
          <w:sz w:val="20"/>
          <w:szCs w:val="20"/>
          <w:vertAlign w:val="subscript"/>
        </w:rPr>
        <w:t>1</w:t>
      </w:r>
      <w:r>
        <w:rPr>
          <w:rFonts w:ascii="Arial" w:hAnsi="Arial" w:cs="Arial"/>
          <w:sz w:val="20"/>
          <w:szCs w:val="20"/>
        </w:rPr>
        <w:t>)</w:t>
      </w:r>
      <w:r>
        <w:rPr>
          <w:rFonts w:ascii="Arial" w:hAnsi="Arial" w:cs="Arial"/>
          <w:sz w:val="20"/>
          <w:szCs w:val="20"/>
          <w:lang w:val="en-US"/>
        </w:rPr>
        <w:t xml:space="preserve"> compared with ICM practice.</w:t>
      </w:r>
    </w:p>
    <w:p w14:paraId="467E402E" w14:textId="77777777" w:rsidR="0073372A" w:rsidRDefault="0073372A">
      <w:pPr>
        <w:spacing w:after="120" w:line="240" w:lineRule="auto"/>
        <w:jc w:val="both"/>
        <w:rPr>
          <w:rFonts w:ascii="Arial" w:hAnsi="Arial" w:cs="Arial"/>
          <w:b/>
          <w:szCs w:val="20"/>
        </w:rPr>
      </w:pPr>
    </w:p>
    <w:p w14:paraId="668F5723" w14:textId="5735D020" w:rsidR="0073372A" w:rsidRPr="0073372A" w:rsidRDefault="00067AD2">
      <w:pPr>
        <w:spacing w:after="120" w:line="240" w:lineRule="auto"/>
        <w:jc w:val="both"/>
        <w:rPr>
          <w:rFonts w:ascii="Arial" w:hAnsi="Arial" w:cs="Arial"/>
          <w:b/>
          <w:szCs w:val="20"/>
        </w:rPr>
      </w:pPr>
      <w:r>
        <w:rPr>
          <w:rFonts w:ascii="Arial" w:hAnsi="Arial" w:cs="Arial"/>
          <w:b/>
          <w:szCs w:val="20"/>
        </w:rPr>
        <w:t>REFERENCES</w:t>
      </w:r>
    </w:p>
    <w:p w14:paraId="240EB9ED" w14:textId="77777777" w:rsidR="0073372A" w:rsidRDefault="0073372A">
      <w:pPr>
        <w:pStyle w:val="NormalWeb"/>
        <w:spacing w:after="120" w:line="240" w:lineRule="auto"/>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Blake, G.R and Hartge, K.H. 1986. Bulk density, In: Klute A (edition). Methods of Soil Analysis (Part I). </w:t>
      </w:r>
      <w:r>
        <w:rPr>
          <w:rFonts w:ascii="Arial" w:hAnsi="Arial" w:cs="Arial"/>
          <w:i/>
          <w:iCs/>
          <w:color w:val="000000" w:themeColor="text1"/>
          <w:sz w:val="20"/>
          <w:szCs w:val="20"/>
          <w:lang w:val="en-US"/>
        </w:rPr>
        <w:t>American Journal of Agronomy</w:t>
      </w:r>
      <w:r>
        <w:rPr>
          <w:rFonts w:ascii="Arial" w:hAnsi="Arial" w:cs="Arial"/>
          <w:color w:val="000000" w:themeColor="text1"/>
          <w:sz w:val="20"/>
          <w:szCs w:val="20"/>
          <w:lang w:val="en-US"/>
        </w:rPr>
        <w:t xml:space="preserve">, Madison, USA. </w:t>
      </w:r>
    </w:p>
    <w:p w14:paraId="63FF7543" w14:textId="77777777" w:rsidR="0073372A" w:rsidRDefault="0073372A">
      <w:pPr>
        <w:spacing w:after="120" w:line="24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Brar</w:t>
      </w:r>
      <w:proofErr w:type="spellEnd"/>
      <w:r>
        <w:rPr>
          <w:rFonts w:ascii="Arial" w:hAnsi="Arial" w:cs="Arial"/>
          <w:color w:val="000000" w:themeColor="text1"/>
          <w:sz w:val="20"/>
          <w:szCs w:val="20"/>
          <w:lang w:val="en-US"/>
        </w:rPr>
        <w:t xml:space="preserve">, K.S., </w:t>
      </w:r>
      <w:proofErr w:type="spellStart"/>
      <w:r>
        <w:rPr>
          <w:rFonts w:ascii="Arial" w:hAnsi="Arial" w:cs="Arial"/>
          <w:color w:val="000000" w:themeColor="text1"/>
          <w:sz w:val="20"/>
          <w:szCs w:val="20"/>
          <w:lang w:val="en-US"/>
        </w:rPr>
        <w:t>Dhanjal</w:t>
      </w:r>
      <w:proofErr w:type="spellEnd"/>
      <w:r>
        <w:rPr>
          <w:rFonts w:ascii="Arial" w:hAnsi="Arial" w:cs="Arial"/>
          <w:color w:val="000000" w:themeColor="text1"/>
          <w:sz w:val="20"/>
          <w:szCs w:val="20"/>
          <w:lang w:val="en-US"/>
        </w:rPr>
        <w:t xml:space="preserve">, A.S and Saini, R. 2013. Effect of integrated nutrient management on water soluble carbon and carbohydrates in soil under rice-wheat cropping system. </w:t>
      </w:r>
      <w:r>
        <w:rPr>
          <w:rFonts w:ascii="Arial" w:hAnsi="Arial" w:cs="Arial"/>
          <w:i/>
          <w:iCs/>
          <w:color w:val="000000" w:themeColor="text1"/>
          <w:sz w:val="20"/>
          <w:szCs w:val="20"/>
          <w:lang w:val="en-US"/>
        </w:rPr>
        <w:t>Journal of Soil and Water Conservation</w:t>
      </w:r>
      <w:r>
        <w:rPr>
          <w:rFonts w:ascii="Arial" w:hAnsi="Arial" w:cs="Arial"/>
          <w:color w:val="000000" w:themeColor="text1"/>
          <w:sz w:val="20"/>
          <w:szCs w:val="20"/>
          <w:lang w:val="en-US"/>
        </w:rPr>
        <w:t>.12(2): 174-179</w:t>
      </w:r>
    </w:p>
    <w:p w14:paraId="5A428612" w14:textId="77777777" w:rsidR="0073372A" w:rsidRDefault="0073372A">
      <w:pPr>
        <w:pStyle w:val="BodyText"/>
        <w:spacing w:after="120"/>
        <w:jc w:val="both"/>
        <w:rPr>
          <w:rFonts w:ascii="Arial" w:hAnsi="Arial" w:cs="Arial"/>
          <w:color w:val="000000" w:themeColor="text1"/>
          <w:sz w:val="20"/>
          <w:szCs w:val="20"/>
        </w:rPr>
      </w:pPr>
      <w:proofErr w:type="gramStart"/>
      <w:r>
        <w:rPr>
          <w:rFonts w:ascii="Arial" w:hAnsi="Arial" w:cs="Arial"/>
          <w:color w:val="000000" w:themeColor="text1"/>
          <w:sz w:val="20"/>
          <w:szCs w:val="20"/>
        </w:rPr>
        <w:t>Chan, K.Y. 2001.</w:t>
      </w:r>
      <w:proofErr w:type="gramEnd"/>
      <w:r>
        <w:rPr>
          <w:rFonts w:ascii="Arial" w:hAnsi="Arial" w:cs="Arial"/>
          <w:color w:val="000000" w:themeColor="text1"/>
          <w:sz w:val="20"/>
          <w:szCs w:val="20"/>
        </w:rPr>
        <w:t xml:space="preserve"> Soil particulate organic carbon under different land use and management. </w:t>
      </w:r>
      <w:r>
        <w:rPr>
          <w:rStyle w:val="Emphasis"/>
          <w:rFonts w:ascii="Arial" w:hAnsi="Arial" w:cs="Arial"/>
          <w:color w:val="000000" w:themeColor="text1"/>
          <w:sz w:val="20"/>
          <w:szCs w:val="20"/>
        </w:rPr>
        <w:t>Soil Use and Management</w:t>
      </w:r>
      <w:r>
        <w:rPr>
          <w:rFonts w:ascii="Arial" w:hAnsi="Arial" w:cs="Arial"/>
          <w:color w:val="000000" w:themeColor="text1"/>
          <w:sz w:val="20"/>
          <w:szCs w:val="20"/>
        </w:rPr>
        <w:t>. 17(4): 217-221.</w:t>
      </w:r>
    </w:p>
    <w:p w14:paraId="451E4E9C" w14:textId="77777777" w:rsidR="0073372A" w:rsidRDefault="0073372A">
      <w:pPr>
        <w:spacing w:after="120" w:line="240" w:lineRule="auto"/>
        <w:jc w:val="both"/>
        <w:rPr>
          <w:rFonts w:ascii="Arial" w:hAnsi="Arial" w:cs="Arial"/>
          <w:color w:val="000000" w:themeColor="text1"/>
          <w:sz w:val="20"/>
          <w:szCs w:val="20"/>
          <w:lang w:val="en-US"/>
        </w:rPr>
      </w:pPr>
      <w:proofErr w:type="spellStart"/>
      <w:r>
        <w:rPr>
          <w:rFonts w:ascii="Arial" w:hAnsi="Arial" w:cs="Arial"/>
          <w:bCs/>
          <w:color w:val="000000" w:themeColor="text1"/>
          <w:sz w:val="20"/>
          <w:szCs w:val="20"/>
          <w:lang w:val="en-US"/>
        </w:rPr>
        <w:t>Fueki</w:t>
      </w:r>
      <w:proofErr w:type="spellEnd"/>
      <w:r>
        <w:rPr>
          <w:rFonts w:ascii="Arial" w:hAnsi="Arial" w:cs="Arial"/>
          <w:bCs/>
          <w:color w:val="000000" w:themeColor="text1"/>
          <w:sz w:val="20"/>
          <w:szCs w:val="20"/>
          <w:lang w:val="en-US"/>
        </w:rPr>
        <w:t>, K., Watanabe, T and Takahashi, Y.</w:t>
      </w:r>
      <w:r>
        <w:rPr>
          <w:rFonts w:ascii="Arial" w:hAnsi="Arial" w:cs="Arial"/>
          <w:color w:val="000000" w:themeColor="text1"/>
          <w:sz w:val="20"/>
          <w:szCs w:val="20"/>
          <w:lang w:val="en-US"/>
        </w:rPr>
        <w:t xml:space="preserve"> 2012. Differences in physical properties of organically and conventionally managed soils: water permeability and macropore characteristics. </w:t>
      </w:r>
      <w:r>
        <w:rPr>
          <w:rFonts w:ascii="Arial" w:hAnsi="Arial" w:cs="Arial"/>
          <w:i/>
          <w:iCs/>
          <w:color w:val="000000" w:themeColor="text1"/>
          <w:sz w:val="20"/>
          <w:szCs w:val="20"/>
          <w:lang w:val="en-US"/>
        </w:rPr>
        <w:t>Soil Science and Plant Nutrition</w:t>
      </w:r>
      <w:r>
        <w:rPr>
          <w:rFonts w:ascii="Arial" w:hAnsi="Arial" w:cs="Arial"/>
          <w:color w:val="000000" w:themeColor="text1"/>
          <w:sz w:val="20"/>
          <w:szCs w:val="20"/>
          <w:lang w:val="en-US"/>
        </w:rPr>
        <w:t xml:space="preserve">. 58(1): 31-38. </w:t>
      </w:r>
    </w:p>
    <w:p w14:paraId="36BA89FE" w14:textId="77777777" w:rsidR="0073372A" w:rsidRDefault="0073372A">
      <w:pPr>
        <w:spacing w:after="120" w:line="240" w:lineRule="auto"/>
        <w:jc w:val="both"/>
        <w:rPr>
          <w:rFonts w:ascii="Arial" w:hAnsi="Arial" w:cs="Arial"/>
          <w:color w:val="000000" w:themeColor="text1"/>
          <w:sz w:val="20"/>
          <w:szCs w:val="20"/>
        </w:rPr>
      </w:pPr>
      <w:proofErr w:type="spellStart"/>
      <w:proofErr w:type="gramStart"/>
      <w:r>
        <w:rPr>
          <w:rFonts w:ascii="Arial" w:hAnsi="Arial" w:cs="Arial"/>
          <w:bCs/>
          <w:color w:val="000000" w:themeColor="text1"/>
          <w:sz w:val="20"/>
          <w:szCs w:val="20"/>
        </w:rPr>
        <w:t>Ghuman</w:t>
      </w:r>
      <w:proofErr w:type="spellEnd"/>
      <w:r>
        <w:rPr>
          <w:rFonts w:ascii="Arial" w:hAnsi="Arial" w:cs="Arial"/>
          <w:bCs/>
          <w:color w:val="000000" w:themeColor="text1"/>
          <w:sz w:val="20"/>
          <w:szCs w:val="20"/>
        </w:rPr>
        <w:t>, B.S and Sur, H.S.</w:t>
      </w:r>
      <w:r>
        <w:rPr>
          <w:rFonts w:ascii="Arial" w:hAnsi="Arial" w:cs="Arial"/>
          <w:color w:val="000000" w:themeColor="text1"/>
          <w:sz w:val="20"/>
          <w:szCs w:val="20"/>
        </w:rPr>
        <w:t xml:space="preserve"> 2001.</w:t>
      </w:r>
      <w:proofErr w:type="gramEnd"/>
      <w:r>
        <w:rPr>
          <w:rFonts w:ascii="Arial" w:hAnsi="Arial" w:cs="Arial"/>
          <w:color w:val="000000" w:themeColor="text1"/>
          <w:sz w:val="20"/>
          <w:szCs w:val="20"/>
        </w:rPr>
        <w:t xml:space="preserve"> Tillage and residue management effects on soil properties and yields of rainfed maize and wheat in a sub-humid sub-tropical climate. </w:t>
      </w:r>
      <w:r>
        <w:rPr>
          <w:rFonts w:ascii="Arial" w:hAnsi="Arial" w:cs="Arial"/>
          <w:i/>
          <w:iCs/>
          <w:color w:val="000000" w:themeColor="text1"/>
          <w:sz w:val="20"/>
          <w:szCs w:val="20"/>
        </w:rPr>
        <w:t>Soil and Tillage Research</w:t>
      </w:r>
      <w:r>
        <w:rPr>
          <w:rFonts w:ascii="Arial" w:hAnsi="Arial" w:cs="Arial"/>
          <w:color w:val="000000" w:themeColor="text1"/>
          <w:sz w:val="20"/>
          <w:szCs w:val="20"/>
        </w:rPr>
        <w:t>. 58: 1-10.</w:t>
      </w:r>
    </w:p>
    <w:p w14:paraId="2D4CAE84" w14:textId="77777777" w:rsidR="0073372A" w:rsidRDefault="0073372A">
      <w:pPr>
        <w:spacing w:after="120" w:line="240" w:lineRule="auto"/>
        <w:jc w:val="both"/>
        <w:rPr>
          <w:rFonts w:ascii="Arial" w:hAnsi="Arial" w:cs="Arial"/>
          <w:color w:val="000000" w:themeColor="text1"/>
          <w:sz w:val="20"/>
          <w:szCs w:val="20"/>
        </w:rPr>
      </w:pPr>
      <w:proofErr w:type="gramStart"/>
      <w:r>
        <w:rPr>
          <w:rFonts w:ascii="Arial" w:hAnsi="Arial" w:cs="Arial"/>
          <w:bCs/>
          <w:color w:val="000000" w:themeColor="text1"/>
          <w:sz w:val="20"/>
          <w:szCs w:val="20"/>
        </w:rPr>
        <w:t xml:space="preserve">Hasegawa, T., Fujimori, S., Takahashi, K., </w:t>
      </w:r>
      <w:proofErr w:type="spellStart"/>
      <w:r>
        <w:rPr>
          <w:rFonts w:ascii="Arial" w:hAnsi="Arial" w:cs="Arial"/>
          <w:bCs/>
          <w:color w:val="000000" w:themeColor="text1"/>
          <w:sz w:val="20"/>
          <w:szCs w:val="20"/>
        </w:rPr>
        <w:t>Yokohata</w:t>
      </w:r>
      <w:proofErr w:type="spellEnd"/>
      <w:r>
        <w:rPr>
          <w:rFonts w:ascii="Arial" w:hAnsi="Arial" w:cs="Arial"/>
          <w:bCs/>
          <w:color w:val="000000" w:themeColor="text1"/>
          <w:sz w:val="20"/>
          <w:szCs w:val="20"/>
        </w:rPr>
        <w:t>, T., &amp; Masui, T.</w:t>
      </w:r>
      <w:r>
        <w:rPr>
          <w:rFonts w:ascii="Arial" w:hAnsi="Arial" w:cs="Arial"/>
          <w:color w:val="000000" w:themeColor="text1"/>
          <w:sz w:val="20"/>
          <w:szCs w:val="20"/>
        </w:rPr>
        <w:t xml:space="preserve"> (2021).</w:t>
      </w:r>
      <w:proofErr w:type="gramEnd"/>
      <w:r>
        <w:rPr>
          <w:rFonts w:ascii="Arial" w:hAnsi="Arial" w:cs="Arial"/>
          <w:color w:val="000000" w:themeColor="text1"/>
          <w:sz w:val="20"/>
          <w:szCs w:val="20"/>
        </w:rPr>
        <w:t xml:space="preserve"> Climate change and food security: Risks and opportunities for sustainable agriculture. </w:t>
      </w:r>
      <w:r>
        <w:rPr>
          <w:rFonts w:ascii="Arial" w:hAnsi="Arial" w:cs="Arial"/>
          <w:i/>
          <w:iCs/>
          <w:color w:val="000000" w:themeColor="text1"/>
          <w:sz w:val="20"/>
          <w:szCs w:val="20"/>
        </w:rPr>
        <w:t>Nature Food, 2</w:t>
      </w:r>
      <w:r>
        <w:rPr>
          <w:rFonts w:ascii="Arial" w:hAnsi="Arial" w:cs="Arial"/>
          <w:color w:val="000000" w:themeColor="text1"/>
          <w:sz w:val="20"/>
          <w:szCs w:val="20"/>
        </w:rPr>
        <w:t xml:space="preserve">(1), 1–4. </w:t>
      </w:r>
    </w:p>
    <w:p w14:paraId="71CFBE3D" w14:textId="77777777" w:rsidR="0073372A" w:rsidRDefault="0073372A">
      <w:pPr>
        <w:spacing w:after="120" w:line="240" w:lineRule="auto"/>
        <w:jc w:val="both"/>
        <w:rPr>
          <w:rFonts w:ascii="Arial" w:hAnsi="Arial" w:cs="Arial"/>
          <w:color w:val="000000" w:themeColor="text1"/>
          <w:sz w:val="20"/>
          <w:szCs w:val="20"/>
          <w:lang w:val="en-US"/>
        </w:rPr>
      </w:pPr>
      <w:proofErr w:type="spellStart"/>
      <w:proofErr w:type="gramStart"/>
      <w:r>
        <w:rPr>
          <w:rFonts w:ascii="Arial" w:hAnsi="Arial" w:cs="Arial"/>
          <w:color w:val="000000" w:themeColor="text1"/>
          <w:sz w:val="20"/>
          <w:szCs w:val="20"/>
          <w:lang w:val="en-US"/>
        </w:rPr>
        <w:t>Hatti</w:t>
      </w:r>
      <w:proofErr w:type="spellEnd"/>
      <w:r>
        <w:rPr>
          <w:rFonts w:ascii="Arial" w:hAnsi="Arial" w:cs="Arial"/>
          <w:color w:val="000000" w:themeColor="text1"/>
          <w:sz w:val="20"/>
          <w:szCs w:val="20"/>
          <w:lang w:val="en-US"/>
        </w:rPr>
        <w:t xml:space="preserve">, K.M., </w:t>
      </w:r>
      <w:proofErr w:type="spellStart"/>
      <w:r>
        <w:rPr>
          <w:rFonts w:ascii="Arial" w:hAnsi="Arial" w:cs="Arial"/>
          <w:color w:val="000000" w:themeColor="text1"/>
          <w:sz w:val="20"/>
          <w:szCs w:val="20"/>
          <w:lang w:val="en-US"/>
        </w:rPr>
        <w:t>Swarup</w:t>
      </w:r>
      <w:proofErr w:type="spellEnd"/>
      <w:r>
        <w:rPr>
          <w:rFonts w:ascii="Arial" w:hAnsi="Arial" w:cs="Arial"/>
          <w:color w:val="000000" w:themeColor="text1"/>
          <w:sz w:val="20"/>
          <w:szCs w:val="20"/>
          <w:lang w:val="en-US"/>
        </w:rPr>
        <w:t xml:space="preserve">, A., Mishra, B., Manna, M.C., Wanjari, R.H., Mandal, K.G.,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(2008).</w:t>
      </w:r>
      <w:proofErr w:type="gramEnd"/>
      <w:r>
        <w:rPr>
          <w:rFonts w:ascii="Arial" w:hAnsi="Arial" w:cs="Arial"/>
          <w:color w:val="000000" w:themeColor="text1"/>
          <w:sz w:val="20"/>
          <w:szCs w:val="20"/>
          <w:lang w:val="en-US"/>
        </w:rPr>
        <w:t xml:space="preserve"> Impact of long-term application of fertilizer, manure and lime under intensive cropping on physical properties and organic carbon content of an </w:t>
      </w:r>
      <w:proofErr w:type="spellStart"/>
      <w:r>
        <w:rPr>
          <w:rFonts w:ascii="Arial" w:hAnsi="Arial" w:cs="Arial"/>
          <w:color w:val="000000" w:themeColor="text1"/>
          <w:sz w:val="20"/>
          <w:szCs w:val="20"/>
          <w:lang w:val="en-US"/>
        </w:rPr>
        <w:t>Alfisol</w:t>
      </w:r>
      <w:proofErr w:type="spellEnd"/>
      <w:r>
        <w:rPr>
          <w:rFonts w:ascii="Arial" w:hAnsi="Arial" w:cs="Arial"/>
          <w:color w:val="000000" w:themeColor="text1"/>
          <w:sz w:val="20"/>
          <w:szCs w:val="20"/>
          <w:lang w:val="en-US"/>
        </w:rPr>
        <w:t xml:space="preserve">. </w:t>
      </w:r>
      <w:proofErr w:type="spellStart"/>
      <w:r>
        <w:rPr>
          <w:rFonts w:ascii="Arial" w:hAnsi="Arial" w:cs="Arial"/>
          <w:i/>
          <w:iCs/>
          <w:color w:val="000000" w:themeColor="text1"/>
          <w:sz w:val="20"/>
          <w:szCs w:val="20"/>
          <w:lang w:val="en-US"/>
        </w:rPr>
        <w:t>Geoderma</w:t>
      </w:r>
      <w:proofErr w:type="spellEnd"/>
      <w:r>
        <w:rPr>
          <w:rFonts w:ascii="Arial" w:hAnsi="Arial" w:cs="Arial"/>
          <w:color w:val="000000" w:themeColor="text1"/>
          <w:sz w:val="20"/>
          <w:szCs w:val="20"/>
          <w:lang w:val="en-US"/>
        </w:rPr>
        <w:t>. 148: 173-179.</w:t>
      </w:r>
    </w:p>
    <w:p w14:paraId="49C22485" w14:textId="77777777" w:rsidR="0073372A" w:rsidRDefault="0073372A">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Jackson, M.L. 1973. </w:t>
      </w:r>
      <w:r>
        <w:rPr>
          <w:rStyle w:val="Emphasis"/>
          <w:rFonts w:ascii="Arial" w:hAnsi="Arial" w:cs="Arial"/>
          <w:color w:val="000000" w:themeColor="text1"/>
          <w:sz w:val="20"/>
          <w:szCs w:val="20"/>
        </w:rPr>
        <w:t>Soil chemical analysis</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Prentic</w:t>
      </w:r>
      <w:proofErr w:type="spellEnd"/>
      <w:r>
        <w:rPr>
          <w:rFonts w:ascii="Arial" w:hAnsi="Arial" w:cs="Arial"/>
          <w:color w:val="000000" w:themeColor="text1"/>
          <w:sz w:val="20"/>
          <w:szCs w:val="20"/>
        </w:rPr>
        <w:t xml:space="preserve"> Hall of India Private Limited, New Delhi.</w:t>
      </w:r>
    </w:p>
    <w:p w14:paraId="37FFCD9F" w14:textId="77777777" w:rsidR="0073372A" w:rsidRDefault="0073372A">
      <w:pPr>
        <w:pStyle w:val="NormalWeb"/>
        <w:spacing w:after="120" w:line="240" w:lineRule="auto"/>
        <w:jc w:val="both"/>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Kolar</w:t>
      </w:r>
      <w:proofErr w:type="spellEnd"/>
      <w:r>
        <w:rPr>
          <w:rFonts w:ascii="Arial" w:hAnsi="Arial" w:cs="Arial"/>
          <w:color w:val="000000" w:themeColor="text1"/>
          <w:sz w:val="20"/>
          <w:szCs w:val="20"/>
        </w:rPr>
        <w:t xml:space="preserve">, L., Vanek, V., Kuzel, S., Peterka, J., </w:t>
      </w:r>
      <w:proofErr w:type="spellStart"/>
      <w:r>
        <w:rPr>
          <w:rFonts w:ascii="Arial" w:hAnsi="Arial" w:cs="Arial"/>
          <w:color w:val="000000" w:themeColor="text1"/>
          <w:sz w:val="20"/>
          <w:szCs w:val="20"/>
        </w:rPr>
        <w:t>Borova</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Batt</w:t>
      </w:r>
      <w:proofErr w:type="spellEnd"/>
      <w:r>
        <w:rPr>
          <w:rFonts w:ascii="Arial" w:hAnsi="Arial" w:cs="Arial"/>
          <w:color w:val="000000" w:themeColor="text1"/>
          <w:sz w:val="20"/>
          <w:szCs w:val="20"/>
        </w:rPr>
        <w:t xml:space="preserve">, J and </w:t>
      </w:r>
      <w:proofErr w:type="spellStart"/>
      <w:r>
        <w:rPr>
          <w:rFonts w:ascii="Arial" w:hAnsi="Arial" w:cs="Arial"/>
          <w:color w:val="000000" w:themeColor="text1"/>
          <w:sz w:val="20"/>
          <w:szCs w:val="20"/>
        </w:rPr>
        <w:t>Pezlarova</w:t>
      </w:r>
      <w:proofErr w:type="spellEnd"/>
      <w:r>
        <w:rPr>
          <w:rFonts w:ascii="Arial" w:hAnsi="Arial" w:cs="Arial"/>
          <w:color w:val="000000" w:themeColor="text1"/>
          <w:sz w:val="20"/>
          <w:szCs w:val="20"/>
        </w:rPr>
        <w:t>, J. 2011.</w:t>
      </w:r>
      <w:proofErr w:type="gramEnd"/>
      <w:r>
        <w:rPr>
          <w:rFonts w:ascii="Arial" w:hAnsi="Arial" w:cs="Arial"/>
          <w:color w:val="000000" w:themeColor="text1"/>
          <w:sz w:val="20"/>
          <w:szCs w:val="20"/>
        </w:rPr>
        <w:t xml:space="preserve"> Relationships between quantity of soil labile fraction of the soil carbon in </w:t>
      </w:r>
      <w:proofErr w:type="spellStart"/>
      <w:r>
        <w:rPr>
          <w:rFonts w:ascii="Arial" w:hAnsi="Arial" w:cs="Arial"/>
          <w:color w:val="000000" w:themeColor="text1"/>
          <w:sz w:val="20"/>
          <w:szCs w:val="20"/>
        </w:rPr>
        <w:t>cambiosols</w:t>
      </w:r>
      <w:proofErr w:type="spellEnd"/>
      <w:r>
        <w:rPr>
          <w:rFonts w:ascii="Arial" w:hAnsi="Arial" w:cs="Arial"/>
          <w:color w:val="000000" w:themeColor="text1"/>
          <w:sz w:val="20"/>
          <w:szCs w:val="20"/>
        </w:rPr>
        <w:t xml:space="preserve"> after liming during a 5-year period. </w:t>
      </w:r>
      <w:r>
        <w:rPr>
          <w:rStyle w:val="Emphasis"/>
          <w:rFonts w:ascii="Arial" w:hAnsi="Arial" w:cs="Arial"/>
          <w:color w:val="000000" w:themeColor="text1"/>
          <w:sz w:val="20"/>
          <w:szCs w:val="20"/>
        </w:rPr>
        <w:t>Plant Soil Environment</w:t>
      </w:r>
      <w:r>
        <w:rPr>
          <w:rFonts w:ascii="Arial" w:hAnsi="Arial" w:cs="Arial"/>
          <w:color w:val="000000" w:themeColor="text1"/>
          <w:sz w:val="20"/>
          <w:szCs w:val="20"/>
        </w:rPr>
        <w:t>. 57(5): 193-200.</w:t>
      </w:r>
    </w:p>
    <w:p w14:paraId="6B80154A" w14:textId="77777777" w:rsidR="0073372A" w:rsidRDefault="0073372A">
      <w:pPr>
        <w:spacing w:after="120" w:line="240" w:lineRule="auto"/>
        <w:jc w:val="both"/>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Kumari</w:t>
      </w:r>
      <w:proofErr w:type="spellEnd"/>
      <w:r>
        <w:rPr>
          <w:rFonts w:ascii="Arial" w:hAnsi="Arial" w:cs="Arial"/>
          <w:color w:val="000000" w:themeColor="text1"/>
          <w:sz w:val="20"/>
          <w:szCs w:val="20"/>
        </w:rPr>
        <w:t>, R., Kaur, I and Bhatnagar, A.K. 2013.</w:t>
      </w:r>
      <w:proofErr w:type="gramEnd"/>
      <w:r>
        <w:rPr>
          <w:rFonts w:ascii="Arial" w:hAnsi="Arial" w:cs="Arial"/>
          <w:color w:val="000000" w:themeColor="text1"/>
          <w:sz w:val="20"/>
          <w:szCs w:val="20"/>
        </w:rPr>
        <w:t xml:space="preserve"> Enhancing soil health and productivity of </w:t>
      </w:r>
      <w:r>
        <w:rPr>
          <w:rFonts w:ascii="Arial" w:hAnsi="Arial" w:cs="Arial"/>
          <w:i/>
          <w:iCs/>
          <w:color w:val="000000" w:themeColor="text1"/>
          <w:sz w:val="20"/>
          <w:szCs w:val="20"/>
        </w:rPr>
        <w:t>Lycopersicon esculentum Mill.</w:t>
      </w:r>
      <w:r>
        <w:rPr>
          <w:rFonts w:ascii="Arial" w:hAnsi="Arial" w:cs="Arial"/>
          <w:color w:val="000000" w:themeColor="text1"/>
          <w:sz w:val="20"/>
          <w:szCs w:val="20"/>
        </w:rPr>
        <w:t xml:space="preserve"> using </w:t>
      </w:r>
      <w:proofErr w:type="spellStart"/>
      <w:r>
        <w:rPr>
          <w:rFonts w:ascii="Arial" w:hAnsi="Arial" w:cs="Arial"/>
          <w:i/>
          <w:iCs/>
          <w:color w:val="000000" w:themeColor="text1"/>
          <w:sz w:val="20"/>
          <w:szCs w:val="20"/>
        </w:rPr>
        <w:t>Sargassum</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johnstonii</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Setchell</w:t>
      </w:r>
      <w:proofErr w:type="spellEnd"/>
      <w:r>
        <w:rPr>
          <w:rFonts w:ascii="Arial" w:hAnsi="Arial" w:cs="Arial"/>
          <w:i/>
          <w:iCs/>
          <w:color w:val="000000" w:themeColor="text1"/>
          <w:sz w:val="20"/>
          <w:szCs w:val="20"/>
        </w:rPr>
        <w:t xml:space="preserve"> &amp; Gardner</w:t>
      </w:r>
      <w:r>
        <w:rPr>
          <w:rFonts w:ascii="Arial" w:hAnsi="Arial" w:cs="Arial"/>
          <w:color w:val="000000" w:themeColor="text1"/>
          <w:sz w:val="20"/>
          <w:szCs w:val="20"/>
        </w:rPr>
        <w:t xml:space="preserve"> as a soil conditioner and fertilizer. </w:t>
      </w:r>
      <w:r>
        <w:rPr>
          <w:rFonts w:ascii="Arial" w:hAnsi="Arial" w:cs="Arial"/>
          <w:i/>
          <w:iCs/>
          <w:color w:val="000000" w:themeColor="text1"/>
          <w:sz w:val="20"/>
          <w:szCs w:val="20"/>
        </w:rPr>
        <w:t>Journal of Applied Phycology</w:t>
      </w:r>
      <w:r>
        <w:rPr>
          <w:rFonts w:ascii="Arial" w:hAnsi="Arial" w:cs="Arial"/>
          <w:color w:val="000000" w:themeColor="text1"/>
          <w:sz w:val="20"/>
          <w:szCs w:val="20"/>
        </w:rPr>
        <w:t>. 25: 1225-1235.</w:t>
      </w:r>
    </w:p>
    <w:p w14:paraId="2BBDB17E" w14:textId="77777777" w:rsidR="0073372A" w:rsidRDefault="0073372A">
      <w:pPr>
        <w:spacing w:after="120" w:line="240" w:lineRule="auto"/>
        <w:jc w:val="both"/>
        <w:rPr>
          <w:rFonts w:ascii="Arial" w:hAnsi="Arial" w:cs="Arial"/>
          <w:color w:val="000000" w:themeColor="text1"/>
          <w:sz w:val="20"/>
          <w:szCs w:val="20"/>
        </w:rPr>
      </w:pPr>
      <w:proofErr w:type="spellStart"/>
      <w:r>
        <w:rPr>
          <w:rFonts w:ascii="Arial" w:hAnsi="Arial" w:cs="Arial"/>
          <w:color w:val="000000" w:themeColor="text1"/>
          <w:sz w:val="20"/>
          <w:szCs w:val="20"/>
        </w:rPr>
        <w:t>Lal</w:t>
      </w:r>
      <w:proofErr w:type="spellEnd"/>
      <w:r>
        <w:rPr>
          <w:rFonts w:ascii="Arial" w:hAnsi="Arial" w:cs="Arial"/>
          <w:color w:val="000000" w:themeColor="text1"/>
          <w:sz w:val="20"/>
          <w:szCs w:val="20"/>
        </w:rPr>
        <w:t xml:space="preserve">, R. 2004. </w:t>
      </w:r>
      <w:proofErr w:type="gramStart"/>
      <w:r>
        <w:rPr>
          <w:rFonts w:ascii="Arial" w:hAnsi="Arial" w:cs="Arial"/>
          <w:color w:val="000000" w:themeColor="text1"/>
          <w:sz w:val="20"/>
          <w:szCs w:val="20"/>
        </w:rPr>
        <w:t xml:space="preserve">Soil carbon sequestration to mitigate climate </w:t>
      </w:r>
      <w:proofErr w:type="spellStart"/>
      <w:r>
        <w:rPr>
          <w:rFonts w:ascii="Arial" w:hAnsi="Arial" w:cs="Arial"/>
          <w:color w:val="000000" w:themeColor="text1"/>
          <w:sz w:val="20"/>
          <w:szCs w:val="20"/>
        </w:rPr>
        <w:t>change.</w:t>
      </w:r>
      <w:r>
        <w:rPr>
          <w:rFonts w:ascii="Arial" w:hAnsi="Arial" w:cs="Arial"/>
          <w:i/>
          <w:iCs/>
          <w:color w:val="000000" w:themeColor="text1"/>
          <w:sz w:val="20"/>
          <w:szCs w:val="20"/>
        </w:rPr>
        <w:t>Geoderma</w:t>
      </w:r>
      <w:proofErr w:type="spellEnd"/>
      <w:r>
        <w:rPr>
          <w:rFonts w:ascii="Arial" w:hAnsi="Arial" w:cs="Arial"/>
          <w:i/>
          <w:iCs/>
          <w:color w:val="000000" w:themeColor="text1"/>
          <w:sz w:val="20"/>
          <w:szCs w:val="20"/>
        </w:rPr>
        <w:t>.</w:t>
      </w:r>
      <w:proofErr w:type="gramEnd"/>
      <w:r>
        <w:rPr>
          <w:rFonts w:ascii="Arial" w:hAnsi="Arial" w:cs="Arial"/>
          <w:color w:val="000000" w:themeColor="text1"/>
          <w:sz w:val="20"/>
          <w:szCs w:val="20"/>
        </w:rPr>
        <w:t> 123(1-2): 1-22.</w:t>
      </w:r>
    </w:p>
    <w:p w14:paraId="274F011F" w14:textId="77777777" w:rsidR="0073372A" w:rsidRDefault="0073372A">
      <w:pPr>
        <w:spacing w:after="120" w:line="240" w:lineRule="auto"/>
        <w:jc w:val="both"/>
        <w:rPr>
          <w:rFonts w:ascii="Arial" w:hAnsi="Arial" w:cs="Arial"/>
          <w:color w:val="000000" w:themeColor="text1"/>
          <w:sz w:val="20"/>
          <w:szCs w:val="20"/>
          <w:lang w:val="en-US"/>
        </w:rPr>
      </w:pPr>
      <w:proofErr w:type="spellStart"/>
      <w:r>
        <w:rPr>
          <w:rFonts w:ascii="Arial" w:hAnsi="Arial" w:cs="Arial"/>
          <w:color w:val="000000" w:themeColor="text1"/>
          <w:sz w:val="20"/>
          <w:szCs w:val="20"/>
          <w:lang w:val="en-US"/>
        </w:rPr>
        <w:t>Lourduraj</w:t>
      </w:r>
      <w:proofErr w:type="spellEnd"/>
      <w:r>
        <w:rPr>
          <w:rFonts w:ascii="Arial" w:hAnsi="Arial" w:cs="Arial"/>
          <w:color w:val="000000" w:themeColor="text1"/>
          <w:sz w:val="20"/>
          <w:szCs w:val="20"/>
          <w:lang w:val="en-US"/>
        </w:rPr>
        <w:t>, A.C. 1999. Nutrient management in groundnut (</w:t>
      </w:r>
      <w:r>
        <w:rPr>
          <w:rFonts w:ascii="Arial" w:hAnsi="Arial" w:cs="Arial"/>
          <w:i/>
          <w:color w:val="000000" w:themeColor="text1"/>
          <w:sz w:val="20"/>
          <w:szCs w:val="20"/>
          <w:lang w:val="en-US"/>
        </w:rPr>
        <w:t>Arachis hypogaea</w:t>
      </w:r>
      <w:r>
        <w:rPr>
          <w:rFonts w:ascii="Arial" w:hAnsi="Arial" w:cs="Arial"/>
          <w:color w:val="000000" w:themeColor="text1"/>
          <w:sz w:val="20"/>
          <w:szCs w:val="20"/>
          <w:lang w:val="en-US"/>
        </w:rPr>
        <w:t xml:space="preserve"> L.) cultivation. A review. </w:t>
      </w:r>
      <w:r>
        <w:rPr>
          <w:rFonts w:ascii="Arial" w:hAnsi="Arial" w:cs="Arial"/>
          <w:i/>
          <w:iCs/>
          <w:color w:val="000000" w:themeColor="text1"/>
          <w:sz w:val="20"/>
          <w:szCs w:val="20"/>
          <w:lang w:val="en-US"/>
        </w:rPr>
        <w:t>Agriculture Review</w:t>
      </w:r>
      <w:r>
        <w:rPr>
          <w:rFonts w:ascii="Arial" w:hAnsi="Arial" w:cs="Arial"/>
          <w:color w:val="000000" w:themeColor="text1"/>
          <w:sz w:val="20"/>
          <w:szCs w:val="20"/>
          <w:lang w:val="en-US"/>
        </w:rPr>
        <w:t>. 20(1): 14-20.</w:t>
      </w:r>
    </w:p>
    <w:p w14:paraId="1CEACDA4" w14:textId="77777777" w:rsidR="0073372A" w:rsidRDefault="0073372A">
      <w:pPr>
        <w:spacing w:after="120" w:line="240" w:lineRule="auto"/>
        <w:jc w:val="both"/>
        <w:rPr>
          <w:rFonts w:ascii="Arial" w:hAnsi="Arial" w:cs="Arial"/>
          <w:color w:val="000000" w:themeColor="text1"/>
          <w:sz w:val="20"/>
          <w:szCs w:val="20"/>
        </w:rPr>
      </w:pPr>
      <w:proofErr w:type="spellStart"/>
      <w:proofErr w:type="gramStart"/>
      <w:r>
        <w:rPr>
          <w:rFonts w:ascii="Arial" w:hAnsi="Arial" w:cs="Arial"/>
          <w:bCs/>
          <w:color w:val="000000" w:themeColor="text1"/>
          <w:sz w:val="20"/>
          <w:szCs w:val="20"/>
        </w:rPr>
        <w:t>Majumder</w:t>
      </w:r>
      <w:proofErr w:type="spellEnd"/>
      <w:r>
        <w:rPr>
          <w:rFonts w:ascii="Arial" w:hAnsi="Arial" w:cs="Arial"/>
          <w:bCs/>
          <w:color w:val="000000" w:themeColor="text1"/>
          <w:sz w:val="20"/>
          <w:szCs w:val="20"/>
        </w:rPr>
        <w:t xml:space="preserve">, B., </w:t>
      </w:r>
      <w:proofErr w:type="spellStart"/>
      <w:r>
        <w:rPr>
          <w:rFonts w:ascii="Arial" w:hAnsi="Arial" w:cs="Arial"/>
          <w:bCs/>
          <w:color w:val="000000" w:themeColor="text1"/>
          <w:sz w:val="20"/>
          <w:szCs w:val="20"/>
        </w:rPr>
        <w:t>Mandal</w:t>
      </w:r>
      <w:proofErr w:type="spellEnd"/>
      <w:r>
        <w:rPr>
          <w:rFonts w:ascii="Arial" w:hAnsi="Arial" w:cs="Arial"/>
          <w:bCs/>
          <w:color w:val="000000" w:themeColor="text1"/>
          <w:sz w:val="20"/>
          <w:szCs w:val="20"/>
        </w:rPr>
        <w:t xml:space="preserve">, B., </w:t>
      </w:r>
      <w:proofErr w:type="spellStart"/>
      <w:r>
        <w:rPr>
          <w:rFonts w:ascii="Arial" w:hAnsi="Arial" w:cs="Arial"/>
          <w:bCs/>
          <w:color w:val="000000" w:themeColor="text1"/>
          <w:sz w:val="20"/>
          <w:szCs w:val="20"/>
        </w:rPr>
        <w:t>Bandyopadhyay</w:t>
      </w:r>
      <w:proofErr w:type="spellEnd"/>
      <w:r>
        <w:rPr>
          <w:rFonts w:ascii="Arial" w:hAnsi="Arial" w:cs="Arial"/>
          <w:bCs/>
          <w:color w:val="000000" w:themeColor="text1"/>
          <w:sz w:val="20"/>
          <w:szCs w:val="20"/>
        </w:rPr>
        <w:t xml:space="preserve">, P. K., &amp; </w:t>
      </w:r>
      <w:proofErr w:type="spellStart"/>
      <w:r>
        <w:rPr>
          <w:rFonts w:ascii="Arial" w:hAnsi="Arial" w:cs="Arial"/>
          <w:bCs/>
          <w:color w:val="000000" w:themeColor="text1"/>
          <w:sz w:val="20"/>
          <w:szCs w:val="20"/>
        </w:rPr>
        <w:t>Chaudhury</w:t>
      </w:r>
      <w:proofErr w:type="spellEnd"/>
      <w:r>
        <w:rPr>
          <w:rFonts w:ascii="Arial" w:hAnsi="Arial" w:cs="Arial"/>
          <w:bCs/>
          <w:color w:val="000000" w:themeColor="text1"/>
          <w:sz w:val="20"/>
          <w:szCs w:val="20"/>
        </w:rPr>
        <w:t>, J.</w:t>
      </w:r>
      <w:r>
        <w:rPr>
          <w:rFonts w:ascii="Arial" w:hAnsi="Arial" w:cs="Arial"/>
          <w:color w:val="000000" w:themeColor="text1"/>
          <w:sz w:val="20"/>
          <w:szCs w:val="20"/>
        </w:rPr>
        <w:t xml:space="preserve"> (2008).</w:t>
      </w:r>
      <w:proofErr w:type="gramEnd"/>
      <w:r>
        <w:rPr>
          <w:rFonts w:ascii="Arial" w:hAnsi="Arial" w:cs="Arial"/>
          <w:color w:val="000000" w:themeColor="text1"/>
          <w:sz w:val="20"/>
          <w:szCs w:val="20"/>
        </w:rPr>
        <w:t xml:space="preserve"> Soil organic carbon pools and productivity relationships for a rice–wheat cropping system under long-term fertilizer treatments. </w:t>
      </w:r>
      <w:r>
        <w:rPr>
          <w:rFonts w:ascii="Arial" w:hAnsi="Arial" w:cs="Arial"/>
          <w:i/>
          <w:iCs/>
          <w:color w:val="000000" w:themeColor="text1"/>
          <w:sz w:val="20"/>
          <w:szCs w:val="20"/>
        </w:rPr>
        <w:t>Soil and Tillage Research, 98</w:t>
      </w:r>
      <w:r>
        <w:rPr>
          <w:rFonts w:ascii="Arial" w:hAnsi="Arial" w:cs="Arial"/>
          <w:color w:val="000000" w:themeColor="text1"/>
          <w:sz w:val="20"/>
          <w:szCs w:val="20"/>
        </w:rPr>
        <w:t>(2), 253–262</w:t>
      </w:r>
    </w:p>
    <w:p w14:paraId="76DFDC13" w14:textId="77777777" w:rsidR="0073372A" w:rsidRDefault="0073372A">
      <w:pPr>
        <w:spacing w:after="120" w:line="240" w:lineRule="auto"/>
        <w:jc w:val="both"/>
        <w:rPr>
          <w:rFonts w:ascii="Arial" w:hAnsi="Arial" w:cs="Arial"/>
          <w:color w:val="000000" w:themeColor="text1"/>
          <w:sz w:val="20"/>
          <w:szCs w:val="20"/>
        </w:rPr>
      </w:pPr>
      <w:proofErr w:type="spellStart"/>
      <w:proofErr w:type="gramStart"/>
      <w:r>
        <w:rPr>
          <w:rFonts w:ascii="Arial" w:hAnsi="Arial" w:cs="Arial"/>
          <w:bCs/>
          <w:color w:val="000000" w:themeColor="text1"/>
          <w:sz w:val="20"/>
          <w:szCs w:val="20"/>
        </w:rPr>
        <w:t>Mandal</w:t>
      </w:r>
      <w:proofErr w:type="spellEnd"/>
      <w:r>
        <w:rPr>
          <w:rFonts w:ascii="Arial" w:hAnsi="Arial" w:cs="Arial"/>
          <w:bCs/>
          <w:color w:val="000000" w:themeColor="text1"/>
          <w:sz w:val="20"/>
          <w:szCs w:val="20"/>
        </w:rPr>
        <w:t xml:space="preserve">, B., </w:t>
      </w:r>
      <w:proofErr w:type="spellStart"/>
      <w:r>
        <w:rPr>
          <w:rFonts w:ascii="Arial" w:hAnsi="Arial" w:cs="Arial"/>
          <w:bCs/>
          <w:color w:val="000000" w:themeColor="text1"/>
          <w:sz w:val="20"/>
          <w:szCs w:val="20"/>
        </w:rPr>
        <w:t>Majumder</w:t>
      </w:r>
      <w:proofErr w:type="spellEnd"/>
      <w:r>
        <w:rPr>
          <w:rFonts w:ascii="Arial" w:hAnsi="Arial" w:cs="Arial"/>
          <w:bCs/>
          <w:color w:val="000000" w:themeColor="text1"/>
          <w:sz w:val="20"/>
          <w:szCs w:val="20"/>
        </w:rPr>
        <w:t xml:space="preserve">, B., </w:t>
      </w:r>
      <w:proofErr w:type="spellStart"/>
      <w:r>
        <w:rPr>
          <w:rFonts w:ascii="Arial" w:hAnsi="Arial" w:cs="Arial"/>
          <w:bCs/>
          <w:color w:val="000000" w:themeColor="text1"/>
          <w:sz w:val="20"/>
          <w:szCs w:val="20"/>
        </w:rPr>
        <w:t>Bandopadhyay</w:t>
      </w:r>
      <w:proofErr w:type="spellEnd"/>
      <w:r>
        <w:rPr>
          <w:rFonts w:ascii="Arial" w:hAnsi="Arial" w:cs="Arial"/>
          <w:bCs/>
          <w:color w:val="000000" w:themeColor="text1"/>
          <w:sz w:val="20"/>
          <w:szCs w:val="20"/>
        </w:rPr>
        <w:t xml:space="preserve">, K. K., </w:t>
      </w:r>
      <w:proofErr w:type="spellStart"/>
      <w:r>
        <w:rPr>
          <w:rFonts w:ascii="Arial" w:hAnsi="Arial" w:cs="Arial"/>
          <w:bCs/>
          <w:color w:val="000000" w:themeColor="text1"/>
          <w:sz w:val="20"/>
          <w:szCs w:val="20"/>
        </w:rPr>
        <w:t>Hazra</w:t>
      </w:r>
      <w:proofErr w:type="spellEnd"/>
      <w:r>
        <w:rPr>
          <w:rFonts w:ascii="Arial" w:hAnsi="Arial" w:cs="Arial"/>
          <w:bCs/>
          <w:color w:val="000000" w:themeColor="text1"/>
          <w:sz w:val="20"/>
          <w:szCs w:val="20"/>
        </w:rPr>
        <w:t xml:space="preserve">, G. C., </w:t>
      </w:r>
      <w:proofErr w:type="spellStart"/>
      <w:r>
        <w:rPr>
          <w:rFonts w:ascii="Arial" w:hAnsi="Arial" w:cs="Arial"/>
          <w:bCs/>
          <w:color w:val="000000" w:themeColor="text1"/>
          <w:sz w:val="20"/>
          <w:szCs w:val="20"/>
        </w:rPr>
        <w:t>Gangopadhyay</w:t>
      </w:r>
      <w:proofErr w:type="spellEnd"/>
      <w:r>
        <w:rPr>
          <w:rFonts w:ascii="Arial" w:hAnsi="Arial" w:cs="Arial"/>
          <w:bCs/>
          <w:color w:val="000000" w:themeColor="text1"/>
          <w:sz w:val="20"/>
          <w:szCs w:val="20"/>
        </w:rPr>
        <w:t xml:space="preserve">, A., </w:t>
      </w:r>
      <w:proofErr w:type="spellStart"/>
      <w:r>
        <w:rPr>
          <w:rFonts w:ascii="Arial" w:hAnsi="Arial" w:cs="Arial"/>
          <w:bCs/>
          <w:color w:val="000000" w:themeColor="text1"/>
          <w:sz w:val="20"/>
          <w:szCs w:val="20"/>
        </w:rPr>
        <w:t>Sarkar</w:t>
      </w:r>
      <w:proofErr w:type="spellEnd"/>
      <w:r>
        <w:rPr>
          <w:rFonts w:ascii="Arial" w:hAnsi="Arial" w:cs="Arial"/>
          <w:bCs/>
          <w:color w:val="000000" w:themeColor="text1"/>
          <w:sz w:val="20"/>
          <w:szCs w:val="20"/>
        </w:rPr>
        <w:t xml:space="preserve">, D.,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(2007).</w:t>
      </w:r>
      <w:proofErr w:type="gramEnd"/>
      <w:r>
        <w:rPr>
          <w:rFonts w:ascii="Arial" w:hAnsi="Arial" w:cs="Arial"/>
          <w:color w:val="000000" w:themeColor="text1"/>
          <w:sz w:val="20"/>
          <w:szCs w:val="20"/>
        </w:rPr>
        <w:t xml:space="preserve"> Organic amendments influence soil organic carbon pools and crop productivity in an intensive rice–wheat system. </w:t>
      </w:r>
      <w:r>
        <w:rPr>
          <w:rFonts w:ascii="Arial" w:hAnsi="Arial" w:cs="Arial"/>
          <w:i/>
          <w:iCs/>
          <w:color w:val="000000" w:themeColor="text1"/>
          <w:sz w:val="20"/>
          <w:szCs w:val="20"/>
        </w:rPr>
        <w:t>Soil Science Society of America Journal, 71</w:t>
      </w:r>
      <w:r>
        <w:rPr>
          <w:rFonts w:ascii="Arial" w:hAnsi="Arial" w:cs="Arial"/>
          <w:color w:val="000000" w:themeColor="text1"/>
          <w:sz w:val="20"/>
          <w:szCs w:val="20"/>
        </w:rPr>
        <w:t xml:space="preserve">(2), 488–494. </w:t>
      </w:r>
    </w:p>
    <w:p w14:paraId="050ABA65" w14:textId="77777777" w:rsidR="0073372A" w:rsidRDefault="0073372A">
      <w:pPr>
        <w:pStyle w:val="BodyText"/>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McGill, W.B., Cannon, K.R., Robertson, J.A and Cook, F.D. 1986. Dynamics of soil microbial biomass and water soluble organic C in Breton L after 50 years of cropping to two rotations. </w:t>
      </w:r>
      <w:r>
        <w:rPr>
          <w:rStyle w:val="Emphasis"/>
          <w:rFonts w:ascii="Arial" w:hAnsi="Arial" w:cs="Arial"/>
          <w:color w:val="000000" w:themeColor="text1"/>
          <w:sz w:val="20"/>
          <w:szCs w:val="20"/>
        </w:rPr>
        <w:t>Canadian Journal of Soil Science</w:t>
      </w:r>
      <w:r>
        <w:rPr>
          <w:rFonts w:ascii="Arial" w:hAnsi="Arial" w:cs="Arial"/>
          <w:color w:val="000000" w:themeColor="text1"/>
          <w:sz w:val="20"/>
          <w:szCs w:val="20"/>
        </w:rPr>
        <w:t>. 66(1): 1-19.</w:t>
      </w:r>
    </w:p>
    <w:p w14:paraId="079D60FA" w14:textId="77777777" w:rsidR="0073372A" w:rsidRDefault="0073372A">
      <w:pPr>
        <w:spacing w:after="120" w:line="240" w:lineRule="auto"/>
        <w:jc w:val="both"/>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Mondal</w:t>
      </w:r>
      <w:proofErr w:type="spellEnd"/>
      <w:r>
        <w:rPr>
          <w:rFonts w:ascii="Arial" w:hAnsi="Arial" w:cs="Arial"/>
          <w:color w:val="000000" w:themeColor="text1"/>
          <w:sz w:val="20"/>
          <w:szCs w:val="20"/>
        </w:rPr>
        <w:t>, S., Saha, A and Bandyopadhyay, S.K. 2020.</w:t>
      </w:r>
      <w:proofErr w:type="gramEnd"/>
      <w:r>
        <w:rPr>
          <w:rFonts w:ascii="Arial" w:hAnsi="Arial" w:cs="Arial"/>
          <w:color w:val="000000" w:themeColor="text1"/>
          <w:sz w:val="20"/>
          <w:szCs w:val="20"/>
        </w:rPr>
        <w:t xml:space="preserve"> Effect of organic manures on different carbon pools under rice-rice cropping sequence. </w:t>
      </w:r>
      <w:r>
        <w:rPr>
          <w:rFonts w:ascii="Arial" w:hAnsi="Arial" w:cs="Arial"/>
          <w:i/>
          <w:iCs/>
          <w:color w:val="000000" w:themeColor="text1"/>
          <w:sz w:val="20"/>
          <w:szCs w:val="20"/>
        </w:rPr>
        <w:t>Agricultural Research</w:t>
      </w:r>
      <w:r>
        <w:rPr>
          <w:rFonts w:ascii="Arial" w:hAnsi="Arial" w:cs="Arial"/>
          <w:color w:val="000000" w:themeColor="text1"/>
          <w:sz w:val="20"/>
          <w:szCs w:val="20"/>
        </w:rPr>
        <w:t>.9(1): 105-112.</w:t>
      </w:r>
    </w:p>
    <w:p w14:paraId="3B9E17B5" w14:textId="77777777" w:rsidR="0073372A" w:rsidRDefault="0073372A">
      <w:pPr>
        <w:pStyle w:val="NormalWeb"/>
        <w:spacing w:after="120" w:line="240" w:lineRule="auto"/>
        <w:jc w:val="both"/>
        <w:rPr>
          <w:rFonts w:ascii="Arial" w:hAnsi="Arial" w:cs="Arial"/>
          <w:color w:val="000000" w:themeColor="text1"/>
          <w:sz w:val="20"/>
          <w:szCs w:val="20"/>
        </w:rPr>
      </w:pPr>
      <w:proofErr w:type="gramStart"/>
      <w:r>
        <w:rPr>
          <w:rFonts w:ascii="Arial" w:hAnsi="Arial" w:cs="Arial"/>
          <w:color w:val="000000" w:themeColor="text1"/>
          <w:sz w:val="20"/>
          <w:szCs w:val="20"/>
        </w:rPr>
        <w:t>Piper, C.S. 1950.</w:t>
      </w:r>
      <w:proofErr w:type="gramEnd"/>
      <w:r>
        <w:rPr>
          <w:rFonts w:ascii="Arial" w:hAnsi="Arial" w:cs="Arial"/>
          <w:color w:val="000000" w:themeColor="text1"/>
          <w:sz w:val="20"/>
          <w:szCs w:val="20"/>
        </w:rPr>
        <w:t xml:space="preserve"> </w:t>
      </w:r>
      <w:r>
        <w:rPr>
          <w:rStyle w:val="Emphasis"/>
          <w:rFonts w:ascii="Arial" w:hAnsi="Arial" w:cs="Arial"/>
          <w:color w:val="000000" w:themeColor="text1"/>
          <w:sz w:val="20"/>
          <w:szCs w:val="20"/>
        </w:rPr>
        <w:t>Soil and Plant Analysis</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Interscience</w:t>
      </w:r>
      <w:proofErr w:type="spellEnd"/>
      <w:r>
        <w:rPr>
          <w:rFonts w:ascii="Arial" w:hAnsi="Arial" w:cs="Arial"/>
          <w:color w:val="000000" w:themeColor="text1"/>
          <w:sz w:val="20"/>
          <w:szCs w:val="20"/>
        </w:rPr>
        <w:t xml:space="preserve"> Publishers, New York, USA.</w:t>
      </w:r>
    </w:p>
    <w:p w14:paraId="3B006022" w14:textId="77777777" w:rsidR="0073372A" w:rsidRPr="00737522" w:rsidRDefault="0073372A" w:rsidP="00737522">
      <w:pPr>
        <w:spacing w:after="120" w:line="240" w:lineRule="auto"/>
        <w:jc w:val="both"/>
        <w:rPr>
          <w:rFonts w:ascii="Arial" w:hAnsi="Arial" w:cs="Arial"/>
          <w:color w:val="000000" w:themeColor="text1"/>
          <w:sz w:val="20"/>
          <w:szCs w:val="20"/>
        </w:rPr>
      </w:pPr>
      <w:proofErr w:type="gramStart"/>
      <w:r w:rsidRPr="00737522">
        <w:rPr>
          <w:rFonts w:ascii="Arial" w:hAnsi="Arial" w:cs="Arial"/>
          <w:color w:val="000000" w:themeColor="text1"/>
          <w:sz w:val="20"/>
          <w:szCs w:val="20"/>
        </w:rPr>
        <w:lastRenderedPageBreak/>
        <w:t xml:space="preserve">Reddy, G.K., Sharma, S.H.K </w:t>
      </w:r>
      <w:proofErr w:type="spellStart"/>
      <w:r w:rsidRPr="00737522">
        <w:rPr>
          <w:rFonts w:ascii="Arial" w:hAnsi="Arial" w:cs="Arial"/>
          <w:color w:val="000000" w:themeColor="text1"/>
          <w:sz w:val="20"/>
          <w:szCs w:val="20"/>
        </w:rPr>
        <w:t>Chandrashaker</w:t>
      </w:r>
      <w:proofErr w:type="spellEnd"/>
      <w:r w:rsidRPr="00737522">
        <w:rPr>
          <w:rFonts w:ascii="Arial" w:hAnsi="Arial" w:cs="Arial"/>
          <w:color w:val="000000" w:themeColor="text1"/>
          <w:sz w:val="20"/>
          <w:szCs w:val="20"/>
        </w:rPr>
        <w:t>, K., Ravi, P., Singh, M and Ravi, W</w:t>
      </w:r>
      <w:r>
        <w:rPr>
          <w:rFonts w:ascii="Arial" w:hAnsi="Arial" w:cs="Arial"/>
          <w:color w:val="000000" w:themeColor="text1"/>
          <w:sz w:val="20"/>
          <w:szCs w:val="20"/>
        </w:rPr>
        <w:t>. 2019.</w:t>
      </w:r>
      <w:proofErr w:type="gramEnd"/>
      <w:r>
        <w:rPr>
          <w:rFonts w:ascii="Arial" w:hAnsi="Arial" w:cs="Arial"/>
          <w:color w:val="000000" w:themeColor="text1"/>
          <w:sz w:val="20"/>
          <w:szCs w:val="20"/>
        </w:rPr>
        <w:t xml:space="preserve"> </w:t>
      </w:r>
      <w:r w:rsidRPr="00737522">
        <w:rPr>
          <w:rFonts w:ascii="Arial" w:hAnsi="Arial" w:cs="Arial"/>
          <w:color w:val="000000" w:themeColor="text1"/>
          <w:sz w:val="20"/>
          <w:szCs w:val="20"/>
        </w:rPr>
        <w:t xml:space="preserve">Long Term Effect (17 Years) of Different Nutrient Management Practices on Crop Yield Trends, Soil Productivity and Sustainability in Rice-rice Cropping System under </w:t>
      </w:r>
      <w:proofErr w:type="spellStart"/>
      <w:r w:rsidRPr="00737522">
        <w:rPr>
          <w:rFonts w:ascii="Arial" w:hAnsi="Arial" w:cs="Arial"/>
          <w:color w:val="000000" w:themeColor="text1"/>
          <w:sz w:val="20"/>
          <w:szCs w:val="20"/>
        </w:rPr>
        <w:t>Semi Arid</w:t>
      </w:r>
      <w:proofErr w:type="spellEnd"/>
      <w:r w:rsidRPr="00737522">
        <w:rPr>
          <w:rFonts w:ascii="Arial" w:hAnsi="Arial" w:cs="Arial"/>
          <w:color w:val="000000" w:themeColor="text1"/>
          <w:sz w:val="20"/>
          <w:szCs w:val="20"/>
        </w:rPr>
        <w:t xml:space="preserve"> Tropical Climatic Cond</w:t>
      </w:r>
      <w:r>
        <w:rPr>
          <w:rFonts w:ascii="Arial" w:hAnsi="Arial" w:cs="Arial"/>
          <w:color w:val="000000" w:themeColor="text1"/>
          <w:sz w:val="20"/>
          <w:szCs w:val="20"/>
        </w:rPr>
        <w:t xml:space="preserve">ition in an </w:t>
      </w:r>
      <w:proofErr w:type="spellStart"/>
      <w:r>
        <w:rPr>
          <w:rFonts w:ascii="Arial" w:hAnsi="Arial" w:cs="Arial"/>
          <w:color w:val="000000" w:themeColor="text1"/>
          <w:sz w:val="20"/>
          <w:szCs w:val="20"/>
        </w:rPr>
        <w:t>Inceptisol</w:t>
      </w:r>
      <w:proofErr w:type="spellEnd"/>
      <w:r>
        <w:rPr>
          <w:rFonts w:ascii="Arial" w:hAnsi="Arial" w:cs="Arial"/>
          <w:color w:val="000000" w:themeColor="text1"/>
          <w:sz w:val="20"/>
          <w:szCs w:val="20"/>
        </w:rPr>
        <w:t xml:space="preserve"> of India. </w:t>
      </w:r>
      <w:r w:rsidRPr="00737522">
        <w:rPr>
          <w:rFonts w:ascii="Arial" w:hAnsi="Arial" w:cs="Arial"/>
          <w:color w:val="000000" w:themeColor="text1"/>
          <w:sz w:val="20"/>
          <w:szCs w:val="20"/>
        </w:rPr>
        <w:t xml:space="preserve"> </w:t>
      </w:r>
      <w:proofErr w:type="gramStart"/>
      <w:r w:rsidRPr="0073372A">
        <w:rPr>
          <w:rFonts w:ascii="Arial" w:hAnsi="Arial" w:cs="Arial"/>
          <w:i/>
          <w:color w:val="000000" w:themeColor="text1"/>
          <w:sz w:val="20"/>
          <w:szCs w:val="20"/>
        </w:rPr>
        <w:t>International Research Journal of Pure &amp; Applied Chemistry</w:t>
      </w:r>
      <w:r>
        <w:rPr>
          <w:rFonts w:ascii="Arial" w:hAnsi="Arial" w:cs="Arial"/>
          <w:color w:val="000000" w:themeColor="text1"/>
          <w:sz w:val="20"/>
          <w:szCs w:val="20"/>
        </w:rPr>
        <w:t>.</w:t>
      </w:r>
      <w:proofErr w:type="gramEnd"/>
      <w:r>
        <w:rPr>
          <w:rFonts w:ascii="Arial" w:hAnsi="Arial" w:cs="Arial"/>
          <w:color w:val="000000" w:themeColor="text1"/>
          <w:sz w:val="20"/>
          <w:szCs w:val="20"/>
        </w:rPr>
        <w:t xml:space="preserve"> </w:t>
      </w:r>
      <w:r w:rsidRPr="0073372A">
        <w:rPr>
          <w:rFonts w:ascii="Arial" w:hAnsi="Arial" w:cs="Arial"/>
          <w:color w:val="000000" w:themeColor="text1"/>
          <w:sz w:val="20"/>
          <w:szCs w:val="20"/>
        </w:rPr>
        <w:t>20(3): 1-14</w:t>
      </w:r>
      <w:r>
        <w:rPr>
          <w:rFonts w:ascii="Arial" w:hAnsi="Arial" w:cs="Arial"/>
          <w:color w:val="000000" w:themeColor="text1"/>
          <w:sz w:val="20"/>
          <w:szCs w:val="20"/>
        </w:rPr>
        <w:t xml:space="preserve">. </w:t>
      </w:r>
    </w:p>
    <w:p w14:paraId="1874C8FA" w14:textId="77777777" w:rsidR="0073372A" w:rsidRDefault="0073372A">
      <w:pPr>
        <w:spacing w:after="120" w:line="240" w:lineRule="auto"/>
        <w:jc w:val="both"/>
        <w:rPr>
          <w:rFonts w:ascii="Arial" w:hAnsi="Arial" w:cs="Arial"/>
          <w:color w:val="000000" w:themeColor="text1"/>
          <w:sz w:val="20"/>
          <w:szCs w:val="20"/>
          <w:lang w:val="en-US"/>
        </w:rPr>
      </w:pPr>
      <w:proofErr w:type="spellStart"/>
      <w:r>
        <w:rPr>
          <w:rFonts w:ascii="Arial" w:hAnsi="Arial" w:cs="Arial"/>
          <w:bCs/>
          <w:color w:val="000000" w:themeColor="text1"/>
          <w:sz w:val="20"/>
          <w:szCs w:val="20"/>
          <w:lang w:val="en-US"/>
        </w:rPr>
        <w:t>Sarkar</w:t>
      </w:r>
      <w:proofErr w:type="spellEnd"/>
      <w:r>
        <w:rPr>
          <w:rFonts w:ascii="Arial" w:hAnsi="Arial" w:cs="Arial"/>
          <w:bCs/>
          <w:color w:val="000000" w:themeColor="text1"/>
          <w:sz w:val="20"/>
          <w:szCs w:val="20"/>
          <w:lang w:val="en-US"/>
        </w:rPr>
        <w:t>, D., Bhaduri, D and Ranjan, S.</w:t>
      </w:r>
      <w:r>
        <w:rPr>
          <w:rFonts w:ascii="Arial" w:hAnsi="Arial" w:cs="Arial"/>
          <w:color w:val="000000" w:themeColor="text1"/>
          <w:sz w:val="20"/>
          <w:szCs w:val="20"/>
          <w:lang w:val="en-US"/>
        </w:rPr>
        <w:t xml:space="preserve"> 2003. Effects of organic materials on soil properties and crop yield. </w:t>
      </w:r>
      <w:r>
        <w:rPr>
          <w:rFonts w:ascii="Arial" w:hAnsi="Arial" w:cs="Arial"/>
          <w:i/>
          <w:iCs/>
          <w:color w:val="000000" w:themeColor="text1"/>
          <w:sz w:val="20"/>
          <w:szCs w:val="20"/>
          <w:lang w:val="en-US"/>
        </w:rPr>
        <w:t>Plants</w:t>
      </w:r>
      <w:r>
        <w:rPr>
          <w:rFonts w:ascii="Arial" w:hAnsi="Arial" w:cs="Arial"/>
          <w:color w:val="000000" w:themeColor="text1"/>
          <w:sz w:val="20"/>
          <w:szCs w:val="20"/>
          <w:lang w:val="en-US"/>
        </w:rPr>
        <w:t>.13(16): 22-50</w:t>
      </w:r>
    </w:p>
    <w:p w14:paraId="534EE361" w14:textId="77777777" w:rsidR="0073372A" w:rsidRDefault="0073372A">
      <w:pPr>
        <w:spacing w:after="120" w:line="240" w:lineRule="auto"/>
        <w:jc w:val="both"/>
        <w:rPr>
          <w:rFonts w:ascii="Arial" w:hAnsi="Arial" w:cs="Arial"/>
          <w:color w:val="000000" w:themeColor="text1"/>
          <w:sz w:val="20"/>
          <w:szCs w:val="20"/>
        </w:rPr>
      </w:pPr>
      <w:proofErr w:type="gramStart"/>
      <w:r>
        <w:rPr>
          <w:rFonts w:ascii="Arial" w:hAnsi="Arial" w:cs="Arial"/>
          <w:bCs/>
          <w:color w:val="000000" w:themeColor="text1"/>
          <w:sz w:val="20"/>
          <w:szCs w:val="20"/>
        </w:rPr>
        <w:t>Sharma, M.P., Bali, S.V and Gupta, D.K.</w:t>
      </w:r>
      <w:r>
        <w:rPr>
          <w:rFonts w:ascii="Arial" w:hAnsi="Arial" w:cs="Arial"/>
          <w:color w:val="000000" w:themeColor="text1"/>
          <w:sz w:val="20"/>
          <w:szCs w:val="20"/>
        </w:rPr>
        <w:t xml:space="preserve"> 2000.</w:t>
      </w:r>
      <w:proofErr w:type="gramEnd"/>
      <w:r>
        <w:rPr>
          <w:rFonts w:ascii="Arial" w:hAnsi="Arial" w:cs="Arial"/>
          <w:color w:val="000000" w:themeColor="text1"/>
          <w:sz w:val="20"/>
          <w:szCs w:val="20"/>
        </w:rPr>
        <w:t xml:space="preserve"> Crop yield and properties of </w:t>
      </w:r>
      <w:proofErr w:type="spellStart"/>
      <w:r>
        <w:rPr>
          <w:rFonts w:ascii="Arial" w:hAnsi="Arial" w:cs="Arial"/>
          <w:color w:val="000000" w:themeColor="text1"/>
          <w:sz w:val="20"/>
          <w:szCs w:val="20"/>
        </w:rPr>
        <w:t>Inceptisol</w:t>
      </w:r>
      <w:proofErr w:type="spellEnd"/>
      <w:r>
        <w:rPr>
          <w:rFonts w:ascii="Arial" w:hAnsi="Arial" w:cs="Arial"/>
          <w:color w:val="000000" w:themeColor="text1"/>
          <w:sz w:val="20"/>
          <w:szCs w:val="20"/>
        </w:rPr>
        <w:t xml:space="preserve"> as influenced by residue management under rice-wheat cropping sequence. </w:t>
      </w:r>
      <w:r>
        <w:rPr>
          <w:rFonts w:ascii="Arial" w:hAnsi="Arial" w:cs="Arial"/>
          <w:i/>
          <w:iCs/>
          <w:color w:val="000000" w:themeColor="text1"/>
          <w:sz w:val="20"/>
          <w:szCs w:val="20"/>
        </w:rPr>
        <w:t>Journal of the Indian Society of Soil Science.</w:t>
      </w:r>
      <w:r>
        <w:rPr>
          <w:rFonts w:ascii="Arial" w:hAnsi="Arial" w:cs="Arial"/>
          <w:color w:val="000000" w:themeColor="text1"/>
          <w:sz w:val="20"/>
          <w:szCs w:val="20"/>
        </w:rPr>
        <w:t xml:space="preserve"> 48(3):506-509.</w:t>
      </w:r>
    </w:p>
    <w:p w14:paraId="1475E1CC" w14:textId="77777777" w:rsidR="0073372A" w:rsidRDefault="0073372A">
      <w:pPr>
        <w:spacing w:after="120" w:line="240" w:lineRule="auto"/>
        <w:jc w:val="both"/>
        <w:rPr>
          <w:rFonts w:ascii="Arial" w:hAnsi="Arial" w:cs="Arial"/>
          <w:color w:val="000000" w:themeColor="text1"/>
          <w:sz w:val="20"/>
          <w:szCs w:val="20"/>
        </w:rPr>
      </w:pPr>
      <w:proofErr w:type="spellStart"/>
      <w:r>
        <w:rPr>
          <w:rFonts w:ascii="Arial" w:hAnsi="Arial" w:cs="Arial"/>
          <w:bCs/>
          <w:color w:val="000000" w:themeColor="text1"/>
          <w:sz w:val="20"/>
          <w:szCs w:val="20"/>
        </w:rPr>
        <w:t>Sohan</w:t>
      </w:r>
      <w:proofErr w:type="spellEnd"/>
      <w:r>
        <w:rPr>
          <w:rFonts w:ascii="Arial" w:hAnsi="Arial" w:cs="Arial"/>
          <w:bCs/>
          <w:color w:val="000000" w:themeColor="text1"/>
          <w:sz w:val="20"/>
          <w:szCs w:val="20"/>
        </w:rPr>
        <w:t xml:space="preserve">, S.W and </w:t>
      </w:r>
      <w:proofErr w:type="spellStart"/>
      <w:r>
        <w:rPr>
          <w:rFonts w:ascii="Arial" w:hAnsi="Arial" w:cs="Arial"/>
          <w:bCs/>
          <w:color w:val="000000" w:themeColor="text1"/>
          <w:sz w:val="20"/>
          <w:szCs w:val="20"/>
        </w:rPr>
        <w:t>Kler</w:t>
      </w:r>
      <w:proofErr w:type="spellEnd"/>
      <w:r>
        <w:rPr>
          <w:rFonts w:ascii="Arial" w:hAnsi="Arial" w:cs="Arial"/>
          <w:bCs/>
          <w:color w:val="000000" w:themeColor="text1"/>
          <w:sz w:val="20"/>
          <w:szCs w:val="20"/>
        </w:rPr>
        <w:t>, D.S.</w:t>
      </w:r>
      <w:r>
        <w:rPr>
          <w:rFonts w:ascii="Arial" w:hAnsi="Arial" w:cs="Arial"/>
          <w:color w:val="000000" w:themeColor="text1"/>
          <w:sz w:val="20"/>
          <w:szCs w:val="20"/>
        </w:rPr>
        <w:t xml:space="preserve"> 2007. Ecological studies on organic </w:t>
      </w:r>
      <w:r>
        <w:rPr>
          <w:rFonts w:ascii="Arial" w:hAnsi="Arial" w:cs="Arial"/>
          <w:i/>
          <w:iCs/>
          <w:color w:val="000000" w:themeColor="text1"/>
          <w:sz w:val="20"/>
          <w:szCs w:val="20"/>
        </w:rPr>
        <w:t xml:space="preserve">vs </w:t>
      </w:r>
      <w:r>
        <w:rPr>
          <w:rFonts w:ascii="Arial" w:hAnsi="Arial" w:cs="Arial"/>
          <w:color w:val="000000" w:themeColor="text1"/>
          <w:sz w:val="20"/>
          <w:szCs w:val="20"/>
        </w:rPr>
        <w:t xml:space="preserve">inorganic nutrient sources under diversified cropping systems. </w:t>
      </w:r>
      <w:r>
        <w:rPr>
          <w:rFonts w:ascii="Arial" w:hAnsi="Arial" w:cs="Arial"/>
          <w:i/>
          <w:iCs/>
          <w:color w:val="000000" w:themeColor="text1"/>
          <w:sz w:val="20"/>
          <w:szCs w:val="20"/>
        </w:rPr>
        <w:t>Indian Journal of Fertilizers.</w:t>
      </w:r>
      <w:r>
        <w:rPr>
          <w:rFonts w:ascii="Arial" w:hAnsi="Arial" w:cs="Arial"/>
          <w:color w:val="000000" w:themeColor="text1"/>
          <w:sz w:val="20"/>
          <w:szCs w:val="20"/>
        </w:rPr>
        <w:t xml:space="preserve"> 3(7): 55-62.</w:t>
      </w:r>
    </w:p>
    <w:p w14:paraId="0964159F" w14:textId="77777777" w:rsidR="0073372A" w:rsidRDefault="0073372A">
      <w:pPr>
        <w:spacing w:after="120" w:line="240" w:lineRule="auto"/>
        <w:jc w:val="both"/>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Srinivasarao</w:t>
      </w:r>
      <w:proofErr w:type="spellEnd"/>
      <w:r>
        <w:rPr>
          <w:rFonts w:ascii="Arial" w:hAnsi="Arial" w:cs="Arial"/>
          <w:color w:val="000000" w:themeColor="text1"/>
          <w:sz w:val="20"/>
          <w:szCs w:val="20"/>
        </w:rPr>
        <w:t xml:space="preserve">, C., </w:t>
      </w:r>
      <w:proofErr w:type="spellStart"/>
      <w:r>
        <w:rPr>
          <w:rFonts w:ascii="Arial" w:hAnsi="Arial" w:cs="Arial"/>
          <w:color w:val="000000" w:themeColor="text1"/>
          <w:sz w:val="20"/>
          <w:szCs w:val="20"/>
        </w:rPr>
        <w:t>Venkateswarlu</w:t>
      </w:r>
      <w:proofErr w:type="spellEnd"/>
      <w:r>
        <w:rPr>
          <w:rFonts w:ascii="Arial" w:hAnsi="Arial" w:cs="Arial"/>
          <w:color w:val="000000" w:themeColor="text1"/>
          <w:sz w:val="20"/>
          <w:szCs w:val="20"/>
        </w:rPr>
        <w:t xml:space="preserve">, B., Lal, R., Singh, A.K., Kundu, S., Vittal, K.P.R., </w:t>
      </w:r>
      <w:r>
        <w:rPr>
          <w:rFonts w:ascii="Arial" w:hAnsi="Arial" w:cs="Arial"/>
          <w:bCs/>
          <w:i/>
          <w:iCs/>
          <w:color w:val="000000" w:themeColor="text1"/>
          <w:sz w:val="20"/>
          <w:szCs w:val="20"/>
        </w:rPr>
        <w:t>et al</w:t>
      </w:r>
      <w:r>
        <w:rPr>
          <w:rFonts w:ascii="Arial" w:hAnsi="Arial" w:cs="Arial"/>
          <w:bCs/>
          <w:color w:val="000000" w:themeColor="text1"/>
          <w:sz w:val="20"/>
          <w:szCs w:val="20"/>
        </w:rPr>
        <w:t>.</w:t>
      </w:r>
      <w:r>
        <w:rPr>
          <w:rFonts w:ascii="Arial" w:hAnsi="Arial" w:cs="Arial"/>
          <w:color w:val="000000" w:themeColor="text1"/>
          <w:sz w:val="20"/>
          <w:szCs w:val="20"/>
        </w:rPr>
        <w:t xml:space="preserve"> (2012).</w:t>
      </w:r>
      <w:proofErr w:type="gramEnd"/>
      <w:r>
        <w:rPr>
          <w:rFonts w:ascii="Arial" w:hAnsi="Arial" w:cs="Arial"/>
          <w:color w:val="000000" w:themeColor="text1"/>
          <w:sz w:val="20"/>
          <w:szCs w:val="20"/>
        </w:rPr>
        <w:t xml:space="preserve"> Long-term effects of crop residues and fertility management on carbon sequestration and agronomic productivity of groundnut-finger millet rotation on an </w:t>
      </w:r>
      <w:proofErr w:type="spellStart"/>
      <w:r>
        <w:rPr>
          <w:rFonts w:ascii="Arial" w:hAnsi="Arial" w:cs="Arial"/>
          <w:i/>
          <w:color w:val="000000" w:themeColor="text1"/>
          <w:sz w:val="20"/>
          <w:szCs w:val="20"/>
        </w:rPr>
        <w:t>Alfisol</w:t>
      </w:r>
      <w:proofErr w:type="spellEnd"/>
      <w:r>
        <w:rPr>
          <w:rFonts w:ascii="Arial" w:hAnsi="Arial" w:cs="Arial"/>
          <w:color w:val="000000" w:themeColor="text1"/>
          <w:sz w:val="20"/>
          <w:szCs w:val="20"/>
        </w:rPr>
        <w:t xml:space="preserve"> in southern India. </w:t>
      </w:r>
      <w:r>
        <w:rPr>
          <w:rFonts w:ascii="Arial" w:hAnsi="Arial" w:cs="Arial"/>
          <w:i/>
          <w:iCs/>
          <w:color w:val="000000" w:themeColor="text1"/>
          <w:sz w:val="20"/>
          <w:szCs w:val="20"/>
        </w:rPr>
        <w:t>International Journal of Agricultural Sustainability</w:t>
      </w:r>
      <w:r>
        <w:rPr>
          <w:rFonts w:ascii="Arial" w:hAnsi="Arial" w:cs="Arial"/>
          <w:color w:val="000000" w:themeColor="text1"/>
          <w:sz w:val="20"/>
          <w:szCs w:val="20"/>
        </w:rPr>
        <w:t>. </w:t>
      </w:r>
      <w:r>
        <w:rPr>
          <w:rFonts w:ascii="Arial" w:hAnsi="Arial" w:cs="Arial"/>
          <w:i/>
          <w:iCs/>
          <w:color w:val="000000" w:themeColor="text1"/>
          <w:sz w:val="20"/>
          <w:szCs w:val="20"/>
        </w:rPr>
        <w:t>10</w:t>
      </w:r>
      <w:r>
        <w:rPr>
          <w:rFonts w:ascii="Arial" w:hAnsi="Arial" w:cs="Arial"/>
          <w:color w:val="000000" w:themeColor="text1"/>
          <w:sz w:val="20"/>
          <w:szCs w:val="20"/>
        </w:rPr>
        <w:t>(3): 230-244.</w:t>
      </w:r>
    </w:p>
    <w:p w14:paraId="5F9E2550" w14:textId="77777777" w:rsidR="0073372A" w:rsidRDefault="0073372A">
      <w:pPr>
        <w:spacing w:after="120" w:line="240" w:lineRule="auto"/>
        <w:jc w:val="both"/>
        <w:rPr>
          <w:rFonts w:ascii="Arial" w:hAnsi="Arial" w:cs="Arial"/>
          <w:color w:val="000000" w:themeColor="text1"/>
          <w:sz w:val="20"/>
          <w:szCs w:val="20"/>
        </w:rPr>
      </w:pPr>
      <w:proofErr w:type="spellStart"/>
      <w:proofErr w:type="gramStart"/>
      <w:r>
        <w:rPr>
          <w:rFonts w:ascii="Arial" w:hAnsi="Arial" w:cs="Arial"/>
          <w:color w:val="000000" w:themeColor="text1"/>
          <w:sz w:val="20"/>
          <w:szCs w:val="20"/>
        </w:rPr>
        <w:t>Sulfab</w:t>
      </w:r>
      <w:proofErr w:type="spellEnd"/>
      <w:r>
        <w:rPr>
          <w:rFonts w:ascii="Arial" w:hAnsi="Arial" w:cs="Arial"/>
          <w:color w:val="000000" w:themeColor="text1"/>
          <w:sz w:val="20"/>
          <w:szCs w:val="20"/>
        </w:rPr>
        <w:t>, H.A. 2013.</w:t>
      </w:r>
      <w:proofErr w:type="gramEnd"/>
      <w:r>
        <w:rPr>
          <w:rFonts w:ascii="Arial" w:hAnsi="Arial" w:cs="Arial"/>
          <w:color w:val="000000" w:themeColor="text1"/>
          <w:sz w:val="20"/>
          <w:szCs w:val="20"/>
        </w:rPr>
        <w:t xml:space="preserve"> Effect of bio-organic fertilizers on soil fertility and yield of groundnut (</w:t>
      </w:r>
      <w:proofErr w:type="spellStart"/>
      <w:r>
        <w:rPr>
          <w:rFonts w:ascii="Arial" w:hAnsi="Arial" w:cs="Arial"/>
          <w:i/>
          <w:iCs/>
          <w:color w:val="000000" w:themeColor="text1"/>
          <w:sz w:val="20"/>
          <w:szCs w:val="20"/>
        </w:rPr>
        <w:t>Arachis</w:t>
      </w:r>
      <w:proofErr w:type="spellEnd"/>
      <w:r>
        <w:rPr>
          <w:rFonts w:ascii="Arial" w:hAnsi="Arial" w:cs="Arial"/>
          <w:i/>
          <w:iCs/>
          <w:color w:val="000000" w:themeColor="text1"/>
          <w:sz w:val="20"/>
          <w:szCs w:val="20"/>
        </w:rPr>
        <w:t xml:space="preserve"> </w:t>
      </w:r>
      <w:proofErr w:type="spellStart"/>
      <w:r>
        <w:rPr>
          <w:rFonts w:ascii="Arial" w:hAnsi="Arial" w:cs="Arial"/>
          <w:i/>
          <w:iCs/>
          <w:color w:val="000000" w:themeColor="text1"/>
          <w:sz w:val="20"/>
          <w:szCs w:val="20"/>
        </w:rPr>
        <w:t>hypogaea</w:t>
      </w:r>
      <w:proofErr w:type="spellEnd"/>
      <w:r>
        <w:rPr>
          <w:rFonts w:ascii="Arial" w:hAnsi="Arial" w:cs="Arial"/>
          <w:color w:val="000000" w:themeColor="text1"/>
          <w:sz w:val="20"/>
          <w:szCs w:val="20"/>
        </w:rPr>
        <w:t xml:space="preserve"> L.) in </w:t>
      </w:r>
      <w:proofErr w:type="spellStart"/>
      <w:r>
        <w:rPr>
          <w:rFonts w:ascii="Arial" w:hAnsi="Arial" w:cs="Arial"/>
          <w:color w:val="000000" w:themeColor="text1"/>
          <w:sz w:val="20"/>
          <w:szCs w:val="20"/>
        </w:rPr>
        <w:t>Malakal</w:t>
      </w:r>
      <w:proofErr w:type="spellEnd"/>
      <w:r>
        <w:rPr>
          <w:rFonts w:ascii="Arial" w:hAnsi="Arial" w:cs="Arial"/>
          <w:color w:val="000000" w:themeColor="text1"/>
          <w:sz w:val="20"/>
          <w:szCs w:val="20"/>
        </w:rPr>
        <w:t xml:space="preserve"> area, Republic of South Sudan. </w:t>
      </w:r>
      <w:r>
        <w:rPr>
          <w:rFonts w:ascii="Arial" w:hAnsi="Arial" w:cs="Arial"/>
          <w:i/>
          <w:iCs/>
          <w:color w:val="000000" w:themeColor="text1"/>
          <w:sz w:val="20"/>
          <w:szCs w:val="20"/>
        </w:rPr>
        <w:t>Journal of Natural Resources and Environmental Studies</w:t>
      </w:r>
      <w:r>
        <w:rPr>
          <w:rFonts w:ascii="Arial" w:hAnsi="Arial" w:cs="Arial"/>
          <w:color w:val="000000" w:themeColor="text1"/>
          <w:sz w:val="20"/>
          <w:szCs w:val="20"/>
        </w:rPr>
        <w:t>. 12: 14-19.</w:t>
      </w:r>
    </w:p>
    <w:p w14:paraId="510A62E0" w14:textId="77777777" w:rsidR="0073372A" w:rsidRDefault="0073372A">
      <w:pPr>
        <w:spacing w:after="120" w:line="240" w:lineRule="auto"/>
        <w:jc w:val="both"/>
        <w:rPr>
          <w:rFonts w:ascii="Arial" w:hAnsi="Arial" w:cs="Arial"/>
          <w:color w:val="000000" w:themeColor="text1"/>
          <w:sz w:val="20"/>
          <w:szCs w:val="20"/>
        </w:rPr>
      </w:pPr>
      <w:proofErr w:type="gramStart"/>
      <w:r w:rsidRPr="0073372A">
        <w:rPr>
          <w:rFonts w:ascii="Arial" w:hAnsi="Arial" w:cs="Arial"/>
          <w:bCs/>
          <w:color w:val="000000" w:themeColor="text1"/>
          <w:sz w:val="20"/>
          <w:szCs w:val="20"/>
        </w:rPr>
        <w:t>Suresh,</w:t>
      </w:r>
      <w:r>
        <w:rPr>
          <w:rFonts w:ascii="Arial" w:hAnsi="Arial" w:cs="Arial"/>
          <w:bCs/>
          <w:color w:val="000000" w:themeColor="text1"/>
          <w:sz w:val="20"/>
          <w:szCs w:val="20"/>
        </w:rPr>
        <w:t xml:space="preserve"> M.,</w:t>
      </w:r>
      <w:r w:rsidRPr="0073372A">
        <w:rPr>
          <w:rFonts w:ascii="Arial" w:hAnsi="Arial" w:cs="Arial"/>
          <w:bCs/>
          <w:color w:val="000000" w:themeColor="text1"/>
          <w:sz w:val="20"/>
          <w:szCs w:val="20"/>
        </w:rPr>
        <w:t xml:space="preserve"> </w:t>
      </w:r>
      <w:proofErr w:type="spellStart"/>
      <w:r w:rsidRPr="0073372A">
        <w:rPr>
          <w:rFonts w:ascii="Arial" w:hAnsi="Arial" w:cs="Arial"/>
          <w:bCs/>
          <w:color w:val="000000" w:themeColor="text1"/>
          <w:sz w:val="20"/>
          <w:szCs w:val="20"/>
        </w:rPr>
        <w:t>Jayasree</w:t>
      </w:r>
      <w:proofErr w:type="spellEnd"/>
      <w:r w:rsidRPr="0073372A">
        <w:rPr>
          <w:rFonts w:ascii="Arial" w:hAnsi="Arial" w:cs="Arial"/>
          <w:bCs/>
          <w:color w:val="000000" w:themeColor="text1"/>
          <w:sz w:val="20"/>
          <w:szCs w:val="20"/>
        </w:rPr>
        <w:t xml:space="preserve">, </w:t>
      </w:r>
      <w:r>
        <w:rPr>
          <w:rFonts w:ascii="Arial" w:hAnsi="Arial" w:cs="Arial"/>
          <w:bCs/>
          <w:color w:val="000000" w:themeColor="text1"/>
          <w:sz w:val="20"/>
          <w:szCs w:val="20"/>
        </w:rPr>
        <w:t xml:space="preserve">G., </w:t>
      </w:r>
      <w:proofErr w:type="spellStart"/>
      <w:r w:rsidRPr="0073372A">
        <w:rPr>
          <w:rFonts w:ascii="Arial" w:hAnsi="Arial" w:cs="Arial"/>
          <w:bCs/>
          <w:color w:val="000000" w:themeColor="text1"/>
          <w:sz w:val="20"/>
          <w:szCs w:val="20"/>
        </w:rPr>
        <w:t>Srilatha</w:t>
      </w:r>
      <w:proofErr w:type="spellEnd"/>
      <w:r w:rsidRPr="0073372A">
        <w:rPr>
          <w:rFonts w:ascii="Arial" w:hAnsi="Arial" w:cs="Arial"/>
          <w:bCs/>
          <w:color w:val="000000" w:themeColor="text1"/>
          <w:sz w:val="20"/>
          <w:szCs w:val="20"/>
        </w:rPr>
        <w:t xml:space="preserve">, </w:t>
      </w:r>
      <w:r>
        <w:rPr>
          <w:rFonts w:ascii="Arial" w:hAnsi="Arial" w:cs="Arial"/>
          <w:bCs/>
          <w:color w:val="000000" w:themeColor="text1"/>
          <w:sz w:val="20"/>
          <w:szCs w:val="20"/>
        </w:rPr>
        <w:t xml:space="preserve">M., </w:t>
      </w:r>
      <w:r w:rsidRPr="0073372A">
        <w:rPr>
          <w:rFonts w:ascii="Arial" w:hAnsi="Arial" w:cs="Arial"/>
          <w:bCs/>
          <w:color w:val="000000" w:themeColor="text1"/>
          <w:sz w:val="20"/>
          <w:szCs w:val="20"/>
        </w:rPr>
        <w:t>Reddy</w:t>
      </w:r>
      <w:r>
        <w:rPr>
          <w:rFonts w:ascii="Arial" w:hAnsi="Arial" w:cs="Arial"/>
          <w:bCs/>
          <w:color w:val="000000" w:themeColor="text1"/>
          <w:sz w:val="20"/>
          <w:szCs w:val="20"/>
        </w:rPr>
        <w:t>, S.N.</w:t>
      </w:r>
      <w:r w:rsidRPr="0073372A">
        <w:rPr>
          <w:rFonts w:ascii="Arial" w:hAnsi="Arial" w:cs="Arial"/>
          <w:bCs/>
          <w:color w:val="000000" w:themeColor="text1"/>
          <w:sz w:val="20"/>
          <w:szCs w:val="20"/>
        </w:rPr>
        <w:t xml:space="preserve"> and </w:t>
      </w:r>
      <w:proofErr w:type="spellStart"/>
      <w:r w:rsidRPr="0073372A">
        <w:rPr>
          <w:rFonts w:ascii="Arial" w:hAnsi="Arial" w:cs="Arial"/>
          <w:bCs/>
          <w:color w:val="000000" w:themeColor="text1"/>
          <w:sz w:val="20"/>
          <w:szCs w:val="20"/>
        </w:rPr>
        <w:t>Kiran</w:t>
      </w:r>
      <w:proofErr w:type="spellEnd"/>
      <w:r w:rsidRPr="0073372A">
        <w:rPr>
          <w:rFonts w:ascii="Arial" w:hAnsi="Arial" w:cs="Arial"/>
          <w:bCs/>
          <w:color w:val="000000" w:themeColor="text1"/>
          <w:sz w:val="20"/>
          <w:szCs w:val="20"/>
        </w:rPr>
        <w:t>, G.R. 2017</w:t>
      </w:r>
      <w:r>
        <w:rPr>
          <w:rFonts w:ascii="Arial" w:hAnsi="Arial" w:cs="Arial"/>
          <w:bCs/>
          <w:color w:val="000000" w:themeColor="text1"/>
          <w:sz w:val="20"/>
          <w:szCs w:val="20"/>
        </w:rPr>
        <w:t>.</w:t>
      </w:r>
      <w:proofErr w:type="gramEnd"/>
      <w:r>
        <w:rPr>
          <w:rFonts w:ascii="Arial" w:hAnsi="Arial" w:cs="Arial"/>
          <w:bCs/>
          <w:color w:val="000000" w:themeColor="text1"/>
          <w:sz w:val="20"/>
          <w:szCs w:val="20"/>
        </w:rPr>
        <w:t xml:space="preserve"> </w:t>
      </w:r>
      <w:proofErr w:type="gramStart"/>
      <w:r w:rsidRPr="0073372A">
        <w:rPr>
          <w:rFonts w:ascii="Arial" w:hAnsi="Arial" w:cs="Arial"/>
          <w:bCs/>
          <w:color w:val="000000" w:themeColor="text1"/>
          <w:sz w:val="20"/>
          <w:szCs w:val="20"/>
          <w:lang w:val="en-US"/>
        </w:rPr>
        <w:t xml:space="preserve">Effect of Long Term Fertilizers and Organic Manures on Soil Quality and </w:t>
      </w:r>
      <w:proofErr w:type="spellStart"/>
      <w:r w:rsidRPr="0073372A">
        <w:rPr>
          <w:rFonts w:ascii="Arial" w:hAnsi="Arial" w:cs="Arial"/>
          <w:bCs/>
          <w:color w:val="000000" w:themeColor="text1"/>
          <w:sz w:val="20"/>
          <w:szCs w:val="20"/>
          <w:lang w:val="en-US"/>
        </w:rPr>
        <w:t>Sustainablity</w:t>
      </w:r>
      <w:proofErr w:type="spellEnd"/>
      <w:r w:rsidRPr="0073372A">
        <w:rPr>
          <w:rFonts w:ascii="Arial" w:hAnsi="Arial" w:cs="Arial"/>
          <w:bCs/>
          <w:color w:val="000000" w:themeColor="text1"/>
          <w:sz w:val="20"/>
          <w:szCs w:val="20"/>
          <w:lang w:val="en-US"/>
        </w:rPr>
        <w:t xml:space="preserve"> Yield Index in Rice - Rice Cropping System</w:t>
      </w:r>
      <w:r>
        <w:rPr>
          <w:rFonts w:ascii="Arial" w:hAnsi="Arial" w:cs="Arial"/>
          <w:bCs/>
          <w:color w:val="000000" w:themeColor="text1"/>
          <w:sz w:val="20"/>
          <w:szCs w:val="20"/>
          <w:lang w:val="en-US"/>
        </w:rPr>
        <w:t>.</w:t>
      </w:r>
      <w:proofErr w:type="gramEnd"/>
      <w:r>
        <w:rPr>
          <w:rFonts w:ascii="Arial" w:hAnsi="Arial" w:cs="Arial"/>
          <w:bCs/>
          <w:color w:val="000000" w:themeColor="text1"/>
          <w:sz w:val="20"/>
          <w:szCs w:val="20"/>
          <w:lang w:val="en-US"/>
        </w:rPr>
        <w:t xml:space="preserve"> </w:t>
      </w:r>
      <w:r w:rsidRPr="0073372A">
        <w:rPr>
          <w:rFonts w:ascii="Arial" w:hAnsi="Arial" w:cs="Arial"/>
          <w:bCs/>
          <w:i/>
          <w:iCs/>
          <w:color w:val="000000" w:themeColor="text1"/>
          <w:sz w:val="20"/>
          <w:szCs w:val="20"/>
          <w:lang w:val="en-US"/>
        </w:rPr>
        <w:t xml:space="preserve">International Journal </w:t>
      </w:r>
      <w:proofErr w:type="gramStart"/>
      <w:r w:rsidRPr="0073372A">
        <w:rPr>
          <w:rFonts w:ascii="Arial" w:hAnsi="Arial" w:cs="Arial"/>
          <w:bCs/>
          <w:i/>
          <w:iCs/>
          <w:color w:val="000000" w:themeColor="text1"/>
          <w:sz w:val="20"/>
          <w:szCs w:val="20"/>
          <w:lang w:val="en-US"/>
        </w:rPr>
        <w:t>of  Pure</w:t>
      </w:r>
      <w:proofErr w:type="gramEnd"/>
      <w:r w:rsidRPr="0073372A">
        <w:rPr>
          <w:rFonts w:ascii="Arial" w:hAnsi="Arial" w:cs="Arial"/>
          <w:bCs/>
          <w:i/>
          <w:iCs/>
          <w:color w:val="000000" w:themeColor="text1"/>
          <w:sz w:val="20"/>
          <w:szCs w:val="20"/>
          <w:lang w:val="en-US"/>
        </w:rPr>
        <w:t xml:space="preserve"> Applied Bioscience</w:t>
      </w:r>
      <w:r>
        <w:rPr>
          <w:rFonts w:ascii="Arial" w:hAnsi="Arial" w:cs="Arial"/>
          <w:bCs/>
          <w:iCs/>
          <w:color w:val="000000" w:themeColor="text1"/>
          <w:sz w:val="20"/>
          <w:szCs w:val="20"/>
          <w:lang w:val="en-US"/>
        </w:rPr>
        <w:t xml:space="preserve">. </w:t>
      </w:r>
      <w:r w:rsidRPr="0073372A">
        <w:rPr>
          <w:rFonts w:ascii="Arial" w:hAnsi="Arial" w:cs="Arial"/>
          <w:bCs/>
          <w:iCs/>
          <w:color w:val="000000" w:themeColor="text1"/>
          <w:sz w:val="20"/>
          <w:szCs w:val="20"/>
          <w:lang w:val="en-US"/>
        </w:rPr>
        <w:t>5 (4): 1760-1769</w:t>
      </w:r>
      <w:r>
        <w:rPr>
          <w:rFonts w:ascii="Arial" w:hAnsi="Arial" w:cs="Arial"/>
          <w:bCs/>
          <w:iCs/>
          <w:color w:val="000000" w:themeColor="text1"/>
          <w:sz w:val="20"/>
          <w:szCs w:val="20"/>
          <w:lang w:val="en-US"/>
        </w:rPr>
        <w:t xml:space="preserve">. </w:t>
      </w:r>
    </w:p>
    <w:p w14:paraId="16800C09" w14:textId="77777777" w:rsidR="0073372A" w:rsidRDefault="0073372A">
      <w:pPr>
        <w:pStyle w:val="BodyText"/>
        <w:spacing w:after="120"/>
        <w:jc w:val="both"/>
        <w:rPr>
          <w:rFonts w:ascii="Arial" w:hAnsi="Arial" w:cs="Arial"/>
          <w:color w:val="000000" w:themeColor="text1"/>
          <w:sz w:val="20"/>
          <w:szCs w:val="20"/>
        </w:rPr>
      </w:pPr>
      <w:proofErr w:type="spellStart"/>
      <w:r>
        <w:rPr>
          <w:rFonts w:ascii="Arial" w:hAnsi="Arial" w:cs="Arial"/>
          <w:color w:val="000000" w:themeColor="text1"/>
          <w:sz w:val="20"/>
          <w:szCs w:val="20"/>
        </w:rPr>
        <w:t>Walkley</w:t>
      </w:r>
      <w:proofErr w:type="spellEnd"/>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A and</w:t>
      </w:r>
      <w:proofErr w:type="gramEnd"/>
      <w:r>
        <w:rPr>
          <w:rFonts w:ascii="Arial" w:hAnsi="Arial" w:cs="Arial"/>
          <w:color w:val="000000" w:themeColor="text1"/>
          <w:sz w:val="20"/>
          <w:szCs w:val="20"/>
        </w:rPr>
        <w:t xml:space="preserve"> Black, A.I. 1934. An examination of soil organic matter and proposed modification of the organic acid titration method. </w:t>
      </w:r>
      <w:r>
        <w:rPr>
          <w:rStyle w:val="Emphasis"/>
          <w:rFonts w:ascii="Arial" w:hAnsi="Arial" w:cs="Arial"/>
          <w:color w:val="000000" w:themeColor="text1"/>
          <w:sz w:val="20"/>
          <w:szCs w:val="20"/>
        </w:rPr>
        <w:t>Soil Science</w:t>
      </w:r>
      <w:r>
        <w:rPr>
          <w:rFonts w:ascii="Arial" w:hAnsi="Arial" w:cs="Arial"/>
          <w:color w:val="000000" w:themeColor="text1"/>
          <w:sz w:val="20"/>
          <w:szCs w:val="20"/>
        </w:rPr>
        <w:t>. 37: 29-38.</w:t>
      </w:r>
    </w:p>
    <w:p w14:paraId="495A74E2" w14:textId="77777777" w:rsidR="0073372A" w:rsidRDefault="0073372A">
      <w:pPr>
        <w:spacing w:after="120" w:line="240" w:lineRule="auto"/>
        <w:jc w:val="both"/>
        <w:rPr>
          <w:rFonts w:ascii="Arial" w:hAnsi="Arial" w:cs="Arial"/>
          <w:color w:val="000000" w:themeColor="text1"/>
          <w:sz w:val="20"/>
          <w:szCs w:val="20"/>
        </w:rPr>
      </w:pPr>
      <w:proofErr w:type="gramStart"/>
      <w:r>
        <w:rPr>
          <w:rFonts w:ascii="Arial" w:hAnsi="Arial" w:cs="Arial"/>
          <w:bCs/>
          <w:color w:val="000000" w:themeColor="text1"/>
          <w:sz w:val="20"/>
          <w:szCs w:val="20"/>
        </w:rPr>
        <w:t xml:space="preserve">Wright, A. L., &amp; </w:t>
      </w:r>
      <w:proofErr w:type="spellStart"/>
      <w:r>
        <w:rPr>
          <w:rFonts w:ascii="Arial" w:hAnsi="Arial" w:cs="Arial"/>
          <w:bCs/>
          <w:color w:val="000000" w:themeColor="text1"/>
          <w:sz w:val="20"/>
          <w:szCs w:val="20"/>
        </w:rPr>
        <w:t>Hons</w:t>
      </w:r>
      <w:proofErr w:type="spellEnd"/>
      <w:r>
        <w:rPr>
          <w:rFonts w:ascii="Arial" w:hAnsi="Arial" w:cs="Arial"/>
          <w:bCs/>
          <w:color w:val="000000" w:themeColor="text1"/>
          <w:sz w:val="20"/>
          <w:szCs w:val="20"/>
        </w:rPr>
        <w:t>, F. M.</w:t>
      </w:r>
      <w:r>
        <w:rPr>
          <w:rFonts w:ascii="Arial" w:hAnsi="Arial" w:cs="Arial"/>
          <w:color w:val="000000" w:themeColor="text1"/>
          <w:sz w:val="20"/>
          <w:szCs w:val="20"/>
        </w:rPr>
        <w:t xml:space="preserve"> (2005).</w:t>
      </w:r>
      <w:proofErr w:type="gramEnd"/>
      <w:r>
        <w:rPr>
          <w:rFonts w:ascii="Arial" w:hAnsi="Arial" w:cs="Arial"/>
          <w:color w:val="000000" w:themeColor="text1"/>
          <w:sz w:val="20"/>
          <w:szCs w:val="20"/>
        </w:rPr>
        <w:t xml:space="preserve"> Soil carbon and nitrogen storage in aggregates from different tillage and crop rotation systems. </w:t>
      </w:r>
      <w:r>
        <w:rPr>
          <w:rFonts w:ascii="Arial" w:hAnsi="Arial" w:cs="Arial"/>
          <w:i/>
          <w:iCs/>
          <w:color w:val="000000" w:themeColor="text1"/>
          <w:sz w:val="20"/>
          <w:szCs w:val="20"/>
        </w:rPr>
        <w:t>Soil Science Society of America Journal, 69</w:t>
      </w:r>
      <w:r>
        <w:rPr>
          <w:rFonts w:ascii="Arial" w:hAnsi="Arial" w:cs="Arial"/>
          <w:color w:val="000000" w:themeColor="text1"/>
          <w:sz w:val="20"/>
          <w:szCs w:val="20"/>
        </w:rPr>
        <w:t xml:space="preserve">(5), 1412–1421. </w:t>
      </w:r>
    </w:p>
    <w:p w14:paraId="2E42E41C" w14:textId="77777777" w:rsidR="0073372A" w:rsidRDefault="0073372A">
      <w:pPr>
        <w:pStyle w:val="NormalWeb"/>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Yoder, R.E. 1936. A direct method of aggregate analysis of soils and a study of the physical nature of erosion losses. </w:t>
      </w:r>
      <w:r>
        <w:rPr>
          <w:rStyle w:val="Emphasis"/>
          <w:rFonts w:ascii="Arial" w:hAnsi="Arial" w:cs="Arial"/>
          <w:color w:val="000000" w:themeColor="text1"/>
          <w:sz w:val="20"/>
          <w:szCs w:val="20"/>
        </w:rPr>
        <w:t>Agronomy Journal</w:t>
      </w:r>
      <w:r>
        <w:rPr>
          <w:rFonts w:ascii="Arial" w:hAnsi="Arial" w:cs="Arial"/>
          <w:color w:val="000000" w:themeColor="text1"/>
          <w:sz w:val="20"/>
          <w:szCs w:val="20"/>
        </w:rPr>
        <w:t>. 28(5): 337-351.</w:t>
      </w:r>
    </w:p>
    <w:sectPr w:rsidR="0073372A">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8287E" w14:textId="77777777" w:rsidR="0065465D" w:rsidRDefault="0065465D">
      <w:pPr>
        <w:spacing w:line="240" w:lineRule="auto"/>
      </w:pPr>
      <w:r>
        <w:separator/>
      </w:r>
    </w:p>
  </w:endnote>
  <w:endnote w:type="continuationSeparator" w:id="0">
    <w:p w14:paraId="0E6D3864" w14:textId="77777777" w:rsidR="0065465D" w:rsidRDefault="006546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EE89" w14:textId="77777777" w:rsidR="00B77250" w:rsidRDefault="00B77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92A5B" w14:textId="77777777" w:rsidR="00B77250" w:rsidRDefault="00B77250">
    <w:pPr>
      <w:pStyle w:val="Footer"/>
    </w:pPr>
  </w:p>
  <w:p w14:paraId="65CAB4B5" w14:textId="77777777" w:rsidR="00B77250" w:rsidRDefault="00B77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688A7" w14:textId="77777777" w:rsidR="00B77250" w:rsidRDefault="00B77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7F993" w14:textId="77777777" w:rsidR="0065465D" w:rsidRDefault="0065465D">
      <w:pPr>
        <w:spacing w:after="0"/>
      </w:pPr>
      <w:r>
        <w:separator/>
      </w:r>
    </w:p>
  </w:footnote>
  <w:footnote w:type="continuationSeparator" w:id="0">
    <w:p w14:paraId="47004EB4" w14:textId="77777777" w:rsidR="0065465D" w:rsidRDefault="0065465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748E0" w14:textId="4A9CAE89" w:rsidR="00B77250" w:rsidRDefault="0065465D">
    <w:pPr>
      <w:pStyle w:val="Header"/>
    </w:pPr>
    <w:r>
      <w:rPr>
        <w:noProof/>
      </w:rPr>
      <w:pict w14:anchorId="3AC5A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FB4BA" w14:textId="609AC867" w:rsidR="00B77250" w:rsidRDefault="0065465D">
    <w:pPr>
      <w:pStyle w:val="Header"/>
    </w:pPr>
    <w:r>
      <w:rPr>
        <w:noProof/>
      </w:rPr>
      <w:pict w14:anchorId="756C8E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17BE7" w14:textId="7BF476AD" w:rsidR="00B77250" w:rsidRDefault="0065465D">
    <w:pPr>
      <w:pStyle w:val="Header"/>
    </w:pPr>
    <w:r>
      <w:rPr>
        <w:noProof/>
      </w:rPr>
      <w:pict w14:anchorId="3DBFA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371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C2B"/>
    <w:rsid w:val="000049BE"/>
    <w:rsid w:val="00011373"/>
    <w:rsid w:val="00012B13"/>
    <w:rsid w:val="00021DDA"/>
    <w:rsid w:val="00026192"/>
    <w:rsid w:val="000547E5"/>
    <w:rsid w:val="00067AD2"/>
    <w:rsid w:val="000757C6"/>
    <w:rsid w:val="00091F26"/>
    <w:rsid w:val="000D2443"/>
    <w:rsid w:val="000D75C9"/>
    <w:rsid w:val="000D7F82"/>
    <w:rsid w:val="000E2803"/>
    <w:rsid w:val="000E786C"/>
    <w:rsid w:val="001025A1"/>
    <w:rsid w:val="00116FEC"/>
    <w:rsid w:val="00124540"/>
    <w:rsid w:val="00132A54"/>
    <w:rsid w:val="001408A5"/>
    <w:rsid w:val="00150406"/>
    <w:rsid w:val="001539AC"/>
    <w:rsid w:val="0017763B"/>
    <w:rsid w:val="001A1270"/>
    <w:rsid w:val="001A2DB0"/>
    <w:rsid w:val="001C4FCE"/>
    <w:rsid w:val="001C5945"/>
    <w:rsid w:val="001D5063"/>
    <w:rsid w:val="001D792A"/>
    <w:rsid w:val="001E275B"/>
    <w:rsid w:val="001F446E"/>
    <w:rsid w:val="0020171F"/>
    <w:rsid w:val="00203BFA"/>
    <w:rsid w:val="0020517B"/>
    <w:rsid w:val="0021583B"/>
    <w:rsid w:val="0022156C"/>
    <w:rsid w:val="00236A6E"/>
    <w:rsid w:val="0025306B"/>
    <w:rsid w:val="00267BF2"/>
    <w:rsid w:val="00267E66"/>
    <w:rsid w:val="0027039C"/>
    <w:rsid w:val="002771C7"/>
    <w:rsid w:val="00280A5E"/>
    <w:rsid w:val="00281041"/>
    <w:rsid w:val="002A7A14"/>
    <w:rsid w:val="002B21E0"/>
    <w:rsid w:val="002B3DE1"/>
    <w:rsid w:val="002C386B"/>
    <w:rsid w:val="002C770E"/>
    <w:rsid w:val="002D3981"/>
    <w:rsid w:val="002D7987"/>
    <w:rsid w:val="002D7E38"/>
    <w:rsid w:val="002F359B"/>
    <w:rsid w:val="002F688D"/>
    <w:rsid w:val="0030485D"/>
    <w:rsid w:val="00314808"/>
    <w:rsid w:val="00320F01"/>
    <w:rsid w:val="003245AF"/>
    <w:rsid w:val="00326575"/>
    <w:rsid w:val="00333958"/>
    <w:rsid w:val="00342643"/>
    <w:rsid w:val="00350849"/>
    <w:rsid w:val="00352D42"/>
    <w:rsid w:val="00361960"/>
    <w:rsid w:val="00363890"/>
    <w:rsid w:val="00381AFB"/>
    <w:rsid w:val="00384C94"/>
    <w:rsid w:val="00397BB3"/>
    <w:rsid w:val="003A1DBE"/>
    <w:rsid w:val="003A2E68"/>
    <w:rsid w:val="003A314A"/>
    <w:rsid w:val="003A3B92"/>
    <w:rsid w:val="003A6B3E"/>
    <w:rsid w:val="003B5DD8"/>
    <w:rsid w:val="003C1A91"/>
    <w:rsid w:val="003C2B4D"/>
    <w:rsid w:val="003D7C46"/>
    <w:rsid w:val="00411B6A"/>
    <w:rsid w:val="00430A06"/>
    <w:rsid w:val="00436E96"/>
    <w:rsid w:val="00484971"/>
    <w:rsid w:val="004932EF"/>
    <w:rsid w:val="00494BFF"/>
    <w:rsid w:val="004B054E"/>
    <w:rsid w:val="004C3B54"/>
    <w:rsid w:val="004E55AC"/>
    <w:rsid w:val="004F1547"/>
    <w:rsid w:val="004F259F"/>
    <w:rsid w:val="004F65B4"/>
    <w:rsid w:val="00502E85"/>
    <w:rsid w:val="00504AFE"/>
    <w:rsid w:val="00504E4A"/>
    <w:rsid w:val="00510B20"/>
    <w:rsid w:val="005460BA"/>
    <w:rsid w:val="005468D0"/>
    <w:rsid w:val="00547475"/>
    <w:rsid w:val="00551CE7"/>
    <w:rsid w:val="00554F11"/>
    <w:rsid w:val="0056251F"/>
    <w:rsid w:val="00573A31"/>
    <w:rsid w:val="00575F9B"/>
    <w:rsid w:val="00582480"/>
    <w:rsid w:val="00582A55"/>
    <w:rsid w:val="0058331E"/>
    <w:rsid w:val="00586F17"/>
    <w:rsid w:val="00590F3E"/>
    <w:rsid w:val="0059783C"/>
    <w:rsid w:val="005A62A1"/>
    <w:rsid w:val="005B23F8"/>
    <w:rsid w:val="005B33CD"/>
    <w:rsid w:val="005C0A54"/>
    <w:rsid w:val="005D183E"/>
    <w:rsid w:val="005E24FB"/>
    <w:rsid w:val="005E536F"/>
    <w:rsid w:val="00614F2F"/>
    <w:rsid w:val="00623A8A"/>
    <w:rsid w:val="00645C87"/>
    <w:rsid w:val="00651603"/>
    <w:rsid w:val="00652880"/>
    <w:rsid w:val="006530E3"/>
    <w:rsid w:val="0065465D"/>
    <w:rsid w:val="006617F9"/>
    <w:rsid w:val="006726F4"/>
    <w:rsid w:val="00680250"/>
    <w:rsid w:val="006823B1"/>
    <w:rsid w:val="006844A3"/>
    <w:rsid w:val="00686007"/>
    <w:rsid w:val="006A1ABB"/>
    <w:rsid w:val="006B0837"/>
    <w:rsid w:val="006B2C9C"/>
    <w:rsid w:val="006B63CD"/>
    <w:rsid w:val="006C1A19"/>
    <w:rsid w:val="0073372A"/>
    <w:rsid w:val="00737522"/>
    <w:rsid w:val="00746B3D"/>
    <w:rsid w:val="007524C1"/>
    <w:rsid w:val="007717F2"/>
    <w:rsid w:val="00772301"/>
    <w:rsid w:val="00777500"/>
    <w:rsid w:val="007846B5"/>
    <w:rsid w:val="007B1261"/>
    <w:rsid w:val="007B2314"/>
    <w:rsid w:val="007D1C31"/>
    <w:rsid w:val="007D4440"/>
    <w:rsid w:val="007D4DE8"/>
    <w:rsid w:val="007D503A"/>
    <w:rsid w:val="007F67B6"/>
    <w:rsid w:val="008214EC"/>
    <w:rsid w:val="008265FC"/>
    <w:rsid w:val="00827615"/>
    <w:rsid w:val="0082793A"/>
    <w:rsid w:val="00841D11"/>
    <w:rsid w:val="00867E11"/>
    <w:rsid w:val="008921FA"/>
    <w:rsid w:val="00895342"/>
    <w:rsid w:val="008B0D13"/>
    <w:rsid w:val="008E1AB9"/>
    <w:rsid w:val="008F1871"/>
    <w:rsid w:val="009011BD"/>
    <w:rsid w:val="00902C2B"/>
    <w:rsid w:val="00905754"/>
    <w:rsid w:val="00905888"/>
    <w:rsid w:val="00914DBE"/>
    <w:rsid w:val="00921184"/>
    <w:rsid w:val="009215E9"/>
    <w:rsid w:val="00944175"/>
    <w:rsid w:val="00946696"/>
    <w:rsid w:val="00946962"/>
    <w:rsid w:val="00961CCC"/>
    <w:rsid w:val="00961E11"/>
    <w:rsid w:val="009622A2"/>
    <w:rsid w:val="009771B6"/>
    <w:rsid w:val="00983CEF"/>
    <w:rsid w:val="009B6712"/>
    <w:rsid w:val="009C0CF8"/>
    <w:rsid w:val="00A317F3"/>
    <w:rsid w:val="00A31A3A"/>
    <w:rsid w:val="00A47105"/>
    <w:rsid w:val="00A518BD"/>
    <w:rsid w:val="00A5495A"/>
    <w:rsid w:val="00A65C31"/>
    <w:rsid w:val="00A830CD"/>
    <w:rsid w:val="00A87C2E"/>
    <w:rsid w:val="00A90152"/>
    <w:rsid w:val="00AA412B"/>
    <w:rsid w:val="00AB5133"/>
    <w:rsid w:val="00AC3073"/>
    <w:rsid w:val="00AC69B9"/>
    <w:rsid w:val="00AD4CC6"/>
    <w:rsid w:val="00AD4D96"/>
    <w:rsid w:val="00AE2E60"/>
    <w:rsid w:val="00AE6811"/>
    <w:rsid w:val="00AF0723"/>
    <w:rsid w:val="00AF3255"/>
    <w:rsid w:val="00B00526"/>
    <w:rsid w:val="00B0227A"/>
    <w:rsid w:val="00B17F3D"/>
    <w:rsid w:val="00B26142"/>
    <w:rsid w:val="00B420BF"/>
    <w:rsid w:val="00B5144A"/>
    <w:rsid w:val="00B555BF"/>
    <w:rsid w:val="00B70031"/>
    <w:rsid w:val="00B71D6D"/>
    <w:rsid w:val="00B77250"/>
    <w:rsid w:val="00B81B88"/>
    <w:rsid w:val="00B9384E"/>
    <w:rsid w:val="00B95148"/>
    <w:rsid w:val="00BA66F3"/>
    <w:rsid w:val="00BB2E14"/>
    <w:rsid w:val="00BC12DE"/>
    <w:rsid w:val="00BC277B"/>
    <w:rsid w:val="00BF432D"/>
    <w:rsid w:val="00C12B56"/>
    <w:rsid w:val="00C36FCC"/>
    <w:rsid w:val="00C54531"/>
    <w:rsid w:val="00C55F36"/>
    <w:rsid w:val="00C62785"/>
    <w:rsid w:val="00C64D2E"/>
    <w:rsid w:val="00C92396"/>
    <w:rsid w:val="00CA3D0B"/>
    <w:rsid w:val="00CA4B3A"/>
    <w:rsid w:val="00CA4D53"/>
    <w:rsid w:val="00CB7305"/>
    <w:rsid w:val="00CC72C0"/>
    <w:rsid w:val="00CD5C7D"/>
    <w:rsid w:val="00CE5A48"/>
    <w:rsid w:val="00D00042"/>
    <w:rsid w:val="00D166F3"/>
    <w:rsid w:val="00D25CCB"/>
    <w:rsid w:val="00D6201B"/>
    <w:rsid w:val="00D74E19"/>
    <w:rsid w:val="00D756AC"/>
    <w:rsid w:val="00D77598"/>
    <w:rsid w:val="00D810FB"/>
    <w:rsid w:val="00D847F7"/>
    <w:rsid w:val="00D86B14"/>
    <w:rsid w:val="00D902F7"/>
    <w:rsid w:val="00DB09AE"/>
    <w:rsid w:val="00DC2E78"/>
    <w:rsid w:val="00DC6F7D"/>
    <w:rsid w:val="00DE034B"/>
    <w:rsid w:val="00DE49E1"/>
    <w:rsid w:val="00DE62A0"/>
    <w:rsid w:val="00DE6A2D"/>
    <w:rsid w:val="00DF734D"/>
    <w:rsid w:val="00E33C0A"/>
    <w:rsid w:val="00E40F36"/>
    <w:rsid w:val="00E43343"/>
    <w:rsid w:val="00E434B5"/>
    <w:rsid w:val="00E47CBF"/>
    <w:rsid w:val="00E54F49"/>
    <w:rsid w:val="00E60B29"/>
    <w:rsid w:val="00E74763"/>
    <w:rsid w:val="00E9142A"/>
    <w:rsid w:val="00E9425F"/>
    <w:rsid w:val="00EA38F4"/>
    <w:rsid w:val="00EB0E7D"/>
    <w:rsid w:val="00EB7A6C"/>
    <w:rsid w:val="00ED1545"/>
    <w:rsid w:val="00ED5CBD"/>
    <w:rsid w:val="00EE6E54"/>
    <w:rsid w:val="00F06995"/>
    <w:rsid w:val="00F36404"/>
    <w:rsid w:val="00F46C6D"/>
    <w:rsid w:val="00F520B9"/>
    <w:rsid w:val="00F65FF8"/>
    <w:rsid w:val="00F67DBE"/>
    <w:rsid w:val="00F7188A"/>
    <w:rsid w:val="00F72BE2"/>
    <w:rsid w:val="00F77608"/>
    <w:rsid w:val="00F776AA"/>
    <w:rsid w:val="00F92DE5"/>
    <w:rsid w:val="00FA27A3"/>
    <w:rsid w:val="00FA3C30"/>
    <w:rsid w:val="00FA4E98"/>
    <w:rsid w:val="00FB5E09"/>
    <w:rsid w:val="00FC0BCC"/>
    <w:rsid w:val="00FC7AAA"/>
    <w:rsid w:val="00FF4618"/>
    <w:rsid w:val="00FF55FA"/>
    <w:rsid w:val="35184DE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195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7"/>
      <w:szCs w:val="27"/>
      <w:lang w:val="en-US" w:eastAsia="en-U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3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7"/>
      <w:szCs w:val="27"/>
      <w:lang w:val="en-US" w:eastAsia="en-US"/>
    </w:rPr>
  </w:style>
  <w:style w:type="character" w:styleId="Hyperlink">
    <w:name w:val="Hyperlink"/>
    <w:basedOn w:val="DefaultParagraphFont"/>
    <w:uiPriority w:val="99"/>
    <w:unhideWhenUsed/>
    <w:rsid w:val="00614F2F"/>
    <w:rPr>
      <w:color w:val="0000FF" w:themeColor="hyperlink"/>
      <w:u w:val="single"/>
    </w:rPr>
  </w:style>
  <w:style w:type="character" w:customStyle="1" w:styleId="UnresolvedMention">
    <w:name w:val="Unresolved Mention"/>
    <w:basedOn w:val="DefaultParagraphFont"/>
    <w:uiPriority w:val="99"/>
    <w:semiHidden/>
    <w:unhideWhenUsed/>
    <w:rsid w:val="00614F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7"/>
      <w:szCs w:val="27"/>
      <w:lang w:val="en-US" w:eastAsia="en-U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rPr>
      <w:rFonts w:ascii="Times New Roman" w:hAnsi="Times New Roman" w:cs="Times New Roman"/>
      <w:sz w:val="24"/>
      <w:szCs w:val="24"/>
    </w:rPr>
  </w:style>
  <w:style w:type="table" w:styleId="TableGrid">
    <w:name w:val="Table Grid"/>
    <w:basedOn w:val="TableNormal"/>
    <w:uiPriority w:val="39"/>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sz w:val="27"/>
      <w:szCs w:val="27"/>
      <w:lang w:val="en-US" w:eastAsia="en-US"/>
    </w:rPr>
  </w:style>
  <w:style w:type="character" w:styleId="Hyperlink">
    <w:name w:val="Hyperlink"/>
    <w:basedOn w:val="DefaultParagraphFont"/>
    <w:uiPriority w:val="99"/>
    <w:unhideWhenUsed/>
    <w:rsid w:val="00614F2F"/>
    <w:rPr>
      <w:color w:val="0000FF" w:themeColor="hyperlink"/>
      <w:u w:val="single"/>
    </w:rPr>
  </w:style>
  <w:style w:type="character" w:customStyle="1" w:styleId="UnresolvedMention">
    <w:name w:val="Unresolved Mention"/>
    <w:basedOn w:val="DefaultParagraphFont"/>
    <w:uiPriority w:val="99"/>
    <w:semiHidden/>
    <w:unhideWhenUsed/>
    <w:rsid w:val="00614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MALATHA\Desktop\Illustrations%20%20data%20soil%20moistur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MALATHA\Desktop\Illustrations%20%20data%20soil%20moistur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charset="0"/>
                <a:cs typeface="Times New Roman" panose="02020603050405020304" charset="0"/>
              </a:rPr>
              <a:t>0-15 cm</a:t>
            </a:r>
          </a:p>
        </c:rich>
      </c:tx>
      <c:overlay val="0"/>
      <c:spPr>
        <a:noFill/>
        <a:ln>
          <a:noFill/>
        </a:ln>
        <a:effectLst/>
      </c:spPr>
    </c:title>
    <c:autoTitleDeleted val="0"/>
    <c:plotArea>
      <c:layout/>
      <c:barChart>
        <c:barDir val="col"/>
        <c:grouping val="clustered"/>
        <c:varyColors val="0"/>
        <c:ser>
          <c:idx val="0"/>
          <c:order val="0"/>
          <c:tx>
            <c:strRef>
              <c:f>'soil moisture'!$D$17</c:f>
              <c:strCache>
                <c:ptCount val="1"/>
                <c:pt idx="0">
                  <c:v> Organic farming</c:v>
                </c:pt>
              </c:strCache>
            </c:strRef>
          </c:tx>
          <c:spPr>
            <a:solidFill>
              <a:schemeClr val="accent1"/>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moisture'!$E$17:$G$17</c:f>
              <c:numCache>
                <c:formatCode>General</c:formatCode>
                <c:ptCount val="3"/>
                <c:pt idx="0">
                  <c:v>17.579999999999998</c:v>
                </c:pt>
                <c:pt idx="1">
                  <c:v>23.12</c:v>
                </c:pt>
                <c:pt idx="2">
                  <c:v>11.52</c:v>
                </c:pt>
              </c:numCache>
            </c:numRef>
          </c:val>
          <c:extLst xmlns:c16r2="http://schemas.microsoft.com/office/drawing/2015/06/chart">
            <c:ext xmlns:c16="http://schemas.microsoft.com/office/drawing/2014/chart" uri="{C3380CC4-5D6E-409C-BE32-E72D297353CC}">
              <c16:uniqueId val="{00000000-9960-420A-9E65-52CBBD9F7F80}"/>
            </c:ext>
          </c:extLst>
        </c:ser>
        <c:ser>
          <c:idx val="1"/>
          <c:order val="1"/>
          <c:tx>
            <c:strRef>
              <c:f>'soil moisture'!$D$18</c:f>
              <c:strCache>
                <c:ptCount val="1"/>
                <c:pt idx="0">
                  <c:v>ICM practice</c:v>
                </c:pt>
              </c:strCache>
            </c:strRef>
          </c:tx>
          <c:spPr>
            <a:solidFill>
              <a:schemeClr val="accent6">
                <a:lumMod val="75000"/>
              </a:schemeClr>
            </a:solidFill>
            <a:ln>
              <a:noFill/>
            </a:ln>
            <a:effectLst/>
            <a:sp3d/>
          </c:spPr>
          <c:invertIfNegative val="0"/>
          <c:cat>
            <c:strRef>
              <c:f>'soil moisture'!$E$16:$G$16</c:f>
              <c:strCache>
                <c:ptCount val="3"/>
                <c:pt idx="0">
                  <c:v>Flowering</c:v>
                </c:pt>
                <c:pt idx="1">
                  <c:v>Peg initiation</c:v>
                </c:pt>
                <c:pt idx="2">
                  <c:v>Pod development</c:v>
                </c:pt>
              </c:strCache>
            </c:strRef>
          </c:cat>
          <c:val>
            <c:numRef>
              <c:f>'soil moisture'!$E$18:$G$18</c:f>
              <c:numCache>
                <c:formatCode>General</c:formatCode>
                <c:ptCount val="3"/>
                <c:pt idx="0">
                  <c:v>16.579999999999998</c:v>
                </c:pt>
                <c:pt idx="1">
                  <c:v>21.32</c:v>
                </c:pt>
                <c:pt idx="2">
                  <c:v>10.28</c:v>
                </c:pt>
              </c:numCache>
            </c:numRef>
          </c:val>
          <c:extLst xmlns:c16r2="http://schemas.microsoft.com/office/drawing/2015/06/chart">
            <c:ext xmlns:c16="http://schemas.microsoft.com/office/drawing/2014/chart" uri="{C3380CC4-5D6E-409C-BE32-E72D297353CC}">
              <c16:uniqueId val="{00000001-9960-420A-9E65-52CBBD9F7F80}"/>
            </c:ext>
          </c:extLst>
        </c:ser>
        <c:dLbls>
          <c:showLegendKey val="0"/>
          <c:showVal val="0"/>
          <c:showCatName val="0"/>
          <c:showSerName val="0"/>
          <c:showPercent val="0"/>
          <c:showBubbleSize val="0"/>
        </c:dLbls>
        <c:gapWidth val="150"/>
        <c:axId val="151648512"/>
        <c:axId val="173297664"/>
      </c:barChart>
      <c:catAx>
        <c:axId val="151648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3297664"/>
        <c:crosses val="autoZero"/>
        <c:auto val="1"/>
        <c:lblAlgn val="ctr"/>
        <c:lblOffset val="100"/>
        <c:noMultiLvlLbl val="0"/>
      </c:catAx>
      <c:valAx>
        <c:axId val="17329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164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30e7d360-db6b-43df-b3b3-1e31015092b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charset="0"/>
                <a:cs typeface="Times New Roman" panose="02020603050405020304" charset="0"/>
              </a:rPr>
              <a:t>15-30</a:t>
            </a:r>
            <a:r>
              <a:rPr lang="en-IN" sz="1200" b="1" baseline="0">
                <a:latin typeface="Times New Roman" panose="02020603050405020304" charset="0"/>
                <a:cs typeface="Times New Roman" panose="02020603050405020304" charset="0"/>
              </a:rPr>
              <a:t> cm</a:t>
            </a:r>
            <a:endParaRPr lang="en-IN" sz="1200" b="1">
              <a:latin typeface="Times New Roman" panose="02020603050405020304" charset="0"/>
              <a:cs typeface="Times New Roman" panose="02020603050405020304" charset="0"/>
            </a:endParaRPr>
          </a:p>
        </c:rich>
      </c:tx>
      <c:overlay val="0"/>
      <c:spPr>
        <a:noFill/>
        <a:ln>
          <a:noFill/>
        </a:ln>
        <a:effectLst/>
      </c:spPr>
    </c:title>
    <c:autoTitleDeleted val="0"/>
    <c:plotArea>
      <c:layout>
        <c:manualLayout>
          <c:layoutTarget val="inner"/>
          <c:xMode val="edge"/>
          <c:yMode val="edge"/>
          <c:x val="7.88734503764775E-2"/>
          <c:y val="0.15590584279108899"/>
          <c:w val="0.894973435025329"/>
          <c:h val="0.63695491720533703"/>
        </c:manualLayout>
      </c:layout>
      <c:barChart>
        <c:barDir val="col"/>
        <c:grouping val="clustered"/>
        <c:varyColors val="0"/>
        <c:ser>
          <c:idx val="0"/>
          <c:order val="0"/>
          <c:tx>
            <c:strRef>
              <c:f>'soil moisture'!$D$24</c:f>
              <c:strCache>
                <c:ptCount val="1"/>
                <c:pt idx="0">
                  <c:v> Organic farming</c:v>
                </c:pt>
              </c:strCache>
            </c:strRef>
          </c:tx>
          <c:spPr>
            <a:solidFill>
              <a:schemeClr val="accent1"/>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moisture'!$E$24:$G$24</c:f>
              <c:numCache>
                <c:formatCode>General</c:formatCode>
                <c:ptCount val="3"/>
                <c:pt idx="0">
                  <c:v>16.96</c:v>
                </c:pt>
                <c:pt idx="1">
                  <c:v>22.48</c:v>
                </c:pt>
                <c:pt idx="2">
                  <c:v>10.86</c:v>
                </c:pt>
              </c:numCache>
            </c:numRef>
          </c:val>
          <c:extLst xmlns:c16r2="http://schemas.microsoft.com/office/drawing/2015/06/chart">
            <c:ext xmlns:c16="http://schemas.microsoft.com/office/drawing/2014/chart" uri="{C3380CC4-5D6E-409C-BE32-E72D297353CC}">
              <c16:uniqueId val="{00000000-28A8-455B-BD88-976E591531BE}"/>
            </c:ext>
          </c:extLst>
        </c:ser>
        <c:ser>
          <c:idx val="1"/>
          <c:order val="1"/>
          <c:tx>
            <c:strRef>
              <c:f>'soil moisture'!$D$25</c:f>
              <c:strCache>
                <c:ptCount val="1"/>
                <c:pt idx="0">
                  <c:v>ICM practice</c:v>
                </c:pt>
              </c:strCache>
            </c:strRef>
          </c:tx>
          <c:spPr>
            <a:solidFill>
              <a:schemeClr val="accent6">
                <a:lumMod val="75000"/>
              </a:schemeClr>
            </a:solidFill>
            <a:ln>
              <a:noFill/>
            </a:ln>
            <a:effectLst/>
            <a:sp3d/>
          </c:spPr>
          <c:invertIfNegative val="0"/>
          <c:cat>
            <c:strRef>
              <c:f>'soil moisture'!$E$23:$G$23</c:f>
              <c:strCache>
                <c:ptCount val="3"/>
                <c:pt idx="0">
                  <c:v>Flowering</c:v>
                </c:pt>
                <c:pt idx="1">
                  <c:v>Peg initiation</c:v>
                </c:pt>
                <c:pt idx="2">
                  <c:v>Pod development</c:v>
                </c:pt>
              </c:strCache>
            </c:strRef>
          </c:cat>
          <c:val>
            <c:numRef>
              <c:f>'soil moisture'!$E$25:$G$25</c:f>
              <c:numCache>
                <c:formatCode>General</c:formatCode>
                <c:ptCount val="3"/>
                <c:pt idx="0">
                  <c:v>15.88</c:v>
                </c:pt>
                <c:pt idx="1">
                  <c:v>20.84</c:v>
                </c:pt>
                <c:pt idx="2">
                  <c:v>9.8800000000000008</c:v>
                </c:pt>
              </c:numCache>
            </c:numRef>
          </c:val>
          <c:extLst xmlns:c16r2="http://schemas.microsoft.com/office/drawing/2015/06/chart">
            <c:ext xmlns:c16="http://schemas.microsoft.com/office/drawing/2014/chart" uri="{C3380CC4-5D6E-409C-BE32-E72D297353CC}">
              <c16:uniqueId val="{00000001-28A8-455B-BD88-976E591531BE}"/>
            </c:ext>
          </c:extLst>
        </c:ser>
        <c:dLbls>
          <c:showLegendKey val="0"/>
          <c:showVal val="0"/>
          <c:showCatName val="0"/>
          <c:showSerName val="0"/>
          <c:showPercent val="0"/>
          <c:showBubbleSize val="0"/>
        </c:dLbls>
        <c:gapWidth val="150"/>
        <c:axId val="173349120"/>
        <c:axId val="173355008"/>
      </c:barChart>
      <c:catAx>
        <c:axId val="173349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73355008"/>
        <c:crosses val="autoZero"/>
        <c:auto val="1"/>
        <c:lblAlgn val="ctr"/>
        <c:lblOffset val="100"/>
        <c:noMultiLvlLbl val="0"/>
      </c:catAx>
      <c:valAx>
        <c:axId val="173355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Available</a:t>
                </a:r>
                <a:r>
                  <a:rPr lang="en-IN" sz="1100" baseline="0">
                    <a:latin typeface="Times New Roman" panose="02020603050405020304" charset="0"/>
                    <a:cs typeface="Times New Roman" panose="02020603050405020304" charset="0"/>
                  </a:rPr>
                  <a:t> soil moisture (%)</a:t>
                </a:r>
                <a:endParaRPr lang="en-IN" sz="1100">
                  <a:latin typeface="Times New Roman" panose="02020603050405020304" charset="0"/>
                  <a:cs typeface="Times New Roman" panose="02020603050405020304"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3349120"/>
        <c:crosses val="autoZero"/>
        <c:crossBetween val="between"/>
      </c:valAx>
      <c:spPr>
        <a:noFill/>
        <a:ln>
          <a:noFill/>
        </a:ln>
        <a:effectLst/>
      </c:spPr>
    </c:plotArea>
    <c:legend>
      <c:legendPos val="b"/>
      <c:layout>
        <c:manualLayout>
          <c:xMode val="edge"/>
          <c:yMode val="edge"/>
          <c:x val="0.22431611534388199"/>
          <c:y val="0.91263405815994902"/>
          <c:w val="0.51967196694203699"/>
          <c:h val="4.7750758659412099E-2"/>
        </c:manualLayout>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xmlns:c16r2="http://schemas.microsoft.com/office/drawing/2015/06/chart">
      <c:ext uri="{0b15fc19-7d7d-44ad-8c2d-2c3a37ce22c3}">
        <chartProps xmlns="https://web.wps.cn/et/2018/main" chartId="{d8a2b20b-511d-4650-9d2e-85a30fdbcdd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mouki</cp:lastModifiedBy>
  <cp:revision>84</cp:revision>
  <cp:lastPrinted>2025-01-06T10:41:00Z</cp:lastPrinted>
  <dcterms:created xsi:type="dcterms:W3CDTF">2024-12-21T12:26:00Z</dcterms:created>
  <dcterms:modified xsi:type="dcterms:W3CDTF">2025-02-21T17:12:00Z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92ACEB4826D04F848D430F41EAA4B374_12</vt:lpwstr>
  </property>
</Properties>
</file>