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E0AB2" w14:textId="51BF3E41" w:rsidR="00EC1579" w:rsidRPr="00EC1579" w:rsidRDefault="00EC1579" w:rsidP="00EC1579">
      <w:pPr>
        <w:spacing w:before="100" w:beforeAutospacing="1" w:after="100" w:afterAutospacing="1" w:line="240" w:lineRule="auto"/>
        <w:rPr>
          <w:rFonts w:ascii="Times New Roman" w:eastAsia="Times New Roman" w:hAnsi="Times New Roman" w:cs="Times New Roman"/>
          <w:b/>
          <w:bCs/>
          <w:i/>
          <w:iCs/>
          <w:sz w:val="24"/>
          <w:szCs w:val="24"/>
          <w:u w:val="single"/>
          <w:lang w:eastAsia="en-IN"/>
        </w:rPr>
      </w:pPr>
      <w:r w:rsidRPr="00EC1579">
        <w:rPr>
          <w:rFonts w:ascii="Times New Roman" w:eastAsia="Times New Roman" w:hAnsi="Times New Roman" w:cs="Times New Roman"/>
          <w:b/>
          <w:bCs/>
          <w:i/>
          <w:iCs/>
          <w:sz w:val="24"/>
          <w:szCs w:val="24"/>
          <w:u w:val="single"/>
          <w:lang w:eastAsia="en-IN"/>
        </w:rPr>
        <w:t>Original Research Article</w:t>
      </w:r>
    </w:p>
    <w:p w14:paraId="62D48317" w14:textId="6CE65594" w:rsidR="00FF6698" w:rsidRPr="00FF6F6B" w:rsidRDefault="00D77499" w:rsidP="00FF6698">
      <w:pPr>
        <w:spacing w:before="100" w:beforeAutospacing="1" w:after="100" w:afterAutospacing="1" w:line="240" w:lineRule="auto"/>
        <w:jc w:val="center"/>
        <w:rPr>
          <w:rFonts w:ascii="Times New Roman" w:eastAsia="Times New Roman" w:hAnsi="Times New Roman" w:cs="Times New Roman"/>
          <w:b/>
          <w:bCs/>
          <w:sz w:val="24"/>
          <w:szCs w:val="24"/>
          <w:lang w:eastAsia="en-IN"/>
        </w:rPr>
      </w:pPr>
      <w:commentRangeStart w:id="0"/>
      <w:r w:rsidRPr="00FF6F6B">
        <w:rPr>
          <w:rFonts w:ascii="Times New Roman" w:eastAsia="Times New Roman" w:hAnsi="Times New Roman" w:cs="Times New Roman"/>
          <w:b/>
          <w:bCs/>
          <w:sz w:val="24"/>
          <w:szCs w:val="24"/>
          <w:lang w:eastAsia="en-IN"/>
        </w:rPr>
        <w:t xml:space="preserve">IMPACT OF NICRA PROJECT ON KNOWLEDGE AND ADOPTION OF </w:t>
      </w:r>
      <w:r w:rsidR="00BA54BC">
        <w:rPr>
          <w:rFonts w:ascii="Times New Roman" w:eastAsia="Times New Roman" w:hAnsi="Times New Roman" w:cs="Times New Roman"/>
          <w:b/>
          <w:bCs/>
          <w:sz w:val="24"/>
          <w:szCs w:val="24"/>
          <w:lang w:eastAsia="en-IN"/>
        </w:rPr>
        <w:t>SUSTAINABLE</w:t>
      </w:r>
      <w:r w:rsidRPr="00FF6F6B">
        <w:rPr>
          <w:rFonts w:ascii="Times New Roman" w:eastAsia="Times New Roman" w:hAnsi="Times New Roman" w:cs="Times New Roman"/>
          <w:b/>
          <w:bCs/>
          <w:sz w:val="24"/>
          <w:szCs w:val="24"/>
          <w:lang w:eastAsia="en-IN"/>
        </w:rPr>
        <w:t xml:space="preserve"> CABBAGE PRODUCTION TECHNOLOGI</w:t>
      </w:r>
      <w:r w:rsidR="00D3155A" w:rsidRPr="00FF6F6B">
        <w:rPr>
          <w:rFonts w:ascii="Times New Roman" w:eastAsia="Times New Roman" w:hAnsi="Times New Roman" w:cs="Times New Roman"/>
          <w:b/>
          <w:bCs/>
          <w:sz w:val="24"/>
          <w:szCs w:val="24"/>
          <w:lang w:eastAsia="en-IN"/>
        </w:rPr>
        <w:t>ES: A STUDY IN SANGSANGYU BLOCK UNDER TUENSANG DISTRICT OF</w:t>
      </w:r>
      <w:r w:rsidRPr="00FF6F6B">
        <w:rPr>
          <w:rFonts w:ascii="Times New Roman" w:eastAsia="Times New Roman" w:hAnsi="Times New Roman" w:cs="Times New Roman"/>
          <w:b/>
          <w:bCs/>
          <w:sz w:val="24"/>
          <w:szCs w:val="24"/>
          <w:lang w:eastAsia="en-IN"/>
        </w:rPr>
        <w:t xml:space="preserve"> NAGALAND</w:t>
      </w:r>
      <w:commentRangeEnd w:id="0"/>
      <w:r w:rsidR="00AF52D7">
        <w:rPr>
          <w:rStyle w:val="CommentReference"/>
        </w:rPr>
        <w:commentReference w:id="0"/>
      </w:r>
    </w:p>
    <w:p w14:paraId="0051A996" w14:textId="77777777" w:rsidR="00486241" w:rsidRPr="00FF6F6B" w:rsidRDefault="00486241" w:rsidP="00D3155A">
      <w:pPr>
        <w:spacing w:after="0" w:line="240" w:lineRule="auto"/>
        <w:jc w:val="center"/>
        <w:rPr>
          <w:rFonts w:ascii="Times New Roman" w:eastAsia="Times New Roman" w:hAnsi="Times New Roman" w:cs="Times New Roman"/>
          <w:bCs/>
          <w:sz w:val="20"/>
          <w:szCs w:val="20"/>
          <w:lang w:eastAsia="en-IN"/>
        </w:rPr>
      </w:pPr>
    </w:p>
    <w:p w14:paraId="57E392D1" w14:textId="77777777" w:rsidR="000D3AC2" w:rsidRPr="00FF6F6B" w:rsidRDefault="00F62434" w:rsidP="000822B0">
      <w:pPr>
        <w:spacing w:before="100" w:beforeAutospacing="1" w:after="0" w:line="240" w:lineRule="auto"/>
        <w:jc w:val="center"/>
        <w:rPr>
          <w:rFonts w:ascii="Times New Roman" w:eastAsia="Times New Roman" w:hAnsi="Times New Roman" w:cs="Times New Roman"/>
          <w:sz w:val="24"/>
          <w:szCs w:val="24"/>
          <w:lang w:eastAsia="en-IN"/>
        </w:rPr>
      </w:pPr>
      <w:r w:rsidRPr="00FF6F6B">
        <w:rPr>
          <w:rFonts w:ascii="Times New Roman" w:eastAsia="Times New Roman" w:hAnsi="Times New Roman" w:cs="Times New Roman"/>
          <w:b/>
          <w:bCs/>
          <w:sz w:val="24"/>
          <w:szCs w:val="24"/>
          <w:lang w:eastAsia="en-IN"/>
        </w:rPr>
        <w:t>Abstract</w:t>
      </w:r>
    </w:p>
    <w:p w14:paraId="50844606" w14:textId="77777777" w:rsidR="000D3AC2" w:rsidRPr="00FF6F6B" w:rsidRDefault="000D3AC2" w:rsidP="000822B0">
      <w:pPr>
        <w:spacing w:after="0" w:line="240" w:lineRule="auto"/>
        <w:jc w:val="both"/>
        <w:rPr>
          <w:rFonts w:ascii="Times New Roman" w:eastAsia="Times New Roman" w:hAnsi="Times New Roman" w:cs="Times New Roman"/>
          <w:sz w:val="24"/>
          <w:szCs w:val="24"/>
          <w:lang w:eastAsia="en-IN"/>
        </w:rPr>
      </w:pPr>
      <w:commentRangeStart w:id="1"/>
      <w:r w:rsidRPr="00FF6F6B">
        <w:rPr>
          <w:rFonts w:ascii="Times New Roman" w:eastAsia="Times New Roman" w:hAnsi="Times New Roman" w:cs="Times New Roman"/>
          <w:sz w:val="24"/>
          <w:szCs w:val="24"/>
          <w:lang w:eastAsia="en-IN"/>
        </w:rPr>
        <w:t xml:space="preserve">Adoption of </w:t>
      </w:r>
      <w:r w:rsidR="0031677F">
        <w:rPr>
          <w:rFonts w:ascii="Times New Roman" w:eastAsia="Times New Roman" w:hAnsi="Times New Roman" w:cs="Times New Roman"/>
          <w:sz w:val="24"/>
          <w:szCs w:val="24"/>
          <w:lang w:eastAsia="en-IN"/>
        </w:rPr>
        <w:t>sustainable</w:t>
      </w:r>
      <w:r w:rsidRPr="00FF6F6B">
        <w:rPr>
          <w:rFonts w:ascii="Times New Roman" w:eastAsia="Times New Roman" w:hAnsi="Times New Roman" w:cs="Times New Roman"/>
          <w:sz w:val="24"/>
          <w:szCs w:val="24"/>
          <w:lang w:eastAsia="en-IN"/>
        </w:rPr>
        <w:t xml:space="preserve"> production technology plays a crucial role in enhancing agricultural productivity and resilience, particularly in regions vu</w:t>
      </w:r>
      <w:r w:rsidR="00486241" w:rsidRPr="00FF6F6B">
        <w:rPr>
          <w:rFonts w:ascii="Times New Roman" w:eastAsia="Times New Roman" w:hAnsi="Times New Roman" w:cs="Times New Roman"/>
          <w:sz w:val="24"/>
          <w:szCs w:val="24"/>
          <w:lang w:eastAsia="en-IN"/>
        </w:rPr>
        <w:t>lnerable to climate change. Present</w:t>
      </w:r>
      <w:r w:rsidRPr="00FF6F6B">
        <w:rPr>
          <w:rFonts w:ascii="Times New Roman" w:eastAsia="Times New Roman" w:hAnsi="Times New Roman" w:cs="Times New Roman"/>
          <w:sz w:val="24"/>
          <w:szCs w:val="24"/>
          <w:lang w:eastAsia="en-IN"/>
        </w:rPr>
        <w:t xml:space="preserve"> study, was conducted to assess the extent of adoption of climate-resilient cabbage farming practices among beneficiary and non-beneficiary farmers</w:t>
      </w:r>
      <w:r w:rsidR="00514ABD">
        <w:rPr>
          <w:rFonts w:ascii="Times New Roman" w:eastAsia="Times New Roman" w:hAnsi="Times New Roman" w:cs="Times New Roman"/>
          <w:sz w:val="24"/>
          <w:szCs w:val="24"/>
          <w:lang w:eastAsia="en-IN"/>
        </w:rPr>
        <w:t xml:space="preserve"> of</w:t>
      </w:r>
      <w:r w:rsidRPr="00FF6F6B">
        <w:rPr>
          <w:rFonts w:ascii="Times New Roman" w:eastAsia="Times New Roman" w:hAnsi="Times New Roman" w:cs="Times New Roman"/>
          <w:sz w:val="24"/>
          <w:szCs w:val="24"/>
          <w:lang w:eastAsia="en-IN"/>
        </w:rPr>
        <w:t xml:space="preserve"> </w:t>
      </w:r>
      <w:proofErr w:type="spellStart"/>
      <w:r w:rsidRPr="00FF6F6B">
        <w:rPr>
          <w:rFonts w:ascii="Times New Roman" w:eastAsia="Times New Roman" w:hAnsi="Times New Roman" w:cs="Times New Roman"/>
          <w:sz w:val="24"/>
          <w:szCs w:val="24"/>
          <w:lang w:eastAsia="en-IN"/>
        </w:rPr>
        <w:t>Sangsangyu</w:t>
      </w:r>
      <w:proofErr w:type="spellEnd"/>
      <w:r w:rsidRPr="00FF6F6B">
        <w:rPr>
          <w:rFonts w:ascii="Times New Roman" w:eastAsia="Times New Roman" w:hAnsi="Times New Roman" w:cs="Times New Roman"/>
          <w:sz w:val="24"/>
          <w:szCs w:val="24"/>
          <w:lang w:eastAsia="en-IN"/>
        </w:rPr>
        <w:t xml:space="preserve"> block, </w:t>
      </w:r>
      <w:r w:rsidR="00514ABD">
        <w:rPr>
          <w:rFonts w:ascii="Times New Roman" w:eastAsia="Times New Roman" w:hAnsi="Times New Roman" w:cs="Times New Roman"/>
          <w:sz w:val="24"/>
          <w:szCs w:val="24"/>
          <w:lang w:eastAsia="en-IN"/>
        </w:rPr>
        <w:t xml:space="preserve">under </w:t>
      </w:r>
      <w:proofErr w:type="spellStart"/>
      <w:r w:rsidR="00514ABD">
        <w:rPr>
          <w:rFonts w:ascii="Times New Roman" w:eastAsia="Times New Roman" w:hAnsi="Times New Roman" w:cs="Times New Roman"/>
          <w:sz w:val="24"/>
          <w:szCs w:val="24"/>
          <w:lang w:eastAsia="en-IN"/>
        </w:rPr>
        <w:t>Tuensang</w:t>
      </w:r>
      <w:proofErr w:type="spellEnd"/>
      <w:r w:rsidR="00514ABD">
        <w:rPr>
          <w:rFonts w:ascii="Times New Roman" w:eastAsia="Times New Roman" w:hAnsi="Times New Roman" w:cs="Times New Roman"/>
          <w:sz w:val="24"/>
          <w:szCs w:val="24"/>
          <w:lang w:eastAsia="en-IN"/>
        </w:rPr>
        <w:t xml:space="preserve"> district, </w:t>
      </w:r>
      <w:r w:rsidRPr="00FF6F6B">
        <w:rPr>
          <w:rFonts w:ascii="Times New Roman" w:eastAsia="Times New Roman" w:hAnsi="Times New Roman" w:cs="Times New Roman"/>
          <w:sz w:val="24"/>
          <w:szCs w:val="24"/>
          <w:lang w:eastAsia="en-IN"/>
        </w:rPr>
        <w:t xml:space="preserve">where cabbage cultivation is prominent, with a sample of </w:t>
      </w:r>
      <w:r w:rsidRPr="00FF6F6B">
        <w:rPr>
          <w:rFonts w:ascii="Times New Roman" w:eastAsia="Times New Roman" w:hAnsi="Times New Roman" w:cs="Times New Roman"/>
          <w:bCs/>
          <w:sz w:val="24"/>
          <w:szCs w:val="24"/>
          <w:lang w:eastAsia="en-IN"/>
        </w:rPr>
        <w:t>150 respondents (75 beneficiaries and 75 non-beneficiaries)</w:t>
      </w:r>
      <w:r w:rsidRPr="00FF6F6B">
        <w:rPr>
          <w:rFonts w:ascii="Times New Roman" w:eastAsia="Times New Roman" w:hAnsi="Times New Roman" w:cs="Times New Roman"/>
          <w:sz w:val="24"/>
          <w:szCs w:val="24"/>
          <w:lang w:eastAsia="en-IN"/>
        </w:rPr>
        <w:t xml:space="preserve">. The socio-economic analysis revealed that </w:t>
      </w:r>
      <w:r w:rsidRPr="00FF6F6B">
        <w:rPr>
          <w:rFonts w:ascii="Times New Roman" w:eastAsia="Times New Roman" w:hAnsi="Times New Roman" w:cs="Times New Roman"/>
          <w:bCs/>
          <w:sz w:val="24"/>
          <w:szCs w:val="24"/>
          <w:lang w:eastAsia="en-IN"/>
        </w:rPr>
        <w:t>beneficiaries had higher educational qualifications, more farming experience, and better income levels</w:t>
      </w:r>
      <w:r w:rsidRPr="00FF6F6B">
        <w:rPr>
          <w:rFonts w:ascii="Times New Roman" w:eastAsia="Times New Roman" w:hAnsi="Times New Roman" w:cs="Times New Roman"/>
          <w:sz w:val="24"/>
          <w:szCs w:val="24"/>
          <w:lang w:eastAsia="en-IN"/>
        </w:rPr>
        <w:t xml:space="preserve"> than non-beneficiaries. Most beneficiaries were engaged in </w:t>
      </w:r>
      <w:r w:rsidRPr="00FF6F6B">
        <w:rPr>
          <w:rFonts w:ascii="Times New Roman" w:eastAsia="Times New Roman" w:hAnsi="Times New Roman" w:cs="Times New Roman"/>
          <w:bCs/>
          <w:sz w:val="24"/>
          <w:szCs w:val="24"/>
          <w:lang w:eastAsia="en-IN"/>
        </w:rPr>
        <w:t>agriculture as their primary occupation</w:t>
      </w:r>
      <w:r w:rsidRPr="00FF6F6B">
        <w:rPr>
          <w:rFonts w:ascii="Times New Roman" w:eastAsia="Times New Roman" w:hAnsi="Times New Roman" w:cs="Times New Roman"/>
          <w:sz w:val="24"/>
          <w:szCs w:val="24"/>
          <w:lang w:eastAsia="en-IN"/>
        </w:rPr>
        <w:t xml:space="preserve">, whereas non-beneficiaries had a higher proportion of individuals involved in non-agricultural activities. The findings on knowledge levels indicated that beneficiaries had significantly </w:t>
      </w:r>
      <w:r w:rsidRPr="00FF6F6B">
        <w:rPr>
          <w:rFonts w:ascii="Times New Roman" w:eastAsia="Times New Roman" w:hAnsi="Times New Roman" w:cs="Times New Roman"/>
          <w:bCs/>
          <w:sz w:val="24"/>
          <w:szCs w:val="24"/>
          <w:lang w:eastAsia="en-IN"/>
        </w:rPr>
        <w:t xml:space="preserve">higher awareness of </w:t>
      </w:r>
      <w:r w:rsidR="0031677F">
        <w:rPr>
          <w:rFonts w:ascii="Times New Roman" w:eastAsia="Times New Roman" w:hAnsi="Times New Roman" w:cs="Times New Roman"/>
          <w:bCs/>
          <w:sz w:val="24"/>
          <w:szCs w:val="24"/>
          <w:lang w:eastAsia="en-IN"/>
        </w:rPr>
        <w:t>sustainable</w:t>
      </w:r>
      <w:r w:rsidRPr="00FF6F6B">
        <w:rPr>
          <w:rFonts w:ascii="Times New Roman" w:eastAsia="Times New Roman" w:hAnsi="Times New Roman" w:cs="Times New Roman"/>
          <w:bCs/>
          <w:sz w:val="24"/>
          <w:szCs w:val="24"/>
          <w:lang w:eastAsia="en-IN"/>
        </w:rPr>
        <w:t xml:space="preserve"> cabbage production technologies</w:t>
      </w:r>
      <w:r w:rsidRPr="00FF6F6B">
        <w:rPr>
          <w:rFonts w:ascii="Times New Roman" w:eastAsia="Times New Roman" w:hAnsi="Times New Roman" w:cs="Times New Roman"/>
          <w:sz w:val="24"/>
          <w:szCs w:val="24"/>
          <w:lang w:eastAsia="en-IN"/>
        </w:rPr>
        <w:t xml:space="preserve"> compared to non-beneficiaries. For instance, </w:t>
      </w:r>
      <w:r w:rsidRPr="00FF6F6B">
        <w:rPr>
          <w:rFonts w:ascii="Times New Roman" w:eastAsia="Times New Roman" w:hAnsi="Times New Roman" w:cs="Times New Roman"/>
          <w:bCs/>
          <w:sz w:val="24"/>
          <w:szCs w:val="24"/>
          <w:lang w:eastAsia="en-IN"/>
        </w:rPr>
        <w:t xml:space="preserve">73.33% of beneficiaries had high knowledge of </w:t>
      </w:r>
      <w:r w:rsidR="0031677F">
        <w:rPr>
          <w:rFonts w:ascii="Times New Roman" w:eastAsia="Times New Roman" w:hAnsi="Times New Roman" w:cs="Times New Roman"/>
          <w:bCs/>
          <w:sz w:val="24"/>
          <w:szCs w:val="24"/>
          <w:lang w:eastAsia="en-IN"/>
        </w:rPr>
        <w:t>sustainable</w:t>
      </w:r>
      <w:r w:rsidRPr="00FF6F6B">
        <w:rPr>
          <w:rFonts w:ascii="Times New Roman" w:eastAsia="Times New Roman" w:hAnsi="Times New Roman" w:cs="Times New Roman"/>
          <w:bCs/>
          <w:sz w:val="24"/>
          <w:szCs w:val="24"/>
          <w:lang w:eastAsia="en-IN"/>
        </w:rPr>
        <w:t xml:space="preserve"> spacing, compared to only 44.00% of non-beneficiaries</w:t>
      </w:r>
      <w:r w:rsidRPr="00FF6F6B">
        <w:rPr>
          <w:rFonts w:ascii="Times New Roman" w:eastAsia="Times New Roman" w:hAnsi="Times New Roman" w:cs="Times New Roman"/>
          <w:sz w:val="24"/>
          <w:szCs w:val="24"/>
          <w:lang w:eastAsia="en-IN"/>
        </w:rPr>
        <w:t xml:space="preserve">. A similar pattern was observed in areas such as </w:t>
      </w:r>
      <w:r w:rsidRPr="00FF6F6B">
        <w:rPr>
          <w:rFonts w:ascii="Times New Roman" w:eastAsia="Times New Roman" w:hAnsi="Times New Roman" w:cs="Times New Roman"/>
          <w:bCs/>
          <w:sz w:val="24"/>
          <w:szCs w:val="24"/>
          <w:lang w:eastAsia="en-IN"/>
        </w:rPr>
        <w:t>fertilizer application (58.67% vs. 37.33%), mulching and irrigation (69.33% vs. 49.33%), and integrated pest and disease management (57.33% vs. 30.67%)</w:t>
      </w:r>
      <w:r w:rsidRPr="00FF6F6B">
        <w:rPr>
          <w:rFonts w:ascii="Times New Roman" w:eastAsia="Times New Roman" w:hAnsi="Times New Roman" w:cs="Times New Roman"/>
          <w:sz w:val="24"/>
          <w:szCs w:val="24"/>
          <w:lang w:eastAsia="en-IN"/>
        </w:rPr>
        <w:t xml:space="preserve">. The statistical analysis confirmed these disparities, with the </w:t>
      </w:r>
      <w:r w:rsidRPr="00FF6F6B">
        <w:rPr>
          <w:rFonts w:ascii="Times New Roman" w:eastAsia="Times New Roman" w:hAnsi="Times New Roman" w:cs="Times New Roman"/>
          <w:bCs/>
          <w:sz w:val="24"/>
          <w:szCs w:val="24"/>
          <w:lang w:eastAsia="en-IN"/>
        </w:rPr>
        <w:t>mean knowledge score of beneficiaries (22.84) significantly higher than that of non-beneficiaries (13.42), supported by a t-value significant at the 1% level</w:t>
      </w:r>
      <w:r w:rsidRPr="00FF6F6B">
        <w:rPr>
          <w:rFonts w:ascii="Times New Roman" w:eastAsia="Times New Roman" w:hAnsi="Times New Roman" w:cs="Times New Roman"/>
          <w:sz w:val="24"/>
          <w:szCs w:val="24"/>
          <w:lang w:eastAsia="en-IN"/>
        </w:rPr>
        <w:t xml:space="preserve">. Adoption levels of </w:t>
      </w:r>
      <w:r w:rsidR="0031677F">
        <w:rPr>
          <w:rFonts w:ascii="Times New Roman" w:eastAsia="Times New Roman" w:hAnsi="Times New Roman" w:cs="Times New Roman"/>
          <w:sz w:val="24"/>
          <w:szCs w:val="24"/>
          <w:lang w:eastAsia="en-IN"/>
        </w:rPr>
        <w:t>sustainable</w:t>
      </w:r>
      <w:r w:rsidRPr="00FF6F6B">
        <w:rPr>
          <w:rFonts w:ascii="Times New Roman" w:eastAsia="Times New Roman" w:hAnsi="Times New Roman" w:cs="Times New Roman"/>
          <w:sz w:val="24"/>
          <w:szCs w:val="24"/>
          <w:lang w:eastAsia="en-IN"/>
        </w:rPr>
        <w:t xml:space="preserve"> technologies were also </w:t>
      </w:r>
      <w:r w:rsidRPr="00FF6F6B">
        <w:rPr>
          <w:rFonts w:ascii="Times New Roman" w:eastAsia="Times New Roman" w:hAnsi="Times New Roman" w:cs="Times New Roman"/>
          <w:bCs/>
          <w:sz w:val="24"/>
          <w:szCs w:val="24"/>
          <w:lang w:eastAsia="en-IN"/>
        </w:rPr>
        <w:t>substantially higher among beneficiaries</w:t>
      </w:r>
      <w:r w:rsidRPr="00FF6F6B">
        <w:rPr>
          <w:rFonts w:ascii="Times New Roman" w:eastAsia="Times New Roman" w:hAnsi="Times New Roman" w:cs="Times New Roman"/>
          <w:sz w:val="24"/>
          <w:szCs w:val="24"/>
          <w:lang w:eastAsia="en-IN"/>
        </w:rPr>
        <w:t xml:space="preserve">. The majority of NICRA beneficiaries adopted practices such as </w:t>
      </w:r>
      <w:r w:rsidRPr="00FF6F6B">
        <w:rPr>
          <w:rFonts w:ascii="Times New Roman" w:eastAsia="Times New Roman" w:hAnsi="Times New Roman" w:cs="Times New Roman"/>
          <w:bCs/>
          <w:sz w:val="24"/>
          <w:szCs w:val="24"/>
          <w:lang w:eastAsia="en-IN"/>
        </w:rPr>
        <w:t>transplanting at the right stage (89.33%), proper irrigation during head formation (69.33%), and integrated pest management (72.00%)</w:t>
      </w:r>
      <w:r w:rsidRPr="00FF6F6B">
        <w:rPr>
          <w:rFonts w:ascii="Times New Roman" w:eastAsia="Times New Roman" w:hAnsi="Times New Roman" w:cs="Times New Roman"/>
          <w:sz w:val="24"/>
          <w:szCs w:val="24"/>
          <w:lang w:eastAsia="en-IN"/>
        </w:rPr>
        <w:t xml:space="preserve">, whereas non-beneficiaries lagged significantly behind. Adoption rates for post-harvest measures were also </w:t>
      </w:r>
      <w:r w:rsidRPr="00FF6F6B">
        <w:rPr>
          <w:rFonts w:ascii="Times New Roman" w:eastAsia="Times New Roman" w:hAnsi="Times New Roman" w:cs="Times New Roman"/>
          <w:bCs/>
          <w:sz w:val="24"/>
          <w:szCs w:val="24"/>
          <w:lang w:eastAsia="en-IN"/>
        </w:rPr>
        <w:t>higher among beneficiaries (69.33%) compared to non-beneficiaries (44.00%)</w:t>
      </w:r>
      <w:r w:rsidRPr="00FF6F6B">
        <w:rPr>
          <w:rFonts w:ascii="Times New Roman" w:eastAsia="Times New Roman" w:hAnsi="Times New Roman" w:cs="Times New Roman"/>
          <w:sz w:val="24"/>
          <w:szCs w:val="24"/>
          <w:lang w:eastAsia="en-IN"/>
        </w:rPr>
        <w:t>, emphasizing the role of NICRA in enhancing climate-smart agricultural practices.</w:t>
      </w:r>
      <w:r w:rsidR="00514ABD" w:rsidRPr="00514ABD">
        <w:rPr>
          <w:rFonts w:ascii="Times New Roman" w:eastAsia="Times New Roman" w:hAnsi="Times New Roman" w:cs="Times New Roman"/>
          <w:bCs/>
          <w:sz w:val="24"/>
          <w:szCs w:val="24"/>
          <w:lang w:eastAsia="en-IN"/>
        </w:rPr>
        <w:t xml:space="preserve"> </w:t>
      </w:r>
      <w:r w:rsidR="00514ABD">
        <w:rPr>
          <w:rFonts w:ascii="Times New Roman" w:eastAsia="Times New Roman" w:hAnsi="Times New Roman" w:cs="Times New Roman"/>
          <w:bCs/>
          <w:sz w:val="24"/>
          <w:szCs w:val="24"/>
          <w:lang w:eastAsia="en-IN"/>
        </w:rPr>
        <w:t>Further in context sustainability index, social sustainability contributes the highest of about 58.97 per cent.</w:t>
      </w:r>
      <w:r w:rsidRPr="00FF6F6B">
        <w:rPr>
          <w:rFonts w:ascii="Times New Roman" w:eastAsia="Times New Roman" w:hAnsi="Times New Roman" w:cs="Times New Roman"/>
          <w:sz w:val="24"/>
          <w:szCs w:val="24"/>
          <w:lang w:eastAsia="en-IN"/>
        </w:rPr>
        <w:t xml:space="preserve"> Overall, the study underscores the </w:t>
      </w:r>
      <w:r w:rsidRPr="00FF6F6B">
        <w:rPr>
          <w:rFonts w:ascii="Times New Roman" w:eastAsia="Times New Roman" w:hAnsi="Times New Roman" w:cs="Times New Roman"/>
          <w:bCs/>
          <w:sz w:val="24"/>
          <w:szCs w:val="24"/>
          <w:lang w:eastAsia="en-IN"/>
        </w:rPr>
        <w:t>positive impact of NICRA interventions in promoting climate-resilient cabbage production technologies</w:t>
      </w:r>
      <w:r w:rsidRPr="00FF6F6B">
        <w:rPr>
          <w:rFonts w:ascii="Times New Roman" w:eastAsia="Times New Roman" w:hAnsi="Times New Roman" w:cs="Times New Roman"/>
          <w:sz w:val="24"/>
          <w:szCs w:val="24"/>
          <w:lang w:eastAsia="en-IN"/>
        </w:rPr>
        <w:t xml:space="preserve">. Beneficiaries demonstrated </w:t>
      </w:r>
      <w:r w:rsidRPr="00FF6F6B">
        <w:rPr>
          <w:rFonts w:ascii="Times New Roman" w:eastAsia="Times New Roman" w:hAnsi="Times New Roman" w:cs="Times New Roman"/>
          <w:bCs/>
          <w:sz w:val="24"/>
          <w:szCs w:val="24"/>
          <w:lang w:eastAsia="en-IN"/>
        </w:rPr>
        <w:t>higher knowledge, greater adoption rates, and improved agricultural outcomes</w:t>
      </w:r>
      <w:r w:rsidRPr="00FF6F6B">
        <w:rPr>
          <w:rFonts w:ascii="Times New Roman" w:eastAsia="Times New Roman" w:hAnsi="Times New Roman" w:cs="Times New Roman"/>
          <w:sz w:val="24"/>
          <w:szCs w:val="24"/>
          <w:lang w:eastAsia="en-IN"/>
        </w:rPr>
        <w:t xml:space="preserve"> compared to non-beneficiaries. However, despite the success of NICRA, a considerable knowledge and adoption gap remains among non-beneficiaries, highlighting the </w:t>
      </w:r>
      <w:r w:rsidRPr="00FF6F6B">
        <w:rPr>
          <w:rFonts w:ascii="Times New Roman" w:eastAsia="Times New Roman" w:hAnsi="Times New Roman" w:cs="Times New Roman"/>
          <w:bCs/>
          <w:sz w:val="24"/>
          <w:szCs w:val="24"/>
          <w:lang w:eastAsia="en-IN"/>
        </w:rPr>
        <w:t>need for broader dissemination of climate-resilient technologies</w:t>
      </w:r>
      <w:r w:rsidRPr="00FF6F6B">
        <w:rPr>
          <w:rFonts w:ascii="Times New Roman" w:eastAsia="Times New Roman" w:hAnsi="Times New Roman" w:cs="Times New Roman"/>
          <w:sz w:val="24"/>
          <w:szCs w:val="24"/>
          <w:lang w:eastAsia="en-IN"/>
        </w:rPr>
        <w:t>. Expanding outreach and extension efforts could significantly enhance the overall adoption of sustainable farming practices, ensuring greater resilience and productivity in cabbage cultivation</w:t>
      </w:r>
      <w:commentRangeEnd w:id="1"/>
      <w:r w:rsidR="007C7374">
        <w:rPr>
          <w:rStyle w:val="CommentReference"/>
        </w:rPr>
        <w:commentReference w:id="1"/>
      </w:r>
      <w:r w:rsidRPr="00FF6F6B">
        <w:rPr>
          <w:rFonts w:ascii="Times New Roman" w:eastAsia="Times New Roman" w:hAnsi="Times New Roman" w:cs="Times New Roman"/>
          <w:sz w:val="24"/>
          <w:szCs w:val="24"/>
          <w:lang w:eastAsia="en-IN"/>
        </w:rPr>
        <w:t>.</w:t>
      </w:r>
    </w:p>
    <w:p w14:paraId="7D7F4432" w14:textId="77777777" w:rsidR="00FF25C5" w:rsidRPr="00FF6F6B" w:rsidRDefault="00FF25C5" w:rsidP="000D3AC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F6F6B">
        <w:rPr>
          <w:rFonts w:ascii="Times New Roman" w:eastAsia="Times New Roman" w:hAnsi="Times New Roman" w:cs="Times New Roman"/>
          <w:b/>
          <w:sz w:val="24"/>
          <w:szCs w:val="24"/>
          <w:lang w:eastAsia="en-IN"/>
        </w:rPr>
        <w:t>Keywords</w:t>
      </w:r>
      <w:r w:rsidRPr="00FF6F6B">
        <w:rPr>
          <w:rFonts w:ascii="Times New Roman" w:eastAsia="Times New Roman" w:hAnsi="Times New Roman" w:cs="Times New Roman"/>
          <w:sz w:val="24"/>
          <w:szCs w:val="24"/>
          <w:lang w:eastAsia="en-IN"/>
        </w:rPr>
        <w:t xml:space="preserve">: Knowledge level, adoption, cabbage growers, NICRA, </w:t>
      </w:r>
      <w:r w:rsidR="00C33789">
        <w:rPr>
          <w:rFonts w:ascii="Times New Roman" w:eastAsia="Times New Roman" w:hAnsi="Times New Roman" w:cs="Times New Roman"/>
          <w:sz w:val="24"/>
          <w:szCs w:val="24"/>
          <w:lang w:eastAsia="en-IN"/>
        </w:rPr>
        <w:t>Sustainability</w:t>
      </w:r>
    </w:p>
    <w:p w14:paraId="16682136" w14:textId="58A4CCEF" w:rsidR="00486241" w:rsidRDefault="00486241" w:rsidP="000D3AC2">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4556DD5E" w14:textId="3077323F" w:rsidR="005A1FDD" w:rsidRDefault="005A1FDD" w:rsidP="000D3AC2">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67CF5F38" w14:textId="77777777" w:rsidR="005A1FDD" w:rsidRPr="00FF6F6B" w:rsidRDefault="005A1FDD" w:rsidP="000D3AC2">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33CECF96" w14:textId="77777777" w:rsidR="006A7539" w:rsidRPr="00FF6F6B" w:rsidRDefault="00F62434" w:rsidP="006E0E9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F6F6B">
        <w:rPr>
          <w:rFonts w:ascii="Times New Roman" w:eastAsia="Times New Roman" w:hAnsi="Times New Roman" w:cs="Times New Roman"/>
          <w:b/>
          <w:bCs/>
          <w:sz w:val="24"/>
          <w:szCs w:val="24"/>
          <w:lang w:eastAsia="en-IN"/>
        </w:rPr>
        <w:lastRenderedPageBreak/>
        <w:t>I. Introduction</w:t>
      </w:r>
      <w:r w:rsidRPr="00FF6F6B">
        <w:rPr>
          <w:rFonts w:ascii="Times New Roman" w:eastAsia="Times New Roman" w:hAnsi="Times New Roman" w:cs="Times New Roman"/>
          <w:sz w:val="24"/>
          <w:szCs w:val="24"/>
          <w:lang w:eastAsia="en-IN"/>
        </w:rPr>
        <w:t xml:space="preserve"> </w:t>
      </w:r>
    </w:p>
    <w:p w14:paraId="1FFE8576" w14:textId="77777777" w:rsidR="006A7539" w:rsidRPr="00FF6F6B" w:rsidRDefault="004C5864" w:rsidP="006A753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F6F6B">
        <w:rPr>
          <w:rFonts w:ascii="Times New Roman" w:eastAsia="Times New Roman" w:hAnsi="Times New Roman" w:cs="Times New Roman"/>
          <w:sz w:val="24"/>
          <w:szCs w:val="24"/>
          <w:lang w:eastAsia="en-IN"/>
        </w:rPr>
        <w:t xml:space="preserve">Agriculture plays a vital role in sustaining livelihoods, particularly in rural areas where </w:t>
      </w:r>
      <w:proofErr w:type="gramStart"/>
      <w:r w:rsidRPr="00FF6F6B">
        <w:rPr>
          <w:rFonts w:ascii="Times New Roman" w:eastAsia="Times New Roman" w:hAnsi="Times New Roman" w:cs="Times New Roman"/>
          <w:sz w:val="24"/>
          <w:szCs w:val="24"/>
          <w:lang w:eastAsia="en-IN"/>
        </w:rPr>
        <w:t xml:space="preserve">the </w:t>
      </w:r>
      <w:r w:rsidR="006A7539" w:rsidRPr="00FF6F6B">
        <w:rPr>
          <w:rFonts w:ascii="Times New Roman" w:eastAsia="Times New Roman" w:hAnsi="Times New Roman" w:cs="Times New Roman"/>
          <w:sz w:val="24"/>
          <w:szCs w:val="24"/>
          <w:lang w:eastAsia="en-IN"/>
        </w:rPr>
        <w:t>majority of</w:t>
      </w:r>
      <w:proofErr w:type="gramEnd"/>
      <w:r w:rsidR="006A7539" w:rsidRPr="00FF6F6B">
        <w:rPr>
          <w:rFonts w:ascii="Times New Roman" w:eastAsia="Times New Roman" w:hAnsi="Times New Roman" w:cs="Times New Roman"/>
          <w:sz w:val="24"/>
          <w:szCs w:val="24"/>
          <w:lang w:eastAsia="en-IN"/>
        </w:rPr>
        <w:t xml:space="preserve"> the population depends on farming for income and food security</w:t>
      </w:r>
      <w:r w:rsidR="00A25581" w:rsidRPr="00FF6F6B">
        <w:rPr>
          <w:rFonts w:ascii="Times New Roman" w:eastAsia="Times New Roman" w:hAnsi="Times New Roman" w:cs="Times New Roman"/>
          <w:sz w:val="24"/>
          <w:szCs w:val="24"/>
          <w:lang w:eastAsia="en-IN"/>
        </w:rPr>
        <w:t xml:space="preserve"> (</w:t>
      </w:r>
      <w:commentRangeStart w:id="2"/>
      <w:r w:rsidR="00A25581" w:rsidRPr="00FF6F6B">
        <w:rPr>
          <w:rFonts w:ascii="Times New Roman" w:eastAsia="Times New Roman" w:hAnsi="Times New Roman" w:cs="Times New Roman"/>
          <w:sz w:val="24"/>
          <w:szCs w:val="24"/>
          <w:lang w:eastAsia="en-IN"/>
        </w:rPr>
        <w:t>Rodriguez</w:t>
      </w:r>
      <w:commentRangeEnd w:id="2"/>
      <w:r w:rsidR="00C04942">
        <w:rPr>
          <w:rStyle w:val="CommentReference"/>
        </w:rPr>
        <w:commentReference w:id="2"/>
      </w:r>
      <w:r w:rsidR="00A25581" w:rsidRPr="00FF6F6B">
        <w:rPr>
          <w:rFonts w:ascii="Times New Roman" w:eastAsia="Times New Roman" w:hAnsi="Times New Roman" w:cs="Times New Roman"/>
          <w:sz w:val="24"/>
          <w:szCs w:val="24"/>
          <w:lang w:eastAsia="en-IN"/>
        </w:rPr>
        <w:t xml:space="preserve"> and Antonio, 2023)</w:t>
      </w:r>
      <w:r w:rsidR="006A7539" w:rsidRPr="00FF6F6B">
        <w:rPr>
          <w:rFonts w:ascii="Times New Roman" w:eastAsia="Times New Roman" w:hAnsi="Times New Roman" w:cs="Times New Roman"/>
          <w:sz w:val="24"/>
          <w:szCs w:val="24"/>
          <w:lang w:eastAsia="en-IN"/>
        </w:rPr>
        <w:t>. However, agricultural productivity is increasingly threatened by climate variability, erratic rainfall, soil degradation, and pest infestations, necessitating the adoption of improved farming practices to ensure sustainability (</w:t>
      </w:r>
      <w:r w:rsidR="00501ABB" w:rsidRPr="00FF6F6B">
        <w:rPr>
          <w:rFonts w:ascii="Times New Roman" w:eastAsia="Times New Roman" w:hAnsi="Times New Roman" w:cs="Times New Roman"/>
          <w:sz w:val="24"/>
          <w:szCs w:val="24"/>
          <w:lang w:eastAsia="en-IN"/>
        </w:rPr>
        <w:t>Zheng et al., 2024</w:t>
      </w:r>
      <w:r w:rsidR="006A7539" w:rsidRPr="00FF6F6B">
        <w:rPr>
          <w:rFonts w:ascii="Times New Roman" w:eastAsia="Times New Roman" w:hAnsi="Times New Roman" w:cs="Times New Roman"/>
          <w:sz w:val="24"/>
          <w:szCs w:val="24"/>
          <w:lang w:eastAsia="en-IN"/>
        </w:rPr>
        <w:t xml:space="preserve">). </w:t>
      </w:r>
      <w:commentRangeStart w:id="3"/>
      <w:r w:rsidR="006A7539" w:rsidRPr="00FF6F6B">
        <w:rPr>
          <w:rFonts w:ascii="Times New Roman" w:eastAsia="Times New Roman" w:hAnsi="Times New Roman" w:cs="Times New Roman"/>
          <w:sz w:val="24"/>
          <w:szCs w:val="24"/>
          <w:lang w:eastAsia="en-IN"/>
        </w:rPr>
        <w:t xml:space="preserve">The introduction of </w:t>
      </w:r>
      <w:commentRangeEnd w:id="3"/>
      <w:r w:rsidR="007C7374">
        <w:rPr>
          <w:rStyle w:val="CommentReference"/>
        </w:rPr>
        <w:commentReference w:id="3"/>
      </w:r>
      <w:r w:rsidR="006A7539" w:rsidRPr="00FF6F6B">
        <w:rPr>
          <w:rFonts w:ascii="Times New Roman" w:eastAsia="Times New Roman" w:hAnsi="Times New Roman" w:cs="Times New Roman"/>
          <w:sz w:val="24"/>
          <w:szCs w:val="24"/>
          <w:lang w:eastAsia="en-IN"/>
        </w:rPr>
        <w:t xml:space="preserve">climate-resilient technologies and </w:t>
      </w:r>
      <w:r w:rsidR="0031677F">
        <w:rPr>
          <w:rFonts w:ascii="Times New Roman" w:eastAsia="Times New Roman" w:hAnsi="Times New Roman" w:cs="Times New Roman"/>
          <w:sz w:val="24"/>
          <w:szCs w:val="24"/>
          <w:lang w:eastAsia="en-IN"/>
        </w:rPr>
        <w:t>sustainable</w:t>
      </w:r>
      <w:r w:rsidR="006A7539" w:rsidRPr="00FF6F6B">
        <w:rPr>
          <w:rFonts w:ascii="Times New Roman" w:eastAsia="Times New Roman" w:hAnsi="Times New Roman" w:cs="Times New Roman"/>
          <w:sz w:val="24"/>
          <w:szCs w:val="24"/>
          <w:lang w:eastAsia="en-IN"/>
        </w:rPr>
        <w:t xml:space="preserve"> production practices has become crucial in addressing these challenges, particularly in vulnerable regions like Nagaland, India. One such initiative aimed at enhancing farmers’ adaptive capacity is the </w:t>
      </w:r>
      <w:r w:rsidR="006A7539" w:rsidRPr="00FF6F6B">
        <w:rPr>
          <w:rFonts w:ascii="Times New Roman" w:eastAsia="Times New Roman" w:hAnsi="Times New Roman" w:cs="Times New Roman"/>
          <w:bCs/>
          <w:sz w:val="24"/>
          <w:szCs w:val="24"/>
          <w:lang w:eastAsia="en-IN"/>
        </w:rPr>
        <w:t>National Innovations on Climate Resilient Agriculture (NICRA)</w:t>
      </w:r>
      <w:r w:rsidR="006A7539" w:rsidRPr="00FF6F6B">
        <w:rPr>
          <w:rFonts w:ascii="Times New Roman" w:eastAsia="Times New Roman" w:hAnsi="Times New Roman" w:cs="Times New Roman"/>
          <w:sz w:val="24"/>
          <w:szCs w:val="24"/>
          <w:lang w:eastAsia="en-IN"/>
        </w:rPr>
        <w:t>, launched by the Indian Council of Agricultural Research (ICAR) in 2011. The project focuses on climate-smart agricultural practices to help farmers cope with climate-induced risks (</w:t>
      </w:r>
      <w:r w:rsidR="0022565A" w:rsidRPr="00FF6F6B">
        <w:rPr>
          <w:rFonts w:ascii="Times New Roman" w:eastAsia="Times New Roman" w:hAnsi="Times New Roman" w:cs="Times New Roman"/>
          <w:sz w:val="24"/>
          <w:szCs w:val="24"/>
          <w:lang w:eastAsia="en-IN"/>
        </w:rPr>
        <w:t>Singh et al., 2024</w:t>
      </w:r>
      <w:r w:rsidR="006A7539" w:rsidRPr="00FF6F6B">
        <w:rPr>
          <w:rFonts w:ascii="Times New Roman" w:eastAsia="Times New Roman" w:hAnsi="Times New Roman" w:cs="Times New Roman"/>
          <w:sz w:val="24"/>
          <w:szCs w:val="24"/>
          <w:lang w:eastAsia="en-IN"/>
        </w:rPr>
        <w:t>).</w:t>
      </w:r>
    </w:p>
    <w:p w14:paraId="0252BCCA" w14:textId="77777777" w:rsidR="00E22BFB" w:rsidRPr="00FF6F6B" w:rsidRDefault="006A7539" w:rsidP="00E22BF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F6F6B">
        <w:rPr>
          <w:rFonts w:ascii="Times New Roman" w:eastAsia="Times New Roman" w:hAnsi="Times New Roman" w:cs="Times New Roman"/>
          <w:sz w:val="24"/>
          <w:szCs w:val="24"/>
          <w:lang w:eastAsia="en-IN"/>
        </w:rPr>
        <w:t>Cabbage (</w:t>
      </w:r>
      <w:r w:rsidRPr="00FF6F6B">
        <w:rPr>
          <w:rFonts w:ascii="Times New Roman" w:eastAsia="Times New Roman" w:hAnsi="Times New Roman" w:cs="Times New Roman"/>
          <w:bCs/>
          <w:sz w:val="24"/>
          <w:szCs w:val="24"/>
          <w:lang w:eastAsia="en-IN"/>
        </w:rPr>
        <w:t>Brassica oleracea var. capitata</w:t>
      </w:r>
      <w:r w:rsidRPr="00FF6F6B">
        <w:rPr>
          <w:rFonts w:ascii="Times New Roman" w:eastAsia="Times New Roman" w:hAnsi="Times New Roman" w:cs="Times New Roman"/>
          <w:sz w:val="24"/>
          <w:szCs w:val="24"/>
          <w:lang w:eastAsia="en-IN"/>
        </w:rPr>
        <w:t>) is an important vegetable crop in India, contributing significantly to the diet and economy of rural farmers</w:t>
      </w:r>
      <w:r w:rsidR="0063138D" w:rsidRPr="00FF6F6B">
        <w:rPr>
          <w:rFonts w:ascii="Times New Roman" w:eastAsia="Times New Roman" w:hAnsi="Times New Roman" w:cs="Times New Roman"/>
          <w:sz w:val="24"/>
          <w:szCs w:val="24"/>
          <w:lang w:eastAsia="en-IN"/>
        </w:rPr>
        <w:t xml:space="preserve"> (</w:t>
      </w:r>
      <w:proofErr w:type="spellStart"/>
      <w:r w:rsidR="0063138D" w:rsidRPr="00FF6F6B">
        <w:rPr>
          <w:rFonts w:ascii="Times New Roman" w:eastAsia="Times New Roman" w:hAnsi="Times New Roman" w:cs="Times New Roman"/>
          <w:sz w:val="24"/>
          <w:szCs w:val="24"/>
          <w:lang w:eastAsia="en-IN"/>
        </w:rPr>
        <w:t>Sureshbhai</w:t>
      </w:r>
      <w:proofErr w:type="spellEnd"/>
      <w:r w:rsidR="0063138D" w:rsidRPr="00FF6F6B">
        <w:rPr>
          <w:rFonts w:ascii="Times New Roman" w:eastAsia="Times New Roman" w:hAnsi="Times New Roman" w:cs="Times New Roman"/>
          <w:sz w:val="24"/>
          <w:szCs w:val="24"/>
          <w:lang w:eastAsia="en-IN"/>
        </w:rPr>
        <w:t>, 2020)</w:t>
      </w:r>
      <w:r w:rsidRPr="00FF6F6B">
        <w:rPr>
          <w:rFonts w:ascii="Times New Roman" w:eastAsia="Times New Roman" w:hAnsi="Times New Roman" w:cs="Times New Roman"/>
          <w:sz w:val="24"/>
          <w:szCs w:val="24"/>
          <w:lang w:eastAsia="en-IN"/>
        </w:rPr>
        <w:t xml:space="preserve">. </w:t>
      </w:r>
      <w:r w:rsidRPr="00FF6F6B">
        <w:rPr>
          <w:rFonts w:ascii="Times New Roman" w:eastAsia="Times New Roman" w:hAnsi="Times New Roman" w:cs="Times New Roman"/>
          <w:sz w:val="24"/>
          <w:szCs w:val="24"/>
          <w:lang w:val="en-US"/>
        </w:rPr>
        <w:t>India produced 10049000 tons from an area of 433000 ha in 2023 ranking second in production worldwide next to China (FAOSTAT 2025). In India, the leading producers are West Bengal followed by Odisha, Madhya Pradesh, Gujarat and Assam</w:t>
      </w:r>
      <w:r w:rsidR="00836472" w:rsidRPr="00FF6F6B">
        <w:rPr>
          <w:rFonts w:ascii="Times New Roman" w:eastAsia="Times New Roman" w:hAnsi="Times New Roman" w:cs="Times New Roman"/>
          <w:sz w:val="24"/>
          <w:szCs w:val="24"/>
          <w:lang w:val="en-US"/>
        </w:rPr>
        <w:t xml:space="preserve"> (NHB, 202</w:t>
      </w:r>
      <w:r w:rsidR="00755446" w:rsidRPr="00FF6F6B">
        <w:rPr>
          <w:rFonts w:ascii="Times New Roman" w:eastAsia="Times New Roman" w:hAnsi="Times New Roman" w:cs="Times New Roman"/>
          <w:sz w:val="24"/>
          <w:szCs w:val="24"/>
          <w:lang w:val="en-US"/>
        </w:rPr>
        <w:t>3</w:t>
      </w:r>
      <w:r w:rsidR="00836472" w:rsidRPr="00FF6F6B">
        <w:rPr>
          <w:rFonts w:ascii="Times New Roman" w:eastAsia="Times New Roman" w:hAnsi="Times New Roman" w:cs="Times New Roman"/>
          <w:sz w:val="24"/>
          <w:szCs w:val="24"/>
          <w:lang w:val="en-US"/>
        </w:rPr>
        <w:t xml:space="preserve">). </w:t>
      </w:r>
      <w:r w:rsidRPr="00FF6F6B">
        <w:rPr>
          <w:rFonts w:ascii="Times New Roman" w:eastAsia="Times New Roman" w:hAnsi="Times New Roman" w:cs="Times New Roman"/>
          <w:sz w:val="24"/>
          <w:szCs w:val="24"/>
          <w:lang w:val="en-US"/>
        </w:rPr>
        <w:t xml:space="preserve"> </w:t>
      </w:r>
      <w:r w:rsidRPr="00FF6F6B">
        <w:rPr>
          <w:rFonts w:ascii="Times New Roman" w:eastAsia="Times New Roman" w:hAnsi="Times New Roman" w:cs="Times New Roman"/>
          <w:sz w:val="24"/>
          <w:szCs w:val="24"/>
          <w:lang w:eastAsia="en-IN"/>
        </w:rPr>
        <w:t xml:space="preserve">Nagaland, with its diverse </w:t>
      </w:r>
      <w:proofErr w:type="spellStart"/>
      <w:r w:rsidRPr="00FF6F6B">
        <w:rPr>
          <w:rFonts w:ascii="Times New Roman" w:eastAsia="Times New Roman" w:hAnsi="Times New Roman" w:cs="Times New Roman"/>
          <w:sz w:val="24"/>
          <w:szCs w:val="24"/>
          <w:lang w:eastAsia="en-IN"/>
        </w:rPr>
        <w:t>agro</w:t>
      </w:r>
      <w:proofErr w:type="spellEnd"/>
      <w:r w:rsidRPr="00FF6F6B">
        <w:rPr>
          <w:rFonts w:ascii="Times New Roman" w:eastAsia="Times New Roman" w:hAnsi="Times New Roman" w:cs="Times New Roman"/>
          <w:sz w:val="24"/>
          <w:szCs w:val="24"/>
          <w:lang w:eastAsia="en-IN"/>
        </w:rPr>
        <w:t xml:space="preserve">-climatic conditions, offers </w:t>
      </w:r>
      <w:proofErr w:type="spellStart"/>
      <w:r w:rsidRPr="00FF6F6B">
        <w:rPr>
          <w:rFonts w:ascii="Times New Roman" w:eastAsia="Times New Roman" w:hAnsi="Times New Roman" w:cs="Times New Roman"/>
          <w:sz w:val="24"/>
          <w:szCs w:val="24"/>
          <w:lang w:eastAsia="en-IN"/>
        </w:rPr>
        <w:t>favorable</w:t>
      </w:r>
      <w:proofErr w:type="spellEnd"/>
      <w:r w:rsidRPr="00FF6F6B">
        <w:rPr>
          <w:rFonts w:ascii="Times New Roman" w:eastAsia="Times New Roman" w:hAnsi="Times New Roman" w:cs="Times New Roman"/>
          <w:sz w:val="24"/>
          <w:szCs w:val="24"/>
          <w:lang w:eastAsia="en-IN"/>
        </w:rPr>
        <w:t xml:space="preserve"> conditions for cabbage cultivation. However, factors such as poor soil fertility, lack of irrigation facilities, and low adoption of improved agricultural practices have hindered productivity in the region (</w:t>
      </w:r>
      <w:r w:rsidR="00836472" w:rsidRPr="00FF6F6B">
        <w:rPr>
          <w:rFonts w:ascii="Times New Roman" w:eastAsia="Times New Roman" w:hAnsi="Times New Roman" w:cs="Times New Roman"/>
          <w:sz w:val="24"/>
          <w:szCs w:val="24"/>
          <w:lang w:eastAsia="en-IN"/>
        </w:rPr>
        <w:t>Noopur et al., 2023</w:t>
      </w:r>
      <w:r w:rsidRPr="00FF6F6B">
        <w:rPr>
          <w:rFonts w:ascii="Times New Roman" w:eastAsia="Times New Roman" w:hAnsi="Times New Roman" w:cs="Times New Roman"/>
          <w:sz w:val="24"/>
          <w:szCs w:val="24"/>
          <w:lang w:eastAsia="en-IN"/>
        </w:rPr>
        <w:t xml:space="preserve">). The </w:t>
      </w:r>
      <w:proofErr w:type="spellStart"/>
      <w:r w:rsidRPr="00FF6F6B">
        <w:rPr>
          <w:rFonts w:ascii="Times New Roman" w:eastAsia="Times New Roman" w:hAnsi="Times New Roman" w:cs="Times New Roman"/>
          <w:bCs/>
          <w:sz w:val="24"/>
          <w:szCs w:val="24"/>
          <w:lang w:eastAsia="en-IN"/>
        </w:rPr>
        <w:t>Sangsangyu</w:t>
      </w:r>
      <w:proofErr w:type="spellEnd"/>
      <w:r w:rsidRPr="00FF6F6B">
        <w:rPr>
          <w:rFonts w:ascii="Times New Roman" w:eastAsia="Times New Roman" w:hAnsi="Times New Roman" w:cs="Times New Roman"/>
          <w:bCs/>
          <w:sz w:val="24"/>
          <w:szCs w:val="24"/>
          <w:lang w:eastAsia="en-IN"/>
        </w:rPr>
        <w:t xml:space="preserve"> block in </w:t>
      </w:r>
      <w:proofErr w:type="spellStart"/>
      <w:r w:rsidRPr="00FF6F6B">
        <w:rPr>
          <w:rFonts w:ascii="Times New Roman" w:eastAsia="Times New Roman" w:hAnsi="Times New Roman" w:cs="Times New Roman"/>
          <w:bCs/>
          <w:sz w:val="24"/>
          <w:szCs w:val="24"/>
          <w:lang w:eastAsia="en-IN"/>
        </w:rPr>
        <w:t>Tuensang</w:t>
      </w:r>
      <w:proofErr w:type="spellEnd"/>
      <w:r w:rsidRPr="00FF6F6B">
        <w:rPr>
          <w:rFonts w:ascii="Times New Roman" w:eastAsia="Times New Roman" w:hAnsi="Times New Roman" w:cs="Times New Roman"/>
          <w:bCs/>
          <w:sz w:val="24"/>
          <w:szCs w:val="24"/>
          <w:lang w:eastAsia="en-IN"/>
        </w:rPr>
        <w:t xml:space="preserve"> district</w:t>
      </w:r>
      <w:r w:rsidRPr="00FF6F6B">
        <w:rPr>
          <w:rFonts w:ascii="Times New Roman" w:eastAsia="Times New Roman" w:hAnsi="Times New Roman" w:cs="Times New Roman"/>
          <w:sz w:val="24"/>
          <w:szCs w:val="24"/>
          <w:lang w:eastAsia="en-IN"/>
        </w:rPr>
        <w:t xml:space="preserve">, being one of the major cabbage-growing areas, was chosen for this study to assess the impact of NICRA interventions on farmers’ adoption of </w:t>
      </w:r>
      <w:r w:rsidR="0031677F">
        <w:rPr>
          <w:rFonts w:ascii="Times New Roman" w:eastAsia="Times New Roman" w:hAnsi="Times New Roman" w:cs="Times New Roman"/>
          <w:sz w:val="24"/>
          <w:szCs w:val="24"/>
          <w:lang w:eastAsia="en-IN"/>
        </w:rPr>
        <w:t>sustainable</w:t>
      </w:r>
      <w:r w:rsidRPr="00FF6F6B">
        <w:rPr>
          <w:rFonts w:ascii="Times New Roman" w:eastAsia="Times New Roman" w:hAnsi="Times New Roman" w:cs="Times New Roman"/>
          <w:sz w:val="24"/>
          <w:szCs w:val="24"/>
          <w:lang w:eastAsia="en-IN"/>
        </w:rPr>
        <w:t xml:space="preserve"> production technologies. Climate change has led to increased frequency of </w:t>
      </w:r>
      <w:r w:rsidRPr="00FF6F6B">
        <w:rPr>
          <w:rFonts w:ascii="Times New Roman" w:eastAsia="Times New Roman" w:hAnsi="Times New Roman" w:cs="Times New Roman"/>
          <w:bCs/>
          <w:sz w:val="24"/>
          <w:szCs w:val="24"/>
          <w:lang w:eastAsia="en-IN"/>
        </w:rPr>
        <w:t>unpredictable rainfall, prolonged dry spells, water scarcity, and pest outbreaks</w:t>
      </w:r>
      <w:r w:rsidRPr="00FF6F6B">
        <w:rPr>
          <w:rFonts w:ascii="Times New Roman" w:eastAsia="Times New Roman" w:hAnsi="Times New Roman" w:cs="Times New Roman"/>
          <w:sz w:val="24"/>
          <w:szCs w:val="24"/>
          <w:lang w:eastAsia="en-IN"/>
        </w:rPr>
        <w:t xml:space="preserve">, all of which negatively impact cabbage production. Traditional farming practices, which rely heavily on monsoon patterns, are becoming less effective, necessitating a shift toward climate-smart agriculture. Studies have shown that the adoption of improved agricultural technologies, including </w:t>
      </w:r>
      <w:r w:rsidRPr="00FF6F6B">
        <w:rPr>
          <w:rFonts w:ascii="Times New Roman" w:eastAsia="Times New Roman" w:hAnsi="Times New Roman" w:cs="Times New Roman"/>
          <w:bCs/>
          <w:sz w:val="24"/>
          <w:szCs w:val="24"/>
          <w:lang w:eastAsia="en-IN"/>
        </w:rPr>
        <w:t>integrated pest management, soil moisture conservation, and nutrient management</w:t>
      </w:r>
      <w:r w:rsidRPr="00FF6F6B">
        <w:rPr>
          <w:rFonts w:ascii="Times New Roman" w:eastAsia="Times New Roman" w:hAnsi="Times New Roman" w:cs="Times New Roman"/>
          <w:sz w:val="24"/>
          <w:szCs w:val="24"/>
          <w:lang w:eastAsia="en-IN"/>
        </w:rPr>
        <w:t>, significantly enhances productivity and resilience in smallholder farming systems (</w:t>
      </w:r>
      <w:commentRangeStart w:id="4"/>
      <w:proofErr w:type="spellStart"/>
      <w:r w:rsidRPr="00FF6F6B">
        <w:rPr>
          <w:rFonts w:ascii="Times New Roman" w:eastAsia="Times New Roman" w:hAnsi="Times New Roman" w:cs="Times New Roman"/>
          <w:sz w:val="24"/>
          <w:szCs w:val="24"/>
          <w:lang w:eastAsia="en-IN"/>
        </w:rPr>
        <w:t>K</w:t>
      </w:r>
      <w:r w:rsidR="00755446" w:rsidRPr="00FF6F6B">
        <w:rPr>
          <w:rFonts w:ascii="Times New Roman" w:eastAsia="Times New Roman" w:hAnsi="Times New Roman" w:cs="Times New Roman"/>
          <w:sz w:val="24"/>
          <w:szCs w:val="24"/>
          <w:lang w:eastAsia="en-IN"/>
        </w:rPr>
        <w:t>m</w:t>
      </w:r>
      <w:r w:rsidR="00E22BFB" w:rsidRPr="00FF6F6B">
        <w:rPr>
          <w:rFonts w:ascii="Times New Roman" w:eastAsia="Times New Roman" w:hAnsi="Times New Roman" w:cs="Times New Roman"/>
          <w:sz w:val="24"/>
          <w:szCs w:val="24"/>
          <w:lang w:eastAsia="en-IN"/>
        </w:rPr>
        <w:t>pala</w:t>
      </w:r>
      <w:commentRangeEnd w:id="4"/>
      <w:proofErr w:type="spellEnd"/>
      <w:r w:rsidR="00C04942">
        <w:rPr>
          <w:rStyle w:val="CommentReference"/>
        </w:rPr>
        <w:commentReference w:id="4"/>
      </w:r>
      <w:r w:rsidR="00E22BFB" w:rsidRPr="00FF6F6B">
        <w:rPr>
          <w:rFonts w:ascii="Times New Roman" w:eastAsia="Times New Roman" w:hAnsi="Times New Roman" w:cs="Times New Roman"/>
          <w:sz w:val="24"/>
          <w:szCs w:val="24"/>
          <w:lang w:eastAsia="en-IN"/>
        </w:rPr>
        <w:t xml:space="preserve"> and </w:t>
      </w:r>
      <w:proofErr w:type="spellStart"/>
      <w:r w:rsidR="00E22BFB" w:rsidRPr="00FF6F6B">
        <w:rPr>
          <w:rFonts w:ascii="Times New Roman" w:eastAsia="Times New Roman" w:hAnsi="Times New Roman" w:cs="Times New Roman"/>
          <w:sz w:val="24"/>
          <w:szCs w:val="24"/>
          <w:lang w:eastAsia="en-IN"/>
        </w:rPr>
        <w:t>Simatele</w:t>
      </w:r>
      <w:proofErr w:type="spellEnd"/>
      <w:r w:rsidR="00E22BFB" w:rsidRPr="00FF6F6B">
        <w:rPr>
          <w:rFonts w:ascii="Times New Roman" w:eastAsia="Times New Roman" w:hAnsi="Times New Roman" w:cs="Times New Roman"/>
          <w:sz w:val="24"/>
          <w:szCs w:val="24"/>
          <w:lang w:eastAsia="en-IN"/>
        </w:rPr>
        <w:t>, 2024</w:t>
      </w:r>
      <w:r w:rsidRPr="00FF6F6B">
        <w:rPr>
          <w:rFonts w:ascii="Times New Roman" w:eastAsia="Times New Roman" w:hAnsi="Times New Roman" w:cs="Times New Roman"/>
          <w:sz w:val="24"/>
          <w:szCs w:val="24"/>
          <w:lang w:eastAsia="en-IN"/>
        </w:rPr>
        <w:t xml:space="preserve">). A major challenge faced by non-beneficiaries was </w:t>
      </w:r>
      <w:r w:rsidRPr="00FF6F6B">
        <w:rPr>
          <w:rFonts w:ascii="Times New Roman" w:eastAsia="Times New Roman" w:hAnsi="Times New Roman" w:cs="Times New Roman"/>
          <w:bCs/>
          <w:sz w:val="24"/>
          <w:szCs w:val="24"/>
          <w:lang w:eastAsia="en-IN"/>
        </w:rPr>
        <w:t>limited access to information, financial constraints, and reluctance to change traditional farming methods</w:t>
      </w:r>
      <w:r w:rsidRPr="00FF6F6B">
        <w:rPr>
          <w:rFonts w:ascii="Times New Roman" w:eastAsia="Times New Roman" w:hAnsi="Times New Roman" w:cs="Times New Roman"/>
          <w:sz w:val="24"/>
          <w:szCs w:val="24"/>
          <w:lang w:eastAsia="en-IN"/>
        </w:rPr>
        <w:t xml:space="preserve">. These barriers highlight the need for </w:t>
      </w:r>
      <w:r w:rsidRPr="00FF6F6B">
        <w:rPr>
          <w:rFonts w:ascii="Times New Roman" w:eastAsia="Times New Roman" w:hAnsi="Times New Roman" w:cs="Times New Roman"/>
          <w:bCs/>
          <w:sz w:val="24"/>
          <w:szCs w:val="24"/>
          <w:lang w:eastAsia="en-IN"/>
        </w:rPr>
        <w:t>stronger extension efforts, policy support, and farmer education programs</w:t>
      </w:r>
      <w:r w:rsidRPr="00FF6F6B">
        <w:rPr>
          <w:rFonts w:ascii="Times New Roman" w:eastAsia="Times New Roman" w:hAnsi="Times New Roman" w:cs="Times New Roman"/>
          <w:sz w:val="24"/>
          <w:szCs w:val="24"/>
          <w:lang w:eastAsia="en-IN"/>
        </w:rPr>
        <w:t xml:space="preserve"> to bridge the knowledge gap and improve adoption rates in non-NICRA areas (</w:t>
      </w:r>
      <w:r w:rsidR="00E22BFB" w:rsidRPr="00FF6F6B">
        <w:rPr>
          <w:rFonts w:ascii="Times New Roman" w:eastAsia="Times New Roman" w:hAnsi="Times New Roman" w:cs="Times New Roman"/>
          <w:sz w:val="24"/>
          <w:szCs w:val="24"/>
          <w:lang w:eastAsia="en-IN"/>
        </w:rPr>
        <w:t xml:space="preserve">Khou and </w:t>
      </w:r>
      <w:proofErr w:type="spellStart"/>
      <w:r w:rsidR="00E22BFB" w:rsidRPr="00FF6F6B">
        <w:rPr>
          <w:rFonts w:ascii="Times New Roman" w:eastAsia="Times New Roman" w:hAnsi="Times New Roman" w:cs="Times New Roman"/>
          <w:sz w:val="24"/>
          <w:szCs w:val="24"/>
          <w:lang w:eastAsia="en-IN"/>
        </w:rPr>
        <w:t>Mothilal</w:t>
      </w:r>
      <w:proofErr w:type="spellEnd"/>
      <w:r w:rsidR="00E22BFB" w:rsidRPr="00FF6F6B">
        <w:rPr>
          <w:rFonts w:ascii="Times New Roman" w:eastAsia="Times New Roman" w:hAnsi="Times New Roman" w:cs="Times New Roman"/>
          <w:sz w:val="24"/>
          <w:szCs w:val="24"/>
          <w:lang w:eastAsia="en-IN"/>
        </w:rPr>
        <w:t>, 2018)</w:t>
      </w:r>
      <w:r w:rsidRPr="00FF6F6B">
        <w:rPr>
          <w:rFonts w:ascii="Times New Roman" w:eastAsia="Times New Roman" w:hAnsi="Times New Roman" w:cs="Times New Roman"/>
          <w:sz w:val="24"/>
          <w:szCs w:val="24"/>
          <w:lang w:eastAsia="en-IN"/>
        </w:rPr>
        <w:t xml:space="preserve">. This research contributes to understanding the role of climate-resilient agriculture in </w:t>
      </w:r>
      <w:r w:rsidRPr="00FF6F6B">
        <w:rPr>
          <w:rFonts w:ascii="Times New Roman" w:eastAsia="Times New Roman" w:hAnsi="Times New Roman" w:cs="Times New Roman"/>
          <w:bCs/>
          <w:sz w:val="24"/>
          <w:szCs w:val="24"/>
          <w:lang w:eastAsia="en-IN"/>
        </w:rPr>
        <w:t>enhancing productivity, reducing climate risks, and improving farmer livelihoods</w:t>
      </w:r>
      <w:r w:rsidRPr="00FF6F6B">
        <w:rPr>
          <w:rFonts w:ascii="Times New Roman" w:eastAsia="Times New Roman" w:hAnsi="Times New Roman" w:cs="Times New Roman"/>
          <w:sz w:val="24"/>
          <w:szCs w:val="24"/>
          <w:lang w:eastAsia="en-IN"/>
        </w:rPr>
        <w:t xml:space="preserve">. The insights gained from this study will help policymakers, extension agencies, and researchers design more effective </w:t>
      </w:r>
      <w:r w:rsidRPr="00FF6F6B">
        <w:rPr>
          <w:rFonts w:ascii="Times New Roman" w:eastAsia="Times New Roman" w:hAnsi="Times New Roman" w:cs="Times New Roman"/>
          <w:bCs/>
          <w:sz w:val="24"/>
          <w:szCs w:val="24"/>
          <w:lang w:eastAsia="en-IN"/>
        </w:rPr>
        <w:t>agriculture interventions, training programs, and subsidy schemes</w:t>
      </w:r>
      <w:r w:rsidRPr="00FF6F6B">
        <w:rPr>
          <w:rFonts w:ascii="Times New Roman" w:eastAsia="Times New Roman" w:hAnsi="Times New Roman" w:cs="Times New Roman"/>
          <w:sz w:val="24"/>
          <w:szCs w:val="24"/>
          <w:lang w:eastAsia="en-IN"/>
        </w:rPr>
        <w:t xml:space="preserve"> to encourage widespread adoption of sustainable farming practices. The adoption of improved cabbage production technologies is essential for sustainable farming, particularly in climate-sensitive regions like Nagaland. This study underscores the </w:t>
      </w:r>
      <w:r w:rsidRPr="00FF6F6B">
        <w:rPr>
          <w:rFonts w:ascii="Times New Roman" w:eastAsia="Times New Roman" w:hAnsi="Times New Roman" w:cs="Times New Roman"/>
          <w:bCs/>
          <w:sz w:val="24"/>
          <w:szCs w:val="24"/>
          <w:lang w:eastAsia="en-IN"/>
        </w:rPr>
        <w:t>positive impact of NICRA interventions</w:t>
      </w:r>
      <w:r w:rsidRPr="00FF6F6B">
        <w:rPr>
          <w:rFonts w:ascii="Times New Roman" w:eastAsia="Times New Roman" w:hAnsi="Times New Roman" w:cs="Times New Roman"/>
          <w:sz w:val="24"/>
          <w:szCs w:val="24"/>
          <w:lang w:eastAsia="en-IN"/>
        </w:rPr>
        <w:t xml:space="preserve"> in enhancing technology adoption among farmers, leading to improved productivity and resilience. However, </w:t>
      </w:r>
      <w:r w:rsidRPr="00FF6F6B">
        <w:rPr>
          <w:rFonts w:ascii="Times New Roman" w:eastAsia="Times New Roman" w:hAnsi="Times New Roman" w:cs="Times New Roman"/>
          <w:bCs/>
          <w:sz w:val="24"/>
          <w:szCs w:val="24"/>
          <w:lang w:eastAsia="en-IN"/>
        </w:rPr>
        <w:t>concerted efforts</w:t>
      </w:r>
      <w:r w:rsidRPr="00FF6F6B">
        <w:rPr>
          <w:rFonts w:ascii="Times New Roman" w:eastAsia="Times New Roman" w:hAnsi="Times New Roman" w:cs="Times New Roman"/>
          <w:sz w:val="24"/>
          <w:szCs w:val="24"/>
          <w:lang w:eastAsia="en-IN"/>
        </w:rPr>
        <w:t xml:space="preserve"> are required to extend these benefits to non-NICRA farmers, ensuring wider implementation of climate-smart agriculture for long-term sustainability.</w:t>
      </w:r>
      <w:r w:rsidR="00E22BFB" w:rsidRPr="00FF6F6B">
        <w:rPr>
          <w:rFonts w:ascii="Times New Roman" w:eastAsia="Times New Roman" w:hAnsi="Times New Roman" w:cs="Times New Roman"/>
          <w:sz w:val="24"/>
          <w:szCs w:val="24"/>
          <w:lang w:eastAsia="en-IN"/>
        </w:rPr>
        <w:t xml:space="preserve"> </w:t>
      </w:r>
      <w:commentRangeStart w:id="5"/>
      <w:r w:rsidR="00E22BFB" w:rsidRPr="00FF6F6B">
        <w:rPr>
          <w:rFonts w:ascii="Times New Roman" w:eastAsia="Times New Roman" w:hAnsi="Times New Roman" w:cs="Times New Roman"/>
          <w:sz w:val="24"/>
          <w:szCs w:val="24"/>
          <w:lang w:eastAsia="en-IN"/>
        </w:rPr>
        <w:t xml:space="preserve">The primary objective of this study was to assess the </w:t>
      </w:r>
      <w:r w:rsidR="00E22BFB" w:rsidRPr="00FF6F6B">
        <w:rPr>
          <w:rFonts w:ascii="Times New Roman" w:eastAsia="Times New Roman" w:hAnsi="Times New Roman" w:cs="Times New Roman"/>
          <w:bCs/>
          <w:sz w:val="24"/>
          <w:szCs w:val="24"/>
          <w:lang w:eastAsia="en-IN"/>
        </w:rPr>
        <w:t xml:space="preserve">adoption level of </w:t>
      </w:r>
      <w:r w:rsidR="0031677F">
        <w:rPr>
          <w:rFonts w:ascii="Times New Roman" w:eastAsia="Times New Roman" w:hAnsi="Times New Roman" w:cs="Times New Roman"/>
          <w:bCs/>
          <w:sz w:val="24"/>
          <w:szCs w:val="24"/>
          <w:lang w:eastAsia="en-IN"/>
        </w:rPr>
        <w:t>sustainable</w:t>
      </w:r>
      <w:r w:rsidR="00E22BFB" w:rsidRPr="00FF6F6B">
        <w:rPr>
          <w:rFonts w:ascii="Times New Roman" w:eastAsia="Times New Roman" w:hAnsi="Times New Roman" w:cs="Times New Roman"/>
          <w:bCs/>
          <w:sz w:val="24"/>
          <w:szCs w:val="24"/>
          <w:lang w:eastAsia="en-IN"/>
        </w:rPr>
        <w:t xml:space="preserve"> cabbage production technologies</w:t>
      </w:r>
      <w:r w:rsidR="00E22BFB" w:rsidRPr="00FF6F6B">
        <w:rPr>
          <w:rFonts w:ascii="Times New Roman" w:eastAsia="Times New Roman" w:hAnsi="Times New Roman" w:cs="Times New Roman"/>
          <w:sz w:val="24"/>
          <w:szCs w:val="24"/>
          <w:lang w:eastAsia="en-IN"/>
        </w:rPr>
        <w:t xml:space="preserve"> among farmers in the NICRA project areas compared to non-beneficiaries.</w:t>
      </w:r>
      <w:commentRangeEnd w:id="5"/>
      <w:r w:rsidR="007C7374">
        <w:rPr>
          <w:rStyle w:val="CommentReference"/>
        </w:rPr>
        <w:commentReference w:id="5"/>
      </w:r>
      <w:r w:rsidR="00E22BFB" w:rsidRPr="00FF6F6B">
        <w:rPr>
          <w:rFonts w:ascii="Times New Roman" w:eastAsia="Times New Roman" w:hAnsi="Times New Roman" w:cs="Times New Roman"/>
          <w:sz w:val="24"/>
          <w:szCs w:val="24"/>
          <w:lang w:eastAsia="en-IN"/>
        </w:rPr>
        <w:t xml:space="preserve"> The findings from this study indicated a significantly higher adoption rate of improved practices among NICRA beneficiaries as compared to non-beneficiaries. This suggests that NICRA interventions, such as </w:t>
      </w:r>
      <w:r w:rsidR="00E22BFB" w:rsidRPr="00FF6F6B">
        <w:rPr>
          <w:rFonts w:ascii="Times New Roman" w:eastAsia="Times New Roman" w:hAnsi="Times New Roman" w:cs="Times New Roman"/>
          <w:bCs/>
          <w:sz w:val="24"/>
          <w:szCs w:val="24"/>
          <w:lang w:eastAsia="en-IN"/>
        </w:rPr>
        <w:t xml:space="preserve">training programs, </w:t>
      </w:r>
      <w:r w:rsidR="00E22BFB" w:rsidRPr="00FF6F6B">
        <w:rPr>
          <w:rFonts w:ascii="Times New Roman" w:eastAsia="Times New Roman" w:hAnsi="Times New Roman" w:cs="Times New Roman"/>
          <w:bCs/>
          <w:sz w:val="24"/>
          <w:szCs w:val="24"/>
          <w:lang w:eastAsia="en-IN"/>
        </w:rPr>
        <w:lastRenderedPageBreak/>
        <w:t>demonstrations, and input support</w:t>
      </w:r>
      <w:r w:rsidR="00E22BFB" w:rsidRPr="00FF6F6B">
        <w:rPr>
          <w:rFonts w:ascii="Times New Roman" w:eastAsia="Times New Roman" w:hAnsi="Times New Roman" w:cs="Times New Roman"/>
          <w:sz w:val="24"/>
          <w:szCs w:val="24"/>
          <w:lang w:eastAsia="en-IN"/>
        </w:rPr>
        <w:t>, played a crucial role in enhancing farmers' awareness and willingness to adopt new technologies. Similar findings have been reported in other regions where extension programs have effectively increased technology adoption.</w:t>
      </w:r>
    </w:p>
    <w:p w14:paraId="3B213859" w14:textId="77777777" w:rsidR="00486443" w:rsidRPr="00FF6F6B" w:rsidRDefault="00964632" w:rsidP="00F62434">
      <w:pPr>
        <w:spacing w:before="100" w:beforeAutospacing="1" w:after="100" w:afterAutospacing="1" w:line="240" w:lineRule="auto"/>
        <w:rPr>
          <w:rFonts w:ascii="Times New Roman" w:eastAsia="Times New Roman" w:hAnsi="Times New Roman" w:cs="Times New Roman"/>
          <w:sz w:val="24"/>
          <w:szCs w:val="24"/>
          <w:lang w:eastAsia="en-IN"/>
        </w:rPr>
      </w:pPr>
      <w:r w:rsidRPr="00FF6F6B">
        <w:rPr>
          <w:rFonts w:ascii="Times New Roman" w:eastAsia="Times New Roman" w:hAnsi="Times New Roman" w:cs="Times New Roman"/>
          <w:b/>
          <w:bCs/>
          <w:sz w:val="24"/>
          <w:szCs w:val="24"/>
          <w:lang w:eastAsia="en-IN"/>
        </w:rPr>
        <w:t>II</w:t>
      </w:r>
      <w:r w:rsidR="00F62434" w:rsidRPr="00FF6F6B">
        <w:rPr>
          <w:rFonts w:ascii="Times New Roman" w:eastAsia="Times New Roman" w:hAnsi="Times New Roman" w:cs="Times New Roman"/>
          <w:b/>
          <w:bCs/>
          <w:sz w:val="24"/>
          <w:szCs w:val="24"/>
          <w:lang w:eastAsia="en-IN"/>
        </w:rPr>
        <w:t>. Methodology</w:t>
      </w:r>
      <w:r w:rsidR="00F62434" w:rsidRPr="00FF6F6B">
        <w:rPr>
          <w:rFonts w:ascii="Times New Roman" w:eastAsia="Times New Roman" w:hAnsi="Times New Roman" w:cs="Times New Roman"/>
          <w:sz w:val="24"/>
          <w:szCs w:val="24"/>
          <w:lang w:eastAsia="en-IN"/>
        </w:rPr>
        <w:t xml:space="preserve"> </w:t>
      </w:r>
    </w:p>
    <w:p w14:paraId="047B7333" w14:textId="77777777" w:rsidR="00486443" w:rsidRPr="00FF6F6B" w:rsidRDefault="00486443" w:rsidP="00486443">
      <w:pPr>
        <w:spacing w:before="100" w:beforeAutospacing="1" w:after="100" w:afterAutospacing="1" w:line="240" w:lineRule="auto"/>
        <w:rPr>
          <w:rFonts w:ascii="Times New Roman" w:eastAsia="Times New Roman" w:hAnsi="Times New Roman" w:cs="Times New Roman"/>
          <w:b/>
          <w:bCs/>
          <w:sz w:val="24"/>
          <w:szCs w:val="24"/>
          <w:lang w:eastAsia="en-IN"/>
        </w:rPr>
      </w:pPr>
      <w:r w:rsidRPr="00FF6F6B">
        <w:rPr>
          <w:rFonts w:ascii="Times New Roman" w:eastAsia="Times New Roman" w:hAnsi="Times New Roman" w:cs="Times New Roman"/>
          <w:b/>
          <w:bCs/>
          <w:sz w:val="24"/>
          <w:szCs w:val="24"/>
          <w:lang w:eastAsia="en-IN"/>
        </w:rPr>
        <w:t>Study Area and Sampling Procedure</w:t>
      </w:r>
    </w:p>
    <w:p w14:paraId="0EFF0CE0" w14:textId="77777777" w:rsidR="00486443" w:rsidRPr="00FF6F6B" w:rsidRDefault="00486443" w:rsidP="003A206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F6F6B">
        <w:rPr>
          <w:rFonts w:ascii="Times New Roman" w:eastAsia="Times New Roman" w:hAnsi="Times New Roman" w:cs="Times New Roman"/>
          <w:sz w:val="24"/>
          <w:szCs w:val="24"/>
          <w:lang w:eastAsia="en-IN"/>
        </w:rPr>
        <w:t xml:space="preserve">The study was conducted in </w:t>
      </w:r>
      <w:proofErr w:type="spellStart"/>
      <w:r w:rsidRPr="00FF6F6B">
        <w:rPr>
          <w:rFonts w:ascii="Times New Roman" w:eastAsia="Times New Roman" w:hAnsi="Times New Roman" w:cs="Times New Roman"/>
          <w:bCs/>
          <w:sz w:val="24"/>
          <w:szCs w:val="24"/>
          <w:lang w:eastAsia="en-IN"/>
        </w:rPr>
        <w:t>Sangsangyu</w:t>
      </w:r>
      <w:proofErr w:type="spellEnd"/>
      <w:r w:rsidRPr="00FF6F6B">
        <w:rPr>
          <w:rFonts w:ascii="Times New Roman" w:eastAsia="Times New Roman" w:hAnsi="Times New Roman" w:cs="Times New Roman"/>
          <w:bCs/>
          <w:sz w:val="24"/>
          <w:szCs w:val="24"/>
          <w:lang w:eastAsia="en-IN"/>
        </w:rPr>
        <w:t xml:space="preserve"> Block, </w:t>
      </w:r>
      <w:proofErr w:type="spellStart"/>
      <w:r w:rsidRPr="00FF6F6B">
        <w:rPr>
          <w:rFonts w:ascii="Times New Roman" w:eastAsia="Times New Roman" w:hAnsi="Times New Roman" w:cs="Times New Roman"/>
          <w:bCs/>
          <w:sz w:val="24"/>
          <w:szCs w:val="24"/>
          <w:lang w:eastAsia="en-IN"/>
        </w:rPr>
        <w:t>Tuensang</w:t>
      </w:r>
      <w:proofErr w:type="spellEnd"/>
      <w:r w:rsidRPr="00FF6F6B">
        <w:rPr>
          <w:rFonts w:ascii="Times New Roman" w:eastAsia="Times New Roman" w:hAnsi="Times New Roman" w:cs="Times New Roman"/>
          <w:bCs/>
          <w:sz w:val="24"/>
          <w:szCs w:val="24"/>
          <w:lang w:eastAsia="en-IN"/>
        </w:rPr>
        <w:t>, Nagaland</w:t>
      </w:r>
      <w:r w:rsidRPr="00FF6F6B">
        <w:rPr>
          <w:rFonts w:ascii="Times New Roman" w:eastAsia="Times New Roman" w:hAnsi="Times New Roman" w:cs="Times New Roman"/>
          <w:sz w:val="24"/>
          <w:szCs w:val="24"/>
          <w:lang w:eastAsia="en-IN"/>
        </w:rPr>
        <w:t xml:space="preserve">, a region where cabbage is extensively cultivated. This block was selected purposively due to the significant implementation of the </w:t>
      </w:r>
      <w:r w:rsidRPr="00FF6F6B">
        <w:rPr>
          <w:rFonts w:ascii="Times New Roman" w:eastAsia="Times New Roman" w:hAnsi="Times New Roman" w:cs="Times New Roman"/>
          <w:bCs/>
          <w:sz w:val="24"/>
          <w:szCs w:val="24"/>
          <w:lang w:eastAsia="en-IN"/>
        </w:rPr>
        <w:t>National Innovations on Climate Resilient Agriculture (NICRA) Project</w:t>
      </w:r>
      <w:r w:rsidRPr="00FF6F6B">
        <w:rPr>
          <w:rFonts w:ascii="Times New Roman" w:eastAsia="Times New Roman" w:hAnsi="Times New Roman" w:cs="Times New Roman"/>
          <w:sz w:val="24"/>
          <w:szCs w:val="24"/>
          <w:lang w:eastAsia="en-IN"/>
        </w:rPr>
        <w:t>, which introduced climate-resilient technologies to enhance agricultural productivity and sustainability.</w:t>
      </w:r>
    </w:p>
    <w:p w14:paraId="699D9A54" w14:textId="77777777" w:rsidR="00486443" w:rsidRPr="00FF6F6B" w:rsidRDefault="00486443" w:rsidP="003A206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F6F6B">
        <w:rPr>
          <w:rFonts w:ascii="Times New Roman" w:eastAsia="Times New Roman" w:hAnsi="Times New Roman" w:cs="Times New Roman"/>
          <w:sz w:val="24"/>
          <w:szCs w:val="24"/>
          <w:lang w:eastAsia="en-IN"/>
        </w:rPr>
        <w:t xml:space="preserve">A </w:t>
      </w:r>
      <w:r w:rsidRPr="00FF6F6B">
        <w:rPr>
          <w:rFonts w:ascii="Times New Roman" w:eastAsia="Times New Roman" w:hAnsi="Times New Roman" w:cs="Times New Roman"/>
          <w:bCs/>
          <w:sz w:val="24"/>
          <w:szCs w:val="24"/>
          <w:lang w:eastAsia="en-IN"/>
        </w:rPr>
        <w:t>total of 150 farmers</w:t>
      </w:r>
      <w:r w:rsidRPr="00FF6F6B">
        <w:rPr>
          <w:rFonts w:ascii="Times New Roman" w:eastAsia="Times New Roman" w:hAnsi="Times New Roman" w:cs="Times New Roman"/>
          <w:sz w:val="24"/>
          <w:szCs w:val="24"/>
          <w:lang w:eastAsia="en-IN"/>
        </w:rPr>
        <w:t xml:space="preserve"> were selected using a stratified random sampling technique, comprising:</w:t>
      </w:r>
    </w:p>
    <w:p w14:paraId="5E36881E" w14:textId="77777777" w:rsidR="00486443" w:rsidRPr="00FF6F6B" w:rsidRDefault="00486443" w:rsidP="003A206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F6F6B">
        <w:rPr>
          <w:rFonts w:ascii="Times New Roman" w:eastAsia="Times New Roman" w:hAnsi="Times New Roman" w:cs="Times New Roman"/>
          <w:bCs/>
          <w:sz w:val="24"/>
          <w:szCs w:val="24"/>
          <w:lang w:eastAsia="en-IN"/>
        </w:rPr>
        <w:t>75 NICRA beneficiaries</w:t>
      </w:r>
      <w:r w:rsidRPr="00FF6F6B">
        <w:rPr>
          <w:rFonts w:ascii="Times New Roman" w:eastAsia="Times New Roman" w:hAnsi="Times New Roman" w:cs="Times New Roman"/>
          <w:sz w:val="24"/>
          <w:szCs w:val="24"/>
          <w:lang w:eastAsia="en-IN"/>
        </w:rPr>
        <w:t xml:space="preserve"> (farmers who received training and support under the NICRA project).</w:t>
      </w:r>
    </w:p>
    <w:p w14:paraId="6D10CD8C" w14:textId="77777777" w:rsidR="00486443" w:rsidRPr="00FF6F6B" w:rsidRDefault="00486443" w:rsidP="003A206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F6F6B">
        <w:rPr>
          <w:rFonts w:ascii="Times New Roman" w:eastAsia="Times New Roman" w:hAnsi="Times New Roman" w:cs="Times New Roman"/>
          <w:bCs/>
          <w:sz w:val="24"/>
          <w:szCs w:val="24"/>
          <w:lang w:eastAsia="en-IN"/>
        </w:rPr>
        <w:t>75 Non-beneficiaries</w:t>
      </w:r>
      <w:r w:rsidRPr="00FF6F6B">
        <w:rPr>
          <w:rFonts w:ascii="Times New Roman" w:eastAsia="Times New Roman" w:hAnsi="Times New Roman" w:cs="Times New Roman"/>
          <w:sz w:val="24"/>
          <w:szCs w:val="24"/>
          <w:lang w:eastAsia="en-IN"/>
        </w:rPr>
        <w:t xml:space="preserve"> (farmers who did not participate in NICRA interventions).</w:t>
      </w:r>
    </w:p>
    <w:p w14:paraId="38AA6E38" w14:textId="77777777" w:rsidR="00486443" w:rsidRPr="00FF6F6B" w:rsidRDefault="00486443" w:rsidP="00486443">
      <w:pPr>
        <w:spacing w:before="100" w:beforeAutospacing="1" w:after="100" w:afterAutospacing="1" w:line="240" w:lineRule="auto"/>
        <w:rPr>
          <w:rFonts w:ascii="Times New Roman" w:eastAsia="Times New Roman" w:hAnsi="Times New Roman" w:cs="Times New Roman"/>
          <w:sz w:val="24"/>
          <w:szCs w:val="24"/>
          <w:lang w:eastAsia="en-IN"/>
        </w:rPr>
      </w:pPr>
      <w:commentRangeStart w:id="6"/>
      <w:r w:rsidRPr="00FF6F6B">
        <w:rPr>
          <w:rFonts w:ascii="Times New Roman" w:eastAsia="Times New Roman" w:hAnsi="Times New Roman" w:cs="Times New Roman"/>
          <w:sz w:val="24"/>
          <w:szCs w:val="24"/>
          <w:lang w:eastAsia="en-IN"/>
        </w:rPr>
        <w:t xml:space="preserve">The selection of non-beneficiaries was done from villages where NICRA interventions were not implemented, ensuring a </w:t>
      </w:r>
      <w:r w:rsidRPr="00FF6F6B">
        <w:rPr>
          <w:rFonts w:ascii="Times New Roman" w:eastAsia="Times New Roman" w:hAnsi="Times New Roman" w:cs="Times New Roman"/>
          <w:bCs/>
          <w:sz w:val="24"/>
          <w:szCs w:val="24"/>
          <w:lang w:eastAsia="en-IN"/>
        </w:rPr>
        <w:t>comparative analysis</w:t>
      </w:r>
      <w:r w:rsidRPr="00FF6F6B">
        <w:rPr>
          <w:rFonts w:ascii="Times New Roman" w:eastAsia="Times New Roman" w:hAnsi="Times New Roman" w:cs="Times New Roman"/>
          <w:sz w:val="24"/>
          <w:szCs w:val="24"/>
          <w:lang w:eastAsia="en-IN"/>
        </w:rPr>
        <w:t xml:space="preserve"> of technology adoption between the two groups.</w:t>
      </w:r>
      <w:commentRangeEnd w:id="6"/>
      <w:r w:rsidR="00860992">
        <w:rPr>
          <w:rStyle w:val="CommentReference"/>
        </w:rPr>
        <w:commentReference w:id="6"/>
      </w:r>
    </w:p>
    <w:p w14:paraId="7D5325A5" w14:textId="77777777" w:rsidR="00486443" w:rsidRPr="00FF6F6B" w:rsidRDefault="00486443" w:rsidP="00486443">
      <w:pPr>
        <w:spacing w:before="100" w:beforeAutospacing="1" w:after="100" w:afterAutospacing="1" w:line="240" w:lineRule="auto"/>
        <w:rPr>
          <w:rFonts w:ascii="Times New Roman" w:eastAsia="Times New Roman" w:hAnsi="Times New Roman" w:cs="Times New Roman"/>
          <w:b/>
          <w:bCs/>
          <w:sz w:val="24"/>
          <w:szCs w:val="24"/>
          <w:lang w:eastAsia="en-IN"/>
        </w:rPr>
      </w:pPr>
      <w:r w:rsidRPr="00FF6F6B">
        <w:rPr>
          <w:rFonts w:ascii="Times New Roman" w:eastAsia="Times New Roman" w:hAnsi="Times New Roman" w:cs="Times New Roman"/>
          <w:b/>
          <w:bCs/>
          <w:sz w:val="24"/>
          <w:szCs w:val="24"/>
          <w:lang w:eastAsia="en-IN"/>
        </w:rPr>
        <w:t>Research Design</w:t>
      </w:r>
    </w:p>
    <w:p w14:paraId="79D819D5" w14:textId="77777777" w:rsidR="00486443" w:rsidRPr="00FF6F6B" w:rsidRDefault="00486443" w:rsidP="003A206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F6F6B">
        <w:rPr>
          <w:rFonts w:ascii="Times New Roman" w:eastAsia="Times New Roman" w:hAnsi="Times New Roman" w:cs="Times New Roman"/>
          <w:sz w:val="24"/>
          <w:szCs w:val="24"/>
          <w:lang w:eastAsia="en-IN"/>
        </w:rPr>
        <w:t xml:space="preserve">A </w:t>
      </w:r>
      <w:r w:rsidRPr="00FF6F6B">
        <w:rPr>
          <w:rFonts w:ascii="Times New Roman" w:eastAsia="Times New Roman" w:hAnsi="Times New Roman" w:cs="Times New Roman"/>
          <w:bCs/>
          <w:sz w:val="24"/>
          <w:szCs w:val="24"/>
          <w:lang w:eastAsia="en-IN"/>
        </w:rPr>
        <w:t>descriptive research design</w:t>
      </w:r>
      <w:r w:rsidRPr="00FF6F6B">
        <w:rPr>
          <w:rFonts w:ascii="Times New Roman" w:eastAsia="Times New Roman" w:hAnsi="Times New Roman" w:cs="Times New Roman"/>
          <w:sz w:val="24"/>
          <w:szCs w:val="24"/>
          <w:lang w:eastAsia="en-IN"/>
        </w:rPr>
        <w:t xml:space="preserve"> was employed to assess the knowledge level and adoption of </w:t>
      </w:r>
      <w:r w:rsidR="0031677F">
        <w:rPr>
          <w:rFonts w:ascii="Times New Roman" w:eastAsia="Times New Roman" w:hAnsi="Times New Roman" w:cs="Times New Roman"/>
          <w:sz w:val="24"/>
          <w:szCs w:val="24"/>
          <w:lang w:eastAsia="en-IN"/>
        </w:rPr>
        <w:t>sustainable</w:t>
      </w:r>
      <w:r w:rsidRPr="00FF6F6B">
        <w:rPr>
          <w:rFonts w:ascii="Times New Roman" w:eastAsia="Times New Roman" w:hAnsi="Times New Roman" w:cs="Times New Roman"/>
          <w:sz w:val="24"/>
          <w:szCs w:val="24"/>
          <w:lang w:eastAsia="en-IN"/>
        </w:rPr>
        <w:t xml:space="preserve"> cabbage production technologies among farmers. This design was appropriate for capturing the existing </w:t>
      </w:r>
      <w:r w:rsidRPr="00FF6F6B">
        <w:rPr>
          <w:rFonts w:ascii="Times New Roman" w:eastAsia="Times New Roman" w:hAnsi="Times New Roman" w:cs="Times New Roman"/>
          <w:bCs/>
          <w:sz w:val="24"/>
          <w:szCs w:val="24"/>
          <w:lang w:eastAsia="en-IN"/>
        </w:rPr>
        <w:t>socio-economic profile, knowledge level, and extent of adoption</w:t>
      </w:r>
      <w:r w:rsidRPr="00FF6F6B">
        <w:rPr>
          <w:rFonts w:ascii="Times New Roman" w:eastAsia="Times New Roman" w:hAnsi="Times New Roman" w:cs="Times New Roman"/>
          <w:sz w:val="24"/>
          <w:szCs w:val="24"/>
          <w:lang w:eastAsia="en-IN"/>
        </w:rPr>
        <w:t xml:space="preserve"> among respondents.</w:t>
      </w:r>
    </w:p>
    <w:p w14:paraId="7263F9FC" w14:textId="77777777" w:rsidR="00486443" w:rsidRPr="00FF6F6B" w:rsidRDefault="00486443" w:rsidP="00486443">
      <w:pPr>
        <w:spacing w:before="100" w:beforeAutospacing="1" w:after="100" w:afterAutospacing="1" w:line="240" w:lineRule="auto"/>
        <w:rPr>
          <w:rFonts w:ascii="Times New Roman" w:eastAsia="Times New Roman" w:hAnsi="Times New Roman" w:cs="Times New Roman"/>
          <w:b/>
          <w:bCs/>
          <w:sz w:val="24"/>
          <w:szCs w:val="24"/>
          <w:lang w:eastAsia="en-IN"/>
        </w:rPr>
      </w:pPr>
      <w:r w:rsidRPr="00FF6F6B">
        <w:rPr>
          <w:rFonts w:ascii="Times New Roman" w:eastAsia="Times New Roman" w:hAnsi="Times New Roman" w:cs="Times New Roman"/>
          <w:b/>
          <w:bCs/>
          <w:sz w:val="24"/>
          <w:szCs w:val="24"/>
          <w:lang w:eastAsia="en-IN"/>
        </w:rPr>
        <w:t>Data Collection</w:t>
      </w:r>
    </w:p>
    <w:p w14:paraId="007A3143" w14:textId="77777777" w:rsidR="00486443" w:rsidRPr="00FF6F6B" w:rsidRDefault="00486443" w:rsidP="003A206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F6F6B">
        <w:rPr>
          <w:rFonts w:ascii="Times New Roman" w:eastAsia="Times New Roman" w:hAnsi="Times New Roman" w:cs="Times New Roman"/>
          <w:sz w:val="24"/>
          <w:szCs w:val="24"/>
          <w:lang w:eastAsia="en-IN"/>
        </w:rPr>
        <w:t xml:space="preserve">Primary data were collected using a </w:t>
      </w:r>
      <w:r w:rsidRPr="00FF6F6B">
        <w:rPr>
          <w:rFonts w:ascii="Times New Roman" w:eastAsia="Times New Roman" w:hAnsi="Times New Roman" w:cs="Times New Roman"/>
          <w:bCs/>
          <w:sz w:val="24"/>
          <w:szCs w:val="24"/>
          <w:lang w:eastAsia="en-IN"/>
        </w:rPr>
        <w:t>structured interview schedule</w:t>
      </w:r>
      <w:r w:rsidRPr="00FF6F6B">
        <w:rPr>
          <w:rFonts w:ascii="Times New Roman" w:eastAsia="Times New Roman" w:hAnsi="Times New Roman" w:cs="Times New Roman"/>
          <w:sz w:val="24"/>
          <w:szCs w:val="24"/>
          <w:lang w:eastAsia="en-IN"/>
        </w:rPr>
        <w:t>, which was developed based on the objectives of the study. Before final data collection, the interview schedule was pre-tested with a small group of farmers (10 respondents) to ensure clarity and reliability. Necessary modifications were made based on feedback.</w:t>
      </w:r>
    </w:p>
    <w:p w14:paraId="6AC07C6D" w14:textId="77777777" w:rsidR="00486443" w:rsidRPr="00FF6F6B" w:rsidRDefault="00486443" w:rsidP="003A206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F6F6B">
        <w:rPr>
          <w:rFonts w:ascii="Times New Roman" w:eastAsia="Times New Roman" w:hAnsi="Times New Roman" w:cs="Times New Roman"/>
          <w:sz w:val="24"/>
          <w:szCs w:val="24"/>
          <w:lang w:eastAsia="en-IN"/>
        </w:rPr>
        <w:t>The data collection focused on:</w:t>
      </w:r>
    </w:p>
    <w:p w14:paraId="75725E6D" w14:textId="77777777" w:rsidR="00486443" w:rsidRPr="00FF6F6B" w:rsidRDefault="00486443" w:rsidP="003A206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F6F6B">
        <w:rPr>
          <w:rFonts w:ascii="Times New Roman" w:eastAsia="Times New Roman" w:hAnsi="Times New Roman" w:cs="Times New Roman"/>
          <w:bCs/>
          <w:sz w:val="24"/>
          <w:szCs w:val="24"/>
          <w:lang w:eastAsia="en-IN"/>
        </w:rPr>
        <w:t>Socio-economic characteristics</w:t>
      </w:r>
      <w:r w:rsidRPr="00FF6F6B">
        <w:rPr>
          <w:rFonts w:ascii="Times New Roman" w:eastAsia="Times New Roman" w:hAnsi="Times New Roman" w:cs="Times New Roman"/>
          <w:sz w:val="24"/>
          <w:szCs w:val="24"/>
          <w:lang w:eastAsia="en-IN"/>
        </w:rPr>
        <w:t xml:space="preserve"> (age, education, income, farming experience, and family type).</w:t>
      </w:r>
    </w:p>
    <w:p w14:paraId="3F9D786E" w14:textId="77777777" w:rsidR="00486443" w:rsidRPr="00FF6F6B" w:rsidRDefault="00486443" w:rsidP="003A206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F6F6B">
        <w:rPr>
          <w:rFonts w:ascii="Times New Roman" w:eastAsia="Times New Roman" w:hAnsi="Times New Roman" w:cs="Times New Roman"/>
          <w:bCs/>
          <w:sz w:val="24"/>
          <w:szCs w:val="24"/>
          <w:lang w:eastAsia="en-IN"/>
        </w:rPr>
        <w:t xml:space="preserve">Knowledge levels of </w:t>
      </w:r>
      <w:r w:rsidR="0031677F">
        <w:rPr>
          <w:rFonts w:ascii="Times New Roman" w:eastAsia="Times New Roman" w:hAnsi="Times New Roman" w:cs="Times New Roman"/>
          <w:bCs/>
          <w:sz w:val="24"/>
          <w:szCs w:val="24"/>
          <w:lang w:eastAsia="en-IN"/>
        </w:rPr>
        <w:t>sustainable</w:t>
      </w:r>
      <w:r w:rsidRPr="00FF6F6B">
        <w:rPr>
          <w:rFonts w:ascii="Times New Roman" w:eastAsia="Times New Roman" w:hAnsi="Times New Roman" w:cs="Times New Roman"/>
          <w:bCs/>
          <w:sz w:val="24"/>
          <w:szCs w:val="24"/>
          <w:lang w:eastAsia="en-IN"/>
        </w:rPr>
        <w:t xml:space="preserve"> cabbage production technologies</w:t>
      </w:r>
      <w:r w:rsidRPr="00FF6F6B">
        <w:rPr>
          <w:rFonts w:ascii="Times New Roman" w:eastAsia="Times New Roman" w:hAnsi="Times New Roman" w:cs="Times New Roman"/>
          <w:sz w:val="24"/>
          <w:szCs w:val="24"/>
          <w:lang w:eastAsia="en-IN"/>
        </w:rPr>
        <w:t xml:space="preserve"> among farmers.</w:t>
      </w:r>
    </w:p>
    <w:p w14:paraId="1721DF1E" w14:textId="77777777" w:rsidR="00486443" w:rsidRPr="00FF6F6B" w:rsidRDefault="00486443" w:rsidP="003A206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F6F6B">
        <w:rPr>
          <w:rFonts w:ascii="Times New Roman" w:eastAsia="Times New Roman" w:hAnsi="Times New Roman" w:cs="Times New Roman"/>
          <w:bCs/>
          <w:sz w:val="24"/>
          <w:szCs w:val="24"/>
          <w:lang w:eastAsia="en-IN"/>
        </w:rPr>
        <w:t xml:space="preserve">Extent of adoption of </w:t>
      </w:r>
      <w:r w:rsidR="0031677F">
        <w:rPr>
          <w:rFonts w:ascii="Times New Roman" w:eastAsia="Times New Roman" w:hAnsi="Times New Roman" w:cs="Times New Roman"/>
          <w:bCs/>
          <w:sz w:val="24"/>
          <w:szCs w:val="24"/>
          <w:lang w:eastAsia="en-IN"/>
        </w:rPr>
        <w:t>sustainable</w:t>
      </w:r>
      <w:r w:rsidRPr="00FF6F6B">
        <w:rPr>
          <w:rFonts w:ascii="Times New Roman" w:eastAsia="Times New Roman" w:hAnsi="Times New Roman" w:cs="Times New Roman"/>
          <w:bCs/>
          <w:sz w:val="24"/>
          <w:szCs w:val="24"/>
          <w:lang w:eastAsia="en-IN"/>
        </w:rPr>
        <w:t xml:space="preserve"> practices</w:t>
      </w:r>
      <w:r w:rsidRPr="00FF6F6B">
        <w:rPr>
          <w:rFonts w:ascii="Times New Roman" w:eastAsia="Times New Roman" w:hAnsi="Times New Roman" w:cs="Times New Roman"/>
          <w:sz w:val="24"/>
          <w:szCs w:val="24"/>
          <w:lang w:eastAsia="en-IN"/>
        </w:rPr>
        <w:t xml:space="preserve"> such as land preparation, seed treatment, transplanting, irrigation, pest control, and harvesting.</w:t>
      </w:r>
    </w:p>
    <w:p w14:paraId="09793C7F" w14:textId="77777777" w:rsidR="00486443" w:rsidRPr="00FF6F6B" w:rsidRDefault="00486443" w:rsidP="003A206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F6F6B">
        <w:rPr>
          <w:rFonts w:ascii="Times New Roman" w:eastAsia="Times New Roman" w:hAnsi="Times New Roman" w:cs="Times New Roman"/>
          <w:sz w:val="24"/>
          <w:szCs w:val="24"/>
          <w:lang w:eastAsia="en-IN"/>
        </w:rPr>
        <w:t xml:space="preserve">Secondary data were gathered from </w:t>
      </w:r>
      <w:r w:rsidRPr="00FF6F6B">
        <w:rPr>
          <w:rFonts w:ascii="Times New Roman" w:eastAsia="Times New Roman" w:hAnsi="Times New Roman" w:cs="Times New Roman"/>
          <w:bCs/>
          <w:sz w:val="24"/>
          <w:szCs w:val="24"/>
          <w:lang w:eastAsia="en-IN"/>
        </w:rPr>
        <w:t>research journals, ICAR reports, government publications, and agricultural extension records</w:t>
      </w:r>
      <w:r w:rsidRPr="00FF6F6B">
        <w:rPr>
          <w:rFonts w:ascii="Times New Roman" w:eastAsia="Times New Roman" w:hAnsi="Times New Roman" w:cs="Times New Roman"/>
          <w:sz w:val="24"/>
          <w:szCs w:val="24"/>
          <w:lang w:eastAsia="en-IN"/>
        </w:rPr>
        <w:t>.</w:t>
      </w:r>
    </w:p>
    <w:p w14:paraId="0B128944" w14:textId="77777777" w:rsidR="00486443" w:rsidRPr="00FF6F6B" w:rsidRDefault="00486443" w:rsidP="00486443">
      <w:pPr>
        <w:spacing w:before="100" w:beforeAutospacing="1" w:after="100" w:afterAutospacing="1" w:line="240" w:lineRule="auto"/>
        <w:rPr>
          <w:rFonts w:ascii="Times New Roman" w:eastAsia="Times New Roman" w:hAnsi="Times New Roman" w:cs="Times New Roman"/>
          <w:b/>
          <w:bCs/>
          <w:sz w:val="24"/>
          <w:szCs w:val="24"/>
          <w:lang w:eastAsia="en-IN"/>
        </w:rPr>
      </w:pPr>
      <w:r w:rsidRPr="00FF6F6B">
        <w:rPr>
          <w:rFonts w:ascii="Times New Roman" w:eastAsia="Times New Roman" w:hAnsi="Times New Roman" w:cs="Times New Roman"/>
          <w:b/>
          <w:bCs/>
          <w:sz w:val="24"/>
          <w:szCs w:val="24"/>
          <w:lang w:eastAsia="en-IN"/>
        </w:rPr>
        <w:lastRenderedPageBreak/>
        <w:t>Statistical Analysis</w:t>
      </w:r>
    </w:p>
    <w:p w14:paraId="6128A0DC" w14:textId="77777777" w:rsidR="00486443" w:rsidRPr="00FF6F6B" w:rsidRDefault="00486443" w:rsidP="001C688D">
      <w:p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en-IN"/>
        </w:rPr>
      </w:pPr>
      <w:r w:rsidRPr="00FF6F6B">
        <w:rPr>
          <w:rFonts w:ascii="Times New Roman" w:eastAsia="Times New Roman" w:hAnsi="Times New Roman" w:cs="Times New Roman"/>
          <w:sz w:val="24"/>
          <w:szCs w:val="24"/>
          <w:lang w:eastAsia="en-IN"/>
        </w:rPr>
        <w:t xml:space="preserve">The collected data were coded, tabulated, and </w:t>
      </w:r>
      <w:proofErr w:type="spellStart"/>
      <w:r w:rsidRPr="00FF6F6B">
        <w:rPr>
          <w:rFonts w:ascii="Times New Roman" w:eastAsia="Times New Roman" w:hAnsi="Times New Roman" w:cs="Times New Roman"/>
          <w:sz w:val="24"/>
          <w:szCs w:val="24"/>
          <w:lang w:eastAsia="en-IN"/>
        </w:rPr>
        <w:t>analyzed</w:t>
      </w:r>
      <w:proofErr w:type="spellEnd"/>
      <w:r w:rsidRPr="00FF6F6B">
        <w:rPr>
          <w:rFonts w:ascii="Times New Roman" w:eastAsia="Times New Roman" w:hAnsi="Times New Roman" w:cs="Times New Roman"/>
          <w:sz w:val="24"/>
          <w:szCs w:val="24"/>
          <w:lang w:eastAsia="en-IN"/>
        </w:rPr>
        <w:t xml:space="preserve"> using </w:t>
      </w:r>
      <w:r w:rsidR="001C688D" w:rsidRPr="00FF6F6B">
        <w:rPr>
          <w:rFonts w:ascii="Times New Roman" w:eastAsia="Times New Roman" w:hAnsi="Times New Roman" w:cs="Times New Roman"/>
          <w:bCs/>
          <w:sz w:val="24"/>
          <w:szCs w:val="24"/>
          <w:lang w:eastAsia="en-IN"/>
        </w:rPr>
        <w:t>SPSS</w:t>
      </w:r>
      <w:r w:rsidRPr="00FF6F6B">
        <w:rPr>
          <w:rFonts w:ascii="Times New Roman" w:eastAsia="Times New Roman" w:hAnsi="Times New Roman" w:cs="Times New Roman"/>
          <w:bCs/>
          <w:sz w:val="24"/>
          <w:szCs w:val="24"/>
          <w:lang w:eastAsia="en-IN"/>
        </w:rPr>
        <w:t xml:space="preserve"> and MS Excel</w:t>
      </w:r>
      <w:r w:rsidRPr="00FF6F6B">
        <w:rPr>
          <w:rFonts w:ascii="Times New Roman" w:eastAsia="Times New Roman" w:hAnsi="Times New Roman" w:cs="Times New Roman"/>
          <w:sz w:val="24"/>
          <w:szCs w:val="24"/>
          <w:lang w:eastAsia="en-IN"/>
        </w:rPr>
        <w:t>. The statistic</w:t>
      </w:r>
      <w:r w:rsidR="001C688D" w:rsidRPr="00FF6F6B">
        <w:rPr>
          <w:rFonts w:ascii="Times New Roman" w:eastAsia="Times New Roman" w:hAnsi="Times New Roman" w:cs="Times New Roman"/>
          <w:sz w:val="24"/>
          <w:szCs w:val="24"/>
          <w:lang w:eastAsia="en-IN"/>
        </w:rPr>
        <w:t>al tools were used for analysis are f</w:t>
      </w:r>
      <w:r w:rsidRPr="00FF6F6B">
        <w:rPr>
          <w:rFonts w:ascii="Times New Roman" w:eastAsia="Times New Roman" w:hAnsi="Times New Roman" w:cs="Times New Roman"/>
          <w:sz w:val="24"/>
          <w:szCs w:val="24"/>
          <w:lang w:eastAsia="en-IN"/>
        </w:rPr>
        <w:t>requency, percentag</w:t>
      </w:r>
      <w:r w:rsidR="001C688D" w:rsidRPr="00FF6F6B">
        <w:rPr>
          <w:rFonts w:ascii="Times New Roman" w:eastAsia="Times New Roman" w:hAnsi="Times New Roman" w:cs="Times New Roman"/>
          <w:sz w:val="24"/>
          <w:szCs w:val="24"/>
          <w:lang w:eastAsia="en-IN"/>
        </w:rPr>
        <w:t xml:space="preserve">e, mean, and standard deviation, </w:t>
      </w:r>
      <w:r w:rsidRPr="00FF6F6B">
        <w:rPr>
          <w:rFonts w:ascii="Times New Roman" w:eastAsia="Times New Roman" w:hAnsi="Times New Roman" w:cs="Times New Roman"/>
          <w:bCs/>
          <w:sz w:val="24"/>
          <w:szCs w:val="24"/>
          <w:lang w:eastAsia="en-IN"/>
        </w:rPr>
        <w:t>t-test</w:t>
      </w:r>
      <w:r w:rsidR="001C688D" w:rsidRPr="00FF6F6B">
        <w:rPr>
          <w:rFonts w:ascii="Times New Roman" w:eastAsia="Times New Roman" w:hAnsi="Times New Roman" w:cs="Times New Roman"/>
          <w:bCs/>
          <w:sz w:val="24"/>
          <w:szCs w:val="24"/>
          <w:lang w:eastAsia="en-IN"/>
        </w:rPr>
        <w:t>, adoption index</w:t>
      </w:r>
      <w:r w:rsidR="000B6A0E">
        <w:rPr>
          <w:rFonts w:ascii="Times New Roman" w:eastAsia="Times New Roman" w:hAnsi="Times New Roman" w:cs="Times New Roman"/>
          <w:bCs/>
          <w:sz w:val="24"/>
          <w:szCs w:val="24"/>
          <w:lang w:eastAsia="en-IN"/>
        </w:rPr>
        <w:t xml:space="preserve"> and Sustainability index</w:t>
      </w:r>
      <w:r w:rsidR="001C688D" w:rsidRPr="00FF6F6B">
        <w:rPr>
          <w:rFonts w:ascii="Times New Roman" w:eastAsia="Times New Roman" w:hAnsi="Times New Roman" w:cs="Times New Roman"/>
          <w:sz w:val="24"/>
          <w:szCs w:val="24"/>
          <w:lang w:eastAsia="en-IN"/>
        </w:rPr>
        <w:t xml:space="preserve">. </w:t>
      </w:r>
    </w:p>
    <w:p w14:paraId="6EB009BC" w14:textId="77777777" w:rsidR="001C688D" w:rsidRPr="000B6A0E" w:rsidRDefault="001C688D" w:rsidP="001C688D">
      <w:pPr>
        <w:spacing w:before="100" w:beforeAutospacing="1" w:after="100" w:afterAutospacing="1" w:line="240" w:lineRule="auto"/>
        <w:jc w:val="both"/>
        <w:rPr>
          <w:rFonts w:ascii="Times New Roman" w:eastAsia="Times New Roman" w:hAnsi="Times New Roman" w:cs="Times New Roman"/>
          <w:sz w:val="24"/>
          <w:szCs w:val="24"/>
          <w:lang w:eastAsia="en-IN"/>
        </w:rPr>
      </w:pPr>
      <w:commentRangeStart w:id="7"/>
      <m:oMathPara>
        <m:oMath>
          <m:r>
            <m:rPr>
              <m:sty m:val="p"/>
            </m:rPr>
            <w:rPr>
              <w:rFonts w:ascii="Cambria Math" w:eastAsia="Times New Roman" w:hAnsi="Cambria Math" w:cs="Times New Roman"/>
              <w:sz w:val="24"/>
              <w:szCs w:val="24"/>
              <w:lang w:eastAsia="en-IN"/>
            </w:rPr>
            <m:t>Adoption index</m:t>
          </m:r>
          <m:r>
            <w:rPr>
              <w:rFonts w:ascii="Cambria Math" w:eastAsia="Times New Roman" w:hAnsi="Cambria Math" w:cs="Times New Roman"/>
              <w:sz w:val="24"/>
              <w:szCs w:val="24"/>
              <w:lang w:eastAsia="en-IN"/>
            </w:rPr>
            <m:t>=</m:t>
          </m:r>
          <m:f>
            <m:fPr>
              <m:ctrlPr>
                <w:rPr>
                  <w:rFonts w:ascii="Cambria Math" w:eastAsia="Times New Roman" w:hAnsi="Cambria Math" w:cs="Times New Roman"/>
                  <w:sz w:val="24"/>
                  <w:szCs w:val="24"/>
                  <w:lang w:eastAsia="en-IN"/>
                </w:rPr>
              </m:ctrlPr>
            </m:fPr>
            <m:num>
              <m:nary>
                <m:naryPr>
                  <m:chr m:val="∑"/>
                  <m:limLoc m:val="undOvr"/>
                  <m:subHide m:val="1"/>
                  <m:supHide m:val="1"/>
                  <m:ctrlPr>
                    <w:rPr>
                      <w:rFonts w:ascii="Cambria Math" w:eastAsia="Times New Roman" w:hAnsi="Cambria Math" w:cs="Times New Roman"/>
                      <w:i/>
                      <w:sz w:val="24"/>
                      <w:szCs w:val="24"/>
                      <w:lang w:eastAsia="en-IN"/>
                    </w:rPr>
                  </m:ctrlPr>
                </m:naryPr>
                <m:sub/>
                <m:sup/>
                <m:e>
                  <m:r>
                    <w:rPr>
                      <w:rFonts w:ascii="Cambria Math" w:eastAsia="Times New Roman" w:hAnsi="Cambria Math" w:cs="Times New Roman"/>
                      <w:sz w:val="24"/>
                      <w:szCs w:val="24"/>
                      <w:lang w:eastAsia="en-IN"/>
                    </w:rPr>
                    <m:t>(Adoption score ×Weightage)</m:t>
                  </m:r>
                </m:e>
              </m:nary>
            </m:num>
            <m:den>
              <m:nary>
                <m:naryPr>
                  <m:chr m:val="∑"/>
                  <m:limLoc m:val="undOvr"/>
                  <m:subHide m:val="1"/>
                  <m:supHide m:val="1"/>
                  <m:ctrlPr>
                    <w:rPr>
                      <w:rFonts w:ascii="Cambria Math" w:eastAsia="Times New Roman" w:hAnsi="Cambria Math" w:cs="Times New Roman"/>
                      <w:i/>
                      <w:sz w:val="24"/>
                      <w:szCs w:val="24"/>
                      <w:lang w:eastAsia="en-IN"/>
                    </w:rPr>
                  </m:ctrlPr>
                </m:naryPr>
                <m:sub/>
                <m:sup/>
                <m:e>
                  <m:r>
                    <w:rPr>
                      <w:rFonts w:ascii="Cambria Math" w:eastAsia="Times New Roman" w:hAnsi="Cambria Math" w:cs="Times New Roman"/>
                      <w:sz w:val="24"/>
                      <w:szCs w:val="24"/>
                      <w:lang w:eastAsia="en-IN"/>
                    </w:rPr>
                    <m:t>Maximum possible score</m:t>
                  </m:r>
                </m:e>
              </m:nary>
            </m:den>
          </m:f>
          <w:commentRangeEnd w:id="7"/>
          <m:r>
            <m:rPr>
              <m:sty m:val="p"/>
            </m:rPr>
            <w:rPr>
              <w:rStyle w:val="CommentReference"/>
            </w:rPr>
            <w:commentReference w:id="7"/>
          </m:r>
        </m:oMath>
      </m:oMathPara>
    </w:p>
    <w:p w14:paraId="72726E20" w14:textId="77777777" w:rsidR="000B6A0E" w:rsidRDefault="000B6A0E" w:rsidP="001C688D">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2AF7B325" w14:textId="1D8328D0" w:rsidR="000B6A0E" w:rsidRPr="00F24BD5" w:rsidRDefault="000B6A0E" w:rsidP="000B6A0E">
      <w:pPr>
        <w:tabs>
          <w:tab w:val="left" w:pos="990"/>
        </w:tabs>
        <w:autoSpaceDE w:val="0"/>
        <w:autoSpaceDN w:val="0"/>
        <w:adjustRightInd w:val="0"/>
        <w:spacing w:before="240" w:after="0" w:line="240" w:lineRule="auto"/>
        <w:ind w:firstLine="900"/>
        <w:jc w:val="both"/>
        <w:rPr>
          <w:rFonts w:ascii="Times New Roman" w:hAnsi="Times New Roman" w:cs="Times New Roman"/>
          <w:sz w:val="26"/>
          <w:szCs w:val="26"/>
          <w:lang w:val="en-US"/>
        </w:rPr>
      </w:pPr>
      <w:r w:rsidRPr="00F24BD5">
        <w:rPr>
          <w:rFonts w:ascii="Times New Roman" w:hAnsi="Times New Roman" w:cs="Times New Roman"/>
          <w:sz w:val="26"/>
          <w:szCs w:val="26"/>
          <w:lang w:val="en-US"/>
        </w:rPr>
        <w:t>‘</w:t>
      </w:r>
      <w:r w:rsidRPr="000B6A0E">
        <w:rPr>
          <w:rFonts w:ascii="Times New Roman" w:hAnsi="Times New Roman" w:cs="Times New Roman"/>
          <w:sz w:val="24"/>
          <w:szCs w:val="26"/>
          <w:lang w:val="en-US"/>
        </w:rPr>
        <w:t>Sustainability’ was measured by developing a sustainability index. First of all</w:t>
      </w:r>
      <w:commentRangeStart w:id="8"/>
      <w:r w:rsidR="00366A77">
        <w:rPr>
          <w:rFonts w:ascii="Times New Roman" w:hAnsi="Times New Roman" w:cs="Times New Roman"/>
          <w:sz w:val="24"/>
          <w:szCs w:val="26"/>
          <w:lang w:val="en-US"/>
        </w:rPr>
        <w:t>,</w:t>
      </w:r>
      <w:commentRangeEnd w:id="8"/>
      <w:r w:rsidR="00366A77">
        <w:rPr>
          <w:rStyle w:val="CommentReference"/>
        </w:rPr>
        <w:commentReference w:id="8"/>
      </w:r>
      <w:r w:rsidRPr="000B6A0E">
        <w:rPr>
          <w:rFonts w:ascii="Times New Roman" w:hAnsi="Times New Roman" w:cs="Times New Roman"/>
          <w:sz w:val="24"/>
          <w:szCs w:val="26"/>
          <w:lang w:val="en-US"/>
        </w:rPr>
        <w:t xml:space="preserve"> it was divided into three dimensions viz., Environmental sustainability, Economic sustainability as well as </w:t>
      </w:r>
      <w:proofErr w:type="gramStart"/>
      <w:r w:rsidRPr="000B6A0E">
        <w:rPr>
          <w:rFonts w:ascii="Times New Roman" w:hAnsi="Times New Roman" w:cs="Times New Roman"/>
          <w:sz w:val="24"/>
          <w:szCs w:val="26"/>
          <w:lang w:val="en-US"/>
        </w:rPr>
        <w:t>Social</w:t>
      </w:r>
      <w:proofErr w:type="gramEnd"/>
      <w:r w:rsidRPr="000B6A0E">
        <w:rPr>
          <w:rFonts w:ascii="Times New Roman" w:hAnsi="Times New Roman" w:cs="Times New Roman"/>
          <w:sz w:val="24"/>
          <w:szCs w:val="26"/>
          <w:lang w:val="en-US"/>
        </w:rPr>
        <w:t xml:space="preserve"> sustainability. Each of these dimensions </w:t>
      </w:r>
      <w:r w:rsidR="005356AF" w:rsidRPr="000B6A0E">
        <w:rPr>
          <w:rFonts w:ascii="Times New Roman" w:hAnsi="Times New Roman" w:cs="Times New Roman"/>
          <w:sz w:val="24"/>
          <w:szCs w:val="26"/>
          <w:lang w:val="en-US"/>
        </w:rPr>
        <w:t>was</w:t>
      </w:r>
      <w:r w:rsidRPr="000B6A0E">
        <w:rPr>
          <w:rFonts w:ascii="Times New Roman" w:hAnsi="Times New Roman" w:cs="Times New Roman"/>
          <w:sz w:val="24"/>
          <w:szCs w:val="26"/>
          <w:lang w:val="en-US"/>
        </w:rPr>
        <w:t xml:space="preserve"> measured on the basis of indicators. </w:t>
      </w:r>
      <w:proofErr w:type="gramStart"/>
      <w:r w:rsidRPr="000B6A0E">
        <w:rPr>
          <w:rFonts w:ascii="Times New Roman" w:hAnsi="Times New Roman" w:cs="Times New Roman"/>
          <w:sz w:val="24"/>
          <w:szCs w:val="26"/>
          <w:lang w:val="en-US"/>
        </w:rPr>
        <w:t>Finally</w:t>
      </w:r>
      <w:proofErr w:type="gramEnd"/>
      <w:r w:rsidRPr="000B6A0E">
        <w:rPr>
          <w:rFonts w:ascii="Times New Roman" w:hAnsi="Times New Roman" w:cs="Times New Roman"/>
          <w:sz w:val="24"/>
          <w:szCs w:val="26"/>
          <w:lang w:val="en-US"/>
        </w:rPr>
        <w:t xml:space="preserve"> sustainability index was calculated using the following formula as follows:</w:t>
      </w:r>
    </w:p>
    <w:p w14:paraId="7BA04D1B" w14:textId="77777777" w:rsidR="000B6A0E" w:rsidRPr="00F24BD5" w:rsidRDefault="000B6A0E" w:rsidP="000B6A0E">
      <w:pPr>
        <w:spacing w:before="240" w:line="360" w:lineRule="auto"/>
        <w:jc w:val="both"/>
        <w:rPr>
          <w:rFonts w:ascii="Times New Roman" w:eastAsia="Arial Unicode MS" w:hAnsi="Times New Roman" w:cs="Times New Roman"/>
          <w:b/>
          <w:bCs/>
          <w:sz w:val="26"/>
          <w:szCs w:val="26"/>
          <w:lang w:val="en-US"/>
        </w:rPr>
      </w:pPr>
      <w:r w:rsidRPr="00F24BD5">
        <w:rPr>
          <w:rFonts w:ascii="Times New Roman" w:hAnsi="Times New Roman" w:cs="Times New Roman"/>
          <w:position w:val="-62"/>
          <w:sz w:val="26"/>
          <w:szCs w:val="26"/>
        </w:rPr>
        <w:object w:dxaOrig="8360" w:dyaOrig="1359" w14:anchorId="41129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68.25pt" o:ole="">
            <v:imagedata r:id="rId11" o:title=""/>
          </v:shape>
          <o:OLEObject Type="Embed" ProgID="Equation.DSMT4" ShapeID="_x0000_i1025" DrawAspect="Content" ObjectID="_1803135670" r:id="rId12"/>
        </w:object>
      </w:r>
    </w:p>
    <w:tbl>
      <w:tblPr>
        <w:tblW w:w="4500" w:type="pct"/>
        <w:jc w:val="center"/>
        <w:tblCellMar>
          <w:top w:w="15" w:type="dxa"/>
          <w:left w:w="15" w:type="dxa"/>
          <w:bottom w:w="15" w:type="dxa"/>
          <w:right w:w="15" w:type="dxa"/>
        </w:tblCellMar>
        <w:tblLook w:val="04A0" w:firstRow="1" w:lastRow="0" w:firstColumn="1" w:lastColumn="0" w:noHBand="0" w:noVBand="1"/>
      </w:tblPr>
      <w:tblGrid>
        <w:gridCol w:w="8150"/>
      </w:tblGrid>
      <w:tr w:rsidR="000B6A0E" w:rsidRPr="00F24BD5" w14:paraId="18413569" w14:textId="77777777" w:rsidTr="00DA24CB">
        <w:trPr>
          <w:jc w:val="center"/>
        </w:trPr>
        <w:tc>
          <w:tcPr>
            <w:tcW w:w="0" w:type="auto"/>
            <w:tcBorders>
              <w:top w:val="nil"/>
              <w:left w:val="nil"/>
              <w:bottom w:val="nil"/>
              <w:right w:val="nil"/>
            </w:tcBorders>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120"/>
            </w:tblGrid>
            <w:tr w:rsidR="000B6A0E" w:rsidRPr="00F24BD5" w14:paraId="4587B21E" w14:textId="77777777" w:rsidTr="00DA24CB">
              <w:tc>
                <w:tcPr>
                  <w:tcW w:w="0" w:type="auto"/>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090"/>
                  </w:tblGrid>
                  <w:tr w:rsidR="000B6A0E" w:rsidRPr="00F24BD5" w14:paraId="436989C3" w14:textId="77777777" w:rsidTr="00DA24CB">
                    <w:tc>
                      <w:tcPr>
                        <w:tcW w:w="0" w:type="auto"/>
                        <w:shd w:val="clear" w:color="auto" w:fill="auto"/>
                        <w:tcMar>
                          <w:top w:w="0" w:type="dxa"/>
                          <w:left w:w="15" w:type="dxa"/>
                          <w:bottom w:w="0" w:type="dxa"/>
                          <w:right w:w="15" w:type="dxa"/>
                        </w:tcMar>
                        <w:hideMark/>
                      </w:tcPr>
                      <w:tbl>
                        <w:tblPr>
                          <w:tblpPr w:leftFromText="45" w:rightFromText="45" w:vertAnchor="text"/>
                          <w:tblW w:w="5000" w:type="pct"/>
                          <w:tblCellMar>
                            <w:top w:w="15" w:type="dxa"/>
                            <w:left w:w="15" w:type="dxa"/>
                            <w:right w:w="15" w:type="dxa"/>
                          </w:tblCellMar>
                          <w:tblLook w:val="04A0" w:firstRow="1" w:lastRow="0" w:firstColumn="1" w:lastColumn="0" w:noHBand="0" w:noVBand="1"/>
                        </w:tblPr>
                        <w:tblGrid>
                          <w:gridCol w:w="8060"/>
                        </w:tblGrid>
                        <w:tr w:rsidR="000B6A0E" w:rsidRPr="00F24BD5" w14:paraId="1E0C87C3" w14:textId="77777777" w:rsidTr="00DA24CB">
                          <w:tc>
                            <w:tcPr>
                              <w:tcW w:w="0" w:type="auto"/>
                              <w:shd w:val="clear" w:color="auto" w:fill="auto"/>
                              <w:tcMar>
                                <w:top w:w="0" w:type="dxa"/>
                                <w:left w:w="15" w:type="dxa"/>
                                <w:bottom w:w="0" w:type="dxa"/>
                                <w:right w:w="15" w:type="dxa"/>
                              </w:tcMar>
                              <w:hideMark/>
                            </w:tcPr>
                            <w:tbl>
                              <w:tblPr>
                                <w:tblW w:w="5000" w:type="pct"/>
                                <w:tblCellMar>
                                  <w:left w:w="0" w:type="dxa"/>
                                  <w:right w:w="0" w:type="dxa"/>
                                </w:tblCellMar>
                                <w:tblLook w:val="04A0" w:firstRow="1" w:lastRow="0" w:firstColumn="1" w:lastColumn="0" w:noHBand="0" w:noVBand="1"/>
                              </w:tblPr>
                              <w:tblGrid>
                                <w:gridCol w:w="8030"/>
                              </w:tblGrid>
                              <w:tr w:rsidR="000B6A0E" w:rsidRPr="00F24BD5" w14:paraId="5606A70A" w14:textId="77777777" w:rsidTr="00DA24CB">
                                <w:tc>
                                  <w:tcPr>
                                    <w:tcW w:w="0" w:type="auto"/>
                                    <w:shd w:val="clear" w:color="auto" w:fill="auto"/>
                                    <w:vAlign w:val="center"/>
                                    <w:hideMark/>
                                  </w:tcPr>
                                  <w:p w14:paraId="4FBB0DA1" w14:textId="77777777" w:rsidR="000B6A0E" w:rsidRPr="00F24BD5" w:rsidRDefault="000B6A0E" w:rsidP="00DA24CB">
                                    <w:pPr>
                                      <w:spacing w:after="150" w:line="360" w:lineRule="auto"/>
                                      <w:rPr>
                                        <w:rFonts w:ascii="Times New Roman" w:eastAsia="Arial Unicode MS" w:hAnsi="Times New Roman" w:cs="Times New Roman"/>
                                        <w:sz w:val="26"/>
                                        <w:szCs w:val="26"/>
                                        <w:lang w:val="en-US"/>
                                      </w:rPr>
                                    </w:pPr>
                                  </w:p>
                                </w:tc>
                              </w:tr>
                            </w:tbl>
                            <w:p w14:paraId="58430465" w14:textId="77777777" w:rsidR="000B6A0E" w:rsidRPr="00F24BD5" w:rsidRDefault="000B6A0E" w:rsidP="00DA24CB">
                              <w:pPr>
                                <w:spacing w:after="0" w:line="360" w:lineRule="auto"/>
                                <w:rPr>
                                  <w:rFonts w:ascii="Times New Roman" w:eastAsia="Arial Unicode MS" w:hAnsi="Times New Roman" w:cs="Times New Roman"/>
                                  <w:sz w:val="26"/>
                                  <w:szCs w:val="26"/>
                                  <w:lang w:val="en-US"/>
                                </w:rPr>
                              </w:pPr>
                            </w:p>
                          </w:tc>
                        </w:tr>
                      </w:tbl>
                      <w:p w14:paraId="61C0FAFC" w14:textId="77777777" w:rsidR="000B6A0E" w:rsidRPr="00F24BD5" w:rsidRDefault="000B6A0E" w:rsidP="00DA24CB">
                        <w:pPr>
                          <w:spacing w:after="0" w:line="360" w:lineRule="auto"/>
                          <w:rPr>
                            <w:rFonts w:ascii="Times New Roman" w:eastAsia="Arial Unicode MS" w:hAnsi="Times New Roman" w:cs="Times New Roman"/>
                            <w:sz w:val="26"/>
                            <w:szCs w:val="26"/>
                            <w:lang w:val="en-US"/>
                          </w:rPr>
                        </w:pPr>
                      </w:p>
                    </w:tc>
                  </w:tr>
                </w:tbl>
                <w:p w14:paraId="42D6CD1D" w14:textId="77777777" w:rsidR="000B6A0E" w:rsidRPr="00F24BD5" w:rsidRDefault="000B6A0E" w:rsidP="00DA24CB">
                  <w:pPr>
                    <w:spacing w:after="0" w:line="360" w:lineRule="auto"/>
                    <w:rPr>
                      <w:rFonts w:ascii="Times New Roman" w:eastAsia="Arial Unicode MS" w:hAnsi="Times New Roman" w:cs="Times New Roman"/>
                      <w:sz w:val="26"/>
                      <w:szCs w:val="26"/>
                      <w:lang w:val="en-US"/>
                    </w:rPr>
                  </w:pPr>
                </w:p>
              </w:tc>
            </w:tr>
          </w:tbl>
          <w:p w14:paraId="01C907E9" w14:textId="77777777" w:rsidR="000B6A0E" w:rsidRPr="00F24BD5" w:rsidRDefault="000B6A0E" w:rsidP="00DA24CB">
            <w:pPr>
              <w:spacing w:after="0" w:line="360" w:lineRule="auto"/>
              <w:rPr>
                <w:rFonts w:ascii="Times New Roman" w:eastAsia="Arial Unicode MS" w:hAnsi="Times New Roman" w:cs="Times New Roman"/>
                <w:sz w:val="26"/>
                <w:szCs w:val="26"/>
                <w:lang w:val="en-US"/>
              </w:rPr>
            </w:pPr>
          </w:p>
        </w:tc>
      </w:tr>
      <w:tr w:rsidR="000B6A0E" w:rsidRPr="00F24BD5" w14:paraId="6BE46F2E" w14:textId="77777777" w:rsidTr="00DA24CB">
        <w:trPr>
          <w:jc w:val="center"/>
        </w:trPr>
        <w:tc>
          <w:tcPr>
            <w:tcW w:w="0" w:type="auto"/>
            <w:tcBorders>
              <w:top w:val="nil"/>
              <w:left w:val="nil"/>
              <w:bottom w:val="nil"/>
              <w:right w:val="nil"/>
            </w:tcBorders>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120"/>
            </w:tblGrid>
            <w:tr w:rsidR="000B6A0E" w:rsidRPr="00F24BD5" w14:paraId="58E19BE2" w14:textId="77777777" w:rsidTr="00DA24CB">
              <w:tc>
                <w:tcPr>
                  <w:tcW w:w="0" w:type="auto"/>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090"/>
                  </w:tblGrid>
                  <w:tr w:rsidR="000B6A0E" w:rsidRPr="00F24BD5" w14:paraId="3DED4EF5" w14:textId="77777777" w:rsidTr="00DA24CB">
                    <w:tc>
                      <w:tcPr>
                        <w:tcW w:w="0" w:type="auto"/>
                        <w:shd w:val="clear" w:color="auto" w:fill="auto"/>
                        <w:tcMar>
                          <w:top w:w="0" w:type="dxa"/>
                          <w:left w:w="15" w:type="dxa"/>
                          <w:bottom w:w="0" w:type="dxa"/>
                          <w:right w:w="15" w:type="dxa"/>
                        </w:tcMar>
                        <w:hideMark/>
                      </w:tcPr>
                      <w:tbl>
                        <w:tblPr>
                          <w:tblpPr w:leftFromText="45" w:rightFromText="45" w:vertAnchor="text"/>
                          <w:tblW w:w="5000" w:type="pct"/>
                          <w:tblCellMar>
                            <w:top w:w="15" w:type="dxa"/>
                            <w:left w:w="15" w:type="dxa"/>
                            <w:right w:w="15" w:type="dxa"/>
                          </w:tblCellMar>
                          <w:tblLook w:val="04A0" w:firstRow="1" w:lastRow="0" w:firstColumn="1" w:lastColumn="0" w:noHBand="0" w:noVBand="1"/>
                        </w:tblPr>
                        <w:tblGrid>
                          <w:gridCol w:w="8060"/>
                        </w:tblGrid>
                        <w:tr w:rsidR="000B6A0E" w:rsidRPr="00F24BD5" w14:paraId="6A96A648" w14:textId="77777777" w:rsidTr="00DA24CB">
                          <w:tc>
                            <w:tcPr>
                              <w:tcW w:w="0" w:type="auto"/>
                              <w:shd w:val="clear" w:color="auto" w:fill="auto"/>
                              <w:tcMar>
                                <w:top w:w="0" w:type="dxa"/>
                                <w:left w:w="15" w:type="dxa"/>
                                <w:bottom w:w="0" w:type="dxa"/>
                                <w:right w:w="15" w:type="dxa"/>
                              </w:tcMar>
                              <w:hideMark/>
                            </w:tcPr>
                            <w:p w14:paraId="18AAC6BB" w14:textId="77777777" w:rsidR="000B6A0E" w:rsidRPr="00F24BD5" w:rsidRDefault="000B6A0E" w:rsidP="00DA24CB">
                              <w:pPr>
                                <w:spacing w:line="360" w:lineRule="auto"/>
                                <w:rPr>
                                  <w:rFonts w:ascii="Times New Roman" w:eastAsia="Arial Unicode MS" w:hAnsi="Times New Roman" w:cs="Times New Roman"/>
                                  <w:sz w:val="26"/>
                                  <w:szCs w:val="26"/>
                                </w:rPr>
                              </w:pPr>
                            </w:p>
                          </w:tc>
                        </w:tr>
                      </w:tbl>
                      <w:p w14:paraId="30761AC2" w14:textId="77777777" w:rsidR="000B6A0E" w:rsidRPr="00F24BD5" w:rsidRDefault="000B6A0E" w:rsidP="00DA24CB">
                        <w:pPr>
                          <w:spacing w:line="360" w:lineRule="auto"/>
                          <w:rPr>
                            <w:rFonts w:ascii="Times New Roman" w:eastAsia="Arial Unicode MS" w:hAnsi="Times New Roman" w:cs="Times New Roman"/>
                            <w:sz w:val="26"/>
                            <w:szCs w:val="26"/>
                          </w:rPr>
                        </w:pPr>
                      </w:p>
                    </w:tc>
                  </w:tr>
                </w:tbl>
                <w:p w14:paraId="53FAD59C" w14:textId="77777777" w:rsidR="000B6A0E" w:rsidRPr="00F24BD5" w:rsidRDefault="000B6A0E" w:rsidP="00DA24CB">
                  <w:pPr>
                    <w:spacing w:line="360" w:lineRule="auto"/>
                    <w:rPr>
                      <w:rFonts w:ascii="Times New Roman" w:eastAsia="Arial Unicode MS" w:hAnsi="Times New Roman" w:cs="Times New Roman"/>
                      <w:sz w:val="26"/>
                      <w:szCs w:val="26"/>
                    </w:rPr>
                  </w:pPr>
                </w:p>
              </w:tc>
            </w:tr>
          </w:tbl>
          <w:p w14:paraId="6226219D" w14:textId="77777777" w:rsidR="000B6A0E" w:rsidRPr="00F24BD5" w:rsidRDefault="000B6A0E" w:rsidP="00DA24CB">
            <w:pPr>
              <w:spacing w:line="360" w:lineRule="auto"/>
              <w:rPr>
                <w:rFonts w:ascii="Times New Roman" w:eastAsia="Arial Unicode MS" w:hAnsi="Times New Roman" w:cs="Times New Roman"/>
                <w:sz w:val="26"/>
                <w:szCs w:val="26"/>
              </w:rPr>
            </w:pPr>
          </w:p>
        </w:tc>
      </w:tr>
      <w:tr w:rsidR="000B6A0E" w:rsidRPr="00F24BD5" w14:paraId="31A9C9A0" w14:textId="77777777" w:rsidTr="00DA24CB">
        <w:trPr>
          <w:jc w:val="center"/>
        </w:trPr>
        <w:tc>
          <w:tcPr>
            <w:tcW w:w="0" w:type="auto"/>
            <w:tcBorders>
              <w:top w:val="nil"/>
              <w:left w:val="nil"/>
              <w:bottom w:val="nil"/>
              <w:right w:val="nil"/>
            </w:tcBorders>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120"/>
            </w:tblGrid>
            <w:tr w:rsidR="000B6A0E" w:rsidRPr="00F24BD5" w14:paraId="1D206E2C" w14:textId="77777777" w:rsidTr="00DA24CB">
              <w:tc>
                <w:tcPr>
                  <w:tcW w:w="0" w:type="auto"/>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090"/>
                  </w:tblGrid>
                  <w:tr w:rsidR="000B6A0E" w:rsidRPr="00F24BD5" w14:paraId="2CF2D2B4" w14:textId="77777777" w:rsidTr="00DA24CB">
                    <w:tc>
                      <w:tcPr>
                        <w:tcW w:w="0" w:type="auto"/>
                        <w:shd w:val="clear" w:color="auto" w:fill="auto"/>
                        <w:tcMar>
                          <w:top w:w="0" w:type="dxa"/>
                          <w:left w:w="15" w:type="dxa"/>
                          <w:bottom w:w="0" w:type="dxa"/>
                          <w:right w:w="15" w:type="dxa"/>
                        </w:tcMar>
                        <w:hideMark/>
                      </w:tcPr>
                      <w:tbl>
                        <w:tblPr>
                          <w:tblpPr w:leftFromText="45" w:rightFromText="45" w:vertAnchor="text"/>
                          <w:tblW w:w="5000" w:type="pct"/>
                          <w:tblCellMar>
                            <w:top w:w="15" w:type="dxa"/>
                            <w:left w:w="15" w:type="dxa"/>
                            <w:right w:w="15" w:type="dxa"/>
                          </w:tblCellMar>
                          <w:tblLook w:val="04A0" w:firstRow="1" w:lastRow="0" w:firstColumn="1" w:lastColumn="0" w:noHBand="0" w:noVBand="1"/>
                        </w:tblPr>
                        <w:tblGrid>
                          <w:gridCol w:w="8060"/>
                        </w:tblGrid>
                        <w:tr w:rsidR="000B6A0E" w:rsidRPr="00F24BD5" w14:paraId="111A2E92" w14:textId="77777777" w:rsidTr="00DA24CB">
                          <w:tc>
                            <w:tcPr>
                              <w:tcW w:w="0" w:type="auto"/>
                              <w:shd w:val="clear" w:color="auto" w:fill="auto"/>
                              <w:tcMar>
                                <w:top w:w="0" w:type="dxa"/>
                                <w:left w:w="15" w:type="dxa"/>
                                <w:bottom w:w="0" w:type="dxa"/>
                                <w:right w:w="15" w:type="dxa"/>
                              </w:tcMar>
                              <w:hideMark/>
                            </w:tcPr>
                            <w:p w14:paraId="358A2E2C" w14:textId="77777777" w:rsidR="000B6A0E" w:rsidRPr="00F24BD5" w:rsidRDefault="000B6A0E" w:rsidP="00DA24CB">
                              <w:pPr>
                                <w:spacing w:after="0" w:line="360" w:lineRule="auto"/>
                                <w:rPr>
                                  <w:rFonts w:ascii="Times New Roman" w:eastAsia="Arial Unicode MS" w:hAnsi="Times New Roman" w:cs="Times New Roman"/>
                                  <w:sz w:val="26"/>
                                  <w:szCs w:val="26"/>
                                  <w:lang w:val="en-US"/>
                                </w:rPr>
                              </w:pPr>
                              <w:bookmarkStart w:id="9" w:name="top"/>
                            </w:p>
                          </w:tc>
                        </w:tr>
                      </w:tbl>
                      <w:p w14:paraId="34794FB0" w14:textId="77777777" w:rsidR="000B6A0E" w:rsidRPr="00F24BD5" w:rsidRDefault="000B6A0E" w:rsidP="00DA24CB">
                        <w:pPr>
                          <w:spacing w:after="0" w:line="360" w:lineRule="auto"/>
                          <w:rPr>
                            <w:rFonts w:ascii="Times New Roman" w:eastAsia="Arial Unicode MS" w:hAnsi="Times New Roman" w:cs="Times New Roman"/>
                            <w:sz w:val="26"/>
                            <w:szCs w:val="26"/>
                            <w:lang w:val="en-US"/>
                          </w:rPr>
                        </w:pPr>
                      </w:p>
                    </w:tc>
                  </w:tr>
                </w:tbl>
                <w:p w14:paraId="7A8A0CF8" w14:textId="77777777" w:rsidR="000B6A0E" w:rsidRPr="00F24BD5" w:rsidRDefault="000B6A0E" w:rsidP="00DA24CB">
                  <w:pPr>
                    <w:spacing w:after="0" w:line="360" w:lineRule="auto"/>
                    <w:rPr>
                      <w:rFonts w:ascii="Times New Roman" w:eastAsia="Arial Unicode MS" w:hAnsi="Times New Roman" w:cs="Times New Roman"/>
                      <w:sz w:val="26"/>
                      <w:szCs w:val="26"/>
                      <w:lang w:val="en-US"/>
                    </w:rPr>
                  </w:pPr>
                </w:p>
              </w:tc>
            </w:tr>
          </w:tbl>
          <w:p w14:paraId="002F4D01" w14:textId="77777777" w:rsidR="000B6A0E" w:rsidRPr="00F24BD5" w:rsidRDefault="000B6A0E" w:rsidP="00DA24CB">
            <w:pPr>
              <w:spacing w:after="0" w:line="360" w:lineRule="auto"/>
              <w:rPr>
                <w:rFonts w:ascii="Times New Roman" w:eastAsia="Arial Unicode MS" w:hAnsi="Times New Roman" w:cs="Times New Roman"/>
                <w:sz w:val="26"/>
                <w:szCs w:val="26"/>
                <w:lang w:val="en-US"/>
              </w:rPr>
            </w:pPr>
          </w:p>
        </w:tc>
      </w:tr>
    </w:tbl>
    <w:bookmarkEnd w:id="9"/>
    <w:p w14:paraId="59A8C3AF" w14:textId="77777777" w:rsidR="000B6A0E" w:rsidRPr="00F24BD5" w:rsidRDefault="000B6A0E" w:rsidP="000B6A0E">
      <w:pPr>
        <w:spacing w:after="0" w:line="360" w:lineRule="auto"/>
        <w:jc w:val="both"/>
        <w:rPr>
          <w:rFonts w:ascii="Times New Roman" w:hAnsi="Times New Roman" w:cs="Times New Roman"/>
          <w:b/>
          <w:sz w:val="26"/>
          <w:szCs w:val="26"/>
        </w:rPr>
      </w:pPr>
      <w:r w:rsidRPr="00F24BD5">
        <w:rPr>
          <w:rFonts w:ascii="Times New Roman" w:hAnsi="Times New Roman" w:cs="Times New Roman"/>
          <w:b/>
          <w:sz w:val="26"/>
          <w:szCs w:val="26"/>
        </w:rPr>
        <w:t xml:space="preserve">Where, </w:t>
      </w:r>
    </w:p>
    <w:p w14:paraId="3A680085" w14:textId="77777777" w:rsidR="000B6A0E" w:rsidRPr="000B6A0E" w:rsidRDefault="000B6A0E" w:rsidP="000B6A0E">
      <w:pPr>
        <w:spacing w:after="0" w:line="240" w:lineRule="auto"/>
        <w:jc w:val="both"/>
        <w:rPr>
          <w:rFonts w:ascii="Times New Roman" w:hAnsi="Times New Roman" w:cs="Times New Roman"/>
          <w:sz w:val="24"/>
          <w:szCs w:val="26"/>
        </w:rPr>
      </w:pPr>
      <w:r w:rsidRPr="000B6A0E">
        <w:rPr>
          <w:rFonts w:ascii="Times New Roman" w:hAnsi="Times New Roman" w:cs="Times New Roman"/>
          <w:sz w:val="24"/>
          <w:szCs w:val="26"/>
        </w:rPr>
        <w:t>x</w:t>
      </w:r>
      <w:proofErr w:type="gramStart"/>
      <w:r w:rsidRPr="000B6A0E">
        <w:rPr>
          <w:rFonts w:ascii="Times New Roman" w:hAnsi="Times New Roman" w:cs="Times New Roman"/>
          <w:sz w:val="24"/>
          <w:szCs w:val="26"/>
          <w:vertAlign w:val="subscript"/>
        </w:rPr>
        <w:t>1</w:t>
      </w:r>
      <w:r w:rsidRPr="000B6A0E">
        <w:rPr>
          <w:rFonts w:ascii="Times New Roman" w:hAnsi="Times New Roman" w:cs="Times New Roman"/>
          <w:sz w:val="24"/>
          <w:szCs w:val="26"/>
        </w:rPr>
        <w:t>,x</w:t>
      </w:r>
      <w:proofErr w:type="gramEnd"/>
      <w:r w:rsidRPr="000B6A0E">
        <w:rPr>
          <w:rFonts w:ascii="Times New Roman" w:hAnsi="Times New Roman" w:cs="Times New Roman"/>
          <w:sz w:val="24"/>
          <w:szCs w:val="26"/>
          <w:vertAlign w:val="subscript"/>
        </w:rPr>
        <w:t>2</w:t>
      </w:r>
      <w:r w:rsidRPr="000B6A0E">
        <w:rPr>
          <w:rFonts w:ascii="Times New Roman" w:hAnsi="Times New Roman" w:cs="Times New Roman"/>
          <w:sz w:val="24"/>
          <w:szCs w:val="26"/>
        </w:rPr>
        <w:t>,..x</w:t>
      </w:r>
      <w:r w:rsidRPr="000B6A0E">
        <w:rPr>
          <w:rFonts w:ascii="Times New Roman" w:hAnsi="Times New Roman" w:cs="Times New Roman"/>
          <w:sz w:val="24"/>
          <w:szCs w:val="26"/>
          <w:vertAlign w:val="subscript"/>
        </w:rPr>
        <w:t>n</w:t>
      </w:r>
      <w:r w:rsidRPr="000B6A0E">
        <w:rPr>
          <w:rFonts w:ascii="Times New Roman" w:hAnsi="Times New Roman" w:cs="Times New Roman"/>
          <w:sz w:val="24"/>
          <w:szCs w:val="26"/>
        </w:rPr>
        <w:t xml:space="preserve"> = Score obtained by individual farmers in economic sustainability</w:t>
      </w:r>
    </w:p>
    <w:p w14:paraId="42E8B007" w14:textId="77777777" w:rsidR="000B6A0E" w:rsidRPr="000B6A0E" w:rsidRDefault="000B6A0E" w:rsidP="000B6A0E">
      <w:pPr>
        <w:spacing w:line="240" w:lineRule="auto"/>
        <w:jc w:val="both"/>
        <w:rPr>
          <w:rFonts w:ascii="Times New Roman" w:hAnsi="Times New Roman" w:cs="Times New Roman"/>
          <w:sz w:val="24"/>
          <w:szCs w:val="26"/>
        </w:rPr>
      </w:pPr>
      <w:r w:rsidRPr="000B6A0E">
        <w:rPr>
          <w:rFonts w:ascii="Times New Roman" w:hAnsi="Times New Roman" w:cs="Times New Roman"/>
          <w:sz w:val="24"/>
          <w:szCs w:val="26"/>
        </w:rPr>
        <w:t>a</w:t>
      </w:r>
      <w:proofErr w:type="gramStart"/>
      <w:r w:rsidRPr="000B6A0E">
        <w:rPr>
          <w:rFonts w:ascii="Times New Roman" w:hAnsi="Times New Roman" w:cs="Times New Roman"/>
          <w:sz w:val="24"/>
          <w:szCs w:val="26"/>
          <w:vertAlign w:val="subscript"/>
        </w:rPr>
        <w:t>1</w:t>
      </w:r>
      <w:r w:rsidRPr="000B6A0E">
        <w:rPr>
          <w:rFonts w:ascii="Times New Roman" w:hAnsi="Times New Roman" w:cs="Times New Roman"/>
          <w:sz w:val="24"/>
          <w:szCs w:val="26"/>
        </w:rPr>
        <w:t>,a</w:t>
      </w:r>
      <w:proofErr w:type="gramEnd"/>
      <w:r w:rsidRPr="000B6A0E">
        <w:rPr>
          <w:rFonts w:ascii="Times New Roman" w:hAnsi="Times New Roman" w:cs="Times New Roman"/>
          <w:sz w:val="24"/>
          <w:szCs w:val="26"/>
          <w:vertAlign w:val="subscript"/>
        </w:rPr>
        <w:t>2</w:t>
      </w:r>
      <w:r w:rsidRPr="000B6A0E">
        <w:rPr>
          <w:rFonts w:ascii="Times New Roman" w:hAnsi="Times New Roman" w:cs="Times New Roman"/>
          <w:sz w:val="24"/>
          <w:szCs w:val="26"/>
        </w:rPr>
        <w:t>,..a</w:t>
      </w:r>
      <w:r w:rsidRPr="000B6A0E">
        <w:rPr>
          <w:rFonts w:ascii="Times New Roman" w:hAnsi="Times New Roman" w:cs="Times New Roman"/>
          <w:sz w:val="24"/>
          <w:szCs w:val="26"/>
          <w:vertAlign w:val="subscript"/>
        </w:rPr>
        <w:t>n</w:t>
      </w:r>
      <w:r w:rsidRPr="000B6A0E">
        <w:rPr>
          <w:rFonts w:ascii="Times New Roman" w:hAnsi="Times New Roman" w:cs="Times New Roman"/>
          <w:sz w:val="24"/>
          <w:szCs w:val="26"/>
        </w:rPr>
        <w:t xml:space="preserve"> = Maximum possible core obtained by individual farmers in economic sustainability</w:t>
      </w:r>
    </w:p>
    <w:p w14:paraId="73B5E1D8" w14:textId="77777777" w:rsidR="000B6A0E" w:rsidRPr="000B6A0E" w:rsidRDefault="000B6A0E" w:rsidP="000B6A0E">
      <w:pPr>
        <w:spacing w:after="0" w:line="240" w:lineRule="auto"/>
        <w:jc w:val="both"/>
        <w:rPr>
          <w:rFonts w:ascii="Times New Roman" w:hAnsi="Times New Roman" w:cs="Times New Roman"/>
          <w:sz w:val="24"/>
          <w:szCs w:val="26"/>
        </w:rPr>
      </w:pPr>
      <w:r w:rsidRPr="000B6A0E">
        <w:rPr>
          <w:rFonts w:ascii="Times New Roman" w:hAnsi="Times New Roman" w:cs="Times New Roman"/>
          <w:sz w:val="24"/>
          <w:szCs w:val="26"/>
        </w:rPr>
        <w:t>y</w:t>
      </w:r>
      <w:proofErr w:type="gramStart"/>
      <w:r w:rsidRPr="000B6A0E">
        <w:rPr>
          <w:rFonts w:ascii="Times New Roman" w:hAnsi="Times New Roman" w:cs="Times New Roman"/>
          <w:sz w:val="24"/>
          <w:szCs w:val="26"/>
          <w:vertAlign w:val="subscript"/>
        </w:rPr>
        <w:t>1</w:t>
      </w:r>
      <w:r w:rsidRPr="000B6A0E">
        <w:rPr>
          <w:rFonts w:ascii="Times New Roman" w:hAnsi="Times New Roman" w:cs="Times New Roman"/>
          <w:sz w:val="24"/>
          <w:szCs w:val="26"/>
        </w:rPr>
        <w:t>,y</w:t>
      </w:r>
      <w:proofErr w:type="gramEnd"/>
      <w:r w:rsidRPr="000B6A0E">
        <w:rPr>
          <w:rFonts w:ascii="Times New Roman" w:hAnsi="Times New Roman" w:cs="Times New Roman"/>
          <w:sz w:val="24"/>
          <w:szCs w:val="26"/>
          <w:vertAlign w:val="subscript"/>
        </w:rPr>
        <w:t>2</w:t>
      </w:r>
      <w:r w:rsidRPr="000B6A0E">
        <w:rPr>
          <w:rFonts w:ascii="Times New Roman" w:hAnsi="Times New Roman" w:cs="Times New Roman"/>
          <w:sz w:val="24"/>
          <w:szCs w:val="26"/>
        </w:rPr>
        <w:t>,..y</w:t>
      </w:r>
      <w:r w:rsidRPr="000B6A0E">
        <w:rPr>
          <w:rFonts w:ascii="Times New Roman" w:hAnsi="Times New Roman" w:cs="Times New Roman"/>
          <w:sz w:val="24"/>
          <w:szCs w:val="26"/>
          <w:vertAlign w:val="subscript"/>
        </w:rPr>
        <w:t>n</w:t>
      </w:r>
      <w:r w:rsidRPr="000B6A0E">
        <w:rPr>
          <w:rFonts w:ascii="Times New Roman" w:hAnsi="Times New Roman" w:cs="Times New Roman"/>
          <w:sz w:val="24"/>
          <w:szCs w:val="26"/>
        </w:rPr>
        <w:t xml:space="preserve"> = Score obtained by individual farmers in social sustainability</w:t>
      </w:r>
    </w:p>
    <w:p w14:paraId="23A60B7D" w14:textId="77777777" w:rsidR="000B6A0E" w:rsidRPr="000B6A0E" w:rsidRDefault="000B6A0E" w:rsidP="000B6A0E">
      <w:pPr>
        <w:spacing w:line="240" w:lineRule="auto"/>
        <w:jc w:val="both"/>
        <w:rPr>
          <w:rFonts w:ascii="Times New Roman" w:hAnsi="Times New Roman" w:cs="Times New Roman"/>
          <w:sz w:val="24"/>
          <w:szCs w:val="26"/>
        </w:rPr>
      </w:pPr>
      <w:r w:rsidRPr="000B6A0E">
        <w:rPr>
          <w:rFonts w:ascii="Times New Roman" w:hAnsi="Times New Roman" w:cs="Times New Roman"/>
          <w:sz w:val="24"/>
          <w:szCs w:val="26"/>
        </w:rPr>
        <w:t>b</w:t>
      </w:r>
      <w:proofErr w:type="gramStart"/>
      <w:r w:rsidRPr="000B6A0E">
        <w:rPr>
          <w:rFonts w:ascii="Times New Roman" w:hAnsi="Times New Roman" w:cs="Times New Roman"/>
          <w:sz w:val="24"/>
          <w:szCs w:val="26"/>
          <w:vertAlign w:val="subscript"/>
        </w:rPr>
        <w:t>1</w:t>
      </w:r>
      <w:r w:rsidRPr="000B6A0E">
        <w:rPr>
          <w:rFonts w:ascii="Times New Roman" w:hAnsi="Times New Roman" w:cs="Times New Roman"/>
          <w:sz w:val="24"/>
          <w:szCs w:val="26"/>
        </w:rPr>
        <w:t>,b</w:t>
      </w:r>
      <w:proofErr w:type="gramEnd"/>
      <w:r w:rsidRPr="000B6A0E">
        <w:rPr>
          <w:rFonts w:ascii="Times New Roman" w:hAnsi="Times New Roman" w:cs="Times New Roman"/>
          <w:sz w:val="24"/>
          <w:szCs w:val="26"/>
          <w:vertAlign w:val="subscript"/>
        </w:rPr>
        <w:t>2</w:t>
      </w:r>
      <w:r w:rsidRPr="000B6A0E">
        <w:rPr>
          <w:rFonts w:ascii="Times New Roman" w:hAnsi="Times New Roman" w:cs="Times New Roman"/>
          <w:sz w:val="24"/>
          <w:szCs w:val="26"/>
        </w:rPr>
        <w:t>,..b</w:t>
      </w:r>
      <w:r w:rsidRPr="000B6A0E">
        <w:rPr>
          <w:rFonts w:ascii="Times New Roman" w:hAnsi="Times New Roman" w:cs="Times New Roman"/>
          <w:sz w:val="24"/>
          <w:szCs w:val="26"/>
          <w:vertAlign w:val="subscript"/>
        </w:rPr>
        <w:t>n</w:t>
      </w:r>
      <w:r w:rsidRPr="000B6A0E">
        <w:rPr>
          <w:rFonts w:ascii="Times New Roman" w:hAnsi="Times New Roman" w:cs="Times New Roman"/>
          <w:sz w:val="24"/>
          <w:szCs w:val="26"/>
        </w:rPr>
        <w:t xml:space="preserve"> = Maximum possible core obtained by individual farmers in social sustainability</w:t>
      </w:r>
    </w:p>
    <w:p w14:paraId="3413832B" w14:textId="77777777" w:rsidR="000B6A0E" w:rsidRPr="000B6A0E" w:rsidRDefault="000B6A0E" w:rsidP="000B6A0E">
      <w:pPr>
        <w:spacing w:after="0" w:line="240" w:lineRule="auto"/>
        <w:jc w:val="both"/>
        <w:rPr>
          <w:rFonts w:ascii="Times New Roman" w:hAnsi="Times New Roman" w:cs="Times New Roman"/>
          <w:sz w:val="24"/>
          <w:szCs w:val="26"/>
        </w:rPr>
      </w:pPr>
      <w:r w:rsidRPr="000B6A0E">
        <w:rPr>
          <w:rFonts w:ascii="Times New Roman" w:hAnsi="Times New Roman" w:cs="Times New Roman"/>
          <w:sz w:val="24"/>
          <w:szCs w:val="26"/>
        </w:rPr>
        <w:t>y</w:t>
      </w:r>
      <w:proofErr w:type="gramStart"/>
      <w:r w:rsidRPr="000B6A0E">
        <w:rPr>
          <w:rFonts w:ascii="Times New Roman" w:hAnsi="Times New Roman" w:cs="Times New Roman"/>
          <w:sz w:val="24"/>
          <w:szCs w:val="26"/>
          <w:vertAlign w:val="subscript"/>
        </w:rPr>
        <w:t>1</w:t>
      </w:r>
      <w:r w:rsidRPr="000B6A0E">
        <w:rPr>
          <w:rFonts w:ascii="Times New Roman" w:hAnsi="Times New Roman" w:cs="Times New Roman"/>
          <w:sz w:val="24"/>
          <w:szCs w:val="26"/>
        </w:rPr>
        <w:t>,y</w:t>
      </w:r>
      <w:proofErr w:type="gramEnd"/>
      <w:r w:rsidRPr="000B6A0E">
        <w:rPr>
          <w:rFonts w:ascii="Times New Roman" w:hAnsi="Times New Roman" w:cs="Times New Roman"/>
          <w:sz w:val="24"/>
          <w:szCs w:val="26"/>
          <w:vertAlign w:val="subscript"/>
        </w:rPr>
        <w:t>2</w:t>
      </w:r>
      <w:r w:rsidRPr="000B6A0E">
        <w:rPr>
          <w:rFonts w:ascii="Times New Roman" w:hAnsi="Times New Roman" w:cs="Times New Roman"/>
          <w:sz w:val="24"/>
          <w:szCs w:val="26"/>
        </w:rPr>
        <w:t>,..y</w:t>
      </w:r>
      <w:r w:rsidRPr="000B6A0E">
        <w:rPr>
          <w:rFonts w:ascii="Times New Roman" w:hAnsi="Times New Roman" w:cs="Times New Roman"/>
          <w:sz w:val="24"/>
          <w:szCs w:val="26"/>
          <w:vertAlign w:val="subscript"/>
        </w:rPr>
        <w:t>n</w:t>
      </w:r>
      <w:r w:rsidRPr="000B6A0E">
        <w:rPr>
          <w:rFonts w:ascii="Times New Roman" w:hAnsi="Times New Roman" w:cs="Times New Roman"/>
          <w:sz w:val="24"/>
          <w:szCs w:val="26"/>
        </w:rPr>
        <w:t xml:space="preserve"> = Score obtained by individual farmers in environmental sustainability</w:t>
      </w:r>
    </w:p>
    <w:p w14:paraId="6B9BCA68" w14:textId="77777777" w:rsidR="000B6A0E" w:rsidRPr="000B6A0E" w:rsidRDefault="000B6A0E" w:rsidP="000B6A0E">
      <w:pPr>
        <w:spacing w:line="240" w:lineRule="auto"/>
        <w:jc w:val="both"/>
        <w:rPr>
          <w:rFonts w:ascii="Times New Roman" w:hAnsi="Times New Roman" w:cs="Times New Roman"/>
          <w:sz w:val="24"/>
          <w:szCs w:val="26"/>
        </w:rPr>
      </w:pPr>
      <w:r w:rsidRPr="000B6A0E">
        <w:rPr>
          <w:rFonts w:ascii="Times New Roman" w:hAnsi="Times New Roman" w:cs="Times New Roman"/>
          <w:sz w:val="24"/>
          <w:szCs w:val="26"/>
        </w:rPr>
        <w:t>c</w:t>
      </w:r>
      <w:proofErr w:type="gramStart"/>
      <w:r w:rsidRPr="000B6A0E">
        <w:rPr>
          <w:rFonts w:ascii="Times New Roman" w:hAnsi="Times New Roman" w:cs="Times New Roman"/>
          <w:sz w:val="24"/>
          <w:szCs w:val="26"/>
          <w:vertAlign w:val="subscript"/>
        </w:rPr>
        <w:t>1</w:t>
      </w:r>
      <w:r w:rsidRPr="000B6A0E">
        <w:rPr>
          <w:rFonts w:ascii="Times New Roman" w:hAnsi="Times New Roman" w:cs="Times New Roman"/>
          <w:sz w:val="24"/>
          <w:szCs w:val="26"/>
        </w:rPr>
        <w:t>,c</w:t>
      </w:r>
      <w:proofErr w:type="gramEnd"/>
      <w:r w:rsidRPr="000B6A0E">
        <w:rPr>
          <w:rFonts w:ascii="Times New Roman" w:hAnsi="Times New Roman" w:cs="Times New Roman"/>
          <w:sz w:val="24"/>
          <w:szCs w:val="26"/>
          <w:vertAlign w:val="subscript"/>
        </w:rPr>
        <w:t>2</w:t>
      </w:r>
      <w:r w:rsidRPr="000B6A0E">
        <w:rPr>
          <w:rFonts w:ascii="Times New Roman" w:hAnsi="Times New Roman" w:cs="Times New Roman"/>
          <w:sz w:val="24"/>
          <w:szCs w:val="26"/>
        </w:rPr>
        <w:t>,..c</w:t>
      </w:r>
      <w:r w:rsidRPr="000B6A0E">
        <w:rPr>
          <w:rFonts w:ascii="Times New Roman" w:hAnsi="Times New Roman" w:cs="Times New Roman"/>
          <w:sz w:val="24"/>
          <w:szCs w:val="26"/>
          <w:vertAlign w:val="subscript"/>
        </w:rPr>
        <w:t>n</w:t>
      </w:r>
      <w:r w:rsidRPr="000B6A0E">
        <w:rPr>
          <w:rFonts w:ascii="Times New Roman" w:hAnsi="Times New Roman" w:cs="Times New Roman"/>
          <w:sz w:val="24"/>
          <w:szCs w:val="26"/>
        </w:rPr>
        <w:t xml:space="preserve"> = Maximum possible core obtained by individual farmers in environmental sustainability</w:t>
      </w:r>
    </w:p>
    <w:p w14:paraId="52B0E40D" w14:textId="77777777" w:rsidR="000B6A0E" w:rsidRPr="000B6A0E" w:rsidRDefault="000B6A0E" w:rsidP="000B6A0E">
      <w:pPr>
        <w:spacing w:after="0" w:line="240" w:lineRule="auto"/>
        <w:jc w:val="both"/>
        <w:rPr>
          <w:rFonts w:ascii="Times New Roman" w:hAnsi="Times New Roman" w:cs="Times New Roman"/>
          <w:sz w:val="24"/>
          <w:szCs w:val="26"/>
        </w:rPr>
      </w:pPr>
      <w:r w:rsidRPr="000B6A0E">
        <w:rPr>
          <w:rFonts w:ascii="Times New Roman" w:hAnsi="Times New Roman" w:cs="Times New Roman"/>
          <w:sz w:val="24"/>
          <w:szCs w:val="26"/>
        </w:rPr>
        <w:t>i= Economic sustainability, Social sustainability &amp; Environmental sustainability</w:t>
      </w:r>
    </w:p>
    <w:p w14:paraId="6729B2B1" w14:textId="77777777" w:rsidR="000B6A0E" w:rsidRPr="000B6A0E" w:rsidRDefault="000B6A0E" w:rsidP="000B6A0E">
      <w:pPr>
        <w:spacing w:after="0" w:line="240" w:lineRule="auto"/>
        <w:jc w:val="both"/>
        <w:rPr>
          <w:rFonts w:ascii="Times New Roman" w:hAnsi="Times New Roman" w:cs="Times New Roman"/>
          <w:sz w:val="24"/>
          <w:szCs w:val="26"/>
        </w:rPr>
      </w:pPr>
      <w:r w:rsidRPr="000B6A0E">
        <w:rPr>
          <w:rFonts w:ascii="Times New Roman" w:hAnsi="Times New Roman" w:cs="Times New Roman"/>
          <w:sz w:val="24"/>
          <w:szCs w:val="26"/>
        </w:rPr>
        <w:t>j= Total number of farmers in economic sustainability</w:t>
      </w:r>
    </w:p>
    <w:p w14:paraId="45B926B0" w14:textId="77777777" w:rsidR="000B6A0E" w:rsidRPr="000B6A0E" w:rsidRDefault="000B6A0E" w:rsidP="000B6A0E">
      <w:pPr>
        <w:spacing w:after="0" w:line="240" w:lineRule="auto"/>
        <w:jc w:val="both"/>
        <w:rPr>
          <w:rFonts w:ascii="Times New Roman" w:hAnsi="Times New Roman" w:cs="Times New Roman"/>
          <w:sz w:val="24"/>
          <w:szCs w:val="26"/>
        </w:rPr>
      </w:pPr>
      <w:r w:rsidRPr="000B6A0E">
        <w:rPr>
          <w:rFonts w:ascii="Times New Roman" w:hAnsi="Times New Roman" w:cs="Times New Roman"/>
          <w:sz w:val="24"/>
          <w:szCs w:val="26"/>
        </w:rPr>
        <w:t>k= Total number of farmers in social sustainability</w:t>
      </w:r>
    </w:p>
    <w:p w14:paraId="6B0E0779" w14:textId="77777777" w:rsidR="000B6A0E" w:rsidRPr="000B6A0E" w:rsidRDefault="000B6A0E" w:rsidP="000B6A0E">
      <w:pPr>
        <w:spacing w:after="0" w:line="240" w:lineRule="auto"/>
        <w:jc w:val="both"/>
        <w:rPr>
          <w:rFonts w:ascii="Times New Roman" w:hAnsi="Times New Roman" w:cs="Times New Roman"/>
          <w:sz w:val="24"/>
          <w:szCs w:val="26"/>
        </w:rPr>
      </w:pPr>
      <w:r w:rsidRPr="000B6A0E">
        <w:rPr>
          <w:rFonts w:ascii="Times New Roman" w:hAnsi="Times New Roman" w:cs="Times New Roman"/>
          <w:sz w:val="24"/>
          <w:szCs w:val="26"/>
        </w:rPr>
        <w:t>l= Total number of farmers in environmental sustainability</w:t>
      </w:r>
    </w:p>
    <w:p w14:paraId="1441AF7C" w14:textId="77777777" w:rsidR="00486443" w:rsidRPr="00FF6F6B" w:rsidRDefault="00486443" w:rsidP="00486443">
      <w:pPr>
        <w:spacing w:before="100" w:beforeAutospacing="1" w:after="100" w:afterAutospacing="1" w:line="240" w:lineRule="auto"/>
        <w:rPr>
          <w:rFonts w:ascii="Times New Roman" w:eastAsia="Times New Roman" w:hAnsi="Times New Roman" w:cs="Times New Roman"/>
          <w:b/>
          <w:bCs/>
          <w:sz w:val="24"/>
          <w:szCs w:val="24"/>
          <w:lang w:eastAsia="en-IN"/>
        </w:rPr>
      </w:pPr>
      <w:r w:rsidRPr="00FF6F6B">
        <w:rPr>
          <w:rFonts w:ascii="Times New Roman" w:eastAsia="Times New Roman" w:hAnsi="Times New Roman" w:cs="Times New Roman"/>
          <w:b/>
          <w:bCs/>
          <w:sz w:val="24"/>
          <w:szCs w:val="24"/>
          <w:lang w:eastAsia="en-IN"/>
        </w:rPr>
        <w:t>Ethical Considerations</w:t>
      </w:r>
    </w:p>
    <w:p w14:paraId="36F5EBB5" w14:textId="77777777" w:rsidR="00486443" w:rsidRPr="00FF6F6B" w:rsidRDefault="00486443" w:rsidP="00486443">
      <w:pPr>
        <w:spacing w:before="100" w:beforeAutospacing="1" w:after="100" w:afterAutospacing="1" w:line="240" w:lineRule="auto"/>
        <w:rPr>
          <w:rFonts w:ascii="Times New Roman" w:eastAsia="Times New Roman" w:hAnsi="Times New Roman" w:cs="Times New Roman"/>
          <w:sz w:val="24"/>
          <w:szCs w:val="24"/>
          <w:lang w:eastAsia="en-IN"/>
        </w:rPr>
      </w:pPr>
      <w:r w:rsidRPr="00FF6F6B">
        <w:rPr>
          <w:rFonts w:ascii="Times New Roman" w:eastAsia="Times New Roman" w:hAnsi="Times New Roman" w:cs="Times New Roman"/>
          <w:sz w:val="24"/>
          <w:szCs w:val="24"/>
          <w:lang w:eastAsia="en-IN"/>
        </w:rPr>
        <w:t>Farmers participated voluntarily, and informed consent was obtained before data collection. The confidentiality of the respondents was maintained, and the study adhered to ethical research guidelines.</w:t>
      </w:r>
    </w:p>
    <w:p w14:paraId="1360596C" w14:textId="77777777" w:rsidR="00F62434" w:rsidRPr="00FF6F6B" w:rsidRDefault="00F62434" w:rsidP="00F62434">
      <w:pPr>
        <w:spacing w:before="100" w:beforeAutospacing="1" w:after="100" w:afterAutospacing="1" w:line="240" w:lineRule="auto"/>
        <w:rPr>
          <w:rFonts w:ascii="Times New Roman" w:eastAsia="Times New Roman" w:hAnsi="Times New Roman" w:cs="Times New Roman"/>
          <w:b/>
          <w:bCs/>
          <w:sz w:val="24"/>
          <w:szCs w:val="24"/>
          <w:lang w:eastAsia="en-IN"/>
        </w:rPr>
      </w:pPr>
      <w:r w:rsidRPr="00FF6F6B">
        <w:rPr>
          <w:rFonts w:ascii="Times New Roman" w:eastAsia="Times New Roman" w:hAnsi="Times New Roman" w:cs="Times New Roman"/>
          <w:b/>
          <w:bCs/>
          <w:sz w:val="24"/>
          <w:szCs w:val="24"/>
          <w:lang w:eastAsia="en-IN"/>
        </w:rPr>
        <w:lastRenderedPageBreak/>
        <w:t>I</w:t>
      </w:r>
      <w:r w:rsidR="00964632" w:rsidRPr="00FF6F6B">
        <w:rPr>
          <w:rFonts w:ascii="Times New Roman" w:eastAsia="Times New Roman" w:hAnsi="Times New Roman" w:cs="Times New Roman"/>
          <w:b/>
          <w:bCs/>
          <w:sz w:val="24"/>
          <w:szCs w:val="24"/>
          <w:lang w:eastAsia="en-IN"/>
        </w:rPr>
        <w:t>II</w:t>
      </w:r>
      <w:r w:rsidRPr="00FF6F6B">
        <w:rPr>
          <w:rFonts w:ascii="Times New Roman" w:eastAsia="Times New Roman" w:hAnsi="Times New Roman" w:cs="Times New Roman"/>
          <w:b/>
          <w:bCs/>
          <w:sz w:val="24"/>
          <w:szCs w:val="24"/>
          <w:lang w:eastAsia="en-IN"/>
        </w:rPr>
        <w:t>. Results and Discussion</w:t>
      </w:r>
    </w:p>
    <w:p w14:paraId="56AE3843" w14:textId="77777777" w:rsidR="007D64C3" w:rsidRDefault="007D64C3" w:rsidP="00013A25">
      <w:pPr>
        <w:rPr>
          <w:rFonts w:ascii="Times New Roman" w:hAnsi="Times New Roman" w:cs="Times New Roman"/>
          <w:b/>
        </w:rPr>
      </w:pPr>
    </w:p>
    <w:p w14:paraId="72532F77" w14:textId="74B1579A" w:rsidR="00013A25" w:rsidRPr="00FF6F6B" w:rsidRDefault="00013A25" w:rsidP="00013A25">
      <w:pPr>
        <w:rPr>
          <w:rFonts w:ascii="Times New Roman" w:hAnsi="Times New Roman" w:cs="Times New Roman"/>
        </w:rPr>
      </w:pPr>
      <w:r w:rsidRPr="00FF6F6B">
        <w:rPr>
          <w:rFonts w:ascii="Times New Roman" w:hAnsi="Times New Roman" w:cs="Times New Roman"/>
          <w:b/>
        </w:rPr>
        <w:t>Table</w:t>
      </w:r>
      <w:r w:rsidR="007D64C3">
        <w:rPr>
          <w:rFonts w:ascii="Times New Roman" w:hAnsi="Times New Roman" w:cs="Times New Roman"/>
          <w:b/>
        </w:rPr>
        <w:t xml:space="preserve"> </w:t>
      </w:r>
      <w:r w:rsidRPr="00FF6F6B">
        <w:rPr>
          <w:rFonts w:ascii="Times New Roman" w:hAnsi="Times New Roman" w:cs="Times New Roman"/>
          <w:b/>
        </w:rPr>
        <w:t xml:space="preserve">1. </w:t>
      </w:r>
      <w:r w:rsidRPr="00FF6F6B">
        <w:rPr>
          <w:rFonts w:ascii="Times New Roman" w:hAnsi="Times New Roman" w:cs="Times New Roman"/>
        </w:rPr>
        <w:t xml:space="preserve">Socio -economic profile of the cabbage growers </w:t>
      </w:r>
      <w:r w:rsidR="00E741FE" w:rsidRPr="00FF6F6B">
        <w:rPr>
          <w:rFonts w:ascii="Times New Roman" w:eastAsia="Times New Roman" w:hAnsi="Times New Roman" w:cs="Times New Roman"/>
          <w:bCs/>
          <w:sz w:val="24"/>
          <w:szCs w:val="24"/>
          <w:lang w:eastAsia="en-IN"/>
        </w:rPr>
        <w:t>(n=150, B=75, NB=75)</w:t>
      </w:r>
    </w:p>
    <w:tbl>
      <w:tblPr>
        <w:tblStyle w:val="TableGrid"/>
        <w:tblW w:w="5000" w:type="pct"/>
        <w:tblLook w:val="04A0" w:firstRow="1" w:lastRow="0" w:firstColumn="1" w:lastColumn="0" w:noHBand="0" w:noVBand="1"/>
      </w:tblPr>
      <w:tblGrid>
        <w:gridCol w:w="1697"/>
        <w:gridCol w:w="2945"/>
        <w:gridCol w:w="1131"/>
        <w:gridCol w:w="1157"/>
        <w:gridCol w:w="1157"/>
        <w:gridCol w:w="1155"/>
      </w:tblGrid>
      <w:tr w:rsidR="00EA4E52" w:rsidRPr="00FF6F6B" w14:paraId="3759DAAE" w14:textId="77777777" w:rsidTr="00013A25">
        <w:trPr>
          <w:trHeight w:val="251"/>
        </w:trPr>
        <w:tc>
          <w:tcPr>
            <w:tcW w:w="918" w:type="pct"/>
            <w:vMerge w:val="restart"/>
          </w:tcPr>
          <w:p w14:paraId="7C50E103" w14:textId="77777777" w:rsidR="00EA4E52" w:rsidRPr="00FF6F6B" w:rsidRDefault="00EA4E52" w:rsidP="000C5D90">
            <w:pPr>
              <w:jc w:val="center"/>
              <w:rPr>
                <w:rFonts w:ascii="Times New Roman" w:eastAsia="Times New Roman" w:hAnsi="Times New Roman" w:cs="Times New Roman"/>
                <w:b/>
                <w:sz w:val="20"/>
                <w:szCs w:val="20"/>
              </w:rPr>
            </w:pPr>
            <w:r w:rsidRPr="00FF6F6B">
              <w:rPr>
                <w:rFonts w:ascii="Times New Roman" w:eastAsia="Times New Roman" w:hAnsi="Times New Roman" w:cs="Times New Roman"/>
                <w:b/>
                <w:sz w:val="20"/>
                <w:szCs w:val="20"/>
              </w:rPr>
              <w:t>Variable</w:t>
            </w:r>
          </w:p>
        </w:tc>
        <w:tc>
          <w:tcPr>
            <w:tcW w:w="1593" w:type="pct"/>
            <w:vMerge w:val="restart"/>
          </w:tcPr>
          <w:p w14:paraId="45D528CD" w14:textId="77777777" w:rsidR="00EA4E52" w:rsidRPr="00FF6F6B" w:rsidRDefault="00EA4E52" w:rsidP="000C5D90">
            <w:pPr>
              <w:jc w:val="center"/>
              <w:rPr>
                <w:rFonts w:ascii="Times New Roman" w:eastAsia="Times New Roman" w:hAnsi="Times New Roman" w:cs="Times New Roman"/>
                <w:b/>
                <w:sz w:val="20"/>
                <w:szCs w:val="20"/>
              </w:rPr>
            </w:pPr>
            <w:r w:rsidRPr="00FF6F6B">
              <w:rPr>
                <w:rFonts w:ascii="Times New Roman" w:eastAsia="Times New Roman" w:hAnsi="Times New Roman" w:cs="Times New Roman"/>
                <w:b/>
                <w:sz w:val="20"/>
                <w:szCs w:val="20"/>
              </w:rPr>
              <w:t>Category</w:t>
            </w:r>
          </w:p>
        </w:tc>
        <w:tc>
          <w:tcPr>
            <w:tcW w:w="1238" w:type="pct"/>
            <w:gridSpan w:val="2"/>
          </w:tcPr>
          <w:p w14:paraId="1D8B0BEE" w14:textId="77777777" w:rsidR="00EA4E52" w:rsidRPr="00EA4E52" w:rsidRDefault="00EA4E52" w:rsidP="000C5D90">
            <w:pPr>
              <w:jc w:val="center"/>
              <w:rPr>
                <w:rFonts w:ascii="Times New Roman" w:eastAsia="Times New Roman" w:hAnsi="Times New Roman" w:cs="Times New Roman"/>
                <w:b/>
                <w:bCs/>
                <w:sz w:val="20"/>
                <w:szCs w:val="20"/>
                <w:lang w:eastAsia="en-IN"/>
              </w:rPr>
            </w:pPr>
            <w:r w:rsidRPr="00EA4E52">
              <w:rPr>
                <w:rFonts w:ascii="Times New Roman" w:eastAsia="Times New Roman" w:hAnsi="Times New Roman" w:cs="Times New Roman"/>
                <w:b/>
                <w:bCs/>
                <w:sz w:val="20"/>
                <w:szCs w:val="20"/>
                <w:lang w:eastAsia="en-IN"/>
              </w:rPr>
              <w:t xml:space="preserve">Beneficiaries </w:t>
            </w:r>
          </w:p>
        </w:tc>
        <w:tc>
          <w:tcPr>
            <w:tcW w:w="1251" w:type="pct"/>
            <w:gridSpan w:val="2"/>
          </w:tcPr>
          <w:p w14:paraId="7A555990" w14:textId="77777777" w:rsidR="00EA4E52" w:rsidRPr="00EA4E52" w:rsidRDefault="00EA4E52" w:rsidP="000C5D90">
            <w:pPr>
              <w:jc w:val="center"/>
              <w:rPr>
                <w:rFonts w:ascii="Times New Roman" w:eastAsia="Times New Roman" w:hAnsi="Times New Roman" w:cs="Times New Roman"/>
                <w:b/>
                <w:bCs/>
                <w:sz w:val="20"/>
                <w:szCs w:val="20"/>
                <w:lang w:eastAsia="en-IN"/>
              </w:rPr>
            </w:pPr>
            <w:r w:rsidRPr="00EA4E52">
              <w:rPr>
                <w:rFonts w:ascii="Times New Roman" w:eastAsia="Times New Roman" w:hAnsi="Times New Roman" w:cs="Times New Roman"/>
                <w:b/>
                <w:bCs/>
                <w:sz w:val="20"/>
                <w:szCs w:val="20"/>
                <w:lang w:eastAsia="en-IN"/>
              </w:rPr>
              <w:t>Non-beneficiaries</w:t>
            </w:r>
          </w:p>
        </w:tc>
      </w:tr>
      <w:tr w:rsidR="00EA4E52" w:rsidRPr="00FF6F6B" w14:paraId="7655129C" w14:textId="77777777" w:rsidTr="00013A25">
        <w:trPr>
          <w:trHeight w:val="251"/>
        </w:trPr>
        <w:tc>
          <w:tcPr>
            <w:tcW w:w="918" w:type="pct"/>
            <w:vMerge/>
          </w:tcPr>
          <w:p w14:paraId="0D27184F" w14:textId="77777777" w:rsidR="00EA4E52" w:rsidRPr="00FF6F6B" w:rsidRDefault="00EA4E52" w:rsidP="000C5D90">
            <w:pPr>
              <w:jc w:val="center"/>
              <w:rPr>
                <w:rFonts w:ascii="Times New Roman" w:eastAsia="Times New Roman" w:hAnsi="Times New Roman" w:cs="Times New Roman"/>
                <w:b/>
                <w:sz w:val="20"/>
                <w:szCs w:val="20"/>
              </w:rPr>
            </w:pPr>
          </w:p>
        </w:tc>
        <w:tc>
          <w:tcPr>
            <w:tcW w:w="1593" w:type="pct"/>
            <w:vMerge/>
          </w:tcPr>
          <w:p w14:paraId="2FDC5309" w14:textId="77777777" w:rsidR="00EA4E52" w:rsidRPr="00FF6F6B" w:rsidRDefault="00EA4E52" w:rsidP="000C5D90">
            <w:pPr>
              <w:jc w:val="center"/>
              <w:rPr>
                <w:rFonts w:ascii="Times New Roman" w:eastAsia="Times New Roman" w:hAnsi="Times New Roman" w:cs="Times New Roman"/>
                <w:b/>
                <w:sz w:val="20"/>
                <w:szCs w:val="20"/>
              </w:rPr>
            </w:pPr>
          </w:p>
        </w:tc>
        <w:tc>
          <w:tcPr>
            <w:tcW w:w="612" w:type="pct"/>
          </w:tcPr>
          <w:p w14:paraId="326A4CEC" w14:textId="77777777" w:rsidR="00EA4E52" w:rsidRPr="00FF6F6B" w:rsidRDefault="00EA4E52" w:rsidP="000C5D90">
            <w:pPr>
              <w:jc w:val="center"/>
              <w:rPr>
                <w:rFonts w:ascii="Times New Roman" w:eastAsia="Times New Roman" w:hAnsi="Times New Roman" w:cs="Times New Roman"/>
                <w:b/>
                <w:sz w:val="20"/>
                <w:szCs w:val="20"/>
              </w:rPr>
            </w:pPr>
            <w:r w:rsidRPr="00FF6F6B">
              <w:rPr>
                <w:rFonts w:ascii="Times New Roman" w:eastAsia="Times New Roman" w:hAnsi="Times New Roman" w:cs="Times New Roman"/>
                <w:b/>
                <w:sz w:val="20"/>
                <w:szCs w:val="20"/>
              </w:rPr>
              <w:t xml:space="preserve">Frequency </w:t>
            </w:r>
          </w:p>
        </w:tc>
        <w:tc>
          <w:tcPr>
            <w:tcW w:w="626" w:type="pct"/>
          </w:tcPr>
          <w:p w14:paraId="3315CC9B" w14:textId="77777777" w:rsidR="00EA4E52" w:rsidRPr="00FF6F6B" w:rsidRDefault="00EA4E52" w:rsidP="000C5D90">
            <w:pPr>
              <w:jc w:val="center"/>
              <w:rPr>
                <w:rFonts w:ascii="Times New Roman" w:eastAsia="Times New Roman" w:hAnsi="Times New Roman" w:cs="Times New Roman"/>
                <w:b/>
                <w:sz w:val="20"/>
                <w:szCs w:val="20"/>
              </w:rPr>
            </w:pPr>
            <w:r w:rsidRPr="00FF6F6B">
              <w:rPr>
                <w:rFonts w:ascii="Times New Roman" w:eastAsia="Times New Roman" w:hAnsi="Times New Roman" w:cs="Times New Roman"/>
                <w:b/>
                <w:sz w:val="20"/>
                <w:szCs w:val="20"/>
              </w:rPr>
              <w:t>%</w:t>
            </w:r>
          </w:p>
        </w:tc>
        <w:tc>
          <w:tcPr>
            <w:tcW w:w="626" w:type="pct"/>
          </w:tcPr>
          <w:p w14:paraId="66572C19" w14:textId="77777777" w:rsidR="00EA4E52" w:rsidRPr="00FF6F6B" w:rsidRDefault="00EA4E52" w:rsidP="000C5D90">
            <w:pPr>
              <w:jc w:val="center"/>
              <w:rPr>
                <w:rFonts w:ascii="Times New Roman" w:eastAsia="Times New Roman" w:hAnsi="Times New Roman" w:cs="Times New Roman"/>
                <w:b/>
                <w:sz w:val="20"/>
                <w:szCs w:val="20"/>
              </w:rPr>
            </w:pPr>
            <w:r w:rsidRPr="00FF6F6B">
              <w:rPr>
                <w:rFonts w:ascii="Times New Roman" w:eastAsia="Times New Roman" w:hAnsi="Times New Roman" w:cs="Times New Roman"/>
                <w:b/>
                <w:sz w:val="20"/>
                <w:szCs w:val="20"/>
              </w:rPr>
              <w:t xml:space="preserve">Frequency </w:t>
            </w:r>
          </w:p>
        </w:tc>
        <w:tc>
          <w:tcPr>
            <w:tcW w:w="625" w:type="pct"/>
          </w:tcPr>
          <w:p w14:paraId="3943BA76" w14:textId="77777777" w:rsidR="00EA4E52" w:rsidRPr="00FF6F6B" w:rsidRDefault="00EA4E52" w:rsidP="000C5D90">
            <w:pPr>
              <w:jc w:val="center"/>
              <w:rPr>
                <w:rFonts w:ascii="Times New Roman" w:eastAsia="Times New Roman" w:hAnsi="Times New Roman" w:cs="Times New Roman"/>
                <w:b/>
                <w:sz w:val="20"/>
                <w:szCs w:val="20"/>
              </w:rPr>
            </w:pPr>
            <w:r w:rsidRPr="00FF6F6B">
              <w:rPr>
                <w:rFonts w:ascii="Times New Roman" w:eastAsia="Times New Roman" w:hAnsi="Times New Roman" w:cs="Times New Roman"/>
                <w:b/>
                <w:sz w:val="20"/>
                <w:szCs w:val="20"/>
              </w:rPr>
              <w:t>%</w:t>
            </w:r>
          </w:p>
        </w:tc>
      </w:tr>
      <w:tr w:rsidR="00FF6F6B" w:rsidRPr="00FF6F6B" w14:paraId="0FD8CB60" w14:textId="77777777" w:rsidTr="000C5D90">
        <w:trPr>
          <w:trHeight w:val="215"/>
        </w:trPr>
        <w:tc>
          <w:tcPr>
            <w:tcW w:w="918" w:type="pct"/>
            <w:vMerge w:val="restart"/>
          </w:tcPr>
          <w:p w14:paraId="38B7F165" w14:textId="77777777" w:rsidR="00E3346A" w:rsidRPr="00FF6F6B" w:rsidRDefault="00E3346A" w:rsidP="000C5D90">
            <w:pPr>
              <w:rPr>
                <w:rFonts w:ascii="Times New Roman" w:eastAsia="Times New Roman" w:hAnsi="Times New Roman" w:cs="Times New Roman"/>
                <w:b/>
                <w:bCs/>
                <w:sz w:val="20"/>
                <w:szCs w:val="20"/>
              </w:rPr>
            </w:pPr>
            <w:r w:rsidRPr="00FF6F6B">
              <w:rPr>
                <w:rFonts w:ascii="Times New Roman" w:eastAsia="Times New Roman" w:hAnsi="Times New Roman" w:cs="Times New Roman"/>
                <w:b/>
                <w:bCs/>
                <w:sz w:val="20"/>
                <w:szCs w:val="20"/>
              </w:rPr>
              <w:t xml:space="preserve">Age </w:t>
            </w:r>
          </w:p>
        </w:tc>
        <w:tc>
          <w:tcPr>
            <w:tcW w:w="1593" w:type="pct"/>
          </w:tcPr>
          <w:p w14:paraId="03B479F3" w14:textId="77777777" w:rsidR="00E3346A" w:rsidRPr="00FF6F6B" w:rsidRDefault="00E3346A" w:rsidP="000C5D90">
            <w:pPr>
              <w:rPr>
                <w:rFonts w:ascii="Times New Roman" w:eastAsia="Times New Roman" w:hAnsi="Times New Roman" w:cs="Times New Roman"/>
                <w:sz w:val="20"/>
                <w:szCs w:val="20"/>
              </w:rPr>
            </w:pPr>
            <w:r w:rsidRPr="00FF6F6B">
              <w:rPr>
                <w:rFonts w:ascii="Times New Roman" w:eastAsia="Times New Roman" w:hAnsi="Times New Roman" w:cs="Times New Roman"/>
                <w:sz w:val="20"/>
                <w:szCs w:val="20"/>
              </w:rPr>
              <w:t>Young (Up to 35)</w:t>
            </w:r>
          </w:p>
        </w:tc>
        <w:tc>
          <w:tcPr>
            <w:tcW w:w="612" w:type="pct"/>
            <w:vAlign w:val="center"/>
          </w:tcPr>
          <w:p w14:paraId="3DB712FA"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22</w:t>
            </w:r>
          </w:p>
        </w:tc>
        <w:tc>
          <w:tcPr>
            <w:tcW w:w="626" w:type="pct"/>
            <w:vAlign w:val="center"/>
          </w:tcPr>
          <w:p w14:paraId="335FE766" w14:textId="77777777" w:rsidR="00E3346A" w:rsidRPr="00FF6F6B" w:rsidRDefault="008D7ECE">
            <w:pPr>
              <w:jc w:val="center"/>
              <w:rPr>
                <w:rFonts w:ascii="Times New Roman" w:hAnsi="Times New Roman" w:cs="Times New Roman"/>
                <w:sz w:val="20"/>
                <w:szCs w:val="20"/>
              </w:rPr>
            </w:pPr>
            <w:r w:rsidRPr="00FF6F6B">
              <w:rPr>
                <w:rFonts w:ascii="Times New Roman" w:hAnsi="Times New Roman" w:cs="Times New Roman"/>
                <w:sz w:val="20"/>
                <w:szCs w:val="20"/>
              </w:rPr>
              <w:t>29.33</w:t>
            </w:r>
          </w:p>
        </w:tc>
        <w:tc>
          <w:tcPr>
            <w:tcW w:w="626" w:type="pct"/>
            <w:vAlign w:val="center"/>
          </w:tcPr>
          <w:p w14:paraId="013D0116"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27</w:t>
            </w:r>
          </w:p>
        </w:tc>
        <w:tc>
          <w:tcPr>
            <w:tcW w:w="625" w:type="pct"/>
            <w:vAlign w:val="center"/>
          </w:tcPr>
          <w:p w14:paraId="1C5F51FB"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36</w:t>
            </w:r>
            <w:r w:rsidR="008D7ECE" w:rsidRPr="00FF6F6B">
              <w:rPr>
                <w:rFonts w:ascii="Times New Roman" w:hAnsi="Times New Roman" w:cs="Times New Roman"/>
                <w:sz w:val="20"/>
                <w:szCs w:val="20"/>
              </w:rPr>
              <w:t>.00</w:t>
            </w:r>
          </w:p>
        </w:tc>
      </w:tr>
      <w:tr w:rsidR="00FF6F6B" w:rsidRPr="00FF6F6B" w14:paraId="28D73036" w14:textId="77777777" w:rsidTr="000C5D90">
        <w:trPr>
          <w:trHeight w:val="260"/>
        </w:trPr>
        <w:tc>
          <w:tcPr>
            <w:tcW w:w="918" w:type="pct"/>
            <w:vMerge/>
          </w:tcPr>
          <w:p w14:paraId="0AFEE1E8" w14:textId="77777777" w:rsidR="00E3346A" w:rsidRPr="00FF6F6B" w:rsidRDefault="00E3346A" w:rsidP="000C5D90">
            <w:pPr>
              <w:rPr>
                <w:rFonts w:ascii="Times New Roman" w:eastAsia="Times New Roman" w:hAnsi="Times New Roman" w:cs="Times New Roman"/>
                <w:b/>
                <w:bCs/>
                <w:sz w:val="20"/>
                <w:szCs w:val="20"/>
              </w:rPr>
            </w:pPr>
          </w:p>
        </w:tc>
        <w:tc>
          <w:tcPr>
            <w:tcW w:w="1593" w:type="pct"/>
          </w:tcPr>
          <w:p w14:paraId="6F2D29B4" w14:textId="77777777" w:rsidR="00E3346A" w:rsidRPr="00FF6F6B" w:rsidRDefault="00E3346A" w:rsidP="000C5D90">
            <w:pPr>
              <w:rPr>
                <w:rFonts w:ascii="Times New Roman" w:eastAsia="Times New Roman" w:hAnsi="Times New Roman" w:cs="Times New Roman"/>
                <w:sz w:val="20"/>
                <w:szCs w:val="20"/>
              </w:rPr>
            </w:pPr>
            <w:r w:rsidRPr="00FF6F6B">
              <w:rPr>
                <w:rFonts w:ascii="Times New Roman" w:eastAsia="Times New Roman" w:hAnsi="Times New Roman" w:cs="Times New Roman"/>
                <w:sz w:val="20"/>
                <w:szCs w:val="20"/>
              </w:rPr>
              <w:t>Medium (36 - 50)</w:t>
            </w:r>
          </w:p>
        </w:tc>
        <w:tc>
          <w:tcPr>
            <w:tcW w:w="612" w:type="pct"/>
            <w:vAlign w:val="center"/>
          </w:tcPr>
          <w:p w14:paraId="32A5CB3A"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46</w:t>
            </w:r>
          </w:p>
        </w:tc>
        <w:tc>
          <w:tcPr>
            <w:tcW w:w="626" w:type="pct"/>
            <w:vAlign w:val="center"/>
          </w:tcPr>
          <w:p w14:paraId="1D723070" w14:textId="77777777" w:rsidR="00E3346A" w:rsidRPr="00FF6F6B" w:rsidRDefault="00E3346A" w:rsidP="008D7ECE">
            <w:pPr>
              <w:jc w:val="center"/>
              <w:rPr>
                <w:rFonts w:ascii="Times New Roman" w:hAnsi="Times New Roman" w:cs="Times New Roman"/>
                <w:sz w:val="20"/>
                <w:szCs w:val="20"/>
              </w:rPr>
            </w:pPr>
            <w:r w:rsidRPr="00FF6F6B">
              <w:rPr>
                <w:rFonts w:ascii="Times New Roman" w:hAnsi="Times New Roman" w:cs="Times New Roman"/>
                <w:sz w:val="20"/>
                <w:szCs w:val="20"/>
              </w:rPr>
              <w:t>61.33</w:t>
            </w:r>
          </w:p>
        </w:tc>
        <w:tc>
          <w:tcPr>
            <w:tcW w:w="626" w:type="pct"/>
            <w:vAlign w:val="center"/>
          </w:tcPr>
          <w:p w14:paraId="40B8ED4A"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36</w:t>
            </w:r>
          </w:p>
        </w:tc>
        <w:tc>
          <w:tcPr>
            <w:tcW w:w="625" w:type="pct"/>
            <w:vAlign w:val="center"/>
          </w:tcPr>
          <w:p w14:paraId="1173F6FE"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48</w:t>
            </w:r>
            <w:r w:rsidR="008D7ECE" w:rsidRPr="00FF6F6B">
              <w:rPr>
                <w:rFonts w:ascii="Times New Roman" w:hAnsi="Times New Roman" w:cs="Times New Roman"/>
                <w:sz w:val="20"/>
                <w:szCs w:val="20"/>
              </w:rPr>
              <w:t>.00</w:t>
            </w:r>
          </w:p>
        </w:tc>
      </w:tr>
      <w:tr w:rsidR="00FF6F6B" w:rsidRPr="00FF6F6B" w14:paraId="514408B0" w14:textId="77777777" w:rsidTr="000C5D90">
        <w:trPr>
          <w:trHeight w:val="260"/>
        </w:trPr>
        <w:tc>
          <w:tcPr>
            <w:tcW w:w="918" w:type="pct"/>
            <w:vMerge/>
          </w:tcPr>
          <w:p w14:paraId="62615B76" w14:textId="77777777" w:rsidR="00E3346A" w:rsidRPr="00FF6F6B" w:rsidRDefault="00E3346A" w:rsidP="000C5D90">
            <w:pPr>
              <w:rPr>
                <w:rFonts w:ascii="Times New Roman" w:eastAsia="Times New Roman" w:hAnsi="Times New Roman" w:cs="Times New Roman"/>
                <w:b/>
                <w:bCs/>
                <w:sz w:val="20"/>
                <w:szCs w:val="20"/>
              </w:rPr>
            </w:pPr>
          </w:p>
        </w:tc>
        <w:tc>
          <w:tcPr>
            <w:tcW w:w="1593" w:type="pct"/>
          </w:tcPr>
          <w:p w14:paraId="4BFEA185" w14:textId="77777777" w:rsidR="00E3346A" w:rsidRPr="00FF6F6B" w:rsidRDefault="00E3346A" w:rsidP="000C5D90">
            <w:pPr>
              <w:rPr>
                <w:rFonts w:ascii="Times New Roman" w:eastAsia="Times New Roman" w:hAnsi="Times New Roman" w:cs="Times New Roman"/>
                <w:sz w:val="20"/>
                <w:szCs w:val="20"/>
              </w:rPr>
            </w:pPr>
            <w:r w:rsidRPr="00FF6F6B">
              <w:rPr>
                <w:rFonts w:ascii="Times New Roman" w:eastAsia="Times New Roman" w:hAnsi="Times New Roman" w:cs="Times New Roman"/>
                <w:sz w:val="20"/>
                <w:szCs w:val="20"/>
              </w:rPr>
              <w:t>Old (Above 50)</w:t>
            </w:r>
          </w:p>
        </w:tc>
        <w:tc>
          <w:tcPr>
            <w:tcW w:w="612" w:type="pct"/>
            <w:vAlign w:val="center"/>
          </w:tcPr>
          <w:p w14:paraId="02875B7D"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7</w:t>
            </w:r>
          </w:p>
        </w:tc>
        <w:tc>
          <w:tcPr>
            <w:tcW w:w="626" w:type="pct"/>
            <w:vAlign w:val="center"/>
          </w:tcPr>
          <w:p w14:paraId="1DCD7AAB" w14:textId="77777777" w:rsidR="00E3346A" w:rsidRPr="00FF6F6B" w:rsidRDefault="00E3346A" w:rsidP="008D7ECE">
            <w:pPr>
              <w:jc w:val="center"/>
              <w:rPr>
                <w:rFonts w:ascii="Times New Roman" w:hAnsi="Times New Roman" w:cs="Times New Roman"/>
                <w:sz w:val="20"/>
                <w:szCs w:val="20"/>
              </w:rPr>
            </w:pPr>
            <w:r w:rsidRPr="00FF6F6B">
              <w:rPr>
                <w:rFonts w:ascii="Times New Roman" w:hAnsi="Times New Roman" w:cs="Times New Roman"/>
                <w:sz w:val="20"/>
                <w:szCs w:val="20"/>
              </w:rPr>
              <w:t>9.33</w:t>
            </w:r>
          </w:p>
        </w:tc>
        <w:tc>
          <w:tcPr>
            <w:tcW w:w="626" w:type="pct"/>
            <w:vAlign w:val="center"/>
          </w:tcPr>
          <w:p w14:paraId="6EE7A4B3"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12</w:t>
            </w:r>
          </w:p>
        </w:tc>
        <w:tc>
          <w:tcPr>
            <w:tcW w:w="625" w:type="pct"/>
            <w:vAlign w:val="center"/>
          </w:tcPr>
          <w:p w14:paraId="47A648CF"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16</w:t>
            </w:r>
            <w:r w:rsidR="008D7ECE" w:rsidRPr="00FF6F6B">
              <w:rPr>
                <w:rFonts w:ascii="Times New Roman" w:hAnsi="Times New Roman" w:cs="Times New Roman"/>
                <w:sz w:val="20"/>
                <w:szCs w:val="20"/>
              </w:rPr>
              <w:t>.00</w:t>
            </w:r>
          </w:p>
        </w:tc>
      </w:tr>
      <w:tr w:rsidR="00FF6F6B" w:rsidRPr="00FF6F6B" w14:paraId="1509B38A" w14:textId="77777777" w:rsidTr="000C5D90">
        <w:trPr>
          <w:trHeight w:val="260"/>
        </w:trPr>
        <w:tc>
          <w:tcPr>
            <w:tcW w:w="918" w:type="pct"/>
            <w:vMerge w:val="restart"/>
          </w:tcPr>
          <w:p w14:paraId="3A0E1976" w14:textId="77777777" w:rsidR="00E3346A" w:rsidRPr="00FF6F6B" w:rsidRDefault="00E3346A" w:rsidP="000C5D90">
            <w:pPr>
              <w:rPr>
                <w:rFonts w:ascii="Times New Roman" w:eastAsia="Times New Roman" w:hAnsi="Times New Roman" w:cs="Times New Roman"/>
                <w:b/>
                <w:bCs/>
                <w:sz w:val="20"/>
                <w:szCs w:val="20"/>
              </w:rPr>
            </w:pPr>
            <w:r w:rsidRPr="00FF6F6B">
              <w:rPr>
                <w:rFonts w:ascii="Times New Roman" w:eastAsia="Times New Roman" w:hAnsi="Times New Roman" w:cs="Times New Roman"/>
                <w:b/>
                <w:bCs/>
                <w:sz w:val="20"/>
                <w:szCs w:val="20"/>
              </w:rPr>
              <w:t>Gender</w:t>
            </w:r>
          </w:p>
        </w:tc>
        <w:tc>
          <w:tcPr>
            <w:tcW w:w="1593" w:type="pct"/>
          </w:tcPr>
          <w:p w14:paraId="49F38F52" w14:textId="77777777" w:rsidR="00E3346A" w:rsidRPr="00FF6F6B" w:rsidRDefault="00E3346A" w:rsidP="000C5D90">
            <w:pPr>
              <w:rPr>
                <w:rFonts w:ascii="Times New Roman" w:eastAsia="Times New Roman" w:hAnsi="Times New Roman" w:cs="Times New Roman"/>
                <w:sz w:val="20"/>
                <w:szCs w:val="20"/>
              </w:rPr>
            </w:pPr>
            <w:r w:rsidRPr="00FF6F6B">
              <w:rPr>
                <w:rFonts w:ascii="Times New Roman" w:eastAsia="Times New Roman" w:hAnsi="Times New Roman" w:cs="Times New Roman"/>
                <w:sz w:val="20"/>
                <w:szCs w:val="20"/>
              </w:rPr>
              <w:t>Male</w:t>
            </w:r>
          </w:p>
        </w:tc>
        <w:tc>
          <w:tcPr>
            <w:tcW w:w="612" w:type="pct"/>
            <w:vAlign w:val="center"/>
          </w:tcPr>
          <w:p w14:paraId="1FCE1342"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32</w:t>
            </w:r>
          </w:p>
        </w:tc>
        <w:tc>
          <w:tcPr>
            <w:tcW w:w="626" w:type="pct"/>
            <w:vAlign w:val="center"/>
          </w:tcPr>
          <w:p w14:paraId="3FC595FB" w14:textId="77777777" w:rsidR="00E3346A" w:rsidRPr="00FF6F6B" w:rsidRDefault="00E3346A" w:rsidP="008D7ECE">
            <w:pPr>
              <w:jc w:val="center"/>
              <w:rPr>
                <w:rFonts w:ascii="Times New Roman" w:hAnsi="Times New Roman" w:cs="Times New Roman"/>
                <w:sz w:val="20"/>
                <w:szCs w:val="20"/>
              </w:rPr>
            </w:pPr>
            <w:r w:rsidRPr="00FF6F6B">
              <w:rPr>
                <w:rFonts w:ascii="Times New Roman" w:hAnsi="Times New Roman" w:cs="Times New Roman"/>
                <w:sz w:val="20"/>
                <w:szCs w:val="20"/>
              </w:rPr>
              <w:t>42.6</w:t>
            </w:r>
            <w:r w:rsidR="008D7ECE" w:rsidRPr="00FF6F6B">
              <w:rPr>
                <w:rFonts w:ascii="Times New Roman" w:hAnsi="Times New Roman" w:cs="Times New Roman"/>
                <w:sz w:val="20"/>
                <w:szCs w:val="20"/>
              </w:rPr>
              <w:t>7</w:t>
            </w:r>
          </w:p>
        </w:tc>
        <w:tc>
          <w:tcPr>
            <w:tcW w:w="626" w:type="pct"/>
            <w:vAlign w:val="center"/>
          </w:tcPr>
          <w:p w14:paraId="1A179135"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36</w:t>
            </w:r>
          </w:p>
        </w:tc>
        <w:tc>
          <w:tcPr>
            <w:tcW w:w="625" w:type="pct"/>
            <w:vAlign w:val="center"/>
          </w:tcPr>
          <w:p w14:paraId="152A5BA0"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48</w:t>
            </w:r>
            <w:r w:rsidR="008D7ECE" w:rsidRPr="00FF6F6B">
              <w:rPr>
                <w:rFonts w:ascii="Times New Roman" w:hAnsi="Times New Roman" w:cs="Times New Roman"/>
                <w:sz w:val="20"/>
                <w:szCs w:val="20"/>
              </w:rPr>
              <w:t>.00</w:t>
            </w:r>
          </w:p>
        </w:tc>
      </w:tr>
      <w:tr w:rsidR="00FF6F6B" w:rsidRPr="00FF6F6B" w14:paraId="6E14441F" w14:textId="77777777" w:rsidTr="000C5D90">
        <w:trPr>
          <w:trHeight w:val="260"/>
        </w:trPr>
        <w:tc>
          <w:tcPr>
            <w:tcW w:w="918" w:type="pct"/>
            <w:vMerge/>
          </w:tcPr>
          <w:p w14:paraId="30396144" w14:textId="77777777" w:rsidR="00E3346A" w:rsidRPr="00FF6F6B" w:rsidRDefault="00E3346A" w:rsidP="000C5D90">
            <w:pPr>
              <w:rPr>
                <w:rFonts w:ascii="Times New Roman" w:eastAsia="Times New Roman" w:hAnsi="Times New Roman" w:cs="Times New Roman"/>
                <w:b/>
                <w:bCs/>
                <w:sz w:val="20"/>
                <w:szCs w:val="20"/>
              </w:rPr>
            </w:pPr>
          </w:p>
        </w:tc>
        <w:tc>
          <w:tcPr>
            <w:tcW w:w="1593" w:type="pct"/>
          </w:tcPr>
          <w:p w14:paraId="24554705" w14:textId="77777777" w:rsidR="00E3346A" w:rsidRPr="00FF6F6B" w:rsidRDefault="00E3346A" w:rsidP="000C5D90">
            <w:pPr>
              <w:rPr>
                <w:rFonts w:ascii="Times New Roman" w:eastAsia="Times New Roman" w:hAnsi="Times New Roman" w:cs="Times New Roman"/>
                <w:sz w:val="20"/>
                <w:szCs w:val="20"/>
              </w:rPr>
            </w:pPr>
            <w:r w:rsidRPr="00FF6F6B">
              <w:rPr>
                <w:rFonts w:ascii="Times New Roman" w:eastAsia="Times New Roman" w:hAnsi="Times New Roman" w:cs="Times New Roman"/>
                <w:sz w:val="20"/>
                <w:szCs w:val="20"/>
              </w:rPr>
              <w:t>Female</w:t>
            </w:r>
          </w:p>
        </w:tc>
        <w:tc>
          <w:tcPr>
            <w:tcW w:w="612" w:type="pct"/>
            <w:vAlign w:val="center"/>
          </w:tcPr>
          <w:p w14:paraId="76925212"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43</w:t>
            </w:r>
          </w:p>
        </w:tc>
        <w:tc>
          <w:tcPr>
            <w:tcW w:w="626" w:type="pct"/>
            <w:vAlign w:val="center"/>
          </w:tcPr>
          <w:p w14:paraId="666372C6" w14:textId="77777777" w:rsidR="00E3346A" w:rsidRPr="00FF6F6B" w:rsidRDefault="00E3346A" w:rsidP="008D7ECE">
            <w:pPr>
              <w:jc w:val="center"/>
              <w:rPr>
                <w:rFonts w:ascii="Times New Roman" w:hAnsi="Times New Roman" w:cs="Times New Roman"/>
                <w:sz w:val="20"/>
                <w:szCs w:val="20"/>
              </w:rPr>
            </w:pPr>
            <w:r w:rsidRPr="00FF6F6B">
              <w:rPr>
                <w:rFonts w:ascii="Times New Roman" w:hAnsi="Times New Roman" w:cs="Times New Roman"/>
                <w:sz w:val="20"/>
                <w:szCs w:val="20"/>
              </w:rPr>
              <w:t>57.33</w:t>
            </w:r>
          </w:p>
        </w:tc>
        <w:tc>
          <w:tcPr>
            <w:tcW w:w="626" w:type="pct"/>
            <w:vAlign w:val="center"/>
          </w:tcPr>
          <w:p w14:paraId="1037080C"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39</w:t>
            </w:r>
          </w:p>
        </w:tc>
        <w:tc>
          <w:tcPr>
            <w:tcW w:w="625" w:type="pct"/>
            <w:vAlign w:val="center"/>
          </w:tcPr>
          <w:p w14:paraId="2A3C8057"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52</w:t>
            </w:r>
            <w:r w:rsidR="008D7ECE" w:rsidRPr="00FF6F6B">
              <w:rPr>
                <w:rFonts w:ascii="Times New Roman" w:hAnsi="Times New Roman" w:cs="Times New Roman"/>
                <w:sz w:val="20"/>
                <w:szCs w:val="20"/>
              </w:rPr>
              <w:t>.00</w:t>
            </w:r>
          </w:p>
        </w:tc>
      </w:tr>
      <w:tr w:rsidR="00FF6F6B" w:rsidRPr="00FF6F6B" w14:paraId="17B429E7" w14:textId="77777777" w:rsidTr="000C5D90">
        <w:trPr>
          <w:trHeight w:val="260"/>
        </w:trPr>
        <w:tc>
          <w:tcPr>
            <w:tcW w:w="918" w:type="pct"/>
            <w:vMerge w:val="restart"/>
          </w:tcPr>
          <w:p w14:paraId="1A865426" w14:textId="77777777" w:rsidR="00E3346A" w:rsidRPr="00FF6F6B" w:rsidRDefault="00E3346A" w:rsidP="000C5D90">
            <w:pPr>
              <w:rPr>
                <w:rFonts w:ascii="Times New Roman" w:eastAsia="Times New Roman" w:hAnsi="Times New Roman" w:cs="Times New Roman"/>
                <w:b/>
                <w:bCs/>
                <w:sz w:val="20"/>
                <w:szCs w:val="20"/>
              </w:rPr>
            </w:pPr>
            <w:r w:rsidRPr="00FF6F6B">
              <w:rPr>
                <w:rFonts w:ascii="Times New Roman" w:eastAsia="Times New Roman" w:hAnsi="Times New Roman" w:cs="Times New Roman"/>
                <w:b/>
                <w:bCs/>
                <w:sz w:val="20"/>
                <w:szCs w:val="20"/>
              </w:rPr>
              <w:t>Family Size</w:t>
            </w:r>
          </w:p>
        </w:tc>
        <w:tc>
          <w:tcPr>
            <w:tcW w:w="1593" w:type="pct"/>
          </w:tcPr>
          <w:p w14:paraId="2E56E516" w14:textId="77777777" w:rsidR="00E3346A" w:rsidRPr="00FF6F6B" w:rsidRDefault="00E3346A" w:rsidP="000C5D90">
            <w:pPr>
              <w:rPr>
                <w:rFonts w:ascii="Times New Roman" w:eastAsia="Times New Roman" w:hAnsi="Times New Roman" w:cs="Times New Roman"/>
                <w:sz w:val="20"/>
                <w:szCs w:val="20"/>
              </w:rPr>
            </w:pPr>
            <w:r w:rsidRPr="00FF6F6B">
              <w:rPr>
                <w:rFonts w:ascii="Times New Roman" w:eastAsia="Times New Roman" w:hAnsi="Times New Roman" w:cs="Times New Roman"/>
                <w:sz w:val="20"/>
                <w:szCs w:val="20"/>
              </w:rPr>
              <w:t>Nuclear family (1-4 persons)</w:t>
            </w:r>
          </w:p>
        </w:tc>
        <w:tc>
          <w:tcPr>
            <w:tcW w:w="612" w:type="pct"/>
            <w:vAlign w:val="center"/>
          </w:tcPr>
          <w:p w14:paraId="569F4812"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41</w:t>
            </w:r>
          </w:p>
        </w:tc>
        <w:tc>
          <w:tcPr>
            <w:tcW w:w="626" w:type="pct"/>
            <w:vAlign w:val="center"/>
          </w:tcPr>
          <w:p w14:paraId="379CB487" w14:textId="77777777" w:rsidR="00E3346A" w:rsidRPr="00FF6F6B" w:rsidRDefault="00E3346A" w:rsidP="008D7ECE">
            <w:pPr>
              <w:jc w:val="center"/>
              <w:rPr>
                <w:rFonts w:ascii="Times New Roman" w:hAnsi="Times New Roman" w:cs="Times New Roman"/>
                <w:sz w:val="20"/>
                <w:szCs w:val="20"/>
              </w:rPr>
            </w:pPr>
            <w:r w:rsidRPr="00FF6F6B">
              <w:rPr>
                <w:rFonts w:ascii="Times New Roman" w:hAnsi="Times New Roman" w:cs="Times New Roman"/>
                <w:sz w:val="20"/>
                <w:szCs w:val="20"/>
              </w:rPr>
              <w:t>54.6</w:t>
            </w:r>
            <w:r w:rsidR="008D7ECE" w:rsidRPr="00FF6F6B">
              <w:rPr>
                <w:rFonts w:ascii="Times New Roman" w:hAnsi="Times New Roman" w:cs="Times New Roman"/>
                <w:sz w:val="20"/>
                <w:szCs w:val="20"/>
              </w:rPr>
              <w:t>7</w:t>
            </w:r>
          </w:p>
        </w:tc>
        <w:tc>
          <w:tcPr>
            <w:tcW w:w="626" w:type="pct"/>
            <w:vAlign w:val="center"/>
          </w:tcPr>
          <w:p w14:paraId="11C67EA8"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37</w:t>
            </w:r>
          </w:p>
        </w:tc>
        <w:tc>
          <w:tcPr>
            <w:tcW w:w="625" w:type="pct"/>
            <w:vAlign w:val="center"/>
          </w:tcPr>
          <w:p w14:paraId="06F59DD2" w14:textId="77777777" w:rsidR="00E3346A" w:rsidRPr="00FF6F6B" w:rsidRDefault="00E3346A" w:rsidP="008D7ECE">
            <w:pPr>
              <w:jc w:val="center"/>
              <w:rPr>
                <w:rFonts w:ascii="Times New Roman" w:hAnsi="Times New Roman" w:cs="Times New Roman"/>
                <w:sz w:val="20"/>
                <w:szCs w:val="20"/>
              </w:rPr>
            </w:pPr>
            <w:r w:rsidRPr="00FF6F6B">
              <w:rPr>
                <w:rFonts w:ascii="Times New Roman" w:hAnsi="Times New Roman" w:cs="Times New Roman"/>
                <w:sz w:val="20"/>
                <w:szCs w:val="20"/>
              </w:rPr>
              <w:t>49.33</w:t>
            </w:r>
          </w:p>
        </w:tc>
      </w:tr>
      <w:tr w:rsidR="00FF6F6B" w:rsidRPr="00FF6F6B" w14:paraId="2A200BA3" w14:textId="77777777" w:rsidTr="000C5D90">
        <w:trPr>
          <w:trHeight w:val="260"/>
        </w:trPr>
        <w:tc>
          <w:tcPr>
            <w:tcW w:w="918" w:type="pct"/>
            <w:vMerge/>
          </w:tcPr>
          <w:p w14:paraId="75B847A0" w14:textId="77777777" w:rsidR="00E3346A" w:rsidRPr="00FF6F6B" w:rsidRDefault="00E3346A" w:rsidP="000C5D90">
            <w:pPr>
              <w:rPr>
                <w:rFonts w:ascii="Times New Roman" w:eastAsia="Times New Roman" w:hAnsi="Times New Roman" w:cs="Times New Roman"/>
                <w:b/>
                <w:bCs/>
                <w:sz w:val="20"/>
                <w:szCs w:val="20"/>
              </w:rPr>
            </w:pPr>
          </w:p>
        </w:tc>
        <w:tc>
          <w:tcPr>
            <w:tcW w:w="1593" w:type="pct"/>
          </w:tcPr>
          <w:p w14:paraId="39A0B49E" w14:textId="77777777" w:rsidR="00E3346A" w:rsidRPr="00FF6F6B" w:rsidRDefault="00E3346A" w:rsidP="00013A25">
            <w:pPr>
              <w:rPr>
                <w:rFonts w:ascii="Times New Roman" w:eastAsia="Times New Roman" w:hAnsi="Times New Roman" w:cs="Times New Roman"/>
                <w:sz w:val="20"/>
                <w:szCs w:val="20"/>
              </w:rPr>
            </w:pPr>
            <w:r w:rsidRPr="00FF6F6B">
              <w:rPr>
                <w:rFonts w:ascii="Times New Roman" w:eastAsia="Times New Roman" w:hAnsi="Times New Roman" w:cs="Times New Roman"/>
                <w:sz w:val="20"/>
                <w:szCs w:val="20"/>
              </w:rPr>
              <w:t>Joint family (&gt; 4 persons)</w:t>
            </w:r>
          </w:p>
        </w:tc>
        <w:tc>
          <w:tcPr>
            <w:tcW w:w="612" w:type="pct"/>
            <w:vAlign w:val="center"/>
          </w:tcPr>
          <w:p w14:paraId="653DF606"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34</w:t>
            </w:r>
          </w:p>
        </w:tc>
        <w:tc>
          <w:tcPr>
            <w:tcW w:w="626" w:type="pct"/>
            <w:vAlign w:val="center"/>
          </w:tcPr>
          <w:p w14:paraId="15144236" w14:textId="77777777" w:rsidR="00E3346A" w:rsidRPr="00FF6F6B" w:rsidRDefault="00E3346A" w:rsidP="008D7ECE">
            <w:pPr>
              <w:jc w:val="center"/>
              <w:rPr>
                <w:rFonts w:ascii="Times New Roman" w:hAnsi="Times New Roman" w:cs="Times New Roman"/>
                <w:sz w:val="20"/>
                <w:szCs w:val="20"/>
              </w:rPr>
            </w:pPr>
            <w:r w:rsidRPr="00FF6F6B">
              <w:rPr>
                <w:rFonts w:ascii="Times New Roman" w:hAnsi="Times New Roman" w:cs="Times New Roman"/>
                <w:sz w:val="20"/>
                <w:szCs w:val="20"/>
              </w:rPr>
              <w:t>45.33</w:t>
            </w:r>
          </w:p>
        </w:tc>
        <w:tc>
          <w:tcPr>
            <w:tcW w:w="626" w:type="pct"/>
            <w:vAlign w:val="center"/>
          </w:tcPr>
          <w:p w14:paraId="453CD906"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38</w:t>
            </w:r>
          </w:p>
        </w:tc>
        <w:tc>
          <w:tcPr>
            <w:tcW w:w="625" w:type="pct"/>
            <w:vAlign w:val="center"/>
          </w:tcPr>
          <w:p w14:paraId="4A5E98FD" w14:textId="77777777" w:rsidR="00E3346A" w:rsidRPr="00FF6F6B" w:rsidRDefault="00E3346A" w:rsidP="008D7ECE">
            <w:pPr>
              <w:jc w:val="center"/>
              <w:rPr>
                <w:rFonts w:ascii="Times New Roman" w:hAnsi="Times New Roman" w:cs="Times New Roman"/>
                <w:sz w:val="20"/>
                <w:szCs w:val="20"/>
              </w:rPr>
            </w:pPr>
            <w:r w:rsidRPr="00FF6F6B">
              <w:rPr>
                <w:rFonts w:ascii="Times New Roman" w:hAnsi="Times New Roman" w:cs="Times New Roman"/>
                <w:sz w:val="20"/>
                <w:szCs w:val="20"/>
              </w:rPr>
              <w:t>50.6</w:t>
            </w:r>
            <w:r w:rsidR="008D7ECE" w:rsidRPr="00FF6F6B">
              <w:rPr>
                <w:rFonts w:ascii="Times New Roman" w:hAnsi="Times New Roman" w:cs="Times New Roman"/>
                <w:sz w:val="20"/>
                <w:szCs w:val="20"/>
              </w:rPr>
              <w:t>7</w:t>
            </w:r>
          </w:p>
        </w:tc>
      </w:tr>
      <w:tr w:rsidR="00FF6F6B" w:rsidRPr="00FF6F6B" w14:paraId="763B47DA" w14:textId="77777777" w:rsidTr="000C5D90">
        <w:trPr>
          <w:trHeight w:val="260"/>
        </w:trPr>
        <w:tc>
          <w:tcPr>
            <w:tcW w:w="918" w:type="pct"/>
            <w:vMerge w:val="restart"/>
          </w:tcPr>
          <w:p w14:paraId="2A6B2B02" w14:textId="77777777" w:rsidR="00E3346A" w:rsidRPr="00FF6F6B" w:rsidRDefault="00E3346A" w:rsidP="000C5D90">
            <w:pPr>
              <w:rPr>
                <w:rFonts w:ascii="Times New Roman" w:eastAsia="Times New Roman" w:hAnsi="Times New Roman" w:cs="Times New Roman"/>
                <w:b/>
                <w:bCs/>
                <w:sz w:val="20"/>
                <w:szCs w:val="20"/>
              </w:rPr>
            </w:pPr>
            <w:r w:rsidRPr="00FF6F6B">
              <w:rPr>
                <w:rFonts w:ascii="Times New Roman" w:eastAsia="Times New Roman" w:hAnsi="Times New Roman" w:cs="Times New Roman"/>
                <w:b/>
                <w:bCs/>
                <w:sz w:val="20"/>
                <w:szCs w:val="20"/>
              </w:rPr>
              <w:t>Educational Qualification</w:t>
            </w:r>
          </w:p>
        </w:tc>
        <w:tc>
          <w:tcPr>
            <w:tcW w:w="1593" w:type="pct"/>
          </w:tcPr>
          <w:p w14:paraId="6C5DA771" w14:textId="77777777" w:rsidR="00E3346A" w:rsidRPr="00FF6F6B" w:rsidRDefault="00E3346A" w:rsidP="000C5D90">
            <w:pPr>
              <w:rPr>
                <w:rFonts w:ascii="Times New Roman" w:eastAsia="Times New Roman" w:hAnsi="Times New Roman" w:cs="Times New Roman"/>
                <w:sz w:val="20"/>
                <w:szCs w:val="20"/>
              </w:rPr>
            </w:pPr>
            <w:r w:rsidRPr="00FF6F6B">
              <w:rPr>
                <w:rFonts w:ascii="Times New Roman" w:eastAsia="Times New Roman" w:hAnsi="Times New Roman" w:cs="Times New Roman"/>
                <w:sz w:val="20"/>
                <w:szCs w:val="20"/>
              </w:rPr>
              <w:t>Primary</w:t>
            </w:r>
          </w:p>
        </w:tc>
        <w:tc>
          <w:tcPr>
            <w:tcW w:w="612" w:type="pct"/>
            <w:vAlign w:val="center"/>
          </w:tcPr>
          <w:p w14:paraId="5FED9156"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12</w:t>
            </w:r>
          </w:p>
        </w:tc>
        <w:tc>
          <w:tcPr>
            <w:tcW w:w="626" w:type="pct"/>
            <w:vAlign w:val="center"/>
          </w:tcPr>
          <w:p w14:paraId="37ED70AD"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16</w:t>
            </w:r>
            <w:r w:rsidR="008D7ECE" w:rsidRPr="00FF6F6B">
              <w:rPr>
                <w:rFonts w:ascii="Times New Roman" w:hAnsi="Times New Roman" w:cs="Times New Roman"/>
                <w:sz w:val="20"/>
                <w:szCs w:val="20"/>
              </w:rPr>
              <w:t>.00</w:t>
            </w:r>
          </w:p>
        </w:tc>
        <w:tc>
          <w:tcPr>
            <w:tcW w:w="626" w:type="pct"/>
            <w:vAlign w:val="center"/>
          </w:tcPr>
          <w:p w14:paraId="2B086DEC"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27</w:t>
            </w:r>
          </w:p>
        </w:tc>
        <w:tc>
          <w:tcPr>
            <w:tcW w:w="625" w:type="pct"/>
            <w:vAlign w:val="center"/>
          </w:tcPr>
          <w:p w14:paraId="7D6DBEBD"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36</w:t>
            </w:r>
            <w:r w:rsidR="008D7ECE" w:rsidRPr="00FF6F6B">
              <w:rPr>
                <w:rFonts w:ascii="Times New Roman" w:hAnsi="Times New Roman" w:cs="Times New Roman"/>
                <w:sz w:val="20"/>
                <w:szCs w:val="20"/>
              </w:rPr>
              <w:t>.00</w:t>
            </w:r>
          </w:p>
        </w:tc>
      </w:tr>
      <w:tr w:rsidR="00FF6F6B" w:rsidRPr="00FF6F6B" w14:paraId="6A3A97E5" w14:textId="77777777" w:rsidTr="000C5D90">
        <w:trPr>
          <w:trHeight w:val="260"/>
        </w:trPr>
        <w:tc>
          <w:tcPr>
            <w:tcW w:w="918" w:type="pct"/>
            <w:vMerge/>
          </w:tcPr>
          <w:p w14:paraId="5B406550" w14:textId="77777777" w:rsidR="00E3346A" w:rsidRPr="00FF6F6B" w:rsidRDefault="00E3346A" w:rsidP="000C5D90">
            <w:pPr>
              <w:rPr>
                <w:rFonts w:ascii="Times New Roman" w:eastAsia="Times New Roman" w:hAnsi="Times New Roman" w:cs="Times New Roman"/>
                <w:b/>
                <w:bCs/>
                <w:sz w:val="20"/>
                <w:szCs w:val="20"/>
              </w:rPr>
            </w:pPr>
          </w:p>
        </w:tc>
        <w:tc>
          <w:tcPr>
            <w:tcW w:w="1593" w:type="pct"/>
          </w:tcPr>
          <w:p w14:paraId="507B9649" w14:textId="77777777" w:rsidR="00E3346A" w:rsidRPr="00FF6F6B" w:rsidRDefault="00E3346A" w:rsidP="000C5D90">
            <w:pPr>
              <w:rPr>
                <w:rFonts w:ascii="Times New Roman" w:eastAsia="Times New Roman" w:hAnsi="Times New Roman" w:cs="Times New Roman"/>
                <w:bCs/>
                <w:sz w:val="20"/>
                <w:szCs w:val="20"/>
              </w:rPr>
            </w:pPr>
            <w:r w:rsidRPr="00FF6F6B">
              <w:rPr>
                <w:rFonts w:ascii="Times New Roman" w:eastAsia="Times New Roman" w:hAnsi="Times New Roman" w:cs="Times New Roman"/>
                <w:sz w:val="20"/>
                <w:szCs w:val="20"/>
              </w:rPr>
              <w:t>Secondary</w:t>
            </w:r>
          </w:p>
        </w:tc>
        <w:tc>
          <w:tcPr>
            <w:tcW w:w="612" w:type="pct"/>
            <w:vAlign w:val="center"/>
          </w:tcPr>
          <w:p w14:paraId="304161C3"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19</w:t>
            </w:r>
          </w:p>
        </w:tc>
        <w:tc>
          <w:tcPr>
            <w:tcW w:w="626" w:type="pct"/>
            <w:vAlign w:val="center"/>
          </w:tcPr>
          <w:p w14:paraId="57503740" w14:textId="77777777" w:rsidR="00E3346A" w:rsidRPr="00FF6F6B" w:rsidRDefault="00E3346A" w:rsidP="008D7ECE">
            <w:pPr>
              <w:jc w:val="center"/>
              <w:rPr>
                <w:rFonts w:ascii="Times New Roman" w:hAnsi="Times New Roman" w:cs="Times New Roman"/>
                <w:sz w:val="20"/>
                <w:szCs w:val="20"/>
              </w:rPr>
            </w:pPr>
            <w:r w:rsidRPr="00FF6F6B">
              <w:rPr>
                <w:rFonts w:ascii="Times New Roman" w:hAnsi="Times New Roman" w:cs="Times New Roman"/>
                <w:sz w:val="20"/>
                <w:szCs w:val="20"/>
              </w:rPr>
              <w:t>25.33</w:t>
            </w:r>
          </w:p>
        </w:tc>
        <w:tc>
          <w:tcPr>
            <w:tcW w:w="626" w:type="pct"/>
            <w:vAlign w:val="center"/>
          </w:tcPr>
          <w:p w14:paraId="3B64820B"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26</w:t>
            </w:r>
          </w:p>
        </w:tc>
        <w:tc>
          <w:tcPr>
            <w:tcW w:w="625" w:type="pct"/>
            <w:vAlign w:val="center"/>
          </w:tcPr>
          <w:p w14:paraId="19DDBA23" w14:textId="77777777" w:rsidR="00E3346A" w:rsidRPr="00FF6F6B" w:rsidRDefault="00E3346A" w:rsidP="008D7ECE">
            <w:pPr>
              <w:jc w:val="center"/>
              <w:rPr>
                <w:rFonts w:ascii="Times New Roman" w:hAnsi="Times New Roman" w:cs="Times New Roman"/>
                <w:sz w:val="20"/>
                <w:szCs w:val="20"/>
              </w:rPr>
            </w:pPr>
            <w:r w:rsidRPr="00FF6F6B">
              <w:rPr>
                <w:rFonts w:ascii="Times New Roman" w:hAnsi="Times New Roman" w:cs="Times New Roman"/>
                <w:sz w:val="20"/>
                <w:szCs w:val="20"/>
              </w:rPr>
              <w:t>34.6</w:t>
            </w:r>
            <w:r w:rsidR="008D7ECE" w:rsidRPr="00FF6F6B">
              <w:rPr>
                <w:rFonts w:ascii="Times New Roman" w:hAnsi="Times New Roman" w:cs="Times New Roman"/>
                <w:sz w:val="20"/>
                <w:szCs w:val="20"/>
              </w:rPr>
              <w:t>7</w:t>
            </w:r>
          </w:p>
        </w:tc>
      </w:tr>
      <w:tr w:rsidR="00FF6F6B" w:rsidRPr="00FF6F6B" w14:paraId="2E25AB13" w14:textId="77777777" w:rsidTr="000C5D90">
        <w:trPr>
          <w:trHeight w:val="260"/>
        </w:trPr>
        <w:tc>
          <w:tcPr>
            <w:tcW w:w="918" w:type="pct"/>
            <w:vMerge/>
          </w:tcPr>
          <w:p w14:paraId="64E21B75" w14:textId="77777777" w:rsidR="00E3346A" w:rsidRPr="00FF6F6B" w:rsidRDefault="00E3346A" w:rsidP="000C5D90">
            <w:pPr>
              <w:rPr>
                <w:rFonts w:ascii="Times New Roman" w:eastAsia="Times New Roman" w:hAnsi="Times New Roman" w:cs="Times New Roman"/>
                <w:b/>
                <w:bCs/>
                <w:sz w:val="20"/>
                <w:szCs w:val="20"/>
              </w:rPr>
            </w:pPr>
          </w:p>
        </w:tc>
        <w:tc>
          <w:tcPr>
            <w:tcW w:w="1593" w:type="pct"/>
          </w:tcPr>
          <w:p w14:paraId="51444D97" w14:textId="77777777" w:rsidR="00E3346A" w:rsidRPr="00FF6F6B" w:rsidRDefault="00E3346A" w:rsidP="000C5D90">
            <w:pPr>
              <w:rPr>
                <w:rFonts w:ascii="Times New Roman" w:eastAsia="Times New Roman" w:hAnsi="Times New Roman" w:cs="Times New Roman"/>
                <w:bCs/>
                <w:sz w:val="20"/>
                <w:szCs w:val="20"/>
              </w:rPr>
            </w:pPr>
            <w:r w:rsidRPr="00FF6F6B">
              <w:rPr>
                <w:rFonts w:ascii="Times New Roman" w:eastAsia="Times New Roman" w:hAnsi="Times New Roman" w:cs="Times New Roman"/>
                <w:sz w:val="20"/>
                <w:szCs w:val="20"/>
              </w:rPr>
              <w:t>Higher Secondary</w:t>
            </w:r>
          </w:p>
        </w:tc>
        <w:tc>
          <w:tcPr>
            <w:tcW w:w="612" w:type="pct"/>
            <w:vAlign w:val="center"/>
          </w:tcPr>
          <w:p w14:paraId="44617DE3"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28</w:t>
            </w:r>
          </w:p>
        </w:tc>
        <w:tc>
          <w:tcPr>
            <w:tcW w:w="626" w:type="pct"/>
            <w:vAlign w:val="center"/>
          </w:tcPr>
          <w:p w14:paraId="6B2733BF" w14:textId="77777777" w:rsidR="00E3346A" w:rsidRPr="00FF6F6B" w:rsidRDefault="00E3346A" w:rsidP="008D7ECE">
            <w:pPr>
              <w:jc w:val="center"/>
              <w:rPr>
                <w:rFonts w:ascii="Times New Roman" w:hAnsi="Times New Roman" w:cs="Times New Roman"/>
                <w:sz w:val="20"/>
                <w:szCs w:val="20"/>
              </w:rPr>
            </w:pPr>
            <w:r w:rsidRPr="00FF6F6B">
              <w:rPr>
                <w:rFonts w:ascii="Times New Roman" w:hAnsi="Times New Roman" w:cs="Times New Roman"/>
                <w:sz w:val="20"/>
                <w:szCs w:val="20"/>
              </w:rPr>
              <w:t>37.33</w:t>
            </w:r>
          </w:p>
        </w:tc>
        <w:tc>
          <w:tcPr>
            <w:tcW w:w="626" w:type="pct"/>
            <w:vAlign w:val="center"/>
          </w:tcPr>
          <w:p w14:paraId="59F90EC3"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17</w:t>
            </w:r>
          </w:p>
        </w:tc>
        <w:tc>
          <w:tcPr>
            <w:tcW w:w="625" w:type="pct"/>
            <w:vAlign w:val="center"/>
          </w:tcPr>
          <w:p w14:paraId="42B829BA" w14:textId="77777777" w:rsidR="00E3346A" w:rsidRPr="00FF6F6B" w:rsidRDefault="00E3346A" w:rsidP="008D7ECE">
            <w:pPr>
              <w:jc w:val="center"/>
              <w:rPr>
                <w:rFonts w:ascii="Times New Roman" w:hAnsi="Times New Roman" w:cs="Times New Roman"/>
                <w:sz w:val="20"/>
                <w:szCs w:val="20"/>
              </w:rPr>
            </w:pPr>
            <w:r w:rsidRPr="00FF6F6B">
              <w:rPr>
                <w:rFonts w:ascii="Times New Roman" w:hAnsi="Times New Roman" w:cs="Times New Roman"/>
                <w:sz w:val="20"/>
                <w:szCs w:val="20"/>
              </w:rPr>
              <w:t>22.6</w:t>
            </w:r>
            <w:r w:rsidR="008D7ECE" w:rsidRPr="00FF6F6B">
              <w:rPr>
                <w:rFonts w:ascii="Times New Roman" w:hAnsi="Times New Roman" w:cs="Times New Roman"/>
                <w:sz w:val="20"/>
                <w:szCs w:val="20"/>
              </w:rPr>
              <w:t>7</w:t>
            </w:r>
          </w:p>
        </w:tc>
      </w:tr>
      <w:tr w:rsidR="00FF6F6B" w:rsidRPr="00FF6F6B" w14:paraId="5F0369C3" w14:textId="77777777" w:rsidTr="000C5D90">
        <w:trPr>
          <w:trHeight w:val="260"/>
        </w:trPr>
        <w:tc>
          <w:tcPr>
            <w:tcW w:w="918" w:type="pct"/>
            <w:vMerge/>
          </w:tcPr>
          <w:p w14:paraId="7620BDF5" w14:textId="77777777" w:rsidR="00E3346A" w:rsidRPr="00FF6F6B" w:rsidRDefault="00E3346A" w:rsidP="000C5D90">
            <w:pPr>
              <w:rPr>
                <w:rFonts w:ascii="Times New Roman" w:eastAsia="Times New Roman" w:hAnsi="Times New Roman" w:cs="Times New Roman"/>
                <w:b/>
                <w:bCs/>
                <w:sz w:val="20"/>
                <w:szCs w:val="20"/>
              </w:rPr>
            </w:pPr>
          </w:p>
        </w:tc>
        <w:tc>
          <w:tcPr>
            <w:tcW w:w="1593" w:type="pct"/>
          </w:tcPr>
          <w:p w14:paraId="612459D6" w14:textId="77777777" w:rsidR="00E3346A" w:rsidRPr="00FF6F6B" w:rsidRDefault="00E3346A" w:rsidP="000C5D90">
            <w:pPr>
              <w:rPr>
                <w:rFonts w:ascii="Times New Roman" w:eastAsia="Times New Roman" w:hAnsi="Times New Roman" w:cs="Times New Roman"/>
                <w:bCs/>
                <w:sz w:val="20"/>
                <w:szCs w:val="20"/>
              </w:rPr>
            </w:pPr>
            <w:r w:rsidRPr="00FF6F6B">
              <w:rPr>
                <w:rFonts w:ascii="Times New Roman" w:eastAsia="Times New Roman" w:hAnsi="Times New Roman" w:cs="Times New Roman"/>
                <w:sz w:val="20"/>
                <w:szCs w:val="20"/>
              </w:rPr>
              <w:t>Diploma</w:t>
            </w:r>
          </w:p>
        </w:tc>
        <w:tc>
          <w:tcPr>
            <w:tcW w:w="612" w:type="pct"/>
            <w:vAlign w:val="center"/>
          </w:tcPr>
          <w:p w14:paraId="4A974E11"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7</w:t>
            </w:r>
          </w:p>
        </w:tc>
        <w:tc>
          <w:tcPr>
            <w:tcW w:w="626" w:type="pct"/>
            <w:vAlign w:val="center"/>
          </w:tcPr>
          <w:p w14:paraId="299ACE86" w14:textId="77777777" w:rsidR="00E3346A" w:rsidRPr="00FF6F6B" w:rsidRDefault="00E3346A" w:rsidP="008D7ECE">
            <w:pPr>
              <w:jc w:val="center"/>
              <w:rPr>
                <w:rFonts w:ascii="Times New Roman" w:hAnsi="Times New Roman" w:cs="Times New Roman"/>
                <w:sz w:val="20"/>
                <w:szCs w:val="20"/>
              </w:rPr>
            </w:pPr>
            <w:r w:rsidRPr="00FF6F6B">
              <w:rPr>
                <w:rFonts w:ascii="Times New Roman" w:hAnsi="Times New Roman" w:cs="Times New Roman"/>
                <w:sz w:val="20"/>
                <w:szCs w:val="20"/>
              </w:rPr>
              <w:t>9.33</w:t>
            </w:r>
          </w:p>
        </w:tc>
        <w:tc>
          <w:tcPr>
            <w:tcW w:w="626" w:type="pct"/>
            <w:vAlign w:val="center"/>
          </w:tcPr>
          <w:p w14:paraId="32F1B72F"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3</w:t>
            </w:r>
          </w:p>
        </w:tc>
        <w:tc>
          <w:tcPr>
            <w:tcW w:w="625" w:type="pct"/>
            <w:vAlign w:val="center"/>
          </w:tcPr>
          <w:p w14:paraId="7E0D4B01"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4</w:t>
            </w:r>
            <w:r w:rsidR="008D7ECE" w:rsidRPr="00FF6F6B">
              <w:rPr>
                <w:rFonts w:ascii="Times New Roman" w:hAnsi="Times New Roman" w:cs="Times New Roman"/>
                <w:sz w:val="20"/>
                <w:szCs w:val="20"/>
              </w:rPr>
              <w:t>.00</w:t>
            </w:r>
          </w:p>
        </w:tc>
      </w:tr>
      <w:tr w:rsidR="00FF6F6B" w:rsidRPr="00FF6F6B" w14:paraId="1D044D73" w14:textId="77777777" w:rsidTr="008D7ECE">
        <w:trPr>
          <w:trHeight w:val="195"/>
        </w:trPr>
        <w:tc>
          <w:tcPr>
            <w:tcW w:w="918" w:type="pct"/>
            <w:vMerge/>
          </w:tcPr>
          <w:p w14:paraId="20FD362F" w14:textId="77777777" w:rsidR="008D7ECE" w:rsidRPr="00FF6F6B" w:rsidRDefault="008D7ECE" w:rsidP="000C5D90">
            <w:pPr>
              <w:rPr>
                <w:rFonts w:ascii="Times New Roman" w:eastAsia="Times New Roman" w:hAnsi="Times New Roman" w:cs="Times New Roman"/>
                <w:b/>
                <w:bCs/>
                <w:sz w:val="20"/>
                <w:szCs w:val="20"/>
              </w:rPr>
            </w:pPr>
          </w:p>
        </w:tc>
        <w:tc>
          <w:tcPr>
            <w:tcW w:w="1593" w:type="pct"/>
          </w:tcPr>
          <w:p w14:paraId="2D146279" w14:textId="77777777" w:rsidR="008D7ECE" w:rsidRPr="00FF6F6B" w:rsidRDefault="008D7ECE" w:rsidP="000C5D90">
            <w:pPr>
              <w:rPr>
                <w:rFonts w:ascii="Times New Roman" w:eastAsia="Times New Roman" w:hAnsi="Times New Roman" w:cs="Times New Roman"/>
                <w:bCs/>
                <w:sz w:val="20"/>
                <w:szCs w:val="20"/>
              </w:rPr>
            </w:pPr>
            <w:r w:rsidRPr="00FF6F6B">
              <w:rPr>
                <w:rFonts w:ascii="Times New Roman" w:eastAsia="Times New Roman" w:hAnsi="Times New Roman" w:cs="Times New Roman"/>
                <w:sz w:val="20"/>
                <w:szCs w:val="20"/>
              </w:rPr>
              <w:t>Graduation</w:t>
            </w:r>
          </w:p>
        </w:tc>
        <w:tc>
          <w:tcPr>
            <w:tcW w:w="612" w:type="pct"/>
            <w:vAlign w:val="center"/>
          </w:tcPr>
          <w:p w14:paraId="021274AF" w14:textId="77777777" w:rsidR="008D7ECE" w:rsidRPr="00FF6F6B" w:rsidRDefault="008D7ECE">
            <w:pPr>
              <w:jc w:val="center"/>
              <w:rPr>
                <w:rFonts w:ascii="Times New Roman" w:hAnsi="Times New Roman" w:cs="Times New Roman"/>
                <w:sz w:val="20"/>
                <w:szCs w:val="20"/>
              </w:rPr>
            </w:pPr>
            <w:r w:rsidRPr="00FF6F6B">
              <w:rPr>
                <w:rFonts w:ascii="Times New Roman" w:hAnsi="Times New Roman" w:cs="Times New Roman"/>
                <w:sz w:val="20"/>
                <w:szCs w:val="20"/>
              </w:rPr>
              <w:t>9</w:t>
            </w:r>
          </w:p>
        </w:tc>
        <w:tc>
          <w:tcPr>
            <w:tcW w:w="626" w:type="pct"/>
            <w:vAlign w:val="center"/>
          </w:tcPr>
          <w:p w14:paraId="1912FDF2" w14:textId="77777777" w:rsidR="008D7ECE" w:rsidRPr="00FF6F6B" w:rsidRDefault="008D7ECE">
            <w:pPr>
              <w:jc w:val="center"/>
              <w:rPr>
                <w:rFonts w:ascii="Times New Roman" w:hAnsi="Times New Roman" w:cs="Times New Roman"/>
                <w:sz w:val="20"/>
                <w:szCs w:val="20"/>
              </w:rPr>
            </w:pPr>
            <w:r w:rsidRPr="00FF6F6B">
              <w:rPr>
                <w:rFonts w:ascii="Times New Roman" w:hAnsi="Times New Roman" w:cs="Times New Roman"/>
                <w:sz w:val="20"/>
                <w:szCs w:val="20"/>
              </w:rPr>
              <w:t>12.00</w:t>
            </w:r>
          </w:p>
        </w:tc>
        <w:tc>
          <w:tcPr>
            <w:tcW w:w="626" w:type="pct"/>
            <w:vAlign w:val="center"/>
          </w:tcPr>
          <w:p w14:paraId="08A4F261" w14:textId="77777777" w:rsidR="008D7ECE" w:rsidRPr="00FF6F6B" w:rsidRDefault="008D7ECE">
            <w:pPr>
              <w:jc w:val="center"/>
              <w:rPr>
                <w:rFonts w:ascii="Times New Roman" w:hAnsi="Times New Roman" w:cs="Times New Roman"/>
                <w:sz w:val="20"/>
                <w:szCs w:val="20"/>
              </w:rPr>
            </w:pPr>
            <w:r w:rsidRPr="00FF6F6B">
              <w:rPr>
                <w:rFonts w:ascii="Times New Roman" w:hAnsi="Times New Roman" w:cs="Times New Roman"/>
                <w:sz w:val="20"/>
                <w:szCs w:val="20"/>
              </w:rPr>
              <w:t>2</w:t>
            </w:r>
          </w:p>
        </w:tc>
        <w:tc>
          <w:tcPr>
            <w:tcW w:w="625" w:type="pct"/>
            <w:vAlign w:val="center"/>
          </w:tcPr>
          <w:p w14:paraId="3AF325F7" w14:textId="77777777" w:rsidR="008D7ECE" w:rsidRPr="00FF6F6B" w:rsidRDefault="008D7ECE" w:rsidP="008D7ECE">
            <w:pPr>
              <w:jc w:val="center"/>
              <w:rPr>
                <w:rFonts w:ascii="Times New Roman" w:hAnsi="Times New Roman" w:cs="Times New Roman"/>
                <w:sz w:val="20"/>
                <w:szCs w:val="20"/>
              </w:rPr>
            </w:pPr>
            <w:r w:rsidRPr="00FF6F6B">
              <w:rPr>
                <w:rFonts w:ascii="Times New Roman" w:hAnsi="Times New Roman" w:cs="Times New Roman"/>
                <w:sz w:val="20"/>
                <w:szCs w:val="20"/>
              </w:rPr>
              <w:t>2.67</w:t>
            </w:r>
          </w:p>
        </w:tc>
      </w:tr>
      <w:tr w:rsidR="00FF6F6B" w:rsidRPr="00FF6F6B" w14:paraId="75D78EC6" w14:textId="77777777" w:rsidTr="008D7ECE">
        <w:trPr>
          <w:trHeight w:val="227"/>
        </w:trPr>
        <w:tc>
          <w:tcPr>
            <w:tcW w:w="918" w:type="pct"/>
            <w:vMerge w:val="restart"/>
          </w:tcPr>
          <w:p w14:paraId="491BEAA7" w14:textId="77777777" w:rsidR="008D7ECE" w:rsidRPr="00FF6F6B" w:rsidRDefault="008D7ECE" w:rsidP="000C5D90">
            <w:pPr>
              <w:rPr>
                <w:rFonts w:ascii="Times New Roman" w:eastAsia="Times New Roman" w:hAnsi="Times New Roman" w:cs="Times New Roman"/>
                <w:b/>
                <w:bCs/>
                <w:sz w:val="20"/>
                <w:szCs w:val="20"/>
              </w:rPr>
            </w:pPr>
          </w:p>
          <w:p w14:paraId="4F05D325" w14:textId="77777777" w:rsidR="008D7ECE" w:rsidRPr="00FF6F6B" w:rsidRDefault="008D7ECE" w:rsidP="000C5D90">
            <w:pPr>
              <w:rPr>
                <w:rFonts w:ascii="Times New Roman" w:eastAsia="Times New Roman" w:hAnsi="Times New Roman" w:cs="Times New Roman"/>
                <w:b/>
                <w:bCs/>
                <w:sz w:val="20"/>
                <w:szCs w:val="20"/>
              </w:rPr>
            </w:pPr>
          </w:p>
          <w:p w14:paraId="2D822169" w14:textId="77777777" w:rsidR="008D7ECE" w:rsidRPr="00FF6F6B" w:rsidRDefault="008D7ECE" w:rsidP="000C5D90">
            <w:pPr>
              <w:rPr>
                <w:rFonts w:ascii="Times New Roman" w:eastAsia="Times New Roman" w:hAnsi="Times New Roman" w:cs="Times New Roman"/>
                <w:b/>
                <w:bCs/>
                <w:sz w:val="20"/>
                <w:szCs w:val="20"/>
              </w:rPr>
            </w:pPr>
            <w:r w:rsidRPr="00FF6F6B">
              <w:rPr>
                <w:rFonts w:ascii="Times New Roman" w:eastAsia="Times New Roman" w:hAnsi="Times New Roman" w:cs="Times New Roman"/>
                <w:b/>
                <w:bCs/>
                <w:sz w:val="20"/>
                <w:szCs w:val="20"/>
              </w:rPr>
              <w:t>Experience</w:t>
            </w:r>
          </w:p>
          <w:p w14:paraId="7448935B" w14:textId="77777777" w:rsidR="008D7ECE" w:rsidRPr="00FF6F6B" w:rsidRDefault="008D7ECE" w:rsidP="000C5D90">
            <w:pPr>
              <w:rPr>
                <w:rFonts w:ascii="Times New Roman" w:eastAsia="Times New Roman" w:hAnsi="Times New Roman" w:cs="Times New Roman"/>
                <w:b/>
                <w:bCs/>
                <w:sz w:val="20"/>
                <w:szCs w:val="20"/>
              </w:rPr>
            </w:pPr>
          </w:p>
        </w:tc>
        <w:tc>
          <w:tcPr>
            <w:tcW w:w="1593" w:type="pct"/>
          </w:tcPr>
          <w:p w14:paraId="1F49FE93" w14:textId="77777777" w:rsidR="008D7ECE" w:rsidRPr="00FF6F6B" w:rsidRDefault="008D7ECE" w:rsidP="000C5D90">
            <w:pPr>
              <w:rPr>
                <w:rFonts w:ascii="Times New Roman" w:eastAsia="Times New Roman" w:hAnsi="Times New Roman" w:cs="Times New Roman"/>
                <w:sz w:val="20"/>
                <w:szCs w:val="20"/>
              </w:rPr>
            </w:pPr>
            <w:r w:rsidRPr="00FF6F6B">
              <w:rPr>
                <w:rFonts w:ascii="Times New Roman" w:eastAsia="Times New Roman" w:hAnsi="Times New Roman" w:cs="Times New Roman"/>
                <w:sz w:val="20"/>
                <w:szCs w:val="20"/>
              </w:rPr>
              <w:t>1-5 year</w:t>
            </w:r>
          </w:p>
        </w:tc>
        <w:tc>
          <w:tcPr>
            <w:tcW w:w="612" w:type="pct"/>
            <w:vAlign w:val="center"/>
          </w:tcPr>
          <w:p w14:paraId="74B81242" w14:textId="77777777" w:rsidR="008D7ECE" w:rsidRPr="00FF6F6B" w:rsidRDefault="008D7ECE" w:rsidP="000C5D90">
            <w:pPr>
              <w:jc w:val="center"/>
              <w:rPr>
                <w:rFonts w:ascii="Times New Roman" w:hAnsi="Times New Roman" w:cs="Times New Roman"/>
                <w:sz w:val="20"/>
                <w:szCs w:val="20"/>
              </w:rPr>
            </w:pPr>
            <w:r w:rsidRPr="00FF6F6B">
              <w:rPr>
                <w:rFonts w:ascii="Times New Roman" w:hAnsi="Times New Roman" w:cs="Times New Roman"/>
                <w:sz w:val="20"/>
                <w:szCs w:val="20"/>
              </w:rPr>
              <w:t>23</w:t>
            </w:r>
          </w:p>
        </w:tc>
        <w:tc>
          <w:tcPr>
            <w:tcW w:w="626" w:type="pct"/>
            <w:vAlign w:val="center"/>
          </w:tcPr>
          <w:p w14:paraId="54A16B68" w14:textId="77777777" w:rsidR="008D7ECE" w:rsidRPr="00FF6F6B" w:rsidRDefault="008D7ECE" w:rsidP="008D7ECE">
            <w:pPr>
              <w:jc w:val="center"/>
              <w:rPr>
                <w:rFonts w:ascii="Times New Roman" w:hAnsi="Times New Roman" w:cs="Times New Roman"/>
                <w:sz w:val="20"/>
                <w:szCs w:val="20"/>
              </w:rPr>
            </w:pPr>
            <w:r w:rsidRPr="00FF6F6B">
              <w:rPr>
                <w:rFonts w:ascii="Times New Roman" w:hAnsi="Times New Roman" w:cs="Times New Roman"/>
                <w:sz w:val="20"/>
                <w:szCs w:val="20"/>
              </w:rPr>
              <w:t>30.67</w:t>
            </w:r>
          </w:p>
        </w:tc>
        <w:tc>
          <w:tcPr>
            <w:tcW w:w="626" w:type="pct"/>
            <w:vAlign w:val="center"/>
          </w:tcPr>
          <w:p w14:paraId="4FA25151" w14:textId="77777777" w:rsidR="008D7ECE" w:rsidRPr="00FF6F6B" w:rsidRDefault="008D7ECE" w:rsidP="000C5D90">
            <w:pPr>
              <w:jc w:val="center"/>
              <w:rPr>
                <w:rFonts w:ascii="Times New Roman" w:hAnsi="Times New Roman" w:cs="Times New Roman"/>
                <w:sz w:val="20"/>
                <w:szCs w:val="20"/>
              </w:rPr>
            </w:pPr>
            <w:r w:rsidRPr="00FF6F6B">
              <w:rPr>
                <w:rFonts w:ascii="Times New Roman" w:hAnsi="Times New Roman" w:cs="Times New Roman"/>
                <w:sz w:val="20"/>
                <w:szCs w:val="20"/>
              </w:rPr>
              <w:t>41</w:t>
            </w:r>
          </w:p>
        </w:tc>
        <w:tc>
          <w:tcPr>
            <w:tcW w:w="625" w:type="pct"/>
            <w:vAlign w:val="center"/>
          </w:tcPr>
          <w:p w14:paraId="211676C8" w14:textId="77777777" w:rsidR="008D7ECE" w:rsidRPr="00FF6F6B" w:rsidRDefault="008D7ECE" w:rsidP="008D7ECE">
            <w:pPr>
              <w:jc w:val="center"/>
              <w:rPr>
                <w:rFonts w:ascii="Times New Roman" w:hAnsi="Times New Roman" w:cs="Times New Roman"/>
                <w:sz w:val="20"/>
                <w:szCs w:val="20"/>
              </w:rPr>
            </w:pPr>
            <w:r w:rsidRPr="00FF6F6B">
              <w:rPr>
                <w:rFonts w:ascii="Times New Roman" w:hAnsi="Times New Roman" w:cs="Times New Roman"/>
                <w:sz w:val="20"/>
                <w:szCs w:val="20"/>
              </w:rPr>
              <w:t>54.67</w:t>
            </w:r>
          </w:p>
        </w:tc>
      </w:tr>
      <w:tr w:rsidR="00FF6F6B" w:rsidRPr="00FF6F6B" w14:paraId="3FA381D5" w14:textId="77777777" w:rsidTr="008D7ECE">
        <w:trPr>
          <w:trHeight w:val="259"/>
        </w:trPr>
        <w:tc>
          <w:tcPr>
            <w:tcW w:w="918" w:type="pct"/>
            <w:vMerge/>
          </w:tcPr>
          <w:p w14:paraId="698D4401" w14:textId="77777777" w:rsidR="00E3346A" w:rsidRPr="00FF6F6B" w:rsidRDefault="00E3346A" w:rsidP="000C5D90">
            <w:pPr>
              <w:rPr>
                <w:rFonts w:ascii="Times New Roman" w:eastAsia="Times New Roman" w:hAnsi="Times New Roman" w:cs="Times New Roman"/>
                <w:b/>
                <w:bCs/>
                <w:sz w:val="20"/>
                <w:szCs w:val="20"/>
              </w:rPr>
            </w:pPr>
          </w:p>
        </w:tc>
        <w:tc>
          <w:tcPr>
            <w:tcW w:w="1593" w:type="pct"/>
          </w:tcPr>
          <w:p w14:paraId="6B76C0CA" w14:textId="77777777" w:rsidR="00E3346A" w:rsidRPr="00FF6F6B" w:rsidRDefault="00E3346A" w:rsidP="000C5D90">
            <w:pPr>
              <w:rPr>
                <w:rFonts w:ascii="Times New Roman" w:eastAsia="Times New Roman" w:hAnsi="Times New Roman" w:cs="Times New Roman"/>
                <w:sz w:val="20"/>
                <w:szCs w:val="20"/>
              </w:rPr>
            </w:pPr>
            <w:r w:rsidRPr="00FF6F6B">
              <w:rPr>
                <w:rFonts w:ascii="Times New Roman" w:eastAsia="Times New Roman" w:hAnsi="Times New Roman" w:cs="Times New Roman"/>
                <w:sz w:val="20"/>
                <w:szCs w:val="20"/>
              </w:rPr>
              <w:t>5-10 year</w:t>
            </w:r>
          </w:p>
        </w:tc>
        <w:tc>
          <w:tcPr>
            <w:tcW w:w="612" w:type="pct"/>
            <w:vAlign w:val="center"/>
          </w:tcPr>
          <w:p w14:paraId="45CEEAD6"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16</w:t>
            </w:r>
          </w:p>
        </w:tc>
        <w:tc>
          <w:tcPr>
            <w:tcW w:w="626" w:type="pct"/>
            <w:vAlign w:val="center"/>
          </w:tcPr>
          <w:p w14:paraId="2E13EB7C" w14:textId="77777777" w:rsidR="00E3346A" w:rsidRPr="00FF6F6B" w:rsidRDefault="00E3346A" w:rsidP="008D7ECE">
            <w:pPr>
              <w:jc w:val="center"/>
              <w:rPr>
                <w:rFonts w:ascii="Times New Roman" w:hAnsi="Times New Roman" w:cs="Times New Roman"/>
                <w:sz w:val="20"/>
                <w:szCs w:val="20"/>
              </w:rPr>
            </w:pPr>
            <w:r w:rsidRPr="00FF6F6B">
              <w:rPr>
                <w:rFonts w:ascii="Times New Roman" w:hAnsi="Times New Roman" w:cs="Times New Roman"/>
                <w:sz w:val="20"/>
                <w:szCs w:val="20"/>
              </w:rPr>
              <w:t>21.33</w:t>
            </w:r>
          </w:p>
        </w:tc>
        <w:tc>
          <w:tcPr>
            <w:tcW w:w="626" w:type="pct"/>
            <w:vAlign w:val="center"/>
          </w:tcPr>
          <w:p w14:paraId="4D3DC26C"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23</w:t>
            </w:r>
          </w:p>
        </w:tc>
        <w:tc>
          <w:tcPr>
            <w:tcW w:w="625" w:type="pct"/>
            <w:vAlign w:val="center"/>
          </w:tcPr>
          <w:p w14:paraId="555882EC" w14:textId="77777777" w:rsidR="00E3346A" w:rsidRPr="00FF6F6B" w:rsidRDefault="00E3346A" w:rsidP="008D7ECE">
            <w:pPr>
              <w:jc w:val="center"/>
              <w:rPr>
                <w:rFonts w:ascii="Times New Roman" w:hAnsi="Times New Roman" w:cs="Times New Roman"/>
                <w:sz w:val="20"/>
                <w:szCs w:val="20"/>
              </w:rPr>
            </w:pPr>
            <w:r w:rsidRPr="00FF6F6B">
              <w:rPr>
                <w:rFonts w:ascii="Times New Roman" w:hAnsi="Times New Roman" w:cs="Times New Roman"/>
                <w:sz w:val="20"/>
                <w:szCs w:val="20"/>
              </w:rPr>
              <w:t>30.6</w:t>
            </w:r>
            <w:r w:rsidR="008D7ECE" w:rsidRPr="00FF6F6B">
              <w:rPr>
                <w:rFonts w:ascii="Times New Roman" w:hAnsi="Times New Roman" w:cs="Times New Roman"/>
                <w:sz w:val="20"/>
                <w:szCs w:val="20"/>
              </w:rPr>
              <w:t>7</w:t>
            </w:r>
          </w:p>
        </w:tc>
      </w:tr>
      <w:tr w:rsidR="00FF6F6B" w:rsidRPr="00FF6F6B" w14:paraId="04701E85" w14:textId="77777777" w:rsidTr="008D7ECE">
        <w:trPr>
          <w:trHeight w:val="277"/>
        </w:trPr>
        <w:tc>
          <w:tcPr>
            <w:tcW w:w="918" w:type="pct"/>
            <w:vMerge/>
          </w:tcPr>
          <w:p w14:paraId="7EB8AA02" w14:textId="77777777" w:rsidR="00E3346A" w:rsidRPr="00FF6F6B" w:rsidRDefault="00E3346A" w:rsidP="000C5D90">
            <w:pPr>
              <w:rPr>
                <w:rFonts w:ascii="Times New Roman" w:eastAsia="Times New Roman" w:hAnsi="Times New Roman" w:cs="Times New Roman"/>
                <w:b/>
                <w:bCs/>
                <w:sz w:val="20"/>
                <w:szCs w:val="20"/>
              </w:rPr>
            </w:pPr>
          </w:p>
        </w:tc>
        <w:tc>
          <w:tcPr>
            <w:tcW w:w="1593" w:type="pct"/>
          </w:tcPr>
          <w:p w14:paraId="0D5F0292" w14:textId="77777777" w:rsidR="00E3346A" w:rsidRPr="00FF6F6B" w:rsidRDefault="00E3346A" w:rsidP="000C5D90">
            <w:pPr>
              <w:rPr>
                <w:rFonts w:ascii="Times New Roman" w:eastAsia="Times New Roman" w:hAnsi="Times New Roman" w:cs="Times New Roman"/>
                <w:sz w:val="20"/>
                <w:szCs w:val="20"/>
              </w:rPr>
            </w:pPr>
            <w:r w:rsidRPr="00FF6F6B">
              <w:rPr>
                <w:rFonts w:ascii="Times New Roman" w:eastAsia="Times New Roman" w:hAnsi="Times New Roman" w:cs="Times New Roman"/>
                <w:sz w:val="20"/>
                <w:szCs w:val="20"/>
              </w:rPr>
              <w:t>More than 10 years</w:t>
            </w:r>
          </w:p>
        </w:tc>
        <w:tc>
          <w:tcPr>
            <w:tcW w:w="612" w:type="pct"/>
            <w:vAlign w:val="center"/>
          </w:tcPr>
          <w:p w14:paraId="10F247A0"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36</w:t>
            </w:r>
          </w:p>
        </w:tc>
        <w:tc>
          <w:tcPr>
            <w:tcW w:w="626" w:type="pct"/>
            <w:vAlign w:val="center"/>
          </w:tcPr>
          <w:p w14:paraId="39B27B86"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48</w:t>
            </w:r>
            <w:r w:rsidR="008D7ECE" w:rsidRPr="00FF6F6B">
              <w:rPr>
                <w:rFonts w:ascii="Times New Roman" w:hAnsi="Times New Roman" w:cs="Times New Roman"/>
                <w:sz w:val="20"/>
                <w:szCs w:val="20"/>
              </w:rPr>
              <w:t>.00</w:t>
            </w:r>
          </w:p>
        </w:tc>
        <w:tc>
          <w:tcPr>
            <w:tcW w:w="626" w:type="pct"/>
            <w:vAlign w:val="center"/>
          </w:tcPr>
          <w:p w14:paraId="0F399894"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11</w:t>
            </w:r>
          </w:p>
        </w:tc>
        <w:tc>
          <w:tcPr>
            <w:tcW w:w="625" w:type="pct"/>
            <w:vAlign w:val="center"/>
          </w:tcPr>
          <w:p w14:paraId="2F9F1186" w14:textId="77777777" w:rsidR="00E3346A" w:rsidRPr="00FF6F6B" w:rsidRDefault="00E3346A" w:rsidP="008D7ECE">
            <w:pPr>
              <w:jc w:val="center"/>
              <w:rPr>
                <w:rFonts w:ascii="Times New Roman" w:hAnsi="Times New Roman" w:cs="Times New Roman"/>
                <w:sz w:val="20"/>
                <w:szCs w:val="20"/>
              </w:rPr>
            </w:pPr>
            <w:r w:rsidRPr="00FF6F6B">
              <w:rPr>
                <w:rFonts w:ascii="Times New Roman" w:hAnsi="Times New Roman" w:cs="Times New Roman"/>
                <w:sz w:val="20"/>
                <w:szCs w:val="20"/>
              </w:rPr>
              <w:t>14.6</w:t>
            </w:r>
            <w:r w:rsidR="008D7ECE" w:rsidRPr="00FF6F6B">
              <w:rPr>
                <w:rFonts w:ascii="Times New Roman" w:hAnsi="Times New Roman" w:cs="Times New Roman"/>
                <w:sz w:val="20"/>
                <w:szCs w:val="20"/>
              </w:rPr>
              <w:t>7</w:t>
            </w:r>
          </w:p>
        </w:tc>
      </w:tr>
      <w:tr w:rsidR="00FF6F6B" w:rsidRPr="00FF6F6B" w14:paraId="07D9E922" w14:textId="77777777" w:rsidTr="000C5D90">
        <w:trPr>
          <w:trHeight w:val="260"/>
        </w:trPr>
        <w:tc>
          <w:tcPr>
            <w:tcW w:w="918" w:type="pct"/>
            <w:vMerge w:val="restart"/>
          </w:tcPr>
          <w:p w14:paraId="5C4F89D0" w14:textId="77777777" w:rsidR="00E3346A" w:rsidRPr="00FF6F6B" w:rsidRDefault="00E3346A" w:rsidP="000C5D90">
            <w:pPr>
              <w:rPr>
                <w:rFonts w:ascii="Times New Roman" w:eastAsia="Times New Roman" w:hAnsi="Times New Roman" w:cs="Times New Roman"/>
                <w:b/>
                <w:bCs/>
                <w:sz w:val="20"/>
                <w:szCs w:val="20"/>
              </w:rPr>
            </w:pPr>
            <w:r w:rsidRPr="00FF6F6B">
              <w:rPr>
                <w:rFonts w:ascii="Times New Roman" w:eastAsia="Times New Roman" w:hAnsi="Times New Roman" w:cs="Times New Roman"/>
                <w:b/>
                <w:bCs/>
                <w:sz w:val="20"/>
                <w:szCs w:val="20"/>
              </w:rPr>
              <w:t xml:space="preserve">Income </w:t>
            </w:r>
          </w:p>
        </w:tc>
        <w:tc>
          <w:tcPr>
            <w:tcW w:w="1593" w:type="pct"/>
          </w:tcPr>
          <w:p w14:paraId="7266E4EC" w14:textId="77777777" w:rsidR="00E3346A" w:rsidRPr="00FF6F6B" w:rsidRDefault="00E3346A" w:rsidP="000C5D90">
            <w:pPr>
              <w:rPr>
                <w:rFonts w:ascii="Times New Roman" w:eastAsia="Times New Roman" w:hAnsi="Times New Roman" w:cs="Times New Roman"/>
                <w:sz w:val="20"/>
                <w:szCs w:val="20"/>
              </w:rPr>
            </w:pPr>
            <w:r w:rsidRPr="00FF6F6B">
              <w:rPr>
                <w:rFonts w:ascii="Times New Roman" w:eastAsia="Times New Roman" w:hAnsi="Times New Roman" w:cs="Times New Roman"/>
                <w:sz w:val="20"/>
                <w:szCs w:val="20"/>
              </w:rPr>
              <w:t>₹0.5- 1 lakh</w:t>
            </w:r>
          </w:p>
        </w:tc>
        <w:tc>
          <w:tcPr>
            <w:tcW w:w="612" w:type="pct"/>
            <w:vAlign w:val="center"/>
          </w:tcPr>
          <w:p w14:paraId="7069354E"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8</w:t>
            </w:r>
          </w:p>
        </w:tc>
        <w:tc>
          <w:tcPr>
            <w:tcW w:w="626" w:type="pct"/>
            <w:vAlign w:val="center"/>
          </w:tcPr>
          <w:p w14:paraId="0F2EF00B" w14:textId="77777777" w:rsidR="00E3346A" w:rsidRPr="00FF6F6B" w:rsidRDefault="00E3346A" w:rsidP="008D7ECE">
            <w:pPr>
              <w:jc w:val="center"/>
              <w:rPr>
                <w:rFonts w:ascii="Times New Roman" w:hAnsi="Times New Roman" w:cs="Times New Roman"/>
                <w:sz w:val="20"/>
                <w:szCs w:val="20"/>
              </w:rPr>
            </w:pPr>
            <w:r w:rsidRPr="00FF6F6B">
              <w:rPr>
                <w:rFonts w:ascii="Times New Roman" w:hAnsi="Times New Roman" w:cs="Times New Roman"/>
                <w:sz w:val="20"/>
                <w:szCs w:val="20"/>
              </w:rPr>
              <w:t>10.6</w:t>
            </w:r>
            <w:r w:rsidR="008D7ECE" w:rsidRPr="00FF6F6B">
              <w:rPr>
                <w:rFonts w:ascii="Times New Roman" w:hAnsi="Times New Roman" w:cs="Times New Roman"/>
                <w:sz w:val="20"/>
                <w:szCs w:val="20"/>
              </w:rPr>
              <w:t>7</w:t>
            </w:r>
          </w:p>
        </w:tc>
        <w:tc>
          <w:tcPr>
            <w:tcW w:w="626" w:type="pct"/>
            <w:vAlign w:val="center"/>
          </w:tcPr>
          <w:p w14:paraId="16BB8F78"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30</w:t>
            </w:r>
          </w:p>
        </w:tc>
        <w:tc>
          <w:tcPr>
            <w:tcW w:w="625" w:type="pct"/>
            <w:vAlign w:val="center"/>
          </w:tcPr>
          <w:p w14:paraId="347BAE49"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40</w:t>
            </w:r>
          </w:p>
        </w:tc>
      </w:tr>
      <w:tr w:rsidR="00FF6F6B" w:rsidRPr="00FF6F6B" w14:paraId="3ED23D16" w14:textId="77777777" w:rsidTr="000C5D90">
        <w:trPr>
          <w:trHeight w:val="260"/>
        </w:trPr>
        <w:tc>
          <w:tcPr>
            <w:tcW w:w="918" w:type="pct"/>
            <w:vMerge/>
          </w:tcPr>
          <w:p w14:paraId="4DD1832F" w14:textId="77777777" w:rsidR="00E3346A" w:rsidRPr="00FF6F6B" w:rsidRDefault="00E3346A" w:rsidP="000C5D90">
            <w:pPr>
              <w:rPr>
                <w:rFonts w:ascii="Times New Roman" w:eastAsia="Times New Roman" w:hAnsi="Times New Roman" w:cs="Times New Roman"/>
                <w:b/>
                <w:bCs/>
                <w:sz w:val="20"/>
                <w:szCs w:val="20"/>
              </w:rPr>
            </w:pPr>
          </w:p>
        </w:tc>
        <w:tc>
          <w:tcPr>
            <w:tcW w:w="1593" w:type="pct"/>
          </w:tcPr>
          <w:p w14:paraId="79A28700" w14:textId="77777777" w:rsidR="00E3346A" w:rsidRPr="00FF6F6B" w:rsidRDefault="00E3346A" w:rsidP="000C5D90">
            <w:pPr>
              <w:rPr>
                <w:rFonts w:ascii="Times New Roman" w:eastAsia="Times New Roman" w:hAnsi="Times New Roman" w:cs="Times New Roman"/>
                <w:sz w:val="20"/>
                <w:szCs w:val="20"/>
              </w:rPr>
            </w:pPr>
            <w:r w:rsidRPr="00FF6F6B">
              <w:rPr>
                <w:rFonts w:ascii="Times New Roman" w:eastAsia="Times New Roman" w:hAnsi="Times New Roman" w:cs="Times New Roman"/>
                <w:sz w:val="20"/>
                <w:szCs w:val="20"/>
              </w:rPr>
              <w:t>₹1-2 lakh</w:t>
            </w:r>
          </w:p>
        </w:tc>
        <w:tc>
          <w:tcPr>
            <w:tcW w:w="612" w:type="pct"/>
            <w:vAlign w:val="center"/>
          </w:tcPr>
          <w:p w14:paraId="6B21FE8A"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36</w:t>
            </w:r>
          </w:p>
        </w:tc>
        <w:tc>
          <w:tcPr>
            <w:tcW w:w="626" w:type="pct"/>
            <w:vAlign w:val="center"/>
          </w:tcPr>
          <w:p w14:paraId="122ED192"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48</w:t>
            </w:r>
            <w:r w:rsidR="008D7ECE" w:rsidRPr="00FF6F6B">
              <w:rPr>
                <w:rFonts w:ascii="Times New Roman" w:hAnsi="Times New Roman" w:cs="Times New Roman"/>
                <w:sz w:val="20"/>
                <w:szCs w:val="20"/>
              </w:rPr>
              <w:t>.00</w:t>
            </w:r>
          </w:p>
        </w:tc>
        <w:tc>
          <w:tcPr>
            <w:tcW w:w="626" w:type="pct"/>
            <w:vAlign w:val="center"/>
          </w:tcPr>
          <w:p w14:paraId="292A94FF"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31</w:t>
            </w:r>
          </w:p>
        </w:tc>
        <w:tc>
          <w:tcPr>
            <w:tcW w:w="625" w:type="pct"/>
            <w:vAlign w:val="center"/>
          </w:tcPr>
          <w:p w14:paraId="61A2D500" w14:textId="77777777" w:rsidR="00E3346A" w:rsidRPr="00FF6F6B" w:rsidRDefault="00E3346A" w:rsidP="008D7ECE">
            <w:pPr>
              <w:jc w:val="center"/>
              <w:rPr>
                <w:rFonts w:ascii="Times New Roman" w:hAnsi="Times New Roman" w:cs="Times New Roman"/>
                <w:sz w:val="20"/>
                <w:szCs w:val="20"/>
              </w:rPr>
            </w:pPr>
            <w:r w:rsidRPr="00FF6F6B">
              <w:rPr>
                <w:rFonts w:ascii="Times New Roman" w:hAnsi="Times New Roman" w:cs="Times New Roman"/>
                <w:sz w:val="20"/>
                <w:szCs w:val="20"/>
              </w:rPr>
              <w:t>41.33</w:t>
            </w:r>
          </w:p>
        </w:tc>
      </w:tr>
      <w:tr w:rsidR="00FF6F6B" w:rsidRPr="00FF6F6B" w14:paraId="07AD9DD0" w14:textId="77777777" w:rsidTr="000C5D90">
        <w:trPr>
          <w:trHeight w:val="260"/>
        </w:trPr>
        <w:tc>
          <w:tcPr>
            <w:tcW w:w="918" w:type="pct"/>
            <w:vMerge/>
          </w:tcPr>
          <w:p w14:paraId="227E57E6" w14:textId="77777777" w:rsidR="00E3346A" w:rsidRPr="00FF6F6B" w:rsidRDefault="00E3346A" w:rsidP="000C5D90">
            <w:pPr>
              <w:rPr>
                <w:rFonts w:ascii="Times New Roman" w:eastAsia="Times New Roman" w:hAnsi="Times New Roman" w:cs="Times New Roman"/>
                <w:b/>
                <w:bCs/>
                <w:sz w:val="20"/>
                <w:szCs w:val="20"/>
              </w:rPr>
            </w:pPr>
          </w:p>
        </w:tc>
        <w:tc>
          <w:tcPr>
            <w:tcW w:w="1593" w:type="pct"/>
          </w:tcPr>
          <w:p w14:paraId="63FEE367" w14:textId="77777777" w:rsidR="00E3346A" w:rsidRPr="00FF6F6B" w:rsidRDefault="00E3346A" w:rsidP="000C5D90">
            <w:pPr>
              <w:rPr>
                <w:rFonts w:ascii="Times New Roman" w:eastAsia="Times New Roman" w:hAnsi="Times New Roman" w:cs="Times New Roman"/>
                <w:sz w:val="20"/>
                <w:szCs w:val="20"/>
              </w:rPr>
            </w:pPr>
            <w:r w:rsidRPr="00FF6F6B">
              <w:rPr>
                <w:rFonts w:ascii="Times New Roman" w:eastAsia="Times New Roman" w:hAnsi="Times New Roman" w:cs="Times New Roman"/>
                <w:sz w:val="20"/>
                <w:szCs w:val="20"/>
              </w:rPr>
              <w:t>₹2-5 lakh</w:t>
            </w:r>
          </w:p>
        </w:tc>
        <w:tc>
          <w:tcPr>
            <w:tcW w:w="612" w:type="pct"/>
            <w:vAlign w:val="center"/>
          </w:tcPr>
          <w:p w14:paraId="4466BFE2"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22</w:t>
            </w:r>
          </w:p>
        </w:tc>
        <w:tc>
          <w:tcPr>
            <w:tcW w:w="626" w:type="pct"/>
            <w:vAlign w:val="center"/>
          </w:tcPr>
          <w:p w14:paraId="34DC164C" w14:textId="77777777" w:rsidR="00E3346A" w:rsidRPr="00FF6F6B" w:rsidRDefault="00E3346A" w:rsidP="008D7ECE">
            <w:pPr>
              <w:jc w:val="center"/>
              <w:rPr>
                <w:rFonts w:ascii="Times New Roman" w:hAnsi="Times New Roman" w:cs="Times New Roman"/>
                <w:sz w:val="20"/>
                <w:szCs w:val="20"/>
              </w:rPr>
            </w:pPr>
            <w:r w:rsidRPr="00FF6F6B">
              <w:rPr>
                <w:rFonts w:ascii="Times New Roman" w:hAnsi="Times New Roman" w:cs="Times New Roman"/>
                <w:sz w:val="20"/>
                <w:szCs w:val="20"/>
              </w:rPr>
              <w:t>29.33</w:t>
            </w:r>
          </w:p>
        </w:tc>
        <w:tc>
          <w:tcPr>
            <w:tcW w:w="626" w:type="pct"/>
            <w:vAlign w:val="center"/>
          </w:tcPr>
          <w:p w14:paraId="7A50293D"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14</w:t>
            </w:r>
          </w:p>
        </w:tc>
        <w:tc>
          <w:tcPr>
            <w:tcW w:w="625" w:type="pct"/>
            <w:vAlign w:val="center"/>
          </w:tcPr>
          <w:p w14:paraId="704AFBDF" w14:textId="77777777" w:rsidR="00E3346A" w:rsidRPr="00FF6F6B" w:rsidRDefault="00E3346A" w:rsidP="008D7ECE">
            <w:pPr>
              <w:jc w:val="center"/>
              <w:rPr>
                <w:rFonts w:ascii="Times New Roman" w:hAnsi="Times New Roman" w:cs="Times New Roman"/>
                <w:sz w:val="20"/>
                <w:szCs w:val="20"/>
              </w:rPr>
            </w:pPr>
            <w:r w:rsidRPr="00FF6F6B">
              <w:rPr>
                <w:rFonts w:ascii="Times New Roman" w:hAnsi="Times New Roman" w:cs="Times New Roman"/>
                <w:sz w:val="20"/>
                <w:szCs w:val="20"/>
              </w:rPr>
              <w:t>18.6</w:t>
            </w:r>
            <w:r w:rsidR="008D7ECE" w:rsidRPr="00FF6F6B">
              <w:rPr>
                <w:rFonts w:ascii="Times New Roman" w:hAnsi="Times New Roman" w:cs="Times New Roman"/>
                <w:sz w:val="20"/>
                <w:szCs w:val="20"/>
              </w:rPr>
              <w:t>7</w:t>
            </w:r>
          </w:p>
        </w:tc>
      </w:tr>
      <w:tr w:rsidR="00FF6F6B" w:rsidRPr="00FF6F6B" w14:paraId="0649F963" w14:textId="77777777" w:rsidTr="000C5D90">
        <w:trPr>
          <w:trHeight w:val="260"/>
        </w:trPr>
        <w:tc>
          <w:tcPr>
            <w:tcW w:w="918" w:type="pct"/>
            <w:vMerge/>
          </w:tcPr>
          <w:p w14:paraId="2A8BFB85" w14:textId="77777777" w:rsidR="00E3346A" w:rsidRPr="00FF6F6B" w:rsidRDefault="00E3346A" w:rsidP="000C5D90">
            <w:pPr>
              <w:rPr>
                <w:rFonts w:ascii="Times New Roman" w:eastAsia="Times New Roman" w:hAnsi="Times New Roman" w:cs="Times New Roman"/>
                <w:b/>
                <w:bCs/>
                <w:sz w:val="20"/>
                <w:szCs w:val="20"/>
              </w:rPr>
            </w:pPr>
          </w:p>
        </w:tc>
        <w:tc>
          <w:tcPr>
            <w:tcW w:w="1593" w:type="pct"/>
          </w:tcPr>
          <w:p w14:paraId="573CF7AE" w14:textId="77777777" w:rsidR="00E3346A" w:rsidRPr="00FF6F6B" w:rsidRDefault="00E3346A" w:rsidP="000C5D90">
            <w:pPr>
              <w:rPr>
                <w:rFonts w:ascii="Times New Roman" w:eastAsia="Times New Roman" w:hAnsi="Times New Roman" w:cs="Times New Roman"/>
                <w:sz w:val="20"/>
                <w:szCs w:val="20"/>
              </w:rPr>
            </w:pPr>
            <w:r w:rsidRPr="00FF6F6B">
              <w:rPr>
                <w:rFonts w:ascii="Times New Roman" w:eastAsia="Times New Roman" w:hAnsi="Times New Roman" w:cs="Times New Roman"/>
                <w:sz w:val="20"/>
                <w:szCs w:val="20"/>
              </w:rPr>
              <w:t xml:space="preserve">₹Above 5 </w:t>
            </w:r>
            <w:proofErr w:type="gramStart"/>
            <w:r w:rsidRPr="00FF6F6B">
              <w:rPr>
                <w:rFonts w:ascii="Times New Roman" w:eastAsia="Times New Roman" w:hAnsi="Times New Roman" w:cs="Times New Roman"/>
                <w:sz w:val="20"/>
                <w:szCs w:val="20"/>
              </w:rPr>
              <w:t>lakh</w:t>
            </w:r>
            <w:proofErr w:type="gramEnd"/>
          </w:p>
        </w:tc>
        <w:tc>
          <w:tcPr>
            <w:tcW w:w="612" w:type="pct"/>
            <w:vAlign w:val="center"/>
          </w:tcPr>
          <w:p w14:paraId="58F6AA4C"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9</w:t>
            </w:r>
          </w:p>
        </w:tc>
        <w:tc>
          <w:tcPr>
            <w:tcW w:w="626" w:type="pct"/>
            <w:vAlign w:val="center"/>
          </w:tcPr>
          <w:p w14:paraId="09F00885"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12</w:t>
            </w:r>
            <w:r w:rsidR="008D7ECE" w:rsidRPr="00FF6F6B">
              <w:rPr>
                <w:rFonts w:ascii="Times New Roman" w:hAnsi="Times New Roman" w:cs="Times New Roman"/>
                <w:sz w:val="20"/>
                <w:szCs w:val="20"/>
              </w:rPr>
              <w:t>.00</w:t>
            </w:r>
          </w:p>
        </w:tc>
        <w:tc>
          <w:tcPr>
            <w:tcW w:w="626" w:type="pct"/>
            <w:vAlign w:val="center"/>
          </w:tcPr>
          <w:p w14:paraId="588380CD"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0</w:t>
            </w:r>
          </w:p>
        </w:tc>
        <w:tc>
          <w:tcPr>
            <w:tcW w:w="625" w:type="pct"/>
            <w:vAlign w:val="center"/>
          </w:tcPr>
          <w:p w14:paraId="47F111F0"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0</w:t>
            </w:r>
          </w:p>
        </w:tc>
      </w:tr>
      <w:tr w:rsidR="00FF6F6B" w:rsidRPr="00FF6F6B" w14:paraId="281A4BD3" w14:textId="77777777" w:rsidTr="000C5D90">
        <w:trPr>
          <w:trHeight w:val="260"/>
        </w:trPr>
        <w:tc>
          <w:tcPr>
            <w:tcW w:w="918" w:type="pct"/>
            <w:vMerge w:val="restart"/>
          </w:tcPr>
          <w:p w14:paraId="5EF0EC3B" w14:textId="77777777" w:rsidR="00E3346A" w:rsidRPr="00FF6F6B" w:rsidRDefault="00E3346A" w:rsidP="000C5D90">
            <w:pPr>
              <w:rPr>
                <w:rFonts w:ascii="Times New Roman" w:hAnsi="Times New Roman" w:cs="Times New Roman"/>
                <w:b/>
                <w:bCs/>
                <w:sz w:val="20"/>
                <w:szCs w:val="20"/>
              </w:rPr>
            </w:pPr>
            <w:r w:rsidRPr="00FF6F6B">
              <w:rPr>
                <w:rFonts w:ascii="Times New Roman" w:hAnsi="Times New Roman" w:cs="Times New Roman"/>
                <w:b/>
                <w:bCs/>
                <w:sz w:val="20"/>
                <w:szCs w:val="20"/>
              </w:rPr>
              <w:t>Primary Occupation</w:t>
            </w:r>
          </w:p>
        </w:tc>
        <w:tc>
          <w:tcPr>
            <w:tcW w:w="1593" w:type="pct"/>
          </w:tcPr>
          <w:p w14:paraId="5BA38626" w14:textId="77777777" w:rsidR="00E3346A" w:rsidRPr="00FF6F6B" w:rsidRDefault="00E3346A" w:rsidP="000C5D90">
            <w:pPr>
              <w:rPr>
                <w:rFonts w:ascii="Times New Roman" w:hAnsi="Times New Roman" w:cs="Times New Roman"/>
                <w:bCs/>
                <w:sz w:val="20"/>
                <w:szCs w:val="20"/>
              </w:rPr>
            </w:pPr>
            <w:r w:rsidRPr="00FF6F6B">
              <w:rPr>
                <w:rFonts w:ascii="Times New Roman" w:hAnsi="Times New Roman" w:cs="Times New Roman"/>
                <w:bCs/>
                <w:sz w:val="20"/>
                <w:szCs w:val="20"/>
              </w:rPr>
              <w:t>Govt. Job</w:t>
            </w:r>
          </w:p>
        </w:tc>
        <w:tc>
          <w:tcPr>
            <w:tcW w:w="612" w:type="pct"/>
            <w:vAlign w:val="center"/>
          </w:tcPr>
          <w:p w14:paraId="2B5E3D2B"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2</w:t>
            </w:r>
          </w:p>
        </w:tc>
        <w:tc>
          <w:tcPr>
            <w:tcW w:w="626" w:type="pct"/>
            <w:vAlign w:val="center"/>
          </w:tcPr>
          <w:p w14:paraId="595D5A89" w14:textId="77777777" w:rsidR="00E3346A" w:rsidRPr="00FF6F6B" w:rsidRDefault="00E3346A" w:rsidP="008D7ECE">
            <w:pPr>
              <w:jc w:val="center"/>
              <w:rPr>
                <w:rFonts w:ascii="Times New Roman" w:hAnsi="Times New Roman" w:cs="Times New Roman"/>
                <w:sz w:val="20"/>
                <w:szCs w:val="20"/>
              </w:rPr>
            </w:pPr>
            <w:r w:rsidRPr="00FF6F6B">
              <w:rPr>
                <w:rFonts w:ascii="Times New Roman" w:hAnsi="Times New Roman" w:cs="Times New Roman"/>
                <w:sz w:val="20"/>
                <w:szCs w:val="20"/>
              </w:rPr>
              <w:t>2.6</w:t>
            </w:r>
            <w:r w:rsidR="008D7ECE" w:rsidRPr="00FF6F6B">
              <w:rPr>
                <w:rFonts w:ascii="Times New Roman" w:hAnsi="Times New Roman" w:cs="Times New Roman"/>
                <w:sz w:val="20"/>
                <w:szCs w:val="20"/>
              </w:rPr>
              <w:t>7</w:t>
            </w:r>
          </w:p>
        </w:tc>
        <w:tc>
          <w:tcPr>
            <w:tcW w:w="626" w:type="pct"/>
            <w:vAlign w:val="center"/>
          </w:tcPr>
          <w:p w14:paraId="6D671149"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bCs/>
                <w:sz w:val="20"/>
                <w:szCs w:val="20"/>
              </w:rPr>
              <w:t>0</w:t>
            </w:r>
          </w:p>
        </w:tc>
        <w:tc>
          <w:tcPr>
            <w:tcW w:w="625" w:type="pct"/>
            <w:vAlign w:val="center"/>
          </w:tcPr>
          <w:p w14:paraId="260EFD5B"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bCs/>
                <w:sz w:val="20"/>
                <w:szCs w:val="20"/>
              </w:rPr>
              <w:t>0</w:t>
            </w:r>
          </w:p>
        </w:tc>
      </w:tr>
      <w:tr w:rsidR="00FF6F6B" w:rsidRPr="00FF6F6B" w14:paraId="093D7209" w14:textId="77777777" w:rsidTr="000C5D90">
        <w:trPr>
          <w:trHeight w:val="260"/>
        </w:trPr>
        <w:tc>
          <w:tcPr>
            <w:tcW w:w="918" w:type="pct"/>
            <w:vMerge/>
          </w:tcPr>
          <w:p w14:paraId="13DBA73C" w14:textId="77777777" w:rsidR="00E3346A" w:rsidRPr="00FF6F6B" w:rsidRDefault="00E3346A" w:rsidP="000C5D90">
            <w:pPr>
              <w:rPr>
                <w:rFonts w:ascii="Times New Roman" w:eastAsia="Times New Roman" w:hAnsi="Times New Roman" w:cs="Times New Roman"/>
                <w:b/>
                <w:bCs/>
                <w:sz w:val="20"/>
                <w:szCs w:val="20"/>
              </w:rPr>
            </w:pPr>
          </w:p>
        </w:tc>
        <w:tc>
          <w:tcPr>
            <w:tcW w:w="1593" w:type="pct"/>
          </w:tcPr>
          <w:p w14:paraId="6CAB6A82" w14:textId="77777777" w:rsidR="00E3346A" w:rsidRPr="00FF6F6B" w:rsidRDefault="00E3346A" w:rsidP="000C5D90">
            <w:pPr>
              <w:rPr>
                <w:rFonts w:ascii="Times New Roman" w:eastAsia="Times New Roman" w:hAnsi="Times New Roman" w:cs="Times New Roman"/>
                <w:sz w:val="20"/>
                <w:szCs w:val="20"/>
              </w:rPr>
            </w:pPr>
            <w:r w:rsidRPr="00FF6F6B">
              <w:rPr>
                <w:rFonts w:ascii="Times New Roman" w:hAnsi="Times New Roman" w:cs="Times New Roman"/>
                <w:bCs/>
                <w:sz w:val="20"/>
                <w:szCs w:val="20"/>
              </w:rPr>
              <w:t>Agriculture</w:t>
            </w:r>
          </w:p>
        </w:tc>
        <w:tc>
          <w:tcPr>
            <w:tcW w:w="612" w:type="pct"/>
            <w:vAlign w:val="center"/>
          </w:tcPr>
          <w:p w14:paraId="0721E289"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48</w:t>
            </w:r>
          </w:p>
        </w:tc>
        <w:tc>
          <w:tcPr>
            <w:tcW w:w="626" w:type="pct"/>
            <w:vAlign w:val="center"/>
          </w:tcPr>
          <w:p w14:paraId="39FC4510"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64</w:t>
            </w:r>
            <w:r w:rsidR="008D7ECE" w:rsidRPr="00FF6F6B">
              <w:rPr>
                <w:rFonts w:ascii="Times New Roman" w:hAnsi="Times New Roman" w:cs="Times New Roman"/>
                <w:sz w:val="20"/>
                <w:szCs w:val="20"/>
              </w:rPr>
              <w:t>.00</w:t>
            </w:r>
          </w:p>
        </w:tc>
        <w:tc>
          <w:tcPr>
            <w:tcW w:w="626" w:type="pct"/>
            <w:vAlign w:val="center"/>
          </w:tcPr>
          <w:p w14:paraId="1DF23F7F"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bCs/>
                <w:sz w:val="20"/>
                <w:szCs w:val="20"/>
              </w:rPr>
              <w:t>34</w:t>
            </w:r>
          </w:p>
        </w:tc>
        <w:tc>
          <w:tcPr>
            <w:tcW w:w="625" w:type="pct"/>
            <w:vAlign w:val="center"/>
          </w:tcPr>
          <w:p w14:paraId="717AA5F4" w14:textId="77777777" w:rsidR="00E3346A" w:rsidRPr="00FF6F6B" w:rsidRDefault="00E3346A" w:rsidP="008D7ECE">
            <w:pPr>
              <w:jc w:val="center"/>
              <w:rPr>
                <w:rFonts w:ascii="Times New Roman" w:hAnsi="Times New Roman" w:cs="Times New Roman"/>
                <w:sz w:val="20"/>
                <w:szCs w:val="20"/>
              </w:rPr>
            </w:pPr>
            <w:r w:rsidRPr="00FF6F6B">
              <w:rPr>
                <w:rFonts w:ascii="Times New Roman" w:hAnsi="Times New Roman" w:cs="Times New Roman"/>
                <w:bCs/>
                <w:sz w:val="20"/>
                <w:szCs w:val="20"/>
              </w:rPr>
              <w:t>45.33</w:t>
            </w:r>
          </w:p>
        </w:tc>
      </w:tr>
      <w:tr w:rsidR="00FF6F6B" w:rsidRPr="00FF6F6B" w14:paraId="3D21F55A" w14:textId="77777777" w:rsidTr="000C5D90">
        <w:trPr>
          <w:trHeight w:val="260"/>
        </w:trPr>
        <w:tc>
          <w:tcPr>
            <w:tcW w:w="918" w:type="pct"/>
            <w:vMerge/>
          </w:tcPr>
          <w:p w14:paraId="154C886E" w14:textId="77777777" w:rsidR="00E3346A" w:rsidRPr="00FF6F6B" w:rsidRDefault="00E3346A" w:rsidP="000C5D90">
            <w:pPr>
              <w:rPr>
                <w:rFonts w:ascii="Times New Roman" w:eastAsia="Times New Roman" w:hAnsi="Times New Roman" w:cs="Times New Roman"/>
                <w:b/>
                <w:bCs/>
                <w:sz w:val="20"/>
                <w:szCs w:val="20"/>
              </w:rPr>
            </w:pPr>
          </w:p>
        </w:tc>
        <w:tc>
          <w:tcPr>
            <w:tcW w:w="1593" w:type="pct"/>
          </w:tcPr>
          <w:p w14:paraId="341AB08A" w14:textId="77777777" w:rsidR="00E3346A" w:rsidRPr="00FF6F6B" w:rsidRDefault="00E3346A" w:rsidP="000C5D90">
            <w:pPr>
              <w:rPr>
                <w:rFonts w:ascii="Times New Roman" w:eastAsia="Times New Roman" w:hAnsi="Times New Roman" w:cs="Times New Roman"/>
                <w:sz w:val="20"/>
                <w:szCs w:val="20"/>
              </w:rPr>
            </w:pPr>
            <w:r w:rsidRPr="00FF6F6B">
              <w:rPr>
                <w:rFonts w:ascii="Times New Roman" w:hAnsi="Times New Roman" w:cs="Times New Roman"/>
                <w:bCs/>
                <w:sz w:val="20"/>
                <w:szCs w:val="20"/>
              </w:rPr>
              <w:t>Business</w:t>
            </w:r>
          </w:p>
        </w:tc>
        <w:tc>
          <w:tcPr>
            <w:tcW w:w="612" w:type="pct"/>
            <w:vAlign w:val="center"/>
          </w:tcPr>
          <w:p w14:paraId="7EF36A08"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21</w:t>
            </w:r>
          </w:p>
        </w:tc>
        <w:tc>
          <w:tcPr>
            <w:tcW w:w="626" w:type="pct"/>
            <w:vAlign w:val="center"/>
          </w:tcPr>
          <w:p w14:paraId="5B37B52F"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sz w:val="20"/>
                <w:szCs w:val="20"/>
              </w:rPr>
              <w:t>28</w:t>
            </w:r>
            <w:r w:rsidR="008D7ECE" w:rsidRPr="00FF6F6B">
              <w:rPr>
                <w:rFonts w:ascii="Times New Roman" w:hAnsi="Times New Roman" w:cs="Times New Roman"/>
                <w:sz w:val="20"/>
                <w:szCs w:val="20"/>
              </w:rPr>
              <w:t>.00</w:t>
            </w:r>
          </w:p>
        </w:tc>
        <w:tc>
          <w:tcPr>
            <w:tcW w:w="626" w:type="pct"/>
            <w:vAlign w:val="center"/>
          </w:tcPr>
          <w:p w14:paraId="032EA4B8" w14:textId="77777777" w:rsidR="00E3346A" w:rsidRPr="00FF6F6B" w:rsidRDefault="00E3346A">
            <w:pPr>
              <w:jc w:val="center"/>
              <w:rPr>
                <w:rFonts w:ascii="Times New Roman" w:hAnsi="Times New Roman" w:cs="Times New Roman"/>
                <w:sz w:val="20"/>
                <w:szCs w:val="20"/>
              </w:rPr>
            </w:pPr>
            <w:r w:rsidRPr="00FF6F6B">
              <w:rPr>
                <w:rFonts w:ascii="Times New Roman" w:hAnsi="Times New Roman" w:cs="Times New Roman"/>
                <w:bCs/>
                <w:sz w:val="20"/>
                <w:szCs w:val="20"/>
              </w:rPr>
              <w:t>31</w:t>
            </w:r>
          </w:p>
        </w:tc>
        <w:tc>
          <w:tcPr>
            <w:tcW w:w="625" w:type="pct"/>
            <w:vAlign w:val="center"/>
          </w:tcPr>
          <w:p w14:paraId="2F71D5C0" w14:textId="77777777" w:rsidR="00E3346A" w:rsidRPr="00FF6F6B" w:rsidRDefault="00E3346A" w:rsidP="008D7ECE">
            <w:pPr>
              <w:jc w:val="center"/>
              <w:rPr>
                <w:rFonts w:ascii="Times New Roman" w:hAnsi="Times New Roman" w:cs="Times New Roman"/>
                <w:sz w:val="20"/>
                <w:szCs w:val="20"/>
              </w:rPr>
            </w:pPr>
            <w:r w:rsidRPr="00FF6F6B">
              <w:rPr>
                <w:rFonts w:ascii="Times New Roman" w:hAnsi="Times New Roman" w:cs="Times New Roman"/>
                <w:bCs/>
                <w:sz w:val="20"/>
                <w:szCs w:val="20"/>
              </w:rPr>
              <w:t>41.33</w:t>
            </w:r>
          </w:p>
        </w:tc>
      </w:tr>
      <w:tr w:rsidR="00FF6F6B" w:rsidRPr="00FF6F6B" w14:paraId="751BEFBE" w14:textId="77777777" w:rsidTr="008D7ECE">
        <w:trPr>
          <w:trHeight w:val="253"/>
        </w:trPr>
        <w:tc>
          <w:tcPr>
            <w:tcW w:w="918" w:type="pct"/>
            <w:vMerge/>
          </w:tcPr>
          <w:p w14:paraId="5ACE5CEE" w14:textId="77777777" w:rsidR="008D7ECE" w:rsidRPr="00FF6F6B" w:rsidRDefault="008D7ECE" w:rsidP="000C5D90">
            <w:pPr>
              <w:rPr>
                <w:rFonts w:ascii="Times New Roman" w:eastAsia="Times New Roman" w:hAnsi="Times New Roman" w:cs="Times New Roman"/>
                <w:b/>
                <w:bCs/>
                <w:sz w:val="20"/>
                <w:szCs w:val="20"/>
              </w:rPr>
            </w:pPr>
          </w:p>
        </w:tc>
        <w:tc>
          <w:tcPr>
            <w:tcW w:w="1593" w:type="pct"/>
          </w:tcPr>
          <w:p w14:paraId="39CFEB21" w14:textId="77777777" w:rsidR="008D7ECE" w:rsidRPr="00FF6F6B" w:rsidRDefault="008D7ECE" w:rsidP="000C5D90">
            <w:pPr>
              <w:rPr>
                <w:rFonts w:ascii="Times New Roman" w:eastAsia="Times New Roman" w:hAnsi="Times New Roman" w:cs="Times New Roman"/>
                <w:sz w:val="20"/>
                <w:szCs w:val="20"/>
              </w:rPr>
            </w:pPr>
            <w:r w:rsidRPr="00FF6F6B">
              <w:rPr>
                <w:rFonts w:ascii="Times New Roman" w:hAnsi="Times New Roman" w:cs="Times New Roman"/>
                <w:bCs/>
                <w:sz w:val="20"/>
                <w:szCs w:val="20"/>
              </w:rPr>
              <w:t>Others</w:t>
            </w:r>
          </w:p>
        </w:tc>
        <w:tc>
          <w:tcPr>
            <w:tcW w:w="612" w:type="pct"/>
            <w:vAlign w:val="center"/>
          </w:tcPr>
          <w:p w14:paraId="787C3491" w14:textId="77777777" w:rsidR="008D7ECE" w:rsidRPr="00FF6F6B" w:rsidRDefault="008D7ECE">
            <w:pPr>
              <w:jc w:val="center"/>
              <w:rPr>
                <w:rFonts w:ascii="Times New Roman" w:hAnsi="Times New Roman" w:cs="Times New Roman"/>
                <w:sz w:val="20"/>
                <w:szCs w:val="20"/>
              </w:rPr>
            </w:pPr>
            <w:r w:rsidRPr="00FF6F6B">
              <w:rPr>
                <w:rFonts w:ascii="Times New Roman" w:hAnsi="Times New Roman" w:cs="Times New Roman"/>
                <w:sz w:val="20"/>
                <w:szCs w:val="20"/>
              </w:rPr>
              <w:t>4</w:t>
            </w:r>
          </w:p>
        </w:tc>
        <w:tc>
          <w:tcPr>
            <w:tcW w:w="626" w:type="pct"/>
            <w:vAlign w:val="center"/>
          </w:tcPr>
          <w:p w14:paraId="4FF987E0" w14:textId="77777777" w:rsidR="008D7ECE" w:rsidRPr="00FF6F6B" w:rsidRDefault="008D7ECE" w:rsidP="008D7ECE">
            <w:pPr>
              <w:jc w:val="center"/>
              <w:rPr>
                <w:rFonts w:ascii="Times New Roman" w:hAnsi="Times New Roman" w:cs="Times New Roman"/>
                <w:sz w:val="20"/>
                <w:szCs w:val="20"/>
              </w:rPr>
            </w:pPr>
            <w:r w:rsidRPr="00FF6F6B">
              <w:rPr>
                <w:rFonts w:ascii="Times New Roman" w:hAnsi="Times New Roman" w:cs="Times New Roman"/>
                <w:sz w:val="20"/>
                <w:szCs w:val="20"/>
              </w:rPr>
              <w:t>5.33</w:t>
            </w:r>
          </w:p>
        </w:tc>
        <w:tc>
          <w:tcPr>
            <w:tcW w:w="626" w:type="pct"/>
            <w:vAlign w:val="center"/>
          </w:tcPr>
          <w:p w14:paraId="32DE771D" w14:textId="77777777" w:rsidR="008D7ECE" w:rsidRPr="00FF6F6B" w:rsidRDefault="008D7ECE">
            <w:pPr>
              <w:jc w:val="center"/>
              <w:rPr>
                <w:rFonts w:ascii="Times New Roman" w:hAnsi="Times New Roman" w:cs="Times New Roman"/>
                <w:sz w:val="20"/>
                <w:szCs w:val="20"/>
              </w:rPr>
            </w:pPr>
            <w:r w:rsidRPr="00FF6F6B">
              <w:rPr>
                <w:rFonts w:ascii="Times New Roman" w:hAnsi="Times New Roman" w:cs="Times New Roman"/>
                <w:bCs/>
                <w:sz w:val="20"/>
                <w:szCs w:val="20"/>
              </w:rPr>
              <w:t>10</w:t>
            </w:r>
          </w:p>
        </w:tc>
        <w:tc>
          <w:tcPr>
            <w:tcW w:w="625" w:type="pct"/>
            <w:vAlign w:val="center"/>
          </w:tcPr>
          <w:p w14:paraId="1B8C6C1A" w14:textId="77777777" w:rsidR="008D7ECE" w:rsidRPr="00FF6F6B" w:rsidRDefault="008D7ECE" w:rsidP="008D7ECE">
            <w:pPr>
              <w:jc w:val="center"/>
              <w:rPr>
                <w:rFonts w:ascii="Times New Roman" w:hAnsi="Times New Roman" w:cs="Times New Roman"/>
                <w:sz w:val="20"/>
                <w:szCs w:val="20"/>
              </w:rPr>
            </w:pPr>
            <w:r w:rsidRPr="00FF6F6B">
              <w:rPr>
                <w:rFonts w:ascii="Times New Roman" w:hAnsi="Times New Roman" w:cs="Times New Roman"/>
                <w:bCs/>
                <w:sz w:val="20"/>
                <w:szCs w:val="20"/>
              </w:rPr>
              <w:t>13.33</w:t>
            </w:r>
          </w:p>
        </w:tc>
      </w:tr>
    </w:tbl>
    <w:p w14:paraId="4BC9451B" w14:textId="77777777" w:rsidR="00E741FE" w:rsidRPr="00FF6F6B" w:rsidRDefault="00E741FE" w:rsidP="00E741FE">
      <w:pPr>
        <w:spacing w:before="100" w:beforeAutospacing="1" w:after="100" w:afterAutospacing="1" w:line="240" w:lineRule="auto"/>
        <w:jc w:val="both"/>
        <w:rPr>
          <w:rFonts w:ascii="Times New Roman" w:eastAsia="Times New Roman" w:hAnsi="Times New Roman" w:cs="Times New Roman"/>
          <w:bCs/>
          <w:sz w:val="24"/>
          <w:szCs w:val="24"/>
          <w:lang w:eastAsia="en-IN"/>
        </w:rPr>
      </w:pPr>
      <w:r w:rsidRPr="00FF6F6B">
        <w:rPr>
          <w:rFonts w:ascii="Times New Roman" w:eastAsia="Times New Roman" w:hAnsi="Times New Roman" w:cs="Times New Roman"/>
          <w:bCs/>
          <w:sz w:val="24"/>
          <w:szCs w:val="24"/>
          <w:lang w:eastAsia="en-IN"/>
        </w:rPr>
        <w:t>The socio-economic characteristics of cabbage growers, categorized into NICRA beneficiaries and non-beneficiaries, are presented in Table 1. The findings highlight variations in demographic, educational, occupational, and income-related aspects between the two groups.</w:t>
      </w:r>
    </w:p>
    <w:p w14:paraId="036D0B08" w14:textId="77777777" w:rsidR="00E741FE" w:rsidRPr="00FF6F6B" w:rsidRDefault="00E741FE" w:rsidP="00E741FE">
      <w:pPr>
        <w:spacing w:before="100" w:beforeAutospacing="1" w:after="100" w:afterAutospacing="1" w:line="240" w:lineRule="auto"/>
        <w:jc w:val="both"/>
        <w:rPr>
          <w:rFonts w:ascii="Times New Roman" w:eastAsia="Times New Roman" w:hAnsi="Times New Roman" w:cs="Times New Roman"/>
          <w:bCs/>
          <w:sz w:val="24"/>
          <w:szCs w:val="24"/>
          <w:lang w:eastAsia="en-IN"/>
        </w:rPr>
      </w:pPr>
      <w:r w:rsidRPr="00FF6F6B">
        <w:rPr>
          <w:rFonts w:ascii="Times New Roman" w:eastAsia="Times New Roman" w:hAnsi="Times New Roman" w:cs="Times New Roman"/>
          <w:bCs/>
          <w:sz w:val="24"/>
          <w:szCs w:val="24"/>
          <w:lang w:eastAsia="en-IN"/>
        </w:rPr>
        <w:t>Among the beneficiaries, the majority (61.33%) belonged to the middle-aged category (36-50 years), followed by young farmers (29.33%), and only 9.33% were above 50 years. Similarly, among non-beneficiaries, 48.00% were middle-aged, while a higher proportion (36.00%) were young farmers, and 16.00% belonged to the older age group.</w:t>
      </w:r>
      <w:r w:rsidR="007747AE" w:rsidRPr="00FF6F6B">
        <w:rPr>
          <w:rFonts w:ascii="Times New Roman" w:eastAsia="Times New Roman" w:hAnsi="Times New Roman" w:cs="Times New Roman"/>
          <w:bCs/>
          <w:sz w:val="24"/>
          <w:szCs w:val="24"/>
          <w:lang w:eastAsia="en-IN"/>
        </w:rPr>
        <w:t xml:space="preserve"> </w:t>
      </w:r>
      <w:r w:rsidRPr="00FF6F6B">
        <w:rPr>
          <w:rFonts w:ascii="Times New Roman" w:eastAsia="Times New Roman" w:hAnsi="Times New Roman" w:cs="Times New Roman"/>
          <w:bCs/>
          <w:sz w:val="24"/>
          <w:szCs w:val="24"/>
          <w:lang w:eastAsia="en-IN"/>
        </w:rPr>
        <w:t xml:space="preserve">The gender distribution showed that among beneficiaries, 42.67% were male, while 57.33% were female. In contrast, among non-beneficiaries, the proportion of males was slightly higher at 48.00%, whereas females accounted for 52.00%. The family structure analysis indicated that 54.67% of beneficiaries lived in nuclear families, whereas 45.33% belonged to joint families. Among non-beneficiaries, a slightly lower proportion (49.33%) had nuclear families, while 50.67% were part of joint families. A significant difference was observed in the education levels of the two groups. Among beneficiaries, 37.33% had higher secondary education, followed by 25.33% with secondary education and 16.00% with primary education. In contrast, non-beneficiaries had a higher proportion of farmers with primary (36.00%) and secondary education (34.67%), while only 22.67% had completed higher secondary education. A small </w:t>
      </w:r>
      <w:r w:rsidRPr="00FF6F6B">
        <w:rPr>
          <w:rFonts w:ascii="Times New Roman" w:eastAsia="Times New Roman" w:hAnsi="Times New Roman" w:cs="Times New Roman"/>
          <w:bCs/>
          <w:sz w:val="24"/>
          <w:szCs w:val="24"/>
          <w:lang w:eastAsia="en-IN"/>
        </w:rPr>
        <w:lastRenderedPageBreak/>
        <w:t xml:space="preserve">percentage pursued a diploma (9.33% beneficiaries vs. 4.00% non-beneficiaries) and graduation (12.00% </w:t>
      </w:r>
      <w:r w:rsidRPr="00A10E65">
        <w:rPr>
          <w:rFonts w:ascii="Times New Roman" w:eastAsia="Times New Roman" w:hAnsi="Times New Roman" w:cs="Times New Roman"/>
          <w:bCs/>
          <w:sz w:val="24"/>
          <w:szCs w:val="24"/>
          <w:lang w:eastAsia="en-IN"/>
        </w:rPr>
        <w:t>beneficiaries vs. 2.67% non-beneficiaries).</w:t>
      </w:r>
      <w:r w:rsidR="00BA53C6" w:rsidRPr="00A10E65">
        <w:rPr>
          <w:rFonts w:ascii="Times New Roman" w:eastAsia="Times New Roman" w:hAnsi="Times New Roman" w:cs="Times New Roman"/>
          <w:bCs/>
          <w:sz w:val="24"/>
          <w:szCs w:val="24"/>
          <w:lang w:eastAsia="en-IN"/>
        </w:rPr>
        <w:t xml:space="preserve"> Similar results also identified by </w:t>
      </w:r>
      <w:commentRangeStart w:id="10"/>
      <w:r w:rsidR="00BA53C6" w:rsidRPr="00A10E65">
        <w:rPr>
          <w:rFonts w:ascii="Times New Roman" w:eastAsia="Times New Roman" w:hAnsi="Times New Roman" w:cs="Times New Roman"/>
          <w:bCs/>
          <w:sz w:val="24"/>
          <w:szCs w:val="24"/>
          <w:lang w:eastAsia="en-IN"/>
        </w:rPr>
        <w:t xml:space="preserve">Sultana et al., 2020 and </w:t>
      </w:r>
      <w:r w:rsidR="00BA53C6" w:rsidRPr="00A10E65">
        <w:rPr>
          <w:rFonts w:ascii="Times New Roman" w:hAnsi="Times New Roman" w:cs="Times New Roman"/>
          <w:sz w:val="24"/>
          <w:szCs w:val="24"/>
        </w:rPr>
        <w:t>Thakor and Joshi, 2022</w:t>
      </w:r>
      <w:commentRangeEnd w:id="10"/>
      <w:r w:rsidR="00C04942">
        <w:rPr>
          <w:rStyle w:val="CommentReference"/>
        </w:rPr>
        <w:commentReference w:id="10"/>
      </w:r>
      <w:r w:rsidR="00BA53C6" w:rsidRPr="00A10E65">
        <w:rPr>
          <w:rFonts w:ascii="Times New Roman" w:hAnsi="Times New Roman" w:cs="Times New Roman"/>
          <w:sz w:val="24"/>
          <w:szCs w:val="24"/>
        </w:rPr>
        <w:t>.</w:t>
      </w:r>
      <w:r w:rsidR="00BA53C6" w:rsidRPr="00FF6F6B">
        <w:rPr>
          <w:rFonts w:ascii="Times New Roman" w:hAnsi="Times New Roman" w:cs="Times New Roman"/>
        </w:rPr>
        <w:t xml:space="preserve"> </w:t>
      </w:r>
    </w:p>
    <w:p w14:paraId="094CECCE" w14:textId="77777777" w:rsidR="00E741FE" w:rsidRPr="00FF6F6B" w:rsidRDefault="00E741FE" w:rsidP="00E741FE">
      <w:pPr>
        <w:spacing w:before="100" w:beforeAutospacing="1" w:after="100" w:afterAutospacing="1" w:line="240" w:lineRule="auto"/>
        <w:jc w:val="both"/>
        <w:rPr>
          <w:rFonts w:ascii="Times New Roman" w:eastAsia="Times New Roman" w:hAnsi="Times New Roman" w:cs="Times New Roman"/>
          <w:bCs/>
          <w:sz w:val="24"/>
          <w:szCs w:val="24"/>
          <w:lang w:eastAsia="en-IN"/>
        </w:rPr>
      </w:pPr>
      <w:r w:rsidRPr="00FF6F6B">
        <w:rPr>
          <w:rFonts w:ascii="Times New Roman" w:eastAsia="Times New Roman" w:hAnsi="Times New Roman" w:cs="Times New Roman"/>
          <w:bCs/>
          <w:sz w:val="24"/>
          <w:szCs w:val="24"/>
          <w:lang w:eastAsia="en-IN"/>
        </w:rPr>
        <w:t>The farming experience of the beneficiaries showed that 48.00% had over 10 years of experience, while 30.67% had 1-5 years of experience, and 21.33% had 5-10 years of experience. In contrast, a higher percentage of non-beneficiaries (54.67%) had 1-5 years of experience, whereas only 14.67% had more than 10 years of experience. In terms of income distribution, among beneficiaries, 48.00% had an annual income between ₹1-2 lakh, 29.33% earned between ₹2-5 lakh, while 12.00% earned above ₹5 lakh, and 10.67% fell in the ₹0.5-1 lakh category. In contrast, the majority of non-beneficiaries (41.33%) earned ₹1-2 lakh, followed by 40.00% in the ₹0.5-1 lakh category, while only 18.67% earned ₹2-5 lakh, and none had an income exceeding ₹5 lakh. Agriculture was the dominant occupation among beneficiaries (64.00%), followed by business (28.00%), government jobs (2.67%), and other occupations (5.33%). Among non-beneficiaries, only 45.33% were primarily engaged in agriculture, while a higher percentage (41.33%) were involved in business, and 13.33% had other occupations, with no one engaged in government jobs</w:t>
      </w:r>
      <w:r w:rsidR="00BD6F83" w:rsidRPr="00FF6F6B">
        <w:rPr>
          <w:rFonts w:ascii="Times New Roman" w:eastAsia="Times New Roman" w:hAnsi="Times New Roman" w:cs="Times New Roman"/>
          <w:bCs/>
          <w:sz w:val="24"/>
          <w:szCs w:val="24"/>
          <w:lang w:eastAsia="en-IN"/>
        </w:rPr>
        <w:t xml:space="preserve"> (</w:t>
      </w:r>
      <w:proofErr w:type="spellStart"/>
      <w:r w:rsidR="00BD6F83" w:rsidRPr="00FF6F6B">
        <w:rPr>
          <w:rFonts w:ascii="Times New Roman" w:eastAsia="Times New Roman" w:hAnsi="Times New Roman" w:cs="Times New Roman"/>
          <w:bCs/>
          <w:sz w:val="24"/>
          <w:szCs w:val="24"/>
          <w:lang w:eastAsia="en-IN"/>
        </w:rPr>
        <w:t>Kumawant</w:t>
      </w:r>
      <w:proofErr w:type="spellEnd"/>
      <w:r w:rsidR="00BD6F83" w:rsidRPr="00FF6F6B">
        <w:rPr>
          <w:rFonts w:ascii="Times New Roman" w:eastAsia="Times New Roman" w:hAnsi="Times New Roman" w:cs="Times New Roman"/>
          <w:bCs/>
          <w:sz w:val="24"/>
          <w:szCs w:val="24"/>
          <w:lang w:eastAsia="en-IN"/>
        </w:rPr>
        <w:t xml:space="preserve"> et al., 2024)</w:t>
      </w:r>
      <w:r w:rsidRPr="00FF6F6B">
        <w:rPr>
          <w:rFonts w:ascii="Times New Roman" w:eastAsia="Times New Roman" w:hAnsi="Times New Roman" w:cs="Times New Roman"/>
          <w:bCs/>
          <w:sz w:val="24"/>
          <w:szCs w:val="24"/>
          <w:lang w:eastAsia="en-IN"/>
        </w:rPr>
        <w:t>.</w:t>
      </w:r>
    </w:p>
    <w:p w14:paraId="67254578" w14:textId="77777777" w:rsidR="00843874" w:rsidRPr="00FF6F6B" w:rsidRDefault="00843874" w:rsidP="00DD74F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F6F6B">
        <w:rPr>
          <w:rFonts w:ascii="Times New Roman" w:eastAsia="Times New Roman" w:hAnsi="Times New Roman" w:cs="Times New Roman"/>
          <w:bCs/>
          <w:sz w:val="24"/>
          <w:szCs w:val="24"/>
          <w:lang w:eastAsia="en-IN"/>
        </w:rPr>
        <w:t>Table</w:t>
      </w:r>
      <w:r w:rsidR="00DD74F9" w:rsidRPr="00FF6F6B">
        <w:rPr>
          <w:rFonts w:ascii="Times New Roman" w:eastAsia="Times New Roman" w:hAnsi="Times New Roman" w:cs="Times New Roman"/>
          <w:bCs/>
          <w:sz w:val="24"/>
          <w:szCs w:val="24"/>
          <w:lang w:eastAsia="en-IN"/>
        </w:rPr>
        <w:t xml:space="preserve"> </w:t>
      </w:r>
      <w:r w:rsidR="005E171D" w:rsidRPr="00FF6F6B">
        <w:rPr>
          <w:rFonts w:ascii="Times New Roman" w:eastAsia="Times New Roman" w:hAnsi="Times New Roman" w:cs="Times New Roman"/>
          <w:bCs/>
          <w:sz w:val="24"/>
          <w:szCs w:val="24"/>
          <w:lang w:eastAsia="en-IN"/>
        </w:rPr>
        <w:t>2</w:t>
      </w:r>
      <w:r w:rsidRPr="00FF6F6B">
        <w:rPr>
          <w:rFonts w:ascii="Times New Roman" w:eastAsia="Times New Roman" w:hAnsi="Times New Roman" w:cs="Times New Roman"/>
          <w:bCs/>
          <w:sz w:val="24"/>
          <w:szCs w:val="24"/>
          <w:lang w:eastAsia="en-IN"/>
        </w:rPr>
        <w:t xml:space="preserve">: Distribution of NICRA beneficiaries and non-beneficiaries according to their Knowledge of </w:t>
      </w:r>
      <w:r w:rsidR="00E37B95">
        <w:rPr>
          <w:rFonts w:ascii="Times New Roman" w:eastAsia="Times New Roman" w:hAnsi="Times New Roman" w:cs="Times New Roman"/>
          <w:bCs/>
          <w:sz w:val="24"/>
          <w:szCs w:val="24"/>
          <w:lang w:eastAsia="en-IN"/>
        </w:rPr>
        <w:t>sustainable</w:t>
      </w:r>
      <w:r w:rsidRPr="00FF6F6B">
        <w:rPr>
          <w:rFonts w:ascii="Times New Roman" w:eastAsia="Times New Roman" w:hAnsi="Times New Roman" w:cs="Times New Roman"/>
          <w:bCs/>
          <w:sz w:val="24"/>
          <w:szCs w:val="24"/>
          <w:lang w:eastAsia="en-IN"/>
        </w:rPr>
        <w:t xml:space="preserve"> production technology of cabbage</w:t>
      </w:r>
      <w:r w:rsidR="006E0E9B" w:rsidRPr="00FF6F6B">
        <w:rPr>
          <w:rFonts w:ascii="Times New Roman" w:eastAsia="Times New Roman" w:hAnsi="Times New Roman" w:cs="Times New Roman"/>
          <w:bCs/>
          <w:sz w:val="24"/>
          <w:szCs w:val="24"/>
          <w:lang w:eastAsia="en-IN"/>
        </w:rPr>
        <w:t xml:space="preserve"> (n=150, B=75, NB=75)</w:t>
      </w:r>
    </w:p>
    <w:tbl>
      <w:tblPr>
        <w:tblStyle w:val="TableGrid"/>
        <w:tblW w:w="5273" w:type="pct"/>
        <w:tblLayout w:type="fixed"/>
        <w:tblLook w:val="04A0" w:firstRow="1" w:lastRow="0" w:firstColumn="1" w:lastColumn="0" w:noHBand="0" w:noVBand="1"/>
      </w:tblPr>
      <w:tblGrid>
        <w:gridCol w:w="411"/>
        <w:gridCol w:w="5078"/>
        <w:gridCol w:w="706"/>
        <w:gridCol w:w="708"/>
        <w:gridCol w:w="713"/>
        <w:gridCol w:w="708"/>
        <w:gridCol w:w="710"/>
        <w:gridCol w:w="713"/>
      </w:tblGrid>
      <w:tr w:rsidR="00FF6F6B" w:rsidRPr="00FF6F6B" w14:paraId="6BA55E1B" w14:textId="77777777" w:rsidTr="00147710">
        <w:tc>
          <w:tcPr>
            <w:tcW w:w="211" w:type="pct"/>
            <w:vMerge w:val="restart"/>
            <w:hideMark/>
          </w:tcPr>
          <w:p w14:paraId="1BE6F3FF" w14:textId="77777777" w:rsidR="000225B4" w:rsidRPr="00FF6F6B" w:rsidRDefault="00EA6284" w:rsidP="00EA6284">
            <w:pPr>
              <w:jc w:val="center"/>
              <w:rPr>
                <w:rFonts w:ascii="Times New Roman" w:eastAsia="Times New Roman" w:hAnsi="Times New Roman" w:cs="Times New Roman"/>
                <w:bCs/>
                <w:sz w:val="20"/>
                <w:szCs w:val="20"/>
                <w:lang w:eastAsia="en-IN"/>
              </w:rPr>
            </w:pPr>
            <w:proofErr w:type="spellStart"/>
            <w:r w:rsidRPr="00FF6F6B">
              <w:rPr>
                <w:rFonts w:ascii="Times New Roman" w:eastAsia="Times New Roman" w:hAnsi="Times New Roman" w:cs="Times New Roman"/>
                <w:bCs/>
                <w:sz w:val="20"/>
                <w:szCs w:val="20"/>
                <w:lang w:eastAsia="en-IN"/>
              </w:rPr>
              <w:t>Sl</w:t>
            </w:r>
            <w:proofErr w:type="spellEnd"/>
          </w:p>
        </w:tc>
        <w:tc>
          <w:tcPr>
            <w:tcW w:w="2605" w:type="pct"/>
            <w:vMerge w:val="restart"/>
            <w:hideMark/>
          </w:tcPr>
          <w:p w14:paraId="062B4A98" w14:textId="77777777" w:rsidR="000225B4" w:rsidRPr="00FF6F6B" w:rsidRDefault="000225B4" w:rsidP="00EA6284">
            <w:pPr>
              <w:jc w:val="center"/>
              <w:rPr>
                <w:rFonts w:ascii="Times New Roman" w:eastAsia="Times New Roman" w:hAnsi="Times New Roman" w:cs="Times New Roman"/>
                <w:bCs/>
                <w:sz w:val="20"/>
                <w:szCs w:val="20"/>
                <w:lang w:eastAsia="en-IN"/>
              </w:rPr>
            </w:pPr>
            <w:r w:rsidRPr="00FF6F6B">
              <w:rPr>
                <w:rFonts w:ascii="Times New Roman" w:eastAsia="Times New Roman" w:hAnsi="Times New Roman" w:cs="Times New Roman"/>
                <w:bCs/>
                <w:sz w:val="20"/>
                <w:szCs w:val="20"/>
                <w:lang w:eastAsia="en-IN"/>
              </w:rPr>
              <w:t>Practices</w:t>
            </w:r>
          </w:p>
        </w:tc>
        <w:tc>
          <w:tcPr>
            <w:tcW w:w="1091" w:type="pct"/>
            <w:gridSpan w:val="3"/>
            <w:hideMark/>
          </w:tcPr>
          <w:p w14:paraId="45D94B3C" w14:textId="77777777" w:rsidR="000225B4" w:rsidRPr="00FF6F6B" w:rsidRDefault="000225B4" w:rsidP="002614D4">
            <w:pPr>
              <w:jc w:val="center"/>
              <w:rPr>
                <w:rFonts w:ascii="Times New Roman" w:eastAsia="Times New Roman" w:hAnsi="Times New Roman" w:cs="Times New Roman"/>
                <w:bCs/>
                <w:sz w:val="20"/>
                <w:szCs w:val="20"/>
                <w:lang w:eastAsia="en-IN"/>
              </w:rPr>
            </w:pPr>
            <w:r w:rsidRPr="00FF6F6B">
              <w:rPr>
                <w:rFonts w:ascii="Times New Roman" w:eastAsia="Times New Roman" w:hAnsi="Times New Roman" w:cs="Times New Roman"/>
                <w:bCs/>
                <w:sz w:val="20"/>
                <w:szCs w:val="20"/>
                <w:lang w:eastAsia="en-IN"/>
              </w:rPr>
              <w:t>Beneficiaries (%)</w:t>
            </w:r>
          </w:p>
        </w:tc>
        <w:tc>
          <w:tcPr>
            <w:tcW w:w="1093" w:type="pct"/>
            <w:gridSpan w:val="3"/>
            <w:hideMark/>
          </w:tcPr>
          <w:p w14:paraId="3C282878" w14:textId="77777777" w:rsidR="000225B4" w:rsidRPr="00FF6F6B" w:rsidRDefault="000225B4" w:rsidP="002614D4">
            <w:pPr>
              <w:jc w:val="center"/>
              <w:rPr>
                <w:rFonts w:ascii="Times New Roman" w:eastAsia="Times New Roman" w:hAnsi="Times New Roman" w:cs="Times New Roman"/>
                <w:bCs/>
                <w:sz w:val="20"/>
                <w:szCs w:val="20"/>
                <w:lang w:eastAsia="en-IN"/>
              </w:rPr>
            </w:pPr>
            <w:r w:rsidRPr="00FF6F6B">
              <w:rPr>
                <w:rFonts w:ascii="Times New Roman" w:eastAsia="Times New Roman" w:hAnsi="Times New Roman" w:cs="Times New Roman"/>
                <w:bCs/>
                <w:sz w:val="20"/>
                <w:szCs w:val="20"/>
                <w:lang w:eastAsia="en-IN"/>
              </w:rPr>
              <w:t>Non-beneficiaries</w:t>
            </w:r>
            <w:r w:rsidR="00EA6284" w:rsidRPr="00FF6F6B">
              <w:rPr>
                <w:rFonts w:ascii="Times New Roman" w:eastAsia="Times New Roman" w:hAnsi="Times New Roman" w:cs="Times New Roman"/>
                <w:bCs/>
                <w:sz w:val="20"/>
                <w:szCs w:val="20"/>
                <w:lang w:eastAsia="en-IN"/>
              </w:rPr>
              <w:t xml:space="preserve"> (%)</w:t>
            </w:r>
          </w:p>
        </w:tc>
      </w:tr>
      <w:tr w:rsidR="00FF6F6B" w:rsidRPr="00FF6F6B" w14:paraId="0E378CE2" w14:textId="77777777" w:rsidTr="00147710">
        <w:tc>
          <w:tcPr>
            <w:tcW w:w="211" w:type="pct"/>
            <w:vMerge/>
            <w:hideMark/>
          </w:tcPr>
          <w:p w14:paraId="42181BD5" w14:textId="77777777" w:rsidR="002614D4" w:rsidRPr="00FF6F6B" w:rsidRDefault="002614D4" w:rsidP="00EA6284">
            <w:pPr>
              <w:rPr>
                <w:rFonts w:ascii="Times New Roman" w:eastAsia="Times New Roman" w:hAnsi="Times New Roman" w:cs="Times New Roman"/>
                <w:sz w:val="20"/>
                <w:szCs w:val="20"/>
                <w:lang w:eastAsia="en-IN"/>
              </w:rPr>
            </w:pPr>
          </w:p>
        </w:tc>
        <w:tc>
          <w:tcPr>
            <w:tcW w:w="2605" w:type="pct"/>
            <w:vMerge/>
            <w:hideMark/>
          </w:tcPr>
          <w:p w14:paraId="31F0951E" w14:textId="77777777" w:rsidR="002614D4" w:rsidRPr="00FF6F6B" w:rsidRDefault="002614D4" w:rsidP="00EA6284">
            <w:pPr>
              <w:rPr>
                <w:rFonts w:ascii="Times New Roman" w:eastAsia="Times New Roman" w:hAnsi="Times New Roman" w:cs="Times New Roman"/>
                <w:sz w:val="20"/>
                <w:szCs w:val="20"/>
                <w:lang w:eastAsia="en-IN"/>
              </w:rPr>
            </w:pPr>
          </w:p>
        </w:tc>
        <w:tc>
          <w:tcPr>
            <w:tcW w:w="362" w:type="pct"/>
            <w:hideMark/>
          </w:tcPr>
          <w:p w14:paraId="75957876" w14:textId="77777777" w:rsidR="002614D4" w:rsidRPr="00FF6F6B" w:rsidRDefault="002614D4" w:rsidP="00147710">
            <w:pPr>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H</w:t>
            </w:r>
          </w:p>
        </w:tc>
        <w:tc>
          <w:tcPr>
            <w:tcW w:w="363" w:type="pct"/>
          </w:tcPr>
          <w:p w14:paraId="023B3B89" w14:textId="77777777" w:rsidR="002614D4" w:rsidRPr="00FF6F6B" w:rsidRDefault="002614D4" w:rsidP="00147710">
            <w:pPr>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M</w:t>
            </w:r>
          </w:p>
        </w:tc>
        <w:tc>
          <w:tcPr>
            <w:tcW w:w="366" w:type="pct"/>
          </w:tcPr>
          <w:p w14:paraId="3567A334" w14:textId="77777777" w:rsidR="002614D4" w:rsidRPr="00FF6F6B" w:rsidRDefault="002614D4" w:rsidP="00147710">
            <w:pPr>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L</w:t>
            </w:r>
          </w:p>
        </w:tc>
        <w:tc>
          <w:tcPr>
            <w:tcW w:w="363" w:type="pct"/>
            <w:hideMark/>
          </w:tcPr>
          <w:p w14:paraId="63ECD0B7" w14:textId="77777777" w:rsidR="002614D4" w:rsidRPr="00FF6F6B" w:rsidRDefault="002614D4" w:rsidP="00147710">
            <w:pPr>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H</w:t>
            </w:r>
          </w:p>
        </w:tc>
        <w:tc>
          <w:tcPr>
            <w:tcW w:w="364" w:type="pct"/>
          </w:tcPr>
          <w:p w14:paraId="0F0FF09F" w14:textId="77777777" w:rsidR="002614D4" w:rsidRPr="00FF6F6B" w:rsidRDefault="002614D4" w:rsidP="00147710">
            <w:pPr>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M</w:t>
            </w:r>
          </w:p>
        </w:tc>
        <w:tc>
          <w:tcPr>
            <w:tcW w:w="366" w:type="pct"/>
          </w:tcPr>
          <w:p w14:paraId="718ECC11" w14:textId="77777777" w:rsidR="002614D4" w:rsidRPr="00FF6F6B" w:rsidRDefault="002614D4" w:rsidP="00147710">
            <w:pPr>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L</w:t>
            </w:r>
          </w:p>
        </w:tc>
      </w:tr>
      <w:tr w:rsidR="00FF6F6B" w:rsidRPr="00FF6F6B" w14:paraId="646251C4" w14:textId="77777777" w:rsidTr="00147710">
        <w:tc>
          <w:tcPr>
            <w:tcW w:w="211" w:type="pct"/>
            <w:hideMark/>
          </w:tcPr>
          <w:p w14:paraId="04247260" w14:textId="77777777" w:rsidR="00EA6284" w:rsidRPr="00FF6F6B" w:rsidRDefault="00EA6284" w:rsidP="002614D4">
            <w:pPr>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1</w:t>
            </w:r>
          </w:p>
        </w:tc>
        <w:tc>
          <w:tcPr>
            <w:tcW w:w="2605" w:type="pct"/>
            <w:hideMark/>
          </w:tcPr>
          <w:p w14:paraId="0544902A" w14:textId="77777777" w:rsidR="00EA6284" w:rsidRPr="00FF6F6B" w:rsidRDefault="00EA6284" w:rsidP="00DD74F9">
            <w:pP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 xml:space="preserve">Land preparation </w:t>
            </w:r>
          </w:p>
        </w:tc>
        <w:tc>
          <w:tcPr>
            <w:tcW w:w="362" w:type="pct"/>
            <w:vAlign w:val="bottom"/>
          </w:tcPr>
          <w:p w14:paraId="325B5315" w14:textId="77777777" w:rsidR="00EA6284" w:rsidRPr="00FF6F6B" w:rsidRDefault="00EA6284" w:rsidP="00EA6284">
            <w:pPr>
              <w:jc w:val="right"/>
              <w:rPr>
                <w:rFonts w:ascii="Times New Roman" w:hAnsi="Times New Roman" w:cs="Times New Roman"/>
                <w:sz w:val="20"/>
                <w:szCs w:val="20"/>
              </w:rPr>
            </w:pPr>
            <w:r w:rsidRPr="00FF6F6B">
              <w:rPr>
                <w:rFonts w:ascii="Times New Roman" w:hAnsi="Times New Roman" w:cs="Times New Roman"/>
                <w:sz w:val="20"/>
                <w:szCs w:val="20"/>
              </w:rPr>
              <w:t>62.67</w:t>
            </w:r>
          </w:p>
        </w:tc>
        <w:tc>
          <w:tcPr>
            <w:tcW w:w="363" w:type="pct"/>
            <w:vAlign w:val="bottom"/>
          </w:tcPr>
          <w:p w14:paraId="748F0C77"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30.67</w:t>
            </w:r>
          </w:p>
        </w:tc>
        <w:tc>
          <w:tcPr>
            <w:tcW w:w="366" w:type="pct"/>
            <w:vAlign w:val="bottom"/>
          </w:tcPr>
          <w:p w14:paraId="2EDE2825"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6.66</w:t>
            </w:r>
          </w:p>
        </w:tc>
        <w:tc>
          <w:tcPr>
            <w:tcW w:w="363" w:type="pct"/>
            <w:vAlign w:val="bottom"/>
          </w:tcPr>
          <w:p w14:paraId="1BB6D11C"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45.33</w:t>
            </w:r>
          </w:p>
        </w:tc>
        <w:tc>
          <w:tcPr>
            <w:tcW w:w="364" w:type="pct"/>
            <w:vAlign w:val="bottom"/>
          </w:tcPr>
          <w:p w14:paraId="4F80E574"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28.00</w:t>
            </w:r>
          </w:p>
        </w:tc>
        <w:tc>
          <w:tcPr>
            <w:tcW w:w="366" w:type="pct"/>
            <w:vAlign w:val="bottom"/>
          </w:tcPr>
          <w:p w14:paraId="1EEF7B85"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26.67</w:t>
            </w:r>
          </w:p>
        </w:tc>
      </w:tr>
      <w:tr w:rsidR="00FF6F6B" w:rsidRPr="00FF6F6B" w14:paraId="5D0A1CFC" w14:textId="77777777" w:rsidTr="00147710">
        <w:tc>
          <w:tcPr>
            <w:tcW w:w="211" w:type="pct"/>
            <w:hideMark/>
          </w:tcPr>
          <w:p w14:paraId="2AE7ABBD" w14:textId="77777777" w:rsidR="00EA6284" w:rsidRPr="00FF6F6B" w:rsidRDefault="00EA6284" w:rsidP="002614D4">
            <w:pPr>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2</w:t>
            </w:r>
          </w:p>
        </w:tc>
        <w:tc>
          <w:tcPr>
            <w:tcW w:w="2605" w:type="pct"/>
            <w:hideMark/>
          </w:tcPr>
          <w:p w14:paraId="14B43BD8" w14:textId="77777777" w:rsidR="00EA6284" w:rsidRPr="00FF6F6B" w:rsidRDefault="00EA6284" w:rsidP="00DD74F9">
            <w:pP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 xml:space="preserve">Seed rate </w:t>
            </w:r>
          </w:p>
        </w:tc>
        <w:tc>
          <w:tcPr>
            <w:tcW w:w="362" w:type="pct"/>
            <w:vAlign w:val="bottom"/>
          </w:tcPr>
          <w:p w14:paraId="61687A33" w14:textId="77777777" w:rsidR="00EA6284" w:rsidRPr="00FF6F6B" w:rsidRDefault="00EA6284" w:rsidP="00EA6284">
            <w:pPr>
              <w:jc w:val="right"/>
              <w:rPr>
                <w:rFonts w:ascii="Times New Roman" w:hAnsi="Times New Roman" w:cs="Times New Roman"/>
                <w:sz w:val="20"/>
                <w:szCs w:val="20"/>
              </w:rPr>
            </w:pPr>
            <w:r w:rsidRPr="00FF6F6B">
              <w:rPr>
                <w:rFonts w:ascii="Times New Roman" w:hAnsi="Times New Roman" w:cs="Times New Roman"/>
                <w:sz w:val="20"/>
                <w:szCs w:val="20"/>
              </w:rPr>
              <w:t>68.00</w:t>
            </w:r>
          </w:p>
        </w:tc>
        <w:tc>
          <w:tcPr>
            <w:tcW w:w="363" w:type="pct"/>
            <w:vAlign w:val="bottom"/>
          </w:tcPr>
          <w:p w14:paraId="0024E13B"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30.67</w:t>
            </w:r>
          </w:p>
        </w:tc>
        <w:tc>
          <w:tcPr>
            <w:tcW w:w="366" w:type="pct"/>
            <w:vAlign w:val="bottom"/>
          </w:tcPr>
          <w:p w14:paraId="21E13AB9"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1.33</w:t>
            </w:r>
          </w:p>
        </w:tc>
        <w:tc>
          <w:tcPr>
            <w:tcW w:w="363" w:type="pct"/>
            <w:vAlign w:val="bottom"/>
          </w:tcPr>
          <w:p w14:paraId="58969E14"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41.33</w:t>
            </w:r>
          </w:p>
        </w:tc>
        <w:tc>
          <w:tcPr>
            <w:tcW w:w="364" w:type="pct"/>
            <w:vAlign w:val="bottom"/>
          </w:tcPr>
          <w:p w14:paraId="253B4972"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25.33</w:t>
            </w:r>
          </w:p>
        </w:tc>
        <w:tc>
          <w:tcPr>
            <w:tcW w:w="366" w:type="pct"/>
            <w:vAlign w:val="bottom"/>
          </w:tcPr>
          <w:p w14:paraId="6E7D6EA2"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33.33</w:t>
            </w:r>
          </w:p>
        </w:tc>
      </w:tr>
      <w:tr w:rsidR="00FF6F6B" w:rsidRPr="00FF6F6B" w14:paraId="5D5E5EB4" w14:textId="77777777" w:rsidTr="00147710">
        <w:tc>
          <w:tcPr>
            <w:tcW w:w="211" w:type="pct"/>
            <w:hideMark/>
          </w:tcPr>
          <w:p w14:paraId="6806CB2F" w14:textId="77777777" w:rsidR="00EA6284" w:rsidRPr="00FF6F6B" w:rsidRDefault="00EA6284" w:rsidP="002614D4">
            <w:pPr>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3</w:t>
            </w:r>
          </w:p>
        </w:tc>
        <w:tc>
          <w:tcPr>
            <w:tcW w:w="2605" w:type="pct"/>
            <w:hideMark/>
          </w:tcPr>
          <w:p w14:paraId="67ADA988" w14:textId="77777777" w:rsidR="00EA6284" w:rsidRPr="00FF6F6B" w:rsidRDefault="00EA6284" w:rsidP="00DD74F9">
            <w:pP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 xml:space="preserve">Recommended spacing </w:t>
            </w:r>
          </w:p>
        </w:tc>
        <w:tc>
          <w:tcPr>
            <w:tcW w:w="362" w:type="pct"/>
            <w:vAlign w:val="bottom"/>
          </w:tcPr>
          <w:p w14:paraId="0C4DAFFC" w14:textId="77777777" w:rsidR="00EA6284" w:rsidRPr="00FF6F6B" w:rsidRDefault="00EA6284" w:rsidP="00EA6284">
            <w:pPr>
              <w:jc w:val="right"/>
              <w:rPr>
                <w:rFonts w:ascii="Times New Roman" w:hAnsi="Times New Roman" w:cs="Times New Roman"/>
                <w:sz w:val="20"/>
                <w:szCs w:val="20"/>
              </w:rPr>
            </w:pPr>
            <w:r w:rsidRPr="00FF6F6B">
              <w:rPr>
                <w:rFonts w:ascii="Times New Roman" w:hAnsi="Times New Roman" w:cs="Times New Roman"/>
                <w:sz w:val="20"/>
                <w:szCs w:val="20"/>
              </w:rPr>
              <w:t>73.33</w:t>
            </w:r>
          </w:p>
        </w:tc>
        <w:tc>
          <w:tcPr>
            <w:tcW w:w="363" w:type="pct"/>
            <w:vAlign w:val="bottom"/>
          </w:tcPr>
          <w:p w14:paraId="1B650767"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22.67</w:t>
            </w:r>
          </w:p>
        </w:tc>
        <w:tc>
          <w:tcPr>
            <w:tcW w:w="366" w:type="pct"/>
            <w:vAlign w:val="bottom"/>
          </w:tcPr>
          <w:p w14:paraId="0DD9BE62"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4.00</w:t>
            </w:r>
          </w:p>
        </w:tc>
        <w:tc>
          <w:tcPr>
            <w:tcW w:w="363" w:type="pct"/>
            <w:vAlign w:val="bottom"/>
          </w:tcPr>
          <w:p w14:paraId="75695F69"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44.00</w:t>
            </w:r>
          </w:p>
        </w:tc>
        <w:tc>
          <w:tcPr>
            <w:tcW w:w="364" w:type="pct"/>
            <w:vAlign w:val="bottom"/>
          </w:tcPr>
          <w:p w14:paraId="667E269E"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30.67</w:t>
            </w:r>
          </w:p>
        </w:tc>
        <w:tc>
          <w:tcPr>
            <w:tcW w:w="366" w:type="pct"/>
            <w:vAlign w:val="bottom"/>
          </w:tcPr>
          <w:p w14:paraId="109C75C2"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25.33</w:t>
            </w:r>
          </w:p>
        </w:tc>
      </w:tr>
      <w:tr w:rsidR="00FF6F6B" w:rsidRPr="00FF6F6B" w14:paraId="3410C3FB" w14:textId="77777777" w:rsidTr="00147710">
        <w:tc>
          <w:tcPr>
            <w:tcW w:w="211" w:type="pct"/>
            <w:hideMark/>
          </w:tcPr>
          <w:p w14:paraId="08640752" w14:textId="77777777" w:rsidR="00EA6284" w:rsidRPr="00FF6F6B" w:rsidRDefault="00EA6284" w:rsidP="002614D4">
            <w:pPr>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4</w:t>
            </w:r>
          </w:p>
        </w:tc>
        <w:tc>
          <w:tcPr>
            <w:tcW w:w="2605" w:type="pct"/>
            <w:hideMark/>
          </w:tcPr>
          <w:p w14:paraId="007985CC" w14:textId="77777777" w:rsidR="00EA6284" w:rsidRPr="00FF6F6B" w:rsidRDefault="00EA6284" w:rsidP="00DD74F9">
            <w:pP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 xml:space="preserve">Seed treatment </w:t>
            </w:r>
          </w:p>
        </w:tc>
        <w:tc>
          <w:tcPr>
            <w:tcW w:w="362" w:type="pct"/>
            <w:vAlign w:val="bottom"/>
          </w:tcPr>
          <w:p w14:paraId="510E8EA4" w14:textId="77777777" w:rsidR="00EA6284" w:rsidRPr="00FF6F6B" w:rsidRDefault="00EA6284" w:rsidP="00EA6284">
            <w:pPr>
              <w:jc w:val="right"/>
              <w:rPr>
                <w:rFonts w:ascii="Times New Roman" w:hAnsi="Times New Roman" w:cs="Times New Roman"/>
                <w:sz w:val="20"/>
                <w:szCs w:val="20"/>
              </w:rPr>
            </w:pPr>
            <w:r w:rsidRPr="00FF6F6B">
              <w:rPr>
                <w:rFonts w:ascii="Times New Roman" w:hAnsi="Times New Roman" w:cs="Times New Roman"/>
                <w:sz w:val="20"/>
                <w:szCs w:val="20"/>
              </w:rPr>
              <w:t>53.33</w:t>
            </w:r>
          </w:p>
        </w:tc>
        <w:tc>
          <w:tcPr>
            <w:tcW w:w="363" w:type="pct"/>
            <w:vAlign w:val="bottom"/>
          </w:tcPr>
          <w:p w14:paraId="368317E0"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32.00</w:t>
            </w:r>
          </w:p>
        </w:tc>
        <w:tc>
          <w:tcPr>
            <w:tcW w:w="366" w:type="pct"/>
            <w:vAlign w:val="bottom"/>
          </w:tcPr>
          <w:p w14:paraId="5E37B9B3"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14.67</w:t>
            </w:r>
          </w:p>
        </w:tc>
        <w:tc>
          <w:tcPr>
            <w:tcW w:w="363" w:type="pct"/>
            <w:vAlign w:val="bottom"/>
          </w:tcPr>
          <w:p w14:paraId="1ADBF341"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32.00</w:t>
            </w:r>
          </w:p>
        </w:tc>
        <w:tc>
          <w:tcPr>
            <w:tcW w:w="364" w:type="pct"/>
            <w:vAlign w:val="bottom"/>
          </w:tcPr>
          <w:p w14:paraId="030FB552"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14.67</w:t>
            </w:r>
          </w:p>
        </w:tc>
        <w:tc>
          <w:tcPr>
            <w:tcW w:w="366" w:type="pct"/>
            <w:vAlign w:val="bottom"/>
          </w:tcPr>
          <w:p w14:paraId="0CABC0D1"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53.33</w:t>
            </w:r>
          </w:p>
        </w:tc>
      </w:tr>
      <w:tr w:rsidR="00FF6F6B" w:rsidRPr="00FF6F6B" w14:paraId="27524945" w14:textId="77777777" w:rsidTr="00147710">
        <w:tc>
          <w:tcPr>
            <w:tcW w:w="211" w:type="pct"/>
            <w:hideMark/>
          </w:tcPr>
          <w:p w14:paraId="023B4B8B" w14:textId="77777777" w:rsidR="00EA6284" w:rsidRPr="00FF6F6B" w:rsidRDefault="00EA6284" w:rsidP="002614D4">
            <w:pPr>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5</w:t>
            </w:r>
          </w:p>
        </w:tc>
        <w:tc>
          <w:tcPr>
            <w:tcW w:w="2605" w:type="pct"/>
            <w:hideMark/>
          </w:tcPr>
          <w:p w14:paraId="37CDD625" w14:textId="77777777" w:rsidR="00EA6284" w:rsidRPr="00FF6F6B" w:rsidRDefault="00EA6284" w:rsidP="00DD74F9">
            <w:pP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Transplanting at the right stage</w:t>
            </w:r>
          </w:p>
        </w:tc>
        <w:tc>
          <w:tcPr>
            <w:tcW w:w="362" w:type="pct"/>
            <w:vAlign w:val="bottom"/>
          </w:tcPr>
          <w:p w14:paraId="6E9D25F1" w14:textId="77777777" w:rsidR="00EA6284" w:rsidRPr="00FF6F6B" w:rsidRDefault="00EA6284" w:rsidP="00EA6284">
            <w:pPr>
              <w:jc w:val="right"/>
              <w:rPr>
                <w:rFonts w:ascii="Times New Roman" w:hAnsi="Times New Roman" w:cs="Times New Roman"/>
                <w:sz w:val="20"/>
                <w:szCs w:val="20"/>
              </w:rPr>
            </w:pPr>
            <w:r w:rsidRPr="00FF6F6B">
              <w:rPr>
                <w:rFonts w:ascii="Times New Roman" w:hAnsi="Times New Roman" w:cs="Times New Roman"/>
                <w:sz w:val="20"/>
                <w:szCs w:val="20"/>
              </w:rPr>
              <w:t>64.00</w:t>
            </w:r>
          </w:p>
        </w:tc>
        <w:tc>
          <w:tcPr>
            <w:tcW w:w="363" w:type="pct"/>
            <w:vAlign w:val="bottom"/>
          </w:tcPr>
          <w:p w14:paraId="1DC57534"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20.00</w:t>
            </w:r>
          </w:p>
        </w:tc>
        <w:tc>
          <w:tcPr>
            <w:tcW w:w="366" w:type="pct"/>
            <w:vAlign w:val="bottom"/>
          </w:tcPr>
          <w:p w14:paraId="3B2E2009"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16</w:t>
            </w:r>
          </w:p>
        </w:tc>
        <w:tc>
          <w:tcPr>
            <w:tcW w:w="363" w:type="pct"/>
            <w:vAlign w:val="bottom"/>
          </w:tcPr>
          <w:p w14:paraId="738FD26E"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46.67</w:t>
            </w:r>
          </w:p>
        </w:tc>
        <w:tc>
          <w:tcPr>
            <w:tcW w:w="364" w:type="pct"/>
            <w:vAlign w:val="bottom"/>
          </w:tcPr>
          <w:p w14:paraId="6F88CC01"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29.33</w:t>
            </w:r>
          </w:p>
        </w:tc>
        <w:tc>
          <w:tcPr>
            <w:tcW w:w="366" w:type="pct"/>
            <w:vAlign w:val="bottom"/>
          </w:tcPr>
          <w:p w14:paraId="6E0740EA"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24</w:t>
            </w:r>
            <w:r w:rsidR="002614D4" w:rsidRPr="00FF6F6B">
              <w:rPr>
                <w:rFonts w:ascii="Times New Roman" w:hAnsi="Times New Roman" w:cs="Times New Roman"/>
                <w:sz w:val="20"/>
                <w:szCs w:val="20"/>
              </w:rPr>
              <w:t>.00</w:t>
            </w:r>
          </w:p>
        </w:tc>
      </w:tr>
      <w:tr w:rsidR="00FF6F6B" w:rsidRPr="00FF6F6B" w14:paraId="3F07B1ED" w14:textId="77777777" w:rsidTr="00147710">
        <w:tc>
          <w:tcPr>
            <w:tcW w:w="211" w:type="pct"/>
            <w:hideMark/>
          </w:tcPr>
          <w:p w14:paraId="1AD1A413" w14:textId="77777777" w:rsidR="00EA6284" w:rsidRPr="00FF6F6B" w:rsidRDefault="00EA6284" w:rsidP="002614D4">
            <w:pPr>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6</w:t>
            </w:r>
          </w:p>
        </w:tc>
        <w:tc>
          <w:tcPr>
            <w:tcW w:w="2605" w:type="pct"/>
            <w:hideMark/>
          </w:tcPr>
          <w:p w14:paraId="779035BB" w14:textId="77777777" w:rsidR="00EA6284" w:rsidRPr="00FF6F6B" w:rsidRDefault="00DD74F9" w:rsidP="00DD74F9">
            <w:pP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Application of r</w:t>
            </w:r>
            <w:r w:rsidR="00EA6284" w:rsidRPr="00FF6F6B">
              <w:rPr>
                <w:rFonts w:ascii="Times New Roman" w:eastAsia="Times New Roman" w:hAnsi="Times New Roman" w:cs="Times New Roman"/>
                <w:sz w:val="20"/>
                <w:szCs w:val="20"/>
                <w:lang w:eastAsia="en-IN"/>
              </w:rPr>
              <w:t xml:space="preserve">ecommended fertilizer dose </w:t>
            </w:r>
          </w:p>
        </w:tc>
        <w:tc>
          <w:tcPr>
            <w:tcW w:w="362" w:type="pct"/>
            <w:vAlign w:val="bottom"/>
          </w:tcPr>
          <w:p w14:paraId="726A360D" w14:textId="77777777" w:rsidR="00EA6284" w:rsidRPr="00FF6F6B" w:rsidRDefault="00EA6284" w:rsidP="00EA6284">
            <w:pPr>
              <w:jc w:val="right"/>
              <w:rPr>
                <w:rFonts w:ascii="Times New Roman" w:hAnsi="Times New Roman" w:cs="Times New Roman"/>
                <w:sz w:val="20"/>
                <w:szCs w:val="20"/>
              </w:rPr>
            </w:pPr>
            <w:r w:rsidRPr="00FF6F6B">
              <w:rPr>
                <w:rFonts w:ascii="Times New Roman" w:hAnsi="Times New Roman" w:cs="Times New Roman"/>
                <w:sz w:val="20"/>
                <w:szCs w:val="20"/>
              </w:rPr>
              <w:t>58.67</w:t>
            </w:r>
          </w:p>
        </w:tc>
        <w:tc>
          <w:tcPr>
            <w:tcW w:w="363" w:type="pct"/>
            <w:vAlign w:val="bottom"/>
          </w:tcPr>
          <w:p w14:paraId="6FA878F2"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24.00</w:t>
            </w:r>
          </w:p>
        </w:tc>
        <w:tc>
          <w:tcPr>
            <w:tcW w:w="366" w:type="pct"/>
            <w:vAlign w:val="bottom"/>
          </w:tcPr>
          <w:p w14:paraId="2D34CF3B"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17.33</w:t>
            </w:r>
          </w:p>
        </w:tc>
        <w:tc>
          <w:tcPr>
            <w:tcW w:w="363" w:type="pct"/>
            <w:vAlign w:val="bottom"/>
          </w:tcPr>
          <w:p w14:paraId="5DFED2E3"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37.33</w:t>
            </w:r>
          </w:p>
        </w:tc>
        <w:tc>
          <w:tcPr>
            <w:tcW w:w="364" w:type="pct"/>
            <w:vAlign w:val="bottom"/>
          </w:tcPr>
          <w:p w14:paraId="13ED411C"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32.00</w:t>
            </w:r>
          </w:p>
        </w:tc>
        <w:tc>
          <w:tcPr>
            <w:tcW w:w="366" w:type="pct"/>
            <w:vAlign w:val="bottom"/>
          </w:tcPr>
          <w:p w14:paraId="0FE77F34"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30.67</w:t>
            </w:r>
          </w:p>
        </w:tc>
      </w:tr>
      <w:tr w:rsidR="00FF6F6B" w:rsidRPr="00FF6F6B" w14:paraId="54F174A4" w14:textId="77777777" w:rsidTr="00147710">
        <w:tc>
          <w:tcPr>
            <w:tcW w:w="211" w:type="pct"/>
            <w:hideMark/>
          </w:tcPr>
          <w:p w14:paraId="2541A83E" w14:textId="77777777" w:rsidR="00EA6284" w:rsidRPr="00FF6F6B" w:rsidRDefault="00EA6284" w:rsidP="002614D4">
            <w:pPr>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7</w:t>
            </w:r>
          </w:p>
        </w:tc>
        <w:tc>
          <w:tcPr>
            <w:tcW w:w="2605" w:type="pct"/>
            <w:hideMark/>
          </w:tcPr>
          <w:p w14:paraId="62E00F83" w14:textId="77777777" w:rsidR="00EA6284" w:rsidRPr="00FF6F6B" w:rsidRDefault="00EA6284" w:rsidP="00EA6284">
            <w:pP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Use of mulching and proper irrigation methods</w:t>
            </w:r>
          </w:p>
        </w:tc>
        <w:tc>
          <w:tcPr>
            <w:tcW w:w="362" w:type="pct"/>
            <w:vAlign w:val="bottom"/>
          </w:tcPr>
          <w:p w14:paraId="48C00F3F" w14:textId="77777777" w:rsidR="00EA6284" w:rsidRPr="00FF6F6B" w:rsidRDefault="00EA6284" w:rsidP="00EA6284">
            <w:pPr>
              <w:jc w:val="right"/>
              <w:rPr>
                <w:rFonts w:ascii="Times New Roman" w:hAnsi="Times New Roman" w:cs="Times New Roman"/>
                <w:sz w:val="20"/>
                <w:szCs w:val="20"/>
              </w:rPr>
            </w:pPr>
            <w:r w:rsidRPr="00FF6F6B">
              <w:rPr>
                <w:rFonts w:ascii="Times New Roman" w:hAnsi="Times New Roman" w:cs="Times New Roman"/>
                <w:sz w:val="20"/>
                <w:szCs w:val="20"/>
              </w:rPr>
              <w:t>69.33</w:t>
            </w:r>
          </w:p>
        </w:tc>
        <w:tc>
          <w:tcPr>
            <w:tcW w:w="363" w:type="pct"/>
            <w:vAlign w:val="bottom"/>
          </w:tcPr>
          <w:p w14:paraId="0B15CAFE"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22.67</w:t>
            </w:r>
          </w:p>
        </w:tc>
        <w:tc>
          <w:tcPr>
            <w:tcW w:w="366" w:type="pct"/>
            <w:vAlign w:val="bottom"/>
          </w:tcPr>
          <w:p w14:paraId="5E19235A"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8.00</w:t>
            </w:r>
          </w:p>
        </w:tc>
        <w:tc>
          <w:tcPr>
            <w:tcW w:w="363" w:type="pct"/>
            <w:vAlign w:val="bottom"/>
          </w:tcPr>
          <w:p w14:paraId="056E0C90"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49.33</w:t>
            </w:r>
          </w:p>
        </w:tc>
        <w:tc>
          <w:tcPr>
            <w:tcW w:w="364" w:type="pct"/>
            <w:vAlign w:val="bottom"/>
          </w:tcPr>
          <w:p w14:paraId="69E4B41F"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21.33</w:t>
            </w:r>
          </w:p>
        </w:tc>
        <w:tc>
          <w:tcPr>
            <w:tcW w:w="366" w:type="pct"/>
            <w:vAlign w:val="bottom"/>
          </w:tcPr>
          <w:p w14:paraId="05DEF1DE"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29.33</w:t>
            </w:r>
          </w:p>
        </w:tc>
      </w:tr>
      <w:tr w:rsidR="00FF6F6B" w:rsidRPr="00FF6F6B" w14:paraId="6E939CB5" w14:textId="77777777" w:rsidTr="00147710">
        <w:tc>
          <w:tcPr>
            <w:tcW w:w="211" w:type="pct"/>
            <w:hideMark/>
          </w:tcPr>
          <w:p w14:paraId="4E148ABF" w14:textId="77777777" w:rsidR="00EA6284" w:rsidRPr="00FF6F6B" w:rsidRDefault="00EA6284" w:rsidP="002614D4">
            <w:pPr>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8</w:t>
            </w:r>
          </w:p>
        </w:tc>
        <w:tc>
          <w:tcPr>
            <w:tcW w:w="2605" w:type="pct"/>
            <w:hideMark/>
          </w:tcPr>
          <w:p w14:paraId="051BB30F" w14:textId="77777777" w:rsidR="00EA6284" w:rsidRPr="00FF6F6B" w:rsidRDefault="00EA6284" w:rsidP="00EA6284">
            <w:pP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Integrated pest and disease management practices followed</w:t>
            </w:r>
          </w:p>
        </w:tc>
        <w:tc>
          <w:tcPr>
            <w:tcW w:w="362" w:type="pct"/>
            <w:vAlign w:val="bottom"/>
          </w:tcPr>
          <w:p w14:paraId="12B0E89F" w14:textId="77777777" w:rsidR="00EA6284" w:rsidRPr="00FF6F6B" w:rsidRDefault="00EA6284" w:rsidP="00EA6284">
            <w:pPr>
              <w:jc w:val="right"/>
              <w:rPr>
                <w:rFonts w:ascii="Times New Roman" w:hAnsi="Times New Roman" w:cs="Times New Roman"/>
                <w:sz w:val="20"/>
                <w:szCs w:val="20"/>
              </w:rPr>
            </w:pPr>
            <w:r w:rsidRPr="00FF6F6B">
              <w:rPr>
                <w:rFonts w:ascii="Times New Roman" w:hAnsi="Times New Roman" w:cs="Times New Roman"/>
                <w:sz w:val="20"/>
                <w:szCs w:val="20"/>
              </w:rPr>
              <w:t>57.33</w:t>
            </w:r>
          </w:p>
        </w:tc>
        <w:tc>
          <w:tcPr>
            <w:tcW w:w="363" w:type="pct"/>
            <w:vAlign w:val="bottom"/>
          </w:tcPr>
          <w:p w14:paraId="27D8C8A5"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28.00</w:t>
            </w:r>
          </w:p>
        </w:tc>
        <w:tc>
          <w:tcPr>
            <w:tcW w:w="366" w:type="pct"/>
            <w:vAlign w:val="bottom"/>
          </w:tcPr>
          <w:p w14:paraId="42963436"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14.67</w:t>
            </w:r>
          </w:p>
        </w:tc>
        <w:tc>
          <w:tcPr>
            <w:tcW w:w="363" w:type="pct"/>
            <w:vAlign w:val="bottom"/>
          </w:tcPr>
          <w:p w14:paraId="175DE665"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30.67</w:t>
            </w:r>
          </w:p>
        </w:tc>
        <w:tc>
          <w:tcPr>
            <w:tcW w:w="364" w:type="pct"/>
            <w:vAlign w:val="bottom"/>
          </w:tcPr>
          <w:p w14:paraId="085C5DF4"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25.33</w:t>
            </w:r>
          </w:p>
        </w:tc>
        <w:tc>
          <w:tcPr>
            <w:tcW w:w="366" w:type="pct"/>
            <w:vAlign w:val="bottom"/>
          </w:tcPr>
          <w:p w14:paraId="5A8D0207"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44.00</w:t>
            </w:r>
          </w:p>
        </w:tc>
      </w:tr>
      <w:tr w:rsidR="00FF6F6B" w:rsidRPr="00FF6F6B" w14:paraId="47C23586" w14:textId="77777777" w:rsidTr="00147710">
        <w:tc>
          <w:tcPr>
            <w:tcW w:w="211" w:type="pct"/>
            <w:hideMark/>
          </w:tcPr>
          <w:p w14:paraId="2FEFC79D" w14:textId="77777777" w:rsidR="00EA6284" w:rsidRPr="00FF6F6B" w:rsidRDefault="00EA6284" w:rsidP="002614D4">
            <w:pPr>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9</w:t>
            </w:r>
          </w:p>
        </w:tc>
        <w:tc>
          <w:tcPr>
            <w:tcW w:w="2605" w:type="pct"/>
            <w:hideMark/>
          </w:tcPr>
          <w:p w14:paraId="1CC98F41" w14:textId="77777777" w:rsidR="00EA6284" w:rsidRPr="00FF6F6B" w:rsidRDefault="00EA6284" w:rsidP="00EA6284">
            <w:pP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Irrigation during head formation and pre-harvest stage</w:t>
            </w:r>
          </w:p>
        </w:tc>
        <w:tc>
          <w:tcPr>
            <w:tcW w:w="362" w:type="pct"/>
            <w:vAlign w:val="bottom"/>
          </w:tcPr>
          <w:p w14:paraId="7B897372" w14:textId="77777777" w:rsidR="00EA6284" w:rsidRPr="00FF6F6B" w:rsidRDefault="00EA6284" w:rsidP="00EA6284">
            <w:pPr>
              <w:jc w:val="right"/>
              <w:rPr>
                <w:rFonts w:ascii="Times New Roman" w:hAnsi="Times New Roman" w:cs="Times New Roman"/>
                <w:sz w:val="20"/>
                <w:szCs w:val="20"/>
              </w:rPr>
            </w:pPr>
            <w:r w:rsidRPr="00FF6F6B">
              <w:rPr>
                <w:rFonts w:ascii="Times New Roman" w:hAnsi="Times New Roman" w:cs="Times New Roman"/>
                <w:sz w:val="20"/>
                <w:szCs w:val="20"/>
              </w:rPr>
              <w:t>54.67</w:t>
            </w:r>
          </w:p>
        </w:tc>
        <w:tc>
          <w:tcPr>
            <w:tcW w:w="363" w:type="pct"/>
            <w:vAlign w:val="bottom"/>
          </w:tcPr>
          <w:p w14:paraId="631EDD84"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26.67</w:t>
            </w:r>
          </w:p>
        </w:tc>
        <w:tc>
          <w:tcPr>
            <w:tcW w:w="366" w:type="pct"/>
            <w:vAlign w:val="bottom"/>
          </w:tcPr>
          <w:p w14:paraId="3224E998"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18.67</w:t>
            </w:r>
          </w:p>
        </w:tc>
        <w:tc>
          <w:tcPr>
            <w:tcW w:w="363" w:type="pct"/>
            <w:vAlign w:val="bottom"/>
          </w:tcPr>
          <w:p w14:paraId="4D22417D"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25.33</w:t>
            </w:r>
          </w:p>
        </w:tc>
        <w:tc>
          <w:tcPr>
            <w:tcW w:w="364" w:type="pct"/>
            <w:vAlign w:val="bottom"/>
          </w:tcPr>
          <w:p w14:paraId="36372703"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33.33</w:t>
            </w:r>
          </w:p>
        </w:tc>
        <w:tc>
          <w:tcPr>
            <w:tcW w:w="366" w:type="pct"/>
            <w:vAlign w:val="bottom"/>
          </w:tcPr>
          <w:p w14:paraId="7CE06651"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41.33</w:t>
            </w:r>
          </w:p>
        </w:tc>
      </w:tr>
      <w:tr w:rsidR="00FF6F6B" w:rsidRPr="00FF6F6B" w14:paraId="3DA8CC12" w14:textId="77777777" w:rsidTr="00147710">
        <w:tc>
          <w:tcPr>
            <w:tcW w:w="211" w:type="pct"/>
            <w:hideMark/>
          </w:tcPr>
          <w:p w14:paraId="008C3884" w14:textId="77777777" w:rsidR="00EA6284" w:rsidRPr="00FF6F6B" w:rsidRDefault="00EA6284" w:rsidP="002614D4">
            <w:pPr>
              <w:ind w:right="-88"/>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10</w:t>
            </w:r>
          </w:p>
        </w:tc>
        <w:tc>
          <w:tcPr>
            <w:tcW w:w="2605" w:type="pct"/>
            <w:hideMark/>
          </w:tcPr>
          <w:p w14:paraId="1E60C379" w14:textId="77777777" w:rsidR="00EA6284" w:rsidRPr="00FF6F6B" w:rsidRDefault="00DD74F9" w:rsidP="00DD74F9">
            <w:pP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Recommended weed control measures</w:t>
            </w:r>
          </w:p>
        </w:tc>
        <w:tc>
          <w:tcPr>
            <w:tcW w:w="362" w:type="pct"/>
            <w:vAlign w:val="bottom"/>
          </w:tcPr>
          <w:p w14:paraId="0137B02F" w14:textId="77777777" w:rsidR="00EA6284" w:rsidRPr="00FF6F6B" w:rsidRDefault="00EA6284" w:rsidP="00EA6284">
            <w:pPr>
              <w:jc w:val="right"/>
              <w:rPr>
                <w:rFonts w:ascii="Times New Roman" w:hAnsi="Times New Roman" w:cs="Times New Roman"/>
                <w:sz w:val="20"/>
                <w:szCs w:val="20"/>
              </w:rPr>
            </w:pPr>
            <w:r w:rsidRPr="00FF6F6B">
              <w:rPr>
                <w:rFonts w:ascii="Times New Roman" w:hAnsi="Times New Roman" w:cs="Times New Roman"/>
                <w:sz w:val="20"/>
                <w:szCs w:val="20"/>
              </w:rPr>
              <w:t>58.67</w:t>
            </w:r>
          </w:p>
        </w:tc>
        <w:tc>
          <w:tcPr>
            <w:tcW w:w="363" w:type="pct"/>
            <w:vAlign w:val="bottom"/>
          </w:tcPr>
          <w:p w14:paraId="506EB508"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34.67</w:t>
            </w:r>
          </w:p>
        </w:tc>
        <w:tc>
          <w:tcPr>
            <w:tcW w:w="366" w:type="pct"/>
            <w:vAlign w:val="bottom"/>
          </w:tcPr>
          <w:p w14:paraId="4223CDB6"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6.66</w:t>
            </w:r>
          </w:p>
        </w:tc>
        <w:tc>
          <w:tcPr>
            <w:tcW w:w="363" w:type="pct"/>
            <w:vAlign w:val="bottom"/>
          </w:tcPr>
          <w:p w14:paraId="7297859F"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34.67</w:t>
            </w:r>
          </w:p>
        </w:tc>
        <w:tc>
          <w:tcPr>
            <w:tcW w:w="364" w:type="pct"/>
            <w:vAlign w:val="bottom"/>
          </w:tcPr>
          <w:p w14:paraId="39EE220B"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33.33</w:t>
            </w:r>
          </w:p>
        </w:tc>
        <w:tc>
          <w:tcPr>
            <w:tcW w:w="366" w:type="pct"/>
            <w:vAlign w:val="bottom"/>
          </w:tcPr>
          <w:p w14:paraId="7F9CCE71"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32</w:t>
            </w:r>
            <w:r w:rsidR="002614D4" w:rsidRPr="00FF6F6B">
              <w:rPr>
                <w:rFonts w:ascii="Times New Roman" w:hAnsi="Times New Roman" w:cs="Times New Roman"/>
                <w:sz w:val="20"/>
                <w:szCs w:val="20"/>
              </w:rPr>
              <w:t>.00</w:t>
            </w:r>
          </w:p>
        </w:tc>
      </w:tr>
      <w:tr w:rsidR="00FF6F6B" w:rsidRPr="00FF6F6B" w14:paraId="1A71FB2E" w14:textId="77777777" w:rsidTr="00147710">
        <w:tc>
          <w:tcPr>
            <w:tcW w:w="211" w:type="pct"/>
            <w:hideMark/>
          </w:tcPr>
          <w:p w14:paraId="0FA9B4AB" w14:textId="77777777" w:rsidR="00EA6284" w:rsidRPr="00FF6F6B" w:rsidRDefault="00EA6284" w:rsidP="002614D4">
            <w:pPr>
              <w:ind w:right="-88"/>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11</w:t>
            </w:r>
          </w:p>
        </w:tc>
        <w:tc>
          <w:tcPr>
            <w:tcW w:w="2605" w:type="pct"/>
            <w:hideMark/>
          </w:tcPr>
          <w:p w14:paraId="7C84CDB3" w14:textId="77777777" w:rsidR="00EA6284" w:rsidRPr="00FF6F6B" w:rsidRDefault="00DD74F9" w:rsidP="00EA6284">
            <w:pP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Harvesting and yield</w:t>
            </w:r>
          </w:p>
        </w:tc>
        <w:tc>
          <w:tcPr>
            <w:tcW w:w="362" w:type="pct"/>
            <w:vAlign w:val="bottom"/>
          </w:tcPr>
          <w:p w14:paraId="0DD4341B" w14:textId="77777777" w:rsidR="00EA6284" w:rsidRPr="00FF6F6B" w:rsidRDefault="00EA6284" w:rsidP="00EA6284">
            <w:pPr>
              <w:jc w:val="right"/>
              <w:rPr>
                <w:rFonts w:ascii="Times New Roman" w:hAnsi="Times New Roman" w:cs="Times New Roman"/>
                <w:sz w:val="20"/>
                <w:szCs w:val="20"/>
              </w:rPr>
            </w:pPr>
            <w:r w:rsidRPr="00FF6F6B">
              <w:rPr>
                <w:rFonts w:ascii="Times New Roman" w:hAnsi="Times New Roman" w:cs="Times New Roman"/>
                <w:sz w:val="20"/>
                <w:szCs w:val="20"/>
              </w:rPr>
              <w:t>49.33</w:t>
            </w:r>
          </w:p>
        </w:tc>
        <w:tc>
          <w:tcPr>
            <w:tcW w:w="363" w:type="pct"/>
            <w:vAlign w:val="bottom"/>
          </w:tcPr>
          <w:p w14:paraId="20DFAED3"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33.33</w:t>
            </w:r>
          </w:p>
        </w:tc>
        <w:tc>
          <w:tcPr>
            <w:tcW w:w="366" w:type="pct"/>
            <w:vAlign w:val="bottom"/>
          </w:tcPr>
          <w:p w14:paraId="4042A547"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17.33</w:t>
            </w:r>
          </w:p>
        </w:tc>
        <w:tc>
          <w:tcPr>
            <w:tcW w:w="363" w:type="pct"/>
            <w:vAlign w:val="bottom"/>
          </w:tcPr>
          <w:p w14:paraId="57CB595A"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33.33</w:t>
            </w:r>
          </w:p>
        </w:tc>
        <w:tc>
          <w:tcPr>
            <w:tcW w:w="364" w:type="pct"/>
            <w:vAlign w:val="bottom"/>
          </w:tcPr>
          <w:p w14:paraId="2F2FB341"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30.67</w:t>
            </w:r>
          </w:p>
        </w:tc>
        <w:tc>
          <w:tcPr>
            <w:tcW w:w="366" w:type="pct"/>
            <w:vAlign w:val="bottom"/>
          </w:tcPr>
          <w:p w14:paraId="53FC8B1F"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36</w:t>
            </w:r>
            <w:r w:rsidR="002614D4" w:rsidRPr="00FF6F6B">
              <w:rPr>
                <w:rFonts w:ascii="Times New Roman" w:hAnsi="Times New Roman" w:cs="Times New Roman"/>
                <w:sz w:val="20"/>
                <w:szCs w:val="20"/>
              </w:rPr>
              <w:t>.00</w:t>
            </w:r>
          </w:p>
        </w:tc>
      </w:tr>
      <w:tr w:rsidR="00FF6F6B" w:rsidRPr="00FF6F6B" w14:paraId="18C8B0D5" w14:textId="77777777" w:rsidTr="00147710">
        <w:tc>
          <w:tcPr>
            <w:tcW w:w="211" w:type="pct"/>
            <w:hideMark/>
          </w:tcPr>
          <w:p w14:paraId="21BDE22A" w14:textId="77777777" w:rsidR="00EA6284" w:rsidRPr="00FF6F6B" w:rsidRDefault="00EA6284" w:rsidP="002614D4">
            <w:pPr>
              <w:ind w:right="-88"/>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12</w:t>
            </w:r>
          </w:p>
        </w:tc>
        <w:tc>
          <w:tcPr>
            <w:tcW w:w="2605" w:type="pct"/>
            <w:hideMark/>
          </w:tcPr>
          <w:p w14:paraId="0C9A1F8E" w14:textId="77777777" w:rsidR="00EA6284" w:rsidRPr="00FF6F6B" w:rsidRDefault="00DD74F9" w:rsidP="00EA6284">
            <w:pP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Post harvesting measures</w:t>
            </w:r>
          </w:p>
        </w:tc>
        <w:tc>
          <w:tcPr>
            <w:tcW w:w="362" w:type="pct"/>
            <w:vAlign w:val="bottom"/>
          </w:tcPr>
          <w:p w14:paraId="0FB94A34" w14:textId="77777777" w:rsidR="00EA6284" w:rsidRPr="00FF6F6B" w:rsidRDefault="00EA6284" w:rsidP="00EA6284">
            <w:pPr>
              <w:jc w:val="right"/>
              <w:rPr>
                <w:rFonts w:ascii="Times New Roman" w:hAnsi="Times New Roman" w:cs="Times New Roman"/>
                <w:sz w:val="20"/>
                <w:szCs w:val="20"/>
              </w:rPr>
            </w:pPr>
            <w:r w:rsidRPr="00FF6F6B">
              <w:rPr>
                <w:rFonts w:ascii="Times New Roman" w:hAnsi="Times New Roman" w:cs="Times New Roman"/>
                <w:sz w:val="20"/>
                <w:szCs w:val="20"/>
              </w:rPr>
              <w:t>46.67</w:t>
            </w:r>
          </w:p>
        </w:tc>
        <w:tc>
          <w:tcPr>
            <w:tcW w:w="363" w:type="pct"/>
            <w:vAlign w:val="bottom"/>
          </w:tcPr>
          <w:p w14:paraId="52606888"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38.67</w:t>
            </w:r>
          </w:p>
        </w:tc>
        <w:tc>
          <w:tcPr>
            <w:tcW w:w="366" w:type="pct"/>
            <w:vAlign w:val="bottom"/>
          </w:tcPr>
          <w:p w14:paraId="579719B9"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14.66</w:t>
            </w:r>
          </w:p>
        </w:tc>
        <w:tc>
          <w:tcPr>
            <w:tcW w:w="363" w:type="pct"/>
            <w:vAlign w:val="bottom"/>
          </w:tcPr>
          <w:p w14:paraId="5AC2B2C2"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38.67</w:t>
            </w:r>
          </w:p>
        </w:tc>
        <w:tc>
          <w:tcPr>
            <w:tcW w:w="364" w:type="pct"/>
            <w:vAlign w:val="bottom"/>
          </w:tcPr>
          <w:p w14:paraId="7A50B389"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14.67</w:t>
            </w:r>
          </w:p>
        </w:tc>
        <w:tc>
          <w:tcPr>
            <w:tcW w:w="366" w:type="pct"/>
            <w:vAlign w:val="bottom"/>
          </w:tcPr>
          <w:p w14:paraId="050480AA" w14:textId="77777777" w:rsidR="00EA6284" w:rsidRPr="00FF6F6B" w:rsidRDefault="00EA6284" w:rsidP="002614D4">
            <w:pPr>
              <w:jc w:val="center"/>
              <w:rPr>
                <w:rFonts w:ascii="Times New Roman" w:hAnsi="Times New Roman" w:cs="Times New Roman"/>
                <w:sz w:val="20"/>
                <w:szCs w:val="20"/>
              </w:rPr>
            </w:pPr>
            <w:r w:rsidRPr="00FF6F6B">
              <w:rPr>
                <w:rFonts w:ascii="Times New Roman" w:hAnsi="Times New Roman" w:cs="Times New Roman"/>
                <w:sz w:val="20"/>
                <w:szCs w:val="20"/>
              </w:rPr>
              <w:t>46.67</w:t>
            </w:r>
          </w:p>
        </w:tc>
      </w:tr>
      <w:tr w:rsidR="00FF6F6B" w:rsidRPr="00FF6F6B" w14:paraId="083CBA86" w14:textId="77777777" w:rsidTr="00147710">
        <w:tc>
          <w:tcPr>
            <w:tcW w:w="211" w:type="pct"/>
          </w:tcPr>
          <w:p w14:paraId="6634A242" w14:textId="77777777" w:rsidR="00147710" w:rsidRPr="00FF6F6B" w:rsidRDefault="00147710" w:rsidP="002614D4">
            <w:pPr>
              <w:ind w:right="-88"/>
              <w:jc w:val="center"/>
              <w:rPr>
                <w:rFonts w:ascii="Times New Roman" w:eastAsia="Times New Roman" w:hAnsi="Times New Roman" w:cs="Times New Roman"/>
                <w:sz w:val="20"/>
                <w:szCs w:val="20"/>
                <w:lang w:eastAsia="en-IN"/>
              </w:rPr>
            </w:pPr>
          </w:p>
        </w:tc>
        <w:tc>
          <w:tcPr>
            <w:tcW w:w="2605" w:type="pct"/>
          </w:tcPr>
          <w:p w14:paraId="0C41B7BD" w14:textId="77777777" w:rsidR="00147710" w:rsidRPr="00FF6F6B" w:rsidRDefault="00147710" w:rsidP="00147710">
            <w:pPr>
              <w:jc w:val="center"/>
              <w:rPr>
                <w:rFonts w:ascii="Times New Roman" w:eastAsia="Times New Roman" w:hAnsi="Times New Roman" w:cs="Times New Roman"/>
                <w:b/>
                <w:sz w:val="20"/>
                <w:szCs w:val="20"/>
                <w:lang w:eastAsia="en-IN"/>
              </w:rPr>
            </w:pPr>
            <w:r w:rsidRPr="00FF6F6B">
              <w:rPr>
                <w:rFonts w:ascii="Times New Roman" w:eastAsia="Times New Roman" w:hAnsi="Times New Roman" w:cs="Times New Roman"/>
                <w:b/>
                <w:sz w:val="20"/>
                <w:szCs w:val="20"/>
                <w:lang w:eastAsia="en-IN"/>
              </w:rPr>
              <w:t>Respondents</w:t>
            </w:r>
          </w:p>
        </w:tc>
        <w:tc>
          <w:tcPr>
            <w:tcW w:w="725" w:type="pct"/>
            <w:gridSpan w:val="2"/>
            <w:vAlign w:val="bottom"/>
          </w:tcPr>
          <w:p w14:paraId="50328781" w14:textId="77777777" w:rsidR="00147710" w:rsidRPr="00FF6F6B" w:rsidRDefault="00147710" w:rsidP="002614D4">
            <w:pPr>
              <w:jc w:val="center"/>
              <w:rPr>
                <w:rFonts w:ascii="Times New Roman" w:hAnsi="Times New Roman" w:cs="Times New Roman"/>
                <w:b/>
                <w:sz w:val="20"/>
                <w:szCs w:val="20"/>
              </w:rPr>
            </w:pPr>
            <w:r w:rsidRPr="00FF6F6B">
              <w:rPr>
                <w:rFonts w:ascii="Times New Roman" w:hAnsi="Times New Roman" w:cs="Times New Roman"/>
                <w:b/>
                <w:sz w:val="20"/>
                <w:szCs w:val="20"/>
              </w:rPr>
              <w:t>Mean</w:t>
            </w:r>
          </w:p>
        </w:tc>
        <w:tc>
          <w:tcPr>
            <w:tcW w:w="729" w:type="pct"/>
            <w:gridSpan w:val="2"/>
            <w:vAlign w:val="bottom"/>
          </w:tcPr>
          <w:p w14:paraId="3D854265" w14:textId="77777777" w:rsidR="00147710" w:rsidRPr="00FF6F6B" w:rsidRDefault="00A77C8E" w:rsidP="002614D4">
            <w:pPr>
              <w:jc w:val="center"/>
              <w:rPr>
                <w:rFonts w:ascii="Times New Roman" w:hAnsi="Times New Roman" w:cs="Times New Roman"/>
                <w:b/>
                <w:sz w:val="20"/>
                <w:szCs w:val="20"/>
              </w:rPr>
            </w:pPr>
            <w:proofErr w:type="spellStart"/>
            <w:r w:rsidRPr="00FF6F6B">
              <w:rPr>
                <w:rFonts w:ascii="Times New Roman" w:hAnsi="Times New Roman" w:cs="Times New Roman"/>
                <w:b/>
                <w:sz w:val="20"/>
                <w:szCs w:val="20"/>
              </w:rPr>
              <w:t>s</w:t>
            </w:r>
            <w:r w:rsidR="00147710" w:rsidRPr="00FF6F6B">
              <w:rPr>
                <w:rFonts w:ascii="Times New Roman" w:hAnsi="Times New Roman" w:cs="Times New Roman"/>
                <w:b/>
                <w:sz w:val="20"/>
                <w:szCs w:val="20"/>
              </w:rPr>
              <w:t>d</w:t>
            </w:r>
            <w:proofErr w:type="spellEnd"/>
          </w:p>
        </w:tc>
        <w:tc>
          <w:tcPr>
            <w:tcW w:w="730" w:type="pct"/>
            <w:gridSpan w:val="2"/>
            <w:vAlign w:val="bottom"/>
          </w:tcPr>
          <w:p w14:paraId="3C50F110" w14:textId="77777777" w:rsidR="00147710" w:rsidRPr="00FF6F6B" w:rsidRDefault="00147710" w:rsidP="002614D4">
            <w:pPr>
              <w:jc w:val="center"/>
              <w:rPr>
                <w:rFonts w:ascii="Times New Roman" w:hAnsi="Times New Roman" w:cs="Times New Roman"/>
                <w:b/>
                <w:sz w:val="20"/>
                <w:szCs w:val="20"/>
              </w:rPr>
            </w:pPr>
            <w:r w:rsidRPr="00FF6F6B">
              <w:rPr>
                <w:rFonts w:ascii="Times New Roman" w:hAnsi="Times New Roman" w:cs="Times New Roman"/>
                <w:b/>
                <w:sz w:val="20"/>
                <w:szCs w:val="20"/>
              </w:rPr>
              <w:t>t value</w:t>
            </w:r>
          </w:p>
        </w:tc>
      </w:tr>
      <w:tr w:rsidR="00FF6F6B" w:rsidRPr="00FF6F6B" w14:paraId="6D300F2C" w14:textId="77777777" w:rsidTr="00147710">
        <w:tc>
          <w:tcPr>
            <w:tcW w:w="211" w:type="pct"/>
          </w:tcPr>
          <w:p w14:paraId="1CCC53A4" w14:textId="77777777" w:rsidR="00147710" w:rsidRPr="00FF6F6B" w:rsidRDefault="00147710" w:rsidP="002614D4">
            <w:pPr>
              <w:ind w:right="-88"/>
              <w:jc w:val="center"/>
              <w:rPr>
                <w:rFonts w:ascii="Times New Roman" w:eastAsia="Times New Roman" w:hAnsi="Times New Roman" w:cs="Times New Roman"/>
                <w:sz w:val="20"/>
                <w:szCs w:val="20"/>
                <w:lang w:eastAsia="en-IN"/>
              </w:rPr>
            </w:pPr>
          </w:p>
        </w:tc>
        <w:tc>
          <w:tcPr>
            <w:tcW w:w="2605" w:type="pct"/>
          </w:tcPr>
          <w:p w14:paraId="65B16D74" w14:textId="77777777" w:rsidR="00147710" w:rsidRPr="00FF6F6B" w:rsidRDefault="00147710" w:rsidP="00EA6284">
            <w:pPr>
              <w:rPr>
                <w:rFonts w:ascii="Times New Roman" w:eastAsia="Times New Roman" w:hAnsi="Times New Roman" w:cs="Times New Roman"/>
                <w:b/>
                <w:i/>
                <w:sz w:val="20"/>
                <w:szCs w:val="20"/>
                <w:lang w:eastAsia="en-IN"/>
              </w:rPr>
            </w:pPr>
            <w:r w:rsidRPr="00FF6F6B">
              <w:rPr>
                <w:rFonts w:ascii="Times New Roman" w:eastAsia="Times New Roman" w:hAnsi="Times New Roman" w:cs="Times New Roman"/>
                <w:b/>
                <w:bCs/>
                <w:i/>
                <w:sz w:val="20"/>
                <w:szCs w:val="20"/>
                <w:lang w:eastAsia="en-IN"/>
              </w:rPr>
              <w:t>Beneficiaries</w:t>
            </w:r>
          </w:p>
        </w:tc>
        <w:tc>
          <w:tcPr>
            <w:tcW w:w="725" w:type="pct"/>
            <w:gridSpan w:val="2"/>
            <w:vAlign w:val="bottom"/>
          </w:tcPr>
          <w:p w14:paraId="62C0E1CA" w14:textId="77777777" w:rsidR="00147710" w:rsidRPr="00FF6F6B" w:rsidRDefault="00A77C8E" w:rsidP="002614D4">
            <w:pPr>
              <w:jc w:val="center"/>
              <w:rPr>
                <w:rFonts w:ascii="Times New Roman" w:hAnsi="Times New Roman" w:cs="Times New Roman"/>
                <w:sz w:val="20"/>
                <w:szCs w:val="20"/>
              </w:rPr>
            </w:pPr>
            <w:r w:rsidRPr="00FF6F6B">
              <w:rPr>
                <w:rFonts w:ascii="Times New Roman" w:hAnsi="Times New Roman" w:cs="Times New Roman"/>
                <w:sz w:val="20"/>
                <w:szCs w:val="20"/>
              </w:rPr>
              <w:t>22.84</w:t>
            </w:r>
          </w:p>
        </w:tc>
        <w:tc>
          <w:tcPr>
            <w:tcW w:w="729" w:type="pct"/>
            <w:gridSpan w:val="2"/>
            <w:vAlign w:val="bottom"/>
          </w:tcPr>
          <w:p w14:paraId="1CA2FCBE" w14:textId="77777777" w:rsidR="00147710" w:rsidRPr="00FF6F6B" w:rsidRDefault="00A77C8E" w:rsidP="002614D4">
            <w:pPr>
              <w:jc w:val="center"/>
              <w:rPr>
                <w:rFonts w:ascii="Times New Roman" w:hAnsi="Times New Roman" w:cs="Times New Roman"/>
                <w:sz w:val="20"/>
                <w:szCs w:val="20"/>
              </w:rPr>
            </w:pPr>
            <w:r w:rsidRPr="00FF6F6B">
              <w:rPr>
                <w:rFonts w:ascii="Times New Roman" w:hAnsi="Times New Roman" w:cs="Times New Roman"/>
                <w:sz w:val="20"/>
                <w:szCs w:val="20"/>
              </w:rPr>
              <w:t>8.65</w:t>
            </w:r>
          </w:p>
        </w:tc>
        <w:tc>
          <w:tcPr>
            <w:tcW w:w="730" w:type="pct"/>
            <w:gridSpan w:val="2"/>
            <w:vAlign w:val="bottom"/>
          </w:tcPr>
          <w:p w14:paraId="33C6D041" w14:textId="77777777" w:rsidR="00147710" w:rsidRPr="00FF6F6B" w:rsidRDefault="00A77C8E" w:rsidP="002614D4">
            <w:pPr>
              <w:jc w:val="center"/>
              <w:rPr>
                <w:rFonts w:ascii="Times New Roman" w:hAnsi="Times New Roman" w:cs="Times New Roman"/>
                <w:sz w:val="20"/>
                <w:szCs w:val="20"/>
              </w:rPr>
            </w:pPr>
            <w:r w:rsidRPr="00FF6F6B">
              <w:rPr>
                <w:rFonts w:ascii="Times New Roman" w:hAnsi="Times New Roman" w:cs="Times New Roman"/>
                <w:sz w:val="20"/>
                <w:szCs w:val="20"/>
              </w:rPr>
              <w:t>1.653</w:t>
            </w:r>
            <w:r w:rsidRPr="00FF6F6B">
              <w:rPr>
                <w:rFonts w:ascii="Times New Roman" w:hAnsi="Times New Roman" w:cs="Times New Roman"/>
                <w:sz w:val="20"/>
                <w:szCs w:val="20"/>
                <w:vertAlign w:val="superscript"/>
              </w:rPr>
              <w:t>**</w:t>
            </w:r>
          </w:p>
        </w:tc>
      </w:tr>
      <w:tr w:rsidR="00FF6F6B" w:rsidRPr="00FF6F6B" w14:paraId="2BD79F45" w14:textId="77777777" w:rsidTr="00147710">
        <w:tc>
          <w:tcPr>
            <w:tcW w:w="211" w:type="pct"/>
          </w:tcPr>
          <w:p w14:paraId="67C308B6" w14:textId="77777777" w:rsidR="00147710" w:rsidRPr="00FF6F6B" w:rsidRDefault="00147710" w:rsidP="002614D4">
            <w:pPr>
              <w:ind w:right="-88"/>
              <w:jc w:val="center"/>
              <w:rPr>
                <w:rFonts w:ascii="Times New Roman" w:eastAsia="Times New Roman" w:hAnsi="Times New Roman" w:cs="Times New Roman"/>
                <w:sz w:val="20"/>
                <w:szCs w:val="20"/>
                <w:lang w:eastAsia="en-IN"/>
              </w:rPr>
            </w:pPr>
          </w:p>
        </w:tc>
        <w:tc>
          <w:tcPr>
            <w:tcW w:w="2605" w:type="pct"/>
          </w:tcPr>
          <w:p w14:paraId="40322687" w14:textId="77777777" w:rsidR="00147710" w:rsidRPr="00FF6F6B" w:rsidRDefault="00147710" w:rsidP="00EA6284">
            <w:pPr>
              <w:rPr>
                <w:rFonts w:ascii="Times New Roman" w:eastAsia="Times New Roman" w:hAnsi="Times New Roman" w:cs="Times New Roman"/>
                <w:b/>
                <w:i/>
                <w:sz w:val="20"/>
                <w:szCs w:val="20"/>
                <w:lang w:eastAsia="en-IN"/>
              </w:rPr>
            </w:pPr>
            <w:r w:rsidRPr="00FF6F6B">
              <w:rPr>
                <w:rFonts w:ascii="Times New Roman" w:eastAsia="Times New Roman" w:hAnsi="Times New Roman" w:cs="Times New Roman"/>
                <w:b/>
                <w:bCs/>
                <w:i/>
                <w:sz w:val="20"/>
                <w:szCs w:val="20"/>
                <w:lang w:eastAsia="en-IN"/>
              </w:rPr>
              <w:t>Non-beneficiaries</w:t>
            </w:r>
          </w:p>
        </w:tc>
        <w:tc>
          <w:tcPr>
            <w:tcW w:w="725" w:type="pct"/>
            <w:gridSpan w:val="2"/>
            <w:vAlign w:val="bottom"/>
          </w:tcPr>
          <w:p w14:paraId="5EFCDEE9" w14:textId="77777777" w:rsidR="00147710" w:rsidRPr="00FF6F6B" w:rsidRDefault="00A77C8E" w:rsidP="00A77C8E">
            <w:pPr>
              <w:jc w:val="center"/>
              <w:rPr>
                <w:rFonts w:ascii="Times New Roman" w:hAnsi="Times New Roman" w:cs="Times New Roman"/>
                <w:sz w:val="20"/>
                <w:szCs w:val="20"/>
              </w:rPr>
            </w:pPr>
            <w:r w:rsidRPr="00FF6F6B">
              <w:rPr>
                <w:rFonts w:ascii="Times New Roman" w:hAnsi="Times New Roman" w:cs="Times New Roman"/>
                <w:sz w:val="20"/>
                <w:szCs w:val="20"/>
              </w:rPr>
              <w:t>13.42</w:t>
            </w:r>
          </w:p>
        </w:tc>
        <w:tc>
          <w:tcPr>
            <w:tcW w:w="729" w:type="pct"/>
            <w:gridSpan w:val="2"/>
            <w:vAlign w:val="bottom"/>
          </w:tcPr>
          <w:p w14:paraId="260070A1" w14:textId="77777777" w:rsidR="00147710" w:rsidRPr="00FF6F6B" w:rsidRDefault="00A77C8E" w:rsidP="002614D4">
            <w:pPr>
              <w:jc w:val="center"/>
              <w:rPr>
                <w:rFonts w:ascii="Times New Roman" w:hAnsi="Times New Roman" w:cs="Times New Roman"/>
                <w:sz w:val="20"/>
                <w:szCs w:val="20"/>
              </w:rPr>
            </w:pPr>
            <w:r w:rsidRPr="00FF6F6B">
              <w:rPr>
                <w:rFonts w:ascii="Times New Roman" w:hAnsi="Times New Roman" w:cs="Times New Roman"/>
                <w:sz w:val="20"/>
                <w:szCs w:val="20"/>
              </w:rPr>
              <w:t>6.71</w:t>
            </w:r>
          </w:p>
        </w:tc>
        <w:tc>
          <w:tcPr>
            <w:tcW w:w="730" w:type="pct"/>
            <w:gridSpan w:val="2"/>
            <w:vAlign w:val="bottom"/>
          </w:tcPr>
          <w:p w14:paraId="79ED9E1C" w14:textId="77777777" w:rsidR="00147710" w:rsidRPr="00FF6F6B" w:rsidRDefault="00A77C8E" w:rsidP="002614D4">
            <w:pPr>
              <w:jc w:val="center"/>
              <w:rPr>
                <w:rFonts w:ascii="Times New Roman" w:hAnsi="Times New Roman" w:cs="Times New Roman"/>
                <w:sz w:val="20"/>
                <w:szCs w:val="20"/>
                <w:vertAlign w:val="superscript"/>
              </w:rPr>
            </w:pPr>
            <w:r w:rsidRPr="00FF6F6B">
              <w:rPr>
                <w:rFonts w:ascii="Times New Roman" w:hAnsi="Times New Roman" w:cs="Times New Roman"/>
                <w:sz w:val="20"/>
                <w:szCs w:val="20"/>
              </w:rPr>
              <w:t>1.529</w:t>
            </w:r>
            <w:r w:rsidRPr="00FF6F6B">
              <w:rPr>
                <w:rFonts w:ascii="Times New Roman" w:hAnsi="Times New Roman" w:cs="Times New Roman"/>
                <w:sz w:val="20"/>
                <w:szCs w:val="20"/>
                <w:vertAlign w:val="superscript"/>
              </w:rPr>
              <w:t>**</w:t>
            </w:r>
          </w:p>
        </w:tc>
      </w:tr>
    </w:tbl>
    <w:p w14:paraId="0A05E0BA" w14:textId="77777777" w:rsidR="00843874" w:rsidRPr="00FF6F6B" w:rsidRDefault="00744AD0" w:rsidP="00744AD0">
      <w:pPr>
        <w:spacing w:after="0" w:line="240" w:lineRule="auto"/>
        <w:rPr>
          <w:rFonts w:ascii="Times New Roman" w:eastAsia="Times New Roman" w:hAnsi="Times New Roman" w:cs="Times New Roman"/>
          <w:i/>
          <w:sz w:val="24"/>
          <w:szCs w:val="24"/>
          <w:lang w:eastAsia="en-IN"/>
        </w:rPr>
      </w:pPr>
      <w:proofErr w:type="spellStart"/>
      <w:r w:rsidRPr="00FF6F6B">
        <w:rPr>
          <w:rFonts w:ascii="Times New Roman" w:eastAsia="Times New Roman" w:hAnsi="Times New Roman" w:cs="Times New Roman"/>
          <w:i/>
          <w:sz w:val="24"/>
          <w:szCs w:val="24"/>
          <w:lang w:eastAsia="en-IN"/>
        </w:rPr>
        <w:t>N.b</w:t>
      </w:r>
      <w:proofErr w:type="spellEnd"/>
      <w:r w:rsidRPr="00FF6F6B">
        <w:rPr>
          <w:rFonts w:ascii="Times New Roman" w:eastAsia="Times New Roman" w:hAnsi="Times New Roman" w:cs="Times New Roman"/>
          <w:i/>
          <w:sz w:val="24"/>
          <w:szCs w:val="24"/>
          <w:lang w:eastAsia="en-IN"/>
        </w:rPr>
        <w:t xml:space="preserve">: H=High, M= Medium, L=Low; all </w:t>
      </w:r>
      <w:proofErr w:type="spellStart"/>
      <w:r w:rsidRPr="00FF6F6B">
        <w:rPr>
          <w:rFonts w:ascii="Times New Roman" w:eastAsia="Times New Roman" w:hAnsi="Times New Roman" w:cs="Times New Roman"/>
          <w:i/>
          <w:sz w:val="24"/>
          <w:szCs w:val="24"/>
          <w:lang w:eastAsia="en-IN"/>
        </w:rPr>
        <w:t>datas</w:t>
      </w:r>
      <w:proofErr w:type="spellEnd"/>
      <w:r w:rsidRPr="00FF6F6B">
        <w:rPr>
          <w:rFonts w:ascii="Times New Roman" w:eastAsia="Times New Roman" w:hAnsi="Times New Roman" w:cs="Times New Roman"/>
          <w:i/>
          <w:sz w:val="24"/>
          <w:szCs w:val="24"/>
          <w:lang w:eastAsia="en-IN"/>
        </w:rPr>
        <w:t xml:space="preserve"> are in %. **= significant at 1% </w:t>
      </w:r>
    </w:p>
    <w:p w14:paraId="1E8AFE10" w14:textId="77777777" w:rsidR="008819F4" w:rsidRPr="00FF6F6B" w:rsidRDefault="008819F4" w:rsidP="0079106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F6F6B">
        <w:rPr>
          <w:rFonts w:ascii="Times New Roman" w:eastAsia="Times New Roman" w:hAnsi="Times New Roman" w:cs="Times New Roman"/>
          <w:sz w:val="24"/>
          <w:szCs w:val="24"/>
          <w:lang w:eastAsia="en-IN"/>
        </w:rPr>
        <w:t xml:space="preserve">The knowledge level of NICRA beneficiaries and non-beneficiaries regarding the adoption of </w:t>
      </w:r>
      <w:r w:rsidR="0031677F">
        <w:rPr>
          <w:rFonts w:ascii="Times New Roman" w:eastAsia="Times New Roman" w:hAnsi="Times New Roman" w:cs="Times New Roman"/>
          <w:sz w:val="24"/>
          <w:szCs w:val="24"/>
          <w:lang w:eastAsia="en-IN"/>
        </w:rPr>
        <w:t>sustainable</w:t>
      </w:r>
      <w:r w:rsidRPr="00FF6F6B">
        <w:rPr>
          <w:rFonts w:ascii="Times New Roman" w:eastAsia="Times New Roman" w:hAnsi="Times New Roman" w:cs="Times New Roman"/>
          <w:sz w:val="24"/>
          <w:szCs w:val="24"/>
          <w:lang w:eastAsia="en-IN"/>
        </w:rPr>
        <w:t xml:space="preserve"> production technologies for cabbage is presented in Table </w:t>
      </w:r>
      <w:r w:rsidR="005E171D" w:rsidRPr="00FF6F6B">
        <w:rPr>
          <w:rFonts w:ascii="Times New Roman" w:eastAsia="Times New Roman" w:hAnsi="Times New Roman" w:cs="Times New Roman"/>
          <w:sz w:val="24"/>
          <w:szCs w:val="24"/>
          <w:lang w:eastAsia="en-IN"/>
        </w:rPr>
        <w:t>2</w:t>
      </w:r>
      <w:r w:rsidRPr="00FF6F6B">
        <w:rPr>
          <w:rFonts w:ascii="Times New Roman" w:eastAsia="Times New Roman" w:hAnsi="Times New Roman" w:cs="Times New Roman"/>
          <w:sz w:val="24"/>
          <w:szCs w:val="24"/>
          <w:lang w:eastAsia="en-IN"/>
        </w:rPr>
        <w:t>. The findings indicate that a higher proportion of beneficiaries possessed high knowledge levels across most recommended practices compared to non-beneficiaries.</w:t>
      </w:r>
      <w:r w:rsidR="00791062" w:rsidRPr="00FF6F6B">
        <w:rPr>
          <w:rFonts w:ascii="Times New Roman" w:eastAsia="Times New Roman" w:hAnsi="Times New Roman" w:cs="Times New Roman"/>
          <w:sz w:val="24"/>
          <w:szCs w:val="24"/>
          <w:lang w:eastAsia="en-IN"/>
        </w:rPr>
        <w:t xml:space="preserve"> </w:t>
      </w:r>
      <w:r w:rsidRPr="00FF6F6B">
        <w:rPr>
          <w:rFonts w:ascii="Times New Roman" w:eastAsia="Times New Roman" w:hAnsi="Times New Roman" w:cs="Times New Roman"/>
          <w:sz w:val="24"/>
          <w:szCs w:val="24"/>
          <w:lang w:eastAsia="en-IN"/>
        </w:rPr>
        <w:t xml:space="preserve">Regarding </w:t>
      </w:r>
      <w:r w:rsidRPr="00FF6F6B">
        <w:rPr>
          <w:rFonts w:ascii="Times New Roman" w:eastAsia="Times New Roman" w:hAnsi="Times New Roman" w:cs="Times New Roman"/>
          <w:bCs/>
          <w:sz w:val="24"/>
          <w:szCs w:val="24"/>
          <w:lang w:eastAsia="en-IN"/>
        </w:rPr>
        <w:t>land preparation</w:t>
      </w:r>
      <w:r w:rsidRPr="00FF6F6B">
        <w:rPr>
          <w:rFonts w:ascii="Times New Roman" w:eastAsia="Times New Roman" w:hAnsi="Times New Roman" w:cs="Times New Roman"/>
          <w:sz w:val="24"/>
          <w:szCs w:val="24"/>
          <w:lang w:eastAsia="en-IN"/>
        </w:rPr>
        <w:t xml:space="preserve">, 62.67% of beneficiaries had high knowledge, while only 45.33% of non-beneficiaries fell into the same category. Similarly, for </w:t>
      </w:r>
      <w:r w:rsidRPr="00FF6F6B">
        <w:rPr>
          <w:rFonts w:ascii="Times New Roman" w:eastAsia="Times New Roman" w:hAnsi="Times New Roman" w:cs="Times New Roman"/>
          <w:bCs/>
          <w:sz w:val="24"/>
          <w:szCs w:val="24"/>
          <w:lang w:eastAsia="en-IN"/>
        </w:rPr>
        <w:t>seed rate</w:t>
      </w:r>
      <w:r w:rsidRPr="00FF6F6B">
        <w:rPr>
          <w:rFonts w:ascii="Times New Roman" w:eastAsia="Times New Roman" w:hAnsi="Times New Roman" w:cs="Times New Roman"/>
          <w:sz w:val="24"/>
          <w:szCs w:val="24"/>
          <w:lang w:eastAsia="en-IN"/>
        </w:rPr>
        <w:t xml:space="preserve">, 68.00% of beneficiaries exhibited high knowledge, in contrast to 41.33% of non-beneficiaries. A significant difference was also observed in awareness of </w:t>
      </w:r>
      <w:r w:rsidRPr="00FF6F6B">
        <w:rPr>
          <w:rFonts w:ascii="Times New Roman" w:eastAsia="Times New Roman" w:hAnsi="Times New Roman" w:cs="Times New Roman"/>
          <w:bCs/>
          <w:sz w:val="24"/>
          <w:szCs w:val="24"/>
          <w:lang w:eastAsia="en-IN"/>
        </w:rPr>
        <w:t>recommended spacing</w:t>
      </w:r>
      <w:r w:rsidRPr="00FF6F6B">
        <w:rPr>
          <w:rFonts w:ascii="Times New Roman" w:eastAsia="Times New Roman" w:hAnsi="Times New Roman" w:cs="Times New Roman"/>
          <w:sz w:val="24"/>
          <w:szCs w:val="24"/>
          <w:lang w:eastAsia="en-IN"/>
        </w:rPr>
        <w:t>, where 73.33% of beneficiaries had high knowledge compared to 44.00% of non-beneficiaries.</w:t>
      </w:r>
    </w:p>
    <w:p w14:paraId="55417205" w14:textId="77777777" w:rsidR="008819F4" w:rsidRPr="00FF6F6B" w:rsidRDefault="008819F4" w:rsidP="0079106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F6F6B">
        <w:rPr>
          <w:rFonts w:ascii="Times New Roman" w:eastAsia="Times New Roman" w:hAnsi="Times New Roman" w:cs="Times New Roman"/>
          <w:bCs/>
          <w:sz w:val="24"/>
          <w:szCs w:val="24"/>
          <w:lang w:eastAsia="en-IN"/>
        </w:rPr>
        <w:t>Seed treatment</w:t>
      </w:r>
      <w:r w:rsidRPr="00FF6F6B">
        <w:rPr>
          <w:rFonts w:ascii="Times New Roman" w:eastAsia="Times New Roman" w:hAnsi="Times New Roman" w:cs="Times New Roman"/>
          <w:sz w:val="24"/>
          <w:szCs w:val="24"/>
          <w:lang w:eastAsia="en-IN"/>
        </w:rPr>
        <w:t xml:space="preserve"> knowledge was relatively lower among both groups, with 53.33% of beneficiaries and only 32.00% of non-beneficiaries having a high level of understanding. For </w:t>
      </w:r>
      <w:r w:rsidRPr="00FF6F6B">
        <w:rPr>
          <w:rFonts w:ascii="Times New Roman" w:eastAsia="Times New Roman" w:hAnsi="Times New Roman" w:cs="Times New Roman"/>
          <w:bCs/>
          <w:sz w:val="24"/>
          <w:szCs w:val="24"/>
          <w:lang w:eastAsia="en-IN"/>
        </w:rPr>
        <w:lastRenderedPageBreak/>
        <w:t>transplanting at the right stage</w:t>
      </w:r>
      <w:r w:rsidRPr="00FF6F6B">
        <w:rPr>
          <w:rFonts w:ascii="Times New Roman" w:eastAsia="Times New Roman" w:hAnsi="Times New Roman" w:cs="Times New Roman"/>
          <w:sz w:val="24"/>
          <w:szCs w:val="24"/>
          <w:lang w:eastAsia="en-IN"/>
        </w:rPr>
        <w:t>, 64.00% of beneficiaries had high knowledge, whereas 46.67% of non-beneficiaries were aware of the correct stage for transplanting.</w:t>
      </w:r>
      <w:r w:rsidR="00791062" w:rsidRPr="00FF6F6B">
        <w:rPr>
          <w:rFonts w:ascii="Times New Roman" w:eastAsia="Times New Roman" w:hAnsi="Times New Roman" w:cs="Times New Roman"/>
          <w:sz w:val="24"/>
          <w:szCs w:val="24"/>
          <w:lang w:eastAsia="en-IN"/>
        </w:rPr>
        <w:t xml:space="preserve"> </w:t>
      </w:r>
      <w:r w:rsidRPr="00FF6F6B">
        <w:rPr>
          <w:rFonts w:ascii="Times New Roman" w:eastAsia="Times New Roman" w:hAnsi="Times New Roman" w:cs="Times New Roman"/>
          <w:sz w:val="24"/>
          <w:szCs w:val="24"/>
          <w:lang w:eastAsia="en-IN"/>
        </w:rPr>
        <w:t xml:space="preserve">A notable difference was seen in the </w:t>
      </w:r>
      <w:r w:rsidRPr="00FF6F6B">
        <w:rPr>
          <w:rFonts w:ascii="Times New Roman" w:eastAsia="Times New Roman" w:hAnsi="Times New Roman" w:cs="Times New Roman"/>
          <w:bCs/>
          <w:sz w:val="24"/>
          <w:szCs w:val="24"/>
          <w:lang w:eastAsia="en-IN"/>
        </w:rPr>
        <w:t>application of recommended fertilizer doses</w:t>
      </w:r>
      <w:r w:rsidRPr="00FF6F6B">
        <w:rPr>
          <w:rFonts w:ascii="Times New Roman" w:eastAsia="Times New Roman" w:hAnsi="Times New Roman" w:cs="Times New Roman"/>
          <w:sz w:val="24"/>
          <w:szCs w:val="24"/>
          <w:lang w:eastAsia="en-IN"/>
        </w:rPr>
        <w:t xml:space="preserve">, with 58.67% of beneficiaries having high knowledge compared to 37.33% of non-beneficiaries. Similarly, in the case of </w:t>
      </w:r>
      <w:r w:rsidRPr="00FF6F6B">
        <w:rPr>
          <w:rFonts w:ascii="Times New Roman" w:eastAsia="Times New Roman" w:hAnsi="Times New Roman" w:cs="Times New Roman"/>
          <w:bCs/>
          <w:sz w:val="24"/>
          <w:szCs w:val="24"/>
          <w:lang w:eastAsia="en-IN"/>
        </w:rPr>
        <w:t>mulching and proper irrigation methods</w:t>
      </w:r>
      <w:r w:rsidRPr="00FF6F6B">
        <w:rPr>
          <w:rFonts w:ascii="Times New Roman" w:eastAsia="Times New Roman" w:hAnsi="Times New Roman" w:cs="Times New Roman"/>
          <w:sz w:val="24"/>
          <w:szCs w:val="24"/>
          <w:lang w:eastAsia="en-IN"/>
        </w:rPr>
        <w:t>, 69.33% of beneficiaries exhibited high knowledge, while only 49.33% of non-beneficiaries were well-informed</w:t>
      </w:r>
      <w:r w:rsidR="00BD6F83" w:rsidRPr="00FF6F6B">
        <w:rPr>
          <w:rFonts w:ascii="Times New Roman" w:eastAsia="Times New Roman" w:hAnsi="Times New Roman" w:cs="Times New Roman"/>
          <w:sz w:val="24"/>
          <w:szCs w:val="24"/>
          <w:lang w:eastAsia="en-IN"/>
        </w:rPr>
        <w:t xml:space="preserve"> (Tiwari et al., 2024)</w:t>
      </w:r>
      <w:r w:rsidRPr="00FF6F6B">
        <w:rPr>
          <w:rFonts w:ascii="Times New Roman" w:eastAsia="Times New Roman" w:hAnsi="Times New Roman" w:cs="Times New Roman"/>
          <w:sz w:val="24"/>
          <w:szCs w:val="24"/>
          <w:lang w:eastAsia="en-IN"/>
        </w:rPr>
        <w:t>.</w:t>
      </w:r>
    </w:p>
    <w:p w14:paraId="4AC00B39" w14:textId="77777777" w:rsidR="008819F4" w:rsidRPr="00FF6F6B" w:rsidRDefault="008819F4" w:rsidP="0079106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F6F6B">
        <w:rPr>
          <w:rFonts w:ascii="Times New Roman" w:eastAsia="Times New Roman" w:hAnsi="Times New Roman" w:cs="Times New Roman"/>
          <w:sz w:val="24"/>
          <w:szCs w:val="24"/>
          <w:lang w:eastAsia="en-IN"/>
        </w:rPr>
        <w:t xml:space="preserve">Regarding </w:t>
      </w:r>
      <w:r w:rsidRPr="00FF6F6B">
        <w:rPr>
          <w:rFonts w:ascii="Times New Roman" w:eastAsia="Times New Roman" w:hAnsi="Times New Roman" w:cs="Times New Roman"/>
          <w:bCs/>
          <w:sz w:val="24"/>
          <w:szCs w:val="24"/>
          <w:lang w:eastAsia="en-IN"/>
        </w:rPr>
        <w:t>integrated pest and disease management practices</w:t>
      </w:r>
      <w:r w:rsidRPr="00FF6F6B">
        <w:rPr>
          <w:rFonts w:ascii="Times New Roman" w:eastAsia="Times New Roman" w:hAnsi="Times New Roman" w:cs="Times New Roman"/>
          <w:sz w:val="24"/>
          <w:szCs w:val="24"/>
          <w:lang w:eastAsia="en-IN"/>
        </w:rPr>
        <w:t xml:space="preserve">, 57.33% of beneficiaries had high knowledge, whereas the percentage was significantly lower among non-beneficiaries (30.67%). The knowledge gap was also evident in </w:t>
      </w:r>
      <w:r w:rsidRPr="00FF6F6B">
        <w:rPr>
          <w:rFonts w:ascii="Times New Roman" w:eastAsia="Times New Roman" w:hAnsi="Times New Roman" w:cs="Times New Roman"/>
          <w:bCs/>
          <w:sz w:val="24"/>
          <w:szCs w:val="24"/>
          <w:lang w:eastAsia="en-IN"/>
        </w:rPr>
        <w:t>irrigation during head formation and pre-harvest stages</w:t>
      </w:r>
      <w:r w:rsidRPr="00FF6F6B">
        <w:rPr>
          <w:rFonts w:ascii="Times New Roman" w:eastAsia="Times New Roman" w:hAnsi="Times New Roman" w:cs="Times New Roman"/>
          <w:sz w:val="24"/>
          <w:szCs w:val="24"/>
          <w:lang w:eastAsia="en-IN"/>
        </w:rPr>
        <w:t>, where only 25.33% of non-beneficiaries had high knowledge compared to 54.67% of beneficiaries.</w:t>
      </w:r>
      <w:r w:rsidR="00791062" w:rsidRPr="00FF6F6B">
        <w:rPr>
          <w:rFonts w:ascii="Times New Roman" w:eastAsia="Times New Roman" w:hAnsi="Times New Roman" w:cs="Times New Roman"/>
          <w:sz w:val="24"/>
          <w:szCs w:val="24"/>
          <w:lang w:eastAsia="en-IN"/>
        </w:rPr>
        <w:t xml:space="preserve"> </w:t>
      </w:r>
      <w:r w:rsidRPr="00FF6F6B">
        <w:rPr>
          <w:rFonts w:ascii="Times New Roman" w:eastAsia="Times New Roman" w:hAnsi="Times New Roman" w:cs="Times New Roman"/>
          <w:sz w:val="24"/>
          <w:szCs w:val="24"/>
          <w:lang w:eastAsia="en-IN"/>
        </w:rPr>
        <w:t xml:space="preserve">For </w:t>
      </w:r>
      <w:r w:rsidRPr="00FF6F6B">
        <w:rPr>
          <w:rFonts w:ascii="Times New Roman" w:eastAsia="Times New Roman" w:hAnsi="Times New Roman" w:cs="Times New Roman"/>
          <w:bCs/>
          <w:sz w:val="24"/>
          <w:szCs w:val="24"/>
          <w:lang w:eastAsia="en-IN"/>
        </w:rPr>
        <w:t>weed control measures</w:t>
      </w:r>
      <w:r w:rsidRPr="00FF6F6B">
        <w:rPr>
          <w:rFonts w:ascii="Times New Roman" w:eastAsia="Times New Roman" w:hAnsi="Times New Roman" w:cs="Times New Roman"/>
          <w:sz w:val="24"/>
          <w:szCs w:val="24"/>
          <w:lang w:eastAsia="en-IN"/>
        </w:rPr>
        <w:t xml:space="preserve">, 58.67% of beneficiaries had high knowledge, while only 34.67% of non-beneficiaries were aware of the recommended methods. A similar pattern was observed in </w:t>
      </w:r>
      <w:r w:rsidRPr="00FF6F6B">
        <w:rPr>
          <w:rFonts w:ascii="Times New Roman" w:eastAsia="Times New Roman" w:hAnsi="Times New Roman" w:cs="Times New Roman"/>
          <w:bCs/>
          <w:sz w:val="24"/>
          <w:szCs w:val="24"/>
          <w:lang w:eastAsia="en-IN"/>
        </w:rPr>
        <w:t>harvesting and yield management</w:t>
      </w:r>
      <w:r w:rsidRPr="00FF6F6B">
        <w:rPr>
          <w:rFonts w:ascii="Times New Roman" w:eastAsia="Times New Roman" w:hAnsi="Times New Roman" w:cs="Times New Roman"/>
          <w:sz w:val="24"/>
          <w:szCs w:val="24"/>
          <w:lang w:eastAsia="en-IN"/>
        </w:rPr>
        <w:t xml:space="preserve">, with 49.33% of beneficiaries exhibiting high knowledge as compared to 33.33% of non-beneficiaries. The difference was also significant in terms of </w:t>
      </w:r>
      <w:r w:rsidRPr="00FF6F6B">
        <w:rPr>
          <w:rFonts w:ascii="Times New Roman" w:eastAsia="Times New Roman" w:hAnsi="Times New Roman" w:cs="Times New Roman"/>
          <w:bCs/>
          <w:sz w:val="24"/>
          <w:szCs w:val="24"/>
          <w:lang w:eastAsia="en-IN"/>
        </w:rPr>
        <w:t>post-harvesting measures</w:t>
      </w:r>
      <w:r w:rsidRPr="00FF6F6B">
        <w:rPr>
          <w:rFonts w:ascii="Times New Roman" w:eastAsia="Times New Roman" w:hAnsi="Times New Roman" w:cs="Times New Roman"/>
          <w:sz w:val="24"/>
          <w:szCs w:val="24"/>
          <w:lang w:eastAsia="en-IN"/>
        </w:rPr>
        <w:t>, where 46.67% of beneficiaries had high knowledge, whereas 38.67% of non-beneficiaries were aware of the correct practices</w:t>
      </w:r>
      <w:r w:rsidR="00A10E65">
        <w:rPr>
          <w:rFonts w:ascii="Times New Roman" w:eastAsia="Times New Roman" w:hAnsi="Times New Roman" w:cs="Times New Roman"/>
          <w:sz w:val="24"/>
          <w:szCs w:val="24"/>
          <w:lang w:eastAsia="en-IN"/>
        </w:rPr>
        <w:t xml:space="preserve"> (</w:t>
      </w:r>
      <w:r w:rsidR="00BD6F83" w:rsidRPr="00FF6F6B">
        <w:rPr>
          <w:rFonts w:ascii="Times New Roman" w:eastAsia="Times New Roman" w:hAnsi="Times New Roman" w:cs="Times New Roman"/>
          <w:sz w:val="24"/>
          <w:szCs w:val="24"/>
          <w:lang w:eastAsia="en-IN"/>
        </w:rPr>
        <w:t>Singh et al., 2022)</w:t>
      </w:r>
      <w:r w:rsidRPr="00FF6F6B">
        <w:rPr>
          <w:rFonts w:ascii="Times New Roman" w:eastAsia="Times New Roman" w:hAnsi="Times New Roman" w:cs="Times New Roman"/>
          <w:sz w:val="24"/>
          <w:szCs w:val="24"/>
          <w:lang w:eastAsia="en-IN"/>
        </w:rPr>
        <w:t>.</w:t>
      </w:r>
    </w:p>
    <w:p w14:paraId="447B68A4" w14:textId="77777777" w:rsidR="008819F4" w:rsidRPr="00FF6F6B" w:rsidRDefault="008819F4" w:rsidP="0079106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F6F6B">
        <w:rPr>
          <w:rFonts w:ascii="Times New Roman" w:eastAsia="Times New Roman" w:hAnsi="Times New Roman" w:cs="Times New Roman"/>
          <w:sz w:val="24"/>
          <w:szCs w:val="24"/>
          <w:lang w:eastAsia="en-IN"/>
        </w:rPr>
        <w:t xml:space="preserve">The statistical analysis further confirms these differences, with the mean knowledge score of beneficiaries (22.84) being significantly higher than that of non-beneficiaries (13.42). The computed </w:t>
      </w:r>
      <w:r w:rsidRPr="00FF6F6B">
        <w:rPr>
          <w:rFonts w:ascii="Times New Roman" w:eastAsia="Times New Roman" w:hAnsi="Times New Roman" w:cs="Times New Roman"/>
          <w:bCs/>
          <w:sz w:val="24"/>
          <w:szCs w:val="24"/>
          <w:lang w:eastAsia="en-IN"/>
        </w:rPr>
        <w:t>t-value (1.653)</w:t>
      </w:r>
      <w:r w:rsidRPr="00FF6F6B">
        <w:rPr>
          <w:rFonts w:ascii="Times New Roman" w:eastAsia="Times New Roman" w:hAnsi="Times New Roman" w:cs="Times New Roman"/>
          <w:sz w:val="24"/>
          <w:szCs w:val="24"/>
          <w:lang w:eastAsia="en-IN"/>
        </w:rPr>
        <w:t xml:space="preserve"> was significant at the </w:t>
      </w:r>
      <w:r w:rsidRPr="00FF6F6B">
        <w:rPr>
          <w:rFonts w:ascii="Times New Roman" w:eastAsia="Times New Roman" w:hAnsi="Times New Roman" w:cs="Times New Roman"/>
          <w:bCs/>
          <w:sz w:val="24"/>
          <w:szCs w:val="24"/>
          <w:lang w:eastAsia="en-IN"/>
        </w:rPr>
        <w:t>1% level</w:t>
      </w:r>
      <w:r w:rsidRPr="00FF6F6B">
        <w:rPr>
          <w:rFonts w:ascii="Times New Roman" w:eastAsia="Times New Roman" w:hAnsi="Times New Roman" w:cs="Times New Roman"/>
          <w:sz w:val="24"/>
          <w:szCs w:val="24"/>
          <w:lang w:eastAsia="en-IN"/>
        </w:rPr>
        <w:t xml:space="preserve">, indicating a statistically significant difference in the knowledge levels of beneficiaries and non-beneficiaries. This suggests that participation in the NICRA project had a positive impact on farmers' awareness and adoption of </w:t>
      </w:r>
      <w:r w:rsidR="0031677F">
        <w:rPr>
          <w:rFonts w:ascii="Times New Roman" w:eastAsia="Times New Roman" w:hAnsi="Times New Roman" w:cs="Times New Roman"/>
          <w:sz w:val="24"/>
          <w:szCs w:val="24"/>
          <w:lang w:eastAsia="en-IN"/>
        </w:rPr>
        <w:t>sustainable</w:t>
      </w:r>
      <w:r w:rsidRPr="00FF6F6B">
        <w:rPr>
          <w:rFonts w:ascii="Times New Roman" w:eastAsia="Times New Roman" w:hAnsi="Times New Roman" w:cs="Times New Roman"/>
          <w:sz w:val="24"/>
          <w:szCs w:val="24"/>
          <w:lang w:eastAsia="en-IN"/>
        </w:rPr>
        <w:t xml:space="preserve"> cabbage production technologies.</w:t>
      </w:r>
      <w:r w:rsidR="00791062" w:rsidRPr="00FF6F6B">
        <w:rPr>
          <w:rFonts w:ascii="Times New Roman" w:eastAsia="Times New Roman" w:hAnsi="Times New Roman" w:cs="Times New Roman"/>
          <w:sz w:val="24"/>
          <w:szCs w:val="24"/>
          <w:lang w:eastAsia="en-IN"/>
        </w:rPr>
        <w:t xml:space="preserve"> </w:t>
      </w:r>
      <w:r w:rsidRPr="00FF6F6B">
        <w:rPr>
          <w:rFonts w:ascii="Times New Roman" w:eastAsia="Times New Roman" w:hAnsi="Times New Roman" w:cs="Times New Roman"/>
          <w:sz w:val="24"/>
          <w:szCs w:val="24"/>
          <w:lang w:eastAsia="en-IN"/>
        </w:rPr>
        <w:t>These findings highlight the effectiveness of NICRA interventions in enhancing farmers' knowledge of climate-resilient agricultural practices. The results emphasize the need for wider dissemination of such initiatives among non-beneficiaries to bridge the knowledge gap and improve overall adoption rates of sustainable production technologies</w:t>
      </w:r>
      <w:r w:rsidR="00BD6F83" w:rsidRPr="00FF6F6B">
        <w:rPr>
          <w:rFonts w:ascii="Times New Roman" w:eastAsia="Times New Roman" w:hAnsi="Times New Roman" w:cs="Times New Roman"/>
          <w:sz w:val="24"/>
          <w:szCs w:val="24"/>
          <w:lang w:eastAsia="en-IN"/>
        </w:rPr>
        <w:t xml:space="preserve"> (Lenka et al., 2023)</w:t>
      </w:r>
      <w:r w:rsidRPr="00FF6F6B">
        <w:rPr>
          <w:rFonts w:ascii="Times New Roman" w:eastAsia="Times New Roman" w:hAnsi="Times New Roman" w:cs="Times New Roman"/>
          <w:sz w:val="24"/>
          <w:szCs w:val="24"/>
          <w:lang w:eastAsia="en-IN"/>
        </w:rPr>
        <w:t>.</w:t>
      </w:r>
    </w:p>
    <w:p w14:paraId="4D6A3ABD" w14:textId="77777777" w:rsidR="00F62434" w:rsidRPr="00E37B95" w:rsidRDefault="00F62434" w:rsidP="00E37B95">
      <w:pPr>
        <w:spacing w:before="100" w:beforeAutospacing="1" w:after="100" w:afterAutospacing="1" w:line="240" w:lineRule="auto"/>
        <w:jc w:val="both"/>
        <w:rPr>
          <w:rFonts w:ascii="Times New Roman" w:eastAsia="Times New Roman" w:hAnsi="Times New Roman" w:cs="Times New Roman"/>
          <w:bCs/>
          <w:sz w:val="24"/>
          <w:szCs w:val="24"/>
          <w:lang w:eastAsia="en-IN"/>
        </w:rPr>
      </w:pPr>
      <w:r w:rsidRPr="00E37B95">
        <w:rPr>
          <w:rFonts w:ascii="Times New Roman" w:eastAsia="Times New Roman" w:hAnsi="Times New Roman" w:cs="Times New Roman"/>
          <w:bCs/>
          <w:sz w:val="24"/>
          <w:szCs w:val="24"/>
          <w:lang w:eastAsia="en-IN"/>
        </w:rPr>
        <w:t xml:space="preserve">Table </w:t>
      </w:r>
      <w:r w:rsidR="005E171D" w:rsidRPr="00E37B95">
        <w:rPr>
          <w:rFonts w:ascii="Times New Roman" w:eastAsia="Times New Roman" w:hAnsi="Times New Roman" w:cs="Times New Roman"/>
          <w:bCs/>
          <w:sz w:val="24"/>
          <w:szCs w:val="24"/>
          <w:lang w:eastAsia="en-IN"/>
        </w:rPr>
        <w:t>3</w:t>
      </w:r>
      <w:r w:rsidRPr="00E37B95">
        <w:rPr>
          <w:rFonts w:ascii="Times New Roman" w:eastAsia="Times New Roman" w:hAnsi="Times New Roman" w:cs="Times New Roman"/>
          <w:bCs/>
          <w:sz w:val="24"/>
          <w:szCs w:val="24"/>
          <w:lang w:eastAsia="en-IN"/>
        </w:rPr>
        <w:t xml:space="preserve">: </w:t>
      </w:r>
      <w:r w:rsidR="00C13484" w:rsidRPr="00E37B95">
        <w:rPr>
          <w:rFonts w:ascii="Times New Roman" w:eastAsia="Times New Roman" w:hAnsi="Times New Roman" w:cs="Times New Roman"/>
          <w:bCs/>
          <w:sz w:val="24"/>
          <w:szCs w:val="24"/>
          <w:lang w:eastAsia="en-IN"/>
        </w:rPr>
        <w:t>Level of a</w:t>
      </w:r>
      <w:r w:rsidRPr="00E37B95">
        <w:rPr>
          <w:rFonts w:ascii="Times New Roman" w:eastAsia="Times New Roman" w:hAnsi="Times New Roman" w:cs="Times New Roman"/>
          <w:bCs/>
          <w:sz w:val="24"/>
          <w:szCs w:val="24"/>
          <w:lang w:eastAsia="en-IN"/>
        </w:rPr>
        <w:t xml:space="preserve">doption of </w:t>
      </w:r>
      <w:r w:rsidR="00E37B95" w:rsidRPr="00E37B95">
        <w:rPr>
          <w:rFonts w:ascii="Times New Roman" w:eastAsia="Times New Roman" w:hAnsi="Times New Roman" w:cs="Times New Roman"/>
          <w:bCs/>
          <w:sz w:val="24"/>
          <w:szCs w:val="24"/>
          <w:lang w:eastAsia="en-IN"/>
        </w:rPr>
        <w:t>sustainable</w:t>
      </w:r>
      <w:r w:rsidRPr="00E37B95">
        <w:rPr>
          <w:rFonts w:ascii="Times New Roman" w:eastAsia="Times New Roman" w:hAnsi="Times New Roman" w:cs="Times New Roman"/>
          <w:bCs/>
          <w:sz w:val="24"/>
          <w:szCs w:val="24"/>
          <w:lang w:eastAsia="en-IN"/>
        </w:rPr>
        <w:t xml:space="preserve"> production technology of cabbage</w:t>
      </w:r>
      <w:r w:rsidR="00C13484" w:rsidRPr="00E37B95">
        <w:rPr>
          <w:rFonts w:ascii="Times New Roman" w:eastAsia="Times New Roman" w:hAnsi="Times New Roman" w:cs="Times New Roman"/>
          <w:bCs/>
          <w:sz w:val="24"/>
          <w:szCs w:val="24"/>
          <w:lang w:eastAsia="en-IN"/>
        </w:rPr>
        <w:t xml:space="preserve"> (n=150, B=75, </w:t>
      </w:r>
      <w:commentRangeStart w:id="11"/>
      <w:r w:rsidR="00C13484" w:rsidRPr="00E37B95">
        <w:rPr>
          <w:rFonts w:ascii="Times New Roman" w:eastAsia="Times New Roman" w:hAnsi="Times New Roman" w:cs="Times New Roman"/>
          <w:bCs/>
          <w:sz w:val="24"/>
          <w:szCs w:val="24"/>
          <w:lang w:eastAsia="en-IN"/>
        </w:rPr>
        <w:t>NB=75)</w:t>
      </w:r>
    </w:p>
    <w:tbl>
      <w:tblPr>
        <w:tblStyle w:val="TableGrid"/>
        <w:tblW w:w="5273" w:type="pct"/>
        <w:tblLayout w:type="fixed"/>
        <w:tblLook w:val="04A0" w:firstRow="1" w:lastRow="0" w:firstColumn="1" w:lastColumn="0" w:noHBand="0" w:noVBand="1"/>
      </w:tblPr>
      <w:tblGrid>
        <w:gridCol w:w="433"/>
        <w:gridCol w:w="5063"/>
        <w:gridCol w:w="992"/>
        <w:gridCol w:w="1277"/>
        <w:gridCol w:w="990"/>
        <w:gridCol w:w="992"/>
      </w:tblGrid>
      <w:tr w:rsidR="00FF6F6B" w:rsidRPr="00FF6F6B" w14:paraId="16008B6C" w14:textId="77777777" w:rsidTr="008E75A9">
        <w:tc>
          <w:tcPr>
            <w:tcW w:w="222" w:type="pct"/>
            <w:vMerge w:val="restart"/>
          </w:tcPr>
          <w:p w14:paraId="7F5C325B" w14:textId="77777777" w:rsidR="00DB655A" w:rsidRPr="00FF6F6B" w:rsidRDefault="00DB655A" w:rsidP="000C5D90">
            <w:pP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Sl.</w:t>
            </w:r>
          </w:p>
        </w:tc>
        <w:tc>
          <w:tcPr>
            <w:tcW w:w="2597" w:type="pct"/>
            <w:vMerge w:val="restart"/>
          </w:tcPr>
          <w:p w14:paraId="0F04DB20" w14:textId="77777777" w:rsidR="00DB655A" w:rsidRPr="00FF6F6B" w:rsidRDefault="0031677F" w:rsidP="00DB655A">
            <w:pPr>
              <w:jc w:val="center"/>
              <w:rPr>
                <w:rFonts w:ascii="Times New Roman" w:eastAsia="Times New Roman" w:hAnsi="Times New Roman" w:cs="Times New Roman"/>
                <w:sz w:val="20"/>
                <w:szCs w:val="20"/>
                <w:lang w:eastAsia="en-IN"/>
              </w:rPr>
            </w:pPr>
            <w:r>
              <w:rPr>
                <w:rFonts w:ascii="Times New Roman" w:eastAsia="Times New Roman" w:hAnsi="Times New Roman" w:cs="Times New Roman"/>
                <w:b/>
                <w:sz w:val="20"/>
                <w:szCs w:val="20"/>
                <w:lang w:eastAsia="en-IN"/>
              </w:rPr>
              <w:t>Sustainable</w:t>
            </w:r>
            <w:r w:rsidR="00DB655A" w:rsidRPr="00FF6F6B">
              <w:rPr>
                <w:rFonts w:ascii="Times New Roman" w:eastAsia="Times New Roman" w:hAnsi="Times New Roman" w:cs="Times New Roman"/>
                <w:b/>
                <w:sz w:val="20"/>
                <w:szCs w:val="20"/>
                <w:lang w:eastAsia="en-IN"/>
              </w:rPr>
              <w:t xml:space="preserve"> cabbage production technology</w:t>
            </w:r>
          </w:p>
        </w:tc>
        <w:tc>
          <w:tcPr>
            <w:tcW w:w="1164" w:type="pct"/>
            <w:gridSpan w:val="2"/>
          </w:tcPr>
          <w:p w14:paraId="48571D16" w14:textId="77777777" w:rsidR="00DB655A" w:rsidRPr="00FF6F6B" w:rsidRDefault="00DB655A" w:rsidP="000C5D90">
            <w:pPr>
              <w:jc w:val="center"/>
              <w:rPr>
                <w:rFonts w:ascii="Times New Roman" w:eastAsia="Times New Roman" w:hAnsi="Times New Roman" w:cs="Times New Roman"/>
                <w:b/>
                <w:bCs/>
                <w:sz w:val="20"/>
                <w:szCs w:val="20"/>
                <w:lang w:eastAsia="en-IN"/>
              </w:rPr>
            </w:pPr>
            <w:r w:rsidRPr="00FF6F6B">
              <w:rPr>
                <w:rFonts w:ascii="Times New Roman" w:eastAsia="Times New Roman" w:hAnsi="Times New Roman" w:cs="Times New Roman"/>
                <w:b/>
                <w:bCs/>
                <w:sz w:val="20"/>
                <w:szCs w:val="20"/>
                <w:lang w:eastAsia="en-IN"/>
              </w:rPr>
              <w:t>Beneficiaries (%)</w:t>
            </w:r>
          </w:p>
        </w:tc>
        <w:tc>
          <w:tcPr>
            <w:tcW w:w="1017" w:type="pct"/>
            <w:gridSpan w:val="2"/>
          </w:tcPr>
          <w:p w14:paraId="5103B340" w14:textId="77777777" w:rsidR="00DB655A" w:rsidRPr="00FF6F6B" w:rsidRDefault="00DB655A" w:rsidP="00D26F3E">
            <w:pPr>
              <w:rPr>
                <w:rFonts w:ascii="Times New Roman" w:eastAsia="Times New Roman" w:hAnsi="Times New Roman" w:cs="Times New Roman"/>
                <w:b/>
                <w:bCs/>
                <w:sz w:val="20"/>
                <w:szCs w:val="20"/>
                <w:lang w:eastAsia="en-IN"/>
              </w:rPr>
            </w:pPr>
            <w:r w:rsidRPr="00FF6F6B">
              <w:rPr>
                <w:rFonts w:ascii="Times New Roman" w:eastAsia="Times New Roman" w:hAnsi="Times New Roman" w:cs="Times New Roman"/>
                <w:b/>
                <w:bCs/>
                <w:sz w:val="20"/>
                <w:szCs w:val="20"/>
                <w:lang w:eastAsia="en-IN"/>
              </w:rPr>
              <w:t>Non-beneficiaries</w:t>
            </w:r>
            <w:r w:rsidR="00C13484" w:rsidRPr="00FF6F6B">
              <w:rPr>
                <w:rFonts w:ascii="Times New Roman" w:eastAsia="Times New Roman" w:hAnsi="Times New Roman" w:cs="Times New Roman"/>
                <w:b/>
                <w:bCs/>
                <w:sz w:val="20"/>
                <w:szCs w:val="20"/>
                <w:lang w:eastAsia="en-IN"/>
              </w:rPr>
              <w:t xml:space="preserve"> </w:t>
            </w:r>
            <w:r w:rsidRPr="00FF6F6B">
              <w:rPr>
                <w:rFonts w:ascii="Times New Roman" w:eastAsia="Times New Roman" w:hAnsi="Times New Roman" w:cs="Times New Roman"/>
                <w:b/>
                <w:bCs/>
                <w:sz w:val="20"/>
                <w:szCs w:val="20"/>
                <w:lang w:eastAsia="en-IN"/>
              </w:rPr>
              <w:t>(%)</w:t>
            </w:r>
          </w:p>
        </w:tc>
      </w:tr>
      <w:tr w:rsidR="00FF6F6B" w:rsidRPr="00FF6F6B" w14:paraId="2D556675" w14:textId="77777777" w:rsidTr="008E75A9">
        <w:tc>
          <w:tcPr>
            <w:tcW w:w="222" w:type="pct"/>
            <w:vMerge/>
            <w:hideMark/>
          </w:tcPr>
          <w:p w14:paraId="2DF17AAA" w14:textId="77777777" w:rsidR="00DB655A" w:rsidRPr="00FF6F6B" w:rsidRDefault="00DB655A" w:rsidP="000C5D90">
            <w:pPr>
              <w:rPr>
                <w:rFonts w:ascii="Times New Roman" w:eastAsia="Times New Roman" w:hAnsi="Times New Roman" w:cs="Times New Roman"/>
                <w:sz w:val="20"/>
                <w:szCs w:val="20"/>
                <w:lang w:eastAsia="en-IN"/>
              </w:rPr>
            </w:pPr>
          </w:p>
        </w:tc>
        <w:tc>
          <w:tcPr>
            <w:tcW w:w="2597" w:type="pct"/>
            <w:vMerge/>
            <w:hideMark/>
          </w:tcPr>
          <w:p w14:paraId="23FB89BA" w14:textId="77777777" w:rsidR="00DB655A" w:rsidRPr="00FF6F6B" w:rsidRDefault="00DB655A" w:rsidP="000C5D90">
            <w:pPr>
              <w:rPr>
                <w:rFonts w:ascii="Times New Roman" w:eastAsia="Times New Roman" w:hAnsi="Times New Roman" w:cs="Times New Roman"/>
                <w:sz w:val="20"/>
                <w:szCs w:val="20"/>
                <w:lang w:eastAsia="en-IN"/>
              </w:rPr>
            </w:pPr>
          </w:p>
        </w:tc>
        <w:tc>
          <w:tcPr>
            <w:tcW w:w="509" w:type="pct"/>
            <w:hideMark/>
          </w:tcPr>
          <w:p w14:paraId="03DF605E" w14:textId="77777777" w:rsidR="00DB655A" w:rsidRPr="00FF6F6B" w:rsidRDefault="00DB655A" w:rsidP="000C5D90">
            <w:pPr>
              <w:jc w:val="center"/>
              <w:rPr>
                <w:rFonts w:ascii="Times New Roman" w:eastAsia="Times New Roman" w:hAnsi="Times New Roman" w:cs="Times New Roman"/>
                <w:b/>
                <w:sz w:val="20"/>
                <w:szCs w:val="20"/>
                <w:lang w:eastAsia="en-IN"/>
              </w:rPr>
            </w:pPr>
            <w:r w:rsidRPr="00FF6F6B">
              <w:rPr>
                <w:rFonts w:ascii="Times New Roman" w:eastAsia="Times New Roman" w:hAnsi="Times New Roman" w:cs="Times New Roman"/>
                <w:b/>
                <w:sz w:val="20"/>
                <w:szCs w:val="20"/>
                <w:lang w:eastAsia="en-IN"/>
              </w:rPr>
              <w:t>Adopted</w:t>
            </w:r>
          </w:p>
        </w:tc>
        <w:tc>
          <w:tcPr>
            <w:tcW w:w="655" w:type="pct"/>
          </w:tcPr>
          <w:p w14:paraId="2B80A7AD" w14:textId="77777777" w:rsidR="00DB655A" w:rsidRPr="00FF6F6B" w:rsidRDefault="00DB655A" w:rsidP="000C5D90">
            <w:pPr>
              <w:jc w:val="center"/>
              <w:rPr>
                <w:rFonts w:ascii="Times New Roman" w:eastAsia="Times New Roman" w:hAnsi="Times New Roman" w:cs="Times New Roman"/>
                <w:b/>
                <w:sz w:val="20"/>
                <w:szCs w:val="20"/>
                <w:lang w:eastAsia="en-IN"/>
              </w:rPr>
            </w:pPr>
            <w:r w:rsidRPr="00FF6F6B">
              <w:rPr>
                <w:rFonts w:ascii="Times New Roman" w:eastAsia="Times New Roman" w:hAnsi="Times New Roman" w:cs="Times New Roman"/>
                <w:b/>
                <w:sz w:val="20"/>
                <w:szCs w:val="20"/>
                <w:lang w:eastAsia="en-IN"/>
              </w:rPr>
              <w:t>Not adopted</w:t>
            </w:r>
          </w:p>
        </w:tc>
        <w:tc>
          <w:tcPr>
            <w:tcW w:w="508" w:type="pct"/>
            <w:hideMark/>
          </w:tcPr>
          <w:p w14:paraId="01AD742A" w14:textId="77777777" w:rsidR="00DB655A" w:rsidRPr="00FF6F6B" w:rsidRDefault="00DB655A" w:rsidP="000C5D90">
            <w:pPr>
              <w:jc w:val="center"/>
              <w:rPr>
                <w:rFonts w:ascii="Times New Roman" w:eastAsia="Times New Roman" w:hAnsi="Times New Roman" w:cs="Times New Roman"/>
                <w:b/>
                <w:sz w:val="20"/>
                <w:szCs w:val="20"/>
                <w:lang w:eastAsia="en-IN"/>
              </w:rPr>
            </w:pPr>
            <w:r w:rsidRPr="00FF6F6B">
              <w:rPr>
                <w:rFonts w:ascii="Times New Roman" w:eastAsia="Times New Roman" w:hAnsi="Times New Roman" w:cs="Times New Roman"/>
                <w:b/>
                <w:sz w:val="20"/>
                <w:szCs w:val="20"/>
                <w:lang w:eastAsia="en-IN"/>
              </w:rPr>
              <w:t>Adopted</w:t>
            </w:r>
          </w:p>
        </w:tc>
        <w:tc>
          <w:tcPr>
            <w:tcW w:w="509" w:type="pct"/>
          </w:tcPr>
          <w:p w14:paraId="764E1A57" w14:textId="77777777" w:rsidR="00DB655A" w:rsidRPr="00FF6F6B" w:rsidRDefault="00DB655A" w:rsidP="000C5D90">
            <w:pPr>
              <w:jc w:val="center"/>
              <w:rPr>
                <w:rFonts w:ascii="Times New Roman" w:eastAsia="Times New Roman" w:hAnsi="Times New Roman" w:cs="Times New Roman"/>
                <w:b/>
                <w:sz w:val="20"/>
                <w:szCs w:val="20"/>
                <w:lang w:eastAsia="en-IN"/>
              </w:rPr>
            </w:pPr>
            <w:r w:rsidRPr="00FF6F6B">
              <w:rPr>
                <w:rFonts w:ascii="Times New Roman" w:eastAsia="Times New Roman" w:hAnsi="Times New Roman" w:cs="Times New Roman"/>
                <w:b/>
                <w:sz w:val="20"/>
                <w:szCs w:val="20"/>
                <w:lang w:eastAsia="en-IN"/>
              </w:rPr>
              <w:t>Not adopted</w:t>
            </w:r>
          </w:p>
        </w:tc>
      </w:tr>
      <w:tr w:rsidR="00FF6F6B" w:rsidRPr="00FF6F6B" w14:paraId="062BE2E1" w14:textId="77777777" w:rsidTr="008E75A9">
        <w:tc>
          <w:tcPr>
            <w:tcW w:w="222" w:type="pct"/>
            <w:hideMark/>
          </w:tcPr>
          <w:p w14:paraId="404861CF" w14:textId="77777777" w:rsidR="00DD74F9" w:rsidRPr="00FF6F6B" w:rsidRDefault="00DD74F9" w:rsidP="000245A4">
            <w:pPr>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1</w:t>
            </w:r>
          </w:p>
        </w:tc>
        <w:tc>
          <w:tcPr>
            <w:tcW w:w="2597" w:type="pct"/>
            <w:hideMark/>
          </w:tcPr>
          <w:p w14:paraId="33DD0ABB" w14:textId="77777777" w:rsidR="00DD74F9" w:rsidRPr="00FF6F6B" w:rsidRDefault="00DD74F9" w:rsidP="000C5D90">
            <w:pP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 xml:space="preserve">Land preparation </w:t>
            </w:r>
          </w:p>
        </w:tc>
        <w:tc>
          <w:tcPr>
            <w:tcW w:w="509" w:type="pct"/>
          </w:tcPr>
          <w:p w14:paraId="41F17B2E"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73.33</w:t>
            </w:r>
          </w:p>
        </w:tc>
        <w:tc>
          <w:tcPr>
            <w:tcW w:w="655" w:type="pct"/>
          </w:tcPr>
          <w:p w14:paraId="680F65FB"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26.67</w:t>
            </w:r>
          </w:p>
        </w:tc>
        <w:tc>
          <w:tcPr>
            <w:tcW w:w="508" w:type="pct"/>
            <w:vAlign w:val="bottom"/>
          </w:tcPr>
          <w:p w14:paraId="31C838F5"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46.67</w:t>
            </w:r>
          </w:p>
        </w:tc>
        <w:tc>
          <w:tcPr>
            <w:tcW w:w="509" w:type="pct"/>
            <w:vAlign w:val="bottom"/>
          </w:tcPr>
          <w:p w14:paraId="693DE29F"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53.33</w:t>
            </w:r>
          </w:p>
        </w:tc>
      </w:tr>
      <w:tr w:rsidR="00FF6F6B" w:rsidRPr="00FF6F6B" w14:paraId="0F69F320" w14:textId="77777777" w:rsidTr="008E75A9">
        <w:tc>
          <w:tcPr>
            <w:tcW w:w="222" w:type="pct"/>
            <w:hideMark/>
          </w:tcPr>
          <w:p w14:paraId="5CAB818B" w14:textId="77777777" w:rsidR="00DD74F9" w:rsidRPr="00FF6F6B" w:rsidRDefault="00DD74F9" w:rsidP="000245A4">
            <w:pPr>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2</w:t>
            </w:r>
          </w:p>
        </w:tc>
        <w:tc>
          <w:tcPr>
            <w:tcW w:w="2597" w:type="pct"/>
            <w:hideMark/>
          </w:tcPr>
          <w:p w14:paraId="3A9586FD" w14:textId="77777777" w:rsidR="00DD74F9" w:rsidRPr="00FF6F6B" w:rsidRDefault="00DD74F9" w:rsidP="000C5D90">
            <w:pP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 xml:space="preserve">Seed rate </w:t>
            </w:r>
          </w:p>
        </w:tc>
        <w:tc>
          <w:tcPr>
            <w:tcW w:w="509" w:type="pct"/>
          </w:tcPr>
          <w:p w14:paraId="15687B6B"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81.33</w:t>
            </w:r>
          </w:p>
        </w:tc>
        <w:tc>
          <w:tcPr>
            <w:tcW w:w="655" w:type="pct"/>
          </w:tcPr>
          <w:p w14:paraId="645373BD"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18.67</w:t>
            </w:r>
          </w:p>
        </w:tc>
        <w:tc>
          <w:tcPr>
            <w:tcW w:w="508" w:type="pct"/>
            <w:vAlign w:val="bottom"/>
          </w:tcPr>
          <w:p w14:paraId="708BF884"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40.00</w:t>
            </w:r>
          </w:p>
        </w:tc>
        <w:tc>
          <w:tcPr>
            <w:tcW w:w="509" w:type="pct"/>
            <w:vAlign w:val="bottom"/>
          </w:tcPr>
          <w:p w14:paraId="44C9DE82"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60.00</w:t>
            </w:r>
          </w:p>
        </w:tc>
      </w:tr>
      <w:tr w:rsidR="00FF6F6B" w:rsidRPr="00FF6F6B" w14:paraId="05BF4253" w14:textId="77777777" w:rsidTr="008E75A9">
        <w:tc>
          <w:tcPr>
            <w:tcW w:w="222" w:type="pct"/>
            <w:hideMark/>
          </w:tcPr>
          <w:p w14:paraId="6EA0DA8E" w14:textId="77777777" w:rsidR="00DD74F9" w:rsidRPr="00FF6F6B" w:rsidRDefault="00DD74F9" w:rsidP="000245A4">
            <w:pPr>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3</w:t>
            </w:r>
          </w:p>
        </w:tc>
        <w:tc>
          <w:tcPr>
            <w:tcW w:w="2597" w:type="pct"/>
            <w:hideMark/>
          </w:tcPr>
          <w:p w14:paraId="2BED61D0" w14:textId="77777777" w:rsidR="00DD74F9" w:rsidRPr="00FF6F6B" w:rsidRDefault="00DD74F9" w:rsidP="000C5D90">
            <w:pP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 xml:space="preserve">Recommended spacing </w:t>
            </w:r>
          </w:p>
        </w:tc>
        <w:tc>
          <w:tcPr>
            <w:tcW w:w="509" w:type="pct"/>
          </w:tcPr>
          <w:p w14:paraId="4CCE3583"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77.33</w:t>
            </w:r>
          </w:p>
        </w:tc>
        <w:tc>
          <w:tcPr>
            <w:tcW w:w="655" w:type="pct"/>
          </w:tcPr>
          <w:p w14:paraId="1DE7D156"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22.67</w:t>
            </w:r>
          </w:p>
        </w:tc>
        <w:tc>
          <w:tcPr>
            <w:tcW w:w="508" w:type="pct"/>
            <w:vAlign w:val="bottom"/>
          </w:tcPr>
          <w:p w14:paraId="6156958D"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44.00</w:t>
            </w:r>
          </w:p>
        </w:tc>
        <w:tc>
          <w:tcPr>
            <w:tcW w:w="509" w:type="pct"/>
            <w:vAlign w:val="bottom"/>
          </w:tcPr>
          <w:p w14:paraId="51B41CBC"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56.00</w:t>
            </w:r>
          </w:p>
        </w:tc>
      </w:tr>
      <w:tr w:rsidR="00FF6F6B" w:rsidRPr="00FF6F6B" w14:paraId="54D7BE68" w14:textId="77777777" w:rsidTr="008E75A9">
        <w:tc>
          <w:tcPr>
            <w:tcW w:w="222" w:type="pct"/>
            <w:hideMark/>
          </w:tcPr>
          <w:p w14:paraId="15601E75" w14:textId="77777777" w:rsidR="00DD74F9" w:rsidRPr="00FF6F6B" w:rsidRDefault="00DD74F9" w:rsidP="000245A4">
            <w:pPr>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4</w:t>
            </w:r>
          </w:p>
        </w:tc>
        <w:tc>
          <w:tcPr>
            <w:tcW w:w="2597" w:type="pct"/>
            <w:hideMark/>
          </w:tcPr>
          <w:p w14:paraId="237D19BD" w14:textId="77777777" w:rsidR="00DD74F9" w:rsidRPr="00FF6F6B" w:rsidRDefault="00DD74F9" w:rsidP="000C5D90">
            <w:pP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 xml:space="preserve">Seed treatment </w:t>
            </w:r>
          </w:p>
        </w:tc>
        <w:tc>
          <w:tcPr>
            <w:tcW w:w="509" w:type="pct"/>
          </w:tcPr>
          <w:p w14:paraId="11513A16"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68.00</w:t>
            </w:r>
          </w:p>
        </w:tc>
        <w:tc>
          <w:tcPr>
            <w:tcW w:w="655" w:type="pct"/>
          </w:tcPr>
          <w:p w14:paraId="742E09F9"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32.00</w:t>
            </w:r>
          </w:p>
        </w:tc>
        <w:tc>
          <w:tcPr>
            <w:tcW w:w="508" w:type="pct"/>
            <w:vAlign w:val="bottom"/>
          </w:tcPr>
          <w:p w14:paraId="25418733"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32.00</w:t>
            </w:r>
          </w:p>
        </w:tc>
        <w:tc>
          <w:tcPr>
            <w:tcW w:w="509" w:type="pct"/>
            <w:vAlign w:val="bottom"/>
          </w:tcPr>
          <w:p w14:paraId="5DEC7F2D"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68.00</w:t>
            </w:r>
          </w:p>
        </w:tc>
      </w:tr>
      <w:tr w:rsidR="00FF6F6B" w:rsidRPr="00FF6F6B" w14:paraId="46086409" w14:textId="77777777" w:rsidTr="008E75A9">
        <w:tc>
          <w:tcPr>
            <w:tcW w:w="222" w:type="pct"/>
            <w:hideMark/>
          </w:tcPr>
          <w:p w14:paraId="73B08C8C" w14:textId="77777777" w:rsidR="00DD74F9" w:rsidRPr="00FF6F6B" w:rsidRDefault="00DD74F9" w:rsidP="000245A4">
            <w:pPr>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5</w:t>
            </w:r>
          </w:p>
        </w:tc>
        <w:tc>
          <w:tcPr>
            <w:tcW w:w="2597" w:type="pct"/>
            <w:hideMark/>
          </w:tcPr>
          <w:p w14:paraId="570CBEDC" w14:textId="77777777" w:rsidR="00DD74F9" w:rsidRPr="00FF6F6B" w:rsidRDefault="00DD74F9" w:rsidP="000C5D90">
            <w:pP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Transplanting at the right stage</w:t>
            </w:r>
          </w:p>
        </w:tc>
        <w:tc>
          <w:tcPr>
            <w:tcW w:w="509" w:type="pct"/>
          </w:tcPr>
          <w:p w14:paraId="1F02DC42"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89.33</w:t>
            </w:r>
          </w:p>
        </w:tc>
        <w:tc>
          <w:tcPr>
            <w:tcW w:w="655" w:type="pct"/>
          </w:tcPr>
          <w:p w14:paraId="4BC89DC0"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10.67</w:t>
            </w:r>
          </w:p>
        </w:tc>
        <w:tc>
          <w:tcPr>
            <w:tcW w:w="508" w:type="pct"/>
            <w:vAlign w:val="bottom"/>
          </w:tcPr>
          <w:p w14:paraId="6A58BD6B"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42.67</w:t>
            </w:r>
          </w:p>
        </w:tc>
        <w:tc>
          <w:tcPr>
            <w:tcW w:w="509" w:type="pct"/>
            <w:vAlign w:val="bottom"/>
          </w:tcPr>
          <w:p w14:paraId="69679693"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57.33</w:t>
            </w:r>
          </w:p>
        </w:tc>
      </w:tr>
      <w:tr w:rsidR="00FF6F6B" w:rsidRPr="00FF6F6B" w14:paraId="6D35C49C" w14:textId="77777777" w:rsidTr="008E75A9">
        <w:tc>
          <w:tcPr>
            <w:tcW w:w="222" w:type="pct"/>
            <w:hideMark/>
          </w:tcPr>
          <w:p w14:paraId="4AF296EB" w14:textId="77777777" w:rsidR="00DD74F9" w:rsidRPr="00FF6F6B" w:rsidRDefault="00DD74F9" w:rsidP="000245A4">
            <w:pPr>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6</w:t>
            </w:r>
          </w:p>
        </w:tc>
        <w:tc>
          <w:tcPr>
            <w:tcW w:w="2597" w:type="pct"/>
            <w:hideMark/>
          </w:tcPr>
          <w:p w14:paraId="5794938E" w14:textId="77777777" w:rsidR="00DD74F9" w:rsidRPr="00FF6F6B" w:rsidRDefault="00DD74F9" w:rsidP="000C5D90">
            <w:pP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 xml:space="preserve">Application of recommended fertilizer dose </w:t>
            </w:r>
          </w:p>
        </w:tc>
        <w:tc>
          <w:tcPr>
            <w:tcW w:w="509" w:type="pct"/>
          </w:tcPr>
          <w:p w14:paraId="79ED94C9"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77.33</w:t>
            </w:r>
          </w:p>
        </w:tc>
        <w:tc>
          <w:tcPr>
            <w:tcW w:w="655" w:type="pct"/>
          </w:tcPr>
          <w:p w14:paraId="2A71D9EF"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22.67</w:t>
            </w:r>
          </w:p>
        </w:tc>
        <w:tc>
          <w:tcPr>
            <w:tcW w:w="508" w:type="pct"/>
            <w:vAlign w:val="bottom"/>
          </w:tcPr>
          <w:p w14:paraId="6CC2637D"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37.33</w:t>
            </w:r>
          </w:p>
        </w:tc>
        <w:tc>
          <w:tcPr>
            <w:tcW w:w="509" w:type="pct"/>
            <w:vAlign w:val="bottom"/>
          </w:tcPr>
          <w:p w14:paraId="786F9F0E"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62.67</w:t>
            </w:r>
          </w:p>
        </w:tc>
      </w:tr>
      <w:tr w:rsidR="00FF6F6B" w:rsidRPr="00FF6F6B" w14:paraId="77BE0EB9" w14:textId="77777777" w:rsidTr="008E75A9">
        <w:tc>
          <w:tcPr>
            <w:tcW w:w="222" w:type="pct"/>
            <w:hideMark/>
          </w:tcPr>
          <w:p w14:paraId="42C47D7F" w14:textId="77777777" w:rsidR="00DD74F9" w:rsidRPr="00FF6F6B" w:rsidRDefault="00DD74F9" w:rsidP="000245A4">
            <w:pPr>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7</w:t>
            </w:r>
          </w:p>
        </w:tc>
        <w:tc>
          <w:tcPr>
            <w:tcW w:w="2597" w:type="pct"/>
            <w:hideMark/>
          </w:tcPr>
          <w:p w14:paraId="070F4F7A" w14:textId="77777777" w:rsidR="00DD74F9" w:rsidRPr="00FF6F6B" w:rsidRDefault="00DD74F9" w:rsidP="000C5D90">
            <w:pP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Use of mulching and proper irrigation methods</w:t>
            </w:r>
          </w:p>
        </w:tc>
        <w:tc>
          <w:tcPr>
            <w:tcW w:w="509" w:type="pct"/>
          </w:tcPr>
          <w:p w14:paraId="7168A2BB"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86.67</w:t>
            </w:r>
          </w:p>
        </w:tc>
        <w:tc>
          <w:tcPr>
            <w:tcW w:w="655" w:type="pct"/>
          </w:tcPr>
          <w:p w14:paraId="5637CE9A"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13.33</w:t>
            </w:r>
          </w:p>
        </w:tc>
        <w:tc>
          <w:tcPr>
            <w:tcW w:w="508" w:type="pct"/>
            <w:vAlign w:val="bottom"/>
          </w:tcPr>
          <w:p w14:paraId="35FDCEBA"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46.67</w:t>
            </w:r>
          </w:p>
        </w:tc>
        <w:tc>
          <w:tcPr>
            <w:tcW w:w="509" w:type="pct"/>
            <w:vAlign w:val="bottom"/>
          </w:tcPr>
          <w:p w14:paraId="64F074CF"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53.33</w:t>
            </w:r>
          </w:p>
        </w:tc>
      </w:tr>
      <w:tr w:rsidR="00FF6F6B" w:rsidRPr="00FF6F6B" w14:paraId="3CD0690C" w14:textId="77777777" w:rsidTr="008E75A9">
        <w:tc>
          <w:tcPr>
            <w:tcW w:w="222" w:type="pct"/>
            <w:hideMark/>
          </w:tcPr>
          <w:p w14:paraId="5147D421" w14:textId="77777777" w:rsidR="00DD74F9" w:rsidRPr="00FF6F6B" w:rsidRDefault="00DD74F9" w:rsidP="000245A4">
            <w:pPr>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8</w:t>
            </w:r>
          </w:p>
        </w:tc>
        <w:tc>
          <w:tcPr>
            <w:tcW w:w="2597" w:type="pct"/>
            <w:hideMark/>
          </w:tcPr>
          <w:p w14:paraId="4BA1D8D1" w14:textId="77777777" w:rsidR="00DD74F9" w:rsidRPr="00FF6F6B" w:rsidRDefault="00DD74F9" w:rsidP="000C5D90">
            <w:pP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Integrated pest and disease management practices followed</w:t>
            </w:r>
          </w:p>
        </w:tc>
        <w:tc>
          <w:tcPr>
            <w:tcW w:w="509" w:type="pct"/>
          </w:tcPr>
          <w:p w14:paraId="1B07BA2C"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72.00</w:t>
            </w:r>
          </w:p>
        </w:tc>
        <w:tc>
          <w:tcPr>
            <w:tcW w:w="655" w:type="pct"/>
          </w:tcPr>
          <w:p w14:paraId="127DE136"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28.00</w:t>
            </w:r>
          </w:p>
        </w:tc>
        <w:tc>
          <w:tcPr>
            <w:tcW w:w="508" w:type="pct"/>
            <w:vAlign w:val="bottom"/>
          </w:tcPr>
          <w:p w14:paraId="02358314"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28.00</w:t>
            </w:r>
          </w:p>
        </w:tc>
        <w:tc>
          <w:tcPr>
            <w:tcW w:w="509" w:type="pct"/>
            <w:vAlign w:val="bottom"/>
          </w:tcPr>
          <w:p w14:paraId="59F23B0E"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72.00</w:t>
            </w:r>
          </w:p>
        </w:tc>
      </w:tr>
      <w:tr w:rsidR="00FF6F6B" w:rsidRPr="00FF6F6B" w14:paraId="0573F3F7" w14:textId="77777777" w:rsidTr="008E75A9">
        <w:tc>
          <w:tcPr>
            <w:tcW w:w="222" w:type="pct"/>
            <w:hideMark/>
          </w:tcPr>
          <w:p w14:paraId="225ABD7D" w14:textId="77777777" w:rsidR="00DD74F9" w:rsidRPr="00FF6F6B" w:rsidRDefault="00DD74F9" w:rsidP="000245A4">
            <w:pPr>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9</w:t>
            </w:r>
          </w:p>
        </w:tc>
        <w:tc>
          <w:tcPr>
            <w:tcW w:w="2597" w:type="pct"/>
            <w:hideMark/>
          </w:tcPr>
          <w:p w14:paraId="0E242CDF" w14:textId="77777777" w:rsidR="00DD74F9" w:rsidRPr="00FF6F6B" w:rsidRDefault="00DD74F9" w:rsidP="000C5D90">
            <w:pP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Irrigation during head formation and pre-harvest stage</w:t>
            </w:r>
          </w:p>
        </w:tc>
        <w:tc>
          <w:tcPr>
            <w:tcW w:w="509" w:type="pct"/>
          </w:tcPr>
          <w:p w14:paraId="1CDA0CEE"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69.33</w:t>
            </w:r>
          </w:p>
        </w:tc>
        <w:tc>
          <w:tcPr>
            <w:tcW w:w="655" w:type="pct"/>
          </w:tcPr>
          <w:p w14:paraId="742EB67D"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30.67</w:t>
            </w:r>
          </w:p>
        </w:tc>
        <w:tc>
          <w:tcPr>
            <w:tcW w:w="508" w:type="pct"/>
            <w:vAlign w:val="bottom"/>
          </w:tcPr>
          <w:p w14:paraId="3F1BC3CF"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29.33</w:t>
            </w:r>
          </w:p>
        </w:tc>
        <w:tc>
          <w:tcPr>
            <w:tcW w:w="509" w:type="pct"/>
            <w:vAlign w:val="bottom"/>
          </w:tcPr>
          <w:p w14:paraId="2733B358"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70.67</w:t>
            </w:r>
          </w:p>
        </w:tc>
      </w:tr>
      <w:tr w:rsidR="00FF6F6B" w:rsidRPr="00FF6F6B" w14:paraId="49925FFE" w14:textId="77777777" w:rsidTr="008E75A9">
        <w:tc>
          <w:tcPr>
            <w:tcW w:w="222" w:type="pct"/>
            <w:hideMark/>
          </w:tcPr>
          <w:p w14:paraId="4C62F8A9" w14:textId="77777777" w:rsidR="00DD74F9" w:rsidRPr="00FF6F6B" w:rsidRDefault="00DD74F9" w:rsidP="000245A4">
            <w:pPr>
              <w:ind w:right="-88"/>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10</w:t>
            </w:r>
          </w:p>
        </w:tc>
        <w:tc>
          <w:tcPr>
            <w:tcW w:w="2597" w:type="pct"/>
            <w:hideMark/>
          </w:tcPr>
          <w:p w14:paraId="0BEA5280" w14:textId="77777777" w:rsidR="00DD74F9" w:rsidRPr="00FF6F6B" w:rsidRDefault="00DD74F9" w:rsidP="000C5D90">
            <w:pP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Recommended weed control measures</w:t>
            </w:r>
          </w:p>
        </w:tc>
        <w:tc>
          <w:tcPr>
            <w:tcW w:w="509" w:type="pct"/>
          </w:tcPr>
          <w:p w14:paraId="376BA994"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72.00</w:t>
            </w:r>
          </w:p>
        </w:tc>
        <w:tc>
          <w:tcPr>
            <w:tcW w:w="655" w:type="pct"/>
          </w:tcPr>
          <w:p w14:paraId="38556BA2"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28.00</w:t>
            </w:r>
          </w:p>
        </w:tc>
        <w:tc>
          <w:tcPr>
            <w:tcW w:w="508" w:type="pct"/>
            <w:vAlign w:val="bottom"/>
          </w:tcPr>
          <w:p w14:paraId="400EE9A9"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37.33</w:t>
            </w:r>
          </w:p>
        </w:tc>
        <w:tc>
          <w:tcPr>
            <w:tcW w:w="509" w:type="pct"/>
            <w:vAlign w:val="bottom"/>
          </w:tcPr>
          <w:p w14:paraId="1726E0FF"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62.67</w:t>
            </w:r>
          </w:p>
        </w:tc>
      </w:tr>
      <w:tr w:rsidR="00FF6F6B" w:rsidRPr="00FF6F6B" w14:paraId="59307254" w14:textId="77777777" w:rsidTr="008E75A9">
        <w:tc>
          <w:tcPr>
            <w:tcW w:w="222" w:type="pct"/>
            <w:hideMark/>
          </w:tcPr>
          <w:p w14:paraId="0F796672" w14:textId="77777777" w:rsidR="00DD74F9" w:rsidRPr="00FF6F6B" w:rsidRDefault="00DD74F9" w:rsidP="000245A4">
            <w:pPr>
              <w:ind w:right="-88"/>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11</w:t>
            </w:r>
          </w:p>
        </w:tc>
        <w:tc>
          <w:tcPr>
            <w:tcW w:w="2597" w:type="pct"/>
            <w:hideMark/>
          </w:tcPr>
          <w:p w14:paraId="3F5BEEB8" w14:textId="77777777" w:rsidR="00DD74F9" w:rsidRPr="00FF6F6B" w:rsidRDefault="00DD74F9" w:rsidP="000C5D90">
            <w:pP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Harvesting and yield</w:t>
            </w:r>
          </w:p>
        </w:tc>
        <w:tc>
          <w:tcPr>
            <w:tcW w:w="509" w:type="pct"/>
          </w:tcPr>
          <w:p w14:paraId="44E1D160"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74.67</w:t>
            </w:r>
          </w:p>
        </w:tc>
        <w:tc>
          <w:tcPr>
            <w:tcW w:w="655" w:type="pct"/>
          </w:tcPr>
          <w:p w14:paraId="262A231F"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25.33</w:t>
            </w:r>
          </w:p>
        </w:tc>
        <w:tc>
          <w:tcPr>
            <w:tcW w:w="508" w:type="pct"/>
            <w:vAlign w:val="bottom"/>
          </w:tcPr>
          <w:p w14:paraId="39922E89"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34.67</w:t>
            </w:r>
          </w:p>
        </w:tc>
        <w:tc>
          <w:tcPr>
            <w:tcW w:w="509" w:type="pct"/>
            <w:vAlign w:val="bottom"/>
          </w:tcPr>
          <w:p w14:paraId="3810022E"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65.33</w:t>
            </w:r>
          </w:p>
        </w:tc>
      </w:tr>
      <w:tr w:rsidR="00FF6F6B" w:rsidRPr="00FF6F6B" w14:paraId="2588835B" w14:textId="77777777" w:rsidTr="008E75A9">
        <w:tc>
          <w:tcPr>
            <w:tcW w:w="222" w:type="pct"/>
            <w:hideMark/>
          </w:tcPr>
          <w:p w14:paraId="329EF5A1" w14:textId="77777777" w:rsidR="00DD74F9" w:rsidRPr="00FF6F6B" w:rsidRDefault="00DD74F9" w:rsidP="000245A4">
            <w:pPr>
              <w:ind w:right="-88"/>
              <w:jc w:val="cente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12</w:t>
            </w:r>
          </w:p>
        </w:tc>
        <w:tc>
          <w:tcPr>
            <w:tcW w:w="2597" w:type="pct"/>
            <w:hideMark/>
          </w:tcPr>
          <w:p w14:paraId="1741F7A9" w14:textId="77777777" w:rsidR="00DD74F9" w:rsidRPr="00FF6F6B" w:rsidRDefault="00DD74F9" w:rsidP="000C5D90">
            <w:pPr>
              <w:rPr>
                <w:rFonts w:ascii="Times New Roman" w:eastAsia="Times New Roman" w:hAnsi="Times New Roman" w:cs="Times New Roman"/>
                <w:sz w:val="20"/>
                <w:szCs w:val="20"/>
                <w:lang w:eastAsia="en-IN"/>
              </w:rPr>
            </w:pPr>
            <w:r w:rsidRPr="00FF6F6B">
              <w:rPr>
                <w:rFonts w:ascii="Times New Roman" w:eastAsia="Times New Roman" w:hAnsi="Times New Roman" w:cs="Times New Roman"/>
                <w:sz w:val="20"/>
                <w:szCs w:val="20"/>
                <w:lang w:eastAsia="en-IN"/>
              </w:rPr>
              <w:t>Post harvesting measures</w:t>
            </w:r>
          </w:p>
        </w:tc>
        <w:tc>
          <w:tcPr>
            <w:tcW w:w="509" w:type="pct"/>
          </w:tcPr>
          <w:p w14:paraId="58C6BD86"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69.33</w:t>
            </w:r>
          </w:p>
        </w:tc>
        <w:tc>
          <w:tcPr>
            <w:tcW w:w="655" w:type="pct"/>
          </w:tcPr>
          <w:p w14:paraId="5B61A12F"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30.67</w:t>
            </w:r>
          </w:p>
        </w:tc>
        <w:tc>
          <w:tcPr>
            <w:tcW w:w="508" w:type="pct"/>
            <w:vAlign w:val="bottom"/>
          </w:tcPr>
          <w:p w14:paraId="4B716A4E" w14:textId="77777777" w:rsidR="00DD74F9" w:rsidRPr="00FF6F6B" w:rsidRDefault="00DD74F9" w:rsidP="000245A4">
            <w:pPr>
              <w:rPr>
                <w:rFonts w:ascii="Times New Roman" w:hAnsi="Times New Roman" w:cs="Times New Roman"/>
                <w:sz w:val="20"/>
              </w:rPr>
            </w:pPr>
            <w:r w:rsidRPr="00FF6F6B">
              <w:rPr>
                <w:rFonts w:ascii="Times New Roman" w:hAnsi="Times New Roman" w:cs="Times New Roman"/>
                <w:sz w:val="20"/>
              </w:rPr>
              <w:t>44.00</w:t>
            </w:r>
          </w:p>
        </w:tc>
        <w:tc>
          <w:tcPr>
            <w:tcW w:w="509" w:type="pct"/>
            <w:vAlign w:val="bottom"/>
          </w:tcPr>
          <w:p w14:paraId="59081132" w14:textId="77777777" w:rsidR="00DD74F9" w:rsidRPr="00FF6F6B" w:rsidRDefault="00DD74F9" w:rsidP="000245A4">
            <w:pPr>
              <w:jc w:val="center"/>
              <w:rPr>
                <w:rFonts w:ascii="Times New Roman" w:hAnsi="Times New Roman" w:cs="Times New Roman"/>
                <w:sz w:val="20"/>
              </w:rPr>
            </w:pPr>
            <w:r w:rsidRPr="00FF6F6B">
              <w:rPr>
                <w:rFonts w:ascii="Times New Roman" w:hAnsi="Times New Roman" w:cs="Times New Roman"/>
                <w:sz w:val="20"/>
              </w:rPr>
              <w:t>56.00</w:t>
            </w:r>
          </w:p>
        </w:tc>
      </w:tr>
    </w:tbl>
    <w:p w14:paraId="01240BE2" w14:textId="77777777" w:rsidR="00C13484" w:rsidRPr="00FF6F6B" w:rsidRDefault="00C13484" w:rsidP="00C1348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F6F6B">
        <w:rPr>
          <w:rFonts w:ascii="Times New Roman" w:eastAsia="Times New Roman" w:hAnsi="Times New Roman" w:cs="Times New Roman"/>
          <w:sz w:val="24"/>
          <w:szCs w:val="24"/>
          <w:lang w:eastAsia="en-IN"/>
        </w:rPr>
        <w:t xml:space="preserve">The level of adoption of various </w:t>
      </w:r>
      <w:r w:rsidR="0031677F">
        <w:rPr>
          <w:rFonts w:ascii="Times New Roman" w:eastAsia="Times New Roman" w:hAnsi="Times New Roman" w:cs="Times New Roman"/>
          <w:sz w:val="24"/>
          <w:szCs w:val="24"/>
          <w:lang w:eastAsia="en-IN"/>
        </w:rPr>
        <w:t>sustainable</w:t>
      </w:r>
      <w:r w:rsidRPr="00FF6F6B">
        <w:rPr>
          <w:rFonts w:ascii="Times New Roman" w:eastAsia="Times New Roman" w:hAnsi="Times New Roman" w:cs="Times New Roman"/>
          <w:sz w:val="24"/>
          <w:szCs w:val="24"/>
          <w:lang w:eastAsia="en-IN"/>
        </w:rPr>
        <w:t xml:space="preserve"> cabbage production technologies among NICRA beneficiaries and non-beneficiaries is presented in Table </w:t>
      </w:r>
      <w:r w:rsidR="005E171D" w:rsidRPr="00FF6F6B">
        <w:rPr>
          <w:rFonts w:ascii="Times New Roman" w:eastAsia="Times New Roman" w:hAnsi="Times New Roman" w:cs="Times New Roman"/>
          <w:sz w:val="24"/>
          <w:szCs w:val="24"/>
          <w:lang w:eastAsia="en-IN"/>
        </w:rPr>
        <w:t>3</w:t>
      </w:r>
      <w:r w:rsidRPr="00FF6F6B">
        <w:rPr>
          <w:rFonts w:ascii="Times New Roman" w:eastAsia="Times New Roman" w:hAnsi="Times New Roman" w:cs="Times New Roman"/>
          <w:sz w:val="24"/>
          <w:szCs w:val="24"/>
          <w:lang w:eastAsia="en-IN"/>
        </w:rPr>
        <w:t xml:space="preserve">. The findings reveal a significantly </w:t>
      </w:r>
      <w:r w:rsidRPr="00FF6F6B">
        <w:rPr>
          <w:rFonts w:ascii="Times New Roman" w:eastAsia="Times New Roman" w:hAnsi="Times New Roman" w:cs="Times New Roman"/>
          <w:sz w:val="24"/>
          <w:szCs w:val="24"/>
          <w:lang w:eastAsia="en-IN"/>
        </w:rPr>
        <w:lastRenderedPageBreak/>
        <w:t xml:space="preserve">higher adoption rate among beneficiaries compared to non-beneficiaries, indicating the positive impact of NICRA interventions. In terms of </w:t>
      </w:r>
      <w:r w:rsidRPr="00FF6F6B">
        <w:rPr>
          <w:rFonts w:ascii="Times New Roman" w:eastAsia="Times New Roman" w:hAnsi="Times New Roman" w:cs="Times New Roman"/>
          <w:bCs/>
          <w:sz w:val="24"/>
          <w:szCs w:val="24"/>
          <w:lang w:eastAsia="en-IN"/>
        </w:rPr>
        <w:t>land preparation</w:t>
      </w:r>
      <w:r w:rsidRPr="00FF6F6B">
        <w:rPr>
          <w:rFonts w:ascii="Times New Roman" w:eastAsia="Times New Roman" w:hAnsi="Times New Roman" w:cs="Times New Roman"/>
          <w:sz w:val="24"/>
          <w:szCs w:val="24"/>
          <w:lang w:eastAsia="en-IN"/>
        </w:rPr>
        <w:t xml:space="preserve">, 73.33% of beneficiaries adopted the recommended practices, whereas only 46.67% of non-beneficiaries followed the same, with more than half (53.33%) not adopting the correct method. A similar trend was observed for the </w:t>
      </w:r>
      <w:r w:rsidRPr="00FF6F6B">
        <w:rPr>
          <w:rFonts w:ascii="Times New Roman" w:eastAsia="Times New Roman" w:hAnsi="Times New Roman" w:cs="Times New Roman"/>
          <w:bCs/>
          <w:sz w:val="24"/>
          <w:szCs w:val="24"/>
          <w:lang w:eastAsia="en-IN"/>
        </w:rPr>
        <w:t>recommended seed rate</w:t>
      </w:r>
      <w:r w:rsidRPr="00FF6F6B">
        <w:rPr>
          <w:rFonts w:ascii="Times New Roman" w:eastAsia="Times New Roman" w:hAnsi="Times New Roman" w:cs="Times New Roman"/>
          <w:sz w:val="24"/>
          <w:szCs w:val="24"/>
          <w:lang w:eastAsia="en-IN"/>
        </w:rPr>
        <w:t>, where 81.33% of beneficiaries adhered to the guidelines, while only 40.00% of non-beneficiaries adopted the practice</w:t>
      </w:r>
      <w:r w:rsidR="00BD6F83" w:rsidRPr="00FF6F6B">
        <w:rPr>
          <w:rFonts w:ascii="Times New Roman" w:eastAsia="Times New Roman" w:hAnsi="Times New Roman" w:cs="Times New Roman"/>
          <w:sz w:val="24"/>
          <w:szCs w:val="24"/>
          <w:lang w:eastAsia="en-IN"/>
        </w:rPr>
        <w:t xml:space="preserve"> (Khati, 2020)</w:t>
      </w:r>
      <w:r w:rsidRPr="00FF6F6B">
        <w:rPr>
          <w:rFonts w:ascii="Times New Roman" w:eastAsia="Times New Roman" w:hAnsi="Times New Roman" w:cs="Times New Roman"/>
          <w:sz w:val="24"/>
          <w:szCs w:val="24"/>
          <w:lang w:eastAsia="en-IN"/>
        </w:rPr>
        <w:t>.</w:t>
      </w:r>
    </w:p>
    <w:p w14:paraId="5EE89E10" w14:textId="77777777" w:rsidR="00C13484" w:rsidRPr="00FF6F6B" w:rsidRDefault="00C13484" w:rsidP="00C1348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F6F6B">
        <w:rPr>
          <w:rFonts w:ascii="Times New Roman" w:eastAsia="Times New Roman" w:hAnsi="Times New Roman" w:cs="Times New Roman"/>
          <w:sz w:val="24"/>
          <w:szCs w:val="24"/>
          <w:lang w:eastAsia="en-IN"/>
        </w:rPr>
        <w:t xml:space="preserve">The adoption rate of </w:t>
      </w:r>
      <w:r w:rsidRPr="00FF6F6B">
        <w:rPr>
          <w:rFonts w:ascii="Times New Roman" w:eastAsia="Times New Roman" w:hAnsi="Times New Roman" w:cs="Times New Roman"/>
          <w:bCs/>
          <w:sz w:val="24"/>
          <w:szCs w:val="24"/>
          <w:lang w:eastAsia="en-IN"/>
        </w:rPr>
        <w:t>recommended spacing</w:t>
      </w:r>
      <w:r w:rsidRPr="00FF6F6B">
        <w:rPr>
          <w:rFonts w:ascii="Times New Roman" w:eastAsia="Times New Roman" w:hAnsi="Times New Roman" w:cs="Times New Roman"/>
          <w:sz w:val="24"/>
          <w:szCs w:val="24"/>
          <w:lang w:eastAsia="en-IN"/>
        </w:rPr>
        <w:t xml:space="preserve"> was also higher among beneficiaries (77.33%) compared to non-beneficiaries (44.00%). </w:t>
      </w:r>
      <w:r w:rsidRPr="00FF6F6B">
        <w:rPr>
          <w:rFonts w:ascii="Times New Roman" w:eastAsia="Times New Roman" w:hAnsi="Times New Roman" w:cs="Times New Roman"/>
          <w:bCs/>
          <w:sz w:val="24"/>
          <w:szCs w:val="24"/>
          <w:lang w:eastAsia="en-IN"/>
        </w:rPr>
        <w:t>Seed treatment</w:t>
      </w:r>
      <w:r w:rsidRPr="00FF6F6B">
        <w:rPr>
          <w:rFonts w:ascii="Times New Roman" w:eastAsia="Times New Roman" w:hAnsi="Times New Roman" w:cs="Times New Roman"/>
          <w:sz w:val="24"/>
          <w:szCs w:val="24"/>
          <w:lang w:eastAsia="en-IN"/>
        </w:rPr>
        <w:t xml:space="preserve">, a crucial step in preventing early-stage diseases, was adopted by 68.00% of beneficiaries, whereas only 32.00% of non-beneficiaries followed this practice, with 68.00% neglecting it. A remarkable difference was found in </w:t>
      </w:r>
      <w:r w:rsidRPr="00FF6F6B">
        <w:rPr>
          <w:rFonts w:ascii="Times New Roman" w:eastAsia="Times New Roman" w:hAnsi="Times New Roman" w:cs="Times New Roman"/>
          <w:bCs/>
          <w:sz w:val="24"/>
          <w:szCs w:val="24"/>
          <w:lang w:eastAsia="en-IN"/>
        </w:rPr>
        <w:t>transplanting at the right stage</w:t>
      </w:r>
      <w:r w:rsidRPr="00FF6F6B">
        <w:rPr>
          <w:rFonts w:ascii="Times New Roman" w:eastAsia="Times New Roman" w:hAnsi="Times New Roman" w:cs="Times New Roman"/>
          <w:sz w:val="24"/>
          <w:szCs w:val="24"/>
          <w:lang w:eastAsia="en-IN"/>
        </w:rPr>
        <w:t xml:space="preserve">, where 89.33% of beneficiaries adopted the recommended practice, while only 42.67% of non-beneficiaries adhered to the correct timing. Similarly, </w:t>
      </w:r>
      <w:r w:rsidRPr="00FF6F6B">
        <w:rPr>
          <w:rFonts w:ascii="Times New Roman" w:eastAsia="Times New Roman" w:hAnsi="Times New Roman" w:cs="Times New Roman"/>
          <w:bCs/>
          <w:sz w:val="24"/>
          <w:szCs w:val="24"/>
          <w:lang w:eastAsia="en-IN"/>
        </w:rPr>
        <w:t>application of the recommended fertilizer dose</w:t>
      </w:r>
      <w:r w:rsidRPr="00FF6F6B">
        <w:rPr>
          <w:rFonts w:ascii="Times New Roman" w:eastAsia="Times New Roman" w:hAnsi="Times New Roman" w:cs="Times New Roman"/>
          <w:sz w:val="24"/>
          <w:szCs w:val="24"/>
          <w:lang w:eastAsia="en-IN"/>
        </w:rPr>
        <w:t xml:space="preserve"> was significantly higher among beneficiaries (77.33%) compared to non-beneficiaries (37.33%)</w:t>
      </w:r>
      <w:r w:rsidR="00BD6F83" w:rsidRPr="00FF6F6B">
        <w:rPr>
          <w:rFonts w:ascii="Times New Roman" w:eastAsia="Times New Roman" w:hAnsi="Times New Roman" w:cs="Times New Roman"/>
          <w:sz w:val="24"/>
          <w:szCs w:val="24"/>
          <w:lang w:eastAsia="en-IN"/>
        </w:rPr>
        <w:t xml:space="preserve"> (Sodhi et al., 2023)</w:t>
      </w:r>
      <w:r w:rsidRPr="00FF6F6B">
        <w:rPr>
          <w:rFonts w:ascii="Times New Roman" w:eastAsia="Times New Roman" w:hAnsi="Times New Roman" w:cs="Times New Roman"/>
          <w:sz w:val="24"/>
          <w:szCs w:val="24"/>
          <w:lang w:eastAsia="en-IN"/>
        </w:rPr>
        <w:t>.</w:t>
      </w:r>
    </w:p>
    <w:p w14:paraId="1D04B82A" w14:textId="77777777" w:rsidR="00C13484" w:rsidRPr="00FF6F6B" w:rsidRDefault="00C13484" w:rsidP="00C1348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F6F6B">
        <w:rPr>
          <w:rFonts w:ascii="Times New Roman" w:eastAsia="Times New Roman" w:hAnsi="Times New Roman" w:cs="Times New Roman"/>
          <w:sz w:val="24"/>
          <w:szCs w:val="24"/>
          <w:lang w:eastAsia="en-IN"/>
        </w:rPr>
        <w:t xml:space="preserve">The </w:t>
      </w:r>
      <w:r w:rsidRPr="00FF6F6B">
        <w:rPr>
          <w:rFonts w:ascii="Times New Roman" w:eastAsia="Times New Roman" w:hAnsi="Times New Roman" w:cs="Times New Roman"/>
          <w:bCs/>
          <w:sz w:val="24"/>
          <w:szCs w:val="24"/>
          <w:lang w:eastAsia="en-IN"/>
        </w:rPr>
        <w:t>use of mulching and proper irrigation methods</w:t>
      </w:r>
      <w:r w:rsidRPr="00FF6F6B">
        <w:rPr>
          <w:rFonts w:ascii="Times New Roman" w:eastAsia="Times New Roman" w:hAnsi="Times New Roman" w:cs="Times New Roman"/>
          <w:sz w:val="24"/>
          <w:szCs w:val="24"/>
          <w:lang w:eastAsia="en-IN"/>
        </w:rPr>
        <w:t xml:space="preserve"> showed an adoption rate of 86.67% among beneficiaries, whereas only 46.67% of non-beneficiaries followed this approach. The gap was also evident in the </w:t>
      </w:r>
      <w:r w:rsidRPr="00FF6F6B">
        <w:rPr>
          <w:rFonts w:ascii="Times New Roman" w:eastAsia="Times New Roman" w:hAnsi="Times New Roman" w:cs="Times New Roman"/>
          <w:bCs/>
          <w:sz w:val="24"/>
          <w:szCs w:val="24"/>
          <w:lang w:eastAsia="en-IN"/>
        </w:rPr>
        <w:t>adoption of integrated pest and disease management</w:t>
      </w:r>
      <w:r w:rsidRPr="00FF6F6B">
        <w:rPr>
          <w:rFonts w:ascii="Times New Roman" w:eastAsia="Times New Roman" w:hAnsi="Times New Roman" w:cs="Times New Roman"/>
          <w:b/>
          <w:bCs/>
          <w:sz w:val="24"/>
          <w:szCs w:val="24"/>
          <w:lang w:eastAsia="en-IN"/>
        </w:rPr>
        <w:t xml:space="preserve"> </w:t>
      </w:r>
      <w:r w:rsidRPr="00FF6F6B">
        <w:rPr>
          <w:rFonts w:ascii="Times New Roman" w:eastAsia="Times New Roman" w:hAnsi="Times New Roman" w:cs="Times New Roman"/>
          <w:bCs/>
          <w:sz w:val="24"/>
          <w:szCs w:val="24"/>
          <w:lang w:eastAsia="en-IN"/>
        </w:rPr>
        <w:t>practices</w:t>
      </w:r>
      <w:r w:rsidRPr="00FF6F6B">
        <w:rPr>
          <w:rFonts w:ascii="Times New Roman" w:eastAsia="Times New Roman" w:hAnsi="Times New Roman" w:cs="Times New Roman"/>
          <w:sz w:val="24"/>
          <w:szCs w:val="24"/>
          <w:lang w:eastAsia="en-IN"/>
        </w:rPr>
        <w:t xml:space="preserve">, with 72.00% of beneficiaries implementing the recommended measures, while only 28.00% of non-beneficiaries followed them. For </w:t>
      </w:r>
      <w:r w:rsidRPr="00FF6F6B">
        <w:rPr>
          <w:rFonts w:ascii="Times New Roman" w:eastAsia="Times New Roman" w:hAnsi="Times New Roman" w:cs="Times New Roman"/>
          <w:bCs/>
          <w:sz w:val="24"/>
          <w:szCs w:val="24"/>
          <w:lang w:eastAsia="en-IN"/>
        </w:rPr>
        <w:t>irrigation during the head formation and pre-harvest stage</w:t>
      </w:r>
      <w:r w:rsidRPr="00FF6F6B">
        <w:rPr>
          <w:rFonts w:ascii="Times New Roman" w:eastAsia="Times New Roman" w:hAnsi="Times New Roman" w:cs="Times New Roman"/>
          <w:sz w:val="24"/>
          <w:szCs w:val="24"/>
          <w:lang w:eastAsia="en-IN"/>
        </w:rPr>
        <w:t xml:space="preserve">, only 29.33% of non-beneficiaries adopted the practice, compared to 69.33% of beneficiaries. </w:t>
      </w:r>
      <w:r w:rsidRPr="00FF6F6B">
        <w:rPr>
          <w:rFonts w:ascii="Times New Roman" w:eastAsia="Times New Roman" w:hAnsi="Times New Roman" w:cs="Times New Roman"/>
          <w:bCs/>
          <w:sz w:val="24"/>
          <w:szCs w:val="24"/>
          <w:lang w:eastAsia="en-IN"/>
        </w:rPr>
        <w:t>Weed control measures</w:t>
      </w:r>
      <w:r w:rsidRPr="00FF6F6B">
        <w:rPr>
          <w:rFonts w:ascii="Times New Roman" w:eastAsia="Times New Roman" w:hAnsi="Times New Roman" w:cs="Times New Roman"/>
          <w:sz w:val="24"/>
          <w:szCs w:val="24"/>
          <w:lang w:eastAsia="en-IN"/>
        </w:rPr>
        <w:t xml:space="preserve"> were adopted by 72.00% of beneficiaries, whereas only 37.33% of non-beneficiaries followed the correct techniques.</w:t>
      </w:r>
    </w:p>
    <w:p w14:paraId="5919D4DC" w14:textId="77777777" w:rsidR="00C13484" w:rsidRDefault="00C13484" w:rsidP="00C1348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F6F6B">
        <w:rPr>
          <w:rFonts w:ascii="Times New Roman" w:eastAsia="Times New Roman" w:hAnsi="Times New Roman" w:cs="Times New Roman"/>
          <w:sz w:val="24"/>
          <w:szCs w:val="24"/>
          <w:lang w:eastAsia="en-IN"/>
        </w:rPr>
        <w:t xml:space="preserve">The adoption rate for </w:t>
      </w:r>
      <w:r w:rsidRPr="00FF6F6B">
        <w:rPr>
          <w:rFonts w:ascii="Times New Roman" w:eastAsia="Times New Roman" w:hAnsi="Times New Roman" w:cs="Times New Roman"/>
          <w:bCs/>
          <w:sz w:val="24"/>
          <w:szCs w:val="24"/>
          <w:lang w:eastAsia="en-IN"/>
        </w:rPr>
        <w:t>harvesting and yield management</w:t>
      </w:r>
      <w:r w:rsidRPr="00FF6F6B">
        <w:rPr>
          <w:rFonts w:ascii="Times New Roman" w:eastAsia="Times New Roman" w:hAnsi="Times New Roman" w:cs="Times New Roman"/>
          <w:sz w:val="24"/>
          <w:szCs w:val="24"/>
          <w:lang w:eastAsia="en-IN"/>
        </w:rPr>
        <w:t xml:space="preserve"> was 74.67% among beneficiaries, whereas only 34.67% of non-beneficiaries adhered to the recommended methods. Similarly, </w:t>
      </w:r>
      <w:r w:rsidRPr="00FF6F6B">
        <w:rPr>
          <w:rFonts w:ascii="Times New Roman" w:eastAsia="Times New Roman" w:hAnsi="Times New Roman" w:cs="Times New Roman"/>
          <w:bCs/>
          <w:sz w:val="24"/>
          <w:szCs w:val="24"/>
          <w:lang w:eastAsia="en-IN"/>
        </w:rPr>
        <w:t>post-harvest measures</w:t>
      </w:r>
      <w:r w:rsidRPr="00FF6F6B">
        <w:rPr>
          <w:rFonts w:ascii="Times New Roman" w:eastAsia="Times New Roman" w:hAnsi="Times New Roman" w:cs="Times New Roman"/>
          <w:sz w:val="24"/>
          <w:szCs w:val="24"/>
          <w:lang w:eastAsia="en-IN"/>
        </w:rPr>
        <w:t xml:space="preserve"> were adopted by 69.33% of beneficiaries, compared to 44.00% of non-beneficiaries. Overall, the findings clearly indicate that NICRA beneficiaries had significantly higher adoption levels of recommended cabbage production technologies compared to non-beneficiaries. This suggests that NICRA interventions played a crucial role in promoting the adoption of improved agricultural practices, emphasizing the need for further extension efforts to bridge the gap among non-beneficiaries.</w:t>
      </w:r>
      <w:commentRangeEnd w:id="11"/>
      <w:r w:rsidR="00366A77">
        <w:rPr>
          <w:rStyle w:val="CommentReference"/>
        </w:rPr>
        <w:commentReference w:id="11"/>
      </w:r>
    </w:p>
    <w:p w14:paraId="4F07DF34" w14:textId="77777777" w:rsidR="00445C6B" w:rsidRPr="00E37B95" w:rsidRDefault="00A2536F" w:rsidP="00445C6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E37B95">
        <w:rPr>
          <w:rFonts w:ascii="Times New Roman" w:eastAsia="Times New Roman" w:hAnsi="Times New Roman" w:cs="Times New Roman"/>
          <w:sz w:val="24"/>
          <w:szCs w:val="24"/>
          <w:lang w:eastAsia="en-IN"/>
        </w:rPr>
        <w:t>Table 4</w:t>
      </w:r>
      <w:r w:rsidR="00445C6B" w:rsidRPr="00E37B95">
        <w:rPr>
          <w:rFonts w:ascii="Times New Roman" w:eastAsia="Times New Roman" w:hAnsi="Times New Roman" w:cs="Times New Roman"/>
          <w:sz w:val="24"/>
          <w:szCs w:val="24"/>
          <w:lang w:eastAsia="en-IN"/>
        </w:rPr>
        <w:t xml:space="preserve">: Distribution of respondents based on sustainability of </w:t>
      </w:r>
      <w:r w:rsidR="009950A9" w:rsidRPr="00E37B95">
        <w:rPr>
          <w:rFonts w:ascii="Times New Roman" w:eastAsia="Times New Roman" w:hAnsi="Times New Roman" w:cs="Times New Roman"/>
          <w:sz w:val="24"/>
          <w:szCs w:val="24"/>
          <w:lang w:eastAsia="en-IN"/>
        </w:rPr>
        <w:t>cabbage</w:t>
      </w:r>
      <w:r w:rsidR="00445C6B" w:rsidRPr="00E37B95">
        <w:rPr>
          <w:rFonts w:ascii="Times New Roman" w:eastAsia="Times New Roman" w:hAnsi="Times New Roman" w:cs="Times New Roman"/>
          <w:sz w:val="24"/>
          <w:szCs w:val="24"/>
          <w:lang w:eastAsia="en-IN"/>
        </w:rPr>
        <w:t xml:space="preserve"> farming pr</w:t>
      </w:r>
      <w:r w:rsidR="009950A9" w:rsidRPr="00E37B95">
        <w:rPr>
          <w:rFonts w:ascii="Times New Roman" w:eastAsia="Times New Roman" w:hAnsi="Times New Roman" w:cs="Times New Roman"/>
          <w:sz w:val="24"/>
          <w:szCs w:val="24"/>
          <w:lang w:eastAsia="en-IN"/>
        </w:rPr>
        <w:t xml:space="preserve">actised by </w:t>
      </w:r>
      <w:r w:rsidR="00A81DE9" w:rsidRPr="00E37B95">
        <w:rPr>
          <w:rFonts w:ascii="Times New Roman" w:eastAsia="Times New Roman" w:hAnsi="Times New Roman" w:cs="Times New Roman"/>
          <w:sz w:val="24"/>
          <w:szCs w:val="24"/>
          <w:lang w:eastAsia="en-IN"/>
        </w:rPr>
        <w:t xml:space="preserve">NICRA </w:t>
      </w:r>
      <w:r w:rsidR="009950A9" w:rsidRPr="00E37B95">
        <w:rPr>
          <w:rFonts w:ascii="Times New Roman" w:eastAsia="Times New Roman" w:hAnsi="Times New Roman" w:cs="Times New Roman"/>
          <w:sz w:val="24"/>
          <w:szCs w:val="24"/>
          <w:lang w:eastAsia="en-IN"/>
        </w:rPr>
        <w:t xml:space="preserve">farmers of </w:t>
      </w:r>
      <w:proofErr w:type="spellStart"/>
      <w:r w:rsidR="00A81DE9" w:rsidRPr="00E37B95">
        <w:rPr>
          <w:rFonts w:ascii="Times New Roman" w:eastAsia="Times New Roman" w:hAnsi="Times New Roman" w:cs="Times New Roman"/>
          <w:sz w:val="24"/>
          <w:szCs w:val="24"/>
          <w:lang w:eastAsia="en-IN"/>
        </w:rPr>
        <w:t>Sangsangyu</w:t>
      </w:r>
      <w:proofErr w:type="spellEnd"/>
      <w:r w:rsidR="00A81DE9" w:rsidRPr="00E37B95">
        <w:rPr>
          <w:rFonts w:ascii="Times New Roman" w:eastAsia="Times New Roman" w:hAnsi="Times New Roman" w:cs="Times New Roman"/>
          <w:sz w:val="24"/>
          <w:szCs w:val="24"/>
          <w:lang w:eastAsia="en-IN"/>
        </w:rPr>
        <w:t xml:space="preserve"> block </w:t>
      </w:r>
      <w:r w:rsidR="009950A9" w:rsidRPr="00E37B95">
        <w:rPr>
          <w:rFonts w:ascii="Times New Roman" w:eastAsia="Times New Roman" w:hAnsi="Times New Roman" w:cs="Times New Roman"/>
          <w:sz w:val="24"/>
          <w:szCs w:val="24"/>
          <w:lang w:eastAsia="en-IN"/>
        </w:rPr>
        <w:tab/>
      </w:r>
      <w:r w:rsidR="009950A9" w:rsidRPr="00E37B95">
        <w:rPr>
          <w:rFonts w:ascii="Times New Roman" w:eastAsia="Times New Roman" w:hAnsi="Times New Roman" w:cs="Times New Roman"/>
          <w:sz w:val="24"/>
          <w:szCs w:val="24"/>
          <w:lang w:eastAsia="en-IN"/>
        </w:rPr>
        <w:tab/>
        <w:t xml:space="preserve"> </w:t>
      </w:r>
      <w:r w:rsidR="00445C6B" w:rsidRPr="00E37B95">
        <w:rPr>
          <w:rFonts w:ascii="Times New Roman" w:eastAsia="Times New Roman" w:hAnsi="Times New Roman" w:cs="Times New Roman"/>
          <w:sz w:val="24"/>
          <w:szCs w:val="24"/>
          <w:lang w:eastAsia="en-IN"/>
        </w:rPr>
        <w:t>N=</w:t>
      </w:r>
      <w:r w:rsidR="009950A9" w:rsidRPr="00E37B95">
        <w:rPr>
          <w:rFonts w:ascii="Times New Roman" w:eastAsia="Times New Roman" w:hAnsi="Times New Roman" w:cs="Times New Roman"/>
          <w:sz w:val="24"/>
          <w:szCs w:val="24"/>
          <w:lang w:eastAsia="en-IN"/>
        </w:rPr>
        <w:t>75(Beneficiary)</w:t>
      </w:r>
    </w:p>
    <w:tbl>
      <w:tblPr>
        <w:tblStyle w:val="TableGrid"/>
        <w:tblW w:w="5000" w:type="pct"/>
        <w:tblLook w:val="04A0" w:firstRow="1" w:lastRow="0" w:firstColumn="1" w:lastColumn="0" w:noHBand="0" w:noVBand="1"/>
      </w:tblPr>
      <w:tblGrid>
        <w:gridCol w:w="590"/>
        <w:gridCol w:w="1863"/>
        <w:gridCol w:w="1945"/>
        <w:gridCol w:w="1070"/>
        <w:gridCol w:w="1169"/>
        <w:gridCol w:w="975"/>
        <w:gridCol w:w="1630"/>
      </w:tblGrid>
      <w:tr w:rsidR="00A2536F" w:rsidRPr="00445C6B" w14:paraId="0A4FDFE4" w14:textId="77777777" w:rsidTr="00A2536F">
        <w:trPr>
          <w:trHeight w:val="644"/>
        </w:trPr>
        <w:tc>
          <w:tcPr>
            <w:tcW w:w="370" w:type="pct"/>
          </w:tcPr>
          <w:p w14:paraId="7C0A9B37" w14:textId="77777777" w:rsidR="00A2536F" w:rsidRPr="00445C6B" w:rsidRDefault="00A2536F" w:rsidP="00887BDD">
            <w:pPr>
              <w:jc w:val="both"/>
              <w:rPr>
                <w:rFonts w:ascii="Times New Roman" w:eastAsia="Times New Roman" w:hAnsi="Times New Roman" w:cs="Times New Roman"/>
                <w:b/>
                <w:sz w:val="24"/>
                <w:szCs w:val="24"/>
                <w:lang w:eastAsia="en-IN"/>
              </w:rPr>
            </w:pPr>
            <w:r w:rsidRPr="00445C6B">
              <w:rPr>
                <w:rFonts w:ascii="Times New Roman" w:eastAsia="Times New Roman" w:hAnsi="Times New Roman" w:cs="Times New Roman"/>
                <w:b/>
                <w:sz w:val="24"/>
                <w:szCs w:val="24"/>
                <w:lang w:eastAsia="en-IN"/>
              </w:rPr>
              <w:t>Sr. no.</w:t>
            </w:r>
          </w:p>
        </w:tc>
        <w:tc>
          <w:tcPr>
            <w:tcW w:w="1059" w:type="pct"/>
          </w:tcPr>
          <w:p w14:paraId="3DF17834" w14:textId="77777777" w:rsidR="00A2536F" w:rsidRPr="00445C6B" w:rsidRDefault="00A2536F" w:rsidP="00887BDD">
            <w:pPr>
              <w:jc w:val="both"/>
              <w:rPr>
                <w:rFonts w:ascii="Times New Roman" w:eastAsia="Times New Roman" w:hAnsi="Times New Roman" w:cs="Times New Roman"/>
                <w:b/>
                <w:sz w:val="24"/>
                <w:szCs w:val="24"/>
                <w:lang w:eastAsia="en-IN"/>
              </w:rPr>
            </w:pPr>
            <w:r w:rsidRPr="00445C6B">
              <w:rPr>
                <w:rFonts w:ascii="Times New Roman" w:eastAsia="Times New Roman" w:hAnsi="Times New Roman" w:cs="Times New Roman"/>
                <w:b/>
                <w:sz w:val="24"/>
                <w:szCs w:val="24"/>
                <w:lang w:eastAsia="en-IN"/>
              </w:rPr>
              <w:t>Dimensions of sustainability</w:t>
            </w:r>
          </w:p>
        </w:tc>
        <w:tc>
          <w:tcPr>
            <w:tcW w:w="1103" w:type="pct"/>
          </w:tcPr>
          <w:p w14:paraId="739D3A08" w14:textId="77777777" w:rsidR="00A2536F" w:rsidRPr="00445C6B" w:rsidRDefault="00A2536F" w:rsidP="00887BDD">
            <w:pPr>
              <w:jc w:val="both"/>
              <w:rPr>
                <w:rFonts w:ascii="Times New Roman" w:eastAsia="Times New Roman" w:hAnsi="Times New Roman" w:cs="Times New Roman"/>
                <w:b/>
                <w:sz w:val="24"/>
                <w:szCs w:val="24"/>
                <w:lang w:eastAsia="en-IN"/>
              </w:rPr>
            </w:pPr>
            <w:r w:rsidRPr="00445C6B">
              <w:rPr>
                <w:rFonts w:ascii="Times New Roman" w:eastAsia="Times New Roman" w:hAnsi="Times New Roman" w:cs="Times New Roman"/>
                <w:b/>
                <w:bCs/>
                <w:sz w:val="24"/>
                <w:szCs w:val="24"/>
                <w:lang w:eastAsia="en-IN"/>
              </w:rPr>
              <w:t>Level</w:t>
            </w:r>
          </w:p>
        </w:tc>
        <w:tc>
          <w:tcPr>
            <w:tcW w:w="630" w:type="pct"/>
          </w:tcPr>
          <w:p w14:paraId="71C82842" w14:textId="77777777" w:rsidR="00A2536F" w:rsidRPr="00445C6B" w:rsidRDefault="00A2536F" w:rsidP="00887BDD">
            <w:pPr>
              <w:jc w:val="both"/>
              <w:rPr>
                <w:rFonts w:ascii="Times New Roman" w:eastAsia="Times New Roman" w:hAnsi="Times New Roman" w:cs="Times New Roman"/>
                <w:b/>
                <w:sz w:val="24"/>
                <w:szCs w:val="24"/>
                <w:lang w:eastAsia="en-IN"/>
              </w:rPr>
            </w:pPr>
            <w:r w:rsidRPr="00445C6B">
              <w:rPr>
                <w:rFonts w:ascii="Times New Roman" w:eastAsia="Times New Roman" w:hAnsi="Times New Roman" w:cs="Times New Roman"/>
                <w:b/>
                <w:sz w:val="24"/>
                <w:szCs w:val="24"/>
                <w:lang w:eastAsia="en-IN"/>
              </w:rPr>
              <w:t>%</w:t>
            </w:r>
          </w:p>
        </w:tc>
        <w:tc>
          <w:tcPr>
            <w:tcW w:w="683" w:type="pct"/>
          </w:tcPr>
          <w:p w14:paraId="26BD66C9" w14:textId="77777777" w:rsidR="00A2536F" w:rsidRPr="00445C6B" w:rsidRDefault="00A2536F" w:rsidP="00887BDD">
            <w:pPr>
              <w:jc w:val="both"/>
              <w:rPr>
                <w:rFonts w:ascii="Times New Roman" w:eastAsia="Times New Roman" w:hAnsi="Times New Roman" w:cs="Times New Roman"/>
                <w:b/>
                <w:sz w:val="24"/>
                <w:szCs w:val="24"/>
                <w:lang w:eastAsia="en-IN"/>
              </w:rPr>
            </w:pPr>
            <w:r w:rsidRPr="00445C6B">
              <w:rPr>
                <w:rFonts w:ascii="Times New Roman" w:eastAsia="Times New Roman" w:hAnsi="Times New Roman" w:cs="Times New Roman"/>
                <w:b/>
                <w:sz w:val="24"/>
                <w:szCs w:val="24"/>
                <w:lang w:eastAsia="en-IN"/>
              </w:rPr>
              <w:t>Mean</w:t>
            </w:r>
          </w:p>
          <w:p w14:paraId="4B1CFBC5" w14:textId="77777777" w:rsidR="00A2536F" w:rsidRPr="00445C6B" w:rsidRDefault="00A2536F" w:rsidP="00887BDD">
            <w:pPr>
              <w:jc w:val="both"/>
              <w:rPr>
                <w:rFonts w:ascii="Times New Roman" w:eastAsia="Times New Roman" w:hAnsi="Times New Roman" w:cs="Times New Roman"/>
                <w:b/>
                <w:sz w:val="24"/>
                <w:szCs w:val="24"/>
                <w:lang w:eastAsia="en-IN"/>
              </w:rPr>
            </w:pPr>
            <w:r w:rsidRPr="00445C6B">
              <w:rPr>
                <w:rFonts w:ascii="Times New Roman" w:eastAsia="Times New Roman" w:hAnsi="Times New Roman" w:cs="Times New Roman"/>
                <w:b/>
                <w:sz w:val="24"/>
                <w:szCs w:val="24"/>
                <w:lang w:eastAsia="en-IN"/>
              </w:rPr>
              <w:t>score</w:t>
            </w:r>
          </w:p>
        </w:tc>
        <w:tc>
          <w:tcPr>
            <w:tcW w:w="578" w:type="pct"/>
          </w:tcPr>
          <w:p w14:paraId="31F38ABC" w14:textId="77777777" w:rsidR="00A2536F" w:rsidRPr="00445C6B" w:rsidRDefault="00A2536F" w:rsidP="00887BDD">
            <w:pPr>
              <w:jc w:val="both"/>
              <w:rPr>
                <w:rFonts w:ascii="Times New Roman" w:eastAsia="Times New Roman" w:hAnsi="Times New Roman" w:cs="Times New Roman"/>
                <w:b/>
                <w:sz w:val="24"/>
                <w:szCs w:val="24"/>
                <w:lang w:eastAsia="en-IN"/>
              </w:rPr>
            </w:pPr>
            <w:r w:rsidRPr="00445C6B">
              <w:rPr>
                <w:rFonts w:ascii="Times New Roman" w:eastAsia="Times New Roman" w:hAnsi="Times New Roman" w:cs="Times New Roman"/>
                <w:b/>
                <w:sz w:val="24"/>
                <w:szCs w:val="24"/>
                <w:lang w:eastAsia="en-IN"/>
              </w:rPr>
              <w:t>Sd</w:t>
            </w:r>
          </w:p>
        </w:tc>
        <w:tc>
          <w:tcPr>
            <w:tcW w:w="578" w:type="pct"/>
          </w:tcPr>
          <w:p w14:paraId="671E23CA" w14:textId="77777777" w:rsidR="00A2536F" w:rsidRPr="00445C6B" w:rsidRDefault="00A2536F" w:rsidP="00887BDD">
            <w:pPr>
              <w:jc w:val="center"/>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Sustainability index</w:t>
            </w:r>
          </w:p>
        </w:tc>
      </w:tr>
      <w:tr w:rsidR="00A2536F" w:rsidRPr="00445C6B" w14:paraId="65AD4B0C" w14:textId="77777777" w:rsidTr="009950A9">
        <w:trPr>
          <w:trHeight w:val="751"/>
        </w:trPr>
        <w:tc>
          <w:tcPr>
            <w:tcW w:w="370" w:type="pct"/>
          </w:tcPr>
          <w:p w14:paraId="354CE9B2" w14:textId="77777777" w:rsidR="00A2536F" w:rsidRPr="00445C6B" w:rsidRDefault="00A2536F" w:rsidP="00887BDD">
            <w:pPr>
              <w:jc w:val="both"/>
              <w:rPr>
                <w:rFonts w:ascii="Times New Roman" w:eastAsia="Times New Roman" w:hAnsi="Times New Roman" w:cs="Times New Roman"/>
                <w:sz w:val="24"/>
                <w:szCs w:val="24"/>
                <w:lang w:eastAsia="en-IN"/>
              </w:rPr>
            </w:pPr>
            <w:r w:rsidRPr="00445C6B">
              <w:rPr>
                <w:rFonts w:ascii="Times New Roman" w:eastAsia="Times New Roman" w:hAnsi="Times New Roman" w:cs="Times New Roman"/>
                <w:sz w:val="24"/>
                <w:szCs w:val="24"/>
                <w:lang w:eastAsia="en-IN"/>
              </w:rPr>
              <w:t>1</w:t>
            </w:r>
          </w:p>
        </w:tc>
        <w:tc>
          <w:tcPr>
            <w:tcW w:w="1059" w:type="pct"/>
          </w:tcPr>
          <w:p w14:paraId="62AE3086" w14:textId="77777777" w:rsidR="00A2536F" w:rsidRPr="00445C6B" w:rsidRDefault="00A2536F" w:rsidP="00887BDD">
            <w:pPr>
              <w:jc w:val="both"/>
              <w:rPr>
                <w:rFonts w:ascii="Times New Roman" w:eastAsia="Times New Roman" w:hAnsi="Times New Roman" w:cs="Times New Roman"/>
                <w:sz w:val="24"/>
                <w:szCs w:val="24"/>
                <w:lang w:eastAsia="en-IN"/>
              </w:rPr>
            </w:pPr>
            <w:r w:rsidRPr="00445C6B">
              <w:rPr>
                <w:rFonts w:ascii="Times New Roman" w:eastAsia="Times New Roman" w:hAnsi="Times New Roman" w:cs="Times New Roman"/>
                <w:sz w:val="24"/>
                <w:szCs w:val="24"/>
                <w:lang w:eastAsia="en-IN"/>
              </w:rPr>
              <w:t>Economic sustainability</w:t>
            </w:r>
          </w:p>
        </w:tc>
        <w:tc>
          <w:tcPr>
            <w:tcW w:w="1103" w:type="pct"/>
          </w:tcPr>
          <w:p w14:paraId="4F885CDF" w14:textId="77777777" w:rsidR="00A2536F" w:rsidRPr="00445C6B" w:rsidRDefault="00A2536F" w:rsidP="00887BDD">
            <w:pPr>
              <w:jc w:val="both"/>
              <w:rPr>
                <w:rFonts w:ascii="Times New Roman" w:eastAsia="Times New Roman" w:hAnsi="Times New Roman" w:cs="Times New Roman"/>
                <w:sz w:val="24"/>
                <w:szCs w:val="24"/>
                <w:lang w:eastAsia="en-IN"/>
              </w:rPr>
            </w:pPr>
            <w:r w:rsidRPr="00445C6B">
              <w:rPr>
                <w:rFonts w:ascii="Times New Roman" w:eastAsia="Times New Roman" w:hAnsi="Times New Roman" w:cs="Times New Roman"/>
                <w:sz w:val="24"/>
                <w:szCs w:val="24"/>
                <w:lang w:eastAsia="en-IN"/>
              </w:rPr>
              <w:t>Low (&lt;4)</w:t>
            </w:r>
          </w:p>
          <w:p w14:paraId="3D5FA8D5" w14:textId="77777777" w:rsidR="00A2536F" w:rsidRPr="00445C6B" w:rsidRDefault="00A2536F" w:rsidP="00887BDD">
            <w:pPr>
              <w:jc w:val="both"/>
              <w:rPr>
                <w:rFonts w:ascii="Times New Roman" w:eastAsia="Times New Roman" w:hAnsi="Times New Roman" w:cs="Times New Roman"/>
                <w:sz w:val="24"/>
                <w:szCs w:val="24"/>
                <w:lang w:eastAsia="en-IN"/>
              </w:rPr>
            </w:pPr>
            <w:r w:rsidRPr="00445C6B">
              <w:rPr>
                <w:rFonts w:ascii="Times New Roman" w:eastAsia="Times New Roman" w:hAnsi="Times New Roman" w:cs="Times New Roman"/>
                <w:sz w:val="24"/>
                <w:szCs w:val="24"/>
                <w:lang w:eastAsia="en-IN"/>
              </w:rPr>
              <w:t>Medium (4-5)</w:t>
            </w:r>
          </w:p>
          <w:p w14:paraId="19DCDAB5" w14:textId="77777777" w:rsidR="00A2536F" w:rsidRPr="00445C6B" w:rsidRDefault="00A2536F" w:rsidP="00887BDD">
            <w:pPr>
              <w:jc w:val="both"/>
              <w:rPr>
                <w:rFonts w:ascii="Times New Roman" w:eastAsia="Times New Roman" w:hAnsi="Times New Roman" w:cs="Times New Roman"/>
                <w:sz w:val="24"/>
                <w:szCs w:val="24"/>
                <w:lang w:eastAsia="en-IN"/>
              </w:rPr>
            </w:pPr>
            <w:r w:rsidRPr="00445C6B">
              <w:rPr>
                <w:rFonts w:ascii="Times New Roman" w:eastAsia="Times New Roman" w:hAnsi="Times New Roman" w:cs="Times New Roman"/>
                <w:sz w:val="24"/>
                <w:szCs w:val="24"/>
                <w:lang w:eastAsia="en-IN"/>
              </w:rPr>
              <w:t>High (&gt;5)</w:t>
            </w:r>
          </w:p>
        </w:tc>
        <w:tc>
          <w:tcPr>
            <w:tcW w:w="630" w:type="pct"/>
          </w:tcPr>
          <w:p w14:paraId="48BF17BD" w14:textId="77777777" w:rsidR="00A2536F" w:rsidRPr="00445C6B" w:rsidRDefault="009950A9" w:rsidP="00887BDD">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5.33</w:t>
            </w:r>
          </w:p>
          <w:p w14:paraId="65FE7A29" w14:textId="77777777" w:rsidR="00A2536F" w:rsidRPr="00445C6B" w:rsidRDefault="009950A9" w:rsidP="00887BDD">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94.67</w:t>
            </w:r>
          </w:p>
          <w:p w14:paraId="6EA16230" w14:textId="77777777" w:rsidR="00A2536F" w:rsidRPr="00445C6B" w:rsidRDefault="00A2536F" w:rsidP="00887BDD">
            <w:pPr>
              <w:jc w:val="both"/>
              <w:rPr>
                <w:rFonts w:ascii="Times New Roman" w:eastAsia="Times New Roman" w:hAnsi="Times New Roman" w:cs="Times New Roman"/>
                <w:sz w:val="24"/>
                <w:szCs w:val="24"/>
                <w:lang w:eastAsia="en-IN"/>
              </w:rPr>
            </w:pPr>
            <w:r w:rsidRPr="00445C6B">
              <w:rPr>
                <w:rFonts w:ascii="Times New Roman" w:eastAsia="Times New Roman" w:hAnsi="Times New Roman" w:cs="Times New Roman"/>
                <w:sz w:val="24"/>
                <w:szCs w:val="24"/>
                <w:lang w:eastAsia="en-IN"/>
              </w:rPr>
              <w:t>0.00</w:t>
            </w:r>
          </w:p>
        </w:tc>
        <w:tc>
          <w:tcPr>
            <w:tcW w:w="683" w:type="pct"/>
          </w:tcPr>
          <w:p w14:paraId="4040CFD6" w14:textId="77777777" w:rsidR="00A2536F" w:rsidRPr="00445C6B" w:rsidRDefault="0085568F" w:rsidP="0085568F">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4.65</w:t>
            </w:r>
          </w:p>
        </w:tc>
        <w:tc>
          <w:tcPr>
            <w:tcW w:w="578" w:type="pct"/>
          </w:tcPr>
          <w:p w14:paraId="11721D16" w14:textId="77777777" w:rsidR="00A2536F" w:rsidRPr="00445C6B" w:rsidRDefault="00A2536F" w:rsidP="009950A9">
            <w:pPr>
              <w:jc w:val="center"/>
              <w:rPr>
                <w:rFonts w:ascii="Times New Roman" w:eastAsia="Times New Roman" w:hAnsi="Times New Roman" w:cs="Times New Roman"/>
                <w:sz w:val="24"/>
                <w:szCs w:val="24"/>
                <w:lang w:eastAsia="en-IN"/>
              </w:rPr>
            </w:pPr>
            <w:r w:rsidRPr="00445C6B">
              <w:rPr>
                <w:rFonts w:ascii="Times New Roman" w:eastAsia="Times New Roman" w:hAnsi="Times New Roman" w:cs="Times New Roman"/>
                <w:sz w:val="24"/>
                <w:szCs w:val="24"/>
                <w:lang w:eastAsia="en-IN"/>
              </w:rPr>
              <w:t>0.67</w:t>
            </w:r>
          </w:p>
        </w:tc>
        <w:tc>
          <w:tcPr>
            <w:tcW w:w="578" w:type="pct"/>
          </w:tcPr>
          <w:p w14:paraId="61D28E63" w14:textId="77777777" w:rsidR="00A2536F" w:rsidRPr="00445C6B" w:rsidRDefault="001B2C83" w:rsidP="00887BDD">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10.74</w:t>
            </w:r>
          </w:p>
        </w:tc>
      </w:tr>
      <w:tr w:rsidR="00A2536F" w:rsidRPr="00445C6B" w14:paraId="1B32F1C8" w14:textId="77777777" w:rsidTr="009950A9">
        <w:trPr>
          <w:trHeight w:val="762"/>
        </w:trPr>
        <w:tc>
          <w:tcPr>
            <w:tcW w:w="370" w:type="pct"/>
          </w:tcPr>
          <w:p w14:paraId="4424F874" w14:textId="77777777" w:rsidR="00A2536F" w:rsidRPr="00445C6B" w:rsidRDefault="00A2536F" w:rsidP="00887BDD">
            <w:pPr>
              <w:jc w:val="both"/>
              <w:rPr>
                <w:rFonts w:ascii="Times New Roman" w:eastAsia="Times New Roman" w:hAnsi="Times New Roman" w:cs="Times New Roman"/>
                <w:sz w:val="24"/>
                <w:szCs w:val="24"/>
                <w:lang w:eastAsia="en-IN"/>
              </w:rPr>
            </w:pPr>
            <w:r w:rsidRPr="00445C6B">
              <w:rPr>
                <w:rFonts w:ascii="Times New Roman" w:eastAsia="Times New Roman" w:hAnsi="Times New Roman" w:cs="Times New Roman"/>
                <w:sz w:val="24"/>
                <w:szCs w:val="24"/>
                <w:lang w:eastAsia="en-IN"/>
              </w:rPr>
              <w:t>2</w:t>
            </w:r>
          </w:p>
        </w:tc>
        <w:tc>
          <w:tcPr>
            <w:tcW w:w="1059" w:type="pct"/>
          </w:tcPr>
          <w:p w14:paraId="595C65F6" w14:textId="77777777" w:rsidR="00A2536F" w:rsidRPr="00445C6B" w:rsidRDefault="00A2536F" w:rsidP="00887BDD">
            <w:pPr>
              <w:jc w:val="both"/>
              <w:rPr>
                <w:rFonts w:ascii="Times New Roman" w:eastAsia="Times New Roman" w:hAnsi="Times New Roman" w:cs="Times New Roman"/>
                <w:sz w:val="24"/>
                <w:szCs w:val="24"/>
                <w:lang w:eastAsia="en-IN"/>
              </w:rPr>
            </w:pPr>
            <w:r w:rsidRPr="00445C6B">
              <w:rPr>
                <w:rFonts w:ascii="Times New Roman" w:eastAsia="Times New Roman" w:hAnsi="Times New Roman" w:cs="Times New Roman"/>
                <w:sz w:val="24"/>
                <w:szCs w:val="24"/>
                <w:lang w:eastAsia="en-IN"/>
              </w:rPr>
              <w:t>Social sustainability</w:t>
            </w:r>
          </w:p>
        </w:tc>
        <w:tc>
          <w:tcPr>
            <w:tcW w:w="1103" w:type="pct"/>
          </w:tcPr>
          <w:p w14:paraId="48C076D1" w14:textId="77777777" w:rsidR="00A2536F" w:rsidRPr="00445C6B" w:rsidRDefault="0085568F" w:rsidP="00887BDD">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Low (&lt;22</w:t>
            </w:r>
            <w:r w:rsidR="00A2536F" w:rsidRPr="00445C6B">
              <w:rPr>
                <w:rFonts w:ascii="Times New Roman" w:eastAsia="Times New Roman" w:hAnsi="Times New Roman" w:cs="Times New Roman"/>
                <w:sz w:val="24"/>
                <w:szCs w:val="24"/>
                <w:lang w:eastAsia="en-IN"/>
              </w:rPr>
              <w:t>)</w:t>
            </w:r>
          </w:p>
          <w:p w14:paraId="1A9B11B6" w14:textId="77777777" w:rsidR="00A2536F" w:rsidRPr="00445C6B" w:rsidRDefault="0085568F" w:rsidP="00887BDD">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Medium (22-27</w:t>
            </w:r>
            <w:r w:rsidR="00A2536F" w:rsidRPr="00445C6B">
              <w:rPr>
                <w:rFonts w:ascii="Times New Roman" w:eastAsia="Times New Roman" w:hAnsi="Times New Roman" w:cs="Times New Roman"/>
                <w:sz w:val="24"/>
                <w:szCs w:val="24"/>
                <w:lang w:eastAsia="en-IN"/>
              </w:rPr>
              <w:t>)</w:t>
            </w:r>
          </w:p>
          <w:p w14:paraId="4A03282B" w14:textId="77777777" w:rsidR="00A2536F" w:rsidRPr="00445C6B" w:rsidRDefault="0085568F" w:rsidP="00887BDD">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High (&gt;27</w:t>
            </w:r>
            <w:r w:rsidR="00A2536F" w:rsidRPr="00445C6B">
              <w:rPr>
                <w:rFonts w:ascii="Times New Roman" w:eastAsia="Times New Roman" w:hAnsi="Times New Roman" w:cs="Times New Roman"/>
                <w:sz w:val="24"/>
                <w:szCs w:val="24"/>
                <w:lang w:eastAsia="en-IN"/>
              </w:rPr>
              <w:t>)</w:t>
            </w:r>
          </w:p>
        </w:tc>
        <w:tc>
          <w:tcPr>
            <w:tcW w:w="630" w:type="pct"/>
          </w:tcPr>
          <w:p w14:paraId="7628C42C" w14:textId="77777777" w:rsidR="00A2536F" w:rsidRPr="00445C6B" w:rsidRDefault="009950A9" w:rsidP="00887BDD">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4.00</w:t>
            </w:r>
          </w:p>
          <w:p w14:paraId="14FAC1ED" w14:textId="77777777" w:rsidR="00A2536F" w:rsidRPr="00445C6B" w:rsidRDefault="009950A9" w:rsidP="00887BDD">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81.33</w:t>
            </w:r>
          </w:p>
          <w:p w14:paraId="72EE50F9" w14:textId="77777777" w:rsidR="00A2536F" w:rsidRPr="00445C6B" w:rsidRDefault="009950A9" w:rsidP="00887BDD">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14.67</w:t>
            </w:r>
          </w:p>
        </w:tc>
        <w:tc>
          <w:tcPr>
            <w:tcW w:w="683" w:type="pct"/>
          </w:tcPr>
          <w:p w14:paraId="3BA56348" w14:textId="77777777" w:rsidR="00A2536F" w:rsidRPr="00445C6B" w:rsidRDefault="0085568F" w:rsidP="009950A9">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24.67</w:t>
            </w:r>
          </w:p>
        </w:tc>
        <w:tc>
          <w:tcPr>
            <w:tcW w:w="578" w:type="pct"/>
          </w:tcPr>
          <w:p w14:paraId="52DEA0B0" w14:textId="77777777" w:rsidR="00A2536F" w:rsidRPr="00445C6B" w:rsidRDefault="00A2536F" w:rsidP="009950A9">
            <w:pPr>
              <w:jc w:val="center"/>
              <w:rPr>
                <w:rFonts w:ascii="Times New Roman" w:eastAsia="Times New Roman" w:hAnsi="Times New Roman" w:cs="Times New Roman"/>
                <w:sz w:val="24"/>
                <w:szCs w:val="24"/>
                <w:lang w:eastAsia="en-IN"/>
              </w:rPr>
            </w:pPr>
            <w:r w:rsidRPr="00445C6B">
              <w:rPr>
                <w:rFonts w:ascii="Times New Roman" w:eastAsia="Times New Roman" w:hAnsi="Times New Roman" w:cs="Times New Roman"/>
                <w:sz w:val="24"/>
                <w:szCs w:val="24"/>
                <w:lang w:eastAsia="en-IN"/>
              </w:rPr>
              <w:t>2.61</w:t>
            </w:r>
          </w:p>
        </w:tc>
        <w:tc>
          <w:tcPr>
            <w:tcW w:w="578" w:type="pct"/>
          </w:tcPr>
          <w:p w14:paraId="41C7707B" w14:textId="77777777" w:rsidR="00A2536F" w:rsidRPr="00445C6B" w:rsidRDefault="001B2C83" w:rsidP="00887BDD">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58.97</w:t>
            </w:r>
          </w:p>
        </w:tc>
      </w:tr>
      <w:tr w:rsidR="00A2536F" w:rsidRPr="00445C6B" w14:paraId="4F6F76A2" w14:textId="77777777" w:rsidTr="00A2536F">
        <w:trPr>
          <w:trHeight w:val="1046"/>
        </w:trPr>
        <w:tc>
          <w:tcPr>
            <w:tcW w:w="370" w:type="pct"/>
          </w:tcPr>
          <w:p w14:paraId="0C7249FF" w14:textId="77777777" w:rsidR="00A2536F" w:rsidRPr="00445C6B" w:rsidRDefault="00A2536F" w:rsidP="00887BDD">
            <w:pPr>
              <w:jc w:val="both"/>
              <w:rPr>
                <w:rFonts w:ascii="Times New Roman" w:eastAsia="Times New Roman" w:hAnsi="Times New Roman" w:cs="Times New Roman"/>
                <w:sz w:val="24"/>
                <w:szCs w:val="24"/>
                <w:lang w:eastAsia="en-IN"/>
              </w:rPr>
            </w:pPr>
            <w:r w:rsidRPr="00445C6B">
              <w:rPr>
                <w:rFonts w:ascii="Times New Roman" w:eastAsia="Times New Roman" w:hAnsi="Times New Roman" w:cs="Times New Roman"/>
                <w:sz w:val="24"/>
                <w:szCs w:val="24"/>
                <w:lang w:eastAsia="en-IN"/>
              </w:rPr>
              <w:t>3</w:t>
            </w:r>
          </w:p>
        </w:tc>
        <w:tc>
          <w:tcPr>
            <w:tcW w:w="1059" w:type="pct"/>
          </w:tcPr>
          <w:p w14:paraId="178D61EE" w14:textId="77777777" w:rsidR="00A2536F" w:rsidRPr="00445C6B" w:rsidRDefault="00A2536F" w:rsidP="00887BDD">
            <w:pPr>
              <w:jc w:val="both"/>
              <w:rPr>
                <w:rFonts w:ascii="Times New Roman" w:eastAsia="Times New Roman" w:hAnsi="Times New Roman" w:cs="Times New Roman"/>
                <w:sz w:val="24"/>
                <w:szCs w:val="24"/>
                <w:lang w:eastAsia="en-IN"/>
              </w:rPr>
            </w:pPr>
            <w:r w:rsidRPr="00445C6B">
              <w:rPr>
                <w:rFonts w:ascii="Times New Roman" w:eastAsia="Times New Roman" w:hAnsi="Times New Roman" w:cs="Times New Roman"/>
                <w:sz w:val="24"/>
                <w:szCs w:val="24"/>
                <w:lang w:eastAsia="en-IN"/>
              </w:rPr>
              <w:t>Environmental sustainability</w:t>
            </w:r>
          </w:p>
        </w:tc>
        <w:tc>
          <w:tcPr>
            <w:tcW w:w="1103" w:type="pct"/>
          </w:tcPr>
          <w:p w14:paraId="25F293F8" w14:textId="77777777" w:rsidR="00A2536F" w:rsidRPr="00445C6B" w:rsidRDefault="00A2536F" w:rsidP="00887BDD">
            <w:pPr>
              <w:jc w:val="both"/>
              <w:rPr>
                <w:rFonts w:ascii="Times New Roman" w:eastAsia="Times New Roman" w:hAnsi="Times New Roman" w:cs="Times New Roman"/>
                <w:sz w:val="24"/>
                <w:szCs w:val="24"/>
                <w:lang w:eastAsia="en-IN"/>
              </w:rPr>
            </w:pPr>
            <w:r w:rsidRPr="00445C6B">
              <w:rPr>
                <w:rFonts w:ascii="Times New Roman" w:eastAsia="Times New Roman" w:hAnsi="Times New Roman" w:cs="Times New Roman"/>
                <w:sz w:val="24"/>
                <w:szCs w:val="24"/>
                <w:lang w:eastAsia="en-IN"/>
              </w:rPr>
              <w:t>Low (&lt;11)</w:t>
            </w:r>
          </w:p>
          <w:p w14:paraId="662366E2" w14:textId="77777777" w:rsidR="00A2536F" w:rsidRPr="00445C6B" w:rsidRDefault="00A2536F" w:rsidP="00887BDD">
            <w:pPr>
              <w:jc w:val="both"/>
              <w:rPr>
                <w:rFonts w:ascii="Times New Roman" w:eastAsia="Times New Roman" w:hAnsi="Times New Roman" w:cs="Times New Roman"/>
                <w:sz w:val="24"/>
                <w:szCs w:val="24"/>
                <w:lang w:eastAsia="en-IN"/>
              </w:rPr>
            </w:pPr>
            <w:r w:rsidRPr="00445C6B">
              <w:rPr>
                <w:rFonts w:ascii="Times New Roman" w:eastAsia="Times New Roman" w:hAnsi="Times New Roman" w:cs="Times New Roman"/>
                <w:sz w:val="24"/>
                <w:szCs w:val="24"/>
                <w:lang w:eastAsia="en-IN"/>
              </w:rPr>
              <w:t>Medium (1</w:t>
            </w:r>
            <w:r w:rsidR="0085568F">
              <w:rPr>
                <w:rFonts w:ascii="Times New Roman" w:eastAsia="Times New Roman" w:hAnsi="Times New Roman" w:cs="Times New Roman"/>
                <w:sz w:val="24"/>
                <w:szCs w:val="24"/>
                <w:lang w:eastAsia="en-IN"/>
              </w:rPr>
              <w:t>1-14</w:t>
            </w:r>
            <w:r w:rsidRPr="00445C6B">
              <w:rPr>
                <w:rFonts w:ascii="Times New Roman" w:eastAsia="Times New Roman" w:hAnsi="Times New Roman" w:cs="Times New Roman"/>
                <w:sz w:val="24"/>
                <w:szCs w:val="24"/>
                <w:lang w:eastAsia="en-IN"/>
              </w:rPr>
              <w:t>)</w:t>
            </w:r>
          </w:p>
          <w:p w14:paraId="772EEB7A" w14:textId="77777777" w:rsidR="00A2536F" w:rsidRPr="00445C6B" w:rsidRDefault="0085568F" w:rsidP="00887BDD">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High (&gt;14</w:t>
            </w:r>
            <w:r w:rsidR="00A2536F" w:rsidRPr="00445C6B">
              <w:rPr>
                <w:rFonts w:ascii="Times New Roman" w:eastAsia="Times New Roman" w:hAnsi="Times New Roman" w:cs="Times New Roman"/>
                <w:sz w:val="24"/>
                <w:szCs w:val="24"/>
                <w:lang w:eastAsia="en-IN"/>
              </w:rPr>
              <w:t>)</w:t>
            </w:r>
          </w:p>
        </w:tc>
        <w:tc>
          <w:tcPr>
            <w:tcW w:w="630" w:type="pct"/>
          </w:tcPr>
          <w:p w14:paraId="5E0C9F6E" w14:textId="77777777" w:rsidR="00A2536F" w:rsidRPr="00445C6B" w:rsidRDefault="009950A9" w:rsidP="00887BDD">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8.00</w:t>
            </w:r>
          </w:p>
          <w:p w14:paraId="254D1F65" w14:textId="77777777" w:rsidR="00A2536F" w:rsidRPr="00445C6B" w:rsidRDefault="009950A9" w:rsidP="00887BDD">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78.67</w:t>
            </w:r>
          </w:p>
          <w:p w14:paraId="1ABA36C4" w14:textId="77777777" w:rsidR="00A2536F" w:rsidRPr="00445C6B" w:rsidRDefault="009950A9" w:rsidP="00887BDD">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13.33</w:t>
            </w:r>
          </w:p>
        </w:tc>
        <w:tc>
          <w:tcPr>
            <w:tcW w:w="683" w:type="pct"/>
          </w:tcPr>
          <w:p w14:paraId="74D3C535" w14:textId="77777777" w:rsidR="00A2536F" w:rsidRPr="00445C6B" w:rsidRDefault="0085568F" w:rsidP="009950A9">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12.30</w:t>
            </w:r>
          </w:p>
        </w:tc>
        <w:tc>
          <w:tcPr>
            <w:tcW w:w="578" w:type="pct"/>
          </w:tcPr>
          <w:p w14:paraId="7B417172" w14:textId="77777777" w:rsidR="00A2536F" w:rsidRPr="00445C6B" w:rsidRDefault="00A2536F" w:rsidP="0085568F">
            <w:pPr>
              <w:jc w:val="center"/>
              <w:rPr>
                <w:rFonts w:ascii="Times New Roman" w:eastAsia="Times New Roman" w:hAnsi="Times New Roman" w:cs="Times New Roman"/>
                <w:sz w:val="24"/>
                <w:szCs w:val="24"/>
                <w:lang w:eastAsia="en-IN"/>
              </w:rPr>
            </w:pPr>
            <w:r w:rsidRPr="00445C6B">
              <w:rPr>
                <w:rFonts w:ascii="Times New Roman" w:eastAsia="Times New Roman" w:hAnsi="Times New Roman" w:cs="Times New Roman"/>
                <w:sz w:val="24"/>
                <w:szCs w:val="24"/>
                <w:lang w:eastAsia="en-IN"/>
              </w:rPr>
              <w:t>1.</w:t>
            </w:r>
            <w:r w:rsidR="0085568F">
              <w:rPr>
                <w:rFonts w:ascii="Times New Roman" w:eastAsia="Times New Roman" w:hAnsi="Times New Roman" w:cs="Times New Roman"/>
                <w:sz w:val="24"/>
                <w:szCs w:val="24"/>
                <w:lang w:eastAsia="en-IN"/>
              </w:rPr>
              <w:t>29</w:t>
            </w:r>
          </w:p>
        </w:tc>
        <w:tc>
          <w:tcPr>
            <w:tcW w:w="578" w:type="pct"/>
          </w:tcPr>
          <w:p w14:paraId="18AA1189" w14:textId="77777777" w:rsidR="00A2536F" w:rsidRPr="00445C6B" w:rsidRDefault="001B2C83" w:rsidP="00887BDD">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30.29</w:t>
            </w:r>
          </w:p>
        </w:tc>
      </w:tr>
    </w:tbl>
    <w:p w14:paraId="0226F1BB" w14:textId="77777777" w:rsidR="00445C6B" w:rsidRDefault="00ED38B0" w:rsidP="00445C6B">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Table 4</w:t>
      </w:r>
      <w:r w:rsidR="00445C6B" w:rsidRPr="00445C6B">
        <w:rPr>
          <w:rFonts w:ascii="Times New Roman" w:eastAsia="Times New Roman" w:hAnsi="Times New Roman" w:cs="Times New Roman"/>
          <w:sz w:val="24"/>
          <w:szCs w:val="24"/>
          <w:lang w:eastAsia="en-IN"/>
        </w:rPr>
        <w:t xml:space="preserve"> represents the distribution of respondent based on sustainability of </w:t>
      </w:r>
      <w:r w:rsidR="00F62857">
        <w:rPr>
          <w:rFonts w:ascii="Times New Roman" w:eastAsia="Times New Roman" w:hAnsi="Times New Roman" w:cs="Times New Roman"/>
          <w:sz w:val="24"/>
          <w:szCs w:val="24"/>
          <w:lang w:eastAsia="en-IN"/>
        </w:rPr>
        <w:t>cabbage</w:t>
      </w:r>
      <w:r w:rsidR="00445C6B" w:rsidRPr="00445C6B">
        <w:rPr>
          <w:rFonts w:ascii="Times New Roman" w:eastAsia="Times New Roman" w:hAnsi="Times New Roman" w:cs="Times New Roman"/>
          <w:sz w:val="24"/>
          <w:szCs w:val="24"/>
          <w:lang w:eastAsia="en-IN"/>
        </w:rPr>
        <w:t xml:space="preserve"> farming practised by farmers of Nagaland. It was observed that majority </w:t>
      </w:r>
      <w:r w:rsidR="00F62857">
        <w:rPr>
          <w:rFonts w:ascii="Times New Roman" w:eastAsia="Times New Roman" w:hAnsi="Times New Roman" w:cs="Times New Roman"/>
          <w:sz w:val="24"/>
          <w:szCs w:val="24"/>
          <w:lang w:eastAsia="en-IN"/>
        </w:rPr>
        <w:t>94.67</w:t>
      </w:r>
      <w:r w:rsidR="00445C6B" w:rsidRPr="00445C6B">
        <w:rPr>
          <w:rFonts w:ascii="Times New Roman" w:eastAsia="Times New Roman" w:hAnsi="Times New Roman" w:cs="Times New Roman"/>
          <w:sz w:val="24"/>
          <w:szCs w:val="24"/>
          <w:lang w:eastAsia="en-IN"/>
        </w:rPr>
        <w:t xml:space="preserve"> per cent of the respondents had medium level of Economic sustainability and remaining </w:t>
      </w:r>
      <w:r w:rsidR="00F62857">
        <w:rPr>
          <w:rFonts w:ascii="Times New Roman" w:eastAsia="Times New Roman" w:hAnsi="Times New Roman" w:cs="Times New Roman"/>
          <w:sz w:val="24"/>
          <w:szCs w:val="24"/>
          <w:lang w:eastAsia="en-IN"/>
        </w:rPr>
        <w:t>5.33</w:t>
      </w:r>
      <w:r w:rsidR="00445C6B" w:rsidRPr="00445C6B">
        <w:rPr>
          <w:rFonts w:ascii="Times New Roman" w:eastAsia="Times New Roman" w:hAnsi="Times New Roman" w:cs="Times New Roman"/>
          <w:sz w:val="24"/>
          <w:szCs w:val="24"/>
          <w:lang w:eastAsia="en-IN"/>
        </w:rPr>
        <w:t xml:space="preserve"> per cent of them had low level economic sustainability. Further it was found that majority (81.</w:t>
      </w:r>
      <w:r w:rsidR="00F62857">
        <w:rPr>
          <w:rFonts w:ascii="Times New Roman" w:eastAsia="Times New Roman" w:hAnsi="Times New Roman" w:cs="Times New Roman"/>
          <w:sz w:val="24"/>
          <w:szCs w:val="24"/>
          <w:lang w:eastAsia="en-IN"/>
        </w:rPr>
        <w:t>33</w:t>
      </w:r>
      <w:r w:rsidR="00445C6B" w:rsidRPr="00445C6B">
        <w:rPr>
          <w:rFonts w:ascii="Times New Roman" w:eastAsia="Times New Roman" w:hAnsi="Times New Roman" w:cs="Times New Roman"/>
          <w:sz w:val="24"/>
          <w:szCs w:val="24"/>
          <w:lang w:eastAsia="en-IN"/>
        </w:rPr>
        <w:t xml:space="preserve">%) of the respondents had medium level of Social sustainability followed by </w:t>
      </w:r>
      <w:r w:rsidR="00F62857">
        <w:rPr>
          <w:rFonts w:ascii="Times New Roman" w:eastAsia="Times New Roman" w:hAnsi="Times New Roman" w:cs="Times New Roman"/>
          <w:sz w:val="24"/>
          <w:szCs w:val="24"/>
          <w:lang w:eastAsia="en-IN"/>
        </w:rPr>
        <w:t>14.67</w:t>
      </w:r>
      <w:r w:rsidR="00445C6B" w:rsidRPr="00445C6B">
        <w:rPr>
          <w:rFonts w:ascii="Times New Roman" w:eastAsia="Times New Roman" w:hAnsi="Times New Roman" w:cs="Times New Roman"/>
          <w:sz w:val="24"/>
          <w:szCs w:val="24"/>
          <w:lang w:eastAsia="en-IN"/>
        </w:rPr>
        <w:t xml:space="preserve"> per cent of them having high level of social sustainability and </w:t>
      </w:r>
      <w:r w:rsidR="00F62857">
        <w:rPr>
          <w:rFonts w:ascii="Times New Roman" w:eastAsia="Times New Roman" w:hAnsi="Times New Roman" w:cs="Times New Roman"/>
          <w:sz w:val="24"/>
          <w:szCs w:val="24"/>
          <w:lang w:eastAsia="en-IN"/>
        </w:rPr>
        <w:t>4.00</w:t>
      </w:r>
      <w:r w:rsidR="00445C6B" w:rsidRPr="00445C6B">
        <w:rPr>
          <w:rFonts w:ascii="Times New Roman" w:eastAsia="Times New Roman" w:hAnsi="Times New Roman" w:cs="Times New Roman"/>
          <w:sz w:val="24"/>
          <w:szCs w:val="24"/>
          <w:lang w:eastAsia="en-IN"/>
        </w:rPr>
        <w:t xml:space="preserve"> per cent of them had low level of social sustainability. It was also found that majority (</w:t>
      </w:r>
      <w:r w:rsidR="00F62857">
        <w:rPr>
          <w:rFonts w:ascii="Times New Roman" w:eastAsia="Times New Roman" w:hAnsi="Times New Roman" w:cs="Times New Roman"/>
          <w:sz w:val="24"/>
          <w:szCs w:val="24"/>
          <w:lang w:eastAsia="en-IN"/>
        </w:rPr>
        <w:t>78.67</w:t>
      </w:r>
      <w:r w:rsidR="00445C6B" w:rsidRPr="00445C6B">
        <w:rPr>
          <w:rFonts w:ascii="Times New Roman" w:eastAsia="Times New Roman" w:hAnsi="Times New Roman" w:cs="Times New Roman"/>
          <w:sz w:val="24"/>
          <w:szCs w:val="24"/>
          <w:lang w:eastAsia="en-IN"/>
        </w:rPr>
        <w:t xml:space="preserve">%) of the respondents had medium level of environmental sustainability, followed by </w:t>
      </w:r>
      <w:r w:rsidR="0085568F">
        <w:rPr>
          <w:rFonts w:ascii="Times New Roman" w:eastAsia="Times New Roman" w:hAnsi="Times New Roman" w:cs="Times New Roman"/>
          <w:sz w:val="24"/>
          <w:szCs w:val="24"/>
          <w:lang w:eastAsia="en-IN"/>
        </w:rPr>
        <w:t>13.33</w:t>
      </w:r>
      <w:r w:rsidR="00445C6B" w:rsidRPr="00445C6B">
        <w:rPr>
          <w:rFonts w:ascii="Times New Roman" w:eastAsia="Times New Roman" w:hAnsi="Times New Roman" w:cs="Times New Roman"/>
          <w:sz w:val="24"/>
          <w:szCs w:val="24"/>
          <w:lang w:eastAsia="en-IN"/>
        </w:rPr>
        <w:t xml:space="preserve"> per cent of the respondents who had high level of environmental sustainability and </w:t>
      </w:r>
      <w:r w:rsidR="0085568F">
        <w:rPr>
          <w:rFonts w:ascii="Times New Roman" w:eastAsia="Times New Roman" w:hAnsi="Times New Roman" w:cs="Times New Roman"/>
          <w:sz w:val="24"/>
          <w:szCs w:val="24"/>
          <w:lang w:eastAsia="en-IN"/>
        </w:rPr>
        <w:t>8.00</w:t>
      </w:r>
      <w:r w:rsidR="00445C6B" w:rsidRPr="00445C6B">
        <w:rPr>
          <w:rFonts w:ascii="Times New Roman" w:eastAsia="Times New Roman" w:hAnsi="Times New Roman" w:cs="Times New Roman"/>
          <w:sz w:val="24"/>
          <w:szCs w:val="24"/>
          <w:lang w:eastAsia="en-IN"/>
        </w:rPr>
        <w:t xml:space="preserve"> per cent of the respondents </w:t>
      </w:r>
      <w:proofErr w:type="gramStart"/>
      <w:r w:rsidR="00445C6B" w:rsidRPr="00445C6B">
        <w:rPr>
          <w:rFonts w:ascii="Times New Roman" w:eastAsia="Times New Roman" w:hAnsi="Times New Roman" w:cs="Times New Roman"/>
          <w:sz w:val="24"/>
          <w:szCs w:val="24"/>
          <w:lang w:eastAsia="en-IN"/>
        </w:rPr>
        <w:t>having  low</w:t>
      </w:r>
      <w:proofErr w:type="gramEnd"/>
      <w:r w:rsidR="00445C6B" w:rsidRPr="00445C6B">
        <w:rPr>
          <w:rFonts w:ascii="Times New Roman" w:eastAsia="Times New Roman" w:hAnsi="Times New Roman" w:cs="Times New Roman"/>
          <w:sz w:val="24"/>
          <w:szCs w:val="24"/>
          <w:lang w:eastAsia="en-IN"/>
        </w:rPr>
        <w:t xml:space="preserve"> level of environmental sustainability respectively. Among the three dimensions, the mean score (</w:t>
      </w:r>
      <w:r w:rsidR="0085568F">
        <w:rPr>
          <w:rFonts w:ascii="Times New Roman" w:eastAsia="Times New Roman" w:hAnsi="Times New Roman" w:cs="Times New Roman"/>
          <w:sz w:val="24"/>
          <w:szCs w:val="24"/>
          <w:lang w:eastAsia="en-IN"/>
        </w:rPr>
        <w:t>24.67</w:t>
      </w:r>
      <w:r w:rsidR="00445C6B" w:rsidRPr="00445C6B">
        <w:rPr>
          <w:rFonts w:ascii="Times New Roman" w:eastAsia="Times New Roman" w:hAnsi="Times New Roman" w:cs="Times New Roman"/>
          <w:sz w:val="24"/>
          <w:szCs w:val="24"/>
          <w:lang w:eastAsia="en-IN"/>
        </w:rPr>
        <w:t>) of social sustainability was the highest.</w:t>
      </w:r>
    </w:p>
    <w:p w14:paraId="2B145459" w14:textId="77777777" w:rsidR="001B2C83" w:rsidRDefault="001B2C83" w:rsidP="00ED38B0">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943FAB">
        <w:rPr>
          <w:noProof/>
          <w:lang w:eastAsia="en-IN"/>
        </w:rPr>
        <w:drawing>
          <wp:inline distT="0" distB="0" distL="0" distR="0" wp14:anchorId="008029B1" wp14:editId="4FCC1962">
            <wp:extent cx="5152030" cy="3104866"/>
            <wp:effectExtent l="0" t="0" r="10795" b="1968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F4A3C4" w14:textId="77777777" w:rsidR="00ED38B0" w:rsidRPr="00445C6B" w:rsidRDefault="00ED38B0" w:rsidP="00ED38B0">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Fig 1: </w:t>
      </w:r>
      <w:r w:rsidRPr="0067462E">
        <w:rPr>
          <w:rFonts w:ascii="Times New Roman" w:eastAsia="Times New Roman" w:hAnsi="Times New Roman" w:cs="Times New Roman"/>
          <w:b/>
          <w:bCs/>
          <w:sz w:val="24"/>
          <w:szCs w:val="24"/>
          <w:u w:val="single"/>
          <w:lang w:eastAsia="en-IN"/>
        </w:rPr>
        <w:t>Contribution of different dimensions of sustainability on overall Sustainability index (%) for the cabbage growers</w:t>
      </w:r>
    </w:p>
    <w:p w14:paraId="553B60FB" w14:textId="77777777" w:rsidR="00445C6B" w:rsidRDefault="006F7B91" w:rsidP="00C13484">
      <w:pPr>
        <w:spacing w:before="100" w:beforeAutospacing="1" w:after="100" w:afterAutospacing="1" w:line="240" w:lineRule="auto"/>
        <w:jc w:val="both"/>
        <w:rPr>
          <w:rFonts w:ascii="Times New Roman" w:hAnsi="Times New Roman" w:cs="Times New Roman"/>
          <w:sz w:val="26"/>
          <w:szCs w:val="26"/>
        </w:rPr>
      </w:pPr>
      <w:r>
        <w:rPr>
          <w:rFonts w:ascii="Times New Roman" w:hAnsi="Times New Roman" w:cs="Times New Roman"/>
          <w:sz w:val="26"/>
          <w:szCs w:val="26"/>
        </w:rPr>
        <w:t>Figure 1 concludes that i</w:t>
      </w:r>
      <w:r w:rsidR="001B2C83" w:rsidRPr="004A193C">
        <w:rPr>
          <w:rFonts w:ascii="Times New Roman" w:hAnsi="Times New Roman" w:cs="Times New Roman"/>
          <w:sz w:val="26"/>
          <w:szCs w:val="26"/>
        </w:rPr>
        <w:t xml:space="preserve">n </w:t>
      </w:r>
      <w:r>
        <w:rPr>
          <w:rFonts w:ascii="Times New Roman" w:hAnsi="Times New Roman" w:cs="Times New Roman"/>
          <w:sz w:val="26"/>
          <w:szCs w:val="26"/>
        </w:rPr>
        <w:t xml:space="preserve">case of overall sustainability index for the cabbage growers of </w:t>
      </w:r>
      <w:proofErr w:type="spellStart"/>
      <w:r w:rsidRPr="006F7B91">
        <w:rPr>
          <w:rFonts w:ascii="Times New Roman" w:hAnsi="Times New Roman" w:cs="Times New Roman"/>
          <w:bCs/>
          <w:sz w:val="26"/>
          <w:szCs w:val="26"/>
        </w:rPr>
        <w:t>Sangsangyu</w:t>
      </w:r>
      <w:proofErr w:type="spellEnd"/>
      <w:r w:rsidRPr="006F7B91">
        <w:rPr>
          <w:rFonts w:ascii="Times New Roman" w:hAnsi="Times New Roman" w:cs="Times New Roman"/>
          <w:bCs/>
          <w:sz w:val="26"/>
          <w:szCs w:val="26"/>
        </w:rPr>
        <w:t xml:space="preserve"> block under </w:t>
      </w:r>
      <w:proofErr w:type="spellStart"/>
      <w:r w:rsidRPr="006F7B91">
        <w:rPr>
          <w:rFonts w:ascii="Times New Roman" w:hAnsi="Times New Roman" w:cs="Times New Roman"/>
          <w:bCs/>
          <w:sz w:val="26"/>
          <w:szCs w:val="26"/>
        </w:rPr>
        <w:t>Tuensang</w:t>
      </w:r>
      <w:proofErr w:type="spellEnd"/>
      <w:r w:rsidRPr="006F7B91">
        <w:rPr>
          <w:rFonts w:ascii="Times New Roman" w:hAnsi="Times New Roman" w:cs="Times New Roman"/>
          <w:bCs/>
          <w:sz w:val="26"/>
          <w:szCs w:val="26"/>
        </w:rPr>
        <w:t xml:space="preserve"> district of Nagaland</w:t>
      </w:r>
      <w:r w:rsidRPr="006F7B91">
        <w:rPr>
          <w:rFonts w:ascii="Times New Roman" w:hAnsi="Times New Roman" w:cs="Times New Roman"/>
          <w:sz w:val="26"/>
          <w:szCs w:val="26"/>
        </w:rPr>
        <w:t xml:space="preserve"> </w:t>
      </w:r>
      <w:r w:rsidR="001B2C83" w:rsidRPr="004A193C">
        <w:rPr>
          <w:rFonts w:ascii="Times New Roman" w:hAnsi="Times New Roman" w:cs="Times New Roman"/>
          <w:sz w:val="26"/>
          <w:szCs w:val="26"/>
        </w:rPr>
        <w:t>state, social sustainability contributed the highest (58.97%) among the three dimensions of sustainability, followed by 30.29 per cent by environmental sustainability and remaining 10.74 per cent by economic sustainability.</w:t>
      </w:r>
    </w:p>
    <w:p w14:paraId="620461A9" w14:textId="77777777" w:rsidR="005E171D" w:rsidRPr="00FF6F6B" w:rsidRDefault="00964632" w:rsidP="005E171D">
      <w:pPr>
        <w:spacing w:before="100" w:beforeAutospacing="1" w:after="100" w:afterAutospacing="1" w:line="240" w:lineRule="auto"/>
        <w:rPr>
          <w:rFonts w:ascii="Times New Roman" w:eastAsia="Times New Roman" w:hAnsi="Times New Roman" w:cs="Times New Roman"/>
          <w:b/>
          <w:bCs/>
          <w:sz w:val="24"/>
          <w:szCs w:val="24"/>
          <w:lang w:eastAsia="en-IN"/>
        </w:rPr>
      </w:pPr>
      <w:r w:rsidRPr="00FF6F6B">
        <w:rPr>
          <w:rFonts w:ascii="Times New Roman" w:eastAsia="Times New Roman" w:hAnsi="Times New Roman" w:cs="Times New Roman"/>
          <w:b/>
          <w:bCs/>
          <w:sz w:val="24"/>
          <w:szCs w:val="24"/>
          <w:lang w:eastAsia="en-IN"/>
        </w:rPr>
        <w:t xml:space="preserve">IV. </w:t>
      </w:r>
      <w:r w:rsidR="005E171D" w:rsidRPr="00FF6F6B">
        <w:rPr>
          <w:rFonts w:ascii="Times New Roman" w:eastAsia="Times New Roman" w:hAnsi="Times New Roman" w:cs="Times New Roman"/>
          <w:b/>
          <w:bCs/>
          <w:sz w:val="24"/>
          <w:szCs w:val="24"/>
          <w:lang w:eastAsia="en-IN"/>
        </w:rPr>
        <w:t>Conclusion</w:t>
      </w:r>
    </w:p>
    <w:p w14:paraId="5D23807C" w14:textId="77777777" w:rsidR="005E171D" w:rsidRPr="00FF6F6B" w:rsidRDefault="005E171D" w:rsidP="005E171D">
      <w:pPr>
        <w:spacing w:before="100" w:beforeAutospacing="1" w:after="100" w:afterAutospacing="1" w:line="240" w:lineRule="auto"/>
        <w:jc w:val="both"/>
        <w:rPr>
          <w:rFonts w:ascii="Times New Roman" w:eastAsia="Times New Roman" w:hAnsi="Times New Roman" w:cs="Times New Roman"/>
          <w:bCs/>
          <w:sz w:val="24"/>
          <w:szCs w:val="24"/>
          <w:lang w:eastAsia="en-IN"/>
        </w:rPr>
      </w:pPr>
      <w:r w:rsidRPr="00FF6F6B">
        <w:rPr>
          <w:rFonts w:ascii="Times New Roman" w:eastAsia="Times New Roman" w:hAnsi="Times New Roman" w:cs="Times New Roman"/>
          <w:bCs/>
          <w:sz w:val="24"/>
          <w:szCs w:val="24"/>
          <w:lang w:eastAsia="en-IN"/>
        </w:rPr>
        <w:t xml:space="preserve">The study highlights the significant socio-economic and technological differences between NICRA beneficiaries and non-beneficiaries in cabbage production. Beneficiaries exhibited higher educational levels, greater farming experience, and better economic status, with a larger proportion engaged in agriculture as their primary occupation. In contrast, non-beneficiaries had a higher representation of younger farmers with limited farming experience and lower income levels, indicating restricted access to improved agricultural resources. The analysis of knowledge levels revealed that beneficiaries possessed significantly higher awareness of recommended production technologies compared to non-beneficiaries. For </w:t>
      </w:r>
      <w:r w:rsidRPr="00FF6F6B">
        <w:rPr>
          <w:rFonts w:ascii="Times New Roman" w:eastAsia="Times New Roman" w:hAnsi="Times New Roman" w:cs="Times New Roman"/>
          <w:bCs/>
          <w:sz w:val="24"/>
          <w:szCs w:val="24"/>
          <w:lang w:eastAsia="en-IN"/>
        </w:rPr>
        <w:lastRenderedPageBreak/>
        <w:t>instance, 73.33% of beneficiaries had high knowledge of recommended spacing, whereas only 44.00% of non-beneficiaries were aware of it. A similar trend was observed across all key production practices, including seed rate, fertilizer application, and pest management, confirming that NICRA interventions had a positive influence on knowledge dissemination. The statistical analysis further validated these differences, with beneficiaries achieving a significantly higher mean knowledge score (22.84) compared to non-beneficiaries (13.42), with a t-value significant at the 1% level.</w:t>
      </w:r>
    </w:p>
    <w:p w14:paraId="36050B0F" w14:textId="77777777" w:rsidR="005E171D" w:rsidRPr="00FF6F6B" w:rsidRDefault="005E171D" w:rsidP="005E171D">
      <w:pPr>
        <w:spacing w:before="100" w:beforeAutospacing="1" w:after="100" w:afterAutospacing="1" w:line="240" w:lineRule="auto"/>
        <w:jc w:val="both"/>
        <w:rPr>
          <w:rFonts w:ascii="Times New Roman" w:eastAsia="Times New Roman" w:hAnsi="Times New Roman" w:cs="Times New Roman"/>
          <w:bCs/>
          <w:sz w:val="24"/>
          <w:szCs w:val="24"/>
          <w:lang w:eastAsia="en-IN"/>
        </w:rPr>
      </w:pPr>
      <w:r w:rsidRPr="00FF6F6B">
        <w:rPr>
          <w:rFonts w:ascii="Times New Roman" w:eastAsia="Times New Roman" w:hAnsi="Times New Roman" w:cs="Times New Roman"/>
          <w:bCs/>
          <w:sz w:val="24"/>
          <w:szCs w:val="24"/>
          <w:lang w:eastAsia="en-IN"/>
        </w:rPr>
        <w:t>The adoption of recommended practices followed a similar pattern, with beneficiaries demonstrating higher levels of implementation across all aspects of cabbage cultivation. Notably, 89.33% of beneficiaries adopted the recommended transplanting stage, compared to only 42.67% of non-beneficiaries. Likewise, the use of mulching and proper irrigation methods was significantly higher among beneficiaries (86.67% vs. 46.67%), emphasizing the impact of NICRA interventions in promoting climate-resilient farming techniques. Integrated pest and disease management practices were followed by 72.00% of beneficiaries but only 28.00% of non-beneficiaries, highlighting the need for further dissemination efforts among non-beneficiaries.</w:t>
      </w:r>
      <w:r w:rsidR="0089561E">
        <w:rPr>
          <w:rFonts w:ascii="Times New Roman" w:eastAsia="Times New Roman" w:hAnsi="Times New Roman" w:cs="Times New Roman"/>
          <w:bCs/>
          <w:sz w:val="24"/>
          <w:szCs w:val="24"/>
          <w:lang w:eastAsia="en-IN"/>
        </w:rPr>
        <w:t xml:space="preserve"> Further, </w:t>
      </w:r>
      <w:r w:rsidR="00AB3497">
        <w:rPr>
          <w:rFonts w:ascii="Times New Roman" w:eastAsia="Times New Roman" w:hAnsi="Times New Roman" w:cs="Times New Roman"/>
          <w:bCs/>
          <w:sz w:val="24"/>
          <w:szCs w:val="24"/>
          <w:lang w:eastAsia="en-IN"/>
        </w:rPr>
        <w:t xml:space="preserve">in case of sustainability index, Social sustainability contributes the highest of about 58.97 per cent. </w:t>
      </w:r>
      <w:r w:rsidRPr="00FF6F6B">
        <w:rPr>
          <w:rFonts w:ascii="Times New Roman" w:eastAsia="Times New Roman" w:hAnsi="Times New Roman" w:cs="Times New Roman"/>
          <w:bCs/>
          <w:sz w:val="24"/>
          <w:szCs w:val="24"/>
          <w:lang w:eastAsia="en-IN"/>
        </w:rPr>
        <w:t>Overall, the findings indicate that NICRA interventions have significantly improved farmers' knowledge and adoption of recommended cabbage production technologies, leading to better socio-economic outcomes. The program has played a crucial role in bridging the knowledge gap and enhancing sustainable farming practices. However, efforts must continue to extend these benefits to non-beneficiaries, ensuring wider adoption of climate-resilient technologies and improved agricultural productivity.</w:t>
      </w:r>
    </w:p>
    <w:p w14:paraId="7A861B82" w14:textId="77777777" w:rsidR="00F62434" w:rsidRPr="00FF6F6B" w:rsidRDefault="00964632" w:rsidP="00F62434">
      <w:pPr>
        <w:spacing w:before="100" w:beforeAutospacing="1" w:after="100" w:afterAutospacing="1" w:line="240" w:lineRule="auto"/>
        <w:rPr>
          <w:rFonts w:ascii="Times New Roman" w:eastAsia="Times New Roman" w:hAnsi="Times New Roman" w:cs="Times New Roman"/>
          <w:sz w:val="24"/>
          <w:szCs w:val="24"/>
          <w:lang w:eastAsia="en-IN"/>
        </w:rPr>
      </w:pPr>
      <w:r w:rsidRPr="00FF6F6B">
        <w:rPr>
          <w:rFonts w:ascii="Times New Roman" w:eastAsia="Times New Roman" w:hAnsi="Times New Roman" w:cs="Times New Roman"/>
          <w:b/>
          <w:bCs/>
          <w:sz w:val="24"/>
          <w:szCs w:val="24"/>
          <w:lang w:eastAsia="en-IN"/>
        </w:rPr>
        <w:t xml:space="preserve">V. </w:t>
      </w:r>
      <w:r w:rsidR="00F62434" w:rsidRPr="00FF6F6B">
        <w:rPr>
          <w:rFonts w:ascii="Times New Roman" w:eastAsia="Times New Roman" w:hAnsi="Times New Roman" w:cs="Times New Roman"/>
          <w:b/>
          <w:bCs/>
          <w:sz w:val="24"/>
          <w:szCs w:val="24"/>
          <w:lang w:eastAsia="en-IN"/>
        </w:rPr>
        <w:t>References</w:t>
      </w:r>
    </w:p>
    <w:p w14:paraId="05DA3AFF" w14:textId="77777777" w:rsidR="00964632" w:rsidRPr="00FF6F6B" w:rsidRDefault="00964632" w:rsidP="008B333E">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F6F6B">
        <w:rPr>
          <w:rFonts w:ascii="Times New Roman" w:eastAsia="Times New Roman" w:hAnsi="Times New Roman" w:cs="Times New Roman"/>
          <w:sz w:val="24"/>
          <w:szCs w:val="24"/>
          <w:lang w:eastAsia="en-IN"/>
        </w:rPr>
        <w:t xml:space="preserve">Rodríguez, M., &amp; </w:t>
      </w:r>
      <w:r w:rsidR="00755446" w:rsidRPr="00FF6F6B">
        <w:rPr>
          <w:rFonts w:ascii="Times New Roman" w:eastAsia="Times New Roman" w:hAnsi="Times New Roman" w:cs="Times New Roman"/>
          <w:sz w:val="24"/>
          <w:szCs w:val="24"/>
          <w:lang w:eastAsia="en-IN"/>
        </w:rPr>
        <w:t>Antonio</w:t>
      </w:r>
      <w:r w:rsidRPr="00FF6F6B">
        <w:rPr>
          <w:rFonts w:ascii="Times New Roman" w:eastAsia="Times New Roman" w:hAnsi="Times New Roman" w:cs="Times New Roman"/>
          <w:sz w:val="24"/>
          <w:szCs w:val="24"/>
          <w:lang w:eastAsia="en-IN"/>
        </w:rPr>
        <w:t xml:space="preserve"> C, J. O. S. É. (2023). The importance of agriculture and rural areas for the future in the European Union: An exploration of public opinion. </w:t>
      </w:r>
      <w:r w:rsidRPr="00FF6F6B">
        <w:rPr>
          <w:rFonts w:ascii="Times New Roman" w:eastAsia="Times New Roman" w:hAnsi="Times New Roman" w:cs="Times New Roman"/>
          <w:i/>
          <w:iCs/>
          <w:sz w:val="24"/>
          <w:szCs w:val="24"/>
          <w:lang w:eastAsia="en-IN"/>
        </w:rPr>
        <w:t>Agricultural Economics/</w:t>
      </w:r>
      <w:proofErr w:type="spellStart"/>
      <w:r w:rsidRPr="00FF6F6B">
        <w:rPr>
          <w:rFonts w:ascii="Times New Roman" w:eastAsia="Times New Roman" w:hAnsi="Times New Roman" w:cs="Times New Roman"/>
          <w:i/>
          <w:iCs/>
          <w:sz w:val="24"/>
          <w:szCs w:val="24"/>
          <w:lang w:eastAsia="en-IN"/>
        </w:rPr>
        <w:t>Zemědělská</w:t>
      </w:r>
      <w:proofErr w:type="spellEnd"/>
      <w:r w:rsidRPr="00FF6F6B">
        <w:rPr>
          <w:rFonts w:ascii="Times New Roman" w:eastAsia="Times New Roman" w:hAnsi="Times New Roman" w:cs="Times New Roman"/>
          <w:i/>
          <w:iCs/>
          <w:sz w:val="24"/>
          <w:szCs w:val="24"/>
          <w:lang w:eastAsia="en-IN"/>
        </w:rPr>
        <w:t xml:space="preserve"> </w:t>
      </w:r>
      <w:proofErr w:type="spellStart"/>
      <w:r w:rsidRPr="00FF6F6B">
        <w:rPr>
          <w:rFonts w:ascii="Times New Roman" w:eastAsia="Times New Roman" w:hAnsi="Times New Roman" w:cs="Times New Roman"/>
          <w:i/>
          <w:iCs/>
          <w:sz w:val="24"/>
          <w:szCs w:val="24"/>
          <w:lang w:eastAsia="en-IN"/>
        </w:rPr>
        <w:t>Ekonomika</w:t>
      </w:r>
      <w:proofErr w:type="spellEnd"/>
      <w:r w:rsidRPr="00FF6F6B">
        <w:rPr>
          <w:rFonts w:ascii="Times New Roman" w:eastAsia="Times New Roman" w:hAnsi="Times New Roman" w:cs="Times New Roman"/>
          <w:sz w:val="24"/>
          <w:szCs w:val="24"/>
          <w:lang w:eastAsia="en-IN"/>
        </w:rPr>
        <w:t>, </w:t>
      </w:r>
      <w:r w:rsidRPr="00FF6F6B">
        <w:rPr>
          <w:rFonts w:ascii="Times New Roman" w:eastAsia="Times New Roman" w:hAnsi="Times New Roman" w:cs="Times New Roman"/>
          <w:i/>
          <w:iCs/>
          <w:sz w:val="24"/>
          <w:szCs w:val="24"/>
          <w:lang w:eastAsia="en-IN"/>
        </w:rPr>
        <w:t>69</w:t>
      </w:r>
      <w:r w:rsidRPr="00FF6F6B">
        <w:rPr>
          <w:rFonts w:ascii="Times New Roman" w:eastAsia="Times New Roman" w:hAnsi="Times New Roman" w:cs="Times New Roman"/>
          <w:sz w:val="24"/>
          <w:szCs w:val="24"/>
          <w:lang w:eastAsia="en-IN"/>
        </w:rPr>
        <w:t>(10).</w:t>
      </w:r>
    </w:p>
    <w:p w14:paraId="20160A5A" w14:textId="77777777" w:rsidR="00964632" w:rsidRPr="00FF6F6B" w:rsidRDefault="00964632" w:rsidP="008B333E">
      <w:pPr>
        <w:jc w:val="both"/>
        <w:rPr>
          <w:rFonts w:ascii="Times New Roman" w:hAnsi="Times New Roman" w:cs="Times New Roman"/>
          <w:sz w:val="24"/>
          <w:szCs w:val="24"/>
        </w:rPr>
      </w:pPr>
      <w:r w:rsidRPr="00FF6F6B">
        <w:rPr>
          <w:rFonts w:ascii="Times New Roman" w:hAnsi="Times New Roman" w:cs="Times New Roman"/>
          <w:sz w:val="24"/>
          <w:szCs w:val="24"/>
        </w:rPr>
        <w:t>Zheng, H., Ma, W. &amp; He, Q.</w:t>
      </w:r>
      <w:r w:rsidR="00755446" w:rsidRPr="00FF6F6B">
        <w:rPr>
          <w:rFonts w:ascii="Times New Roman" w:hAnsi="Times New Roman" w:cs="Times New Roman"/>
          <w:sz w:val="24"/>
          <w:szCs w:val="24"/>
        </w:rPr>
        <w:t xml:space="preserve"> (2024).</w:t>
      </w:r>
      <w:r w:rsidRPr="00FF6F6B">
        <w:rPr>
          <w:rFonts w:ascii="Times New Roman" w:hAnsi="Times New Roman" w:cs="Times New Roman"/>
          <w:sz w:val="24"/>
          <w:szCs w:val="24"/>
        </w:rPr>
        <w:t xml:space="preserve"> Climate-smart agricultural practices for enhanced farm productivity, income, resilience, and greenhouse gas mitigation: a comprehensive review. </w:t>
      </w:r>
      <w:r w:rsidRPr="00FF6F6B">
        <w:rPr>
          <w:rFonts w:ascii="Times New Roman" w:hAnsi="Times New Roman" w:cs="Times New Roman"/>
          <w:i/>
          <w:iCs/>
          <w:sz w:val="24"/>
          <w:szCs w:val="24"/>
        </w:rPr>
        <w:t xml:space="preserve">Mitig Adapt </w:t>
      </w:r>
      <w:proofErr w:type="spellStart"/>
      <w:r w:rsidRPr="00FF6F6B">
        <w:rPr>
          <w:rFonts w:ascii="Times New Roman" w:hAnsi="Times New Roman" w:cs="Times New Roman"/>
          <w:i/>
          <w:iCs/>
          <w:sz w:val="24"/>
          <w:szCs w:val="24"/>
        </w:rPr>
        <w:t>Strateg</w:t>
      </w:r>
      <w:proofErr w:type="spellEnd"/>
      <w:r w:rsidRPr="00FF6F6B">
        <w:rPr>
          <w:rFonts w:ascii="Times New Roman" w:hAnsi="Times New Roman" w:cs="Times New Roman"/>
          <w:i/>
          <w:iCs/>
          <w:sz w:val="24"/>
          <w:szCs w:val="24"/>
        </w:rPr>
        <w:t xml:space="preserve"> Glob Change</w:t>
      </w:r>
      <w:r w:rsidR="00755446" w:rsidRPr="00FF6F6B">
        <w:rPr>
          <w:rFonts w:ascii="Times New Roman" w:hAnsi="Times New Roman" w:cs="Times New Roman"/>
          <w:sz w:val="24"/>
          <w:szCs w:val="24"/>
        </w:rPr>
        <w:t xml:space="preserve">, </w:t>
      </w:r>
      <w:r w:rsidRPr="00FF6F6B">
        <w:rPr>
          <w:rFonts w:ascii="Times New Roman" w:hAnsi="Times New Roman" w:cs="Times New Roman"/>
          <w:b/>
          <w:bCs/>
          <w:sz w:val="24"/>
          <w:szCs w:val="24"/>
        </w:rPr>
        <w:t>29</w:t>
      </w:r>
      <w:r w:rsidR="00755446" w:rsidRPr="00FF6F6B">
        <w:rPr>
          <w:rFonts w:ascii="Times New Roman" w:hAnsi="Times New Roman" w:cs="Times New Roman"/>
          <w:sz w:val="24"/>
          <w:szCs w:val="24"/>
        </w:rPr>
        <w:t>, 28</w:t>
      </w:r>
      <w:r w:rsidRPr="00FF6F6B">
        <w:rPr>
          <w:rFonts w:ascii="Times New Roman" w:hAnsi="Times New Roman" w:cs="Times New Roman"/>
          <w:sz w:val="24"/>
          <w:szCs w:val="24"/>
        </w:rPr>
        <w:t xml:space="preserve">. </w:t>
      </w:r>
      <w:hyperlink r:id="rId14" w:history="1">
        <w:r w:rsidRPr="00FF6F6B">
          <w:rPr>
            <w:rStyle w:val="Hyperlink"/>
            <w:rFonts w:ascii="Times New Roman" w:hAnsi="Times New Roman" w:cs="Times New Roman"/>
            <w:color w:val="auto"/>
            <w:sz w:val="24"/>
            <w:szCs w:val="24"/>
          </w:rPr>
          <w:t>https://doi.org/10.1007/s11027-024-10124-6</w:t>
        </w:r>
      </w:hyperlink>
    </w:p>
    <w:p w14:paraId="0897DDA4" w14:textId="77777777" w:rsidR="00964632" w:rsidRPr="00FF6F6B" w:rsidRDefault="00964632" w:rsidP="008B333E">
      <w:pPr>
        <w:jc w:val="both"/>
        <w:rPr>
          <w:rFonts w:ascii="Times New Roman" w:hAnsi="Times New Roman" w:cs="Times New Roman"/>
          <w:sz w:val="24"/>
          <w:szCs w:val="24"/>
        </w:rPr>
      </w:pPr>
      <w:commentRangeStart w:id="12"/>
      <w:r w:rsidRPr="00FF6F6B">
        <w:rPr>
          <w:rFonts w:ascii="Times New Roman" w:hAnsi="Times New Roman" w:cs="Times New Roman"/>
          <w:sz w:val="24"/>
          <w:szCs w:val="24"/>
        </w:rPr>
        <w:t xml:space="preserve">Singh, V.K., Pratibha G., Prasad, J.V.N.S., Prasad T.V. Pankaj, P.K., Prabhakar, M., Srinivas, I., Amulya Kumar Mohanty, Amrutha. T., Rajbir Singh, Gautam U.S. </w:t>
      </w:r>
      <w:r w:rsidR="00755446" w:rsidRPr="00FF6F6B">
        <w:rPr>
          <w:rFonts w:ascii="Times New Roman" w:hAnsi="Times New Roman" w:cs="Times New Roman"/>
          <w:sz w:val="24"/>
          <w:szCs w:val="24"/>
        </w:rPr>
        <w:t xml:space="preserve">&amp; </w:t>
      </w:r>
      <w:r w:rsidRPr="00FF6F6B">
        <w:rPr>
          <w:rFonts w:ascii="Times New Roman" w:hAnsi="Times New Roman" w:cs="Times New Roman"/>
          <w:sz w:val="24"/>
          <w:szCs w:val="24"/>
        </w:rPr>
        <w:t>Chaudhari, S.K. (</w:t>
      </w:r>
      <w:r w:rsidR="00755446" w:rsidRPr="00FF6F6B">
        <w:rPr>
          <w:rFonts w:ascii="Times New Roman" w:hAnsi="Times New Roman" w:cs="Times New Roman"/>
          <w:sz w:val="24"/>
          <w:szCs w:val="24"/>
        </w:rPr>
        <w:t>2024)</w:t>
      </w:r>
      <w:r w:rsidRPr="00FF6F6B">
        <w:rPr>
          <w:rFonts w:ascii="Times New Roman" w:hAnsi="Times New Roman" w:cs="Times New Roman"/>
          <w:sz w:val="24"/>
          <w:szCs w:val="24"/>
        </w:rPr>
        <w:t>. Promising Climate Resilient Technologies for Manipur, Nagaland and Tripura. ICAR-Central Research Institute for Dryland Agriculture, Hyderabad. p66.</w:t>
      </w:r>
      <w:commentRangeEnd w:id="12"/>
      <w:r w:rsidR="00C04942">
        <w:rPr>
          <w:rStyle w:val="CommentReference"/>
        </w:rPr>
        <w:commentReference w:id="12"/>
      </w:r>
    </w:p>
    <w:p w14:paraId="451E7FDF" w14:textId="77777777" w:rsidR="00964632" w:rsidRPr="00FF6F6B" w:rsidRDefault="00755446" w:rsidP="008B333E">
      <w:pPr>
        <w:jc w:val="both"/>
        <w:rPr>
          <w:rFonts w:ascii="Times New Roman" w:hAnsi="Times New Roman" w:cs="Times New Roman"/>
          <w:sz w:val="24"/>
          <w:szCs w:val="24"/>
        </w:rPr>
      </w:pPr>
      <w:proofErr w:type="spellStart"/>
      <w:r w:rsidRPr="00FF6F6B">
        <w:rPr>
          <w:rFonts w:ascii="Times New Roman" w:hAnsi="Times New Roman" w:cs="Times New Roman"/>
          <w:sz w:val="24"/>
          <w:szCs w:val="24"/>
        </w:rPr>
        <w:t>Sureshbhai</w:t>
      </w:r>
      <w:proofErr w:type="spellEnd"/>
      <w:r w:rsidRPr="00FF6F6B">
        <w:rPr>
          <w:rFonts w:ascii="Times New Roman" w:hAnsi="Times New Roman" w:cs="Times New Roman"/>
          <w:sz w:val="24"/>
          <w:szCs w:val="24"/>
        </w:rPr>
        <w:t>,</w:t>
      </w:r>
      <w:r w:rsidR="00964632" w:rsidRPr="00FF6F6B">
        <w:rPr>
          <w:rFonts w:ascii="Times New Roman" w:hAnsi="Times New Roman" w:cs="Times New Roman"/>
          <w:sz w:val="24"/>
          <w:szCs w:val="24"/>
        </w:rPr>
        <w:t xml:space="preserve"> P. H. 2020.  </w:t>
      </w:r>
      <w:r w:rsidRPr="00FF6F6B">
        <w:rPr>
          <w:rFonts w:ascii="Times New Roman" w:hAnsi="Times New Roman" w:cs="Times New Roman"/>
          <w:sz w:val="24"/>
          <w:szCs w:val="24"/>
        </w:rPr>
        <w:t xml:space="preserve">An economic analysis of production and marketing of cabbage (Brassica </w:t>
      </w:r>
      <w:proofErr w:type="spellStart"/>
      <w:r w:rsidRPr="00FF6F6B">
        <w:rPr>
          <w:rFonts w:ascii="Times New Roman" w:hAnsi="Times New Roman" w:cs="Times New Roman"/>
          <w:sz w:val="24"/>
          <w:szCs w:val="24"/>
        </w:rPr>
        <w:t>oleraceae</w:t>
      </w:r>
      <w:proofErr w:type="spellEnd"/>
      <w:r w:rsidRPr="00FF6F6B">
        <w:rPr>
          <w:rFonts w:ascii="Times New Roman" w:hAnsi="Times New Roman" w:cs="Times New Roman"/>
          <w:sz w:val="24"/>
          <w:szCs w:val="24"/>
        </w:rPr>
        <w:t xml:space="preserve"> var. capitata l) in North Gujarat</w:t>
      </w:r>
      <w:r w:rsidR="00964632" w:rsidRPr="00FF6F6B">
        <w:rPr>
          <w:rFonts w:ascii="Times New Roman" w:hAnsi="Times New Roman" w:cs="Times New Roman"/>
          <w:sz w:val="24"/>
          <w:szCs w:val="24"/>
        </w:rPr>
        <w:t>.</w:t>
      </w:r>
    </w:p>
    <w:p w14:paraId="3E1C56B1" w14:textId="77777777" w:rsidR="00964632" w:rsidRPr="00FF6F6B" w:rsidRDefault="00964632" w:rsidP="008B333E">
      <w:pPr>
        <w:jc w:val="both"/>
        <w:rPr>
          <w:rFonts w:ascii="Times New Roman" w:hAnsi="Times New Roman" w:cs="Times New Roman"/>
          <w:sz w:val="24"/>
          <w:szCs w:val="24"/>
        </w:rPr>
      </w:pPr>
      <w:commentRangeStart w:id="13"/>
      <w:r w:rsidRPr="00FF6F6B">
        <w:rPr>
          <w:rFonts w:ascii="Times New Roman" w:hAnsi="Times New Roman" w:cs="Times New Roman"/>
          <w:sz w:val="24"/>
          <w:szCs w:val="24"/>
        </w:rPr>
        <w:t>NHB 2023. Annual Report 2022-23, National Horticulture Board. Ministry of Agriculture &amp; Farmers Welfare, Govt. of India</w:t>
      </w:r>
      <w:commentRangeEnd w:id="13"/>
      <w:r w:rsidR="00C04942">
        <w:rPr>
          <w:rStyle w:val="CommentReference"/>
        </w:rPr>
        <w:commentReference w:id="13"/>
      </w:r>
    </w:p>
    <w:p w14:paraId="6036A57B" w14:textId="77777777" w:rsidR="00964632" w:rsidRPr="00FF6F6B" w:rsidRDefault="00964632" w:rsidP="008B333E">
      <w:pPr>
        <w:jc w:val="both"/>
        <w:rPr>
          <w:rFonts w:ascii="Times New Roman" w:hAnsi="Times New Roman" w:cs="Times New Roman"/>
          <w:sz w:val="24"/>
          <w:szCs w:val="24"/>
        </w:rPr>
      </w:pPr>
      <w:r w:rsidRPr="00FF6F6B">
        <w:rPr>
          <w:rFonts w:ascii="Times New Roman" w:hAnsi="Times New Roman" w:cs="Times New Roman"/>
          <w:sz w:val="24"/>
          <w:szCs w:val="24"/>
        </w:rPr>
        <w:t xml:space="preserve">Noopur, K., Chauhan, J. K., Walia, S. S., Verma, M. R., Dhar, U., Choudhary, S., &amp; </w:t>
      </w:r>
      <w:proofErr w:type="spellStart"/>
      <w:r w:rsidRPr="00FF6F6B">
        <w:rPr>
          <w:rFonts w:ascii="Times New Roman" w:hAnsi="Times New Roman" w:cs="Times New Roman"/>
          <w:sz w:val="24"/>
          <w:szCs w:val="24"/>
        </w:rPr>
        <w:t>Chikkeri</w:t>
      </w:r>
      <w:proofErr w:type="spellEnd"/>
      <w:r w:rsidRPr="00FF6F6B">
        <w:rPr>
          <w:rFonts w:ascii="Times New Roman" w:hAnsi="Times New Roman" w:cs="Times New Roman"/>
          <w:sz w:val="24"/>
          <w:szCs w:val="24"/>
        </w:rPr>
        <w:t>, S. S. (2023). Constraints in vegetable production in India: A review. </w:t>
      </w:r>
      <w:r w:rsidRPr="00FF6F6B">
        <w:rPr>
          <w:rFonts w:ascii="Times New Roman" w:hAnsi="Times New Roman" w:cs="Times New Roman"/>
          <w:i/>
          <w:iCs/>
          <w:sz w:val="24"/>
          <w:szCs w:val="24"/>
        </w:rPr>
        <w:t>Indian Res. J. Ext. Edu</w:t>
      </w:r>
      <w:r w:rsidRPr="00FF6F6B">
        <w:rPr>
          <w:rFonts w:ascii="Times New Roman" w:hAnsi="Times New Roman" w:cs="Times New Roman"/>
          <w:sz w:val="24"/>
          <w:szCs w:val="24"/>
        </w:rPr>
        <w:t>, </w:t>
      </w:r>
      <w:r w:rsidRPr="00FF6F6B">
        <w:rPr>
          <w:rFonts w:ascii="Times New Roman" w:hAnsi="Times New Roman" w:cs="Times New Roman"/>
          <w:i/>
          <w:iCs/>
          <w:sz w:val="24"/>
          <w:szCs w:val="24"/>
        </w:rPr>
        <w:t>23</w:t>
      </w:r>
      <w:r w:rsidRPr="00FF6F6B">
        <w:rPr>
          <w:rFonts w:ascii="Times New Roman" w:hAnsi="Times New Roman" w:cs="Times New Roman"/>
          <w:sz w:val="24"/>
          <w:szCs w:val="24"/>
        </w:rPr>
        <w:t>(3), 14-19.</w:t>
      </w:r>
    </w:p>
    <w:p w14:paraId="2B775014" w14:textId="77777777" w:rsidR="00964632" w:rsidRPr="00FF6F6B" w:rsidRDefault="00964632" w:rsidP="008B333E">
      <w:pPr>
        <w:jc w:val="both"/>
        <w:rPr>
          <w:rFonts w:ascii="Times New Roman" w:hAnsi="Times New Roman" w:cs="Times New Roman"/>
          <w:sz w:val="24"/>
          <w:szCs w:val="24"/>
        </w:rPr>
      </w:pPr>
      <w:commentRangeStart w:id="14"/>
      <w:r w:rsidRPr="00FF6F6B">
        <w:rPr>
          <w:rFonts w:ascii="Times New Roman" w:hAnsi="Times New Roman" w:cs="Times New Roman"/>
          <w:sz w:val="24"/>
          <w:szCs w:val="24"/>
        </w:rPr>
        <w:lastRenderedPageBreak/>
        <w:t>Mpala</w:t>
      </w:r>
      <w:commentRangeEnd w:id="14"/>
      <w:r w:rsidR="00C04942">
        <w:rPr>
          <w:rStyle w:val="CommentReference"/>
        </w:rPr>
        <w:commentReference w:id="14"/>
      </w:r>
      <w:r w:rsidRPr="00FF6F6B">
        <w:rPr>
          <w:rFonts w:ascii="Times New Roman" w:hAnsi="Times New Roman" w:cs="Times New Roman"/>
          <w:sz w:val="24"/>
          <w:szCs w:val="24"/>
        </w:rPr>
        <w:t xml:space="preserve">, T. A., &amp; </w:t>
      </w:r>
      <w:proofErr w:type="spellStart"/>
      <w:r w:rsidRPr="00FF6F6B">
        <w:rPr>
          <w:rFonts w:ascii="Times New Roman" w:hAnsi="Times New Roman" w:cs="Times New Roman"/>
          <w:sz w:val="24"/>
          <w:szCs w:val="24"/>
        </w:rPr>
        <w:t>Simatele</w:t>
      </w:r>
      <w:proofErr w:type="spellEnd"/>
      <w:r w:rsidRPr="00FF6F6B">
        <w:rPr>
          <w:rFonts w:ascii="Times New Roman" w:hAnsi="Times New Roman" w:cs="Times New Roman"/>
          <w:sz w:val="24"/>
          <w:szCs w:val="24"/>
        </w:rPr>
        <w:t>, M. D. (2024). Climate-smart agricultural practices among rural farmers in Masvingo district of Zimbabwe: Perspectives on the mitigation strategies to drought and water scarcity for improved crop production. </w:t>
      </w:r>
      <w:r w:rsidRPr="00FF6F6B">
        <w:rPr>
          <w:rFonts w:ascii="Times New Roman" w:hAnsi="Times New Roman" w:cs="Times New Roman"/>
          <w:i/>
          <w:iCs/>
          <w:sz w:val="24"/>
          <w:szCs w:val="24"/>
        </w:rPr>
        <w:t>Frontiers in Sustainable Food Systems</w:t>
      </w:r>
      <w:r w:rsidRPr="00FF6F6B">
        <w:rPr>
          <w:rFonts w:ascii="Times New Roman" w:hAnsi="Times New Roman" w:cs="Times New Roman"/>
          <w:sz w:val="24"/>
          <w:szCs w:val="24"/>
        </w:rPr>
        <w:t>, </w:t>
      </w:r>
      <w:r w:rsidRPr="00FF6F6B">
        <w:rPr>
          <w:rFonts w:ascii="Times New Roman" w:hAnsi="Times New Roman" w:cs="Times New Roman"/>
          <w:i/>
          <w:iCs/>
          <w:sz w:val="24"/>
          <w:szCs w:val="24"/>
        </w:rPr>
        <w:t>7</w:t>
      </w:r>
      <w:r w:rsidRPr="00FF6F6B">
        <w:rPr>
          <w:rFonts w:ascii="Times New Roman" w:hAnsi="Times New Roman" w:cs="Times New Roman"/>
          <w:sz w:val="24"/>
          <w:szCs w:val="24"/>
        </w:rPr>
        <w:t>, 1298908.</w:t>
      </w:r>
    </w:p>
    <w:p w14:paraId="1B47D46D" w14:textId="77777777" w:rsidR="00964632" w:rsidRPr="00FF6F6B" w:rsidRDefault="00964632" w:rsidP="008B333E">
      <w:pPr>
        <w:jc w:val="both"/>
        <w:rPr>
          <w:rFonts w:ascii="Times New Roman" w:hAnsi="Times New Roman" w:cs="Times New Roman"/>
          <w:sz w:val="24"/>
          <w:szCs w:val="24"/>
        </w:rPr>
      </w:pPr>
      <w:r w:rsidRPr="00FF6F6B">
        <w:rPr>
          <w:rFonts w:ascii="Times New Roman" w:eastAsia="Times New Roman" w:hAnsi="Times New Roman" w:cs="Times New Roman"/>
          <w:sz w:val="24"/>
          <w:szCs w:val="24"/>
          <w:lang w:eastAsia="en-IN"/>
        </w:rPr>
        <w:t xml:space="preserve">Khou, A., &amp; </w:t>
      </w:r>
      <w:proofErr w:type="spellStart"/>
      <w:r w:rsidRPr="00FF6F6B">
        <w:rPr>
          <w:rFonts w:ascii="Times New Roman" w:eastAsia="Times New Roman" w:hAnsi="Times New Roman" w:cs="Times New Roman"/>
          <w:sz w:val="24"/>
          <w:szCs w:val="24"/>
          <w:lang w:eastAsia="en-IN"/>
        </w:rPr>
        <w:t>Mothilal</w:t>
      </w:r>
      <w:proofErr w:type="spellEnd"/>
      <w:r w:rsidRPr="00FF6F6B">
        <w:rPr>
          <w:rFonts w:ascii="Times New Roman" w:eastAsia="Times New Roman" w:hAnsi="Times New Roman" w:cs="Times New Roman"/>
          <w:sz w:val="24"/>
          <w:szCs w:val="24"/>
          <w:lang w:eastAsia="en-IN"/>
        </w:rPr>
        <w:t>, L. (2018). Challenges of agricultural production and marketing in Northeast, India. </w:t>
      </w:r>
      <w:r w:rsidRPr="00FF6F6B">
        <w:rPr>
          <w:rFonts w:ascii="Times New Roman" w:eastAsia="Times New Roman" w:hAnsi="Times New Roman" w:cs="Times New Roman"/>
          <w:i/>
          <w:iCs/>
          <w:sz w:val="24"/>
          <w:szCs w:val="24"/>
          <w:lang w:eastAsia="en-IN"/>
        </w:rPr>
        <w:t>Journal of Management (JOM)</w:t>
      </w:r>
      <w:r w:rsidRPr="00FF6F6B">
        <w:rPr>
          <w:rFonts w:ascii="Times New Roman" w:eastAsia="Times New Roman" w:hAnsi="Times New Roman" w:cs="Times New Roman"/>
          <w:sz w:val="24"/>
          <w:szCs w:val="24"/>
          <w:lang w:eastAsia="en-IN"/>
        </w:rPr>
        <w:t>, </w:t>
      </w:r>
      <w:r w:rsidRPr="00FF6F6B">
        <w:rPr>
          <w:rFonts w:ascii="Times New Roman" w:eastAsia="Times New Roman" w:hAnsi="Times New Roman" w:cs="Times New Roman"/>
          <w:i/>
          <w:iCs/>
          <w:sz w:val="24"/>
          <w:szCs w:val="24"/>
          <w:lang w:eastAsia="en-IN"/>
        </w:rPr>
        <w:t>5</w:t>
      </w:r>
      <w:r w:rsidRPr="00FF6F6B">
        <w:rPr>
          <w:rFonts w:ascii="Times New Roman" w:eastAsia="Times New Roman" w:hAnsi="Times New Roman" w:cs="Times New Roman"/>
          <w:sz w:val="24"/>
          <w:szCs w:val="24"/>
          <w:lang w:eastAsia="en-IN"/>
        </w:rPr>
        <w:t>(4).).</w:t>
      </w:r>
    </w:p>
    <w:p w14:paraId="2DAD262D" w14:textId="77777777" w:rsidR="00BA5414" w:rsidRPr="00FF6F6B" w:rsidRDefault="00BA53C6" w:rsidP="008B333E">
      <w:pPr>
        <w:spacing w:before="100" w:beforeAutospacing="1" w:after="100" w:afterAutospacing="1" w:line="240" w:lineRule="auto"/>
        <w:jc w:val="both"/>
        <w:rPr>
          <w:rFonts w:ascii="Times New Roman" w:hAnsi="Times New Roman" w:cs="Times New Roman"/>
          <w:sz w:val="24"/>
          <w:szCs w:val="24"/>
        </w:rPr>
      </w:pPr>
      <w:r w:rsidRPr="00FF6F6B">
        <w:rPr>
          <w:rFonts w:ascii="Times New Roman" w:hAnsi="Times New Roman" w:cs="Times New Roman"/>
          <w:sz w:val="24"/>
          <w:szCs w:val="24"/>
        </w:rPr>
        <w:t>Sultana, S., Das, P. K., Saikia, D., &amp; Barman, I. (2020). Impact of NICRA Projecton Farm Income and Farm Productivity of Participant Farmers in Lakhimpur District of Assam. </w:t>
      </w:r>
      <w:r w:rsidRPr="00FF6F6B">
        <w:rPr>
          <w:rFonts w:ascii="Times New Roman" w:hAnsi="Times New Roman" w:cs="Times New Roman"/>
          <w:i/>
          <w:iCs/>
          <w:sz w:val="24"/>
          <w:szCs w:val="24"/>
        </w:rPr>
        <w:t>Current Journal of Applied Science and Technology</w:t>
      </w:r>
      <w:r w:rsidRPr="00FF6F6B">
        <w:rPr>
          <w:rFonts w:ascii="Times New Roman" w:hAnsi="Times New Roman" w:cs="Times New Roman"/>
          <w:sz w:val="24"/>
          <w:szCs w:val="24"/>
        </w:rPr>
        <w:t>, </w:t>
      </w:r>
      <w:r w:rsidRPr="00FF6F6B">
        <w:rPr>
          <w:rFonts w:ascii="Times New Roman" w:hAnsi="Times New Roman" w:cs="Times New Roman"/>
          <w:i/>
          <w:iCs/>
          <w:sz w:val="24"/>
          <w:szCs w:val="24"/>
        </w:rPr>
        <w:t>39</w:t>
      </w:r>
      <w:r w:rsidRPr="00FF6F6B">
        <w:rPr>
          <w:rFonts w:ascii="Times New Roman" w:hAnsi="Times New Roman" w:cs="Times New Roman"/>
          <w:sz w:val="24"/>
          <w:szCs w:val="24"/>
        </w:rPr>
        <w:t>(11), 38-42.</w:t>
      </w:r>
    </w:p>
    <w:p w14:paraId="669E583F" w14:textId="77777777" w:rsidR="00BA53C6" w:rsidRPr="00FF6F6B" w:rsidRDefault="00BA53C6" w:rsidP="008B333E">
      <w:pPr>
        <w:spacing w:before="100" w:beforeAutospacing="1" w:after="100" w:afterAutospacing="1" w:line="240" w:lineRule="auto"/>
        <w:jc w:val="both"/>
        <w:rPr>
          <w:rFonts w:ascii="Times New Roman" w:hAnsi="Times New Roman" w:cs="Times New Roman"/>
          <w:sz w:val="24"/>
          <w:szCs w:val="24"/>
        </w:rPr>
      </w:pPr>
      <w:r w:rsidRPr="00FF6F6B">
        <w:rPr>
          <w:rFonts w:ascii="Times New Roman" w:hAnsi="Times New Roman" w:cs="Times New Roman"/>
          <w:sz w:val="24"/>
          <w:szCs w:val="24"/>
        </w:rPr>
        <w:t>Thakor, R. F., &amp; Joshi, P. J. (2022). Impact of NICRA project on farm income and farm productivity of participant farmers. </w:t>
      </w:r>
      <w:r w:rsidRPr="00FF6F6B">
        <w:rPr>
          <w:rFonts w:ascii="Times New Roman" w:hAnsi="Times New Roman" w:cs="Times New Roman"/>
          <w:i/>
          <w:iCs/>
          <w:sz w:val="24"/>
          <w:szCs w:val="24"/>
        </w:rPr>
        <w:t>Gujarat Journal of Extension Education</w:t>
      </w:r>
      <w:r w:rsidRPr="00FF6F6B">
        <w:rPr>
          <w:rFonts w:ascii="Times New Roman" w:hAnsi="Times New Roman" w:cs="Times New Roman"/>
          <w:sz w:val="24"/>
          <w:szCs w:val="24"/>
        </w:rPr>
        <w:t>, </w:t>
      </w:r>
      <w:r w:rsidRPr="00FF6F6B">
        <w:rPr>
          <w:rFonts w:ascii="Times New Roman" w:hAnsi="Times New Roman" w:cs="Times New Roman"/>
          <w:i/>
          <w:iCs/>
          <w:sz w:val="24"/>
          <w:szCs w:val="24"/>
        </w:rPr>
        <w:t>34</w:t>
      </w:r>
      <w:r w:rsidRPr="00FF6F6B">
        <w:rPr>
          <w:rFonts w:ascii="Times New Roman" w:hAnsi="Times New Roman" w:cs="Times New Roman"/>
          <w:sz w:val="24"/>
          <w:szCs w:val="24"/>
        </w:rPr>
        <w:t>(1).</w:t>
      </w:r>
    </w:p>
    <w:p w14:paraId="63AC6929" w14:textId="77777777" w:rsidR="00BD6F83" w:rsidRPr="00FF6F6B" w:rsidRDefault="00BD6F83" w:rsidP="008B333E">
      <w:pPr>
        <w:spacing w:before="100" w:beforeAutospacing="1" w:after="100" w:afterAutospacing="1" w:line="240" w:lineRule="auto"/>
        <w:jc w:val="both"/>
        <w:rPr>
          <w:rFonts w:ascii="Times New Roman" w:hAnsi="Times New Roman" w:cs="Times New Roman"/>
          <w:sz w:val="24"/>
          <w:szCs w:val="24"/>
        </w:rPr>
      </w:pPr>
      <w:commentRangeStart w:id="15"/>
      <w:r w:rsidRPr="00FF6F6B">
        <w:rPr>
          <w:rFonts w:ascii="Times New Roman" w:hAnsi="Times New Roman" w:cs="Times New Roman"/>
          <w:sz w:val="24"/>
          <w:szCs w:val="24"/>
        </w:rPr>
        <w:t xml:space="preserve">Kumawat, P., Yadav, C. M., Yadav, A., &amp; </w:t>
      </w:r>
      <w:proofErr w:type="spellStart"/>
      <w:r w:rsidRPr="00FF6F6B">
        <w:rPr>
          <w:rFonts w:ascii="Times New Roman" w:hAnsi="Times New Roman" w:cs="Times New Roman"/>
          <w:sz w:val="24"/>
          <w:szCs w:val="24"/>
        </w:rPr>
        <w:t>Jalwania</w:t>
      </w:r>
      <w:proofErr w:type="spellEnd"/>
      <w:r w:rsidRPr="00FF6F6B">
        <w:rPr>
          <w:rFonts w:ascii="Times New Roman" w:hAnsi="Times New Roman" w:cs="Times New Roman"/>
          <w:sz w:val="24"/>
          <w:szCs w:val="24"/>
        </w:rPr>
        <w:t xml:space="preserve">, R. (2024). </w:t>
      </w:r>
      <w:r w:rsidR="00755446" w:rsidRPr="00FF6F6B">
        <w:rPr>
          <w:rFonts w:ascii="Times New Roman" w:hAnsi="Times New Roman" w:cs="Times New Roman"/>
          <w:sz w:val="24"/>
          <w:szCs w:val="24"/>
        </w:rPr>
        <w:t xml:space="preserve">Enhanced farmer’s livelihood through </w:t>
      </w:r>
      <w:proofErr w:type="spellStart"/>
      <w:r w:rsidR="00755446" w:rsidRPr="00FF6F6B">
        <w:rPr>
          <w:rFonts w:ascii="Times New Roman" w:hAnsi="Times New Roman" w:cs="Times New Roman"/>
          <w:sz w:val="24"/>
          <w:szCs w:val="24"/>
        </w:rPr>
        <w:t>nicra</w:t>
      </w:r>
      <w:proofErr w:type="spellEnd"/>
      <w:r w:rsidR="00755446" w:rsidRPr="00FF6F6B">
        <w:rPr>
          <w:rFonts w:ascii="Times New Roman" w:hAnsi="Times New Roman" w:cs="Times New Roman"/>
          <w:sz w:val="24"/>
          <w:szCs w:val="24"/>
        </w:rPr>
        <w:t xml:space="preserve"> interventions. </w:t>
      </w:r>
      <w:r w:rsidR="00755446" w:rsidRPr="00FF6F6B">
        <w:rPr>
          <w:rFonts w:ascii="Times New Roman" w:hAnsi="Times New Roman" w:cs="Times New Roman"/>
          <w:i/>
          <w:iCs/>
          <w:sz w:val="24"/>
          <w:szCs w:val="24"/>
        </w:rPr>
        <w:t>Indian journal of extension education and rural development</w:t>
      </w:r>
      <w:r w:rsidRPr="00FF6F6B">
        <w:rPr>
          <w:rFonts w:ascii="Times New Roman" w:hAnsi="Times New Roman" w:cs="Times New Roman"/>
          <w:sz w:val="24"/>
          <w:szCs w:val="24"/>
        </w:rPr>
        <w:t>, </w:t>
      </w:r>
      <w:r w:rsidRPr="00FF6F6B">
        <w:rPr>
          <w:rFonts w:ascii="Times New Roman" w:hAnsi="Times New Roman" w:cs="Times New Roman"/>
          <w:i/>
          <w:iCs/>
          <w:sz w:val="24"/>
          <w:szCs w:val="24"/>
        </w:rPr>
        <w:t>32</w:t>
      </w:r>
      <w:r w:rsidRPr="00FF6F6B">
        <w:rPr>
          <w:rFonts w:ascii="Times New Roman" w:hAnsi="Times New Roman" w:cs="Times New Roman"/>
          <w:sz w:val="24"/>
          <w:szCs w:val="24"/>
        </w:rPr>
        <w:t>, 202435.</w:t>
      </w:r>
      <w:commentRangeEnd w:id="15"/>
      <w:r w:rsidR="00C04942">
        <w:rPr>
          <w:rStyle w:val="CommentReference"/>
        </w:rPr>
        <w:commentReference w:id="15"/>
      </w:r>
    </w:p>
    <w:p w14:paraId="684B48E5" w14:textId="77777777" w:rsidR="00BD6F83" w:rsidRPr="00FF6F6B" w:rsidRDefault="00BD6F83" w:rsidP="008B333E">
      <w:pPr>
        <w:spacing w:before="100" w:beforeAutospacing="1" w:after="100" w:afterAutospacing="1" w:line="240" w:lineRule="auto"/>
        <w:jc w:val="both"/>
        <w:rPr>
          <w:rFonts w:ascii="Times New Roman" w:hAnsi="Times New Roman" w:cs="Times New Roman"/>
          <w:sz w:val="24"/>
          <w:szCs w:val="24"/>
        </w:rPr>
      </w:pPr>
      <w:r w:rsidRPr="00FF6F6B">
        <w:rPr>
          <w:rFonts w:ascii="Times New Roman" w:hAnsi="Times New Roman" w:cs="Times New Roman"/>
          <w:sz w:val="24"/>
          <w:szCs w:val="24"/>
        </w:rPr>
        <w:t>Lenka, S., Patnaik, B. R., &amp; Dash, S. R. (2023). Impact of NICRA project on knowledge, skill and attitude (KSA) of farmers on climate-resilient agrotechnology's in the NICRA operated district of Odisha. </w:t>
      </w:r>
      <w:r w:rsidRPr="00FF6F6B">
        <w:rPr>
          <w:rFonts w:ascii="Times New Roman" w:hAnsi="Times New Roman" w:cs="Times New Roman"/>
          <w:i/>
          <w:iCs/>
          <w:sz w:val="24"/>
          <w:szCs w:val="24"/>
        </w:rPr>
        <w:t>International Journal of Bio-resource and Stress Management</w:t>
      </w:r>
      <w:r w:rsidRPr="00FF6F6B">
        <w:rPr>
          <w:rFonts w:ascii="Times New Roman" w:hAnsi="Times New Roman" w:cs="Times New Roman"/>
          <w:sz w:val="24"/>
          <w:szCs w:val="24"/>
        </w:rPr>
        <w:t>, </w:t>
      </w:r>
      <w:r w:rsidRPr="00FF6F6B">
        <w:rPr>
          <w:rFonts w:ascii="Times New Roman" w:hAnsi="Times New Roman" w:cs="Times New Roman"/>
          <w:i/>
          <w:iCs/>
          <w:sz w:val="24"/>
          <w:szCs w:val="24"/>
        </w:rPr>
        <w:t>14</w:t>
      </w:r>
      <w:r w:rsidRPr="00FF6F6B">
        <w:rPr>
          <w:rFonts w:ascii="Times New Roman" w:hAnsi="Times New Roman" w:cs="Times New Roman"/>
          <w:sz w:val="24"/>
          <w:szCs w:val="24"/>
        </w:rPr>
        <w:t>(1), 132-137.</w:t>
      </w:r>
    </w:p>
    <w:p w14:paraId="2B3874D3" w14:textId="77777777" w:rsidR="00BD6F83" w:rsidRPr="00FF6F6B" w:rsidRDefault="00BD6F83" w:rsidP="008B333E">
      <w:pPr>
        <w:spacing w:before="100" w:beforeAutospacing="1" w:after="100" w:afterAutospacing="1" w:line="240" w:lineRule="auto"/>
        <w:jc w:val="both"/>
        <w:rPr>
          <w:rFonts w:ascii="Times New Roman" w:hAnsi="Times New Roman" w:cs="Times New Roman"/>
          <w:sz w:val="24"/>
          <w:szCs w:val="24"/>
        </w:rPr>
      </w:pPr>
      <w:r w:rsidRPr="00FF6F6B">
        <w:rPr>
          <w:rFonts w:ascii="Times New Roman" w:hAnsi="Times New Roman" w:cs="Times New Roman"/>
          <w:sz w:val="24"/>
          <w:szCs w:val="24"/>
        </w:rPr>
        <w:t>Khati, K. (2020). </w:t>
      </w:r>
      <w:r w:rsidRPr="00FF6F6B">
        <w:rPr>
          <w:rFonts w:ascii="Times New Roman" w:hAnsi="Times New Roman" w:cs="Times New Roman"/>
          <w:i/>
          <w:iCs/>
          <w:sz w:val="24"/>
          <w:szCs w:val="24"/>
        </w:rPr>
        <w:t>A study on adoption of climate resilient technologies by farmers under NICRA in Uttarakhand</w:t>
      </w:r>
      <w:r w:rsidRPr="00FF6F6B">
        <w:rPr>
          <w:rFonts w:ascii="Times New Roman" w:hAnsi="Times New Roman" w:cs="Times New Roman"/>
          <w:sz w:val="24"/>
          <w:szCs w:val="24"/>
        </w:rPr>
        <w:t> (Doctoral dissertation, GB Pant University of Agriculture and Technology, Pantnagar-263145 (Uttarakhand)).</w:t>
      </w:r>
    </w:p>
    <w:p w14:paraId="2FE69141" w14:textId="77777777" w:rsidR="00BD6F83" w:rsidRPr="00FF6F6B" w:rsidRDefault="00BD6F83" w:rsidP="008B333E">
      <w:pPr>
        <w:spacing w:before="100" w:beforeAutospacing="1" w:after="100" w:afterAutospacing="1" w:line="240" w:lineRule="auto"/>
        <w:jc w:val="both"/>
        <w:rPr>
          <w:rFonts w:ascii="Times New Roman" w:hAnsi="Times New Roman" w:cs="Times New Roman"/>
          <w:sz w:val="24"/>
          <w:szCs w:val="24"/>
        </w:rPr>
      </w:pPr>
      <w:commentRangeStart w:id="16"/>
      <w:r w:rsidRPr="00FF6F6B">
        <w:rPr>
          <w:rFonts w:ascii="Times New Roman" w:hAnsi="Times New Roman" w:cs="Times New Roman"/>
          <w:sz w:val="24"/>
          <w:szCs w:val="24"/>
          <w:shd w:val="clear" w:color="auto" w:fill="FFFFFF"/>
        </w:rPr>
        <w:t xml:space="preserve">Singh, A. K., Mishra, Y. D., Gupta, S., &amp; Jadon, P. 2022. Knowledge Level of NICRA Beneficiaries on Climate Resilient Technologies and Its Relationship with Their Profile Characteristics. </w:t>
      </w:r>
      <w:r w:rsidRPr="00FF6F6B">
        <w:rPr>
          <w:rFonts w:ascii="Times New Roman" w:hAnsi="Times New Roman" w:cs="Times New Roman"/>
          <w:sz w:val="24"/>
          <w:szCs w:val="24"/>
        </w:rPr>
        <w:t>International Journal of Environment and Climate Change</w:t>
      </w:r>
      <w:r w:rsidR="00755446" w:rsidRPr="00FF6F6B">
        <w:rPr>
          <w:rFonts w:ascii="Times New Roman" w:hAnsi="Times New Roman" w:cs="Times New Roman"/>
          <w:sz w:val="24"/>
          <w:szCs w:val="24"/>
        </w:rPr>
        <w:t>, 12(11),</w:t>
      </w:r>
      <w:r w:rsidRPr="00FF6F6B">
        <w:rPr>
          <w:rFonts w:ascii="Times New Roman" w:hAnsi="Times New Roman" w:cs="Times New Roman"/>
          <w:sz w:val="24"/>
          <w:szCs w:val="24"/>
        </w:rPr>
        <w:t xml:space="preserve"> 3699-3705</w:t>
      </w:r>
      <w:r w:rsidR="00755446" w:rsidRPr="00FF6F6B">
        <w:rPr>
          <w:rFonts w:ascii="Times New Roman" w:hAnsi="Times New Roman" w:cs="Times New Roman"/>
          <w:sz w:val="24"/>
          <w:szCs w:val="24"/>
        </w:rPr>
        <w:t>.</w:t>
      </w:r>
      <w:commentRangeEnd w:id="16"/>
      <w:r w:rsidR="00C04942">
        <w:rPr>
          <w:rStyle w:val="CommentReference"/>
        </w:rPr>
        <w:commentReference w:id="16"/>
      </w:r>
    </w:p>
    <w:p w14:paraId="3B5F32D8" w14:textId="77777777" w:rsidR="00BD6F83" w:rsidRPr="00FF6F6B" w:rsidRDefault="00BD6F83" w:rsidP="008B333E">
      <w:pPr>
        <w:spacing w:before="100" w:beforeAutospacing="1" w:after="100" w:afterAutospacing="1" w:line="240" w:lineRule="auto"/>
        <w:jc w:val="both"/>
        <w:rPr>
          <w:rFonts w:ascii="Times New Roman" w:hAnsi="Times New Roman" w:cs="Times New Roman"/>
          <w:sz w:val="24"/>
          <w:szCs w:val="24"/>
        </w:rPr>
      </w:pPr>
      <w:r w:rsidRPr="00FF6F6B">
        <w:rPr>
          <w:rFonts w:ascii="Times New Roman" w:hAnsi="Times New Roman" w:cs="Times New Roman"/>
          <w:sz w:val="24"/>
          <w:szCs w:val="24"/>
        </w:rPr>
        <w:t>Sodhi, G. P. S., Dhillon, G. S., Ahuja, S., Kaur, T., Murai, A. S., Singh, R., &amp; Kaur, S. (2023). Adoption Behaviour of Climate-resilient Agricultural Practices in Punjab under NICRA Project. </w:t>
      </w:r>
      <w:r w:rsidRPr="00FF6F6B">
        <w:rPr>
          <w:rFonts w:ascii="Times New Roman" w:hAnsi="Times New Roman" w:cs="Times New Roman"/>
          <w:i/>
          <w:iCs/>
          <w:sz w:val="24"/>
          <w:szCs w:val="24"/>
        </w:rPr>
        <w:t>Indian Journal of Extension Education</w:t>
      </w:r>
      <w:r w:rsidRPr="00FF6F6B">
        <w:rPr>
          <w:rFonts w:ascii="Times New Roman" w:hAnsi="Times New Roman" w:cs="Times New Roman"/>
          <w:sz w:val="24"/>
          <w:szCs w:val="24"/>
        </w:rPr>
        <w:t>, </w:t>
      </w:r>
      <w:r w:rsidRPr="00FF6F6B">
        <w:rPr>
          <w:rFonts w:ascii="Times New Roman" w:hAnsi="Times New Roman" w:cs="Times New Roman"/>
          <w:i/>
          <w:iCs/>
          <w:sz w:val="24"/>
          <w:szCs w:val="24"/>
        </w:rPr>
        <w:t>59</w:t>
      </w:r>
      <w:r w:rsidRPr="00FF6F6B">
        <w:rPr>
          <w:rFonts w:ascii="Times New Roman" w:hAnsi="Times New Roman" w:cs="Times New Roman"/>
          <w:sz w:val="24"/>
          <w:szCs w:val="24"/>
        </w:rPr>
        <w:t>(2), 46-50.</w:t>
      </w:r>
    </w:p>
    <w:p w14:paraId="4E2E6634" w14:textId="77777777" w:rsidR="00BD6F83" w:rsidRPr="00FF6F6B" w:rsidRDefault="00BD6F83" w:rsidP="008B333E">
      <w:pPr>
        <w:spacing w:before="100" w:beforeAutospacing="1" w:after="100" w:afterAutospacing="1" w:line="240" w:lineRule="auto"/>
        <w:jc w:val="both"/>
        <w:rPr>
          <w:rFonts w:ascii="Times New Roman" w:hAnsi="Times New Roman" w:cs="Times New Roman"/>
          <w:sz w:val="24"/>
          <w:szCs w:val="24"/>
          <w:lang w:val="en-US"/>
        </w:rPr>
      </w:pPr>
      <w:r w:rsidRPr="00FF6F6B">
        <w:rPr>
          <w:rFonts w:ascii="Times New Roman" w:hAnsi="Times New Roman" w:cs="Times New Roman"/>
          <w:sz w:val="24"/>
          <w:szCs w:val="24"/>
        </w:rPr>
        <w:t xml:space="preserve">Tiwari, M. V., </w:t>
      </w:r>
      <w:proofErr w:type="spellStart"/>
      <w:r w:rsidRPr="00FF6F6B">
        <w:rPr>
          <w:rFonts w:ascii="Times New Roman" w:hAnsi="Times New Roman" w:cs="Times New Roman"/>
          <w:sz w:val="24"/>
          <w:szCs w:val="24"/>
        </w:rPr>
        <w:t>Poshia</w:t>
      </w:r>
      <w:proofErr w:type="spellEnd"/>
      <w:r w:rsidRPr="00FF6F6B">
        <w:rPr>
          <w:rFonts w:ascii="Times New Roman" w:hAnsi="Times New Roman" w:cs="Times New Roman"/>
          <w:sz w:val="24"/>
          <w:szCs w:val="24"/>
        </w:rPr>
        <w:t xml:space="preserve">, V. K., &amp; Chauhan, N. M. </w:t>
      </w:r>
      <w:r w:rsidR="00755446" w:rsidRPr="00FF6F6B">
        <w:rPr>
          <w:rFonts w:ascii="Times New Roman" w:hAnsi="Times New Roman" w:cs="Times New Roman"/>
          <w:sz w:val="24"/>
          <w:szCs w:val="24"/>
        </w:rPr>
        <w:t>(2024). Knowledge level of farmers on climate resilient agro-technologies in NICRA village</w:t>
      </w:r>
      <w:r w:rsidRPr="00FF6F6B">
        <w:rPr>
          <w:rFonts w:ascii="Times New Roman" w:hAnsi="Times New Roman" w:cs="Times New Roman"/>
          <w:sz w:val="24"/>
          <w:szCs w:val="24"/>
        </w:rPr>
        <w:t>. Gujarat Journal of Extension Education</w:t>
      </w:r>
      <w:r w:rsidR="00755446" w:rsidRPr="00FF6F6B">
        <w:rPr>
          <w:rFonts w:ascii="Times New Roman" w:hAnsi="Times New Roman" w:cs="Times New Roman"/>
          <w:sz w:val="24"/>
          <w:szCs w:val="24"/>
        </w:rPr>
        <w:t>,</w:t>
      </w:r>
      <w:r w:rsidRPr="00FF6F6B">
        <w:rPr>
          <w:rFonts w:ascii="Times New Roman" w:hAnsi="Times New Roman" w:cs="Times New Roman"/>
          <w:sz w:val="24"/>
          <w:szCs w:val="24"/>
        </w:rPr>
        <w:t xml:space="preserve"> 37 </w:t>
      </w:r>
      <w:r w:rsidR="00755446" w:rsidRPr="00FF6F6B">
        <w:rPr>
          <w:rFonts w:ascii="Times New Roman" w:hAnsi="Times New Roman" w:cs="Times New Roman"/>
          <w:sz w:val="24"/>
          <w:szCs w:val="24"/>
        </w:rPr>
        <w:t>(</w:t>
      </w:r>
      <w:r w:rsidRPr="00FF6F6B">
        <w:rPr>
          <w:rFonts w:ascii="Times New Roman" w:hAnsi="Times New Roman" w:cs="Times New Roman"/>
          <w:sz w:val="24"/>
          <w:szCs w:val="24"/>
        </w:rPr>
        <w:t>1</w:t>
      </w:r>
      <w:r w:rsidR="00755446" w:rsidRPr="00FF6F6B">
        <w:rPr>
          <w:rFonts w:ascii="Times New Roman" w:hAnsi="Times New Roman" w:cs="Times New Roman"/>
          <w:sz w:val="24"/>
          <w:szCs w:val="24"/>
        </w:rPr>
        <w:t>),</w:t>
      </w:r>
      <w:r w:rsidRPr="00FF6F6B">
        <w:rPr>
          <w:rFonts w:ascii="Times New Roman" w:hAnsi="Times New Roman" w:cs="Times New Roman"/>
          <w:sz w:val="24"/>
          <w:szCs w:val="24"/>
        </w:rPr>
        <w:t xml:space="preserve"> </w:t>
      </w:r>
      <w:r w:rsidR="00755446" w:rsidRPr="00FF6F6B">
        <w:rPr>
          <w:rFonts w:ascii="Times New Roman" w:hAnsi="Times New Roman" w:cs="Times New Roman"/>
          <w:sz w:val="24"/>
          <w:szCs w:val="24"/>
        </w:rPr>
        <w:t xml:space="preserve">134-137. </w:t>
      </w:r>
      <w:r w:rsidRPr="00FF6F6B">
        <w:rPr>
          <w:rFonts w:ascii="Times New Roman" w:hAnsi="Times New Roman" w:cs="Times New Roman"/>
          <w:sz w:val="24"/>
          <w:szCs w:val="24"/>
          <w:lang w:val="en-US"/>
        </w:rPr>
        <w:t xml:space="preserve"> </w:t>
      </w:r>
      <w:hyperlink r:id="rId15" w:tgtFrame="_blank" w:history="1">
        <w:r w:rsidRPr="00FF6F6B">
          <w:rPr>
            <w:rStyle w:val="Hyperlink"/>
            <w:rFonts w:ascii="Times New Roman" w:hAnsi="Times New Roman" w:cs="Times New Roman"/>
            <w:color w:val="auto"/>
            <w:sz w:val="24"/>
            <w:szCs w:val="24"/>
            <w:lang w:val="en-US"/>
          </w:rPr>
          <w:t>https://doi.org/10.56572/gjoee.2024.37.1.0022</w:t>
        </w:r>
      </w:hyperlink>
    </w:p>
    <w:p w14:paraId="6513BBA5" w14:textId="77777777" w:rsidR="00BD6F83" w:rsidRPr="00FF6F6B" w:rsidRDefault="00BD6F83" w:rsidP="00964632">
      <w:pPr>
        <w:spacing w:before="100" w:beforeAutospacing="1" w:after="100" w:afterAutospacing="1" w:line="240" w:lineRule="auto"/>
        <w:rPr>
          <w:rFonts w:ascii="Times New Roman" w:hAnsi="Times New Roman" w:cs="Times New Roman"/>
        </w:rPr>
      </w:pPr>
    </w:p>
    <w:sectPr w:rsidR="00BD6F83" w:rsidRPr="00FF6F6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wity Sundar Rout" w:date="2025-03-10T17:40:00Z" w:initials="DR">
    <w:p w14:paraId="51DDBFED" w14:textId="57696612" w:rsidR="00AF52D7" w:rsidRDefault="00AF52D7">
      <w:pPr>
        <w:pStyle w:val="CommentText"/>
      </w:pPr>
      <w:r>
        <w:rPr>
          <w:rStyle w:val="CommentReference"/>
        </w:rPr>
        <w:annotationRef/>
      </w:r>
      <w:r>
        <w:t>It may be modified mentioning the importance of sustainability study</w:t>
      </w:r>
    </w:p>
  </w:comment>
  <w:comment w:id="1" w:author="Dwity Sundar Rout" w:date="2025-03-10T17:00:00Z" w:initials="DR">
    <w:p w14:paraId="01C80DE5" w14:textId="31943B45" w:rsidR="007C7374" w:rsidRDefault="007C7374">
      <w:pPr>
        <w:pStyle w:val="CommentText"/>
      </w:pPr>
      <w:r>
        <w:rPr>
          <w:rStyle w:val="CommentReference"/>
        </w:rPr>
        <w:annotationRef/>
      </w:r>
      <w:r>
        <w:t xml:space="preserve">Abstract may be made a </w:t>
      </w:r>
      <w:proofErr w:type="spellStart"/>
      <w:r>
        <w:t>lttle</w:t>
      </w:r>
      <w:proofErr w:type="spellEnd"/>
      <w:r>
        <w:t xml:space="preserve"> smaller </w:t>
      </w:r>
    </w:p>
  </w:comment>
  <w:comment w:id="2" w:author="Dwity Sundar Rout" w:date="2025-03-10T17:37:00Z" w:initials="DR">
    <w:p w14:paraId="3D6A0751" w14:textId="23F0A4D8" w:rsidR="00C04942" w:rsidRDefault="00C04942">
      <w:pPr>
        <w:pStyle w:val="CommentText"/>
      </w:pPr>
      <w:r>
        <w:rPr>
          <w:rStyle w:val="CommentReference"/>
        </w:rPr>
        <w:annotationRef/>
      </w:r>
      <w:r>
        <w:t>Spelling may be matched with the reference mentioned.</w:t>
      </w:r>
    </w:p>
  </w:comment>
  <w:comment w:id="3" w:author="Dwity Sundar Rout" w:date="2025-03-10T17:02:00Z" w:initials="DR">
    <w:p w14:paraId="057B1FBA" w14:textId="396FE502" w:rsidR="007C7374" w:rsidRDefault="007C7374">
      <w:pPr>
        <w:pStyle w:val="CommentText"/>
      </w:pPr>
      <w:r>
        <w:rPr>
          <w:rStyle w:val="CommentReference"/>
        </w:rPr>
        <w:annotationRef/>
      </w:r>
      <w:r>
        <w:t>This portion may be deleted</w:t>
      </w:r>
    </w:p>
  </w:comment>
  <w:comment w:id="4" w:author="Dwity Sundar Rout" w:date="2025-03-10T17:35:00Z" w:initials="DR">
    <w:p w14:paraId="738F895D" w14:textId="5C111951" w:rsidR="00C04942" w:rsidRDefault="00C04942">
      <w:pPr>
        <w:pStyle w:val="CommentText"/>
      </w:pPr>
      <w:r>
        <w:rPr>
          <w:rStyle w:val="CommentReference"/>
        </w:rPr>
        <w:annotationRef/>
      </w:r>
      <w:r>
        <w:t>Spelling of the author may be checked</w:t>
      </w:r>
    </w:p>
  </w:comment>
  <w:comment w:id="5" w:author="Dwity Sundar Rout" w:date="2025-03-10T17:07:00Z" w:initials="DR">
    <w:p w14:paraId="14B13EC4" w14:textId="082E49FE" w:rsidR="007C7374" w:rsidRDefault="007C7374">
      <w:pPr>
        <w:pStyle w:val="CommentText"/>
      </w:pPr>
      <w:r>
        <w:rPr>
          <w:rStyle w:val="CommentReference"/>
        </w:rPr>
        <w:annotationRef/>
      </w:r>
      <w:r>
        <w:t>The importance of knowledge level may also be added as the study focuses on it.</w:t>
      </w:r>
    </w:p>
  </w:comment>
  <w:comment w:id="6" w:author="Dwity Sundar Rout" w:date="2025-03-10T17:12:00Z" w:initials="DR">
    <w:p w14:paraId="3ED4FA11" w14:textId="5A7C7FFD" w:rsidR="00860992" w:rsidRDefault="00860992">
      <w:pPr>
        <w:pStyle w:val="CommentText"/>
      </w:pPr>
      <w:r>
        <w:rPr>
          <w:rStyle w:val="CommentReference"/>
        </w:rPr>
        <w:annotationRef/>
      </w:r>
      <w:r>
        <w:t xml:space="preserve">If specific villages are </w:t>
      </w:r>
      <w:proofErr w:type="spellStart"/>
      <w:r>
        <w:t>choosen</w:t>
      </w:r>
      <w:proofErr w:type="spellEnd"/>
      <w:r>
        <w:t xml:space="preserve"> for selection of respondents </w:t>
      </w:r>
      <w:proofErr w:type="gramStart"/>
      <w:r>
        <w:t>on the basis of</w:t>
      </w:r>
      <w:proofErr w:type="gramEnd"/>
      <w:r>
        <w:t xml:space="preserve"> NICRA implementation, then those should be specified.</w:t>
      </w:r>
    </w:p>
  </w:comment>
  <w:comment w:id="7" w:author="Dwity Sundar Rout" w:date="2025-03-10T17:21:00Z" w:initials="DR">
    <w:p w14:paraId="156DC881" w14:textId="7A73217D" w:rsidR="00366A77" w:rsidRDefault="00366A77">
      <w:pPr>
        <w:pStyle w:val="CommentText"/>
      </w:pPr>
      <w:r>
        <w:rPr>
          <w:rStyle w:val="CommentReference"/>
        </w:rPr>
        <w:annotationRef/>
      </w:r>
      <w:r>
        <w:t>Specific descriptions and legends are required</w:t>
      </w:r>
    </w:p>
  </w:comment>
  <w:comment w:id="8" w:author="Dwity Sundar Rout" w:date="2025-03-10T17:19:00Z" w:initials="DR">
    <w:p w14:paraId="4BC17F64" w14:textId="24D1887C" w:rsidR="00366A77" w:rsidRDefault="00366A77">
      <w:pPr>
        <w:pStyle w:val="CommentText"/>
      </w:pPr>
      <w:r>
        <w:rPr>
          <w:rStyle w:val="CommentReference"/>
        </w:rPr>
        <w:annotationRef/>
      </w:r>
      <w:r>
        <w:t>Comma is required</w:t>
      </w:r>
    </w:p>
  </w:comment>
  <w:comment w:id="10" w:author="Dwity Sundar Rout" w:date="2025-03-10T17:33:00Z" w:initials="DR">
    <w:p w14:paraId="0A5E71D6" w14:textId="6C6062BF" w:rsidR="00C04942" w:rsidRDefault="00C04942">
      <w:pPr>
        <w:pStyle w:val="CommentText"/>
      </w:pPr>
      <w:r>
        <w:rPr>
          <w:rStyle w:val="CommentReference"/>
        </w:rPr>
        <w:annotationRef/>
      </w:r>
      <w:r>
        <w:t>References may be properly cited.</w:t>
      </w:r>
    </w:p>
  </w:comment>
  <w:comment w:id="11" w:author="Dwity Sundar Rout" w:date="2025-03-10T17:27:00Z" w:initials="DR">
    <w:p w14:paraId="2DD8AF3F" w14:textId="7FFBF51C" w:rsidR="00366A77" w:rsidRDefault="00366A77">
      <w:pPr>
        <w:pStyle w:val="CommentText"/>
      </w:pPr>
      <w:r>
        <w:rPr>
          <w:rStyle w:val="CommentReference"/>
        </w:rPr>
        <w:annotationRef/>
      </w:r>
      <w:r>
        <w:t>The results after the use of adoption index and the discussions should be clarified.</w:t>
      </w:r>
    </w:p>
  </w:comment>
  <w:comment w:id="12" w:author="Dwity Sundar Rout" w:date="2025-03-10T17:30:00Z" w:initials="DR">
    <w:p w14:paraId="5054AB00" w14:textId="3D009E3D" w:rsidR="00C04942" w:rsidRDefault="00C04942">
      <w:pPr>
        <w:pStyle w:val="CommentText"/>
      </w:pPr>
      <w:r>
        <w:rPr>
          <w:rStyle w:val="CommentReference"/>
        </w:rPr>
        <w:annotationRef/>
      </w:r>
      <w:r>
        <w:t>The format of the reference may be checked once.</w:t>
      </w:r>
    </w:p>
  </w:comment>
  <w:comment w:id="13" w:author="Dwity Sundar Rout" w:date="2025-03-10T17:36:00Z" w:initials="DR">
    <w:p w14:paraId="17052047" w14:textId="365030B9" w:rsidR="00C04942" w:rsidRDefault="00C04942">
      <w:pPr>
        <w:pStyle w:val="CommentText"/>
      </w:pPr>
      <w:r>
        <w:rPr>
          <w:rStyle w:val="CommentReference"/>
        </w:rPr>
        <w:annotationRef/>
      </w:r>
      <w:r>
        <w:t>Format of the reference may be properly checked.</w:t>
      </w:r>
    </w:p>
  </w:comment>
  <w:comment w:id="14" w:author="Dwity Sundar Rout" w:date="2025-03-10T17:34:00Z" w:initials="DR">
    <w:p w14:paraId="48B91B3E" w14:textId="10CAEC3A" w:rsidR="00C04942" w:rsidRDefault="00C04942">
      <w:pPr>
        <w:pStyle w:val="CommentText"/>
      </w:pPr>
      <w:r>
        <w:rPr>
          <w:rStyle w:val="CommentReference"/>
        </w:rPr>
        <w:annotationRef/>
      </w:r>
      <w:r>
        <w:t>Spelling of the author may be checked.</w:t>
      </w:r>
    </w:p>
  </w:comment>
  <w:comment w:id="15" w:author="Dwity Sundar Rout" w:date="2025-03-10T17:32:00Z" w:initials="DR">
    <w:p w14:paraId="0E72875B" w14:textId="44A85F57" w:rsidR="00C04942" w:rsidRDefault="00C04942">
      <w:pPr>
        <w:pStyle w:val="CommentText"/>
      </w:pPr>
      <w:r>
        <w:rPr>
          <w:rStyle w:val="CommentReference"/>
        </w:rPr>
        <w:annotationRef/>
      </w:r>
      <w:r>
        <w:t>The citations regarding the reference may be added.</w:t>
      </w:r>
    </w:p>
  </w:comment>
  <w:comment w:id="16" w:author="Dwity Sundar Rout" w:date="2025-03-10T17:31:00Z" w:initials="DR">
    <w:p w14:paraId="5BC3602D" w14:textId="292F162D" w:rsidR="00C04942" w:rsidRDefault="00C04942">
      <w:pPr>
        <w:pStyle w:val="CommentText"/>
      </w:pPr>
      <w:r>
        <w:rPr>
          <w:rStyle w:val="CommentReference"/>
        </w:rPr>
        <w:annotationRef/>
      </w:r>
      <w:r>
        <w:t>The format of the reference may be checked once.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DDBFED" w15:done="0"/>
  <w15:commentEx w15:paraId="01C80DE5" w15:done="0"/>
  <w15:commentEx w15:paraId="3D6A0751" w15:done="0"/>
  <w15:commentEx w15:paraId="057B1FBA" w15:done="0"/>
  <w15:commentEx w15:paraId="738F895D" w15:done="0"/>
  <w15:commentEx w15:paraId="14B13EC4" w15:done="0"/>
  <w15:commentEx w15:paraId="3ED4FA11" w15:done="0"/>
  <w15:commentEx w15:paraId="156DC881" w15:done="0"/>
  <w15:commentEx w15:paraId="4BC17F64" w15:done="0"/>
  <w15:commentEx w15:paraId="0A5E71D6" w15:done="0"/>
  <w15:commentEx w15:paraId="2DD8AF3F" w15:done="0"/>
  <w15:commentEx w15:paraId="5054AB00" w15:done="0"/>
  <w15:commentEx w15:paraId="17052047" w15:done="0"/>
  <w15:commentEx w15:paraId="48B91B3E" w15:done="0"/>
  <w15:commentEx w15:paraId="0E72875B" w15:done="0"/>
  <w15:commentEx w15:paraId="5BC360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EE2B94" w16cex:dateUtc="2025-03-10T12:10:00Z"/>
  <w16cex:commentExtensible w16cex:durableId="79B5092B" w16cex:dateUtc="2025-03-10T11:30:00Z"/>
  <w16cex:commentExtensible w16cex:durableId="3CEC6F69" w16cex:dateUtc="2025-03-10T12:07:00Z"/>
  <w16cex:commentExtensible w16cex:durableId="6EA92FA6" w16cex:dateUtc="2025-03-10T11:32:00Z"/>
  <w16cex:commentExtensible w16cex:durableId="77663477" w16cex:dateUtc="2025-03-10T12:05:00Z"/>
  <w16cex:commentExtensible w16cex:durableId="1281F863" w16cex:dateUtc="2025-03-10T11:37:00Z"/>
  <w16cex:commentExtensible w16cex:durableId="21868D0B" w16cex:dateUtc="2025-03-10T11:42:00Z"/>
  <w16cex:commentExtensible w16cex:durableId="78192495" w16cex:dateUtc="2025-03-10T11:51:00Z"/>
  <w16cex:commentExtensible w16cex:durableId="47535248" w16cex:dateUtc="2025-03-10T11:49:00Z"/>
  <w16cex:commentExtensible w16cex:durableId="46DA4664" w16cex:dateUtc="2025-03-10T12:03:00Z"/>
  <w16cex:commentExtensible w16cex:durableId="4AB423E0" w16cex:dateUtc="2025-03-10T11:57:00Z"/>
  <w16cex:commentExtensible w16cex:durableId="50BB91F4" w16cex:dateUtc="2025-03-10T12:00:00Z"/>
  <w16cex:commentExtensible w16cex:durableId="3D3058EE" w16cex:dateUtc="2025-03-10T12:06:00Z"/>
  <w16cex:commentExtensible w16cex:durableId="348AC3A2" w16cex:dateUtc="2025-03-10T12:04:00Z"/>
  <w16cex:commentExtensible w16cex:durableId="777353A7" w16cex:dateUtc="2025-03-10T12:02:00Z"/>
  <w16cex:commentExtensible w16cex:durableId="48B39294" w16cex:dateUtc="2025-03-10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DDBFED" w16cid:durableId="4CEE2B94"/>
  <w16cid:commentId w16cid:paraId="01C80DE5" w16cid:durableId="79B5092B"/>
  <w16cid:commentId w16cid:paraId="3D6A0751" w16cid:durableId="3CEC6F69"/>
  <w16cid:commentId w16cid:paraId="057B1FBA" w16cid:durableId="6EA92FA6"/>
  <w16cid:commentId w16cid:paraId="738F895D" w16cid:durableId="77663477"/>
  <w16cid:commentId w16cid:paraId="14B13EC4" w16cid:durableId="1281F863"/>
  <w16cid:commentId w16cid:paraId="3ED4FA11" w16cid:durableId="21868D0B"/>
  <w16cid:commentId w16cid:paraId="156DC881" w16cid:durableId="78192495"/>
  <w16cid:commentId w16cid:paraId="4BC17F64" w16cid:durableId="47535248"/>
  <w16cid:commentId w16cid:paraId="0A5E71D6" w16cid:durableId="46DA4664"/>
  <w16cid:commentId w16cid:paraId="2DD8AF3F" w16cid:durableId="4AB423E0"/>
  <w16cid:commentId w16cid:paraId="5054AB00" w16cid:durableId="50BB91F4"/>
  <w16cid:commentId w16cid:paraId="17052047" w16cid:durableId="3D3058EE"/>
  <w16cid:commentId w16cid:paraId="48B91B3E" w16cid:durableId="348AC3A2"/>
  <w16cid:commentId w16cid:paraId="0E72875B" w16cid:durableId="777353A7"/>
  <w16cid:commentId w16cid:paraId="5BC3602D" w16cid:durableId="48B392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B16FA" w14:textId="77777777" w:rsidR="00B14FCA" w:rsidRDefault="00B14FCA" w:rsidP="005A1FDD">
      <w:pPr>
        <w:spacing w:after="0" w:line="240" w:lineRule="auto"/>
      </w:pPr>
      <w:r>
        <w:separator/>
      </w:r>
    </w:p>
  </w:endnote>
  <w:endnote w:type="continuationSeparator" w:id="0">
    <w:p w14:paraId="2E78E7ED" w14:textId="77777777" w:rsidR="00B14FCA" w:rsidRDefault="00B14FCA" w:rsidP="005A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8609F" w14:textId="77777777" w:rsidR="005A1FDD" w:rsidRDefault="005A1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5D1D4" w14:textId="77777777" w:rsidR="005A1FDD" w:rsidRDefault="005A1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AAFED" w14:textId="77777777" w:rsidR="005A1FDD" w:rsidRDefault="005A1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874E5" w14:textId="77777777" w:rsidR="00B14FCA" w:rsidRDefault="00B14FCA" w:rsidP="005A1FDD">
      <w:pPr>
        <w:spacing w:after="0" w:line="240" w:lineRule="auto"/>
      </w:pPr>
      <w:r>
        <w:separator/>
      </w:r>
    </w:p>
  </w:footnote>
  <w:footnote w:type="continuationSeparator" w:id="0">
    <w:p w14:paraId="371FAD3C" w14:textId="77777777" w:rsidR="00B14FCA" w:rsidRDefault="00B14FCA" w:rsidP="005A1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3926A" w14:textId="0646B6CE" w:rsidR="005A1FDD" w:rsidRDefault="00000000">
    <w:pPr>
      <w:pStyle w:val="Header"/>
    </w:pPr>
    <w:r>
      <w:rPr>
        <w:noProof/>
      </w:rPr>
      <w:pict w14:anchorId="36B62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803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49BC" w14:textId="1CC718E4" w:rsidR="005A1FDD" w:rsidRDefault="00000000">
    <w:pPr>
      <w:pStyle w:val="Header"/>
    </w:pPr>
    <w:r>
      <w:rPr>
        <w:noProof/>
      </w:rPr>
      <w:pict w14:anchorId="0E4C36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803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2FF21" w14:textId="6591073A" w:rsidR="005A1FDD" w:rsidRDefault="00000000">
    <w:pPr>
      <w:pStyle w:val="Header"/>
    </w:pPr>
    <w:r>
      <w:rPr>
        <w:noProof/>
      </w:rPr>
      <w:pict w14:anchorId="018BA6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803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A4D"/>
    <w:multiLevelType w:val="multilevel"/>
    <w:tmpl w:val="67CC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8D5401"/>
    <w:multiLevelType w:val="hybridMultilevel"/>
    <w:tmpl w:val="C764D0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8C300E5"/>
    <w:multiLevelType w:val="multilevel"/>
    <w:tmpl w:val="22F0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F83D57"/>
    <w:multiLevelType w:val="multilevel"/>
    <w:tmpl w:val="CCFC6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3713C7"/>
    <w:multiLevelType w:val="multilevel"/>
    <w:tmpl w:val="F3DE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88221F"/>
    <w:multiLevelType w:val="multilevel"/>
    <w:tmpl w:val="4CC80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6336381">
    <w:abstractNumId w:val="0"/>
  </w:num>
  <w:num w:numId="2" w16cid:durableId="826827114">
    <w:abstractNumId w:val="1"/>
  </w:num>
  <w:num w:numId="3" w16cid:durableId="1709378063">
    <w:abstractNumId w:val="4"/>
  </w:num>
  <w:num w:numId="4" w16cid:durableId="44644272">
    <w:abstractNumId w:val="5"/>
  </w:num>
  <w:num w:numId="5" w16cid:durableId="438261194">
    <w:abstractNumId w:val="3"/>
  </w:num>
  <w:num w:numId="6" w16cid:durableId="5389396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wity Sundar Rout">
    <w15:presenceInfo w15:providerId="Windows Live" w15:userId="8efe6c74e511c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41A"/>
    <w:rsid w:val="000115AC"/>
    <w:rsid w:val="00013A25"/>
    <w:rsid w:val="0001582F"/>
    <w:rsid w:val="000225B4"/>
    <w:rsid w:val="000245A4"/>
    <w:rsid w:val="000727B3"/>
    <w:rsid w:val="000822B0"/>
    <w:rsid w:val="000A4252"/>
    <w:rsid w:val="000B6A0E"/>
    <w:rsid w:val="000C5D90"/>
    <w:rsid w:val="000D3AC2"/>
    <w:rsid w:val="0011347F"/>
    <w:rsid w:val="00147710"/>
    <w:rsid w:val="001B2C83"/>
    <w:rsid w:val="001C688D"/>
    <w:rsid w:val="00202E9E"/>
    <w:rsid w:val="0022565A"/>
    <w:rsid w:val="002614D4"/>
    <w:rsid w:val="002F785B"/>
    <w:rsid w:val="0031677F"/>
    <w:rsid w:val="00366A77"/>
    <w:rsid w:val="003A206D"/>
    <w:rsid w:val="00445C6B"/>
    <w:rsid w:val="00486241"/>
    <w:rsid w:val="00486443"/>
    <w:rsid w:val="004C5864"/>
    <w:rsid w:val="004D4FAA"/>
    <w:rsid w:val="004E199E"/>
    <w:rsid w:val="00501ABB"/>
    <w:rsid w:val="00514ABD"/>
    <w:rsid w:val="005356AF"/>
    <w:rsid w:val="00544F84"/>
    <w:rsid w:val="00581617"/>
    <w:rsid w:val="005A147A"/>
    <w:rsid w:val="005A1FDD"/>
    <w:rsid w:val="005D0016"/>
    <w:rsid w:val="005E171D"/>
    <w:rsid w:val="00603925"/>
    <w:rsid w:val="0063138D"/>
    <w:rsid w:val="00670F7D"/>
    <w:rsid w:val="0067462E"/>
    <w:rsid w:val="006A7539"/>
    <w:rsid w:val="006E0E9B"/>
    <w:rsid w:val="006F7B91"/>
    <w:rsid w:val="00742D7F"/>
    <w:rsid w:val="00744AD0"/>
    <w:rsid w:val="00755446"/>
    <w:rsid w:val="007747AE"/>
    <w:rsid w:val="00791062"/>
    <w:rsid w:val="007A3FA6"/>
    <w:rsid w:val="007B7AC0"/>
    <w:rsid w:val="007C6465"/>
    <w:rsid w:val="007C7374"/>
    <w:rsid w:val="007D64C3"/>
    <w:rsid w:val="00836472"/>
    <w:rsid w:val="00843874"/>
    <w:rsid w:val="0085568F"/>
    <w:rsid w:val="00860992"/>
    <w:rsid w:val="0086123C"/>
    <w:rsid w:val="008819F4"/>
    <w:rsid w:val="00887BDD"/>
    <w:rsid w:val="0089561E"/>
    <w:rsid w:val="008B029A"/>
    <w:rsid w:val="008B333E"/>
    <w:rsid w:val="008D7ECE"/>
    <w:rsid w:val="008E75A9"/>
    <w:rsid w:val="00917B15"/>
    <w:rsid w:val="00964632"/>
    <w:rsid w:val="009950A9"/>
    <w:rsid w:val="00A10E65"/>
    <w:rsid w:val="00A14F9B"/>
    <w:rsid w:val="00A2536F"/>
    <w:rsid w:val="00A25581"/>
    <w:rsid w:val="00A41CFE"/>
    <w:rsid w:val="00A77C8E"/>
    <w:rsid w:val="00A81DE9"/>
    <w:rsid w:val="00A82AFB"/>
    <w:rsid w:val="00AB3497"/>
    <w:rsid w:val="00AF52D7"/>
    <w:rsid w:val="00B14FCA"/>
    <w:rsid w:val="00B41A34"/>
    <w:rsid w:val="00B6158F"/>
    <w:rsid w:val="00BA53C6"/>
    <w:rsid w:val="00BA5414"/>
    <w:rsid w:val="00BA54BC"/>
    <w:rsid w:val="00BD6F83"/>
    <w:rsid w:val="00C04942"/>
    <w:rsid w:val="00C13484"/>
    <w:rsid w:val="00C33789"/>
    <w:rsid w:val="00CE5651"/>
    <w:rsid w:val="00D26F3E"/>
    <w:rsid w:val="00D3155A"/>
    <w:rsid w:val="00D7298D"/>
    <w:rsid w:val="00D77499"/>
    <w:rsid w:val="00D962FE"/>
    <w:rsid w:val="00DA077E"/>
    <w:rsid w:val="00DA60BD"/>
    <w:rsid w:val="00DB655A"/>
    <w:rsid w:val="00DD74F9"/>
    <w:rsid w:val="00E1041A"/>
    <w:rsid w:val="00E22BFB"/>
    <w:rsid w:val="00E3346A"/>
    <w:rsid w:val="00E37AC8"/>
    <w:rsid w:val="00E37B95"/>
    <w:rsid w:val="00E741FE"/>
    <w:rsid w:val="00EA4E52"/>
    <w:rsid w:val="00EA6284"/>
    <w:rsid w:val="00EC1579"/>
    <w:rsid w:val="00EC219F"/>
    <w:rsid w:val="00ED38B0"/>
    <w:rsid w:val="00F20D2D"/>
    <w:rsid w:val="00F23861"/>
    <w:rsid w:val="00F62434"/>
    <w:rsid w:val="00F62857"/>
    <w:rsid w:val="00FF25C5"/>
    <w:rsid w:val="00FF6698"/>
    <w:rsid w:val="00FF6F6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B8B1A"/>
  <w15:docId w15:val="{68D05634-9C5F-4033-A132-A7E0E757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C21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1348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E741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243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62434"/>
    <w:rPr>
      <w:b/>
      <w:bCs/>
    </w:rPr>
  </w:style>
  <w:style w:type="table" w:styleId="TableGrid">
    <w:name w:val="Table Grid"/>
    <w:basedOn w:val="TableNormal"/>
    <w:uiPriority w:val="59"/>
    <w:rsid w:val="00843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13484"/>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semiHidden/>
    <w:rsid w:val="00E741FE"/>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BA5414"/>
    <w:pPr>
      <w:ind w:left="720"/>
      <w:contextualSpacing/>
    </w:pPr>
  </w:style>
  <w:style w:type="paragraph" w:styleId="BalloonText">
    <w:name w:val="Balloon Text"/>
    <w:basedOn w:val="Normal"/>
    <w:link w:val="BalloonTextChar"/>
    <w:uiPriority w:val="99"/>
    <w:semiHidden/>
    <w:unhideWhenUsed/>
    <w:rsid w:val="001C6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88D"/>
    <w:rPr>
      <w:rFonts w:ascii="Tahoma" w:hAnsi="Tahoma" w:cs="Tahoma"/>
      <w:sz w:val="16"/>
      <w:szCs w:val="16"/>
    </w:rPr>
  </w:style>
  <w:style w:type="character" w:styleId="Hyperlink">
    <w:name w:val="Hyperlink"/>
    <w:basedOn w:val="DefaultParagraphFont"/>
    <w:uiPriority w:val="99"/>
    <w:unhideWhenUsed/>
    <w:rsid w:val="0022565A"/>
    <w:rPr>
      <w:color w:val="0000FF" w:themeColor="hyperlink"/>
      <w:u w:val="single"/>
    </w:rPr>
  </w:style>
  <w:style w:type="character" w:customStyle="1" w:styleId="Heading2Char">
    <w:name w:val="Heading 2 Char"/>
    <w:basedOn w:val="DefaultParagraphFont"/>
    <w:link w:val="Heading2"/>
    <w:uiPriority w:val="9"/>
    <w:semiHidden/>
    <w:rsid w:val="00EC219F"/>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7B7AC0"/>
    <w:rPr>
      <w:color w:val="605E5C"/>
      <w:shd w:val="clear" w:color="auto" w:fill="E1DFDD"/>
    </w:rPr>
  </w:style>
  <w:style w:type="paragraph" w:styleId="Header">
    <w:name w:val="header"/>
    <w:basedOn w:val="Normal"/>
    <w:link w:val="HeaderChar"/>
    <w:uiPriority w:val="99"/>
    <w:unhideWhenUsed/>
    <w:rsid w:val="005A1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FDD"/>
  </w:style>
  <w:style w:type="paragraph" w:styleId="Footer">
    <w:name w:val="footer"/>
    <w:basedOn w:val="Normal"/>
    <w:link w:val="FooterChar"/>
    <w:uiPriority w:val="99"/>
    <w:unhideWhenUsed/>
    <w:rsid w:val="005A1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FDD"/>
  </w:style>
  <w:style w:type="character" w:styleId="CommentReference">
    <w:name w:val="annotation reference"/>
    <w:basedOn w:val="DefaultParagraphFont"/>
    <w:uiPriority w:val="99"/>
    <w:semiHidden/>
    <w:unhideWhenUsed/>
    <w:rsid w:val="007C7374"/>
    <w:rPr>
      <w:sz w:val="16"/>
      <w:szCs w:val="16"/>
    </w:rPr>
  </w:style>
  <w:style w:type="paragraph" w:styleId="CommentText">
    <w:name w:val="annotation text"/>
    <w:basedOn w:val="Normal"/>
    <w:link w:val="CommentTextChar"/>
    <w:uiPriority w:val="99"/>
    <w:semiHidden/>
    <w:unhideWhenUsed/>
    <w:rsid w:val="007C7374"/>
    <w:pPr>
      <w:spacing w:line="240" w:lineRule="auto"/>
    </w:pPr>
    <w:rPr>
      <w:sz w:val="20"/>
      <w:szCs w:val="20"/>
    </w:rPr>
  </w:style>
  <w:style w:type="character" w:customStyle="1" w:styleId="CommentTextChar">
    <w:name w:val="Comment Text Char"/>
    <w:basedOn w:val="DefaultParagraphFont"/>
    <w:link w:val="CommentText"/>
    <w:uiPriority w:val="99"/>
    <w:semiHidden/>
    <w:rsid w:val="007C7374"/>
    <w:rPr>
      <w:sz w:val="20"/>
      <w:szCs w:val="20"/>
    </w:rPr>
  </w:style>
  <w:style w:type="paragraph" w:styleId="CommentSubject">
    <w:name w:val="annotation subject"/>
    <w:basedOn w:val="CommentText"/>
    <w:next w:val="CommentText"/>
    <w:link w:val="CommentSubjectChar"/>
    <w:uiPriority w:val="99"/>
    <w:semiHidden/>
    <w:unhideWhenUsed/>
    <w:rsid w:val="007C7374"/>
    <w:rPr>
      <w:b/>
      <w:bCs/>
    </w:rPr>
  </w:style>
  <w:style w:type="character" w:customStyle="1" w:styleId="CommentSubjectChar">
    <w:name w:val="Comment Subject Char"/>
    <w:basedOn w:val="CommentTextChar"/>
    <w:link w:val="CommentSubject"/>
    <w:uiPriority w:val="99"/>
    <w:semiHidden/>
    <w:rsid w:val="007C73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73770">
      <w:bodyDiv w:val="1"/>
      <w:marLeft w:val="0"/>
      <w:marRight w:val="0"/>
      <w:marTop w:val="0"/>
      <w:marBottom w:val="0"/>
      <w:divBdr>
        <w:top w:val="none" w:sz="0" w:space="0" w:color="auto"/>
        <w:left w:val="none" w:sz="0" w:space="0" w:color="auto"/>
        <w:bottom w:val="none" w:sz="0" w:space="0" w:color="auto"/>
        <w:right w:val="none" w:sz="0" w:space="0" w:color="auto"/>
      </w:divBdr>
    </w:div>
    <w:div w:id="309482888">
      <w:bodyDiv w:val="1"/>
      <w:marLeft w:val="0"/>
      <w:marRight w:val="0"/>
      <w:marTop w:val="0"/>
      <w:marBottom w:val="0"/>
      <w:divBdr>
        <w:top w:val="none" w:sz="0" w:space="0" w:color="auto"/>
        <w:left w:val="none" w:sz="0" w:space="0" w:color="auto"/>
        <w:bottom w:val="none" w:sz="0" w:space="0" w:color="auto"/>
        <w:right w:val="none" w:sz="0" w:space="0" w:color="auto"/>
      </w:divBdr>
    </w:div>
    <w:div w:id="313753050">
      <w:bodyDiv w:val="1"/>
      <w:marLeft w:val="0"/>
      <w:marRight w:val="0"/>
      <w:marTop w:val="0"/>
      <w:marBottom w:val="0"/>
      <w:divBdr>
        <w:top w:val="none" w:sz="0" w:space="0" w:color="auto"/>
        <w:left w:val="none" w:sz="0" w:space="0" w:color="auto"/>
        <w:bottom w:val="none" w:sz="0" w:space="0" w:color="auto"/>
        <w:right w:val="none" w:sz="0" w:space="0" w:color="auto"/>
      </w:divBdr>
    </w:div>
    <w:div w:id="380902924">
      <w:bodyDiv w:val="1"/>
      <w:marLeft w:val="0"/>
      <w:marRight w:val="0"/>
      <w:marTop w:val="0"/>
      <w:marBottom w:val="0"/>
      <w:divBdr>
        <w:top w:val="none" w:sz="0" w:space="0" w:color="auto"/>
        <w:left w:val="none" w:sz="0" w:space="0" w:color="auto"/>
        <w:bottom w:val="none" w:sz="0" w:space="0" w:color="auto"/>
        <w:right w:val="none" w:sz="0" w:space="0" w:color="auto"/>
      </w:divBdr>
    </w:div>
    <w:div w:id="686954062">
      <w:bodyDiv w:val="1"/>
      <w:marLeft w:val="0"/>
      <w:marRight w:val="0"/>
      <w:marTop w:val="0"/>
      <w:marBottom w:val="0"/>
      <w:divBdr>
        <w:top w:val="none" w:sz="0" w:space="0" w:color="auto"/>
        <w:left w:val="none" w:sz="0" w:space="0" w:color="auto"/>
        <w:bottom w:val="none" w:sz="0" w:space="0" w:color="auto"/>
        <w:right w:val="none" w:sz="0" w:space="0" w:color="auto"/>
      </w:divBdr>
    </w:div>
    <w:div w:id="730008550">
      <w:bodyDiv w:val="1"/>
      <w:marLeft w:val="0"/>
      <w:marRight w:val="0"/>
      <w:marTop w:val="0"/>
      <w:marBottom w:val="0"/>
      <w:divBdr>
        <w:top w:val="none" w:sz="0" w:space="0" w:color="auto"/>
        <w:left w:val="none" w:sz="0" w:space="0" w:color="auto"/>
        <w:bottom w:val="none" w:sz="0" w:space="0" w:color="auto"/>
        <w:right w:val="none" w:sz="0" w:space="0" w:color="auto"/>
      </w:divBdr>
    </w:div>
    <w:div w:id="747115582">
      <w:bodyDiv w:val="1"/>
      <w:marLeft w:val="0"/>
      <w:marRight w:val="0"/>
      <w:marTop w:val="0"/>
      <w:marBottom w:val="0"/>
      <w:divBdr>
        <w:top w:val="none" w:sz="0" w:space="0" w:color="auto"/>
        <w:left w:val="none" w:sz="0" w:space="0" w:color="auto"/>
        <w:bottom w:val="none" w:sz="0" w:space="0" w:color="auto"/>
        <w:right w:val="none" w:sz="0" w:space="0" w:color="auto"/>
      </w:divBdr>
    </w:div>
    <w:div w:id="859466867">
      <w:bodyDiv w:val="1"/>
      <w:marLeft w:val="0"/>
      <w:marRight w:val="0"/>
      <w:marTop w:val="0"/>
      <w:marBottom w:val="0"/>
      <w:divBdr>
        <w:top w:val="none" w:sz="0" w:space="0" w:color="auto"/>
        <w:left w:val="none" w:sz="0" w:space="0" w:color="auto"/>
        <w:bottom w:val="none" w:sz="0" w:space="0" w:color="auto"/>
        <w:right w:val="none" w:sz="0" w:space="0" w:color="auto"/>
      </w:divBdr>
    </w:div>
    <w:div w:id="1116950995">
      <w:bodyDiv w:val="1"/>
      <w:marLeft w:val="0"/>
      <w:marRight w:val="0"/>
      <w:marTop w:val="0"/>
      <w:marBottom w:val="0"/>
      <w:divBdr>
        <w:top w:val="none" w:sz="0" w:space="0" w:color="auto"/>
        <w:left w:val="none" w:sz="0" w:space="0" w:color="auto"/>
        <w:bottom w:val="none" w:sz="0" w:space="0" w:color="auto"/>
        <w:right w:val="none" w:sz="0" w:space="0" w:color="auto"/>
      </w:divBdr>
    </w:div>
    <w:div w:id="1379206227">
      <w:bodyDiv w:val="1"/>
      <w:marLeft w:val="0"/>
      <w:marRight w:val="0"/>
      <w:marTop w:val="0"/>
      <w:marBottom w:val="0"/>
      <w:divBdr>
        <w:top w:val="none" w:sz="0" w:space="0" w:color="auto"/>
        <w:left w:val="none" w:sz="0" w:space="0" w:color="auto"/>
        <w:bottom w:val="none" w:sz="0" w:space="0" w:color="auto"/>
        <w:right w:val="none" w:sz="0" w:space="0" w:color="auto"/>
      </w:divBdr>
    </w:div>
    <w:div w:id="1418865960">
      <w:bodyDiv w:val="1"/>
      <w:marLeft w:val="0"/>
      <w:marRight w:val="0"/>
      <w:marTop w:val="0"/>
      <w:marBottom w:val="0"/>
      <w:divBdr>
        <w:top w:val="none" w:sz="0" w:space="0" w:color="auto"/>
        <w:left w:val="none" w:sz="0" w:space="0" w:color="auto"/>
        <w:bottom w:val="none" w:sz="0" w:space="0" w:color="auto"/>
        <w:right w:val="none" w:sz="0" w:space="0" w:color="auto"/>
      </w:divBdr>
    </w:div>
    <w:div w:id="1534883075">
      <w:bodyDiv w:val="1"/>
      <w:marLeft w:val="0"/>
      <w:marRight w:val="0"/>
      <w:marTop w:val="0"/>
      <w:marBottom w:val="0"/>
      <w:divBdr>
        <w:top w:val="none" w:sz="0" w:space="0" w:color="auto"/>
        <w:left w:val="none" w:sz="0" w:space="0" w:color="auto"/>
        <w:bottom w:val="none" w:sz="0" w:space="0" w:color="auto"/>
        <w:right w:val="none" w:sz="0" w:space="0" w:color="auto"/>
      </w:divBdr>
    </w:div>
    <w:div w:id="1576403250">
      <w:bodyDiv w:val="1"/>
      <w:marLeft w:val="0"/>
      <w:marRight w:val="0"/>
      <w:marTop w:val="0"/>
      <w:marBottom w:val="0"/>
      <w:divBdr>
        <w:top w:val="none" w:sz="0" w:space="0" w:color="auto"/>
        <w:left w:val="none" w:sz="0" w:space="0" w:color="auto"/>
        <w:bottom w:val="none" w:sz="0" w:space="0" w:color="auto"/>
        <w:right w:val="none" w:sz="0" w:space="0" w:color="auto"/>
      </w:divBdr>
    </w:div>
    <w:div w:id="1578785122">
      <w:bodyDiv w:val="1"/>
      <w:marLeft w:val="0"/>
      <w:marRight w:val="0"/>
      <w:marTop w:val="0"/>
      <w:marBottom w:val="0"/>
      <w:divBdr>
        <w:top w:val="none" w:sz="0" w:space="0" w:color="auto"/>
        <w:left w:val="none" w:sz="0" w:space="0" w:color="auto"/>
        <w:bottom w:val="none" w:sz="0" w:space="0" w:color="auto"/>
        <w:right w:val="none" w:sz="0" w:space="0" w:color="auto"/>
      </w:divBdr>
    </w:div>
    <w:div w:id="1582249056">
      <w:bodyDiv w:val="1"/>
      <w:marLeft w:val="0"/>
      <w:marRight w:val="0"/>
      <w:marTop w:val="0"/>
      <w:marBottom w:val="0"/>
      <w:divBdr>
        <w:top w:val="none" w:sz="0" w:space="0" w:color="auto"/>
        <w:left w:val="none" w:sz="0" w:space="0" w:color="auto"/>
        <w:bottom w:val="none" w:sz="0" w:space="0" w:color="auto"/>
        <w:right w:val="none" w:sz="0" w:space="0" w:color="auto"/>
      </w:divBdr>
    </w:div>
    <w:div w:id="1619799524">
      <w:bodyDiv w:val="1"/>
      <w:marLeft w:val="0"/>
      <w:marRight w:val="0"/>
      <w:marTop w:val="0"/>
      <w:marBottom w:val="0"/>
      <w:divBdr>
        <w:top w:val="none" w:sz="0" w:space="0" w:color="auto"/>
        <w:left w:val="none" w:sz="0" w:space="0" w:color="auto"/>
        <w:bottom w:val="none" w:sz="0" w:space="0" w:color="auto"/>
        <w:right w:val="none" w:sz="0" w:space="0" w:color="auto"/>
      </w:divBdr>
    </w:div>
    <w:div w:id="1623421062">
      <w:bodyDiv w:val="1"/>
      <w:marLeft w:val="0"/>
      <w:marRight w:val="0"/>
      <w:marTop w:val="0"/>
      <w:marBottom w:val="0"/>
      <w:divBdr>
        <w:top w:val="none" w:sz="0" w:space="0" w:color="auto"/>
        <w:left w:val="none" w:sz="0" w:space="0" w:color="auto"/>
        <w:bottom w:val="none" w:sz="0" w:space="0" w:color="auto"/>
        <w:right w:val="none" w:sz="0" w:space="0" w:color="auto"/>
      </w:divBdr>
    </w:div>
    <w:div w:id="1759713892">
      <w:bodyDiv w:val="1"/>
      <w:marLeft w:val="0"/>
      <w:marRight w:val="0"/>
      <w:marTop w:val="0"/>
      <w:marBottom w:val="0"/>
      <w:divBdr>
        <w:top w:val="none" w:sz="0" w:space="0" w:color="auto"/>
        <w:left w:val="none" w:sz="0" w:space="0" w:color="auto"/>
        <w:bottom w:val="none" w:sz="0" w:space="0" w:color="auto"/>
        <w:right w:val="none" w:sz="0" w:space="0" w:color="auto"/>
      </w:divBdr>
    </w:div>
    <w:div w:id="1760101575">
      <w:bodyDiv w:val="1"/>
      <w:marLeft w:val="0"/>
      <w:marRight w:val="0"/>
      <w:marTop w:val="0"/>
      <w:marBottom w:val="0"/>
      <w:divBdr>
        <w:top w:val="none" w:sz="0" w:space="0" w:color="auto"/>
        <w:left w:val="none" w:sz="0" w:space="0" w:color="auto"/>
        <w:bottom w:val="none" w:sz="0" w:space="0" w:color="auto"/>
        <w:right w:val="none" w:sz="0" w:space="0" w:color="auto"/>
      </w:divBdr>
    </w:div>
    <w:div w:id="184839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joee.org/papers/1541.pdf"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07/s11027-024-10124-6"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PhD%20Thesis\pH\Soumitra%20da%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44887937376141"/>
          <c:y val="0.10809063573537252"/>
          <c:w val="0.48068260233648535"/>
          <c:h val="0.79766372525177043"/>
        </c:manualLayout>
      </c:layout>
      <c:radarChart>
        <c:radarStyle val="marker"/>
        <c:varyColors val="0"/>
        <c:ser>
          <c:idx val="0"/>
          <c:order val="0"/>
          <c:cat>
            <c:strRef>
              <c:f>'Radar chart'!$K$4:$K$6</c:f>
              <c:strCache>
                <c:ptCount val="3"/>
                <c:pt idx="0">
                  <c:v>Economic sustainability</c:v>
                </c:pt>
                <c:pt idx="1">
                  <c:v>Social sustainability</c:v>
                </c:pt>
                <c:pt idx="2">
                  <c:v>Environmental sustainability</c:v>
                </c:pt>
              </c:strCache>
            </c:strRef>
          </c:cat>
          <c:val>
            <c:numRef>
              <c:f>'Radar chart'!$L$4:$L$6</c:f>
              <c:numCache>
                <c:formatCode>General</c:formatCode>
                <c:ptCount val="3"/>
                <c:pt idx="0">
                  <c:v>10.74</c:v>
                </c:pt>
                <c:pt idx="1">
                  <c:v>58.97</c:v>
                </c:pt>
                <c:pt idx="2">
                  <c:v>30.29</c:v>
                </c:pt>
              </c:numCache>
            </c:numRef>
          </c:val>
          <c:extLst>
            <c:ext xmlns:c16="http://schemas.microsoft.com/office/drawing/2014/chart" uri="{C3380CC4-5D6E-409C-BE32-E72D297353CC}">
              <c16:uniqueId val="{00000000-DA46-4C31-960A-838A5B1677AB}"/>
            </c:ext>
          </c:extLst>
        </c:ser>
        <c:dLbls>
          <c:showLegendKey val="0"/>
          <c:showVal val="0"/>
          <c:showCatName val="0"/>
          <c:showSerName val="0"/>
          <c:showPercent val="0"/>
          <c:showBubbleSize val="0"/>
        </c:dLbls>
        <c:axId val="171373696"/>
        <c:axId val="171375232"/>
      </c:radarChart>
      <c:catAx>
        <c:axId val="171373696"/>
        <c:scaling>
          <c:orientation val="minMax"/>
        </c:scaling>
        <c:delete val="0"/>
        <c:axPos val="b"/>
        <c:majorGridlines/>
        <c:numFmt formatCode="General" sourceLinked="0"/>
        <c:majorTickMark val="out"/>
        <c:minorTickMark val="none"/>
        <c:tickLblPos val="nextTo"/>
        <c:txPr>
          <a:bodyPr/>
          <a:lstStyle/>
          <a:p>
            <a:pPr>
              <a:defRPr b="1" i="0" baseline="0">
                <a:latin typeface="Times New Roman" pitchFamily="18" charset="0"/>
              </a:defRPr>
            </a:pPr>
            <a:endParaRPr lang="en-US"/>
          </a:p>
        </c:txPr>
        <c:crossAx val="171375232"/>
        <c:crosses val="autoZero"/>
        <c:auto val="1"/>
        <c:lblAlgn val="ctr"/>
        <c:lblOffset val="100"/>
        <c:noMultiLvlLbl val="0"/>
      </c:catAx>
      <c:valAx>
        <c:axId val="171375232"/>
        <c:scaling>
          <c:orientation val="minMax"/>
        </c:scaling>
        <c:delete val="0"/>
        <c:axPos val="l"/>
        <c:majorGridlines>
          <c:spPr>
            <a:ln>
              <a:solidFill>
                <a:schemeClr val="accent2">
                  <a:lumMod val="75000"/>
                </a:schemeClr>
              </a:solidFill>
            </a:ln>
          </c:spPr>
        </c:majorGridlines>
        <c:numFmt formatCode="General" sourceLinked="1"/>
        <c:majorTickMark val="cross"/>
        <c:minorTickMark val="none"/>
        <c:tickLblPos val="nextTo"/>
        <c:crossAx val="1713736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TotalTime>
  <Pages>11</Pages>
  <Words>4529</Words>
  <Characters>27361</Characters>
  <Application>Microsoft Office Word</Application>
  <DocSecurity>0</DocSecurity>
  <Lines>1368</Lines>
  <Paragraphs>590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RAJIB</dc:creator>
  <cp:keywords/>
  <dc:description/>
  <cp:lastModifiedBy>Dwity Sundar Rout</cp:lastModifiedBy>
  <cp:revision>98</cp:revision>
  <dcterms:created xsi:type="dcterms:W3CDTF">2025-02-26T15:25:00Z</dcterms:created>
  <dcterms:modified xsi:type="dcterms:W3CDTF">2025-03-10T12:45:00Z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5ebb3476b28da65ae459bcd88d85602f8ac39fa8e377d5cade6555a62b29c1e1</vt:lpwstr>
  </property>
</Properties>
</file>