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9A4A5" w14:textId="7C614E24" w:rsidR="007725B6" w:rsidRDefault="00BD2079" w:rsidP="0031131F">
      <w:pPr>
        <w:spacing w:line="360" w:lineRule="auto"/>
        <w:ind w:right="-4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05777" w:rsidRPr="00DA4F60">
        <w:rPr>
          <w:rFonts w:ascii="Times New Roman" w:eastAsia="Times New Roman" w:hAnsi="Times New Roman" w:cs="Times New Roman"/>
          <w:b/>
          <w:sz w:val="24"/>
          <w:szCs w:val="24"/>
        </w:rPr>
        <w:t xml:space="preserve">Apoptosis Mechanisms: Role of Anti-Apoptotic Proteins, Cancer Hallmarks and </w:t>
      </w:r>
      <w:proofErr w:type="spellStart"/>
      <w:r w:rsidR="00A05777" w:rsidRPr="00DA4F60">
        <w:rPr>
          <w:rFonts w:ascii="Times New Roman" w:eastAsia="Times New Roman" w:hAnsi="Times New Roman" w:cs="Times New Roman"/>
          <w:b/>
          <w:sz w:val="24"/>
          <w:szCs w:val="24"/>
        </w:rPr>
        <w:t>Tumor</w:t>
      </w:r>
      <w:proofErr w:type="spellEnd"/>
      <w:r w:rsidR="00A05777" w:rsidRPr="00DA4F60">
        <w:rPr>
          <w:rFonts w:ascii="Times New Roman" w:eastAsia="Times New Roman" w:hAnsi="Times New Roman" w:cs="Times New Roman"/>
          <w:b/>
          <w:sz w:val="24"/>
          <w:szCs w:val="24"/>
        </w:rPr>
        <w:t xml:space="preserve"> Microenvironment, in Cancer Cell Survival</w:t>
      </w:r>
    </w:p>
    <w:p w14:paraId="0000000F" w14:textId="7B35465F" w:rsidR="00C14A47" w:rsidRPr="00DA4F60" w:rsidRDefault="00720F24"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Abstract</w:t>
      </w:r>
    </w:p>
    <w:p w14:paraId="00000010" w14:textId="0F4AC1C6" w:rsidR="00C14A47" w:rsidRPr="00DA4F60" w:rsidRDefault="00E9533F" w:rsidP="0031131F">
      <w:pPr>
        <w:spacing w:line="360" w:lineRule="auto"/>
        <w:ind w:right="-46"/>
        <w:jc w:val="both"/>
        <w:rPr>
          <w:rFonts w:ascii="Times New Roman" w:eastAsia="Times New Roman" w:hAnsi="Times New Roman" w:cs="Times New Roman"/>
          <w:sz w:val="24"/>
          <w:szCs w:val="24"/>
        </w:rPr>
      </w:pPr>
      <w:r w:rsidRPr="00DA4F60">
        <w:rPr>
          <w:rFonts w:ascii="Times New Roman" w:hAnsi="Times New Roman" w:cs="Times New Roman"/>
          <w:sz w:val="24"/>
          <w:szCs w:val="24"/>
        </w:rPr>
        <w:t xml:space="preserve">It was found that when living cells encounter irreversible changes in their internal or external environment, they set off a series of signaling pathways that ultimately result in cell death, or apoptosis. This process is crucial for preventing cancer because it gets rid of dangerous cells that could be dangerous because of stress or genetic damage. </w:t>
      </w:r>
      <w:r w:rsidRPr="00DA4F60">
        <w:rPr>
          <w:rFonts w:ascii="Times New Roman" w:eastAsia="Times New Roman" w:hAnsi="Times New Roman" w:cs="Times New Roman"/>
          <w:sz w:val="24"/>
          <w:szCs w:val="24"/>
        </w:rPr>
        <w:t xml:space="preserve">It also plays a vital role in stopping cancer progression. However, many cancer cells have developed strategies to evade apoptosis, which is responsible for cancer progression and resistance to treatment. This paper highlights the role of the Inhibitor of Apoptosis Proteins (IAPs) and the anti-apoptotic proteins such as BCL-2, both are crucial in cancer progression as they inhibit apoptosis. This inhibition leads to increased cell survival and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Additionally, this review emphasizes the importance of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(TME) in cancer progression. The interactions between cancer cells and their microenvironment including the microbiome can influence apoptosis and the overall dynamics of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Targeting components of the TME may enhance the effectiveness of therapeutic interventions.</w:t>
      </w:r>
    </w:p>
    <w:p w14:paraId="26370413" w14:textId="5CF0EB50" w:rsidR="006F0853"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 xml:space="preserve">Keywords: </w:t>
      </w:r>
      <w:r w:rsidRPr="00DA4F60">
        <w:rPr>
          <w:rFonts w:ascii="Times New Roman" w:eastAsia="Times New Roman" w:hAnsi="Times New Roman" w:cs="Times New Roman"/>
          <w:sz w:val="24"/>
          <w:szCs w:val="24"/>
        </w:rPr>
        <w:t>Apoptotic pathways,</w:t>
      </w:r>
      <w:r w:rsidRPr="00DA4F60">
        <w:rPr>
          <w:rFonts w:ascii="Times New Roman" w:eastAsia="Times New Roman" w:hAnsi="Times New Roman" w:cs="Times New Roman"/>
          <w:b/>
          <w:sz w:val="24"/>
          <w:szCs w:val="24"/>
        </w:rPr>
        <w:t xml:space="preserve"> </w:t>
      </w:r>
      <w:r w:rsidRPr="00DA4F60">
        <w:rPr>
          <w:rFonts w:ascii="Times New Roman" w:eastAsia="Times New Roman" w:hAnsi="Times New Roman" w:cs="Times New Roman"/>
          <w:sz w:val="24"/>
          <w:szCs w:val="24"/>
        </w:rPr>
        <w:t xml:space="preserve">Caspase, Cancer,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BCL-2, </w:t>
      </w:r>
      <w:r w:rsidR="007152AB">
        <w:rPr>
          <w:rFonts w:ascii="Times New Roman" w:eastAsia="Times New Roman" w:hAnsi="Times New Roman" w:cs="Times New Roman"/>
          <w:sz w:val="24"/>
          <w:szCs w:val="24"/>
        </w:rPr>
        <w:t xml:space="preserve"> </w:t>
      </w:r>
    </w:p>
    <w:p w14:paraId="0000001E" w14:textId="21ADDE54" w:rsidR="00C14A47" w:rsidRPr="006F0853"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1. Introduction to Apoptosis and Cancer Overview</w:t>
      </w:r>
    </w:p>
    <w:p w14:paraId="0000001F" w14:textId="77777777" w:rsidR="00C14A47" w:rsidRPr="00DA4F60" w:rsidRDefault="00720F24" w:rsidP="0031131F">
      <w:pPr>
        <w:tabs>
          <w:tab w:val="left" w:pos="8505"/>
        </w:tabs>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Various signaling pathways that eventually result in cell death, are triggered when living cells encounter irreversible changes in their internal or external surroundings. This process is known as regulated cell death (RCD) or programmed cell death and is driven by interconnected complex molecular mechanisms. These mechanisms are tightly regulated for cellular development, maintenance, and elimination of unwanted cells. Maintaining a balance between cell proliferation and cell death is crucial to control cell numbers (Mustafa et al., 2024). Cell death can be classified based on observable morphological changes into Apoptosis and Necrosis. Morphologically, apoptosis is distinct from necrosis and both processes are independent to each other; it is characterized by cell and nucleus shrinkage and fragmentation, all occurring without the rupture of the cellular membrane (D’Arcy, 2019a). While necrosis is characterised by cell swell, membrane rupture and cytoplasmic content leak out. This characteristic of apoptosis helps to prevent inflammation in surrounding tissues. These processes apoptosis and necrosis are independent of one another, the type and intensity of stimuli determine whether a cell will undergo apoptosis or necrosis. Stimuli such as hypoxia, </w:t>
      </w:r>
      <w:r w:rsidRPr="00DA4F60">
        <w:rPr>
          <w:rFonts w:ascii="Times New Roman" w:eastAsia="Times New Roman" w:hAnsi="Times New Roman" w:cs="Times New Roman"/>
          <w:sz w:val="24"/>
          <w:szCs w:val="24"/>
        </w:rPr>
        <w:lastRenderedPageBreak/>
        <w:t>radiation, heat, and low to controlled doses of cytotoxic chemicals can induce apoptosis (Costigan et al., 2023). In contrast, high or intense doses of these stimuli lead to the activation of necrosis. Apoptosis is crucial for preventing cancer by removing damaged or potentially harmful cells. However, many cancer cells develop mechanisms to evade apoptosis, allowing them to survive and proliferate despite genetic damage or stress from treatment. Apoptosis is a key biological process that contributes to maintaining cellular homeostasis and eliminating unwanted cells (Jan &amp; Chaudhry, 2019a).</w:t>
      </w:r>
    </w:p>
    <w:p w14:paraId="00000020"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commentRangeStart w:id="0"/>
      <w:r w:rsidRPr="00DA4F60">
        <w:rPr>
          <w:rFonts w:ascii="Times New Roman" w:eastAsia="Times New Roman" w:hAnsi="Times New Roman" w:cs="Times New Roman"/>
          <w:sz w:val="24"/>
          <w:szCs w:val="24"/>
        </w:rPr>
        <w:t xml:space="preserve">Various research has shown that alterations in apoptotic pathways are common in the development of cancer. These alterations can result in resistance to various treatment strategies that aim to induce apoptosis in cancer cells. </w:t>
      </w:r>
      <w:commentRangeEnd w:id="0"/>
      <w:r w:rsidR="007152AB">
        <w:rPr>
          <w:rStyle w:val="CommentReference"/>
        </w:rPr>
        <w:commentReference w:id="0"/>
      </w:r>
      <w:r w:rsidRPr="00DA4F60">
        <w:rPr>
          <w:rFonts w:ascii="Times New Roman" w:eastAsia="Times New Roman" w:hAnsi="Times New Roman" w:cs="Times New Roman"/>
          <w:sz w:val="24"/>
          <w:szCs w:val="24"/>
        </w:rPr>
        <w:t>Understanding these pathways is essential for developing effective therapies, currently, numerous strategies have been created to target apoptosis in cancer cells, including the use of small-molecule compounds that either promote apoptosis or restore the often-disrupted apoptotic pathways in cancer (Carneiro &amp; El-</w:t>
      </w:r>
      <w:proofErr w:type="spellStart"/>
      <w:r w:rsidRPr="00DA4F60">
        <w:rPr>
          <w:rFonts w:ascii="Times New Roman" w:eastAsia="Times New Roman" w:hAnsi="Times New Roman" w:cs="Times New Roman"/>
          <w:sz w:val="24"/>
          <w:szCs w:val="24"/>
        </w:rPr>
        <w:t>Deiry</w:t>
      </w:r>
      <w:proofErr w:type="spellEnd"/>
      <w:r w:rsidRPr="00DA4F60">
        <w:rPr>
          <w:rFonts w:ascii="Times New Roman" w:eastAsia="Times New Roman" w:hAnsi="Times New Roman" w:cs="Times New Roman"/>
          <w:sz w:val="24"/>
          <w:szCs w:val="24"/>
        </w:rPr>
        <w:t>, 2020a).</w:t>
      </w:r>
    </w:p>
    <w:p w14:paraId="00000021"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2.</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Molecular Mechanisms of Apoptosis in Cancer Cells</w:t>
      </w:r>
    </w:p>
    <w:p w14:paraId="194474B8" w14:textId="51F19CE7" w:rsidR="00E2213F"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Programmed cell death also known as apoptosis, is a tightly regulated process essential for maintaining cellular homeostasis and eliminating harmful or unwanted cells. Two main pathways that regulate apoptosis are the intrinsic pathway (IP) and the extrinsic pathway (EP) (Saleem, 2021). </w:t>
      </w:r>
      <w:commentRangeStart w:id="1"/>
      <w:r w:rsidRPr="00DA4F60">
        <w:rPr>
          <w:rFonts w:ascii="Times New Roman" w:eastAsia="Times New Roman" w:hAnsi="Times New Roman" w:cs="Times New Roman"/>
          <w:sz w:val="24"/>
          <w:szCs w:val="24"/>
        </w:rPr>
        <w:t xml:space="preserve">Signs generated within stressed cells, activate the intrinsic pathway and depend on the mitochondria’s intermembrane space to release proteins such as cytochrome c. </w:t>
      </w:r>
      <w:commentRangeEnd w:id="1"/>
      <w:r w:rsidR="00B170A0">
        <w:rPr>
          <w:rStyle w:val="CommentReference"/>
        </w:rPr>
        <w:commentReference w:id="1"/>
      </w:r>
      <w:commentRangeStart w:id="2"/>
      <w:r w:rsidRPr="00DA4F60">
        <w:rPr>
          <w:rFonts w:ascii="Times New Roman" w:eastAsia="Times New Roman" w:hAnsi="Times New Roman" w:cs="Times New Roman"/>
          <w:sz w:val="24"/>
          <w:szCs w:val="24"/>
        </w:rPr>
        <w:t>The extrinsic pathway is triggered when a ligand binds to cell surface receptors, leading to the formation of a death-inducing signaling complex (DISC). Both pathways IP and EP converge at the activation of caspase-3 and caspase-7 (</w:t>
      </w:r>
      <w:proofErr w:type="spellStart"/>
      <w:r w:rsidRPr="00DA4F60">
        <w:rPr>
          <w:rFonts w:ascii="Times New Roman" w:eastAsia="Times New Roman" w:hAnsi="Times New Roman" w:cs="Times New Roman"/>
          <w:sz w:val="24"/>
          <w:szCs w:val="24"/>
        </w:rPr>
        <w:t>Mosadegh</w:t>
      </w:r>
      <w:proofErr w:type="spellEnd"/>
      <w:r w:rsidRPr="00DA4F60">
        <w:rPr>
          <w:rFonts w:ascii="Times New Roman" w:eastAsia="Times New Roman" w:hAnsi="Times New Roman" w:cs="Times New Roman"/>
          <w:sz w:val="24"/>
          <w:szCs w:val="24"/>
        </w:rPr>
        <w:t xml:space="preserve"> et al., 2025). Dysregulation of these apoptotic pathways is frequently observed in cancer, which allows cancerous cells to evade cell death and promotes uncontrolled growth. Understanding the molecular mechanisms underlying apoptosis is crucial for developing tailored treatment approaches (Jan &amp; Chaudhry, 2019b).</w:t>
      </w:r>
      <w:commentRangeEnd w:id="2"/>
      <w:r w:rsidR="00B170A0">
        <w:rPr>
          <w:rStyle w:val="CommentReference"/>
        </w:rPr>
        <w:commentReference w:id="2"/>
      </w:r>
    </w:p>
    <w:p w14:paraId="00000023" w14:textId="0FB046B3" w:rsidR="00C14A47" w:rsidRPr="00DA4F60" w:rsidRDefault="00501EAB" w:rsidP="00E9533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lastRenderedPageBreak/>
        <w:t xml:space="preserve"> </w:t>
      </w:r>
      <w:r w:rsidR="00E2213F" w:rsidRPr="00DA4F60">
        <w:rPr>
          <w:rFonts w:ascii="Times New Roman" w:eastAsia="Times New Roman" w:hAnsi="Times New Roman" w:cs="Times New Roman"/>
          <w:sz w:val="24"/>
          <w:szCs w:val="24"/>
        </w:rPr>
        <w:t xml:space="preserve"> </w:t>
      </w:r>
      <w:r w:rsidR="00E9533F" w:rsidRPr="00DA4F60">
        <w:rPr>
          <w:rFonts w:ascii="Times New Roman" w:eastAsia="Times New Roman" w:hAnsi="Times New Roman" w:cs="Times New Roman"/>
          <w:sz w:val="24"/>
          <w:szCs w:val="24"/>
        </w:rPr>
        <w:t xml:space="preserve"> </w:t>
      </w:r>
      <w:r w:rsidR="00E2213F" w:rsidRPr="00DA4F60">
        <w:rPr>
          <w:rFonts w:ascii="Times New Roman" w:eastAsia="Times New Roman" w:hAnsi="Times New Roman" w:cs="Times New Roman"/>
          <w:noProof/>
          <w:sz w:val="24"/>
          <w:szCs w:val="24"/>
        </w:rPr>
        <w:drawing>
          <wp:inline distT="0" distB="0" distL="0" distR="0" wp14:anchorId="21521765" wp14:editId="5CE3824A">
            <wp:extent cx="5456181" cy="4024896"/>
            <wp:effectExtent l="0" t="0" r="0" b="0"/>
            <wp:docPr id="1857856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6968" name="Picture 1857856968"/>
                    <pic:cNvPicPr/>
                  </pic:nvPicPr>
                  <pic:blipFill>
                    <a:blip r:embed="rId11">
                      <a:extLst>
                        <a:ext uri="{28A0092B-C50C-407E-A947-70E740481C1C}">
                          <a14:useLocalDpi xmlns:a14="http://schemas.microsoft.com/office/drawing/2010/main" val="0"/>
                        </a:ext>
                      </a:extLst>
                    </a:blip>
                    <a:stretch>
                      <a:fillRect/>
                    </a:stretch>
                  </pic:blipFill>
                  <pic:spPr>
                    <a:xfrm>
                      <a:off x="0" y="0"/>
                      <a:ext cx="5499350" cy="4056741"/>
                    </a:xfrm>
                    <a:prstGeom prst="rect">
                      <a:avLst/>
                    </a:prstGeom>
                  </pic:spPr>
                </pic:pic>
              </a:graphicData>
            </a:graphic>
          </wp:inline>
        </w:drawing>
      </w:r>
    </w:p>
    <w:p w14:paraId="2272F555" w14:textId="32F49285" w:rsidR="00E2213F" w:rsidRPr="00DA4F60" w:rsidRDefault="00E9533F" w:rsidP="00E9533F">
      <w:pPr>
        <w:spacing w:line="240" w:lineRule="auto"/>
        <w:ind w:right="-46"/>
        <w:jc w:val="both"/>
        <w:rPr>
          <w:rFonts w:ascii="Times New Roman" w:hAnsi="Times New Roman" w:cs="Times New Roman"/>
          <w:sz w:val="24"/>
          <w:szCs w:val="24"/>
        </w:rPr>
      </w:pPr>
      <w:bookmarkStart w:id="3" w:name="_Hlk192585791"/>
      <w:r w:rsidRPr="00DA4F60">
        <w:rPr>
          <w:rFonts w:ascii="Times New Roman" w:hAnsi="Times New Roman" w:cs="Times New Roman"/>
          <w:b/>
          <w:bCs/>
          <w:sz w:val="20"/>
          <w:szCs w:val="20"/>
        </w:rPr>
        <w:t xml:space="preserve">Fig 1. </w:t>
      </w:r>
      <w:r w:rsidRPr="00DA4F60">
        <w:rPr>
          <w:rFonts w:ascii="Times New Roman" w:hAnsi="Times New Roman" w:cs="Times New Roman"/>
          <w:sz w:val="20"/>
          <w:szCs w:val="20"/>
        </w:rPr>
        <w:t>Representation of molecular mechanism of intrinsic and extrinsic pathways of programmed cell death. Both these pathways depend on specific signals to initiate a cascade of molecular events, thereby activating initiator caspases, which ultimately leads to the activation of executioner caspase-3 and, representation of IAPs and BCL-2 protein to inhibit apoptotic pathways</w:t>
      </w:r>
      <w:r w:rsidRPr="00DA4F60">
        <w:rPr>
          <w:rFonts w:ascii="Times New Roman" w:hAnsi="Times New Roman" w:cs="Times New Roman"/>
          <w:sz w:val="24"/>
          <w:szCs w:val="24"/>
        </w:rPr>
        <w:t>.</w:t>
      </w:r>
      <w:r w:rsidR="00501EAB" w:rsidRPr="00DA4F60">
        <w:rPr>
          <w:rFonts w:ascii="Times New Roman" w:hAnsi="Times New Roman" w:cs="Times New Roman"/>
          <w:sz w:val="24"/>
          <w:szCs w:val="24"/>
        </w:rPr>
        <w:t xml:space="preserve"> </w:t>
      </w:r>
    </w:p>
    <w:bookmarkEnd w:id="3"/>
    <w:p w14:paraId="00000024" w14:textId="77777777" w:rsidR="00C14A47" w:rsidRPr="00DA4F60" w:rsidRDefault="00720F24" w:rsidP="0031131F">
      <w:pPr>
        <w:numPr>
          <w:ilvl w:val="1"/>
          <w:numId w:val="1"/>
        </w:numPr>
        <w:pBdr>
          <w:top w:val="nil"/>
          <w:left w:val="nil"/>
          <w:bottom w:val="nil"/>
          <w:right w:val="nil"/>
          <w:between w:val="nil"/>
        </w:pBdr>
        <w:spacing w:line="360" w:lineRule="auto"/>
        <w:ind w:right="-46"/>
        <w:jc w:val="both"/>
        <w:rPr>
          <w:rFonts w:ascii="Times New Roman" w:eastAsia="Times New Roman" w:hAnsi="Times New Roman" w:cs="Times New Roman"/>
          <w:b/>
          <w:color w:val="000000"/>
          <w:sz w:val="24"/>
          <w:szCs w:val="24"/>
        </w:rPr>
      </w:pPr>
      <w:r w:rsidRPr="00DA4F60">
        <w:rPr>
          <w:rFonts w:ascii="Times New Roman" w:eastAsia="Times New Roman" w:hAnsi="Times New Roman" w:cs="Times New Roman"/>
          <w:b/>
          <w:color w:val="000000"/>
          <w:sz w:val="24"/>
          <w:szCs w:val="24"/>
        </w:rPr>
        <w:t>Intrinsic Apoptosis</w:t>
      </w:r>
    </w:p>
    <w:p w14:paraId="553F5645" w14:textId="43C66ADA" w:rsidR="002C2535"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The intrinsic apoptosis pathway, also known as the mitochondrial pathway, is a crucial mechanism of regulated cell death. It plays an essential role in maintaining cellular homeostasis and is triggered by various internal signals, including UV radiation, depletion of survival factors, viral factors, DNA-damaging agents, and the activation of specific oncogenic factors. Stress signals, such as DNA damage caused by radiation, activate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suppressor protein p53 (He et al., 2024). </w:t>
      </w:r>
      <w:r w:rsidR="002C2535" w:rsidRPr="00DA4F60">
        <w:rPr>
          <w:rFonts w:ascii="Times New Roman" w:eastAsia="Times New Roman" w:hAnsi="Times New Roman" w:cs="Times New Roman"/>
          <w:sz w:val="24"/>
          <w:szCs w:val="24"/>
        </w:rPr>
        <w:t>This</w:t>
      </w:r>
      <w:r w:rsidR="00F565EE" w:rsidRP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 xml:space="preserve">pathway is regulated by the pro- and anti-apoptotic members of the BCL-2 protein family. </w:t>
      </w:r>
      <w:r w:rsidR="00F565EE" w:rsidRPr="00DA4F60">
        <w:rPr>
          <w:rFonts w:ascii="Times New Roman" w:eastAsia="Times New Roman" w:hAnsi="Times New Roman" w:cs="Times New Roman"/>
          <w:sz w:val="24"/>
          <w:szCs w:val="24"/>
        </w:rPr>
        <w:t>A</w:t>
      </w:r>
      <w:r w:rsidR="002C2535" w:rsidRPr="00DA4F60">
        <w:rPr>
          <w:rFonts w:ascii="Times New Roman" w:eastAsia="Times New Roman" w:hAnsi="Times New Roman" w:cs="Times New Roman"/>
          <w:sz w:val="24"/>
          <w:szCs w:val="24"/>
        </w:rPr>
        <w:t xml:space="preserve">nti-apoptotic proteins are inhibited by pro-apoptotic proteins, which are divided into activators and sensitizers. </w:t>
      </w:r>
      <w:r w:rsidRPr="00DA4F60">
        <w:rPr>
          <w:rFonts w:ascii="Times New Roman" w:eastAsia="Times New Roman" w:hAnsi="Times New Roman" w:cs="Times New Roman"/>
          <w:sz w:val="24"/>
          <w:szCs w:val="24"/>
        </w:rPr>
        <w:t xml:space="preserve">(Shamas-Din et al., 2013). </w:t>
      </w:r>
      <w:r w:rsidR="002C2535" w:rsidRPr="00DA4F60">
        <w:rPr>
          <w:rFonts w:ascii="Times New Roman" w:eastAsia="Times New Roman" w:hAnsi="Times New Roman" w:cs="Times New Roman"/>
          <w:sz w:val="24"/>
          <w:szCs w:val="24"/>
        </w:rPr>
        <w:t xml:space="preserve">Cellular stress (DNA damage, UV radiation, oxidative stress, and oncogenic factors) activates pro-apoptotic proteins, such as BAX and BAK, which alter conformation and translocate to the outer mitochondrial membrane. </w:t>
      </w:r>
    </w:p>
    <w:p w14:paraId="00000025" w14:textId="590BC2F0" w:rsidR="00C14A47"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Pro-apoptotic proteins at OMM are oligomerized and form pores in the OMM. </w:t>
      </w:r>
      <w:r w:rsidR="002C2535" w:rsidRPr="00DA4F60">
        <w:rPr>
          <w:rFonts w:ascii="Times New Roman" w:eastAsia="Times New Roman" w:hAnsi="Times New Roman" w:cs="Times New Roman"/>
          <w:sz w:val="24"/>
          <w:szCs w:val="24"/>
        </w:rPr>
        <w:t xml:space="preserve">This process results in mitochondrial outer membrane permeabilization (MOMP), which is widely regarded </w:t>
      </w:r>
      <w:r w:rsidR="002C2535" w:rsidRPr="00DA4F60">
        <w:rPr>
          <w:rFonts w:ascii="Times New Roman" w:eastAsia="Times New Roman" w:hAnsi="Times New Roman" w:cs="Times New Roman"/>
          <w:sz w:val="24"/>
          <w:szCs w:val="24"/>
        </w:rPr>
        <w:lastRenderedPageBreak/>
        <w:t>as the "point of no return" in cellular death. BAX and BAK generate pores in the OMM, allowing the release of cytochrome C and other</w:t>
      </w:r>
      <w:r w:rsidR="002033C4" w:rsidRP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apoptogenic</w:t>
      </w:r>
      <w:r w:rsidR="00DA4F60">
        <w:rPr>
          <w:rFonts w:ascii="Times New Roman" w:eastAsia="Times New Roman" w:hAnsi="Times New Roman" w:cs="Times New Roman"/>
          <w:sz w:val="24"/>
          <w:szCs w:val="24"/>
        </w:rPr>
        <w:t xml:space="preserve"> </w:t>
      </w:r>
      <w:r w:rsidR="002C2535" w:rsidRPr="00DA4F60">
        <w:rPr>
          <w:rFonts w:ascii="Times New Roman" w:eastAsia="Times New Roman" w:hAnsi="Times New Roman" w:cs="Times New Roman"/>
          <w:sz w:val="24"/>
          <w:szCs w:val="24"/>
        </w:rPr>
        <w:t>substances</w:t>
      </w:r>
      <w:r w:rsid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(Peña-Blanco &amp; García-Sáez, 2018).</w:t>
      </w:r>
      <w:r w:rsidR="002033C4" w:rsidRPr="00DA4F60">
        <w:rPr>
          <w:rFonts w:ascii="Times New Roman" w:eastAsia="Times New Roman" w:hAnsi="Times New Roman" w:cs="Times New Roman"/>
          <w:sz w:val="24"/>
          <w:szCs w:val="24"/>
        </w:rPr>
        <w:t xml:space="preserve"> Once released into the cytosol, cytochrome C interacts to Apaf-1 (apoptotic protease-activating factor-1) in the presence of ATP. This binding causes Apaf-1 to oligomerize and form a wheel-like structure known as the </w:t>
      </w:r>
      <w:proofErr w:type="spellStart"/>
      <w:r w:rsidR="002033C4" w:rsidRPr="00DA4F60">
        <w:rPr>
          <w:rFonts w:ascii="Times New Roman" w:eastAsia="Times New Roman" w:hAnsi="Times New Roman" w:cs="Times New Roman"/>
          <w:sz w:val="24"/>
          <w:szCs w:val="24"/>
        </w:rPr>
        <w:t>apoptosome</w:t>
      </w:r>
      <w:proofErr w:type="spellEnd"/>
      <w:r w:rsidR="002033C4" w:rsidRPr="00DA4F60">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The </w:t>
      </w:r>
      <w:proofErr w:type="spellStart"/>
      <w:r w:rsidRPr="00DA4F60">
        <w:rPr>
          <w:rFonts w:ascii="Times New Roman" w:eastAsia="Times New Roman" w:hAnsi="Times New Roman" w:cs="Times New Roman"/>
          <w:sz w:val="24"/>
          <w:szCs w:val="24"/>
        </w:rPr>
        <w:t>apoptosome</w:t>
      </w:r>
      <w:proofErr w:type="spellEnd"/>
      <w:r w:rsidRPr="00DA4F60">
        <w:rPr>
          <w:rFonts w:ascii="Times New Roman" w:eastAsia="Times New Roman" w:hAnsi="Times New Roman" w:cs="Times New Roman"/>
          <w:sz w:val="24"/>
          <w:szCs w:val="24"/>
        </w:rPr>
        <w:t xml:space="preserve"> then recruits and activates procaspase-9, which subsequently activates executioner caspases, such as caspase-3 and caspase-7 (Shakeri et al., 2017). </w:t>
      </w:r>
      <w:r w:rsidR="00E477EB" w:rsidRPr="00DA4F60">
        <w:rPr>
          <w:rFonts w:ascii="Times New Roman" w:eastAsia="Times New Roman" w:hAnsi="Times New Roman" w:cs="Times New Roman"/>
          <w:sz w:val="24"/>
          <w:szCs w:val="24"/>
        </w:rPr>
        <w:t>These executioner caspases break numerous cellular substrates, resulting in the morphological and biochemical markers of apoptosis, including as DNA fragmentation, membrane blebbing, cell shrinkage, and production of apoptotic bodies</w:t>
      </w:r>
      <w:r w:rsid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(Sun, 2024). </w:t>
      </w:r>
      <w:r w:rsidRPr="00DA4F60">
        <w:rPr>
          <w:rFonts w:ascii="Times New Roman" w:eastAsia="Times New Roman" w:hAnsi="Times New Roman" w:cs="Times New Roman"/>
          <w:b/>
          <w:sz w:val="24"/>
          <w:szCs w:val="24"/>
        </w:rPr>
        <w:t>Fi</w:t>
      </w:r>
      <w:r w:rsidR="00DA4F60">
        <w:rPr>
          <w:rFonts w:ascii="Times New Roman" w:eastAsia="Times New Roman" w:hAnsi="Times New Roman" w:cs="Times New Roman"/>
          <w:b/>
          <w:sz w:val="24"/>
          <w:szCs w:val="24"/>
        </w:rPr>
        <w:t>g 1.</w:t>
      </w:r>
      <w:r w:rsidRPr="00DA4F60">
        <w:rPr>
          <w:rFonts w:ascii="Times New Roman" w:eastAsia="Times New Roman" w:hAnsi="Times New Roman" w:cs="Times New Roman"/>
          <w:sz w:val="24"/>
          <w:szCs w:val="24"/>
        </w:rPr>
        <w:t xml:space="preserve"> illustrates the intrinsic apoptotic pathway</w:t>
      </w:r>
      <w:r w:rsidR="00DA4F60">
        <w:rPr>
          <w:rFonts w:ascii="Times New Roman" w:eastAsia="Times New Roman" w:hAnsi="Times New Roman" w:cs="Times New Roman"/>
          <w:sz w:val="24"/>
          <w:szCs w:val="24"/>
        </w:rPr>
        <w:t>.</w:t>
      </w:r>
    </w:p>
    <w:p w14:paraId="00000026" w14:textId="77777777" w:rsidR="00C14A47" w:rsidRPr="00DA4F60" w:rsidRDefault="00720F24"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2.2 Extrinsic apoptosis</w:t>
      </w:r>
    </w:p>
    <w:p w14:paraId="00000027" w14:textId="50B0B055" w:rsidR="00C14A47" w:rsidRPr="00DA4F60" w:rsidRDefault="00E477EB" w:rsidP="00F565EE">
      <w:pPr>
        <w:spacing w:after="0"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The extrinsic apoptosis pathway (EP), also known as the death receptor pathway, is a type of programmed cell death triggered by external cues</w:t>
      </w:r>
      <w:r w:rsidR="00F565EE"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w:t>
      </w:r>
      <w:proofErr w:type="spellStart"/>
      <w:r w:rsidRPr="00DA4F60">
        <w:rPr>
          <w:rFonts w:ascii="Times New Roman" w:eastAsia="Times New Roman" w:hAnsi="Times New Roman" w:cs="Times New Roman"/>
          <w:sz w:val="24"/>
          <w:szCs w:val="24"/>
        </w:rPr>
        <w:t>Lossi</w:t>
      </w:r>
      <w:proofErr w:type="spellEnd"/>
      <w:r w:rsidRPr="00DA4F60">
        <w:rPr>
          <w:rFonts w:ascii="Times New Roman" w:eastAsia="Times New Roman" w:hAnsi="Times New Roman" w:cs="Times New Roman"/>
          <w:sz w:val="24"/>
          <w:szCs w:val="24"/>
        </w:rPr>
        <w:t>, 2022</w:t>
      </w:r>
      <w:r w:rsidR="00F565EE"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In contrast to the </w:t>
      </w:r>
      <w:r w:rsidR="00F565EE" w:rsidRPr="00DA4F60">
        <w:rPr>
          <w:rFonts w:ascii="Times New Roman" w:eastAsia="Times New Roman" w:hAnsi="Times New Roman" w:cs="Times New Roman"/>
          <w:sz w:val="24"/>
          <w:szCs w:val="24"/>
        </w:rPr>
        <w:t>IP</w:t>
      </w:r>
      <w:r w:rsidRPr="00DA4F60">
        <w:rPr>
          <w:rFonts w:ascii="Times New Roman" w:eastAsia="Times New Roman" w:hAnsi="Times New Roman" w:cs="Times New Roman"/>
          <w:sz w:val="24"/>
          <w:szCs w:val="24"/>
        </w:rPr>
        <w:t xml:space="preserve">, which is triggered by internal cellular stress, the EP is activated when specific death ligands attach to their associated death receptors on the cell surface. These ligands include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necrosis factor (TNF), TNF-related apoptosis-inducing ligand (TRAIL), and FAS ligand (APO1) (He et al., 2024). Upon ligand binding, the death receptors trimerize and aggregate within the cell membrane, which is a critical step for recruiting downstream signaling molecules. The intracellular death domain of the death receptor recruits adaptor proteins, such as the </w:t>
      </w:r>
      <w:proofErr w:type="spellStart"/>
      <w:r w:rsidRPr="00DA4F60">
        <w:rPr>
          <w:rFonts w:ascii="Times New Roman" w:eastAsia="Times New Roman" w:hAnsi="Times New Roman" w:cs="Times New Roman"/>
          <w:sz w:val="24"/>
          <w:szCs w:val="24"/>
        </w:rPr>
        <w:t>Fas</w:t>
      </w:r>
      <w:proofErr w:type="spellEnd"/>
      <w:r w:rsidRPr="00DA4F60">
        <w:rPr>
          <w:rFonts w:ascii="Times New Roman" w:eastAsia="Times New Roman" w:hAnsi="Times New Roman" w:cs="Times New Roman"/>
          <w:sz w:val="24"/>
          <w:szCs w:val="24"/>
        </w:rPr>
        <w:t xml:space="preserve">-associated death domain (FADD). This adaptor protein, in turn, </w:t>
      </w:r>
      <w:proofErr w:type="gramStart"/>
      <w:r w:rsidRPr="00DA4F60">
        <w:rPr>
          <w:rFonts w:ascii="Times New Roman" w:eastAsia="Times New Roman" w:hAnsi="Times New Roman" w:cs="Times New Roman"/>
          <w:sz w:val="24"/>
          <w:szCs w:val="24"/>
        </w:rPr>
        <w:t>recruits</w:t>
      </w:r>
      <w:proofErr w:type="gramEnd"/>
      <w:r w:rsidRPr="00DA4F60">
        <w:rPr>
          <w:rFonts w:ascii="Times New Roman" w:eastAsia="Times New Roman" w:hAnsi="Times New Roman" w:cs="Times New Roman"/>
          <w:sz w:val="24"/>
          <w:szCs w:val="24"/>
        </w:rPr>
        <w:t xml:space="preserve"> procaspase-8. The assembly of the receptor, adaptor protein, and procaspases form a multi-protein complex known as a death-inducing signaling complex (DISC) (</w:t>
      </w:r>
      <w:proofErr w:type="spellStart"/>
      <w:r w:rsidRPr="00DA4F60">
        <w:rPr>
          <w:rFonts w:ascii="Times New Roman" w:eastAsia="Times New Roman" w:hAnsi="Times New Roman" w:cs="Times New Roman"/>
          <w:sz w:val="24"/>
          <w:szCs w:val="24"/>
        </w:rPr>
        <w:t>Annibaldi</w:t>
      </w:r>
      <w:proofErr w:type="spellEnd"/>
      <w:r w:rsidRPr="00DA4F60">
        <w:rPr>
          <w:rFonts w:ascii="Times New Roman" w:eastAsia="Times New Roman" w:hAnsi="Times New Roman" w:cs="Times New Roman"/>
          <w:sz w:val="24"/>
          <w:szCs w:val="24"/>
        </w:rPr>
        <w:t xml:space="preserve"> &amp; Walczak, 2020). This complex serves as a platform for activating caspases, particularly caspase-8 and caspase-10, which are essential proteolytic enzymes in the cell death machinery. The activation of these caspases triggers a cascade that ultimately activates executioner caspases like caspase-3 (CASP3) and caspase-7 (CASP7) (Carneiro &amp; El-</w:t>
      </w:r>
      <w:proofErr w:type="spellStart"/>
      <w:r w:rsidRPr="00DA4F60">
        <w:rPr>
          <w:rFonts w:ascii="Times New Roman" w:eastAsia="Times New Roman" w:hAnsi="Times New Roman" w:cs="Times New Roman"/>
          <w:sz w:val="24"/>
          <w:szCs w:val="24"/>
        </w:rPr>
        <w:t>Deiry</w:t>
      </w:r>
      <w:proofErr w:type="spellEnd"/>
      <w:r w:rsidRPr="00DA4F60">
        <w:rPr>
          <w:rFonts w:ascii="Times New Roman" w:eastAsia="Times New Roman" w:hAnsi="Times New Roman" w:cs="Times New Roman"/>
          <w:sz w:val="24"/>
          <w:szCs w:val="24"/>
        </w:rPr>
        <w:t xml:space="preserve">, 2020b). These executioner caspases play crucial roles in both intrinsic and extrinsic pathways, ultimately leading to cell death. </w:t>
      </w:r>
      <w:r w:rsidRPr="00DA4F60">
        <w:rPr>
          <w:rFonts w:ascii="Times New Roman" w:eastAsia="Times New Roman" w:hAnsi="Times New Roman" w:cs="Times New Roman"/>
          <w:b/>
          <w:sz w:val="24"/>
          <w:szCs w:val="24"/>
        </w:rPr>
        <w:t>Fig 1</w:t>
      </w:r>
      <w:r w:rsid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represents the extrinsic apoptotic pathway</w:t>
      </w:r>
      <w:r w:rsidR="00DA4F60">
        <w:rPr>
          <w:rFonts w:ascii="Times New Roman" w:eastAsia="Times New Roman" w:hAnsi="Times New Roman" w:cs="Times New Roman"/>
          <w:sz w:val="24"/>
          <w:szCs w:val="24"/>
        </w:rPr>
        <w:t>.</w:t>
      </w:r>
    </w:p>
    <w:p w14:paraId="00000028" w14:textId="77777777" w:rsidR="00C14A47" w:rsidRPr="00DA4F60" w:rsidRDefault="00720F24"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3. Dysregulation of Apoptotic Pathways in Cancer Progression</w:t>
      </w:r>
    </w:p>
    <w:p w14:paraId="00000029"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3.1</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Role of Inhibitor of Apoptosis Proteins</w:t>
      </w:r>
    </w:p>
    <w:p w14:paraId="0000002A" w14:textId="7C1A19E0" w:rsidR="00C14A47" w:rsidRPr="00DA4F60" w:rsidRDefault="0027784E"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Inhibitors of Apoptosis Proteins (IAPs) play an important role in cancer progression because they influence cancer cell survival and proliferation. These proteins largely prevent apoptosis, </w:t>
      </w:r>
      <w:r w:rsidRPr="00DA4F60">
        <w:rPr>
          <w:rFonts w:ascii="Times New Roman" w:eastAsia="Times New Roman" w:hAnsi="Times New Roman" w:cs="Times New Roman"/>
          <w:sz w:val="24"/>
          <w:szCs w:val="24"/>
        </w:rPr>
        <w:lastRenderedPageBreak/>
        <w:t xml:space="preserve">allowing cancer cells to avoid death. This evasion leads to increased cell survival and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The ability to escape apoptosis is a hallmark of cancer. Overexpression of IAPs has been seen in numerous types of malignancies, including both haematological and solid </w:t>
      </w:r>
      <w:proofErr w:type="spellStart"/>
      <w:r w:rsidRPr="00DA4F60">
        <w:rPr>
          <w:rFonts w:ascii="Times New Roman" w:eastAsia="Times New Roman" w:hAnsi="Times New Roman" w:cs="Times New Roman"/>
          <w:sz w:val="24"/>
          <w:szCs w:val="24"/>
        </w:rPr>
        <w:t>tumors</w:t>
      </w:r>
      <w:proofErr w:type="spellEnd"/>
      <w:r w:rsidRPr="00DA4F60">
        <w:rPr>
          <w:rFonts w:ascii="Times New Roman" w:eastAsia="Times New Roman" w:hAnsi="Times New Roman" w:cs="Times New Roman"/>
          <w:sz w:val="24"/>
          <w:szCs w:val="24"/>
        </w:rPr>
        <w:t xml:space="preserve">. (Wong, 2011). </w:t>
      </w:r>
      <w:r w:rsidR="00222536" w:rsidRPr="00DA4F60">
        <w:rPr>
          <w:rFonts w:ascii="Times New Roman" w:eastAsia="Times New Roman" w:hAnsi="Times New Roman" w:cs="Times New Roman"/>
          <w:sz w:val="24"/>
          <w:szCs w:val="24"/>
        </w:rPr>
        <w:t>IAPs' primary role is to prevent apoptosis by inhibiting the activation of caspases, the enzymes that cause apoptosis. For example, one of the most well-studied IAPs is XIAP (X-linked inhibitor of apoptosis protein), which inhibits both initiator and executioner caspases</w:t>
      </w:r>
      <w:r w:rsidRPr="00DA4F60">
        <w:rPr>
          <w:rFonts w:ascii="Times New Roman" w:eastAsia="Times New Roman" w:hAnsi="Times New Roman" w:cs="Times New Roman"/>
          <w:sz w:val="24"/>
          <w:szCs w:val="24"/>
        </w:rPr>
        <w:t xml:space="preserve">. In cancer cells, the overexpression of XIAP and other IAPs, such as cIAP1 and cIAP2, allows these cells to escape apoptosis. Furthermore, IAPs modulate critical signaling pathways that contribute to cancer progression, including the NF-kB pathway, which is essential for cell survival and proliferation. By influencing these pathways, IAPs not only promote the survival of cancer cells but also contribute to the inflammatory environment that supports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(Kocab &amp; Duckett, 2016). Additionally, IAPs interact with various molecules in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such as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necrosis factor-α (TNF-α), creating a complex interplay that further enhances cancer cell survival. This interaction can initiate a positive feedback loop that supports both inflammation and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progression. The resistance to chemotherapy often seen in cancers with high IAP expression underscores their role in cancer advancement, as these proteins can render traditional therapies ineffective (Sahoo et al., 2023). Consequently, targeting IAPs has emerged as a promising therapeutic strategy. Approaches such as </w:t>
      </w:r>
      <w:proofErr w:type="spellStart"/>
      <w:r w:rsidRPr="00DA4F60">
        <w:rPr>
          <w:rFonts w:ascii="Times New Roman" w:eastAsia="Times New Roman" w:hAnsi="Times New Roman" w:cs="Times New Roman"/>
          <w:sz w:val="24"/>
          <w:szCs w:val="24"/>
        </w:rPr>
        <w:t>Smac</w:t>
      </w:r>
      <w:proofErr w:type="spellEnd"/>
      <w:r w:rsidRPr="00DA4F60">
        <w:rPr>
          <w:rFonts w:ascii="Times New Roman" w:eastAsia="Times New Roman" w:hAnsi="Times New Roman" w:cs="Times New Roman"/>
          <w:sz w:val="24"/>
          <w:szCs w:val="24"/>
        </w:rPr>
        <w:t xml:space="preserve"> mimetics are being developed to inhibit their function and re-sensitize cancer cells to apoptosis. Overall, the multifaceted roles of IAPs in promoting cell survival, modulating signalling pathways, and contributing to treatment resistance highlight their critical involvement in cancer progression and their potential as therapeutic targets</w:t>
      </w:r>
      <w:r w:rsidR="00FC085A">
        <w:rPr>
          <w:rFonts w:ascii="Times New Roman" w:eastAsia="Times New Roman" w:hAnsi="Times New Roman" w:cs="Times New Roman"/>
          <w:sz w:val="24"/>
          <w:szCs w:val="24"/>
        </w:rPr>
        <w:t xml:space="preserve"> </w:t>
      </w:r>
      <w:r w:rsidR="00FC085A" w:rsidRPr="00DA4F60">
        <w:rPr>
          <w:rFonts w:ascii="Times New Roman" w:eastAsia="Times New Roman" w:hAnsi="Times New Roman" w:cs="Times New Roman"/>
          <w:sz w:val="24"/>
          <w:szCs w:val="24"/>
        </w:rPr>
        <w:t>(Rathore et al., 2017)</w:t>
      </w:r>
      <w:r w:rsidR="00FC085A">
        <w:rPr>
          <w:rFonts w:ascii="Times New Roman" w:eastAsia="Times New Roman" w:hAnsi="Times New Roman" w:cs="Times New Roman"/>
          <w:sz w:val="24"/>
          <w:szCs w:val="24"/>
        </w:rPr>
        <w:t xml:space="preserve"> as shown by</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Fig</w:t>
      </w:r>
      <w:r w:rsidR="00DA4F60">
        <w:rPr>
          <w:rFonts w:ascii="Times New Roman" w:eastAsia="Times New Roman" w:hAnsi="Times New Roman" w:cs="Times New Roman"/>
          <w:b/>
          <w:sz w:val="24"/>
          <w:szCs w:val="24"/>
        </w:rPr>
        <w:t xml:space="preserve"> </w:t>
      </w:r>
      <w:r w:rsidRPr="00DA4F60">
        <w:rPr>
          <w:rFonts w:ascii="Times New Roman" w:eastAsia="Times New Roman" w:hAnsi="Times New Roman" w:cs="Times New Roman"/>
          <w:b/>
          <w:sz w:val="24"/>
          <w:szCs w:val="24"/>
        </w:rPr>
        <w:t>1</w:t>
      </w:r>
      <w:r w:rsidR="00DA4F60">
        <w:rPr>
          <w:rFonts w:ascii="Times New Roman" w:eastAsia="Times New Roman" w:hAnsi="Times New Roman" w:cs="Times New Roman"/>
          <w:b/>
          <w:sz w:val="24"/>
          <w:szCs w:val="24"/>
        </w:rPr>
        <w:t>.</w:t>
      </w:r>
      <w:r w:rsidRPr="00DA4F60">
        <w:rPr>
          <w:rFonts w:ascii="Times New Roman" w:eastAsia="Times New Roman" w:hAnsi="Times New Roman" w:cs="Times New Roman"/>
          <w:sz w:val="24"/>
          <w:szCs w:val="24"/>
        </w:rPr>
        <w:t xml:space="preserve"> </w:t>
      </w:r>
    </w:p>
    <w:p w14:paraId="0000002B" w14:textId="10ACC413" w:rsidR="00C14A47" w:rsidRPr="00DA4F60" w:rsidRDefault="00DA4F60"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3.2 Role of BCL-2 in Cancer Progression</w:t>
      </w:r>
    </w:p>
    <w:p w14:paraId="4C67AB2A" w14:textId="77777777" w:rsidR="00222536"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BCL-2 plays a crucial role in cancer progression by regulating apoptosis, a vital process that maintains cellular balance. </w:t>
      </w:r>
      <w:r w:rsidR="00222536" w:rsidRPr="00DA4F60">
        <w:rPr>
          <w:rFonts w:ascii="Times New Roman" w:eastAsia="Times New Roman" w:hAnsi="Times New Roman" w:cs="Times New Roman"/>
          <w:sz w:val="24"/>
          <w:szCs w:val="24"/>
        </w:rPr>
        <w:t>In normal cells, apoptosis is required to eliminate damaged or undesired cells. However, cancer cells frequently exploit the anti-apoptotic features of BCL-2 to avoid cell death, allowing them to persist and grow uncontrollably</w:t>
      </w:r>
      <w:r w:rsidRPr="00DA4F60">
        <w:rPr>
          <w:rFonts w:ascii="Times New Roman" w:eastAsia="Times New Roman" w:hAnsi="Times New Roman" w:cs="Times New Roman"/>
          <w:sz w:val="24"/>
          <w:szCs w:val="24"/>
        </w:rPr>
        <w:t xml:space="preserve">. The dysregulation of apoptosis pathways, particularly through the overexpression of BCL-2, contributes to the resistance of cancer cells against standard therapies like chemotherapy, which rely on inducing apoptosis to kill malignant cells (Kaloni et al., 2023). </w:t>
      </w:r>
      <w:r w:rsidR="00222536" w:rsidRPr="00DA4F60">
        <w:rPr>
          <w:rFonts w:ascii="Times New Roman" w:eastAsia="Times New Roman" w:hAnsi="Times New Roman" w:cs="Times New Roman"/>
          <w:sz w:val="24"/>
          <w:szCs w:val="24"/>
        </w:rPr>
        <w:t xml:space="preserve">This avoidance of apoptosis not only promotes </w:t>
      </w:r>
      <w:proofErr w:type="spellStart"/>
      <w:r w:rsidR="00222536" w:rsidRPr="00DA4F60">
        <w:rPr>
          <w:rFonts w:ascii="Times New Roman" w:eastAsia="Times New Roman" w:hAnsi="Times New Roman" w:cs="Times New Roman"/>
          <w:sz w:val="24"/>
          <w:szCs w:val="24"/>
        </w:rPr>
        <w:t>tumor</w:t>
      </w:r>
      <w:proofErr w:type="spellEnd"/>
      <w:r w:rsidR="00222536" w:rsidRPr="00DA4F60">
        <w:rPr>
          <w:rFonts w:ascii="Times New Roman" w:eastAsia="Times New Roman" w:hAnsi="Times New Roman" w:cs="Times New Roman"/>
          <w:sz w:val="24"/>
          <w:szCs w:val="24"/>
        </w:rPr>
        <w:t xml:space="preserve"> growth but also contributes to the formation of residual </w:t>
      </w:r>
      <w:proofErr w:type="spellStart"/>
      <w:r w:rsidR="00222536" w:rsidRPr="00DA4F60">
        <w:rPr>
          <w:rFonts w:ascii="Times New Roman" w:eastAsia="Times New Roman" w:hAnsi="Times New Roman" w:cs="Times New Roman"/>
          <w:sz w:val="24"/>
          <w:szCs w:val="24"/>
        </w:rPr>
        <w:t>tumors</w:t>
      </w:r>
      <w:proofErr w:type="spellEnd"/>
      <w:r w:rsidR="00222536" w:rsidRPr="00DA4F60">
        <w:rPr>
          <w:rFonts w:ascii="Times New Roman" w:eastAsia="Times New Roman" w:hAnsi="Times New Roman" w:cs="Times New Roman"/>
          <w:sz w:val="24"/>
          <w:szCs w:val="24"/>
        </w:rPr>
        <w:t xml:space="preserve"> and recurrent metastatic illness, complicating treatment outcomes. </w:t>
      </w:r>
    </w:p>
    <w:p w14:paraId="0000002C" w14:textId="61112848" w:rsidR="00C14A47"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lastRenderedPageBreak/>
        <w:t xml:space="preserve">Moreover, </w:t>
      </w:r>
      <w:commentRangeStart w:id="4"/>
      <w:commentRangeStart w:id="5"/>
      <w:commentRangeStart w:id="6"/>
      <w:r w:rsidRPr="00DA4F60">
        <w:rPr>
          <w:rFonts w:ascii="Times New Roman" w:eastAsia="Times New Roman" w:hAnsi="Times New Roman" w:cs="Times New Roman"/>
          <w:sz w:val="24"/>
          <w:szCs w:val="24"/>
        </w:rPr>
        <w:t xml:space="preserve">BCL-2 interacts with various growth factors and signaling pathways, which enhances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progression. </w:t>
      </w:r>
      <w:commentRangeEnd w:id="4"/>
      <w:commentRangeEnd w:id="5"/>
      <w:commentRangeEnd w:id="6"/>
      <w:r w:rsidR="00847E63">
        <w:rPr>
          <w:rStyle w:val="CommentReference"/>
        </w:rPr>
        <w:commentReference w:id="6"/>
      </w:r>
      <w:r w:rsidR="00847E63">
        <w:rPr>
          <w:rStyle w:val="CommentReference"/>
        </w:rPr>
        <w:commentReference w:id="5"/>
      </w:r>
      <w:r w:rsidR="00847E63">
        <w:rPr>
          <w:rStyle w:val="CommentReference"/>
        </w:rPr>
        <w:commentReference w:id="4"/>
      </w:r>
      <w:r w:rsidRPr="00DA4F60">
        <w:rPr>
          <w:rFonts w:ascii="Times New Roman" w:eastAsia="Times New Roman" w:hAnsi="Times New Roman" w:cs="Times New Roman"/>
          <w:sz w:val="24"/>
          <w:szCs w:val="24"/>
        </w:rPr>
        <w:t xml:space="preserve">The dysregulation of these pathways often leads to compensatory survival mechanisms, such as autophagy, which further supports cancer cell survival. The balance between pro-apoptotic and anti-apoptotic signals is crucial; when BCL-2 is overexpressed, it shifts this balance toward survival, allowing cancer cells to thrive even in challenging conditions. </w:t>
      </w:r>
      <w:r w:rsidR="00222536" w:rsidRPr="00DA4F60">
        <w:rPr>
          <w:rFonts w:ascii="Times New Roman" w:eastAsia="Times New Roman" w:hAnsi="Times New Roman" w:cs="Times New Roman"/>
          <w:sz w:val="24"/>
          <w:szCs w:val="24"/>
        </w:rPr>
        <w:t xml:space="preserve">Targeting BCL-2 and its family members has emerged as a viable technique in cancer therapy, with the goal of restoring the apoptotic process and improving therapeutic success. </w:t>
      </w:r>
      <w:r w:rsidRPr="00DA4F60">
        <w:rPr>
          <w:rFonts w:ascii="Times New Roman" w:eastAsia="Times New Roman" w:hAnsi="Times New Roman" w:cs="Times New Roman"/>
          <w:sz w:val="24"/>
          <w:szCs w:val="24"/>
        </w:rPr>
        <w:t xml:space="preserve">(Zheng et al. 2020). Overall, the role of BCL-2 </w:t>
      </w:r>
      <w:r w:rsidR="00DD5B89">
        <w:rPr>
          <w:rFonts w:ascii="Times New Roman" w:eastAsia="Times New Roman" w:hAnsi="Times New Roman" w:cs="Times New Roman"/>
          <w:sz w:val="24"/>
          <w:szCs w:val="24"/>
        </w:rPr>
        <w:t>(</w:t>
      </w:r>
      <w:r w:rsidR="00DD5B89" w:rsidRPr="00DA4F60">
        <w:rPr>
          <w:rFonts w:ascii="Times New Roman" w:eastAsia="Times New Roman" w:hAnsi="Times New Roman" w:cs="Times New Roman"/>
          <w:b/>
          <w:sz w:val="24"/>
          <w:szCs w:val="24"/>
        </w:rPr>
        <w:t>Fi</w:t>
      </w:r>
      <w:r w:rsidR="00DD5B89">
        <w:rPr>
          <w:rFonts w:ascii="Times New Roman" w:eastAsia="Times New Roman" w:hAnsi="Times New Roman" w:cs="Times New Roman"/>
          <w:b/>
          <w:sz w:val="24"/>
          <w:szCs w:val="24"/>
        </w:rPr>
        <w:t xml:space="preserve">g </w:t>
      </w:r>
      <w:r w:rsidR="00DD5B89" w:rsidRPr="00DA4F60">
        <w:rPr>
          <w:rFonts w:ascii="Times New Roman" w:eastAsia="Times New Roman" w:hAnsi="Times New Roman" w:cs="Times New Roman"/>
          <w:b/>
          <w:sz w:val="24"/>
          <w:szCs w:val="24"/>
        </w:rPr>
        <w:t>1</w:t>
      </w:r>
      <w:r w:rsidR="00DD5B89">
        <w:rPr>
          <w:rFonts w:ascii="Times New Roman" w:eastAsia="Times New Roman" w:hAnsi="Times New Roman" w:cs="Times New Roman"/>
          <w:b/>
          <w:sz w:val="24"/>
          <w:szCs w:val="24"/>
        </w:rPr>
        <w:t xml:space="preserve">) </w:t>
      </w:r>
      <w:r w:rsidRPr="00DA4F60">
        <w:rPr>
          <w:rFonts w:ascii="Times New Roman" w:eastAsia="Times New Roman" w:hAnsi="Times New Roman" w:cs="Times New Roman"/>
          <w:sz w:val="24"/>
          <w:szCs w:val="24"/>
        </w:rPr>
        <w:t xml:space="preserve">in cancer progression underscores the importance of regulating apoptosis for maintaining cellular integrity and emphasizes the potential for therapeutic interventions that effectively target this pathway (Blum et al., 2023). </w:t>
      </w:r>
    </w:p>
    <w:p w14:paraId="0000002D"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 xml:space="preserve">4. Role of Apoptosis in </w:t>
      </w:r>
      <w:proofErr w:type="spellStart"/>
      <w:r w:rsidRPr="00DA4F60">
        <w:rPr>
          <w:rFonts w:ascii="Times New Roman" w:eastAsia="Times New Roman" w:hAnsi="Times New Roman" w:cs="Times New Roman"/>
          <w:b/>
          <w:sz w:val="24"/>
          <w:szCs w:val="24"/>
        </w:rPr>
        <w:t>Tumor</w:t>
      </w:r>
      <w:proofErr w:type="spellEnd"/>
      <w:r w:rsidRPr="00DA4F60">
        <w:rPr>
          <w:rFonts w:ascii="Times New Roman" w:eastAsia="Times New Roman" w:hAnsi="Times New Roman" w:cs="Times New Roman"/>
          <w:b/>
          <w:sz w:val="24"/>
          <w:szCs w:val="24"/>
        </w:rPr>
        <w:t xml:space="preserve"> Microenvironment Dynamics</w:t>
      </w:r>
    </w:p>
    <w:p w14:paraId="0000002E" w14:textId="59E242FE" w:rsidR="00C14A47" w:rsidRPr="00DA4F60" w:rsidRDefault="00222536"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(TME) plays an important role in cancer growth and progression, as well as apoptosis. It consists of various cellular and non-cellular elements that dynamically interact with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cells to affect their </w:t>
      </w:r>
      <w:proofErr w:type="spellStart"/>
      <w:r w:rsidRPr="00DA4F60">
        <w:rPr>
          <w:rFonts w:ascii="Times New Roman" w:eastAsia="Times New Roman" w:hAnsi="Times New Roman" w:cs="Times New Roman"/>
          <w:sz w:val="24"/>
          <w:szCs w:val="24"/>
        </w:rPr>
        <w:t>behavior</w:t>
      </w:r>
      <w:proofErr w:type="spellEnd"/>
      <w:r w:rsidRPr="00DA4F60">
        <w:rPr>
          <w:rFonts w:ascii="Times New Roman" w:eastAsia="Times New Roman" w:hAnsi="Times New Roman" w:cs="Times New Roman"/>
          <w:sz w:val="24"/>
          <w:szCs w:val="24"/>
        </w:rPr>
        <w:t xml:space="preserve"> and results. Stromal cells (CAFs), immunological cells, endothelial cells, and the extracellular matrix (ECM) are all part of the TME. Together, these factors form a </w:t>
      </w:r>
      <w:proofErr w:type="spellStart"/>
      <w:r w:rsidRPr="00DA4F60">
        <w:rPr>
          <w:rFonts w:ascii="Times New Roman" w:eastAsia="Times New Roman" w:hAnsi="Times New Roman" w:cs="Times New Roman"/>
          <w:sz w:val="24"/>
          <w:szCs w:val="24"/>
        </w:rPr>
        <w:t>favorable</w:t>
      </w:r>
      <w:proofErr w:type="spellEnd"/>
      <w:r w:rsidRPr="00DA4F60">
        <w:rPr>
          <w:rFonts w:ascii="Times New Roman" w:eastAsia="Times New Roman" w:hAnsi="Times New Roman" w:cs="Times New Roman"/>
          <w:sz w:val="24"/>
          <w:szCs w:val="24"/>
        </w:rPr>
        <w:t xml:space="preserve"> environment for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and spread. (Xiao &amp; Yu, 2021). </w:t>
      </w:r>
      <w:commentRangeStart w:id="7"/>
      <w:r w:rsidRPr="00DA4F60">
        <w:rPr>
          <w:rFonts w:ascii="Times New Roman" w:eastAsia="Times New Roman" w:hAnsi="Times New Roman" w:cs="Times New Roman"/>
          <w:sz w:val="24"/>
          <w:szCs w:val="24"/>
        </w:rPr>
        <w:t xml:space="preserve">One of the key functions of the TME is to provide biochemical and physical signals that regulate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initiation and progression. </w:t>
      </w:r>
      <w:commentRangeEnd w:id="7"/>
      <w:r w:rsidR="00E625F4">
        <w:rPr>
          <w:rStyle w:val="CommentReference"/>
        </w:rPr>
        <w:commentReference w:id="7"/>
      </w:r>
      <w:r w:rsidR="00E625F4">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These signals can promote cancer cell proliferation, survival, and invasion, contributing to the hallmarks </w:t>
      </w:r>
      <w:commentRangeStart w:id="8"/>
      <w:r w:rsidRPr="00DA4F60">
        <w:rPr>
          <w:rFonts w:ascii="Times New Roman" w:eastAsia="Times New Roman" w:hAnsi="Times New Roman" w:cs="Times New Roman"/>
          <w:sz w:val="24"/>
          <w:szCs w:val="24"/>
        </w:rPr>
        <w:t>of</w:t>
      </w:r>
      <w:commentRangeEnd w:id="8"/>
      <w:r w:rsidR="00E625F4">
        <w:rPr>
          <w:rStyle w:val="CommentReference"/>
        </w:rPr>
        <w:commentReference w:id="8"/>
      </w:r>
      <w:r w:rsidRPr="00DA4F60">
        <w:rPr>
          <w:rFonts w:ascii="Times New Roman" w:eastAsia="Times New Roman" w:hAnsi="Times New Roman" w:cs="Times New Roman"/>
          <w:sz w:val="24"/>
          <w:szCs w:val="24"/>
        </w:rPr>
        <w:t xml:space="preserve"> cancer. For example,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-associated stromal cells secrete various growth factors, cytokines, and chemokines that not only enhance cancer cell survival but also facilitate angiogenesis and inflammation, further promoting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(Tufail, 2023). </w:t>
      </w:r>
      <w:commentRangeStart w:id="9"/>
      <w:r w:rsidRPr="00DA4F60">
        <w:rPr>
          <w:rFonts w:ascii="Times New Roman" w:eastAsia="Times New Roman" w:hAnsi="Times New Roman" w:cs="Times New Roman"/>
          <w:sz w:val="24"/>
          <w:szCs w:val="24"/>
        </w:rPr>
        <w:t>The presence of low oxygen levels and an acidic pH within the TME creates local stress, which can activate stromal cells and facilitate the infiltration of immune cells.</w:t>
      </w:r>
      <w:commentRangeEnd w:id="9"/>
      <w:r w:rsidR="00E625F4">
        <w:rPr>
          <w:rStyle w:val="CommentReference"/>
        </w:rPr>
        <w:commentReference w:id="9"/>
      </w:r>
      <w:r w:rsidRPr="00DA4F60">
        <w:rPr>
          <w:rFonts w:ascii="Times New Roman" w:eastAsia="Times New Roman" w:hAnsi="Times New Roman" w:cs="Times New Roman"/>
          <w:sz w:val="24"/>
          <w:szCs w:val="24"/>
        </w:rPr>
        <w:t xml:space="preserve"> </w:t>
      </w:r>
      <w:r w:rsidR="007F68E1" w:rsidRPr="00DA4F60">
        <w:rPr>
          <w:rFonts w:ascii="Times New Roman" w:eastAsia="Times New Roman" w:hAnsi="Times New Roman" w:cs="Times New Roman"/>
          <w:sz w:val="24"/>
          <w:szCs w:val="24"/>
        </w:rPr>
        <w:t xml:space="preserve">The interaction between immune cells and the TME can either repress or accelerate </w:t>
      </w:r>
      <w:proofErr w:type="spellStart"/>
      <w:r w:rsidR="007F68E1" w:rsidRPr="00DA4F60">
        <w:rPr>
          <w:rFonts w:ascii="Times New Roman" w:eastAsia="Times New Roman" w:hAnsi="Times New Roman" w:cs="Times New Roman"/>
          <w:sz w:val="24"/>
          <w:szCs w:val="24"/>
        </w:rPr>
        <w:t>tumor</w:t>
      </w:r>
      <w:proofErr w:type="spellEnd"/>
      <w:r w:rsidR="007F68E1" w:rsidRPr="00DA4F60">
        <w:rPr>
          <w:rFonts w:ascii="Times New Roman" w:eastAsia="Times New Roman" w:hAnsi="Times New Roman" w:cs="Times New Roman"/>
          <w:sz w:val="24"/>
          <w:szCs w:val="24"/>
        </w:rPr>
        <w:t xml:space="preserve"> growth, depending on the specific setting and the types of immune cells involved</w:t>
      </w:r>
      <w:r w:rsidR="00A03B3C">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(de Visser &amp; Joyce, 2023).</w:t>
      </w:r>
    </w:p>
    <w:p w14:paraId="0000002F" w14:textId="29E69DFA" w:rsidR="00C14A47"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Additionally, the </w:t>
      </w:r>
      <w:r w:rsidR="00DD5B89">
        <w:rPr>
          <w:rFonts w:ascii="Times New Roman" w:eastAsia="Times New Roman" w:hAnsi="Times New Roman" w:cs="Times New Roman"/>
          <w:sz w:val="24"/>
          <w:szCs w:val="24"/>
        </w:rPr>
        <w:t xml:space="preserve">local and distant microbiome (collection of trillions of microorganisms, living in and on the living body) </w:t>
      </w:r>
      <w:r w:rsidRPr="00DA4F60">
        <w:rPr>
          <w:rFonts w:ascii="Times New Roman" w:eastAsia="Times New Roman" w:hAnsi="Times New Roman" w:cs="Times New Roman"/>
          <w:sz w:val="24"/>
          <w:szCs w:val="24"/>
        </w:rPr>
        <w:t xml:space="preserve">plays </w:t>
      </w:r>
      <w:r w:rsidR="00DA4F60" w:rsidRPr="00DA4F60">
        <w:rPr>
          <w:rFonts w:ascii="Times New Roman" w:eastAsia="Times New Roman" w:hAnsi="Times New Roman" w:cs="Times New Roman"/>
          <w:sz w:val="24"/>
          <w:szCs w:val="24"/>
        </w:rPr>
        <w:t>an</w:t>
      </w:r>
      <w:r w:rsidRPr="00DA4F60">
        <w:rPr>
          <w:rFonts w:ascii="Times New Roman" w:eastAsia="Times New Roman" w:hAnsi="Times New Roman" w:cs="Times New Roman"/>
          <w:sz w:val="24"/>
          <w:szCs w:val="24"/>
        </w:rPr>
        <w:t xml:space="preserve"> </w:t>
      </w:r>
      <w:r w:rsidR="007F68E1" w:rsidRPr="00DA4F60">
        <w:rPr>
          <w:rFonts w:ascii="Times New Roman" w:eastAsia="Times New Roman" w:hAnsi="Times New Roman" w:cs="Times New Roman"/>
          <w:sz w:val="24"/>
          <w:szCs w:val="24"/>
        </w:rPr>
        <w:t>important</w:t>
      </w:r>
      <w:r w:rsidRPr="00DA4F60">
        <w:rPr>
          <w:rFonts w:ascii="Times New Roman" w:eastAsia="Times New Roman" w:hAnsi="Times New Roman" w:cs="Times New Roman"/>
          <w:sz w:val="24"/>
          <w:szCs w:val="24"/>
        </w:rPr>
        <w:t xml:space="preserve"> role in modulating the TME. </w:t>
      </w:r>
      <w:r w:rsidR="007F68E1" w:rsidRPr="00DA4F60">
        <w:rPr>
          <w:rFonts w:ascii="Times New Roman" w:eastAsia="Times New Roman" w:hAnsi="Times New Roman" w:cs="Times New Roman"/>
          <w:sz w:val="24"/>
          <w:szCs w:val="24"/>
        </w:rPr>
        <w:t>Research has identified the human microbiome as a crucial area of interest in the pathophysiology of several human diseases, including cancer development, progression, and disease prognosis</w:t>
      </w:r>
      <w:r w:rsidRPr="00DA4F60">
        <w:rPr>
          <w:rFonts w:ascii="Times New Roman" w:eastAsia="Times New Roman" w:hAnsi="Times New Roman" w:cs="Times New Roman"/>
          <w:sz w:val="24"/>
          <w:szCs w:val="24"/>
        </w:rPr>
        <w:t>. According to research</w:t>
      </w:r>
      <w:r w:rsidR="00DD5B89">
        <w:rPr>
          <w:rFonts w:ascii="Times New Roman" w:eastAsia="Times New Roman" w:hAnsi="Times New Roman" w:cs="Times New Roman"/>
          <w:sz w:val="24"/>
          <w:szCs w:val="24"/>
        </w:rPr>
        <w:t>,</w:t>
      </w:r>
      <w:r w:rsidRPr="00DA4F60">
        <w:rPr>
          <w:rFonts w:ascii="Times New Roman" w:eastAsia="Times New Roman" w:hAnsi="Times New Roman" w:cs="Times New Roman"/>
          <w:sz w:val="24"/>
          <w:szCs w:val="24"/>
        </w:rPr>
        <w:t xml:space="preserve"> approximately 20 percent of cancer may be linked with </w:t>
      </w:r>
      <w:r w:rsidRPr="00DA4F60">
        <w:rPr>
          <w:rFonts w:ascii="Times New Roman" w:eastAsia="Times New Roman" w:hAnsi="Times New Roman" w:cs="Times New Roman"/>
          <w:sz w:val="24"/>
          <w:szCs w:val="24"/>
        </w:rPr>
        <w:lastRenderedPageBreak/>
        <w:t>microbiome, composition of the microbiome differs greatly between normal and malignant tissues, which affects the course of cancer and the effectiveness of treatment (</w:t>
      </w:r>
      <w:proofErr w:type="spellStart"/>
      <w:r w:rsidRPr="00DA4F60">
        <w:rPr>
          <w:rFonts w:ascii="Times New Roman" w:eastAsia="Times New Roman" w:hAnsi="Times New Roman" w:cs="Times New Roman"/>
          <w:sz w:val="24"/>
          <w:szCs w:val="24"/>
        </w:rPr>
        <w:t>Doocey</w:t>
      </w:r>
      <w:proofErr w:type="spellEnd"/>
      <w:r w:rsidRPr="00DA4F60">
        <w:rPr>
          <w:rFonts w:ascii="Times New Roman" w:eastAsia="Times New Roman" w:hAnsi="Times New Roman" w:cs="Times New Roman"/>
          <w:sz w:val="24"/>
          <w:szCs w:val="24"/>
        </w:rPr>
        <w:t xml:space="preserve"> et al., 2022). For instance, certain bacterial species have been associated with improved responses to chemotherapy and immunotherapy, underscoring the potential for targeting the microbiome as a therapeutic strategy. </w:t>
      </w:r>
      <w:r w:rsidR="007F68E1" w:rsidRPr="00DA4F60">
        <w:rPr>
          <w:rFonts w:ascii="Times New Roman" w:eastAsia="Times New Roman" w:hAnsi="Times New Roman" w:cs="Times New Roman"/>
          <w:sz w:val="24"/>
          <w:szCs w:val="24"/>
        </w:rPr>
        <w:t xml:space="preserve">Understanding the various interactions inside the TME is important for creating successful cancer medicines. </w:t>
      </w:r>
      <w:r w:rsidRPr="00DA4F60">
        <w:rPr>
          <w:rFonts w:ascii="Times New Roman" w:eastAsia="Times New Roman" w:hAnsi="Times New Roman" w:cs="Times New Roman"/>
          <w:sz w:val="24"/>
          <w:szCs w:val="24"/>
        </w:rPr>
        <w:t xml:space="preserve">(Deepak et al., 2020). </w:t>
      </w:r>
      <w:commentRangeStart w:id="10"/>
      <w:r w:rsidRPr="00DA4F60">
        <w:rPr>
          <w:rFonts w:ascii="Times New Roman" w:eastAsia="Times New Roman" w:hAnsi="Times New Roman" w:cs="Times New Roman"/>
          <w:sz w:val="24"/>
          <w:szCs w:val="24"/>
        </w:rPr>
        <w:t xml:space="preserve">Targeting specific components of the TME, such as stromal cells or the extracellular matrix (ECM), has shown promise in clinical trials, suggesting that a more comprehensive approach to cancer treatment could enhance patient outcomes. </w:t>
      </w:r>
      <w:commentRangeEnd w:id="10"/>
      <w:r w:rsidR="00E625F4">
        <w:rPr>
          <w:rStyle w:val="CommentReference"/>
        </w:rPr>
        <w:commentReference w:id="10"/>
      </w:r>
      <w:r w:rsidR="007F68E1" w:rsidRPr="00DA4F60">
        <w:rPr>
          <w:rFonts w:ascii="Times New Roman" w:eastAsia="Times New Roman" w:hAnsi="Times New Roman" w:cs="Times New Roman"/>
          <w:sz w:val="24"/>
          <w:szCs w:val="24"/>
        </w:rPr>
        <w:t xml:space="preserve">Overall, the TME is not only a passive environment for </w:t>
      </w:r>
      <w:proofErr w:type="spellStart"/>
      <w:r w:rsidR="007F68E1" w:rsidRPr="00DA4F60">
        <w:rPr>
          <w:rFonts w:ascii="Times New Roman" w:eastAsia="Times New Roman" w:hAnsi="Times New Roman" w:cs="Times New Roman"/>
          <w:sz w:val="24"/>
          <w:szCs w:val="24"/>
        </w:rPr>
        <w:t>tumor</w:t>
      </w:r>
      <w:proofErr w:type="spellEnd"/>
      <w:r w:rsidR="007F68E1" w:rsidRPr="00DA4F60">
        <w:rPr>
          <w:rFonts w:ascii="Times New Roman" w:eastAsia="Times New Roman" w:hAnsi="Times New Roman" w:cs="Times New Roman"/>
          <w:sz w:val="24"/>
          <w:szCs w:val="24"/>
        </w:rPr>
        <w:t xml:space="preserve"> growth; it actively modifies the </w:t>
      </w:r>
      <w:proofErr w:type="spellStart"/>
      <w:r w:rsidR="007F68E1" w:rsidRPr="00DA4F60">
        <w:rPr>
          <w:rFonts w:ascii="Times New Roman" w:eastAsia="Times New Roman" w:hAnsi="Times New Roman" w:cs="Times New Roman"/>
          <w:sz w:val="24"/>
          <w:szCs w:val="24"/>
        </w:rPr>
        <w:t>behavior</w:t>
      </w:r>
      <w:proofErr w:type="spellEnd"/>
      <w:r w:rsidR="007F68E1" w:rsidRPr="00DA4F60">
        <w:rPr>
          <w:rFonts w:ascii="Times New Roman" w:eastAsia="Times New Roman" w:hAnsi="Times New Roman" w:cs="Times New Roman"/>
          <w:sz w:val="24"/>
          <w:szCs w:val="24"/>
        </w:rPr>
        <w:t xml:space="preserve"> of cancer cells and determines their responses to treatment, making it an important field of research in oncology </w:t>
      </w:r>
      <w:r w:rsidRPr="00DA4F60">
        <w:rPr>
          <w:rFonts w:ascii="Times New Roman" w:eastAsia="Times New Roman" w:hAnsi="Times New Roman" w:cs="Times New Roman"/>
          <w:sz w:val="24"/>
          <w:szCs w:val="24"/>
        </w:rPr>
        <w:t>(Jarosz-</w:t>
      </w:r>
      <w:proofErr w:type="spellStart"/>
      <w:r w:rsidRPr="00DA4F60">
        <w:rPr>
          <w:rFonts w:ascii="Times New Roman" w:eastAsia="Times New Roman" w:hAnsi="Times New Roman" w:cs="Times New Roman"/>
          <w:sz w:val="24"/>
          <w:szCs w:val="24"/>
        </w:rPr>
        <w:t>Biej</w:t>
      </w:r>
      <w:proofErr w:type="spellEnd"/>
      <w:r w:rsidRPr="00DA4F60">
        <w:rPr>
          <w:rFonts w:ascii="Times New Roman" w:eastAsia="Times New Roman" w:hAnsi="Times New Roman" w:cs="Times New Roman"/>
          <w:sz w:val="24"/>
          <w:szCs w:val="24"/>
        </w:rPr>
        <w:t xml:space="preserve"> et al., 2019).</w:t>
      </w:r>
    </w:p>
    <w:p w14:paraId="00000030"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5.</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 xml:space="preserve">Hallmark of cancer in </w:t>
      </w:r>
      <w:proofErr w:type="spellStart"/>
      <w:r w:rsidRPr="00DA4F60">
        <w:rPr>
          <w:rFonts w:ascii="Times New Roman" w:eastAsia="Times New Roman" w:hAnsi="Times New Roman" w:cs="Times New Roman"/>
          <w:b/>
          <w:sz w:val="24"/>
          <w:szCs w:val="24"/>
        </w:rPr>
        <w:t>tumor</w:t>
      </w:r>
      <w:proofErr w:type="spellEnd"/>
      <w:r w:rsidRPr="00DA4F60">
        <w:rPr>
          <w:rFonts w:ascii="Times New Roman" w:eastAsia="Times New Roman" w:hAnsi="Times New Roman" w:cs="Times New Roman"/>
          <w:b/>
          <w:sz w:val="24"/>
          <w:szCs w:val="24"/>
        </w:rPr>
        <w:t xml:space="preserve"> microenvironment</w:t>
      </w:r>
    </w:p>
    <w:p w14:paraId="3C6E2E46" w14:textId="3C5527DA" w:rsidR="00E2213F" w:rsidRPr="00DA4F60" w:rsidRDefault="00720F24" w:rsidP="00E2213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Cancer cells possess essential characteristics that enable them to spread and multiply, known as the hallmarks of cancer. </w:t>
      </w:r>
      <w:r w:rsidR="007F68E1" w:rsidRPr="00DA4F60">
        <w:rPr>
          <w:rFonts w:ascii="Times New Roman" w:eastAsia="Times New Roman" w:hAnsi="Times New Roman" w:cs="Times New Roman"/>
          <w:sz w:val="24"/>
          <w:szCs w:val="24"/>
        </w:rPr>
        <w:t xml:space="preserve">These hallmarks include sustaining proliferative signals, avoiding growth suppressors, resisting cell death, allowing replicative immortality, initiating angiogenesis, and triggering invasion and metastasis </w:t>
      </w:r>
      <w:r w:rsidRPr="00DA4F60">
        <w:rPr>
          <w:rFonts w:ascii="Times New Roman" w:eastAsia="Times New Roman" w:hAnsi="Times New Roman" w:cs="Times New Roman"/>
          <w:sz w:val="24"/>
          <w:szCs w:val="24"/>
        </w:rPr>
        <w:t xml:space="preserve">(Hanahan, 2022). </w:t>
      </w:r>
      <w:commentRangeStart w:id="11"/>
      <w:r w:rsidRPr="00DA4F60">
        <w:rPr>
          <w:rFonts w:ascii="Times New Roman" w:eastAsia="Times New Roman" w:hAnsi="Times New Roman" w:cs="Times New Roman"/>
          <w:sz w:val="24"/>
          <w:szCs w:val="24"/>
        </w:rPr>
        <w:t xml:space="preserve">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(TME) plays a crucial role in supporting these hallmarks.</w:t>
      </w:r>
      <w:commentRangeEnd w:id="11"/>
      <w:r w:rsidR="00847E63">
        <w:rPr>
          <w:rStyle w:val="CommentReference"/>
        </w:rPr>
        <w:commentReference w:id="11"/>
      </w:r>
      <w:r w:rsidRPr="00DA4F60">
        <w:rPr>
          <w:rFonts w:ascii="Times New Roman" w:eastAsia="Times New Roman" w:hAnsi="Times New Roman" w:cs="Times New Roman"/>
          <w:sz w:val="24"/>
          <w:szCs w:val="24"/>
        </w:rPr>
        <w:t xml:space="preserve"> For example, stromal cells within the TME can enhance cancer cell proliferation by providing mitogenic signals, thereby sustaining proliferative signaling. Additionally, TME components can help cancer cells resist cell death by secreting survival factors, complicating treatment efforts. </w:t>
      </w:r>
      <w:commentRangeStart w:id="12"/>
      <w:r w:rsidRPr="00DA4F60">
        <w:rPr>
          <w:rFonts w:ascii="Times New Roman" w:eastAsia="Times New Roman" w:hAnsi="Times New Roman" w:cs="Times New Roman"/>
          <w:sz w:val="24"/>
          <w:szCs w:val="24"/>
        </w:rPr>
        <w:t xml:space="preserve">The TME also contributes to replicative immortality by influencing telomerase activity, which is essential for cancer cells to avoid senescence (Pavlova et al., 2022). </w:t>
      </w:r>
      <w:commentRangeEnd w:id="12"/>
      <w:r w:rsidR="00847E63">
        <w:rPr>
          <w:rStyle w:val="CommentReference"/>
        </w:rPr>
        <w:commentReference w:id="12"/>
      </w:r>
      <w:r w:rsidRPr="00DA4F60">
        <w:rPr>
          <w:rFonts w:ascii="Times New Roman" w:eastAsia="Times New Roman" w:hAnsi="Times New Roman" w:cs="Times New Roman"/>
          <w:sz w:val="24"/>
          <w:szCs w:val="24"/>
        </w:rPr>
        <w:t xml:space="preserve">Moreover, the TME can modulate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growth by affecting cell cycle checkpoints and promoting inflammation, both of which are vital for cancer progression. The dynamic interactions between cancer cells and TME components are considered a hallmark of cancer, as they facilitate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initiation, progression, and metastasis, </w:t>
      </w:r>
      <w:r w:rsidR="00291737">
        <w:rPr>
          <w:rFonts w:ascii="Times New Roman" w:eastAsia="Times New Roman" w:hAnsi="Times New Roman" w:cs="Times New Roman"/>
          <w:b/>
          <w:bCs/>
          <w:sz w:val="24"/>
          <w:szCs w:val="24"/>
        </w:rPr>
        <w:t>Fig.</w:t>
      </w:r>
      <w:r w:rsidR="00DA4F60" w:rsidRPr="00DA4F60">
        <w:rPr>
          <w:rFonts w:ascii="Times New Roman" w:eastAsia="Times New Roman" w:hAnsi="Times New Roman" w:cs="Times New Roman"/>
          <w:b/>
          <w:bCs/>
          <w:sz w:val="24"/>
          <w:szCs w:val="24"/>
        </w:rPr>
        <w:t xml:space="preserve"> </w:t>
      </w:r>
      <w:r w:rsidR="00E57120" w:rsidRPr="00DA4F60">
        <w:rPr>
          <w:rFonts w:ascii="Times New Roman" w:eastAsia="Times New Roman" w:hAnsi="Times New Roman" w:cs="Times New Roman"/>
          <w:b/>
          <w:bCs/>
          <w:sz w:val="24"/>
          <w:szCs w:val="24"/>
        </w:rPr>
        <w:t>2</w:t>
      </w:r>
      <w:r w:rsidR="00E57120" w:rsidRPr="00DA4F60">
        <w:rPr>
          <w:rFonts w:ascii="Times New Roman" w:eastAsia="Times New Roman" w:hAnsi="Times New Roman" w:cs="Times New Roman"/>
          <w:sz w:val="24"/>
          <w:szCs w:val="24"/>
        </w:rPr>
        <w:t xml:space="preserve"> depicts various cancer-related hallmarks in the </w:t>
      </w:r>
      <w:proofErr w:type="spellStart"/>
      <w:r w:rsidR="00E57120" w:rsidRPr="00DA4F60">
        <w:rPr>
          <w:rFonts w:ascii="Times New Roman" w:eastAsia="Times New Roman" w:hAnsi="Times New Roman" w:cs="Times New Roman"/>
          <w:sz w:val="24"/>
          <w:szCs w:val="24"/>
        </w:rPr>
        <w:t>tumor</w:t>
      </w:r>
      <w:proofErr w:type="spellEnd"/>
      <w:r w:rsidR="00E57120" w:rsidRPr="00DA4F60">
        <w:rPr>
          <w:rFonts w:ascii="Times New Roman" w:eastAsia="Times New Roman" w:hAnsi="Times New Roman" w:cs="Times New Roman"/>
          <w:sz w:val="24"/>
          <w:szCs w:val="24"/>
        </w:rPr>
        <w:t xml:space="preserve"> microenvironment and their components</w:t>
      </w:r>
      <w:r w:rsidR="00210CEF" w:rsidRPr="00DA4F60">
        <w:rPr>
          <w:rFonts w:ascii="Times New Roman" w:eastAsia="Times New Roman" w:hAnsi="Times New Roman" w:cs="Times New Roman"/>
          <w:sz w:val="24"/>
          <w:szCs w:val="24"/>
        </w:rPr>
        <w:t xml:space="preserve"> </w:t>
      </w:r>
      <w:r w:rsidR="00210CEF" w:rsidRPr="00DA4F60">
        <w:rPr>
          <w:rFonts w:ascii="Times New Roman" w:eastAsia="Times New Roman" w:hAnsi="Times New Roman" w:cs="Times New Roman"/>
          <w:sz w:val="24"/>
          <w:szCs w:val="24"/>
        </w:rPr>
        <w:fldChar w:fldCharType="begin"/>
      </w:r>
      <w:r w:rsidR="00210CEF" w:rsidRPr="00DA4F60">
        <w:rPr>
          <w:rFonts w:ascii="Times New Roman" w:eastAsia="Times New Roman" w:hAnsi="Times New Roman" w:cs="Times New Roman"/>
          <w:sz w:val="24"/>
          <w:szCs w:val="24"/>
        </w:rPr>
        <w:instrText xml:space="preserve"> ADDIN ZOTERO_ITEM CSL_CITATION {"citationID":"oXPmumHt","properties":{"formattedCitation":"(Baghban et al., 2020)","plainCitation":"(Baghban et al., 2020)","noteIndex":0},"citationItems":[{"id":327,"uris":["http://zotero.org/users/15444919/items/E33M29UF"],"itemData":{"id":327,"type":"article-journal","abstract":"The dynamic interactions of cancer cells with their microenvironment consisting of stromal cells (cellular part) and extracellular matrix (ECM) components (non-cellular) is essential to stimulate the heterogeneity of cancer cell, clonal evolution and to increase the multidrug resistance ending in cancer cell progression and metastasis. The reciprocal cell-cell/ECM interaction and tumor cell hijacking of non-malignant cells force stromal cells to lose their function and acquire new phenotypes that promote development and invasion of tumor cells. Understanding the underlying cellular and molecular mechanisms governing these interactions can be used as a novel strategy to indirectly disrupt cancer cell interplay and contribute to the development of efficient and safe therapeutic strategies to fight cancer. Furthermore, the tumor-derived circulating materials can also be used as cancer diagnostic tools to precisely predict and monitor the outcome of therapy. This review evaluates such potentials in various advanced cancer models, with a focus on 3D systems as well as lab-on-chip devices.","container-title":"Cell Communication and Signaling","DOI":"10.1186/s12964-020-0530-4","ISSN":"1478-811X","issue":"1","journalAbbreviation":"Cell Communication and Signaling","page":"59","source":"BioMed Central","title":"Tumor microenvironment complexity and therapeutic implications at a glance","volume":"18","author":[{"family":"Baghban","given":"Roghayyeh"},{"family":"Roshangar","given":"Leila"},{"family":"Jahanban-Esfahlan","given":"Rana"},{"family":"Seidi","given":"Khaled"},{"family":"Ebrahimi-Kalan","given":"Abbas"},{"family":"Jaymand","given":"Mehdi"},{"family":"Kolahian","given":"Saeed"},{"family":"Javaheri","given":"Tahereh"},{"family":"Zare","given":"Peyman"}],"issued":{"date-parts":[["2020",4,7]]}}}],"schema":"https://github.com/citation-style-language/schema/raw/master/csl-citation.json"} </w:instrText>
      </w:r>
      <w:r w:rsidR="00210CEF" w:rsidRPr="00DA4F60">
        <w:rPr>
          <w:rFonts w:ascii="Times New Roman" w:eastAsia="Times New Roman" w:hAnsi="Times New Roman" w:cs="Times New Roman"/>
          <w:sz w:val="24"/>
          <w:szCs w:val="24"/>
        </w:rPr>
        <w:fldChar w:fldCharType="separate"/>
      </w:r>
      <w:r w:rsidR="00210CEF" w:rsidRPr="00DA4F60">
        <w:rPr>
          <w:rFonts w:ascii="Times New Roman" w:hAnsi="Times New Roman" w:cs="Times New Roman"/>
          <w:sz w:val="24"/>
          <w:szCs w:val="24"/>
        </w:rPr>
        <w:t>(Baghban et al., 2020)</w:t>
      </w:r>
      <w:r w:rsidR="00210CEF" w:rsidRPr="00DA4F60">
        <w:rPr>
          <w:rFonts w:ascii="Times New Roman" w:eastAsia="Times New Roman" w:hAnsi="Times New Roman" w:cs="Times New Roman"/>
          <w:sz w:val="24"/>
          <w:szCs w:val="24"/>
        </w:rPr>
        <w:fldChar w:fldCharType="end"/>
      </w:r>
      <w:r w:rsidR="00E57120" w:rsidRPr="00DA4F60">
        <w:rPr>
          <w:rFonts w:ascii="Times New Roman" w:eastAsia="Times New Roman" w:hAnsi="Times New Roman" w:cs="Times New Roman"/>
          <w:sz w:val="24"/>
          <w:szCs w:val="24"/>
        </w:rPr>
        <w:t>. Understanding these interactions is critical for creating tailored medicines that successfully fight cancer and improve patient outcomes</w:t>
      </w:r>
      <w:r w:rsidRPr="00DA4F60">
        <w:rPr>
          <w:rFonts w:ascii="Times New Roman" w:eastAsia="Times New Roman" w:hAnsi="Times New Roman" w:cs="Times New Roman"/>
          <w:sz w:val="24"/>
          <w:szCs w:val="24"/>
        </w:rPr>
        <w:t>. By focusing on the molecular features of TME components and their influence on cancer hallmarks, researchers aim to identify new therapeutic strategies to overcome treatment resistance and enhance the efficacy of existing therapies (Pavlova &amp; Thompson, 2016).</w:t>
      </w:r>
    </w:p>
    <w:p w14:paraId="03BFF300" w14:textId="7D9446D4" w:rsidR="00E9533F" w:rsidRPr="00DA4F60" w:rsidRDefault="00E2213F" w:rsidP="00DD5B89">
      <w:pPr>
        <w:spacing w:line="360" w:lineRule="auto"/>
        <w:ind w:left="-426"/>
        <w:jc w:val="both"/>
        <w:rPr>
          <w:rFonts w:ascii="Times New Roman" w:eastAsia="Times New Roman" w:hAnsi="Times New Roman" w:cs="Times New Roman"/>
          <w:sz w:val="24"/>
          <w:szCs w:val="24"/>
        </w:rPr>
      </w:pPr>
      <w:r w:rsidRPr="00DA4F60">
        <w:rPr>
          <w:rFonts w:ascii="Times New Roman" w:eastAsia="Times New Roman" w:hAnsi="Times New Roman" w:cs="Times New Roman"/>
          <w:noProof/>
          <w:sz w:val="24"/>
          <w:szCs w:val="24"/>
        </w:rPr>
        <w:lastRenderedPageBreak/>
        <w:drawing>
          <wp:inline distT="0" distB="0" distL="0" distR="0" wp14:anchorId="0D7473BD" wp14:editId="6A02EE79">
            <wp:extent cx="6331888" cy="4449445"/>
            <wp:effectExtent l="0" t="0" r="0" b="8255"/>
            <wp:docPr id="389951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1611" name="Picture 389951611"/>
                    <pic:cNvPicPr/>
                  </pic:nvPicPr>
                  <pic:blipFill>
                    <a:blip r:embed="rId12">
                      <a:extLst>
                        <a:ext uri="{28A0092B-C50C-407E-A947-70E740481C1C}">
                          <a14:useLocalDpi xmlns:a14="http://schemas.microsoft.com/office/drawing/2010/main" val="0"/>
                        </a:ext>
                      </a:extLst>
                    </a:blip>
                    <a:stretch>
                      <a:fillRect/>
                    </a:stretch>
                  </pic:blipFill>
                  <pic:spPr>
                    <a:xfrm>
                      <a:off x="0" y="0"/>
                      <a:ext cx="6367730" cy="4474631"/>
                    </a:xfrm>
                    <a:prstGeom prst="rect">
                      <a:avLst/>
                    </a:prstGeom>
                  </pic:spPr>
                </pic:pic>
              </a:graphicData>
            </a:graphic>
          </wp:inline>
        </w:drawing>
      </w:r>
    </w:p>
    <w:p w14:paraId="00000032" w14:textId="69F205A0" w:rsidR="00C14A47" w:rsidRPr="00DA4F60" w:rsidRDefault="00E9533F" w:rsidP="00DA4F60">
      <w:pPr>
        <w:spacing w:line="240" w:lineRule="auto"/>
        <w:ind w:right="-46"/>
        <w:jc w:val="both"/>
        <w:rPr>
          <w:rFonts w:ascii="Times New Roman" w:hAnsi="Times New Roman" w:cs="Times New Roman"/>
          <w:sz w:val="20"/>
          <w:szCs w:val="20"/>
        </w:rPr>
      </w:pPr>
      <w:bookmarkStart w:id="13" w:name="_Hlk192585858"/>
      <w:r w:rsidRPr="00DA4F60">
        <w:rPr>
          <w:rFonts w:ascii="Times New Roman" w:hAnsi="Times New Roman" w:cs="Times New Roman"/>
          <w:b/>
          <w:bCs/>
          <w:sz w:val="20"/>
          <w:szCs w:val="20"/>
        </w:rPr>
        <w:t>Fig 2</w:t>
      </w:r>
      <w:r w:rsidRPr="00DA4F60">
        <w:rPr>
          <w:rFonts w:ascii="Times New Roman" w:hAnsi="Times New Roman" w:cs="Times New Roman"/>
          <w:sz w:val="20"/>
          <w:szCs w:val="20"/>
        </w:rPr>
        <w:t>. Different types of hallmarks of cancer in the tumour microenvironment are shown. (</w:t>
      </w:r>
      <w:r w:rsidRPr="00DA4F60">
        <w:rPr>
          <w:rFonts w:ascii="Times New Roman" w:hAnsi="Times New Roman" w:cs="Times New Roman"/>
          <w:b/>
          <w:bCs/>
          <w:sz w:val="20"/>
          <w:szCs w:val="20"/>
        </w:rPr>
        <w:t>a)</w:t>
      </w:r>
      <w:r w:rsidRPr="00DA4F60">
        <w:rPr>
          <w:rFonts w:ascii="Times New Roman" w:hAnsi="Times New Roman" w:cs="Times New Roman"/>
          <w:sz w:val="20"/>
          <w:szCs w:val="20"/>
        </w:rPr>
        <w:t xml:space="preserve"> Tumour promoting inflammation, (</w:t>
      </w:r>
      <w:r w:rsidRPr="00DA4F60">
        <w:rPr>
          <w:rFonts w:ascii="Times New Roman" w:hAnsi="Times New Roman" w:cs="Times New Roman"/>
          <w:b/>
          <w:bCs/>
          <w:sz w:val="20"/>
          <w:szCs w:val="20"/>
        </w:rPr>
        <w:t>b)</w:t>
      </w:r>
      <w:r w:rsidRPr="00DA4F60">
        <w:rPr>
          <w:rFonts w:ascii="Times New Roman" w:hAnsi="Times New Roman" w:cs="Times New Roman"/>
          <w:sz w:val="20"/>
          <w:szCs w:val="20"/>
        </w:rPr>
        <w:t xml:space="preserve"> Evasion of immune destruction, (</w:t>
      </w:r>
      <w:r w:rsidRPr="00DA4F60">
        <w:rPr>
          <w:rFonts w:ascii="Times New Roman" w:hAnsi="Times New Roman" w:cs="Times New Roman"/>
          <w:b/>
          <w:bCs/>
          <w:sz w:val="20"/>
          <w:szCs w:val="20"/>
        </w:rPr>
        <w:t>c</w:t>
      </w:r>
      <w:r w:rsidRPr="00DA4F60">
        <w:rPr>
          <w:rFonts w:ascii="Times New Roman" w:hAnsi="Times New Roman" w:cs="Times New Roman"/>
          <w:sz w:val="20"/>
          <w:szCs w:val="20"/>
        </w:rPr>
        <w:t>) Replicative immortality,</w:t>
      </w:r>
      <w:r w:rsidRPr="00DA4F60">
        <w:rPr>
          <w:rFonts w:ascii="Times New Roman" w:hAnsi="Times New Roman" w:cs="Times New Roman"/>
          <w:b/>
          <w:bCs/>
          <w:sz w:val="20"/>
          <w:szCs w:val="20"/>
        </w:rPr>
        <w:t xml:space="preserve"> (d</w:t>
      </w:r>
      <w:r w:rsidRPr="00DA4F60">
        <w:rPr>
          <w:rFonts w:ascii="Times New Roman" w:hAnsi="Times New Roman" w:cs="Times New Roman"/>
          <w:sz w:val="20"/>
          <w:szCs w:val="20"/>
        </w:rPr>
        <w:t>) Angiogenesis, (</w:t>
      </w:r>
      <w:r w:rsidRPr="00DA4F60">
        <w:rPr>
          <w:rFonts w:ascii="Times New Roman" w:hAnsi="Times New Roman" w:cs="Times New Roman"/>
          <w:b/>
          <w:bCs/>
          <w:sz w:val="20"/>
          <w:szCs w:val="20"/>
        </w:rPr>
        <w:t>e)</w:t>
      </w:r>
      <w:r w:rsidRPr="00DA4F60">
        <w:rPr>
          <w:rFonts w:ascii="Times New Roman" w:hAnsi="Times New Roman" w:cs="Times New Roman"/>
          <w:sz w:val="20"/>
          <w:szCs w:val="20"/>
        </w:rPr>
        <w:t xml:space="preserve"> Invasion and Metastasis, (</w:t>
      </w:r>
      <w:r w:rsidRPr="00DA4F60">
        <w:rPr>
          <w:rFonts w:ascii="Times New Roman" w:hAnsi="Times New Roman" w:cs="Times New Roman"/>
          <w:b/>
          <w:bCs/>
          <w:sz w:val="20"/>
          <w:szCs w:val="20"/>
        </w:rPr>
        <w:t>f</w:t>
      </w:r>
      <w:r w:rsidRPr="00DA4F60">
        <w:rPr>
          <w:rFonts w:ascii="Times New Roman" w:hAnsi="Times New Roman" w:cs="Times New Roman"/>
          <w:sz w:val="20"/>
          <w:szCs w:val="20"/>
        </w:rPr>
        <w:t>) Resistance to cell death,</w:t>
      </w:r>
      <w:r w:rsidRPr="00DA4F60">
        <w:rPr>
          <w:rFonts w:ascii="Times New Roman" w:hAnsi="Times New Roman" w:cs="Times New Roman"/>
          <w:b/>
          <w:bCs/>
          <w:sz w:val="20"/>
          <w:szCs w:val="20"/>
        </w:rPr>
        <w:t xml:space="preserve"> (g)</w:t>
      </w:r>
      <w:r w:rsidRPr="00DA4F60">
        <w:rPr>
          <w:rFonts w:ascii="Times New Roman" w:hAnsi="Times New Roman" w:cs="Times New Roman"/>
          <w:sz w:val="20"/>
          <w:szCs w:val="20"/>
        </w:rPr>
        <w:t xml:space="preserve"> Evasion of growth suppressors, (</w:t>
      </w:r>
      <w:r w:rsidRPr="00DA4F60">
        <w:rPr>
          <w:rFonts w:ascii="Times New Roman" w:hAnsi="Times New Roman" w:cs="Times New Roman"/>
          <w:b/>
          <w:bCs/>
          <w:sz w:val="20"/>
          <w:szCs w:val="20"/>
        </w:rPr>
        <w:t>h)</w:t>
      </w:r>
      <w:r w:rsidRPr="00DA4F60">
        <w:rPr>
          <w:rFonts w:ascii="Times New Roman" w:hAnsi="Times New Roman" w:cs="Times New Roman"/>
          <w:sz w:val="20"/>
          <w:szCs w:val="20"/>
        </w:rPr>
        <w:t xml:space="preserve"> Sustained proliferative </w:t>
      </w:r>
      <w:commentRangeStart w:id="14"/>
      <w:r w:rsidRPr="00DA4F60">
        <w:rPr>
          <w:rFonts w:ascii="Times New Roman" w:hAnsi="Times New Roman" w:cs="Times New Roman"/>
          <w:sz w:val="20"/>
          <w:szCs w:val="20"/>
        </w:rPr>
        <w:t>signalling</w:t>
      </w:r>
      <w:commentRangeEnd w:id="14"/>
      <w:r w:rsidR="00E625F4">
        <w:rPr>
          <w:rStyle w:val="CommentReference"/>
        </w:rPr>
        <w:commentReference w:id="14"/>
      </w:r>
      <w:r w:rsidRPr="00DA4F60">
        <w:rPr>
          <w:rFonts w:ascii="Times New Roman" w:hAnsi="Times New Roman" w:cs="Times New Roman"/>
          <w:sz w:val="20"/>
          <w:szCs w:val="20"/>
        </w:rPr>
        <w:t>.</w:t>
      </w:r>
    </w:p>
    <w:bookmarkEnd w:id="13"/>
    <w:p w14:paraId="00000033"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6.</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Future Directions in Apoptosis Research</w:t>
      </w:r>
    </w:p>
    <w:p w14:paraId="00000034" w14:textId="48CC6061" w:rsidR="00C14A47" w:rsidRPr="00DA4F60" w:rsidRDefault="00720F24" w:rsidP="0031131F">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The apoptotic pathways and the </w:t>
      </w:r>
      <w:proofErr w:type="spellStart"/>
      <w:r w:rsidRPr="00DA4F60">
        <w:rPr>
          <w:rFonts w:ascii="Times New Roman" w:eastAsia="Times New Roman" w:hAnsi="Times New Roman" w:cs="Times New Roman"/>
          <w:sz w:val="24"/>
          <w:szCs w:val="24"/>
        </w:rPr>
        <w:t>tumor</w:t>
      </w:r>
      <w:proofErr w:type="spellEnd"/>
      <w:r w:rsidRPr="00DA4F60">
        <w:rPr>
          <w:rFonts w:ascii="Times New Roman" w:eastAsia="Times New Roman" w:hAnsi="Times New Roman" w:cs="Times New Roman"/>
          <w:sz w:val="24"/>
          <w:szCs w:val="24"/>
        </w:rPr>
        <w:t xml:space="preserve"> microenvironment are critical areas of research in cancer biology. </w:t>
      </w:r>
      <w:r w:rsidR="00E57120" w:rsidRPr="00DA4F60">
        <w:rPr>
          <w:rFonts w:ascii="Times New Roman" w:eastAsia="Times New Roman" w:hAnsi="Times New Roman" w:cs="Times New Roman"/>
          <w:sz w:val="24"/>
          <w:szCs w:val="24"/>
        </w:rPr>
        <w:t xml:space="preserve">One intriguing path for the future is the development of treatments that selectively target apoptotic pathways within the </w:t>
      </w:r>
      <w:proofErr w:type="spellStart"/>
      <w:r w:rsidR="00E57120" w:rsidRPr="00DA4F60">
        <w:rPr>
          <w:rFonts w:ascii="Times New Roman" w:eastAsia="Times New Roman" w:hAnsi="Times New Roman" w:cs="Times New Roman"/>
          <w:sz w:val="24"/>
          <w:szCs w:val="24"/>
        </w:rPr>
        <w:t>tumor</w:t>
      </w:r>
      <w:proofErr w:type="spellEnd"/>
      <w:r w:rsidR="00E57120" w:rsidRPr="00DA4F60">
        <w:rPr>
          <w:rFonts w:ascii="Times New Roman" w:eastAsia="Times New Roman" w:hAnsi="Times New Roman" w:cs="Times New Roman"/>
          <w:sz w:val="24"/>
          <w:szCs w:val="24"/>
        </w:rPr>
        <w:t xml:space="preserve"> microenvironment</w:t>
      </w:r>
      <w:r w:rsidRPr="00DA4F60">
        <w:rPr>
          <w:rFonts w:ascii="Times New Roman" w:eastAsia="Times New Roman" w:hAnsi="Times New Roman" w:cs="Times New Roman"/>
          <w:sz w:val="24"/>
          <w:szCs w:val="24"/>
        </w:rPr>
        <w:t xml:space="preserve">. </w:t>
      </w:r>
      <w:r w:rsidR="00A05777" w:rsidRPr="00DA4F60">
        <w:rPr>
          <w:rFonts w:ascii="Times New Roman" w:eastAsia="Times New Roman" w:hAnsi="Times New Roman" w:cs="Times New Roman"/>
          <w:sz w:val="24"/>
          <w:szCs w:val="24"/>
        </w:rPr>
        <w:t xml:space="preserve">Conventional cancer therapies, such </w:t>
      </w:r>
      <w:r w:rsidR="00291737">
        <w:rPr>
          <w:rFonts w:ascii="Times New Roman" w:eastAsia="Times New Roman" w:hAnsi="Times New Roman" w:cs="Times New Roman"/>
          <w:sz w:val="24"/>
          <w:szCs w:val="24"/>
        </w:rPr>
        <w:t xml:space="preserve">as </w:t>
      </w:r>
      <w:r w:rsidR="00A05777" w:rsidRPr="00DA4F60">
        <w:rPr>
          <w:rFonts w:ascii="Times New Roman" w:eastAsia="Times New Roman" w:hAnsi="Times New Roman" w:cs="Times New Roman"/>
          <w:sz w:val="24"/>
          <w:szCs w:val="24"/>
        </w:rPr>
        <w:t xml:space="preserve">radiation and chemotherapy, aim to cause cancer cells to undergo apoptosis; however, resistance to treatment is a major issue </w:t>
      </w:r>
      <w:r w:rsidR="00A05777" w:rsidRPr="00DA4F60">
        <w:rPr>
          <w:rFonts w:ascii="Times New Roman" w:eastAsia="Times New Roman" w:hAnsi="Times New Roman" w:cs="Times New Roman"/>
          <w:sz w:val="24"/>
          <w:szCs w:val="24"/>
        </w:rPr>
        <w:fldChar w:fldCharType="begin"/>
      </w:r>
      <w:r w:rsidR="00A05777" w:rsidRPr="00DA4F60">
        <w:rPr>
          <w:rFonts w:ascii="Times New Roman" w:eastAsia="Times New Roman" w:hAnsi="Times New Roman" w:cs="Times New Roman"/>
          <w:sz w:val="24"/>
          <w:szCs w:val="24"/>
        </w:rPr>
        <w:instrText xml:space="preserve"> ADDIN ZOTERO_ITEM CSL_CITATION {"citationID":"pMNIaduX","properties":{"formattedCitation":"(Liu et al., 2024)","plainCitation":"(Liu et al., 2024)","noteIndex":0},"citationItems":[{"id":329,"uris":["http://zotero.org/users/15444919/items/A8QZU85M"],"itemData":{"id":329,"type":"article-journal","abstract":"Traditional therapeutic approaches such as chemotherapy and radiation therapy have burdened cancer patients with onerous physical and psychological challenges. Encouragingly, the landscape of tumor treatment has undergone a comprehensive and remarkable transformation. Emerging as fervently pursued modalities are small molecule targeted agents, antibody-drug conjugates (ADCs), cell-based therapies, and gene therapy. These cutting-edge treatment modalities not only afford personalized and precise tumor targeting, but also provide patients with enhanced therapeutic comfort and the potential to impede disease progression. Nonetheless, it is acknowledged that these therapeutic strategies still harbour untapped potential for further advancement. Gaining a comprehensive understanding of the merits and limitations of these treatment modalities holds the promise of offering novel perspectives for clinical practice and foundational research endeavours. In this review, we discussed the different treatment modalities, including small molecule targeted drugs, peptide drugs, antibody drugs, cell therapy, and gene therapy. It will provide a detailed explanation of each method, addressing their status of development, clinical challenges, and potential solutions. The aim is to assist clinicians and researchers in gaining a deeper understanding of these diverse treatment options, enabling them to carry out effective treatment and advance their research more efficiently.","container-title":"Signal Transduction and Targeted Therapy","DOI":"10.1038/s41392-024-01856-7","ISSN":"2059-3635","issue":"1","journalAbbreviation":"Sig Transduct Target Ther","language":"en","license":"2024 The Author(s)","note":"publisher: Nature Publishing Group","page":"1-44","source":"www.nature.com","title":"Exploring treatment options in cancer: tumor treatment strategies","title-short":"Exploring treatment options in cancer","volume":"9","author":[{"family":"Liu","given":"Beilei"},{"family":"Zhou","given":"Hongyu"},{"family":"Tan","given":"Licheng"},{"family":"Siu","given":"Kin To Hugo"},{"family":"Guan","given":"Xin-Yuan"}],"issued":{"date-parts":[["2024",7,17]]}}}],"schema":"https://github.com/citation-style-language/schema/raw/master/csl-citation.json"} </w:instrText>
      </w:r>
      <w:r w:rsidR="00A05777" w:rsidRPr="00DA4F60">
        <w:rPr>
          <w:rFonts w:ascii="Times New Roman" w:eastAsia="Times New Roman" w:hAnsi="Times New Roman" w:cs="Times New Roman"/>
          <w:sz w:val="24"/>
          <w:szCs w:val="24"/>
        </w:rPr>
        <w:fldChar w:fldCharType="separate"/>
      </w:r>
      <w:r w:rsidR="00A05777" w:rsidRPr="00DA4F60">
        <w:rPr>
          <w:rFonts w:ascii="Times New Roman" w:hAnsi="Times New Roman" w:cs="Times New Roman"/>
          <w:sz w:val="24"/>
          <w:szCs w:val="24"/>
        </w:rPr>
        <w:t>(Liu et al., 2024)</w:t>
      </w:r>
      <w:r w:rsidR="00A05777" w:rsidRPr="00DA4F60">
        <w:rPr>
          <w:rFonts w:ascii="Times New Roman" w:eastAsia="Times New Roman" w:hAnsi="Times New Roman" w:cs="Times New Roman"/>
          <w:sz w:val="24"/>
          <w:szCs w:val="24"/>
        </w:rPr>
        <w:fldChar w:fldCharType="end"/>
      </w:r>
      <w:r w:rsidR="00E5712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Future research should focus on overcoming this resistance by targeting key regulators of apoptosis, including BCL-2 family proteins, inhibitors of Apoptosis Proteins (IAPs), and caspases (Carneiro &amp; El-</w:t>
      </w:r>
      <w:proofErr w:type="spellStart"/>
      <w:r w:rsidRPr="00DA4F60">
        <w:rPr>
          <w:rFonts w:ascii="Times New Roman" w:eastAsia="Times New Roman" w:hAnsi="Times New Roman" w:cs="Times New Roman"/>
          <w:sz w:val="24"/>
          <w:szCs w:val="24"/>
        </w:rPr>
        <w:t>Deiry</w:t>
      </w:r>
      <w:proofErr w:type="spellEnd"/>
      <w:r w:rsidRPr="00DA4F60">
        <w:rPr>
          <w:rFonts w:ascii="Times New Roman" w:eastAsia="Times New Roman" w:hAnsi="Times New Roman" w:cs="Times New Roman"/>
          <w:sz w:val="24"/>
          <w:szCs w:val="24"/>
        </w:rPr>
        <w:t xml:space="preserve">, 2020a). Currently, small molecule inhibitors like BH3 mimetics and </w:t>
      </w:r>
      <w:proofErr w:type="spellStart"/>
      <w:r w:rsidRPr="00DA4F60">
        <w:rPr>
          <w:rFonts w:ascii="Times New Roman" w:eastAsia="Times New Roman" w:hAnsi="Times New Roman" w:cs="Times New Roman"/>
          <w:sz w:val="24"/>
          <w:szCs w:val="24"/>
        </w:rPr>
        <w:t>Smac</w:t>
      </w:r>
      <w:proofErr w:type="spellEnd"/>
      <w:r w:rsidRPr="00DA4F60">
        <w:rPr>
          <w:rFonts w:ascii="Times New Roman" w:eastAsia="Times New Roman" w:hAnsi="Times New Roman" w:cs="Times New Roman"/>
          <w:sz w:val="24"/>
          <w:szCs w:val="24"/>
        </w:rPr>
        <w:t xml:space="preserve"> mimetics are being explored in clinical trials</w:t>
      </w:r>
      <w:r w:rsidR="00210CEF" w:rsidRPr="00DA4F60">
        <w:rPr>
          <w:rFonts w:ascii="Times New Roman" w:eastAsia="Times New Roman" w:hAnsi="Times New Roman" w:cs="Times New Roman"/>
          <w:sz w:val="24"/>
          <w:szCs w:val="24"/>
        </w:rPr>
        <w:t xml:space="preserve"> </w:t>
      </w:r>
      <w:r w:rsidR="00210CEF" w:rsidRPr="00DA4F60">
        <w:rPr>
          <w:rFonts w:ascii="Times New Roman" w:eastAsia="Times New Roman" w:hAnsi="Times New Roman" w:cs="Times New Roman"/>
          <w:sz w:val="24"/>
          <w:szCs w:val="24"/>
        </w:rPr>
        <w:fldChar w:fldCharType="begin"/>
      </w:r>
      <w:r w:rsidR="00210CEF" w:rsidRPr="00DA4F60">
        <w:rPr>
          <w:rFonts w:ascii="Times New Roman" w:eastAsia="Times New Roman" w:hAnsi="Times New Roman" w:cs="Times New Roman"/>
          <w:sz w:val="24"/>
          <w:szCs w:val="24"/>
        </w:rPr>
        <w:instrText xml:space="preserve"> ADDIN ZOTERO_ITEM CSL_CITATION {"citationID":"KXJmnm37","properties":{"formattedCitation":"(Townsend et al., 2021)","plainCitation":"(Townsend et al., 2021)","noteIndex":0},"citationItems":[{"id":310,"uris":["http://zotero.org/users/15444919/items/5DVM8XVN"],"itemData":{"id":310,"type":"article-journal","abstract":"The hopeful outcomes from 30 years of research in BH3-mimetics have indeed served a number of solid paradigms for targeting intermediates from the apoptosis pathway in a variety of diseased states. Not only have such rational approaches in drug design yielded several key therapeutics, such outputs have also offered insights into the integrated mechanistic aspects of basic and clinical research at the genetics level for the future. In no other area of medical research have the effects of such work been felt, than in cancer research, through targeting the BAX-Bcl-2 protein-protein interactions. With these promising outputs in mind, several mimetics, and their potential therapeutic applications, have also been developed for several other pathological conditions, such as cardiovascular disease and tissue fibrosis, thus highlighting the universal importance of the intrinsic arm of the apoptosis pathway and its input to general tissue homeostasis. Considering such recent developments, and in a field that has generated so much scientific interest, we take stock of how the broadening area of BH3-mimetics has developed and diversified, with a focus on their uses in single and combined cancer treatment regimens and recently explored therapeutic delivery methods that may aid the development of future therapeutics of this nature.","container-title":"Journal of Experimental &amp; Clinical Cancer Research","DOI":"10.1186/s13046-021-02157-5","ISSN":"1756-9966","issue":"1","journalAbbreviation":"Journal of Experimental &amp; Clinical Cancer Research","page":"355","source":"BioMed Central","title":"BH3-mimetics: recent developments in cancer therapy","title-short":"BH3-mimetics","volume":"40","author":[{"family":"Townsend","given":"Paul A."},{"family":"Kozhevnikova","given":"Maria V."},{"family":"Cexus","given":"Olivier N. F."},{"family":"Zamyatnin","given":"Andrey A."},{"family":"Soond","given":"Surinder M."}],"issued":{"date-parts":[["2021",11,9]]}}}],"schema":"https://github.com/citation-style-language/schema/raw/master/csl-citation.json"} </w:instrText>
      </w:r>
      <w:r w:rsidR="00210CEF" w:rsidRPr="00DA4F60">
        <w:rPr>
          <w:rFonts w:ascii="Times New Roman" w:eastAsia="Times New Roman" w:hAnsi="Times New Roman" w:cs="Times New Roman"/>
          <w:sz w:val="24"/>
          <w:szCs w:val="24"/>
        </w:rPr>
        <w:fldChar w:fldCharType="separate"/>
      </w:r>
      <w:r w:rsidR="00210CEF" w:rsidRPr="00DA4F60">
        <w:rPr>
          <w:rFonts w:ascii="Times New Roman" w:hAnsi="Times New Roman" w:cs="Times New Roman"/>
          <w:sz w:val="24"/>
          <w:szCs w:val="24"/>
        </w:rPr>
        <w:t>(Townsend et al., 2021)</w:t>
      </w:r>
      <w:r w:rsidR="00210CEF" w:rsidRPr="00DA4F60">
        <w:rPr>
          <w:rFonts w:ascii="Times New Roman" w:eastAsia="Times New Roman" w:hAnsi="Times New Roman" w:cs="Times New Roman"/>
          <w:sz w:val="24"/>
          <w:szCs w:val="24"/>
        </w:rPr>
        <w:fldChar w:fldCharType="end"/>
      </w:r>
      <w:r w:rsidRPr="00DA4F60">
        <w:rPr>
          <w:rFonts w:ascii="Times New Roman" w:eastAsia="Times New Roman" w:hAnsi="Times New Roman" w:cs="Times New Roman"/>
          <w:sz w:val="24"/>
          <w:szCs w:val="24"/>
        </w:rPr>
        <w:t>.</w:t>
      </w:r>
    </w:p>
    <w:p w14:paraId="00000035" w14:textId="77777777" w:rsidR="00C14A47" w:rsidRPr="00DA4F60" w:rsidRDefault="00720F24" w:rsidP="0031131F">
      <w:pPr>
        <w:spacing w:line="360" w:lineRule="auto"/>
        <w:ind w:right="-46"/>
        <w:jc w:val="both"/>
        <w:rPr>
          <w:rFonts w:ascii="Times New Roman" w:eastAsia="Times New Roman" w:hAnsi="Times New Roman" w:cs="Times New Roman"/>
          <w:sz w:val="24"/>
          <w:szCs w:val="24"/>
        </w:rPr>
      </w:pPr>
      <w:r w:rsidRPr="00DA4F60">
        <w:rPr>
          <w:rFonts w:ascii="Times New Roman" w:eastAsia="Times New Roman" w:hAnsi="Times New Roman" w:cs="Times New Roman"/>
          <w:b/>
          <w:sz w:val="24"/>
          <w:szCs w:val="24"/>
        </w:rPr>
        <w:t>7.</w:t>
      </w:r>
      <w:r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b/>
          <w:sz w:val="24"/>
          <w:szCs w:val="24"/>
        </w:rPr>
        <w:t>Conclusion</w:t>
      </w:r>
    </w:p>
    <w:p w14:paraId="00000036" w14:textId="33ECDE5A" w:rsidR="00C14A47" w:rsidRPr="00DA4F60" w:rsidRDefault="00720F24" w:rsidP="00DA4F60">
      <w:pPr>
        <w:spacing w:line="360" w:lineRule="auto"/>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Apoptosis is essential for eliminating unwanted cells</w:t>
      </w:r>
      <w:r w:rsidR="000D4B5F">
        <w:rPr>
          <w:rFonts w:ascii="Times New Roman" w:eastAsia="Times New Roman" w:hAnsi="Times New Roman" w:cs="Times New Roman"/>
          <w:color w:val="000000"/>
          <w:sz w:val="24"/>
          <w:szCs w:val="24"/>
        </w:rPr>
        <w:t>,</w:t>
      </w:r>
      <w:r w:rsidRPr="00DA4F60">
        <w:rPr>
          <w:rFonts w:ascii="Times New Roman" w:eastAsia="Times New Roman" w:hAnsi="Times New Roman" w:cs="Times New Roman"/>
          <w:color w:val="000000"/>
          <w:sz w:val="24"/>
          <w:szCs w:val="24"/>
        </w:rPr>
        <w:t xml:space="preserve"> and additionally, which could potentially become cancerous due to genetic damage, or the stress caused by treatments. It plays a crucial </w:t>
      </w:r>
      <w:r w:rsidRPr="00DA4F60">
        <w:rPr>
          <w:rFonts w:ascii="Times New Roman" w:eastAsia="Times New Roman" w:hAnsi="Times New Roman" w:cs="Times New Roman"/>
          <w:color w:val="000000"/>
          <w:sz w:val="24"/>
          <w:szCs w:val="24"/>
        </w:rPr>
        <w:lastRenderedPageBreak/>
        <w:t xml:space="preserve">role in preventing the progression of cancer. </w:t>
      </w:r>
      <w:r w:rsidR="00E57120" w:rsidRPr="00DA4F60">
        <w:rPr>
          <w:rFonts w:ascii="Times New Roman" w:eastAsia="Times New Roman" w:hAnsi="Times New Roman" w:cs="Times New Roman"/>
          <w:sz w:val="24"/>
          <w:szCs w:val="24"/>
        </w:rPr>
        <w:t xml:space="preserve">However, many cancer cells have developed apoptosis evasion methods, allowing them to survive and multiply in the face of therapeutic therapies. </w:t>
      </w:r>
      <w:r w:rsidRPr="00DA4F60">
        <w:rPr>
          <w:rFonts w:ascii="Times New Roman" w:eastAsia="Times New Roman" w:hAnsi="Times New Roman" w:cs="Times New Roman"/>
          <w:color w:val="000000"/>
          <w:sz w:val="24"/>
          <w:szCs w:val="24"/>
        </w:rPr>
        <w:t xml:space="preserve">This evasion is a significant factor contributing to cancer progression and resistance to treatment. IAPs play a particularly important role in this process, as they prevent apoptosis, leading to increased cell survival and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growth. </w:t>
      </w:r>
      <w:r w:rsidR="00E57120" w:rsidRPr="00DA4F60">
        <w:rPr>
          <w:rFonts w:ascii="Times New Roman" w:eastAsia="Times New Roman" w:hAnsi="Times New Roman" w:cs="Times New Roman"/>
          <w:sz w:val="24"/>
          <w:szCs w:val="24"/>
        </w:rPr>
        <w:t>Targeting IAPs has emerged as a possible therapeutic method to overcome treatment resistance</w:t>
      </w:r>
      <w:r w:rsidRPr="00DA4F60">
        <w:rPr>
          <w:rFonts w:ascii="Times New Roman" w:eastAsia="Times New Roman" w:hAnsi="Times New Roman" w:cs="Times New Roman"/>
          <w:color w:val="000000"/>
          <w:sz w:val="24"/>
          <w:szCs w:val="24"/>
        </w:rPr>
        <w:t xml:space="preserve">. </w:t>
      </w:r>
      <w:r w:rsidR="00E57120" w:rsidRPr="00DA4F60">
        <w:rPr>
          <w:rFonts w:ascii="Times New Roman" w:eastAsia="Times New Roman" w:hAnsi="Times New Roman" w:cs="Times New Roman"/>
          <w:sz w:val="24"/>
          <w:szCs w:val="24"/>
        </w:rPr>
        <w:t xml:space="preserve">Targeting IAPs has emerged as a potential therapeutic approach for overcoming treatment resistance. Future research should aim to overcome apoptosis resistance by targeting critical regulators such as Bcl-2 family proteins and IAPs. </w:t>
      </w:r>
      <w:r w:rsidRPr="00DA4F60">
        <w:rPr>
          <w:rFonts w:ascii="Times New Roman" w:eastAsia="Times New Roman" w:hAnsi="Times New Roman" w:cs="Times New Roman"/>
          <w:color w:val="000000"/>
          <w:sz w:val="24"/>
          <w:szCs w:val="24"/>
        </w:rPr>
        <w:t>Moreover, developing therapies that specifically target apoptotic pathways within the TME is crucial for improving cancer treatment outcomes.</w:t>
      </w:r>
    </w:p>
    <w:p w14:paraId="63807582" w14:textId="3D30A9B9" w:rsidR="00501EAB" w:rsidRPr="00DA4F60" w:rsidRDefault="00501EAB" w:rsidP="00DA4F60">
      <w:pPr>
        <w:spacing w:line="360" w:lineRule="auto"/>
        <w:jc w:val="both"/>
        <w:rPr>
          <w:rFonts w:ascii="Times New Roman" w:eastAsia="Times New Roman" w:hAnsi="Times New Roman" w:cs="Times New Roman"/>
          <w:b/>
          <w:bCs/>
          <w:sz w:val="24"/>
          <w:szCs w:val="24"/>
        </w:rPr>
      </w:pPr>
      <w:r w:rsidRPr="00DA4F60">
        <w:rPr>
          <w:rFonts w:ascii="Times New Roman" w:eastAsia="Times New Roman" w:hAnsi="Times New Roman" w:cs="Times New Roman"/>
          <w:b/>
          <w:bCs/>
          <w:sz w:val="24"/>
          <w:szCs w:val="24"/>
        </w:rPr>
        <w:t>Disclaimer (artificial intelligence)</w:t>
      </w:r>
    </w:p>
    <w:p w14:paraId="6A0E90F2" w14:textId="164372B9" w:rsidR="00501EAB" w:rsidRPr="00DA4F60" w:rsidRDefault="00501EAB" w:rsidP="00DA4F60">
      <w:pPr>
        <w:spacing w:line="360" w:lineRule="auto"/>
        <w:jc w:val="both"/>
        <w:rPr>
          <w:rFonts w:ascii="Times New Roman" w:eastAsia="Times New Roman" w:hAnsi="Times New Roman" w:cs="Times New Roman"/>
          <w:sz w:val="24"/>
          <w:szCs w:val="24"/>
        </w:rPr>
      </w:pPr>
      <w:r w:rsidRPr="00DA4F60">
        <w:rPr>
          <w:rFonts w:ascii="Times New Roman" w:eastAsia="Times New Roman" w:hAnsi="Times New Roman" w:cs="Times New Roman"/>
          <w:sz w:val="24"/>
          <w:szCs w:val="24"/>
        </w:rPr>
        <w:t xml:space="preserve">Author(s) hereby </w:t>
      </w:r>
      <w:r w:rsidR="00DA4F60" w:rsidRPr="00DA4F60">
        <w:rPr>
          <w:rFonts w:ascii="Times New Roman" w:eastAsia="Times New Roman" w:hAnsi="Times New Roman" w:cs="Times New Roman"/>
          <w:sz w:val="24"/>
          <w:szCs w:val="24"/>
        </w:rPr>
        <w:t>declares</w:t>
      </w:r>
      <w:r w:rsidRPr="00DA4F60">
        <w:rPr>
          <w:rFonts w:ascii="Times New Roman" w:eastAsia="Times New Roman" w:hAnsi="Times New Roman" w:cs="Times New Roman"/>
          <w:sz w:val="24"/>
          <w:szCs w:val="24"/>
        </w:rPr>
        <w:t xml:space="preserve"> that NO generative AI technologies </w:t>
      </w:r>
      <w:r w:rsidR="00DA4F60" w:rsidRPr="00DA4F60">
        <w:rPr>
          <w:rFonts w:ascii="Times New Roman" w:eastAsia="Times New Roman" w:hAnsi="Times New Roman" w:cs="Times New Roman"/>
          <w:sz w:val="24"/>
          <w:szCs w:val="24"/>
        </w:rPr>
        <w:t>such as</w:t>
      </w:r>
      <w:r w:rsidRPr="00DA4F60">
        <w:rPr>
          <w:rFonts w:ascii="Times New Roman" w:eastAsia="Times New Roman" w:hAnsi="Times New Roman" w:cs="Times New Roman"/>
          <w:sz w:val="24"/>
          <w:szCs w:val="24"/>
        </w:rPr>
        <w:t xml:space="preserve"> Large Language Models</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(ChatGPT,</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COPILOT,</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etc.)</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and</w:t>
      </w:r>
      <w:r w:rsidR="00DA4F60" w:rsidRPr="00DA4F60">
        <w:rPr>
          <w:rFonts w:ascii="Times New Roman" w:eastAsia="Times New Roman" w:hAnsi="Times New Roman" w:cs="Times New Roman"/>
          <w:sz w:val="24"/>
          <w:szCs w:val="24"/>
        </w:rPr>
        <w:t xml:space="preserve"> </w:t>
      </w:r>
      <w:r w:rsidRPr="00DA4F60">
        <w:rPr>
          <w:rFonts w:ascii="Times New Roman" w:eastAsia="Times New Roman" w:hAnsi="Times New Roman" w:cs="Times New Roman"/>
          <w:sz w:val="24"/>
          <w:szCs w:val="24"/>
        </w:rPr>
        <w:t xml:space="preserve">text-to-image generators have been used during the writing or editing of this manuscript. </w:t>
      </w:r>
    </w:p>
    <w:p w14:paraId="6E0BF027" w14:textId="77777777" w:rsidR="007725B6" w:rsidRDefault="007725B6" w:rsidP="0031131F">
      <w:pPr>
        <w:spacing w:line="360" w:lineRule="auto"/>
        <w:ind w:right="-46"/>
        <w:jc w:val="both"/>
        <w:rPr>
          <w:rFonts w:ascii="Times New Roman" w:eastAsia="Times New Roman" w:hAnsi="Times New Roman" w:cs="Times New Roman"/>
          <w:b/>
          <w:sz w:val="24"/>
          <w:szCs w:val="24"/>
        </w:rPr>
      </w:pPr>
    </w:p>
    <w:p w14:paraId="00000037" w14:textId="498E2AC7" w:rsidR="00C14A47" w:rsidRPr="00DA4F60" w:rsidRDefault="00720F24" w:rsidP="0031131F">
      <w:pPr>
        <w:spacing w:line="360" w:lineRule="auto"/>
        <w:ind w:right="-46"/>
        <w:jc w:val="both"/>
        <w:rPr>
          <w:rFonts w:ascii="Times New Roman" w:eastAsia="Times New Roman" w:hAnsi="Times New Roman" w:cs="Times New Roman"/>
          <w:b/>
          <w:sz w:val="24"/>
          <w:szCs w:val="24"/>
        </w:rPr>
      </w:pPr>
      <w:r w:rsidRPr="00DA4F60">
        <w:rPr>
          <w:rFonts w:ascii="Times New Roman" w:eastAsia="Times New Roman" w:hAnsi="Times New Roman" w:cs="Times New Roman"/>
          <w:b/>
          <w:sz w:val="24"/>
          <w:szCs w:val="24"/>
        </w:rPr>
        <w:t>Referenc</w:t>
      </w:r>
      <w:r w:rsidR="00DD5B89">
        <w:rPr>
          <w:rFonts w:ascii="Times New Roman" w:eastAsia="Times New Roman" w:hAnsi="Times New Roman" w:cs="Times New Roman"/>
          <w:b/>
          <w:sz w:val="24"/>
          <w:szCs w:val="24"/>
        </w:rPr>
        <w:t>es:</w:t>
      </w:r>
    </w:p>
    <w:p w14:paraId="00000038"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Annibaldi</w:t>
      </w:r>
      <w:proofErr w:type="spellEnd"/>
      <w:r w:rsidRPr="00DA4F60">
        <w:rPr>
          <w:rFonts w:ascii="Times New Roman" w:eastAsia="Times New Roman" w:hAnsi="Times New Roman" w:cs="Times New Roman"/>
          <w:color w:val="000000"/>
          <w:sz w:val="24"/>
          <w:szCs w:val="24"/>
        </w:rPr>
        <w:t xml:space="preserve">, A., &amp; Walczak, H. (2020). Death Receptors and Their Ligands in Inflammatory Disease and Cancer. </w:t>
      </w:r>
      <w:r w:rsidRPr="00DA4F60">
        <w:rPr>
          <w:rFonts w:ascii="Times New Roman" w:eastAsia="Times New Roman" w:hAnsi="Times New Roman" w:cs="Times New Roman"/>
          <w:i/>
          <w:color w:val="000000"/>
          <w:sz w:val="24"/>
          <w:szCs w:val="24"/>
        </w:rPr>
        <w:t>Cold Spring Harbor Perspectives in 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12</w:t>
      </w:r>
      <w:r w:rsidRPr="00DA4F60">
        <w:rPr>
          <w:rFonts w:ascii="Times New Roman" w:eastAsia="Times New Roman" w:hAnsi="Times New Roman" w:cs="Times New Roman"/>
          <w:color w:val="000000"/>
          <w:sz w:val="24"/>
          <w:szCs w:val="24"/>
        </w:rPr>
        <w:t>(9), a036384. https://doi.org/10.1101/cshperspect.a036384</w:t>
      </w:r>
    </w:p>
    <w:p w14:paraId="00000039"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Blum, S., Tsilimidos, G., Bresser, H., &amp; </w:t>
      </w:r>
      <w:proofErr w:type="spellStart"/>
      <w:r w:rsidRPr="00DA4F60">
        <w:rPr>
          <w:rFonts w:ascii="Times New Roman" w:eastAsia="Times New Roman" w:hAnsi="Times New Roman" w:cs="Times New Roman"/>
          <w:color w:val="000000"/>
          <w:sz w:val="24"/>
          <w:szCs w:val="24"/>
        </w:rPr>
        <w:t>Lübbert</w:t>
      </w:r>
      <w:proofErr w:type="spellEnd"/>
      <w:r w:rsidRPr="00DA4F60">
        <w:rPr>
          <w:rFonts w:ascii="Times New Roman" w:eastAsia="Times New Roman" w:hAnsi="Times New Roman" w:cs="Times New Roman"/>
          <w:color w:val="000000"/>
          <w:sz w:val="24"/>
          <w:szCs w:val="24"/>
        </w:rPr>
        <w:t xml:space="preserve">, M. (2023). Role of Bcl-2 inhibition in myelodysplastic syndromes. </w:t>
      </w:r>
      <w:r w:rsidRPr="00DA4F60">
        <w:rPr>
          <w:rFonts w:ascii="Times New Roman" w:eastAsia="Times New Roman" w:hAnsi="Times New Roman" w:cs="Times New Roman"/>
          <w:i/>
          <w:color w:val="000000"/>
          <w:sz w:val="24"/>
          <w:szCs w:val="24"/>
        </w:rPr>
        <w:t>International Journal of Cancer</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152</w:t>
      </w:r>
      <w:r w:rsidRPr="00DA4F60">
        <w:rPr>
          <w:rFonts w:ascii="Times New Roman" w:eastAsia="Times New Roman" w:hAnsi="Times New Roman" w:cs="Times New Roman"/>
          <w:color w:val="000000"/>
          <w:sz w:val="24"/>
          <w:szCs w:val="24"/>
        </w:rPr>
        <w:t>(8), 1526–1535. https://doi.org/10.1002/ijc.34377</w:t>
      </w:r>
    </w:p>
    <w:p w14:paraId="0000003A"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Carneiro, B. A., &amp; El-</w:t>
      </w:r>
      <w:proofErr w:type="spellStart"/>
      <w:r w:rsidRPr="00DA4F60">
        <w:rPr>
          <w:rFonts w:ascii="Times New Roman" w:eastAsia="Times New Roman" w:hAnsi="Times New Roman" w:cs="Times New Roman"/>
          <w:color w:val="000000"/>
          <w:sz w:val="24"/>
          <w:szCs w:val="24"/>
        </w:rPr>
        <w:t>Deiry</w:t>
      </w:r>
      <w:proofErr w:type="spellEnd"/>
      <w:r w:rsidRPr="00DA4F60">
        <w:rPr>
          <w:rFonts w:ascii="Times New Roman" w:eastAsia="Times New Roman" w:hAnsi="Times New Roman" w:cs="Times New Roman"/>
          <w:color w:val="000000"/>
          <w:sz w:val="24"/>
          <w:szCs w:val="24"/>
        </w:rPr>
        <w:t xml:space="preserve">, W. S. (2020a). Targeting apoptosis in cancer therapy. </w:t>
      </w:r>
      <w:r w:rsidRPr="00DA4F60">
        <w:rPr>
          <w:rFonts w:ascii="Times New Roman" w:eastAsia="Times New Roman" w:hAnsi="Times New Roman" w:cs="Times New Roman"/>
          <w:i/>
          <w:color w:val="000000"/>
          <w:sz w:val="24"/>
          <w:szCs w:val="24"/>
        </w:rPr>
        <w:t>Nature Reviews Clinical Oncology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17</w:t>
      </w:r>
      <w:r w:rsidRPr="00DA4F60">
        <w:rPr>
          <w:rFonts w:ascii="Times New Roman" w:eastAsia="Times New Roman" w:hAnsi="Times New Roman" w:cs="Times New Roman"/>
          <w:color w:val="000000"/>
          <w:sz w:val="24"/>
          <w:szCs w:val="24"/>
        </w:rPr>
        <w:t>(7), 395–417. https://doi.org/10.1038/s41571-020-0341-y</w:t>
      </w:r>
    </w:p>
    <w:p w14:paraId="0000003B"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Carneiro, B. A., &amp; El-</w:t>
      </w:r>
      <w:proofErr w:type="spellStart"/>
      <w:r w:rsidRPr="00DA4F60">
        <w:rPr>
          <w:rFonts w:ascii="Times New Roman" w:eastAsia="Times New Roman" w:hAnsi="Times New Roman" w:cs="Times New Roman"/>
          <w:color w:val="000000"/>
          <w:sz w:val="24"/>
          <w:szCs w:val="24"/>
        </w:rPr>
        <w:t>Deiry</w:t>
      </w:r>
      <w:proofErr w:type="spellEnd"/>
      <w:r w:rsidRPr="00DA4F60">
        <w:rPr>
          <w:rFonts w:ascii="Times New Roman" w:eastAsia="Times New Roman" w:hAnsi="Times New Roman" w:cs="Times New Roman"/>
          <w:color w:val="000000"/>
          <w:sz w:val="24"/>
          <w:szCs w:val="24"/>
        </w:rPr>
        <w:t xml:space="preserve">, W. S. (2020b). Targeting apoptosis in cancer therapy. </w:t>
      </w:r>
      <w:r w:rsidRPr="00DA4F60">
        <w:rPr>
          <w:rFonts w:ascii="Times New Roman" w:eastAsia="Times New Roman" w:hAnsi="Times New Roman" w:cs="Times New Roman"/>
          <w:i/>
          <w:color w:val="000000"/>
          <w:sz w:val="24"/>
          <w:szCs w:val="24"/>
        </w:rPr>
        <w:t>Nature Reviews. Clinical Oncology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17</w:t>
      </w:r>
      <w:r w:rsidRPr="00DA4F60">
        <w:rPr>
          <w:rFonts w:ascii="Times New Roman" w:eastAsia="Times New Roman" w:hAnsi="Times New Roman" w:cs="Times New Roman"/>
          <w:color w:val="000000"/>
          <w:sz w:val="24"/>
          <w:szCs w:val="24"/>
        </w:rPr>
        <w:t>(7), 395–417. https://doi.org/10.1038/s41571-020-0341-y</w:t>
      </w:r>
    </w:p>
    <w:p w14:paraId="0000003C"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Costigan, A., </w:t>
      </w:r>
      <w:proofErr w:type="spellStart"/>
      <w:r w:rsidRPr="00DA4F60">
        <w:rPr>
          <w:rFonts w:ascii="Times New Roman" w:eastAsia="Times New Roman" w:hAnsi="Times New Roman" w:cs="Times New Roman"/>
          <w:color w:val="000000"/>
          <w:sz w:val="24"/>
          <w:szCs w:val="24"/>
        </w:rPr>
        <w:t>Hollville</w:t>
      </w:r>
      <w:proofErr w:type="spellEnd"/>
      <w:r w:rsidRPr="00DA4F60">
        <w:rPr>
          <w:rFonts w:ascii="Times New Roman" w:eastAsia="Times New Roman" w:hAnsi="Times New Roman" w:cs="Times New Roman"/>
          <w:color w:val="000000"/>
          <w:sz w:val="24"/>
          <w:szCs w:val="24"/>
        </w:rPr>
        <w:t xml:space="preserve">, E., &amp; Martin, S. J. (2023). Discriminating Between Apoptosis, Necrosis, Necroptosis, and Ferroptosis by Microscopy and Flow Cytometry. </w:t>
      </w:r>
      <w:r w:rsidRPr="00DA4F60">
        <w:rPr>
          <w:rFonts w:ascii="Times New Roman" w:eastAsia="Times New Roman" w:hAnsi="Times New Roman" w:cs="Times New Roman"/>
          <w:i/>
          <w:color w:val="000000"/>
          <w:sz w:val="24"/>
          <w:szCs w:val="24"/>
        </w:rPr>
        <w:t>Current Protocols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3</w:t>
      </w:r>
      <w:r w:rsidRPr="00DA4F60">
        <w:rPr>
          <w:rFonts w:ascii="Times New Roman" w:eastAsia="Times New Roman" w:hAnsi="Times New Roman" w:cs="Times New Roman"/>
          <w:color w:val="000000"/>
          <w:sz w:val="24"/>
          <w:szCs w:val="24"/>
        </w:rPr>
        <w:t>(12), e951. https://doi.org/10.1002/cpz1.951</w:t>
      </w:r>
    </w:p>
    <w:p w14:paraId="0000003D"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lastRenderedPageBreak/>
        <w:t xml:space="preserve">D’Arcy, M. S. (2019). Cell death: A review of the major forms of apoptosis, necrosis and autophagy. </w:t>
      </w:r>
      <w:r w:rsidRPr="00DA4F60">
        <w:rPr>
          <w:rFonts w:ascii="Times New Roman" w:eastAsia="Times New Roman" w:hAnsi="Times New Roman" w:cs="Times New Roman"/>
          <w:i/>
          <w:color w:val="000000"/>
          <w:sz w:val="24"/>
          <w:szCs w:val="24"/>
        </w:rPr>
        <w:t>Cell Biology International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43</w:t>
      </w:r>
      <w:r w:rsidRPr="00DA4F60">
        <w:rPr>
          <w:rFonts w:ascii="Times New Roman" w:eastAsia="Times New Roman" w:hAnsi="Times New Roman" w:cs="Times New Roman"/>
          <w:color w:val="000000"/>
          <w:sz w:val="24"/>
          <w:szCs w:val="24"/>
        </w:rPr>
        <w:t>(6), 582–592. https://doi.org/10.1002/cbin.11137</w:t>
      </w:r>
    </w:p>
    <w:p w14:paraId="0000003E"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de Visser, K. E., &amp; Joyce, J. A. (2023). The evolving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From cancer initiation to metastatic outgrowth. </w:t>
      </w:r>
      <w:r w:rsidRPr="00DA4F60">
        <w:rPr>
          <w:rFonts w:ascii="Times New Roman" w:eastAsia="Times New Roman" w:hAnsi="Times New Roman" w:cs="Times New Roman"/>
          <w:i/>
          <w:color w:val="000000"/>
          <w:sz w:val="24"/>
          <w:szCs w:val="24"/>
        </w:rPr>
        <w:t>Cancer Cell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41</w:t>
      </w:r>
      <w:r w:rsidRPr="00DA4F60">
        <w:rPr>
          <w:rFonts w:ascii="Times New Roman" w:eastAsia="Times New Roman" w:hAnsi="Times New Roman" w:cs="Times New Roman"/>
          <w:color w:val="000000"/>
          <w:sz w:val="24"/>
          <w:szCs w:val="24"/>
        </w:rPr>
        <w:t>(3), 374–403. https://doi.org/10.1016/j.ccell.2023.02.016</w:t>
      </w:r>
    </w:p>
    <w:p w14:paraId="0000003F"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Deepak, K. G. K., Vempati, R., Nagaraju, G. P., Dasari, V. R., S, N., Rao, D. N., &amp; Malla, R. R. (2020).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Challenges and opportunities in targeting metastasis of triple negative breast cancer. </w:t>
      </w:r>
      <w:r w:rsidRPr="00DA4F60">
        <w:rPr>
          <w:rFonts w:ascii="Times New Roman" w:eastAsia="Times New Roman" w:hAnsi="Times New Roman" w:cs="Times New Roman"/>
          <w:i/>
          <w:color w:val="000000"/>
          <w:sz w:val="24"/>
          <w:szCs w:val="24"/>
        </w:rPr>
        <w:t>Pharmacological Research</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153</w:t>
      </w:r>
      <w:r w:rsidRPr="00DA4F60">
        <w:rPr>
          <w:rFonts w:ascii="Times New Roman" w:eastAsia="Times New Roman" w:hAnsi="Times New Roman" w:cs="Times New Roman"/>
          <w:color w:val="000000"/>
          <w:sz w:val="24"/>
          <w:szCs w:val="24"/>
        </w:rPr>
        <w:t>, 104683. https://doi.org/10.1016/j.phrs.2020.104683</w:t>
      </w:r>
    </w:p>
    <w:p w14:paraId="00000040"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Doocey</w:t>
      </w:r>
      <w:proofErr w:type="spellEnd"/>
      <w:r w:rsidRPr="00DA4F60">
        <w:rPr>
          <w:rFonts w:ascii="Times New Roman" w:eastAsia="Times New Roman" w:hAnsi="Times New Roman" w:cs="Times New Roman"/>
          <w:color w:val="000000"/>
          <w:sz w:val="24"/>
          <w:szCs w:val="24"/>
        </w:rPr>
        <w:t xml:space="preserve">, C. M., Finn, K., Murphy, C., &amp; Guinane, C. M. (2022). The impact of the human microbiome in tumorigenesis, cancer progression, and biotherapeutic development. </w:t>
      </w:r>
      <w:r w:rsidRPr="00DA4F60">
        <w:rPr>
          <w:rFonts w:ascii="Times New Roman" w:eastAsia="Times New Roman" w:hAnsi="Times New Roman" w:cs="Times New Roman"/>
          <w:i/>
          <w:color w:val="000000"/>
          <w:sz w:val="24"/>
          <w:szCs w:val="24"/>
        </w:rPr>
        <w:t>BMC Microbiology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22</w:t>
      </w:r>
      <w:r w:rsidRPr="00DA4F60">
        <w:rPr>
          <w:rFonts w:ascii="Times New Roman" w:eastAsia="Times New Roman" w:hAnsi="Times New Roman" w:cs="Times New Roman"/>
          <w:color w:val="000000"/>
          <w:sz w:val="24"/>
          <w:szCs w:val="24"/>
        </w:rPr>
        <w:t>(1), 53. https://doi.org/10.1186/s12866-022-02465-6</w:t>
      </w:r>
    </w:p>
    <w:p w14:paraId="00000041"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Hanahan, D. (2022). Hallmarks of Cancer: New Dimensions. </w:t>
      </w:r>
      <w:r w:rsidRPr="00DA4F60">
        <w:rPr>
          <w:rFonts w:ascii="Times New Roman" w:eastAsia="Times New Roman" w:hAnsi="Times New Roman" w:cs="Times New Roman"/>
          <w:i/>
          <w:color w:val="000000"/>
          <w:sz w:val="24"/>
          <w:szCs w:val="24"/>
        </w:rPr>
        <w:t>Cancer Discovery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12</w:t>
      </w:r>
      <w:r w:rsidRPr="00DA4F60">
        <w:rPr>
          <w:rFonts w:ascii="Times New Roman" w:eastAsia="Times New Roman" w:hAnsi="Times New Roman" w:cs="Times New Roman"/>
          <w:color w:val="000000"/>
          <w:sz w:val="24"/>
          <w:szCs w:val="24"/>
        </w:rPr>
        <w:t>(1), 31–46. https://doi.org/10.1158/2159-8290.CD-21-1059</w:t>
      </w:r>
    </w:p>
    <w:p w14:paraId="00000042"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He, R., Liu, Y., Fu, W., He, X., Liu, S., Xiao, D., &amp; Tao, Y. (2024). Mechanisms and cross-talk of regulated cell death and their epigenetic modifications in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progression. </w:t>
      </w:r>
      <w:r w:rsidRPr="00DA4F60">
        <w:rPr>
          <w:rFonts w:ascii="Times New Roman" w:eastAsia="Times New Roman" w:hAnsi="Times New Roman" w:cs="Times New Roman"/>
          <w:i/>
          <w:color w:val="000000"/>
          <w:sz w:val="24"/>
          <w:szCs w:val="24"/>
        </w:rPr>
        <w:t>Molecular Cancer</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23</w:t>
      </w:r>
      <w:r w:rsidRPr="00DA4F60">
        <w:rPr>
          <w:rFonts w:ascii="Times New Roman" w:eastAsia="Times New Roman" w:hAnsi="Times New Roman" w:cs="Times New Roman"/>
          <w:color w:val="000000"/>
          <w:sz w:val="24"/>
          <w:szCs w:val="24"/>
        </w:rPr>
        <w:t>(1), 267. https://doi.org/10.1186/s12943-024-02172-y</w:t>
      </w:r>
    </w:p>
    <w:p w14:paraId="00000043"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Jan, R., &amp; Chaudhry, G.-S. (2019a). Understanding Apoptosis and Apoptotic Pathways Targeted Cancer Therapeutics. </w:t>
      </w:r>
      <w:r w:rsidRPr="00DA4F60">
        <w:rPr>
          <w:rFonts w:ascii="Times New Roman" w:eastAsia="Times New Roman" w:hAnsi="Times New Roman" w:cs="Times New Roman"/>
          <w:i/>
          <w:color w:val="000000"/>
          <w:sz w:val="24"/>
          <w:szCs w:val="24"/>
        </w:rPr>
        <w:t>Advanced Pharmaceutical Bulletin</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9</w:t>
      </w:r>
      <w:r w:rsidRPr="00DA4F60">
        <w:rPr>
          <w:rFonts w:ascii="Times New Roman" w:eastAsia="Times New Roman" w:hAnsi="Times New Roman" w:cs="Times New Roman"/>
          <w:color w:val="000000"/>
          <w:sz w:val="24"/>
          <w:szCs w:val="24"/>
        </w:rPr>
        <w:t>(2), 205–218. https://doi.org/10.15171/apb.2019.024</w:t>
      </w:r>
    </w:p>
    <w:p w14:paraId="00000044"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Jan, R., &amp; Chaudhry, G.-S. (2019b). Understanding Apoptosis and Apoptotic Pathways Targeted Cancer Therapeutics. </w:t>
      </w:r>
      <w:r w:rsidRPr="00DA4F60">
        <w:rPr>
          <w:rFonts w:ascii="Times New Roman" w:eastAsia="Times New Roman" w:hAnsi="Times New Roman" w:cs="Times New Roman"/>
          <w:i/>
          <w:color w:val="000000"/>
          <w:sz w:val="24"/>
          <w:szCs w:val="24"/>
        </w:rPr>
        <w:t>Advanced Pharmaceutical Bulletin</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9</w:t>
      </w:r>
      <w:r w:rsidRPr="00DA4F60">
        <w:rPr>
          <w:rFonts w:ascii="Times New Roman" w:eastAsia="Times New Roman" w:hAnsi="Times New Roman" w:cs="Times New Roman"/>
          <w:color w:val="000000"/>
          <w:sz w:val="24"/>
          <w:szCs w:val="24"/>
        </w:rPr>
        <w:t>(2), 205–218. https://doi.org/10.15171/apb.2019.024</w:t>
      </w:r>
    </w:p>
    <w:p w14:paraId="00000045"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Jarosz-</w:t>
      </w:r>
      <w:proofErr w:type="spellStart"/>
      <w:r w:rsidRPr="00DA4F60">
        <w:rPr>
          <w:rFonts w:ascii="Times New Roman" w:eastAsia="Times New Roman" w:hAnsi="Times New Roman" w:cs="Times New Roman"/>
          <w:color w:val="000000"/>
          <w:sz w:val="24"/>
          <w:szCs w:val="24"/>
        </w:rPr>
        <w:t>Biej</w:t>
      </w:r>
      <w:proofErr w:type="spellEnd"/>
      <w:r w:rsidRPr="00DA4F60">
        <w:rPr>
          <w:rFonts w:ascii="Times New Roman" w:eastAsia="Times New Roman" w:hAnsi="Times New Roman" w:cs="Times New Roman"/>
          <w:color w:val="000000"/>
          <w:sz w:val="24"/>
          <w:szCs w:val="24"/>
        </w:rPr>
        <w:t xml:space="preserve">, M., </w:t>
      </w:r>
      <w:proofErr w:type="spellStart"/>
      <w:r w:rsidRPr="00DA4F60">
        <w:rPr>
          <w:rFonts w:ascii="Times New Roman" w:eastAsia="Times New Roman" w:hAnsi="Times New Roman" w:cs="Times New Roman"/>
          <w:color w:val="000000"/>
          <w:sz w:val="24"/>
          <w:szCs w:val="24"/>
        </w:rPr>
        <w:t>Smolarczyk</w:t>
      </w:r>
      <w:proofErr w:type="spellEnd"/>
      <w:r w:rsidRPr="00DA4F60">
        <w:rPr>
          <w:rFonts w:ascii="Times New Roman" w:eastAsia="Times New Roman" w:hAnsi="Times New Roman" w:cs="Times New Roman"/>
          <w:color w:val="000000"/>
          <w:sz w:val="24"/>
          <w:szCs w:val="24"/>
        </w:rPr>
        <w:t xml:space="preserve">, R., </w:t>
      </w:r>
      <w:proofErr w:type="spellStart"/>
      <w:r w:rsidRPr="00DA4F60">
        <w:rPr>
          <w:rFonts w:ascii="Times New Roman" w:eastAsia="Times New Roman" w:hAnsi="Times New Roman" w:cs="Times New Roman"/>
          <w:color w:val="000000"/>
          <w:sz w:val="24"/>
          <w:szCs w:val="24"/>
        </w:rPr>
        <w:t>Cichoń</w:t>
      </w:r>
      <w:proofErr w:type="spellEnd"/>
      <w:r w:rsidRPr="00DA4F60">
        <w:rPr>
          <w:rFonts w:ascii="Times New Roman" w:eastAsia="Times New Roman" w:hAnsi="Times New Roman" w:cs="Times New Roman"/>
          <w:color w:val="000000"/>
          <w:sz w:val="24"/>
          <w:szCs w:val="24"/>
        </w:rPr>
        <w:t xml:space="preserve">, T., &amp; </w:t>
      </w:r>
      <w:proofErr w:type="spellStart"/>
      <w:r w:rsidRPr="00DA4F60">
        <w:rPr>
          <w:rFonts w:ascii="Times New Roman" w:eastAsia="Times New Roman" w:hAnsi="Times New Roman" w:cs="Times New Roman"/>
          <w:color w:val="000000"/>
          <w:sz w:val="24"/>
          <w:szCs w:val="24"/>
        </w:rPr>
        <w:t>Kułach</w:t>
      </w:r>
      <w:proofErr w:type="spellEnd"/>
      <w:r w:rsidRPr="00DA4F60">
        <w:rPr>
          <w:rFonts w:ascii="Times New Roman" w:eastAsia="Times New Roman" w:hAnsi="Times New Roman" w:cs="Times New Roman"/>
          <w:color w:val="000000"/>
          <w:sz w:val="24"/>
          <w:szCs w:val="24"/>
        </w:rPr>
        <w:t xml:space="preserve">, N. (2019).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as A “Game Changer” in Cancer Radiotherapy. </w:t>
      </w:r>
      <w:r w:rsidRPr="00DA4F60">
        <w:rPr>
          <w:rFonts w:ascii="Times New Roman" w:eastAsia="Times New Roman" w:hAnsi="Times New Roman" w:cs="Times New Roman"/>
          <w:i/>
          <w:color w:val="000000"/>
          <w:sz w:val="24"/>
          <w:szCs w:val="24"/>
        </w:rPr>
        <w:t>International Journal of Molecular Sciences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20</w:t>
      </w:r>
      <w:r w:rsidRPr="00DA4F60">
        <w:rPr>
          <w:rFonts w:ascii="Times New Roman" w:eastAsia="Times New Roman" w:hAnsi="Times New Roman" w:cs="Times New Roman"/>
          <w:color w:val="000000"/>
          <w:sz w:val="24"/>
          <w:szCs w:val="24"/>
        </w:rPr>
        <w:t>(13), 3212. https://doi.org/10.3390/ijms20133212</w:t>
      </w:r>
    </w:p>
    <w:p w14:paraId="00000046"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BD2079">
        <w:rPr>
          <w:rFonts w:ascii="Times New Roman" w:eastAsia="Times New Roman" w:hAnsi="Times New Roman" w:cs="Times New Roman"/>
          <w:color w:val="000000"/>
          <w:sz w:val="24"/>
          <w:szCs w:val="24"/>
          <w:lang w:val="nl-NL"/>
        </w:rPr>
        <w:t xml:space="preserve">Kaloni, D., Diepstraten, S. T., Strasser, A., &amp; Kelly, G. L. (2023). </w:t>
      </w:r>
      <w:r w:rsidRPr="00DA4F60">
        <w:rPr>
          <w:rFonts w:ascii="Times New Roman" w:eastAsia="Times New Roman" w:hAnsi="Times New Roman" w:cs="Times New Roman"/>
          <w:color w:val="000000"/>
          <w:sz w:val="24"/>
          <w:szCs w:val="24"/>
        </w:rPr>
        <w:t xml:space="preserve">BCL-2 protein family: Attractive targets for cancer therapy. </w:t>
      </w:r>
      <w:r w:rsidRPr="00DA4F60">
        <w:rPr>
          <w:rFonts w:ascii="Times New Roman" w:eastAsia="Times New Roman" w:hAnsi="Times New Roman" w:cs="Times New Roman"/>
          <w:i/>
          <w:color w:val="000000"/>
          <w:sz w:val="24"/>
          <w:szCs w:val="24"/>
        </w:rPr>
        <w:t>Apoptosis: An International Journal on Programmed Cell Death</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28</w:t>
      </w:r>
      <w:r w:rsidRPr="00DA4F60">
        <w:rPr>
          <w:rFonts w:ascii="Times New Roman" w:eastAsia="Times New Roman" w:hAnsi="Times New Roman" w:cs="Times New Roman"/>
          <w:color w:val="000000"/>
          <w:sz w:val="24"/>
          <w:szCs w:val="24"/>
        </w:rPr>
        <w:t>(1–2), 20–38. https://doi.org/10.1007/s10495-022-01780-7</w:t>
      </w:r>
    </w:p>
    <w:p w14:paraId="00000047"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Kocab, A. J., &amp; Duckett, C. S. (2016). INHIBITOR OF APOPTOSIS PROTEINS AS INTRACELLULAR SIGNALING INTERMEDIATES. </w:t>
      </w:r>
      <w:r w:rsidRPr="00DA4F60">
        <w:rPr>
          <w:rFonts w:ascii="Times New Roman" w:eastAsia="Times New Roman" w:hAnsi="Times New Roman" w:cs="Times New Roman"/>
          <w:i/>
          <w:color w:val="000000"/>
          <w:sz w:val="24"/>
          <w:szCs w:val="24"/>
        </w:rPr>
        <w:t>The FEBS Journal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283</w:t>
      </w:r>
      <w:r w:rsidRPr="00DA4F60">
        <w:rPr>
          <w:rFonts w:ascii="Times New Roman" w:eastAsia="Times New Roman" w:hAnsi="Times New Roman" w:cs="Times New Roman"/>
          <w:color w:val="000000"/>
          <w:sz w:val="24"/>
          <w:szCs w:val="24"/>
        </w:rPr>
        <w:t>(2), 221–231. https://doi.org/10.1111/febs.13554</w:t>
      </w:r>
    </w:p>
    <w:p w14:paraId="00000048"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lastRenderedPageBreak/>
        <w:t>Lossi</w:t>
      </w:r>
      <w:proofErr w:type="spellEnd"/>
      <w:r w:rsidRPr="00DA4F60">
        <w:rPr>
          <w:rFonts w:ascii="Times New Roman" w:eastAsia="Times New Roman" w:hAnsi="Times New Roman" w:cs="Times New Roman"/>
          <w:color w:val="000000"/>
          <w:sz w:val="24"/>
          <w:szCs w:val="24"/>
        </w:rPr>
        <w:t xml:space="preserve">, L. (2022). The concept of intrinsic versus extrinsic apoptosis. </w:t>
      </w:r>
      <w:r w:rsidRPr="00DA4F60">
        <w:rPr>
          <w:rFonts w:ascii="Times New Roman" w:eastAsia="Times New Roman" w:hAnsi="Times New Roman" w:cs="Times New Roman"/>
          <w:i/>
          <w:color w:val="000000"/>
          <w:sz w:val="24"/>
          <w:szCs w:val="24"/>
        </w:rPr>
        <w:t>The Biochemical Journal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479</w:t>
      </w:r>
      <w:r w:rsidRPr="00DA4F60">
        <w:rPr>
          <w:rFonts w:ascii="Times New Roman" w:eastAsia="Times New Roman" w:hAnsi="Times New Roman" w:cs="Times New Roman"/>
          <w:color w:val="000000"/>
          <w:sz w:val="24"/>
          <w:szCs w:val="24"/>
        </w:rPr>
        <w:t>(3), 357–384. https://doi.org/10.1042/BCJ20210854</w:t>
      </w:r>
    </w:p>
    <w:p w14:paraId="00000049"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DA4F60">
        <w:rPr>
          <w:rFonts w:ascii="Times New Roman" w:eastAsia="Times New Roman" w:hAnsi="Times New Roman" w:cs="Times New Roman"/>
          <w:color w:val="000000"/>
          <w:sz w:val="24"/>
          <w:szCs w:val="24"/>
        </w:rPr>
        <w:t>Mosadegh</w:t>
      </w:r>
      <w:proofErr w:type="spellEnd"/>
      <w:r w:rsidRPr="00DA4F60">
        <w:rPr>
          <w:rFonts w:ascii="Times New Roman" w:eastAsia="Times New Roman" w:hAnsi="Times New Roman" w:cs="Times New Roman"/>
          <w:color w:val="000000"/>
          <w:sz w:val="24"/>
          <w:szCs w:val="24"/>
        </w:rPr>
        <w:t xml:space="preserve">, M., Noori Goodarzi, N., &amp; Erfani, Y. (2025). A Comprehensive Insight into Apoptosis: Molecular Mechanisms, Signaling Pathways, and Modulating Therapeutics. </w:t>
      </w:r>
      <w:r w:rsidRPr="00DA4F60">
        <w:rPr>
          <w:rFonts w:ascii="Times New Roman" w:eastAsia="Times New Roman" w:hAnsi="Times New Roman" w:cs="Times New Roman"/>
          <w:i/>
          <w:color w:val="000000"/>
          <w:sz w:val="24"/>
          <w:szCs w:val="24"/>
        </w:rPr>
        <w:t>Cancer Investigation</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43</w:t>
      </w:r>
      <w:r w:rsidRPr="00DA4F60">
        <w:rPr>
          <w:rFonts w:ascii="Times New Roman" w:eastAsia="Times New Roman" w:hAnsi="Times New Roman" w:cs="Times New Roman"/>
          <w:color w:val="000000"/>
          <w:sz w:val="24"/>
          <w:szCs w:val="24"/>
        </w:rPr>
        <w:t>(1), 33–58. https://doi.org/10.1080/07357907.2024.2445528</w:t>
      </w:r>
    </w:p>
    <w:p w14:paraId="0000004A"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Mustafa, M., Ahmad, R., Tantry, I. Q., Ahmad, W., Siddiqui, S., Alam, M., Abbas, K., Moinuddin, Hassan, Md. I., Habib, S., &amp; Islam, S. (2024). Apoptosis: A Comprehensive Overview of Signaling Pathways, Morphological Changes, and Physiological Significance and Therapeutic Implications. </w:t>
      </w:r>
      <w:r w:rsidRPr="00DA4F60">
        <w:rPr>
          <w:rFonts w:ascii="Times New Roman" w:eastAsia="Times New Roman" w:hAnsi="Times New Roman" w:cs="Times New Roman"/>
          <w:i/>
          <w:color w:val="000000"/>
          <w:sz w:val="24"/>
          <w:szCs w:val="24"/>
        </w:rPr>
        <w:t>Cells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13</w:t>
      </w:r>
      <w:r w:rsidRPr="00DA4F60">
        <w:rPr>
          <w:rFonts w:ascii="Times New Roman" w:eastAsia="Times New Roman" w:hAnsi="Times New Roman" w:cs="Times New Roman"/>
          <w:color w:val="000000"/>
          <w:sz w:val="24"/>
          <w:szCs w:val="24"/>
        </w:rPr>
        <w:t>(22), 1838. https://doi.org/10.3390/cells13221838</w:t>
      </w:r>
    </w:p>
    <w:p w14:paraId="0000004B"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Pavlova, N. N., &amp; Thompson, C. B. (2016). The Emerging Hallmarks of Cancer Metabolism. </w:t>
      </w:r>
      <w:r w:rsidRPr="00DA4F60">
        <w:rPr>
          <w:rFonts w:ascii="Times New Roman" w:eastAsia="Times New Roman" w:hAnsi="Times New Roman" w:cs="Times New Roman"/>
          <w:i/>
          <w:color w:val="000000"/>
          <w:sz w:val="24"/>
          <w:szCs w:val="24"/>
        </w:rPr>
        <w:t>Cell Metabolism</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23</w:t>
      </w:r>
      <w:r w:rsidRPr="00DA4F60">
        <w:rPr>
          <w:rFonts w:ascii="Times New Roman" w:eastAsia="Times New Roman" w:hAnsi="Times New Roman" w:cs="Times New Roman"/>
          <w:color w:val="000000"/>
          <w:sz w:val="24"/>
          <w:szCs w:val="24"/>
        </w:rPr>
        <w:t>(1), 27–47. https://doi.org/10.1016/j.cmet.2015.12.006</w:t>
      </w:r>
    </w:p>
    <w:p w14:paraId="0000004C"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Pavlova, N. N., Zhu, J., &amp; Thompson, C. B. (2022). The hallmarks of cancer metabolism: Still emerging. </w:t>
      </w:r>
      <w:r w:rsidRPr="00DA4F60">
        <w:rPr>
          <w:rFonts w:ascii="Times New Roman" w:eastAsia="Times New Roman" w:hAnsi="Times New Roman" w:cs="Times New Roman"/>
          <w:i/>
          <w:color w:val="000000"/>
          <w:sz w:val="24"/>
          <w:szCs w:val="24"/>
        </w:rPr>
        <w:t>Cell Metabolism</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34</w:t>
      </w:r>
      <w:r w:rsidRPr="00DA4F60">
        <w:rPr>
          <w:rFonts w:ascii="Times New Roman" w:eastAsia="Times New Roman" w:hAnsi="Times New Roman" w:cs="Times New Roman"/>
          <w:color w:val="000000"/>
          <w:sz w:val="24"/>
          <w:szCs w:val="24"/>
        </w:rPr>
        <w:t>(3), 355–377. https://doi.org/10.1016/j.cmet.2022.01.007</w:t>
      </w:r>
    </w:p>
    <w:p w14:paraId="0000004D"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Peña-Blanco, A., &amp; García-Sáez, A. J. (2018). Bax, Bak and beyond—Mitochondrial performance in apoptosis. </w:t>
      </w:r>
      <w:r w:rsidRPr="00DA4F60">
        <w:rPr>
          <w:rFonts w:ascii="Times New Roman" w:eastAsia="Times New Roman" w:hAnsi="Times New Roman" w:cs="Times New Roman"/>
          <w:i/>
          <w:color w:val="000000"/>
          <w:sz w:val="24"/>
          <w:szCs w:val="24"/>
        </w:rPr>
        <w:t>The FEBS Journal</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285</w:t>
      </w:r>
      <w:r w:rsidRPr="00DA4F60">
        <w:rPr>
          <w:rFonts w:ascii="Times New Roman" w:eastAsia="Times New Roman" w:hAnsi="Times New Roman" w:cs="Times New Roman"/>
          <w:color w:val="000000"/>
          <w:sz w:val="24"/>
          <w:szCs w:val="24"/>
        </w:rPr>
        <w:t>(3), 416–431. https://doi.org/10.1111/febs.14186</w:t>
      </w:r>
    </w:p>
    <w:p w14:paraId="0000004E"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Rathore, R., McCallum, J. E., Varghese, E., Florea, A.-M., &amp; </w:t>
      </w:r>
      <w:proofErr w:type="spellStart"/>
      <w:r w:rsidRPr="00DA4F60">
        <w:rPr>
          <w:rFonts w:ascii="Times New Roman" w:eastAsia="Times New Roman" w:hAnsi="Times New Roman" w:cs="Times New Roman"/>
          <w:color w:val="000000"/>
          <w:sz w:val="24"/>
          <w:szCs w:val="24"/>
        </w:rPr>
        <w:t>Büsselberg</w:t>
      </w:r>
      <w:proofErr w:type="spellEnd"/>
      <w:r w:rsidRPr="00DA4F60">
        <w:rPr>
          <w:rFonts w:ascii="Times New Roman" w:eastAsia="Times New Roman" w:hAnsi="Times New Roman" w:cs="Times New Roman"/>
          <w:color w:val="000000"/>
          <w:sz w:val="24"/>
          <w:szCs w:val="24"/>
        </w:rPr>
        <w:t xml:space="preserve">, D. (2017). Overcoming chemotherapy drug resistance by targeting inhibitors of apoptosis proteins (IAPs). </w:t>
      </w:r>
      <w:r w:rsidRPr="00DA4F60">
        <w:rPr>
          <w:rFonts w:ascii="Times New Roman" w:eastAsia="Times New Roman" w:hAnsi="Times New Roman" w:cs="Times New Roman"/>
          <w:i/>
          <w:color w:val="000000"/>
          <w:sz w:val="24"/>
          <w:szCs w:val="24"/>
        </w:rPr>
        <w:t>Apoptosis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22</w:t>
      </w:r>
      <w:r w:rsidRPr="00DA4F60">
        <w:rPr>
          <w:rFonts w:ascii="Times New Roman" w:eastAsia="Times New Roman" w:hAnsi="Times New Roman" w:cs="Times New Roman"/>
          <w:color w:val="000000"/>
          <w:sz w:val="24"/>
          <w:szCs w:val="24"/>
        </w:rPr>
        <w:t>(7), 898–919. https://doi.org/10.1007/s10495-017-1375-1</w:t>
      </w:r>
    </w:p>
    <w:p w14:paraId="0000004F"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Sahoo, G., Samal, D., </w:t>
      </w:r>
      <w:proofErr w:type="spellStart"/>
      <w:r w:rsidRPr="00DA4F60">
        <w:rPr>
          <w:rFonts w:ascii="Times New Roman" w:eastAsia="Times New Roman" w:hAnsi="Times New Roman" w:cs="Times New Roman"/>
          <w:color w:val="000000"/>
          <w:sz w:val="24"/>
          <w:szCs w:val="24"/>
        </w:rPr>
        <w:t>Khandayataray</w:t>
      </w:r>
      <w:proofErr w:type="spellEnd"/>
      <w:r w:rsidRPr="00DA4F60">
        <w:rPr>
          <w:rFonts w:ascii="Times New Roman" w:eastAsia="Times New Roman" w:hAnsi="Times New Roman" w:cs="Times New Roman"/>
          <w:color w:val="000000"/>
          <w:sz w:val="24"/>
          <w:szCs w:val="24"/>
        </w:rPr>
        <w:t xml:space="preserve">, P., &amp; Murthy, M. K. (2023). A Review on Caspases: Key Regulators of Biological Activities and Apoptosis. </w:t>
      </w:r>
      <w:r w:rsidRPr="00DA4F60">
        <w:rPr>
          <w:rFonts w:ascii="Times New Roman" w:eastAsia="Times New Roman" w:hAnsi="Times New Roman" w:cs="Times New Roman"/>
          <w:i/>
          <w:color w:val="000000"/>
          <w:sz w:val="24"/>
          <w:szCs w:val="24"/>
        </w:rPr>
        <w:t>Molecular Neurobiology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60</w:t>
      </w:r>
      <w:r w:rsidRPr="00DA4F60">
        <w:rPr>
          <w:rFonts w:ascii="Times New Roman" w:eastAsia="Times New Roman" w:hAnsi="Times New Roman" w:cs="Times New Roman"/>
          <w:color w:val="000000"/>
          <w:sz w:val="24"/>
          <w:szCs w:val="24"/>
        </w:rPr>
        <w:t>(10), 5805–5837. https://doi.org/10.1007/s12035-023-03433-5</w:t>
      </w:r>
    </w:p>
    <w:p w14:paraId="00000050"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Saleem, S. (2021). Apoptosis, Autophagy, Necrosis and Their Multi Galore Crosstalk in Neurodegeneration. </w:t>
      </w:r>
      <w:r w:rsidRPr="00DA4F60">
        <w:rPr>
          <w:rFonts w:ascii="Times New Roman" w:eastAsia="Times New Roman" w:hAnsi="Times New Roman" w:cs="Times New Roman"/>
          <w:i/>
          <w:color w:val="000000"/>
          <w:sz w:val="24"/>
          <w:szCs w:val="24"/>
        </w:rPr>
        <w:t>Neuroscience</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469</w:t>
      </w:r>
      <w:r w:rsidRPr="00DA4F60">
        <w:rPr>
          <w:rFonts w:ascii="Times New Roman" w:eastAsia="Times New Roman" w:hAnsi="Times New Roman" w:cs="Times New Roman"/>
          <w:color w:val="000000"/>
          <w:sz w:val="24"/>
          <w:szCs w:val="24"/>
        </w:rPr>
        <w:t>, 162–174. https://doi.org/10.1016/j.neuroscience.2021.06.023</w:t>
      </w:r>
    </w:p>
    <w:p w14:paraId="00000051" w14:textId="77777777" w:rsidR="00C14A47" w:rsidRPr="00BD2079"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nl-NL"/>
        </w:rPr>
      </w:pPr>
      <w:r w:rsidRPr="00DA4F60">
        <w:rPr>
          <w:rFonts w:ascii="Times New Roman" w:eastAsia="Times New Roman" w:hAnsi="Times New Roman" w:cs="Times New Roman"/>
          <w:color w:val="000000"/>
          <w:sz w:val="24"/>
          <w:szCs w:val="24"/>
        </w:rPr>
        <w:t xml:space="preserve">Shakeri, R., </w:t>
      </w:r>
      <w:proofErr w:type="spellStart"/>
      <w:r w:rsidRPr="00DA4F60">
        <w:rPr>
          <w:rFonts w:ascii="Times New Roman" w:eastAsia="Times New Roman" w:hAnsi="Times New Roman" w:cs="Times New Roman"/>
          <w:color w:val="000000"/>
          <w:sz w:val="24"/>
          <w:szCs w:val="24"/>
        </w:rPr>
        <w:t>Kheirollahi</w:t>
      </w:r>
      <w:proofErr w:type="spellEnd"/>
      <w:r w:rsidRPr="00DA4F60">
        <w:rPr>
          <w:rFonts w:ascii="Times New Roman" w:eastAsia="Times New Roman" w:hAnsi="Times New Roman" w:cs="Times New Roman"/>
          <w:color w:val="000000"/>
          <w:sz w:val="24"/>
          <w:szCs w:val="24"/>
        </w:rPr>
        <w:t xml:space="preserve">, A., &amp; Davoodi, J. (2017). Apaf-1: Regulation and function in cell death. </w:t>
      </w:r>
      <w:r w:rsidRPr="00BD2079">
        <w:rPr>
          <w:rFonts w:ascii="Times New Roman" w:eastAsia="Times New Roman" w:hAnsi="Times New Roman" w:cs="Times New Roman"/>
          <w:i/>
          <w:color w:val="000000"/>
          <w:sz w:val="24"/>
          <w:szCs w:val="24"/>
          <w:lang w:val="nl-NL"/>
        </w:rPr>
        <w:t>Biochimie</w:t>
      </w:r>
      <w:r w:rsidRPr="00BD2079">
        <w:rPr>
          <w:rFonts w:ascii="Times New Roman" w:eastAsia="Times New Roman" w:hAnsi="Times New Roman" w:cs="Times New Roman"/>
          <w:color w:val="000000"/>
          <w:sz w:val="24"/>
          <w:szCs w:val="24"/>
          <w:lang w:val="nl-NL"/>
        </w:rPr>
        <w:t xml:space="preserve">, </w:t>
      </w:r>
      <w:r w:rsidRPr="00BD2079">
        <w:rPr>
          <w:rFonts w:ascii="Times New Roman" w:eastAsia="Times New Roman" w:hAnsi="Times New Roman" w:cs="Times New Roman"/>
          <w:i/>
          <w:color w:val="000000"/>
          <w:sz w:val="24"/>
          <w:szCs w:val="24"/>
          <w:lang w:val="nl-NL"/>
        </w:rPr>
        <w:t>135</w:t>
      </w:r>
      <w:r w:rsidRPr="00BD2079">
        <w:rPr>
          <w:rFonts w:ascii="Times New Roman" w:eastAsia="Times New Roman" w:hAnsi="Times New Roman" w:cs="Times New Roman"/>
          <w:color w:val="000000"/>
          <w:sz w:val="24"/>
          <w:szCs w:val="24"/>
          <w:lang w:val="nl-NL"/>
        </w:rPr>
        <w:t>, 111–125. https://doi.org/10.1016/j.biochi.2017.02.001</w:t>
      </w:r>
    </w:p>
    <w:p w14:paraId="00000052"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BD2079">
        <w:rPr>
          <w:rFonts w:ascii="Times New Roman" w:eastAsia="Times New Roman" w:hAnsi="Times New Roman" w:cs="Times New Roman"/>
          <w:color w:val="000000"/>
          <w:sz w:val="24"/>
          <w:szCs w:val="24"/>
          <w:lang w:val="nl-NL"/>
        </w:rPr>
        <w:t xml:space="preserve">Shamas-Din, A., Kale, J., Leber, B., &amp; Andrews, D. W. (2013). </w:t>
      </w:r>
      <w:r w:rsidRPr="00DA4F60">
        <w:rPr>
          <w:rFonts w:ascii="Times New Roman" w:eastAsia="Times New Roman" w:hAnsi="Times New Roman" w:cs="Times New Roman"/>
          <w:color w:val="000000"/>
          <w:sz w:val="24"/>
          <w:szCs w:val="24"/>
        </w:rPr>
        <w:t xml:space="preserve">Mechanisms of Action of Bcl-2 Family Proteins. </w:t>
      </w:r>
      <w:r w:rsidRPr="00DA4F60">
        <w:rPr>
          <w:rFonts w:ascii="Times New Roman" w:eastAsia="Times New Roman" w:hAnsi="Times New Roman" w:cs="Times New Roman"/>
          <w:i/>
          <w:color w:val="000000"/>
          <w:sz w:val="24"/>
          <w:szCs w:val="24"/>
        </w:rPr>
        <w:t>Cold Spring Harbor Perspectives in 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5</w:t>
      </w:r>
      <w:r w:rsidRPr="00DA4F60">
        <w:rPr>
          <w:rFonts w:ascii="Times New Roman" w:eastAsia="Times New Roman" w:hAnsi="Times New Roman" w:cs="Times New Roman"/>
          <w:color w:val="000000"/>
          <w:sz w:val="24"/>
          <w:szCs w:val="24"/>
        </w:rPr>
        <w:t>(4), a008714. https://doi.org/10.1101/cshperspect.a008714</w:t>
      </w:r>
    </w:p>
    <w:p w14:paraId="00000053"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Sun, G. (2024). Death and survival from executioner caspase activation. </w:t>
      </w:r>
      <w:r w:rsidRPr="00DA4F60">
        <w:rPr>
          <w:rFonts w:ascii="Times New Roman" w:eastAsia="Times New Roman" w:hAnsi="Times New Roman" w:cs="Times New Roman"/>
          <w:i/>
          <w:color w:val="000000"/>
          <w:sz w:val="24"/>
          <w:szCs w:val="24"/>
        </w:rPr>
        <w:t>Seminars in Cell &amp; Developmental Biology</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156</w:t>
      </w:r>
      <w:r w:rsidRPr="00DA4F60">
        <w:rPr>
          <w:rFonts w:ascii="Times New Roman" w:eastAsia="Times New Roman" w:hAnsi="Times New Roman" w:cs="Times New Roman"/>
          <w:color w:val="000000"/>
          <w:sz w:val="24"/>
          <w:szCs w:val="24"/>
        </w:rPr>
        <w:t>, 66–73. https://doi.org/10.1016/j.semcdb.2023.07.005</w:t>
      </w:r>
    </w:p>
    <w:p w14:paraId="00000054"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lastRenderedPageBreak/>
        <w:t xml:space="preserve">Tufail, M. (2023). Unlocking the potential of the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for cancer therapy. </w:t>
      </w:r>
      <w:r w:rsidRPr="00DA4F60">
        <w:rPr>
          <w:rFonts w:ascii="Times New Roman" w:eastAsia="Times New Roman" w:hAnsi="Times New Roman" w:cs="Times New Roman"/>
          <w:i/>
          <w:color w:val="000000"/>
          <w:sz w:val="24"/>
          <w:szCs w:val="24"/>
        </w:rPr>
        <w:t>Pathology, Research and Practice</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251</w:t>
      </w:r>
      <w:r w:rsidRPr="00DA4F60">
        <w:rPr>
          <w:rFonts w:ascii="Times New Roman" w:eastAsia="Times New Roman" w:hAnsi="Times New Roman" w:cs="Times New Roman"/>
          <w:color w:val="000000"/>
          <w:sz w:val="24"/>
          <w:szCs w:val="24"/>
        </w:rPr>
        <w:t>, 154846. https://doi.org/10.1016/j.prp.2023.154846</w:t>
      </w:r>
    </w:p>
    <w:p w14:paraId="00000055"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Wong, R. S. (2011). Apoptosis in cancer: From pathogenesis to treatment. </w:t>
      </w:r>
      <w:r w:rsidRPr="00DA4F60">
        <w:rPr>
          <w:rFonts w:ascii="Times New Roman" w:eastAsia="Times New Roman" w:hAnsi="Times New Roman" w:cs="Times New Roman"/>
          <w:i/>
          <w:color w:val="000000"/>
          <w:sz w:val="24"/>
          <w:szCs w:val="24"/>
        </w:rPr>
        <w:t xml:space="preserve">Journal of Experimental &amp; Clinical Cancer </w:t>
      </w:r>
      <w:proofErr w:type="gramStart"/>
      <w:r w:rsidRPr="00DA4F60">
        <w:rPr>
          <w:rFonts w:ascii="Times New Roman" w:eastAsia="Times New Roman" w:hAnsi="Times New Roman" w:cs="Times New Roman"/>
          <w:i/>
          <w:color w:val="000000"/>
          <w:sz w:val="24"/>
          <w:szCs w:val="24"/>
        </w:rPr>
        <w:t>Research :</w:t>
      </w:r>
      <w:proofErr w:type="gramEnd"/>
      <w:r w:rsidRPr="00DA4F60">
        <w:rPr>
          <w:rFonts w:ascii="Times New Roman" w:eastAsia="Times New Roman" w:hAnsi="Times New Roman" w:cs="Times New Roman"/>
          <w:i/>
          <w:color w:val="000000"/>
          <w:sz w:val="24"/>
          <w:szCs w:val="24"/>
        </w:rPr>
        <w:t xml:space="preserve"> CR</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30</w:t>
      </w:r>
      <w:r w:rsidRPr="00DA4F60">
        <w:rPr>
          <w:rFonts w:ascii="Times New Roman" w:eastAsia="Times New Roman" w:hAnsi="Times New Roman" w:cs="Times New Roman"/>
          <w:color w:val="000000"/>
          <w:sz w:val="24"/>
          <w:szCs w:val="24"/>
        </w:rPr>
        <w:t>(1), 87. https://doi.org/10.1186/1756-9966-30-87</w:t>
      </w:r>
    </w:p>
    <w:p w14:paraId="00000056"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Xiao, Y., &amp; Yu, D. (2021). </w:t>
      </w:r>
      <w:proofErr w:type="spellStart"/>
      <w:r w:rsidRPr="00DA4F60">
        <w:rPr>
          <w:rFonts w:ascii="Times New Roman" w:eastAsia="Times New Roman" w:hAnsi="Times New Roman" w:cs="Times New Roman"/>
          <w:color w:val="000000"/>
          <w:sz w:val="24"/>
          <w:szCs w:val="24"/>
        </w:rPr>
        <w:t>Tumor</w:t>
      </w:r>
      <w:proofErr w:type="spellEnd"/>
      <w:r w:rsidRPr="00DA4F60">
        <w:rPr>
          <w:rFonts w:ascii="Times New Roman" w:eastAsia="Times New Roman" w:hAnsi="Times New Roman" w:cs="Times New Roman"/>
          <w:color w:val="000000"/>
          <w:sz w:val="24"/>
          <w:szCs w:val="24"/>
        </w:rPr>
        <w:t xml:space="preserve"> microenvironment as a therapeutic target in cancer. </w:t>
      </w:r>
      <w:r w:rsidRPr="00DA4F60">
        <w:rPr>
          <w:rFonts w:ascii="Times New Roman" w:eastAsia="Times New Roman" w:hAnsi="Times New Roman" w:cs="Times New Roman"/>
          <w:i/>
          <w:color w:val="000000"/>
          <w:sz w:val="24"/>
          <w:szCs w:val="24"/>
        </w:rPr>
        <w:t>Pharmacology &amp; Therapeutics</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221</w:t>
      </w:r>
      <w:r w:rsidRPr="00DA4F60">
        <w:rPr>
          <w:rFonts w:ascii="Times New Roman" w:eastAsia="Times New Roman" w:hAnsi="Times New Roman" w:cs="Times New Roman"/>
          <w:color w:val="000000"/>
          <w:sz w:val="24"/>
          <w:szCs w:val="24"/>
        </w:rPr>
        <w:t>, 107753. https://doi.org/10.1016/j.pharmthera.2020.107753</w:t>
      </w:r>
    </w:p>
    <w:p w14:paraId="00000057" w14:textId="77777777" w:rsidR="00C14A47" w:rsidRPr="00DA4F60" w:rsidRDefault="00720F24" w:rsidP="0031131F">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DA4F60">
        <w:rPr>
          <w:rFonts w:ascii="Times New Roman" w:eastAsia="Times New Roman" w:hAnsi="Times New Roman" w:cs="Times New Roman"/>
          <w:color w:val="000000"/>
          <w:sz w:val="24"/>
          <w:szCs w:val="24"/>
        </w:rPr>
        <w:t xml:space="preserve">Zheng, C., Liu, T., Liu, H., &amp; Wang, J. (2020). Role of BCL-2 Family Proteins in Apoptosis and its Regulation by Nutrients. </w:t>
      </w:r>
      <w:r w:rsidRPr="00DA4F60">
        <w:rPr>
          <w:rFonts w:ascii="Times New Roman" w:eastAsia="Times New Roman" w:hAnsi="Times New Roman" w:cs="Times New Roman"/>
          <w:i/>
          <w:color w:val="000000"/>
          <w:sz w:val="24"/>
          <w:szCs w:val="24"/>
        </w:rPr>
        <w:t>Current Protein &amp; Peptide Science</w:t>
      </w:r>
      <w:r w:rsidRPr="00DA4F60">
        <w:rPr>
          <w:rFonts w:ascii="Times New Roman" w:eastAsia="Times New Roman" w:hAnsi="Times New Roman" w:cs="Times New Roman"/>
          <w:color w:val="000000"/>
          <w:sz w:val="24"/>
          <w:szCs w:val="24"/>
        </w:rPr>
        <w:t xml:space="preserve">, </w:t>
      </w:r>
      <w:r w:rsidRPr="00DA4F60">
        <w:rPr>
          <w:rFonts w:ascii="Times New Roman" w:eastAsia="Times New Roman" w:hAnsi="Times New Roman" w:cs="Times New Roman"/>
          <w:i/>
          <w:color w:val="000000"/>
          <w:sz w:val="24"/>
          <w:szCs w:val="24"/>
        </w:rPr>
        <w:t>21</w:t>
      </w:r>
      <w:r w:rsidRPr="00DA4F60">
        <w:rPr>
          <w:rFonts w:ascii="Times New Roman" w:eastAsia="Times New Roman" w:hAnsi="Times New Roman" w:cs="Times New Roman"/>
          <w:color w:val="000000"/>
          <w:sz w:val="24"/>
          <w:szCs w:val="24"/>
        </w:rPr>
        <w:t>(8), 799–806. https://doi.org/10.2174/1389203721666191227122252</w:t>
      </w:r>
    </w:p>
    <w:p w14:paraId="00000058"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59"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5A" w14:textId="77777777" w:rsidR="00C14A47" w:rsidRPr="00DA4F60" w:rsidRDefault="00C14A47" w:rsidP="0031131F">
      <w:pPr>
        <w:spacing w:line="360" w:lineRule="auto"/>
        <w:ind w:right="-46"/>
        <w:jc w:val="both"/>
        <w:rPr>
          <w:rFonts w:ascii="Times New Roman" w:eastAsia="Times New Roman" w:hAnsi="Times New Roman" w:cs="Times New Roman"/>
          <w:sz w:val="24"/>
          <w:szCs w:val="24"/>
        </w:rPr>
      </w:pPr>
    </w:p>
    <w:p w14:paraId="0000005B" w14:textId="77777777" w:rsidR="00C14A47" w:rsidRPr="00DA4F60" w:rsidRDefault="00C14A47" w:rsidP="0031131F">
      <w:pPr>
        <w:spacing w:line="360" w:lineRule="auto"/>
        <w:jc w:val="both"/>
        <w:rPr>
          <w:rFonts w:ascii="Times New Roman" w:hAnsi="Times New Roman" w:cs="Times New Roman"/>
          <w:sz w:val="24"/>
          <w:szCs w:val="24"/>
        </w:rPr>
      </w:pPr>
    </w:p>
    <w:sectPr w:rsidR="00C14A47" w:rsidRPr="00DA4F6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tinkumar2756@gmail.com" w:date="2025-03-11T11:30:00Z" w:initials="n">
    <w:p w14:paraId="46E72358" w14:textId="77777777" w:rsidR="007152AB" w:rsidRDefault="007152AB" w:rsidP="007152AB">
      <w:pPr>
        <w:pStyle w:val="CommentText"/>
      </w:pPr>
      <w:r>
        <w:rPr>
          <w:rStyle w:val="CommentReference"/>
        </w:rPr>
        <w:annotationRef/>
      </w:r>
      <w:r>
        <w:t>Kindly cite this sentence</w:t>
      </w:r>
    </w:p>
  </w:comment>
  <w:comment w:id="1" w:author="nitinkumar2756@gmail.com" w:date="2025-03-11T11:36:00Z" w:initials="n">
    <w:p w14:paraId="3950796F" w14:textId="77777777" w:rsidR="00B170A0" w:rsidRDefault="00B170A0" w:rsidP="00B170A0">
      <w:pPr>
        <w:pStyle w:val="CommentText"/>
      </w:pPr>
      <w:r>
        <w:rPr>
          <w:rStyle w:val="CommentReference"/>
        </w:rPr>
        <w:annotationRef/>
      </w:r>
      <w:r>
        <w:t xml:space="preserve">Mentioned in detail how to release cytochrome c, in a stress condition </w:t>
      </w:r>
    </w:p>
  </w:comment>
  <w:comment w:id="2" w:author="nitinkumar2756@gmail.com" w:date="2025-03-11T11:38:00Z" w:initials="n">
    <w:p w14:paraId="297114CF" w14:textId="77777777" w:rsidR="00B170A0" w:rsidRDefault="00B170A0" w:rsidP="00B170A0">
      <w:pPr>
        <w:pStyle w:val="CommentText"/>
      </w:pPr>
      <w:r>
        <w:rPr>
          <w:rStyle w:val="CommentReference"/>
        </w:rPr>
        <w:annotationRef/>
      </w:r>
      <w:r>
        <w:t xml:space="preserve">Please specify the mechanism and complete this sentence </w:t>
      </w:r>
    </w:p>
  </w:comment>
  <w:comment w:id="6" w:author="nitinkumar2756@gmail.com" w:date="2025-03-11T12:01:00Z" w:initials="n">
    <w:p w14:paraId="1F0C4CD7" w14:textId="77777777" w:rsidR="00847E63" w:rsidRDefault="00847E63" w:rsidP="00847E63">
      <w:pPr>
        <w:pStyle w:val="CommentText"/>
      </w:pPr>
      <w:r>
        <w:rPr>
          <w:rStyle w:val="CommentReference"/>
        </w:rPr>
        <w:annotationRef/>
      </w:r>
      <w:r>
        <w:t xml:space="preserve">Manuscript required one more time review after your corrections, dear author in your manuscript lack of sentences and a detailed connectivity need to improve your manuscript quality and writing also </w:t>
      </w:r>
    </w:p>
  </w:comment>
  <w:comment w:id="5" w:author="nitinkumar2756@gmail.com" w:date="2025-03-11T11:59:00Z" w:initials="n">
    <w:p w14:paraId="7E0893E5" w14:textId="0F4E5DBF" w:rsidR="00847E63" w:rsidRDefault="00847E63" w:rsidP="00847E63">
      <w:pPr>
        <w:pStyle w:val="CommentText"/>
      </w:pPr>
      <w:r>
        <w:rPr>
          <w:rStyle w:val="CommentReference"/>
        </w:rPr>
        <w:annotationRef/>
      </w:r>
      <w:r>
        <w:t xml:space="preserve">I strongly suggest you if possible add two tables </w:t>
      </w:r>
    </w:p>
  </w:comment>
  <w:comment w:id="4" w:author="nitinkumar2756@gmail.com" w:date="2025-03-11T11:58:00Z" w:initials="n">
    <w:p w14:paraId="6AC5FF72" w14:textId="660E95CA" w:rsidR="00847E63" w:rsidRDefault="00847E63" w:rsidP="00847E63">
      <w:pPr>
        <w:pStyle w:val="CommentText"/>
      </w:pPr>
      <w:r>
        <w:rPr>
          <w:rStyle w:val="CommentReference"/>
        </w:rPr>
        <w:annotationRef/>
      </w:r>
      <w:r>
        <w:t>Complete this sentence</w:t>
      </w:r>
    </w:p>
  </w:comment>
  <w:comment w:id="7" w:author="nitinkumar2756@gmail.com" w:date="2025-03-11T11:49:00Z" w:initials="n">
    <w:p w14:paraId="3812852D" w14:textId="64E576D5" w:rsidR="00E625F4" w:rsidRDefault="00E625F4" w:rsidP="00E625F4">
      <w:pPr>
        <w:pStyle w:val="CommentText"/>
      </w:pPr>
      <w:r>
        <w:rPr>
          <w:rStyle w:val="CommentReference"/>
        </w:rPr>
        <w:annotationRef/>
      </w:r>
      <w:r>
        <w:t>Cite this</w:t>
      </w:r>
    </w:p>
  </w:comment>
  <w:comment w:id="8" w:author="nitinkumar2756@gmail.com" w:date="2025-03-11T11:51:00Z" w:initials="n">
    <w:p w14:paraId="5830DDD1" w14:textId="77777777" w:rsidR="00E625F4" w:rsidRDefault="00E625F4" w:rsidP="00E625F4">
      <w:pPr>
        <w:pStyle w:val="CommentText"/>
      </w:pPr>
      <w:r>
        <w:rPr>
          <w:rStyle w:val="CommentReference"/>
        </w:rPr>
        <w:annotationRef/>
      </w:r>
      <w:r>
        <w:t>Complete this sentence</w:t>
      </w:r>
    </w:p>
  </w:comment>
  <w:comment w:id="9" w:author="nitinkumar2756@gmail.com" w:date="2025-03-11T11:53:00Z" w:initials="n">
    <w:p w14:paraId="6096FB2E" w14:textId="77777777" w:rsidR="00E625F4" w:rsidRDefault="00E625F4" w:rsidP="00E625F4">
      <w:pPr>
        <w:pStyle w:val="CommentText"/>
      </w:pPr>
      <w:r>
        <w:rPr>
          <w:rStyle w:val="CommentReference"/>
        </w:rPr>
        <w:annotationRef/>
      </w:r>
      <w:r>
        <w:t>Cite this and mentioned in a detailed like how to relate acidic PH in apoptosis</w:t>
      </w:r>
    </w:p>
  </w:comment>
  <w:comment w:id="10" w:author="nitinkumar2756@gmail.com" w:date="2025-03-11T11:48:00Z" w:initials="n">
    <w:p w14:paraId="6CBE640F" w14:textId="05CAC8C3" w:rsidR="00E625F4" w:rsidRDefault="00E625F4" w:rsidP="00E625F4">
      <w:pPr>
        <w:pStyle w:val="CommentText"/>
      </w:pPr>
      <w:r>
        <w:rPr>
          <w:rStyle w:val="CommentReference"/>
        </w:rPr>
        <w:annotationRef/>
      </w:r>
      <w:r>
        <w:t>Cite this</w:t>
      </w:r>
    </w:p>
  </w:comment>
  <w:comment w:id="11" w:author="nitinkumar2756@gmail.com" w:date="2025-03-11T11:55:00Z" w:initials="n">
    <w:p w14:paraId="5F410732" w14:textId="77777777" w:rsidR="00847E63" w:rsidRDefault="00847E63" w:rsidP="00847E63">
      <w:pPr>
        <w:pStyle w:val="CommentText"/>
      </w:pPr>
      <w:r>
        <w:rPr>
          <w:rStyle w:val="CommentReference"/>
        </w:rPr>
        <w:annotationRef/>
      </w:r>
      <w:r>
        <w:t xml:space="preserve">Don’t repeat complete sentence like full form in your manuscript write simply TME </w:t>
      </w:r>
    </w:p>
  </w:comment>
  <w:comment w:id="12" w:author="nitinkumar2756@gmail.com" w:date="2025-03-11T11:57:00Z" w:initials="n">
    <w:p w14:paraId="20ADE178" w14:textId="77777777" w:rsidR="00847E63" w:rsidRDefault="00847E63" w:rsidP="00847E63">
      <w:pPr>
        <w:pStyle w:val="CommentText"/>
      </w:pPr>
      <w:r>
        <w:rPr>
          <w:rStyle w:val="CommentReference"/>
        </w:rPr>
        <w:annotationRef/>
      </w:r>
      <w:r>
        <w:t>Kindly mentioned in a detailed how to link telomerase in apoptosis</w:t>
      </w:r>
    </w:p>
  </w:comment>
  <w:comment w:id="14" w:author="nitinkumar2756@gmail.com" w:date="2025-03-11T11:46:00Z" w:initials="n">
    <w:p w14:paraId="42931146" w14:textId="268B13F6" w:rsidR="00E625F4" w:rsidRDefault="00E625F4" w:rsidP="00E625F4">
      <w:pPr>
        <w:pStyle w:val="CommentText"/>
      </w:pPr>
      <w:r>
        <w:rPr>
          <w:rStyle w:val="CommentReference"/>
        </w:rPr>
        <w:annotationRef/>
      </w:r>
      <w:r>
        <w:t>Explain both Figure.1 and Figure 2 in your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E72358" w15:done="0"/>
  <w15:commentEx w15:paraId="3950796F" w15:done="0"/>
  <w15:commentEx w15:paraId="297114CF" w15:done="0"/>
  <w15:commentEx w15:paraId="1F0C4CD7" w15:done="0"/>
  <w15:commentEx w15:paraId="7E0893E5" w15:done="0"/>
  <w15:commentEx w15:paraId="6AC5FF72" w15:done="0"/>
  <w15:commentEx w15:paraId="3812852D" w15:done="0"/>
  <w15:commentEx w15:paraId="5830DDD1" w15:done="0"/>
  <w15:commentEx w15:paraId="6096FB2E" w15:done="0"/>
  <w15:commentEx w15:paraId="6CBE640F" w15:done="0"/>
  <w15:commentEx w15:paraId="5F410732" w15:done="0"/>
  <w15:commentEx w15:paraId="20ADE178" w15:done="0"/>
  <w15:commentEx w15:paraId="429311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6C78F0" w16cex:dateUtc="2025-03-11T06:00:00Z"/>
  <w16cex:commentExtensible w16cex:durableId="3DAE04A2" w16cex:dateUtc="2025-03-11T06:06:00Z"/>
  <w16cex:commentExtensible w16cex:durableId="6AB153F9" w16cex:dateUtc="2025-03-11T06:08:00Z"/>
  <w16cex:commentExtensible w16cex:durableId="420A12AA" w16cex:dateUtc="2025-03-11T06:31:00Z"/>
  <w16cex:commentExtensible w16cex:durableId="2677A4A4" w16cex:dateUtc="2025-03-11T06:29:00Z"/>
  <w16cex:commentExtensible w16cex:durableId="3B02C4F9" w16cex:dateUtc="2025-03-11T06:28:00Z"/>
  <w16cex:commentExtensible w16cex:durableId="67EFC6AF" w16cex:dateUtc="2025-03-11T06:19:00Z"/>
  <w16cex:commentExtensible w16cex:durableId="4786EE80" w16cex:dateUtc="2025-03-11T06:21:00Z"/>
  <w16cex:commentExtensible w16cex:durableId="3879E69F" w16cex:dateUtc="2025-03-11T06:23:00Z"/>
  <w16cex:commentExtensible w16cex:durableId="7A125951" w16cex:dateUtc="2025-03-11T06:18:00Z"/>
  <w16cex:commentExtensible w16cex:durableId="6A184430" w16cex:dateUtc="2025-03-11T06:25:00Z"/>
  <w16cex:commentExtensible w16cex:durableId="6B68CFD4" w16cex:dateUtc="2025-03-11T06:27:00Z"/>
  <w16cex:commentExtensible w16cex:durableId="039CB760" w16cex:dateUtc="2025-03-11T0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E72358" w16cid:durableId="3D6C78F0"/>
  <w16cid:commentId w16cid:paraId="3950796F" w16cid:durableId="3DAE04A2"/>
  <w16cid:commentId w16cid:paraId="297114CF" w16cid:durableId="6AB153F9"/>
  <w16cid:commentId w16cid:paraId="1F0C4CD7" w16cid:durableId="420A12AA"/>
  <w16cid:commentId w16cid:paraId="7E0893E5" w16cid:durableId="2677A4A4"/>
  <w16cid:commentId w16cid:paraId="6AC5FF72" w16cid:durableId="3B02C4F9"/>
  <w16cid:commentId w16cid:paraId="3812852D" w16cid:durableId="67EFC6AF"/>
  <w16cid:commentId w16cid:paraId="5830DDD1" w16cid:durableId="4786EE80"/>
  <w16cid:commentId w16cid:paraId="6096FB2E" w16cid:durableId="3879E69F"/>
  <w16cid:commentId w16cid:paraId="6CBE640F" w16cid:durableId="7A125951"/>
  <w16cid:commentId w16cid:paraId="5F410732" w16cid:durableId="6A184430"/>
  <w16cid:commentId w16cid:paraId="20ADE178" w16cid:durableId="6B68CFD4"/>
  <w16cid:commentId w16cid:paraId="42931146" w16cid:durableId="039CB7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934FD" w14:textId="77777777" w:rsidR="00720F24" w:rsidRDefault="00720F24" w:rsidP="00E9533F">
      <w:pPr>
        <w:spacing w:after="0" w:line="240" w:lineRule="auto"/>
      </w:pPr>
      <w:r>
        <w:separator/>
      </w:r>
    </w:p>
  </w:endnote>
  <w:endnote w:type="continuationSeparator" w:id="0">
    <w:p w14:paraId="4A12C2D3" w14:textId="77777777" w:rsidR="00720F24" w:rsidRDefault="00720F24" w:rsidP="00E95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CA7E" w14:textId="77777777" w:rsidR="007725B6" w:rsidRDefault="00772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4F7D" w14:textId="77777777" w:rsidR="007725B6" w:rsidRDefault="007725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2679" w14:textId="77777777" w:rsidR="007725B6" w:rsidRDefault="00772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6C4C8" w14:textId="77777777" w:rsidR="00720F24" w:rsidRDefault="00720F24" w:rsidP="00E9533F">
      <w:pPr>
        <w:spacing w:after="0" w:line="240" w:lineRule="auto"/>
      </w:pPr>
      <w:r>
        <w:separator/>
      </w:r>
    </w:p>
  </w:footnote>
  <w:footnote w:type="continuationSeparator" w:id="0">
    <w:p w14:paraId="41EDA84A" w14:textId="77777777" w:rsidR="00720F24" w:rsidRDefault="00720F24" w:rsidP="00E953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548E" w14:textId="244CFCD2" w:rsidR="007725B6" w:rsidRDefault="00847E63">
    <w:pPr>
      <w:pStyle w:val="Header"/>
    </w:pPr>
    <w:r>
      <w:rPr>
        <w:noProof/>
      </w:rPr>
      <w:pict w14:anchorId="6AA05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8685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ED0C4" w14:textId="29C86846" w:rsidR="007725B6" w:rsidRDefault="00847E63">
    <w:pPr>
      <w:pStyle w:val="Header"/>
    </w:pPr>
    <w:r>
      <w:rPr>
        <w:noProof/>
      </w:rPr>
      <w:pict w14:anchorId="20A66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8685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8FE3" w14:textId="1E31F908" w:rsidR="007725B6" w:rsidRDefault="00847E63">
    <w:pPr>
      <w:pStyle w:val="Header"/>
    </w:pPr>
    <w:r>
      <w:rPr>
        <w:noProof/>
      </w:rPr>
      <w:pict w14:anchorId="19885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8685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414FD"/>
    <w:multiLevelType w:val="hybridMultilevel"/>
    <w:tmpl w:val="D5C80C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2B3A61"/>
    <w:multiLevelType w:val="multilevel"/>
    <w:tmpl w:val="D1FA063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108349050">
    <w:abstractNumId w:val="1"/>
  </w:num>
  <w:num w:numId="2" w16cid:durableId="4584258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tinkumar2756@gmail.com">
    <w15:presenceInfo w15:providerId="Windows Live" w15:userId="0ef1c49e496bca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47"/>
    <w:rsid w:val="00052531"/>
    <w:rsid w:val="000D4B5F"/>
    <w:rsid w:val="001D0ED9"/>
    <w:rsid w:val="002033C4"/>
    <w:rsid w:val="00210CEF"/>
    <w:rsid w:val="00222536"/>
    <w:rsid w:val="0027784E"/>
    <w:rsid w:val="00291737"/>
    <w:rsid w:val="002C236A"/>
    <w:rsid w:val="002C2535"/>
    <w:rsid w:val="0031131F"/>
    <w:rsid w:val="003302FA"/>
    <w:rsid w:val="00330FC7"/>
    <w:rsid w:val="003D3B1D"/>
    <w:rsid w:val="004160D0"/>
    <w:rsid w:val="004F30BB"/>
    <w:rsid w:val="00501EAB"/>
    <w:rsid w:val="006F0853"/>
    <w:rsid w:val="007152AB"/>
    <w:rsid w:val="00720F24"/>
    <w:rsid w:val="007725B6"/>
    <w:rsid w:val="007A6739"/>
    <w:rsid w:val="007D1C21"/>
    <w:rsid w:val="007F68E1"/>
    <w:rsid w:val="00847E63"/>
    <w:rsid w:val="009B216D"/>
    <w:rsid w:val="009F1E4E"/>
    <w:rsid w:val="00A03B3C"/>
    <w:rsid w:val="00A05777"/>
    <w:rsid w:val="00B170A0"/>
    <w:rsid w:val="00BD2079"/>
    <w:rsid w:val="00C14A47"/>
    <w:rsid w:val="00C63566"/>
    <w:rsid w:val="00C85B2E"/>
    <w:rsid w:val="00CA0F99"/>
    <w:rsid w:val="00D7298D"/>
    <w:rsid w:val="00DA4F60"/>
    <w:rsid w:val="00DD5B89"/>
    <w:rsid w:val="00E2213F"/>
    <w:rsid w:val="00E477EB"/>
    <w:rsid w:val="00E57120"/>
    <w:rsid w:val="00E625F4"/>
    <w:rsid w:val="00E9533F"/>
    <w:rsid w:val="00F46038"/>
    <w:rsid w:val="00F563FF"/>
    <w:rsid w:val="00F565EE"/>
    <w:rsid w:val="00FC085A"/>
    <w:rsid w:val="00FD7A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C28233B"/>
  <w15:docId w15:val="{65C9DF5D-3BDB-478D-BADE-9A57B95D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F565EE"/>
    <w:pPr>
      <w:ind w:left="720"/>
      <w:contextualSpacing/>
    </w:pPr>
    <w:rPr>
      <w:rFonts w:asciiTheme="minorHAnsi" w:eastAsiaTheme="minorHAnsi" w:hAnsiTheme="minorHAnsi" w:cstheme="minorBidi"/>
      <w:kern w:val="2"/>
      <w:lang w:eastAsia="en-US"/>
      <w14:ligatures w14:val="standardContextual"/>
    </w:rPr>
  </w:style>
  <w:style w:type="paragraph" w:styleId="Header">
    <w:name w:val="header"/>
    <w:basedOn w:val="Normal"/>
    <w:link w:val="HeaderChar"/>
    <w:uiPriority w:val="99"/>
    <w:unhideWhenUsed/>
    <w:rsid w:val="00E953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33F"/>
  </w:style>
  <w:style w:type="paragraph" w:styleId="Footer">
    <w:name w:val="footer"/>
    <w:basedOn w:val="Normal"/>
    <w:link w:val="FooterChar"/>
    <w:uiPriority w:val="99"/>
    <w:unhideWhenUsed/>
    <w:rsid w:val="00E95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33F"/>
  </w:style>
  <w:style w:type="character" w:styleId="Hyperlink">
    <w:name w:val="Hyperlink"/>
    <w:basedOn w:val="DefaultParagraphFont"/>
    <w:uiPriority w:val="99"/>
    <w:unhideWhenUsed/>
    <w:rsid w:val="00501EAB"/>
    <w:rPr>
      <w:color w:val="0000FF" w:themeColor="hyperlink"/>
      <w:u w:val="single"/>
    </w:rPr>
  </w:style>
  <w:style w:type="paragraph" w:styleId="BodyText">
    <w:name w:val="Body Text"/>
    <w:link w:val="BodyTextChar"/>
    <w:rsid w:val="00501EAB"/>
    <w:pPr>
      <w:widowControl w:val="0"/>
      <w:pBdr>
        <w:top w:val="nil"/>
        <w:left w:val="nil"/>
        <w:bottom w:val="nil"/>
        <w:right w:val="nil"/>
        <w:between w:val="nil"/>
        <w:bar w:val="nil"/>
      </w:pBdr>
      <w:spacing w:after="0" w:line="240" w:lineRule="auto"/>
      <w:ind w:right="257"/>
      <w:jc w:val="both"/>
    </w:pPr>
    <w:rPr>
      <w:rFonts w:ascii="Times New Roman" w:eastAsia="Times New Roman" w:hAnsi="Times New Roman" w:cs="Times New Roman"/>
      <w:color w:val="000000"/>
      <w:sz w:val="24"/>
      <w:szCs w:val="24"/>
      <w:u w:color="000000"/>
      <w:bdr w:val="nil"/>
      <w:lang w:val="en-US"/>
    </w:rPr>
  </w:style>
  <w:style w:type="character" w:customStyle="1" w:styleId="BodyTextChar">
    <w:name w:val="Body Text Char"/>
    <w:basedOn w:val="DefaultParagraphFont"/>
    <w:link w:val="BodyText"/>
    <w:rsid w:val="00501EAB"/>
    <w:rPr>
      <w:rFonts w:ascii="Times New Roman" w:eastAsia="Times New Roman" w:hAnsi="Times New Roman" w:cs="Times New Roman"/>
      <w:color w:val="000000"/>
      <w:sz w:val="24"/>
      <w:szCs w:val="24"/>
      <w:u w:color="000000"/>
      <w:bdr w:val="nil"/>
      <w:lang w:val="en-US"/>
    </w:rPr>
  </w:style>
  <w:style w:type="character" w:customStyle="1" w:styleId="NoneA">
    <w:name w:val="None A"/>
    <w:rsid w:val="00501EAB"/>
    <w:rPr>
      <w:lang w:val="en-US"/>
    </w:rPr>
  </w:style>
  <w:style w:type="character" w:styleId="UnresolvedMention">
    <w:name w:val="Unresolved Mention"/>
    <w:basedOn w:val="DefaultParagraphFont"/>
    <w:uiPriority w:val="99"/>
    <w:semiHidden/>
    <w:unhideWhenUsed/>
    <w:rsid w:val="00F563FF"/>
    <w:rPr>
      <w:color w:val="605E5C"/>
      <w:shd w:val="clear" w:color="auto" w:fill="E1DFDD"/>
    </w:rPr>
  </w:style>
  <w:style w:type="character" w:styleId="CommentReference">
    <w:name w:val="annotation reference"/>
    <w:basedOn w:val="DefaultParagraphFont"/>
    <w:uiPriority w:val="99"/>
    <w:semiHidden/>
    <w:unhideWhenUsed/>
    <w:rsid w:val="007152AB"/>
    <w:rPr>
      <w:sz w:val="16"/>
      <w:szCs w:val="16"/>
    </w:rPr>
  </w:style>
  <w:style w:type="paragraph" w:styleId="CommentText">
    <w:name w:val="annotation text"/>
    <w:basedOn w:val="Normal"/>
    <w:link w:val="CommentTextChar"/>
    <w:uiPriority w:val="99"/>
    <w:unhideWhenUsed/>
    <w:rsid w:val="007152AB"/>
    <w:pPr>
      <w:spacing w:line="240" w:lineRule="auto"/>
    </w:pPr>
    <w:rPr>
      <w:sz w:val="20"/>
      <w:szCs w:val="20"/>
    </w:rPr>
  </w:style>
  <w:style w:type="character" w:customStyle="1" w:styleId="CommentTextChar">
    <w:name w:val="Comment Text Char"/>
    <w:basedOn w:val="DefaultParagraphFont"/>
    <w:link w:val="CommentText"/>
    <w:uiPriority w:val="99"/>
    <w:rsid w:val="007152AB"/>
    <w:rPr>
      <w:sz w:val="20"/>
      <w:szCs w:val="20"/>
    </w:rPr>
  </w:style>
  <w:style w:type="paragraph" w:styleId="CommentSubject">
    <w:name w:val="annotation subject"/>
    <w:basedOn w:val="CommentText"/>
    <w:next w:val="CommentText"/>
    <w:link w:val="CommentSubjectChar"/>
    <w:uiPriority w:val="99"/>
    <w:semiHidden/>
    <w:unhideWhenUsed/>
    <w:rsid w:val="007152AB"/>
    <w:rPr>
      <w:b/>
      <w:bCs/>
    </w:rPr>
  </w:style>
  <w:style w:type="character" w:customStyle="1" w:styleId="CommentSubjectChar">
    <w:name w:val="Comment Subject Char"/>
    <w:basedOn w:val="CommentTextChar"/>
    <w:link w:val="CommentSubject"/>
    <w:uiPriority w:val="99"/>
    <w:semiHidden/>
    <w:rsid w:val="007152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4530">
      <w:bodyDiv w:val="1"/>
      <w:marLeft w:val="0"/>
      <w:marRight w:val="0"/>
      <w:marTop w:val="0"/>
      <w:marBottom w:val="0"/>
      <w:divBdr>
        <w:top w:val="none" w:sz="0" w:space="0" w:color="auto"/>
        <w:left w:val="none" w:sz="0" w:space="0" w:color="auto"/>
        <w:bottom w:val="none" w:sz="0" w:space="0" w:color="auto"/>
        <w:right w:val="none" w:sz="0" w:space="0" w:color="auto"/>
      </w:divBdr>
    </w:div>
    <w:div w:id="58410011">
      <w:bodyDiv w:val="1"/>
      <w:marLeft w:val="0"/>
      <w:marRight w:val="0"/>
      <w:marTop w:val="0"/>
      <w:marBottom w:val="0"/>
      <w:divBdr>
        <w:top w:val="none" w:sz="0" w:space="0" w:color="auto"/>
        <w:left w:val="none" w:sz="0" w:space="0" w:color="auto"/>
        <w:bottom w:val="none" w:sz="0" w:space="0" w:color="auto"/>
        <w:right w:val="none" w:sz="0" w:space="0" w:color="auto"/>
      </w:divBdr>
    </w:div>
    <w:div w:id="119539891">
      <w:bodyDiv w:val="1"/>
      <w:marLeft w:val="0"/>
      <w:marRight w:val="0"/>
      <w:marTop w:val="0"/>
      <w:marBottom w:val="0"/>
      <w:divBdr>
        <w:top w:val="none" w:sz="0" w:space="0" w:color="auto"/>
        <w:left w:val="none" w:sz="0" w:space="0" w:color="auto"/>
        <w:bottom w:val="none" w:sz="0" w:space="0" w:color="auto"/>
        <w:right w:val="none" w:sz="0" w:space="0" w:color="auto"/>
      </w:divBdr>
    </w:div>
    <w:div w:id="127477957">
      <w:bodyDiv w:val="1"/>
      <w:marLeft w:val="0"/>
      <w:marRight w:val="0"/>
      <w:marTop w:val="0"/>
      <w:marBottom w:val="0"/>
      <w:divBdr>
        <w:top w:val="none" w:sz="0" w:space="0" w:color="auto"/>
        <w:left w:val="none" w:sz="0" w:space="0" w:color="auto"/>
        <w:bottom w:val="none" w:sz="0" w:space="0" w:color="auto"/>
        <w:right w:val="none" w:sz="0" w:space="0" w:color="auto"/>
      </w:divBdr>
    </w:div>
    <w:div w:id="206719484">
      <w:bodyDiv w:val="1"/>
      <w:marLeft w:val="0"/>
      <w:marRight w:val="0"/>
      <w:marTop w:val="0"/>
      <w:marBottom w:val="0"/>
      <w:divBdr>
        <w:top w:val="none" w:sz="0" w:space="0" w:color="auto"/>
        <w:left w:val="none" w:sz="0" w:space="0" w:color="auto"/>
        <w:bottom w:val="none" w:sz="0" w:space="0" w:color="auto"/>
        <w:right w:val="none" w:sz="0" w:space="0" w:color="auto"/>
      </w:divBdr>
    </w:div>
    <w:div w:id="206723451">
      <w:bodyDiv w:val="1"/>
      <w:marLeft w:val="0"/>
      <w:marRight w:val="0"/>
      <w:marTop w:val="0"/>
      <w:marBottom w:val="0"/>
      <w:divBdr>
        <w:top w:val="none" w:sz="0" w:space="0" w:color="auto"/>
        <w:left w:val="none" w:sz="0" w:space="0" w:color="auto"/>
        <w:bottom w:val="none" w:sz="0" w:space="0" w:color="auto"/>
        <w:right w:val="none" w:sz="0" w:space="0" w:color="auto"/>
      </w:divBdr>
    </w:div>
    <w:div w:id="261689902">
      <w:bodyDiv w:val="1"/>
      <w:marLeft w:val="0"/>
      <w:marRight w:val="0"/>
      <w:marTop w:val="0"/>
      <w:marBottom w:val="0"/>
      <w:divBdr>
        <w:top w:val="none" w:sz="0" w:space="0" w:color="auto"/>
        <w:left w:val="none" w:sz="0" w:space="0" w:color="auto"/>
        <w:bottom w:val="none" w:sz="0" w:space="0" w:color="auto"/>
        <w:right w:val="none" w:sz="0" w:space="0" w:color="auto"/>
      </w:divBdr>
    </w:div>
    <w:div w:id="276060298">
      <w:bodyDiv w:val="1"/>
      <w:marLeft w:val="0"/>
      <w:marRight w:val="0"/>
      <w:marTop w:val="0"/>
      <w:marBottom w:val="0"/>
      <w:divBdr>
        <w:top w:val="none" w:sz="0" w:space="0" w:color="auto"/>
        <w:left w:val="none" w:sz="0" w:space="0" w:color="auto"/>
        <w:bottom w:val="none" w:sz="0" w:space="0" w:color="auto"/>
        <w:right w:val="none" w:sz="0" w:space="0" w:color="auto"/>
      </w:divBdr>
    </w:div>
    <w:div w:id="279263563">
      <w:bodyDiv w:val="1"/>
      <w:marLeft w:val="0"/>
      <w:marRight w:val="0"/>
      <w:marTop w:val="0"/>
      <w:marBottom w:val="0"/>
      <w:divBdr>
        <w:top w:val="none" w:sz="0" w:space="0" w:color="auto"/>
        <w:left w:val="none" w:sz="0" w:space="0" w:color="auto"/>
        <w:bottom w:val="none" w:sz="0" w:space="0" w:color="auto"/>
        <w:right w:val="none" w:sz="0" w:space="0" w:color="auto"/>
      </w:divBdr>
    </w:div>
    <w:div w:id="290478114">
      <w:bodyDiv w:val="1"/>
      <w:marLeft w:val="0"/>
      <w:marRight w:val="0"/>
      <w:marTop w:val="0"/>
      <w:marBottom w:val="0"/>
      <w:divBdr>
        <w:top w:val="none" w:sz="0" w:space="0" w:color="auto"/>
        <w:left w:val="none" w:sz="0" w:space="0" w:color="auto"/>
        <w:bottom w:val="none" w:sz="0" w:space="0" w:color="auto"/>
        <w:right w:val="none" w:sz="0" w:space="0" w:color="auto"/>
      </w:divBdr>
    </w:div>
    <w:div w:id="327948164">
      <w:bodyDiv w:val="1"/>
      <w:marLeft w:val="0"/>
      <w:marRight w:val="0"/>
      <w:marTop w:val="0"/>
      <w:marBottom w:val="0"/>
      <w:divBdr>
        <w:top w:val="none" w:sz="0" w:space="0" w:color="auto"/>
        <w:left w:val="none" w:sz="0" w:space="0" w:color="auto"/>
        <w:bottom w:val="none" w:sz="0" w:space="0" w:color="auto"/>
        <w:right w:val="none" w:sz="0" w:space="0" w:color="auto"/>
      </w:divBdr>
    </w:div>
    <w:div w:id="344287976">
      <w:bodyDiv w:val="1"/>
      <w:marLeft w:val="0"/>
      <w:marRight w:val="0"/>
      <w:marTop w:val="0"/>
      <w:marBottom w:val="0"/>
      <w:divBdr>
        <w:top w:val="none" w:sz="0" w:space="0" w:color="auto"/>
        <w:left w:val="none" w:sz="0" w:space="0" w:color="auto"/>
        <w:bottom w:val="none" w:sz="0" w:space="0" w:color="auto"/>
        <w:right w:val="none" w:sz="0" w:space="0" w:color="auto"/>
      </w:divBdr>
    </w:div>
    <w:div w:id="406149660">
      <w:bodyDiv w:val="1"/>
      <w:marLeft w:val="0"/>
      <w:marRight w:val="0"/>
      <w:marTop w:val="0"/>
      <w:marBottom w:val="0"/>
      <w:divBdr>
        <w:top w:val="none" w:sz="0" w:space="0" w:color="auto"/>
        <w:left w:val="none" w:sz="0" w:space="0" w:color="auto"/>
        <w:bottom w:val="none" w:sz="0" w:space="0" w:color="auto"/>
        <w:right w:val="none" w:sz="0" w:space="0" w:color="auto"/>
      </w:divBdr>
    </w:div>
    <w:div w:id="421030284">
      <w:bodyDiv w:val="1"/>
      <w:marLeft w:val="0"/>
      <w:marRight w:val="0"/>
      <w:marTop w:val="0"/>
      <w:marBottom w:val="0"/>
      <w:divBdr>
        <w:top w:val="none" w:sz="0" w:space="0" w:color="auto"/>
        <w:left w:val="none" w:sz="0" w:space="0" w:color="auto"/>
        <w:bottom w:val="none" w:sz="0" w:space="0" w:color="auto"/>
        <w:right w:val="none" w:sz="0" w:space="0" w:color="auto"/>
      </w:divBdr>
    </w:div>
    <w:div w:id="716709784">
      <w:bodyDiv w:val="1"/>
      <w:marLeft w:val="0"/>
      <w:marRight w:val="0"/>
      <w:marTop w:val="0"/>
      <w:marBottom w:val="0"/>
      <w:divBdr>
        <w:top w:val="none" w:sz="0" w:space="0" w:color="auto"/>
        <w:left w:val="none" w:sz="0" w:space="0" w:color="auto"/>
        <w:bottom w:val="none" w:sz="0" w:space="0" w:color="auto"/>
        <w:right w:val="none" w:sz="0" w:space="0" w:color="auto"/>
      </w:divBdr>
    </w:div>
    <w:div w:id="814448501">
      <w:bodyDiv w:val="1"/>
      <w:marLeft w:val="0"/>
      <w:marRight w:val="0"/>
      <w:marTop w:val="0"/>
      <w:marBottom w:val="0"/>
      <w:divBdr>
        <w:top w:val="none" w:sz="0" w:space="0" w:color="auto"/>
        <w:left w:val="none" w:sz="0" w:space="0" w:color="auto"/>
        <w:bottom w:val="none" w:sz="0" w:space="0" w:color="auto"/>
        <w:right w:val="none" w:sz="0" w:space="0" w:color="auto"/>
      </w:divBdr>
    </w:div>
    <w:div w:id="814681148">
      <w:bodyDiv w:val="1"/>
      <w:marLeft w:val="0"/>
      <w:marRight w:val="0"/>
      <w:marTop w:val="0"/>
      <w:marBottom w:val="0"/>
      <w:divBdr>
        <w:top w:val="none" w:sz="0" w:space="0" w:color="auto"/>
        <w:left w:val="none" w:sz="0" w:space="0" w:color="auto"/>
        <w:bottom w:val="none" w:sz="0" w:space="0" w:color="auto"/>
        <w:right w:val="none" w:sz="0" w:space="0" w:color="auto"/>
      </w:divBdr>
    </w:div>
    <w:div w:id="826629474">
      <w:bodyDiv w:val="1"/>
      <w:marLeft w:val="0"/>
      <w:marRight w:val="0"/>
      <w:marTop w:val="0"/>
      <w:marBottom w:val="0"/>
      <w:divBdr>
        <w:top w:val="none" w:sz="0" w:space="0" w:color="auto"/>
        <w:left w:val="none" w:sz="0" w:space="0" w:color="auto"/>
        <w:bottom w:val="none" w:sz="0" w:space="0" w:color="auto"/>
        <w:right w:val="none" w:sz="0" w:space="0" w:color="auto"/>
      </w:divBdr>
    </w:div>
    <w:div w:id="971784416">
      <w:bodyDiv w:val="1"/>
      <w:marLeft w:val="0"/>
      <w:marRight w:val="0"/>
      <w:marTop w:val="0"/>
      <w:marBottom w:val="0"/>
      <w:divBdr>
        <w:top w:val="none" w:sz="0" w:space="0" w:color="auto"/>
        <w:left w:val="none" w:sz="0" w:space="0" w:color="auto"/>
        <w:bottom w:val="none" w:sz="0" w:space="0" w:color="auto"/>
        <w:right w:val="none" w:sz="0" w:space="0" w:color="auto"/>
      </w:divBdr>
    </w:div>
    <w:div w:id="992293577">
      <w:bodyDiv w:val="1"/>
      <w:marLeft w:val="0"/>
      <w:marRight w:val="0"/>
      <w:marTop w:val="0"/>
      <w:marBottom w:val="0"/>
      <w:divBdr>
        <w:top w:val="none" w:sz="0" w:space="0" w:color="auto"/>
        <w:left w:val="none" w:sz="0" w:space="0" w:color="auto"/>
        <w:bottom w:val="none" w:sz="0" w:space="0" w:color="auto"/>
        <w:right w:val="none" w:sz="0" w:space="0" w:color="auto"/>
      </w:divBdr>
    </w:div>
    <w:div w:id="1059717466">
      <w:bodyDiv w:val="1"/>
      <w:marLeft w:val="0"/>
      <w:marRight w:val="0"/>
      <w:marTop w:val="0"/>
      <w:marBottom w:val="0"/>
      <w:divBdr>
        <w:top w:val="none" w:sz="0" w:space="0" w:color="auto"/>
        <w:left w:val="none" w:sz="0" w:space="0" w:color="auto"/>
        <w:bottom w:val="none" w:sz="0" w:space="0" w:color="auto"/>
        <w:right w:val="none" w:sz="0" w:space="0" w:color="auto"/>
      </w:divBdr>
    </w:div>
    <w:div w:id="1059745524">
      <w:bodyDiv w:val="1"/>
      <w:marLeft w:val="0"/>
      <w:marRight w:val="0"/>
      <w:marTop w:val="0"/>
      <w:marBottom w:val="0"/>
      <w:divBdr>
        <w:top w:val="none" w:sz="0" w:space="0" w:color="auto"/>
        <w:left w:val="none" w:sz="0" w:space="0" w:color="auto"/>
        <w:bottom w:val="none" w:sz="0" w:space="0" w:color="auto"/>
        <w:right w:val="none" w:sz="0" w:space="0" w:color="auto"/>
      </w:divBdr>
    </w:div>
    <w:div w:id="1150561115">
      <w:bodyDiv w:val="1"/>
      <w:marLeft w:val="0"/>
      <w:marRight w:val="0"/>
      <w:marTop w:val="0"/>
      <w:marBottom w:val="0"/>
      <w:divBdr>
        <w:top w:val="none" w:sz="0" w:space="0" w:color="auto"/>
        <w:left w:val="none" w:sz="0" w:space="0" w:color="auto"/>
        <w:bottom w:val="none" w:sz="0" w:space="0" w:color="auto"/>
        <w:right w:val="none" w:sz="0" w:space="0" w:color="auto"/>
      </w:divBdr>
    </w:div>
    <w:div w:id="1187674040">
      <w:bodyDiv w:val="1"/>
      <w:marLeft w:val="0"/>
      <w:marRight w:val="0"/>
      <w:marTop w:val="0"/>
      <w:marBottom w:val="0"/>
      <w:divBdr>
        <w:top w:val="none" w:sz="0" w:space="0" w:color="auto"/>
        <w:left w:val="none" w:sz="0" w:space="0" w:color="auto"/>
        <w:bottom w:val="none" w:sz="0" w:space="0" w:color="auto"/>
        <w:right w:val="none" w:sz="0" w:space="0" w:color="auto"/>
      </w:divBdr>
    </w:div>
    <w:div w:id="1204292844">
      <w:bodyDiv w:val="1"/>
      <w:marLeft w:val="0"/>
      <w:marRight w:val="0"/>
      <w:marTop w:val="0"/>
      <w:marBottom w:val="0"/>
      <w:divBdr>
        <w:top w:val="none" w:sz="0" w:space="0" w:color="auto"/>
        <w:left w:val="none" w:sz="0" w:space="0" w:color="auto"/>
        <w:bottom w:val="none" w:sz="0" w:space="0" w:color="auto"/>
        <w:right w:val="none" w:sz="0" w:space="0" w:color="auto"/>
      </w:divBdr>
    </w:div>
    <w:div w:id="1259295936">
      <w:bodyDiv w:val="1"/>
      <w:marLeft w:val="0"/>
      <w:marRight w:val="0"/>
      <w:marTop w:val="0"/>
      <w:marBottom w:val="0"/>
      <w:divBdr>
        <w:top w:val="none" w:sz="0" w:space="0" w:color="auto"/>
        <w:left w:val="none" w:sz="0" w:space="0" w:color="auto"/>
        <w:bottom w:val="none" w:sz="0" w:space="0" w:color="auto"/>
        <w:right w:val="none" w:sz="0" w:space="0" w:color="auto"/>
      </w:divBdr>
    </w:div>
    <w:div w:id="1349942117">
      <w:bodyDiv w:val="1"/>
      <w:marLeft w:val="0"/>
      <w:marRight w:val="0"/>
      <w:marTop w:val="0"/>
      <w:marBottom w:val="0"/>
      <w:divBdr>
        <w:top w:val="none" w:sz="0" w:space="0" w:color="auto"/>
        <w:left w:val="none" w:sz="0" w:space="0" w:color="auto"/>
        <w:bottom w:val="none" w:sz="0" w:space="0" w:color="auto"/>
        <w:right w:val="none" w:sz="0" w:space="0" w:color="auto"/>
      </w:divBdr>
    </w:div>
    <w:div w:id="1512329637">
      <w:bodyDiv w:val="1"/>
      <w:marLeft w:val="0"/>
      <w:marRight w:val="0"/>
      <w:marTop w:val="0"/>
      <w:marBottom w:val="0"/>
      <w:divBdr>
        <w:top w:val="none" w:sz="0" w:space="0" w:color="auto"/>
        <w:left w:val="none" w:sz="0" w:space="0" w:color="auto"/>
        <w:bottom w:val="none" w:sz="0" w:space="0" w:color="auto"/>
        <w:right w:val="none" w:sz="0" w:space="0" w:color="auto"/>
      </w:divBdr>
    </w:div>
    <w:div w:id="1551068735">
      <w:bodyDiv w:val="1"/>
      <w:marLeft w:val="0"/>
      <w:marRight w:val="0"/>
      <w:marTop w:val="0"/>
      <w:marBottom w:val="0"/>
      <w:divBdr>
        <w:top w:val="none" w:sz="0" w:space="0" w:color="auto"/>
        <w:left w:val="none" w:sz="0" w:space="0" w:color="auto"/>
        <w:bottom w:val="none" w:sz="0" w:space="0" w:color="auto"/>
        <w:right w:val="none" w:sz="0" w:space="0" w:color="auto"/>
      </w:divBdr>
    </w:div>
    <w:div w:id="1560021150">
      <w:bodyDiv w:val="1"/>
      <w:marLeft w:val="0"/>
      <w:marRight w:val="0"/>
      <w:marTop w:val="0"/>
      <w:marBottom w:val="0"/>
      <w:divBdr>
        <w:top w:val="none" w:sz="0" w:space="0" w:color="auto"/>
        <w:left w:val="none" w:sz="0" w:space="0" w:color="auto"/>
        <w:bottom w:val="none" w:sz="0" w:space="0" w:color="auto"/>
        <w:right w:val="none" w:sz="0" w:space="0" w:color="auto"/>
      </w:divBdr>
    </w:div>
    <w:div w:id="1616399613">
      <w:bodyDiv w:val="1"/>
      <w:marLeft w:val="0"/>
      <w:marRight w:val="0"/>
      <w:marTop w:val="0"/>
      <w:marBottom w:val="0"/>
      <w:divBdr>
        <w:top w:val="none" w:sz="0" w:space="0" w:color="auto"/>
        <w:left w:val="none" w:sz="0" w:space="0" w:color="auto"/>
        <w:bottom w:val="none" w:sz="0" w:space="0" w:color="auto"/>
        <w:right w:val="none" w:sz="0" w:space="0" w:color="auto"/>
      </w:divBdr>
    </w:div>
    <w:div w:id="1628587093">
      <w:bodyDiv w:val="1"/>
      <w:marLeft w:val="0"/>
      <w:marRight w:val="0"/>
      <w:marTop w:val="0"/>
      <w:marBottom w:val="0"/>
      <w:divBdr>
        <w:top w:val="none" w:sz="0" w:space="0" w:color="auto"/>
        <w:left w:val="none" w:sz="0" w:space="0" w:color="auto"/>
        <w:bottom w:val="none" w:sz="0" w:space="0" w:color="auto"/>
        <w:right w:val="none" w:sz="0" w:space="0" w:color="auto"/>
      </w:divBdr>
    </w:div>
    <w:div w:id="1895964329">
      <w:bodyDiv w:val="1"/>
      <w:marLeft w:val="0"/>
      <w:marRight w:val="0"/>
      <w:marTop w:val="0"/>
      <w:marBottom w:val="0"/>
      <w:divBdr>
        <w:top w:val="none" w:sz="0" w:space="0" w:color="auto"/>
        <w:left w:val="none" w:sz="0" w:space="0" w:color="auto"/>
        <w:bottom w:val="none" w:sz="0" w:space="0" w:color="auto"/>
        <w:right w:val="none" w:sz="0" w:space="0" w:color="auto"/>
      </w:divBdr>
    </w:div>
    <w:div w:id="1911040156">
      <w:bodyDiv w:val="1"/>
      <w:marLeft w:val="0"/>
      <w:marRight w:val="0"/>
      <w:marTop w:val="0"/>
      <w:marBottom w:val="0"/>
      <w:divBdr>
        <w:top w:val="none" w:sz="0" w:space="0" w:color="auto"/>
        <w:left w:val="none" w:sz="0" w:space="0" w:color="auto"/>
        <w:bottom w:val="none" w:sz="0" w:space="0" w:color="auto"/>
        <w:right w:val="none" w:sz="0" w:space="0" w:color="auto"/>
      </w:divBdr>
    </w:div>
    <w:div w:id="1954359788">
      <w:bodyDiv w:val="1"/>
      <w:marLeft w:val="0"/>
      <w:marRight w:val="0"/>
      <w:marTop w:val="0"/>
      <w:marBottom w:val="0"/>
      <w:divBdr>
        <w:top w:val="none" w:sz="0" w:space="0" w:color="auto"/>
        <w:left w:val="none" w:sz="0" w:space="0" w:color="auto"/>
        <w:bottom w:val="none" w:sz="0" w:space="0" w:color="auto"/>
        <w:right w:val="none" w:sz="0" w:space="0" w:color="auto"/>
      </w:divBdr>
    </w:div>
    <w:div w:id="1997025103">
      <w:bodyDiv w:val="1"/>
      <w:marLeft w:val="0"/>
      <w:marRight w:val="0"/>
      <w:marTop w:val="0"/>
      <w:marBottom w:val="0"/>
      <w:divBdr>
        <w:top w:val="none" w:sz="0" w:space="0" w:color="auto"/>
        <w:left w:val="none" w:sz="0" w:space="0" w:color="auto"/>
        <w:bottom w:val="none" w:sz="0" w:space="0" w:color="auto"/>
        <w:right w:val="none" w:sz="0" w:space="0" w:color="auto"/>
      </w:divBdr>
    </w:div>
    <w:div w:id="2015719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ti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A57E8F-9ACE-4F8D-9295-FBF0959114A8}">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7</TotalTime>
  <Pages>12</Pages>
  <Words>3645</Words>
  <Characters>30263</Characters>
  <Application>Microsoft Office Word</Application>
  <DocSecurity>0</DocSecurity>
  <Lines>840</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Saqib Zameer</dc:creator>
  <cp:lastModifiedBy>nitinkumar2756@gmail.com</cp:lastModifiedBy>
  <cp:revision>2</cp:revision>
  <dcterms:created xsi:type="dcterms:W3CDTF">2025-03-11T06:32:00Z</dcterms:created>
  <dcterms:modified xsi:type="dcterms:W3CDTF">2025-03-11T06:32:00Z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id="vbkDKWLy"/&gt;&lt;style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43c44005b76574292582b4fe6984848108e73792aa71ebd7405ea4033b3faab0</vt:lpwstr>
  </property>
</Properties>
</file>