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BF819" w14:textId="77777777" w:rsidR="00754C9A" w:rsidRDefault="00754C9A" w:rsidP="00441B6F">
      <w:pPr>
        <w:pStyle w:val="Title"/>
        <w:spacing w:after="0"/>
        <w:jc w:val="both"/>
        <w:rPr>
          <w:rFonts w:ascii="Arial" w:hAnsi="Arial" w:cs="Arial"/>
        </w:rPr>
      </w:pPr>
    </w:p>
    <w:p w14:paraId="6F09C7FF" w14:textId="77777777" w:rsidR="00163BC4" w:rsidRPr="00163BC4" w:rsidRDefault="00B541BA" w:rsidP="00B541BA">
      <w:pPr>
        <w:pStyle w:val="Author"/>
        <w:spacing w:line="240" w:lineRule="auto"/>
        <w:jc w:val="center"/>
        <w:rPr>
          <w:rFonts w:ascii="Arial" w:hAnsi="Arial" w:cs="Arial"/>
          <w:bCs/>
          <w:iCs/>
          <w:kern w:val="28"/>
          <w:sz w:val="36"/>
        </w:rPr>
      </w:pPr>
      <w:r w:rsidRPr="00B541BA">
        <w:rPr>
          <w:rFonts w:ascii="Arial" w:hAnsi="Arial" w:cs="Arial"/>
          <w:bCs/>
          <w:iCs/>
          <w:kern w:val="28"/>
          <w:sz w:val="36"/>
        </w:rPr>
        <w:t>Soil Organic Carbon Estimation Using NIRS and MIRS Spectroscopy in the Senegalese Groundnut Basin: A Rapid Approach for Sustainable Soil Management</w:t>
      </w:r>
    </w:p>
    <w:p w14:paraId="654A77A6" w14:textId="77777777" w:rsidR="00A258C3" w:rsidRPr="00790ADA" w:rsidRDefault="00A258C3" w:rsidP="00441B6F">
      <w:pPr>
        <w:pStyle w:val="Author"/>
        <w:spacing w:line="240" w:lineRule="auto"/>
        <w:jc w:val="both"/>
        <w:rPr>
          <w:rFonts w:ascii="Arial" w:hAnsi="Arial" w:cs="Arial"/>
          <w:sz w:val="36"/>
        </w:rPr>
      </w:pPr>
    </w:p>
    <w:p w14:paraId="4E44348C" w14:textId="77777777" w:rsidR="002C57D2" w:rsidRPr="00FB3A86" w:rsidRDefault="002C57D2" w:rsidP="00441B6F">
      <w:pPr>
        <w:pStyle w:val="Affiliation"/>
        <w:spacing w:after="0" w:line="240" w:lineRule="auto"/>
        <w:jc w:val="both"/>
        <w:rPr>
          <w:rFonts w:ascii="Arial" w:hAnsi="Arial" w:cs="Arial"/>
        </w:rPr>
      </w:pPr>
    </w:p>
    <w:p w14:paraId="29A0BE65" w14:textId="77777777" w:rsidR="00B01FCD" w:rsidRPr="00FB3A86" w:rsidRDefault="003E4E5E" w:rsidP="00441B6F">
      <w:pPr>
        <w:pStyle w:val="Copyright"/>
        <w:spacing w:after="0" w:line="240" w:lineRule="auto"/>
        <w:jc w:val="both"/>
        <w:rPr>
          <w:rFonts w:ascii="Arial" w:hAnsi="Arial" w:cs="Arial"/>
        </w:rPr>
        <w:sectPr w:rsidR="00B01FCD" w:rsidRPr="00FB3A86" w:rsidSect="004D66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EC24A4" wp14:editId="5046AA8D">
                <wp:extent cx="5303520" cy="635"/>
                <wp:effectExtent l="0" t="12700" r="5080" b="12065"/>
                <wp:docPr id="900107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082E5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6B4F2E0"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BE8D9D" w14:textId="77777777" w:rsidTr="001E44FE">
        <w:tc>
          <w:tcPr>
            <w:tcW w:w="9576" w:type="dxa"/>
            <w:shd w:val="clear" w:color="auto" w:fill="F2F2F2"/>
          </w:tcPr>
          <w:p w14:paraId="36D6281C"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 xml:space="preserve">Senegalese agriculture relies heavily on peanut cultivation, but agricultural intensification has led to soil degradation and a decline in fertility. Soil organic carbon (SOC) is a key indicator of soil quality, influencing its structure and fertility. However, conventional SOC analysis methods are costly and time-consuming. Infrared </w:t>
            </w:r>
            <w:commentRangeStart w:id="0"/>
            <w:r w:rsidRPr="00C80B7C">
              <w:rPr>
                <w:rFonts w:ascii="Arial" w:eastAsia="Calibri" w:hAnsi="Arial" w:cs="Arial"/>
                <w:sz w:val="20"/>
                <w:szCs w:val="20"/>
                <w:lang w:val="en-US" w:eastAsia="en-US"/>
              </w:rPr>
              <w:t>spectroscopy</w:t>
            </w:r>
            <w:commentRangeEnd w:id="0"/>
            <w:r w:rsidR="002D4C51">
              <w:rPr>
                <w:rStyle w:val="CommentReference"/>
                <w:lang w:val="nb-NO" w:eastAsia="nb-NO"/>
              </w:rPr>
              <w:commentReference w:id="0"/>
            </w:r>
            <w:r w:rsidRPr="00C80B7C">
              <w:rPr>
                <w:rFonts w:ascii="Arial" w:eastAsia="Calibri" w:hAnsi="Arial" w:cs="Arial"/>
                <w:sz w:val="20"/>
                <w:szCs w:val="20"/>
                <w:lang w:val="en-US" w:eastAsia="en-US"/>
              </w:rPr>
              <w:t xml:space="preserve"> (NIRS and MIRS) offers a fast and non-destructive alternative, allowing SOC estimation based on the soil’s spectral properties.</w:t>
            </w:r>
          </w:p>
          <w:p w14:paraId="50CD7E81"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 xml:space="preserve">The study, conducted in the Senegalese Peanut Basin, involved the analysis of 240 soil samples at two depths (0–10 cm and 10–30 cm). Spectra were acquired using NIRS and MIRS, then calibrated with reference measurements obtained through CHNSO analysis. Various spectral preprocessing techniques (SNV, SG, MSC, etc.) and machine learning models (PLSR, SVM, Random Forest, </w:t>
            </w:r>
            <w:proofErr w:type="spellStart"/>
            <w:r w:rsidRPr="00C80B7C">
              <w:rPr>
                <w:rFonts w:ascii="Arial" w:eastAsia="Calibri" w:hAnsi="Arial" w:cs="Arial"/>
                <w:sz w:val="20"/>
                <w:szCs w:val="20"/>
                <w:lang w:val="en-US" w:eastAsia="en-US"/>
              </w:rPr>
              <w:t>XGBoost</w:t>
            </w:r>
            <w:proofErr w:type="spellEnd"/>
            <w:r w:rsidRPr="00C80B7C">
              <w:rPr>
                <w:rFonts w:ascii="Arial" w:eastAsia="Calibri" w:hAnsi="Arial" w:cs="Arial"/>
                <w:sz w:val="20"/>
                <w:szCs w:val="20"/>
                <w:lang w:val="en-US" w:eastAsia="en-US"/>
              </w:rPr>
              <w:t>) were tested to optimize SOC prediction.</w:t>
            </w:r>
          </w:p>
          <w:p w14:paraId="767B0DE0"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 xml:space="preserve">The results show that the SVM and Random Forest models offer the best performance, particularly with NIRS spectra preprocessed using </w:t>
            </w:r>
            <w:proofErr w:type="spellStart"/>
            <w:r w:rsidRPr="00C80B7C">
              <w:rPr>
                <w:rFonts w:ascii="Arial" w:eastAsia="Calibri" w:hAnsi="Arial" w:cs="Arial"/>
                <w:sz w:val="20"/>
                <w:szCs w:val="20"/>
                <w:lang w:val="en-US" w:eastAsia="en-US"/>
              </w:rPr>
              <w:t>Savitzky</w:t>
            </w:r>
            <w:proofErr w:type="spellEnd"/>
            <w:r w:rsidRPr="00C80B7C">
              <w:rPr>
                <w:rFonts w:ascii="Arial" w:eastAsia="Calibri" w:hAnsi="Arial" w:cs="Arial"/>
                <w:sz w:val="20"/>
                <w:szCs w:val="20"/>
                <w:lang w:val="en-US" w:eastAsia="en-US"/>
              </w:rPr>
              <w:t xml:space="preserve">-Golay, achieving a coefficient of determination (R²) above 0.8 and an RPD &gt; 2, indicating sufficient accuracy for soil management applications. This study highlights infrared spectroscopy as a promising tool for the rapid and cost-effective mapping of SOC, contributing to improved agricultural soil fertility </w:t>
            </w:r>
            <w:commentRangeStart w:id="1"/>
            <w:r w:rsidRPr="00C80B7C">
              <w:rPr>
                <w:rFonts w:ascii="Arial" w:eastAsia="Calibri" w:hAnsi="Arial" w:cs="Arial"/>
                <w:sz w:val="20"/>
                <w:szCs w:val="20"/>
                <w:lang w:val="en-US" w:eastAsia="en-US"/>
              </w:rPr>
              <w:t>management</w:t>
            </w:r>
            <w:commentRangeEnd w:id="1"/>
            <w:r w:rsidR="002D4C51">
              <w:rPr>
                <w:rStyle w:val="CommentReference"/>
                <w:lang w:val="nb-NO" w:eastAsia="nb-NO"/>
              </w:rPr>
              <w:commentReference w:id="1"/>
            </w:r>
            <w:r w:rsidRPr="00C80B7C">
              <w:rPr>
                <w:rFonts w:ascii="Arial" w:eastAsia="Calibri" w:hAnsi="Arial" w:cs="Arial"/>
                <w:sz w:val="20"/>
                <w:szCs w:val="20"/>
                <w:lang w:val="en-US" w:eastAsia="en-US"/>
              </w:rPr>
              <w:t>.</w:t>
            </w:r>
          </w:p>
          <w:p w14:paraId="69D0439B" w14:textId="77777777" w:rsidR="00505F06" w:rsidRPr="00BA1B01" w:rsidRDefault="00505F06" w:rsidP="00441B6F">
            <w:pPr>
              <w:pStyle w:val="Body"/>
              <w:spacing w:after="0"/>
              <w:rPr>
                <w:rFonts w:ascii="Arial" w:eastAsia="Calibri" w:hAnsi="Arial" w:cs="Arial"/>
                <w:szCs w:val="22"/>
              </w:rPr>
            </w:pPr>
          </w:p>
        </w:tc>
      </w:tr>
    </w:tbl>
    <w:p w14:paraId="2A4BA6FD" w14:textId="77777777" w:rsidR="00636EB2" w:rsidRDefault="00636EB2" w:rsidP="00441B6F">
      <w:pPr>
        <w:pStyle w:val="Body"/>
        <w:spacing w:after="0"/>
        <w:rPr>
          <w:rFonts w:ascii="Arial" w:hAnsi="Arial" w:cs="Arial"/>
          <w:i/>
        </w:rPr>
      </w:pPr>
    </w:p>
    <w:p w14:paraId="33520191" w14:textId="77777777" w:rsidR="00A24E7E" w:rsidRDefault="00A24E7E" w:rsidP="00441B6F">
      <w:pPr>
        <w:pStyle w:val="Body"/>
        <w:spacing w:after="0"/>
        <w:rPr>
          <w:rFonts w:ascii="Arial" w:hAnsi="Arial" w:cs="Arial"/>
          <w:i/>
        </w:rPr>
      </w:pPr>
      <w:r>
        <w:rPr>
          <w:rFonts w:ascii="Arial" w:hAnsi="Arial" w:cs="Arial"/>
          <w:i/>
        </w:rPr>
        <w:t xml:space="preserve">Keywords: </w:t>
      </w:r>
      <w:r w:rsidR="00A7292A" w:rsidRPr="00A7292A">
        <w:rPr>
          <w:rFonts w:ascii="Arial" w:hAnsi="Arial" w:cs="Arial"/>
          <w:i/>
        </w:rPr>
        <w:t xml:space="preserve">Soil organic carbon (SOC); Near-infrared spectroscopy (NIRS); Mid-infrared spectroscopy (MIRS); Machine learning; Predictive modeling; </w:t>
      </w:r>
      <w:r w:rsidR="00817382" w:rsidRPr="00817382">
        <w:rPr>
          <w:rFonts w:ascii="Arial" w:hAnsi="Arial" w:cs="Arial"/>
          <w:i/>
        </w:rPr>
        <w:t>Senegalese Groundnut Basin Senegalese Groundnut Basin</w:t>
      </w:r>
      <w:r w:rsidR="0066510A">
        <w:rPr>
          <w:rFonts w:ascii="Arial" w:hAnsi="Arial" w:cs="Arial"/>
          <w:i/>
        </w:rPr>
        <w:t xml:space="preserve"> </w:t>
      </w:r>
    </w:p>
    <w:p w14:paraId="6C12E05B" w14:textId="77777777" w:rsidR="00790ADA" w:rsidRDefault="00790ADA" w:rsidP="00441B6F">
      <w:pPr>
        <w:pStyle w:val="Body"/>
        <w:spacing w:after="0"/>
        <w:rPr>
          <w:rFonts w:ascii="Arial" w:hAnsi="Arial" w:cs="Arial"/>
          <w:i/>
        </w:rPr>
      </w:pPr>
    </w:p>
    <w:p w14:paraId="2B35E43E" w14:textId="77777777" w:rsidR="00505F06" w:rsidRDefault="00505F06" w:rsidP="00441B6F">
      <w:pPr>
        <w:pStyle w:val="Body"/>
        <w:spacing w:after="0"/>
        <w:rPr>
          <w:rFonts w:ascii="Arial" w:hAnsi="Arial" w:cs="Arial"/>
          <w:b/>
          <w:i/>
          <w:sz w:val="18"/>
        </w:rPr>
      </w:pPr>
    </w:p>
    <w:p w14:paraId="4D81E8A1" w14:textId="77777777" w:rsidR="00DB791F" w:rsidRDefault="00DB791F" w:rsidP="00441B6F">
      <w:pPr>
        <w:pStyle w:val="Body"/>
        <w:spacing w:after="0"/>
        <w:rPr>
          <w:rFonts w:ascii="Arial" w:hAnsi="Arial" w:cs="Arial"/>
          <w:b/>
          <w:i/>
          <w:sz w:val="18"/>
        </w:rPr>
      </w:pPr>
    </w:p>
    <w:p w14:paraId="0BC6349E" w14:textId="77777777" w:rsidR="00DB791F" w:rsidRPr="00A24E7E" w:rsidRDefault="00DB791F" w:rsidP="00441B6F">
      <w:pPr>
        <w:pStyle w:val="Body"/>
        <w:spacing w:after="0"/>
        <w:rPr>
          <w:rFonts w:ascii="Arial" w:hAnsi="Arial" w:cs="Arial"/>
          <w:i/>
        </w:rPr>
      </w:pPr>
    </w:p>
    <w:p w14:paraId="4DDD59D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CCF2D6" w14:textId="77777777" w:rsidR="00790ADA" w:rsidRPr="00FB3A86" w:rsidRDefault="00790ADA" w:rsidP="00441B6F">
      <w:pPr>
        <w:pStyle w:val="AbstHead"/>
        <w:spacing w:after="0"/>
        <w:jc w:val="both"/>
        <w:rPr>
          <w:rFonts w:ascii="Arial" w:hAnsi="Arial" w:cs="Arial"/>
        </w:rPr>
      </w:pPr>
    </w:p>
    <w:p w14:paraId="348CD223"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Senegalese agriculture relies heavily on peanut cultivation, which plays a central role in the country's economy and food security. However, the intensification of agricultural practices, combined with a decrease in organic matter inputs, has led to a gradual degradation of soils and a decline in their fertility (</w:t>
      </w:r>
      <w:proofErr w:type="spellStart"/>
      <w:r w:rsidRPr="001909A8">
        <w:rPr>
          <w:rFonts w:ascii="Arial" w:hAnsi="Arial" w:cs="Arial"/>
        </w:rPr>
        <w:t>Tondoh</w:t>
      </w:r>
      <w:proofErr w:type="spellEnd"/>
      <w:r w:rsidRPr="001909A8">
        <w:rPr>
          <w:rFonts w:ascii="Arial" w:hAnsi="Arial" w:cs="Arial"/>
        </w:rPr>
        <w:t xml:space="preserve"> et al., 2013; Lal, 2014). Soil organic carbon (SOC) is a key indicator of soil quality, influencing its structure, water retention capacity, and fertility (Six </w:t>
      </w:r>
      <w:r w:rsidRPr="001909A8">
        <w:rPr>
          <w:rFonts w:ascii="Arial" w:hAnsi="Arial" w:cs="Arial"/>
        </w:rPr>
        <w:lastRenderedPageBreak/>
        <w:t>et al., 2002). Its accurate assessment is therefore essential for guiding sustainable soil management practices and mitigating the effects of degradation (</w:t>
      </w:r>
      <w:proofErr w:type="spellStart"/>
      <w:r w:rsidRPr="001909A8">
        <w:rPr>
          <w:rFonts w:ascii="Arial" w:hAnsi="Arial" w:cs="Arial"/>
        </w:rPr>
        <w:t>Batjes</w:t>
      </w:r>
      <w:proofErr w:type="spellEnd"/>
      <w:r w:rsidRPr="001909A8">
        <w:rPr>
          <w:rFonts w:ascii="Arial" w:hAnsi="Arial" w:cs="Arial"/>
        </w:rPr>
        <w:t>, 2014).</w:t>
      </w:r>
    </w:p>
    <w:p w14:paraId="19664CC1"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Conventional methods for measuring organic carbon, based on chemical oxidation (Walkley &amp; Black, 1934) or elemental CHNSO analysis (Nelson &amp; Sommers, 1996), are costly, time-consuming, and require the use of chemical reagents. To overcome these limitations, near-infrared spectroscopy (NIRS, 350–2500 nm) and mid-infrared spectroscopy (MIRS, 4003–648 cm</w:t>
      </w:r>
      <w:r w:rsidRPr="001909A8">
        <w:rPr>
          <w:rFonts w:ascii="Cambria Math" w:hAnsi="Cambria Math" w:cs="Cambria Math"/>
        </w:rPr>
        <w:t>⁻</w:t>
      </w:r>
      <w:r w:rsidRPr="001909A8">
        <w:rPr>
          <w:rFonts w:ascii="Arial" w:hAnsi="Arial" w:cs="Arial"/>
        </w:rPr>
        <w:t xml:space="preserve">¹) have emerged as rapid and non-destructive alternatives for SOC quantification (Viscarra-Rossel et al., 2006; </w:t>
      </w:r>
      <w:proofErr w:type="spellStart"/>
      <w:r w:rsidRPr="001909A8">
        <w:rPr>
          <w:rFonts w:ascii="Arial" w:hAnsi="Arial" w:cs="Arial"/>
        </w:rPr>
        <w:t>Barthès</w:t>
      </w:r>
      <w:proofErr w:type="spellEnd"/>
      <w:r w:rsidRPr="001909A8">
        <w:rPr>
          <w:rFonts w:ascii="Arial" w:hAnsi="Arial" w:cs="Arial"/>
        </w:rPr>
        <w:t xml:space="preserve"> et al., 2016).</w:t>
      </w:r>
    </w:p>
    <w:p w14:paraId="049B38E5"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Infrared spectroscopy is based on the selective absorption of electromagnetic radiation by the chemical bonds of soil components. This technique captures information on functional groups associated with organic matter and minerals (Ng et al., 2019). By using machine learning models, it is possible to establish a relationship between measured spectra and SOC content, paving the way for precise mapping of soil organic matter (</w:t>
      </w:r>
      <w:proofErr w:type="spellStart"/>
      <w:r w:rsidRPr="001909A8">
        <w:rPr>
          <w:rFonts w:ascii="Arial" w:hAnsi="Arial" w:cs="Arial"/>
        </w:rPr>
        <w:t>Grinand</w:t>
      </w:r>
      <w:proofErr w:type="spellEnd"/>
      <w:r w:rsidRPr="001909A8">
        <w:rPr>
          <w:rFonts w:ascii="Arial" w:hAnsi="Arial" w:cs="Arial"/>
        </w:rPr>
        <w:t xml:space="preserve"> et al., 2016; </w:t>
      </w:r>
      <w:proofErr w:type="spellStart"/>
      <w:r w:rsidRPr="001909A8">
        <w:rPr>
          <w:rFonts w:ascii="Arial" w:hAnsi="Arial" w:cs="Arial"/>
        </w:rPr>
        <w:t>Minasny</w:t>
      </w:r>
      <w:proofErr w:type="spellEnd"/>
      <w:r w:rsidRPr="001909A8">
        <w:rPr>
          <w:rFonts w:ascii="Arial" w:hAnsi="Arial" w:cs="Arial"/>
        </w:rPr>
        <w:t xml:space="preserve"> et al., 2011).</w:t>
      </w:r>
    </w:p>
    <w:p w14:paraId="51E2662F"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 xml:space="preserve">However, the effectiveness of infrared spectroscopy strongly depends on the predictive model used and the preprocessing applied to the spectra (Ji et al., 2015). Spectral correction techniques such as </w:t>
      </w:r>
      <w:proofErr w:type="spellStart"/>
      <w:r w:rsidRPr="001909A8">
        <w:rPr>
          <w:rFonts w:ascii="Arial" w:hAnsi="Arial" w:cs="Arial"/>
        </w:rPr>
        <w:t>Savitzky</w:t>
      </w:r>
      <w:proofErr w:type="spellEnd"/>
      <w:r w:rsidRPr="001909A8">
        <w:rPr>
          <w:rFonts w:ascii="Arial" w:hAnsi="Arial" w:cs="Arial"/>
        </w:rPr>
        <w:t>-Golay (SG), Standard Normal Variate (SNV), or Detrending (DT) help improve signal quality and optimize model accuracy (Conforti et al., 2015). Among the most efficient machine learning models are:</w:t>
      </w:r>
      <w:r w:rsidR="00DB77CB">
        <w:rPr>
          <w:rFonts w:ascii="Arial" w:hAnsi="Arial" w:cs="Arial"/>
        </w:rPr>
        <w:t xml:space="preserve"> </w:t>
      </w:r>
      <w:r w:rsidRPr="001909A8">
        <w:rPr>
          <w:rFonts w:ascii="Arial" w:hAnsi="Arial" w:cs="Arial"/>
        </w:rPr>
        <w:t>Support Vector Machine (SVM): widely used in soil spectroscopy for its robustness in handling nonlinear data (</w:t>
      </w:r>
      <w:proofErr w:type="spellStart"/>
      <w:r w:rsidRPr="001909A8">
        <w:rPr>
          <w:rFonts w:ascii="Arial" w:hAnsi="Arial" w:cs="Arial"/>
        </w:rPr>
        <w:t>Roudier</w:t>
      </w:r>
      <w:proofErr w:type="spellEnd"/>
      <w:r w:rsidRPr="001909A8">
        <w:rPr>
          <w:rFonts w:ascii="Arial" w:hAnsi="Arial" w:cs="Arial"/>
        </w:rPr>
        <w:t xml:space="preserve"> et al., 2017),</w:t>
      </w:r>
      <w:r w:rsidR="00DB77CB">
        <w:rPr>
          <w:rFonts w:ascii="Arial" w:hAnsi="Arial" w:cs="Arial"/>
        </w:rPr>
        <w:t xml:space="preserve"> </w:t>
      </w:r>
      <w:r w:rsidRPr="001909A8">
        <w:rPr>
          <w:rFonts w:ascii="Arial" w:hAnsi="Arial" w:cs="Arial"/>
        </w:rPr>
        <w:t>Random Forest (RF): effective in capturing complex interactions between spectral variables (Liu et al., 2020),</w:t>
      </w:r>
      <w:r w:rsidR="00DB77CB">
        <w:rPr>
          <w:rFonts w:ascii="Arial" w:hAnsi="Arial" w:cs="Arial"/>
        </w:rPr>
        <w:t xml:space="preserve"> </w:t>
      </w:r>
      <w:proofErr w:type="spellStart"/>
      <w:r w:rsidRPr="001909A8">
        <w:rPr>
          <w:rFonts w:ascii="Arial" w:hAnsi="Arial" w:cs="Arial"/>
        </w:rPr>
        <w:t>XGBoost</w:t>
      </w:r>
      <w:proofErr w:type="spellEnd"/>
      <w:r w:rsidRPr="001909A8">
        <w:rPr>
          <w:rFonts w:ascii="Arial" w:hAnsi="Arial" w:cs="Arial"/>
        </w:rPr>
        <w:t xml:space="preserve">: a recent approach that enhances performance through the aggregation of multiple decision trees (Chen &amp; </w:t>
      </w:r>
      <w:proofErr w:type="spellStart"/>
      <w:r w:rsidRPr="001909A8">
        <w:rPr>
          <w:rFonts w:ascii="Arial" w:hAnsi="Arial" w:cs="Arial"/>
        </w:rPr>
        <w:t>Guestrin</w:t>
      </w:r>
      <w:proofErr w:type="spellEnd"/>
      <w:r w:rsidRPr="001909A8">
        <w:rPr>
          <w:rFonts w:ascii="Arial" w:hAnsi="Arial" w:cs="Arial"/>
        </w:rPr>
        <w:t>, 2016)</w:t>
      </w:r>
      <w:r w:rsidR="00411F16">
        <w:rPr>
          <w:rFonts w:ascii="Arial" w:hAnsi="Arial" w:cs="Arial"/>
        </w:rPr>
        <w:t>,</w:t>
      </w:r>
      <w:r w:rsidR="00411F16" w:rsidRPr="00411F16">
        <w:rPr>
          <w:rFonts w:ascii="Arial" w:eastAsia="Calibri" w:hAnsi="Arial" w:cs="Arial"/>
          <w:szCs w:val="22"/>
        </w:rPr>
        <w:t xml:space="preserve"> </w:t>
      </w:r>
      <w:r w:rsidR="00411F16" w:rsidRPr="003E63AB">
        <w:rPr>
          <w:rFonts w:ascii="Arial" w:eastAsia="Calibri" w:hAnsi="Arial" w:cs="Arial"/>
          <w:szCs w:val="22"/>
        </w:rPr>
        <w:t>Partial Least Squares Regression</w:t>
      </w:r>
      <w:r w:rsidR="00411F16" w:rsidRPr="00411F16">
        <w:rPr>
          <w:rFonts w:ascii="Arial" w:eastAsia="Calibri" w:hAnsi="Arial" w:cs="Arial"/>
          <w:szCs w:val="22"/>
        </w:rPr>
        <w:t xml:space="preserve"> </w:t>
      </w:r>
      <w:r w:rsidR="00411F16">
        <w:rPr>
          <w:rFonts w:ascii="Arial" w:eastAsia="Calibri" w:hAnsi="Arial" w:cs="Arial"/>
          <w:szCs w:val="22"/>
        </w:rPr>
        <w:t>(</w:t>
      </w:r>
      <w:proofErr w:type="gramStart"/>
      <w:r w:rsidR="00411F16" w:rsidRPr="003E63AB">
        <w:rPr>
          <w:rFonts w:ascii="Arial" w:eastAsia="Calibri" w:hAnsi="Arial" w:cs="Arial"/>
          <w:szCs w:val="22"/>
        </w:rPr>
        <w:t>PLS</w:t>
      </w:r>
      <w:r w:rsidR="00411F16">
        <w:rPr>
          <w:rFonts w:ascii="Arial" w:eastAsia="Calibri" w:hAnsi="Arial" w:cs="Arial"/>
          <w:szCs w:val="22"/>
        </w:rPr>
        <w:t>R)</w:t>
      </w:r>
      <w:r w:rsidR="00411F16" w:rsidRPr="003E63AB">
        <w:rPr>
          <w:rFonts w:ascii="Arial" w:eastAsia="Calibri" w:hAnsi="Arial" w:cs="Arial"/>
          <w:szCs w:val="22"/>
        </w:rPr>
        <w:t>  (</w:t>
      </w:r>
      <w:proofErr w:type="spellStart"/>
      <w:proofErr w:type="gramEnd"/>
      <w:r w:rsidR="00411F16" w:rsidRPr="003E63AB">
        <w:rPr>
          <w:rFonts w:ascii="Arial" w:eastAsia="Calibri" w:hAnsi="Arial" w:cs="Arial"/>
          <w:szCs w:val="22"/>
        </w:rPr>
        <w:t>Wold</w:t>
      </w:r>
      <w:proofErr w:type="spellEnd"/>
      <w:r w:rsidR="00411F16" w:rsidRPr="003E63AB">
        <w:rPr>
          <w:rFonts w:ascii="Arial" w:eastAsia="Calibri" w:hAnsi="Arial" w:cs="Arial"/>
          <w:szCs w:val="22"/>
        </w:rPr>
        <w:t xml:space="preserve"> et al., 2001)</w:t>
      </w:r>
    </w:p>
    <w:p w14:paraId="7576ED5E"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 xml:space="preserve">The objective of this study is to assess the feasibility of using infrared spectroscopy to estimate the organic carbon content of soils in the Senegalese Peanut Basin by testing different combinations of machine learning models and spectral preprocessing techniques. The performance of the models will be compared using classical indicators such as the coefficient of determination (R²), the root </w:t>
      </w:r>
      <w:proofErr w:type="gramStart"/>
      <w:r w:rsidRPr="001909A8">
        <w:rPr>
          <w:rFonts w:ascii="Arial" w:hAnsi="Arial" w:cs="Arial"/>
        </w:rPr>
        <w:t>mean</w:t>
      </w:r>
      <w:proofErr w:type="gramEnd"/>
      <w:r w:rsidRPr="001909A8">
        <w:rPr>
          <w:rFonts w:ascii="Arial" w:hAnsi="Arial" w:cs="Arial"/>
        </w:rPr>
        <w:t xml:space="preserve"> square error of prediction (RMSEP), and the Ratio of Performance to Deviation (RPD).</w:t>
      </w:r>
    </w:p>
    <w:p w14:paraId="6E7D163F"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By providing a fast and cost-effective method to assess soil fertility, this study aims to contribute to the improvement of sustainable soil management strategies and support the transition towards agriculture that is more resilient to environmental and climatic challenges.</w:t>
      </w:r>
    </w:p>
    <w:p w14:paraId="4FCB6CB1" w14:textId="77777777" w:rsidR="00790ADA" w:rsidRPr="00FB3A86" w:rsidRDefault="00790ADA" w:rsidP="00441B6F">
      <w:pPr>
        <w:pStyle w:val="Body"/>
        <w:spacing w:after="0"/>
        <w:rPr>
          <w:rFonts w:ascii="Arial" w:hAnsi="Arial" w:cs="Arial"/>
        </w:rPr>
      </w:pPr>
    </w:p>
    <w:p w14:paraId="4A159B3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9F1644D" w14:textId="77777777" w:rsidR="001114A2" w:rsidRDefault="001114A2" w:rsidP="00441B6F">
      <w:pPr>
        <w:pStyle w:val="AbstHead"/>
        <w:spacing w:after="0"/>
        <w:jc w:val="both"/>
        <w:rPr>
          <w:rFonts w:ascii="Arial" w:hAnsi="Arial" w:cs="Arial"/>
        </w:rPr>
      </w:pPr>
    </w:p>
    <w:p w14:paraId="7CA1C273" w14:textId="77777777" w:rsidR="00790ADA" w:rsidRPr="00DB791F" w:rsidRDefault="003506CB" w:rsidP="00441B6F">
      <w:pPr>
        <w:pStyle w:val="AbstHead"/>
        <w:spacing w:after="0"/>
        <w:jc w:val="both"/>
        <w:rPr>
          <w:rFonts w:ascii="Arial" w:hAnsi="Arial" w:cs="Arial"/>
          <w:caps w:val="0"/>
        </w:rPr>
      </w:pPr>
      <w:r w:rsidRPr="00DB791F">
        <w:rPr>
          <w:rFonts w:ascii="Arial" w:hAnsi="Arial" w:cs="Arial"/>
          <w:caps w:val="0"/>
        </w:rPr>
        <w:t xml:space="preserve">2.1 </w:t>
      </w:r>
      <w:r w:rsidR="001114A2" w:rsidRPr="00DB791F">
        <w:rPr>
          <w:rFonts w:ascii="Arial" w:hAnsi="Arial" w:cs="Arial"/>
          <w:caps w:val="0"/>
        </w:rPr>
        <w:t>Study Area</w:t>
      </w:r>
    </w:p>
    <w:p w14:paraId="64ADA5DE" w14:textId="77777777" w:rsidR="001114A2" w:rsidRPr="00487D01" w:rsidRDefault="001114A2" w:rsidP="003506CB">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 xml:space="preserve">The study area is located in the Peanut </w:t>
      </w:r>
      <w:commentRangeStart w:id="2"/>
      <w:r w:rsidRPr="00487D01">
        <w:rPr>
          <w:rFonts w:ascii="Arial" w:eastAsia="Calibri" w:hAnsi="Arial" w:cs="Arial"/>
          <w:sz w:val="20"/>
          <w:szCs w:val="22"/>
          <w:lang w:val="en-US" w:eastAsia="en-US"/>
        </w:rPr>
        <w:t>Basin</w:t>
      </w:r>
      <w:commentRangeEnd w:id="2"/>
      <w:r w:rsidR="002D4C51">
        <w:rPr>
          <w:rStyle w:val="CommentReference"/>
          <w:lang w:val="nb-NO" w:eastAsia="nb-NO"/>
        </w:rPr>
        <w:commentReference w:id="2"/>
      </w:r>
      <w:r w:rsidRPr="00487D01">
        <w:rPr>
          <w:rFonts w:ascii="Arial" w:eastAsia="Calibri" w:hAnsi="Arial" w:cs="Arial"/>
          <w:sz w:val="20"/>
          <w:szCs w:val="22"/>
          <w:lang w:val="en-US" w:eastAsia="en-US"/>
        </w:rPr>
        <w:t xml:space="preserve"> (in central Senegal) within the Sudano-Sahelian zone. It lies between the coordinates 14°27'-14°31'N and 16°25'-15°30'W (Figure 2) and covers an area of 91.7 km². According to the </w:t>
      </w:r>
      <w:proofErr w:type="spellStart"/>
      <w:r w:rsidRPr="00487D01">
        <w:rPr>
          <w:rFonts w:ascii="Arial" w:eastAsia="Calibri" w:hAnsi="Arial" w:cs="Arial"/>
          <w:sz w:val="20"/>
          <w:szCs w:val="22"/>
          <w:lang w:val="en-US" w:eastAsia="en-US"/>
        </w:rPr>
        <w:t>Köppen</w:t>
      </w:r>
      <w:proofErr w:type="spellEnd"/>
      <w:r w:rsidRPr="00487D01">
        <w:rPr>
          <w:rFonts w:ascii="Arial" w:eastAsia="Calibri" w:hAnsi="Arial" w:cs="Arial"/>
          <w:sz w:val="20"/>
          <w:szCs w:val="22"/>
          <w:lang w:val="en-US" w:eastAsia="en-US"/>
        </w:rPr>
        <w:t>-Geiger classification, this climate is classified as hot semi-arid (</w:t>
      </w:r>
      <w:proofErr w:type="spellStart"/>
      <w:r w:rsidRPr="00487D01">
        <w:rPr>
          <w:rFonts w:ascii="Arial" w:eastAsia="Calibri" w:hAnsi="Arial" w:cs="Arial"/>
          <w:sz w:val="20"/>
          <w:szCs w:val="22"/>
          <w:lang w:val="en-US" w:eastAsia="en-US"/>
        </w:rPr>
        <w:t>Köppen</w:t>
      </w:r>
      <w:proofErr w:type="spellEnd"/>
      <w:r w:rsidRPr="00487D01">
        <w:rPr>
          <w:rFonts w:ascii="Arial" w:eastAsia="Calibri" w:hAnsi="Arial" w:cs="Arial"/>
          <w:sz w:val="20"/>
          <w:szCs w:val="22"/>
          <w:lang w:val="en-US" w:eastAsia="en-US"/>
        </w:rPr>
        <w:t xml:space="preserve">: </w:t>
      </w:r>
      <w:proofErr w:type="spellStart"/>
      <w:r w:rsidRPr="00487D01">
        <w:rPr>
          <w:rFonts w:ascii="Arial" w:eastAsia="Calibri" w:hAnsi="Arial" w:cs="Arial"/>
          <w:sz w:val="20"/>
          <w:szCs w:val="22"/>
          <w:lang w:val="en-US" w:eastAsia="en-US"/>
        </w:rPr>
        <w:t>BSh</w:t>
      </w:r>
      <w:proofErr w:type="spellEnd"/>
      <w:r w:rsidRPr="00487D01">
        <w:rPr>
          <w:rFonts w:ascii="Arial" w:eastAsia="Calibri" w:hAnsi="Arial" w:cs="Arial"/>
          <w:sz w:val="20"/>
          <w:szCs w:val="22"/>
          <w:lang w:val="en-US" w:eastAsia="en-US"/>
        </w:rPr>
        <w:t xml:space="preserve">). It is divided into a dry season from November to May and a wet season from June to October. Annual rainfall in the area has shown a decreasing trend, averaging 807 mm from 1918 to 1972, compared to 556 mm from 1972 to 2018 (ANACIM, 2020). Annual precipitation in the </w:t>
      </w:r>
      <w:r w:rsidR="0054161F" w:rsidRPr="00487D01">
        <w:rPr>
          <w:rFonts w:ascii="Arial" w:eastAsia="Calibri" w:hAnsi="Arial" w:cs="Arial"/>
          <w:sz w:val="20"/>
          <w:szCs w:val="22"/>
          <w:lang w:val="en-US" w:eastAsia="en-US"/>
        </w:rPr>
        <w:t>study</w:t>
      </w:r>
      <w:r w:rsidRPr="00487D01">
        <w:rPr>
          <w:rFonts w:ascii="Arial" w:eastAsia="Calibri" w:hAnsi="Arial" w:cs="Arial"/>
          <w:sz w:val="20"/>
          <w:szCs w:val="22"/>
          <w:lang w:val="en-US" w:eastAsia="en-US"/>
        </w:rPr>
        <w:t xml:space="preserve"> area generally varies between 300 </w:t>
      </w:r>
      <w:r w:rsidRPr="00487D01">
        <w:rPr>
          <w:rFonts w:ascii="Arial" w:eastAsia="Calibri" w:hAnsi="Arial" w:cs="Arial"/>
          <w:sz w:val="20"/>
          <w:szCs w:val="22"/>
          <w:lang w:val="en-US" w:eastAsia="en-US"/>
        </w:rPr>
        <w:lastRenderedPageBreak/>
        <w:t xml:space="preserve">and 850 mm. The average annual temperature is 27.5°C, with a maximum temperature of 38°C and a minimum of 15°C. The terrain is almost flat, with an elevation gradient of 10 </w:t>
      </w:r>
      <w:commentRangeStart w:id="3"/>
      <w:r w:rsidRPr="00487D01">
        <w:rPr>
          <w:rFonts w:ascii="Arial" w:eastAsia="Calibri" w:hAnsi="Arial" w:cs="Arial"/>
          <w:sz w:val="20"/>
          <w:szCs w:val="22"/>
          <w:lang w:val="en-US" w:eastAsia="en-US"/>
        </w:rPr>
        <w:t>meters</w:t>
      </w:r>
      <w:commentRangeEnd w:id="3"/>
      <w:r w:rsidR="002D4C51">
        <w:rPr>
          <w:rStyle w:val="CommentReference"/>
          <w:lang w:val="nb-NO" w:eastAsia="nb-NO"/>
        </w:rPr>
        <w:commentReference w:id="3"/>
      </w:r>
      <w:r w:rsidRPr="00487D01">
        <w:rPr>
          <w:rFonts w:ascii="Arial" w:eastAsia="Calibri" w:hAnsi="Arial" w:cs="Arial"/>
          <w:sz w:val="20"/>
          <w:szCs w:val="22"/>
          <w:lang w:val="en-US" w:eastAsia="en-US"/>
        </w:rPr>
        <w:t>.</w:t>
      </w:r>
    </w:p>
    <w:p w14:paraId="74C12BA8" w14:textId="77777777" w:rsidR="001114A2" w:rsidRPr="00487D01" w:rsidRDefault="001114A2" w:rsidP="003506CB">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The different soil types, according to the WRB classification (World Reference Base, 2015), are mainly </w:t>
      </w:r>
      <w:proofErr w:type="spellStart"/>
      <w:r w:rsidRPr="00487D01">
        <w:rPr>
          <w:rFonts w:ascii="Arial" w:eastAsia="Calibri" w:hAnsi="Arial" w:cs="Arial"/>
          <w:sz w:val="20"/>
          <w:szCs w:val="22"/>
          <w:lang w:val="en-US" w:eastAsia="en-US"/>
        </w:rPr>
        <w:t>Arenosols</w:t>
      </w:r>
      <w:proofErr w:type="spellEnd"/>
      <w:r w:rsidRPr="00487D01">
        <w:rPr>
          <w:rFonts w:ascii="Arial" w:eastAsia="Calibri" w:hAnsi="Arial" w:cs="Arial"/>
          <w:sz w:val="20"/>
          <w:szCs w:val="22"/>
          <w:lang w:val="en-US" w:eastAsia="en-US"/>
        </w:rPr>
        <w:t>, locally known as “Dior,” which dominate the area, </w:t>
      </w:r>
      <w:proofErr w:type="spellStart"/>
      <w:r w:rsidRPr="00487D01">
        <w:rPr>
          <w:rFonts w:ascii="Arial" w:eastAsia="Calibri" w:hAnsi="Arial" w:cs="Arial"/>
          <w:sz w:val="20"/>
          <w:szCs w:val="22"/>
          <w:lang w:val="en-US" w:eastAsia="en-US"/>
        </w:rPr>
        <w:t>Lixisols</w:t>
      </w:r>
      <w:proofErr w:type="spellEnd"/>
      <w:r w:rsidRPr="00487D01">
        <w:rPr>
          <w:rFonts w:ascii="Arial" w:eastAsia="Calibri" w:hAnsi="Arial" w:cs="Arial"/>
          <w:sz w:val="20"/>
          <w:szCs w:val="22"/>
          <w:lang w:val="en-US" w:eastAsia="en-US"/>
        </w:rPr>
        <w:t>, called “Deck-</w:t>
      </w:r>
      <w:proofErr w:type="spellStart"/>
      <w:r w:rsidRPr="00487D01">
        <w:rPr>
          <w:rFonts w:ascii="Arial" w:eastAsia="Calibri" w:hAnsi="Arial" w:cs="Arial"/>
          <w:sz w:val="20"/>
          <w:szCs w:val="22"/>
          <w:lang w:val="en-US" w:eastAsia="en-US"/>
        </w:rPr>
        <w:t>Diors</w:t>
      </w:r>
      <w:proofErr w:type="spellEnd"/>
      <w:r w:rsidRPr="00487D01">
        <w:rPr>
          <w:rFonts w:ascii="Arial" w:eastAsia="Calibri" w:hAnsi="Arial" w:cs="Arial"/>
          <w:sz w:val="20"/>
          <w:szCs w:val="22"/>
          <w:lang w:val="en-US" w:eastAsia="en-US"/>
        </w:rPr>
        <w:t>” in the local language, and </w:t>
      </w:r>
      <w:proofErr w:type="spellStart"/>
      <w:r w:rsidRPr="00487D01">
        <w:rPr>
          <w:rFonts w:ascii="Arial" w:eastAsia="Calibri" w:hAnsi="Arial" w:cs="Arial"/>
          <w:sz w:val="20"/>
          <w:szCs w:val="22"/>
          <w:lang w:val="en-US" w:eastAsia="en-US"/>
        </w:rPr>
        <w:t>Gleysols</w:t>
      </w:r>
      <w:proofErr w:type="spellEnd"/>
      <w:r w:rsidRPr="00487D01">
        <w:rPr>
          <w:rFonts w:ascii="Arial" w:eastAsia="Calibri" w:hAnsi="Arial" w:cs="Arial"/>
          <w:sz w:val="20"/>
          <w:szCs w:val="22"/>
          <w:lang w:val="en-US" w:eastAsia="en-US"/>
        </w:rPr>
        <w:t>, referred to as “Decks,” which are nearly insignificant </w:t>
      </w:r>
    </w:p>
    <w:p w14:paraId="31B4CF75" w14:textId="77777777" w:rsidR="0054161F" w:rsidRPr="00DB791F" w:rsidRDefault="0054161F" w:rsidP="00487D01">
      <w:pPr>
        <w:pStyle w:val="AbstHead"/>
        <w:spacing w:after="0"/>
        <w:jc w:val="both"/>
        <w:rPr>
          <w:rFonts w:ascii="Arial" w:hAnsi="Arial" w:cs="Arial"/>
          <w:caps w:val="0"/>
        </w:rPr>
      </w:pPr>
      <w:r w:rsidRPr="00DB791F">
        <w:rPr>
          <w:rFonts w:ascii="Arial" w:hAnsi="Arial" w:cs="Arial"/>
          <w:caps w:val="0"/>
        </w:rPr>
        <w:t>2.2 Sampling and Sample Preparation</w:t>
      </w:r>
    </w:p>
    <w:p w14:paraId="00878610"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A total of 240 soil samples were collected at two stratified depths to assess both the vertical and horizontal distribution of organic carbon:</w:t>
      </w:r>
    </w:p>
    <w:p w14:paraId="6A2EBD05" w14:textId="77777777" w:rsidR="0054161F" w:rsidRPr="003E63AB" w:rsidRDefault="0054161F" w:rsidP="00C63877">
      <w:pPr>
        <w:numPr>
          <w:ilvl w:val="0"/>
          <w:numId w:val="33"/>
        </w:numPr>
        <w:spacing w:before="100" w:beforeAutospacing="1" w:after="100" w:afterAutospacing="1"/>
        <w:jc w:val="both"/>
        <w:rPr>
          <w:rFonts w:ascii="Arial" w:eastAsia="Calibri" w:hAnsi="Arial" w:cs="Arial"/>
          <w:szCs w:val="22"/>
        </w:rPr>
      </w:pPr>
      <w:r w:rsidRPr="003E63AB">
        <w:rPr>
          <w:rFonts w:ascii="Arial" w:eastAsia="Calibri" w:hAnsi="Arial" w:cs="Arial"/>
          <w:szCs w:val="22"/>
        </w:rPr>
        <w:t>0–10 cm: Surface horizon, influenced by biomass inputs and agricultural practices. This depth is generally used to estimate active organic carbon (Janik et al., 2007).</w:t>
      </w:r>
    </w:p>
    <w:p w14:paraId="1E166547" w14:textId="77777777" w:rsidR="0054161F" w:rsidRPr="003E63AB" w:rsidRDefault="0054161F" w:rsidP="00C63877">
      <w:pPr>
        <w:numPr>
          <w:ilvl w:val="0"/>
          <w:numId w:val="33"/>
        </w:numPr>
        <w:spacing w:before="100" w:beforeAutospacing="1" w:after="100" w:afterAutospacing="1"/>
        <w:jc w:val="both"/>
        <w:rPr>
          <w:rFonts w:ascii="Arial" w:eastAsia="Calibri" w:hAnsi="Arial" w:cs="Arial"/>
          <w:szCs w:val="22"/>
        </w:rPr>
      </w:pPr>
      <w:r w:rsidRPr="003E63AB">
        <w:rPr>
          <w:rFonts w:ascii="Arial" w:eastAsia="Calibri" w:hAnsi="Arial" w:cs="Arial"/>
          <w:szCs w:val="22"/>
        </w:rPr>
        <w:t>10–30 cm: Underlying horizon, allowing analysis of organic carbon dynamics at depth and evaluating the impact of leaching and soil management practices.</w:t>
      </w:r>
    </w:p>
    <w:p w14:paraId="5C38086B"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 xml:space="preserve">The samples were air-dried, homogenized, and sieved to 2 mm for </w:t>
      </w:r>
      <w:proofErr w:type="spellStart"/>
      <w:r w:rsidRPr="003E63AB">
        <w:rPr>
          <w:rFonts w:ascii="Arial" w:eastAsia="Calibri" w:hAnsi="Arial" w:cs="Arial"/>
          <w:sz w:val="20"/>
          <w:szCs w:val="22"/>
          <w:lang w:val="en-US" w:eastAsia="en-US"/>
        </w:rPr>
        <w:t>physico</w:t>
      </w:r>
      <w:proofErr w:type="spellEnd"/>
      <w:r w:rsidRPr="003E63AB">
        <w:rPr>
          <w:rFonts w:ascii="Arial" w:eastAsia="Calibri" w:hAnsi="Arial" w:cs="Arial"/>
          <w:sz w:val="20"/>
          <w:szCs w:val="22"/>
          <w:lang w:val="en-US" w:eastAsia="en-US"/>
        </w:rPr>
        <w:t>-chemical analyses. For spectroscopic analyses, a fraction of each sample was finely ground to 0.2 mm to improve spectral signal quality and calibration model accuracy (Bellon-Maurel &amp; McBratney, 2011).</w:t>
      </w:r>
    </w:p>
    <w:p w14:paraId="6CA7D07A" w14:textId="77777777" w:rsidR="0054161F" w:rsidRPr="00DB791F" w:rsidRDefault="0054161F" w:rsidP="00487D01">
      <w:pPr>
        <w:pStyle w:val="AbstHead"/>
        <w:spacing w:after="0"/>
        <w:jc w:val="both"/>
        <w:rPr>
          <w:rFonts w:ascii="Arial" w:hAnsi="Arial" w:cs="Arial"/>
          <w:caps w:val="0"/>
        </w:rPr>
      </w:pPr>
      <w:r w:rsidRPr="00DB791F">
        <w:rPr>
          <w:rFonts w:ascii="Arial" w:hAnsi="Arial" w:cs="Arial"/>
          <w:caps w:val="0"/>
        </w:rPr>
        <w:t>2.3 Spectroscopic Analyses and Model Calibration</w:t>
      </w:r>
    </w:p>
    <w:p w14:paraId="7CF5CFD4"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Spectra were acquired using two spectroscopic technologies:</w:t>
      </w:r>
    </w:p>
    <w:p w14:paraId="7D32ED6D" w14:textId="77777777" w:rsidR="0054161F" w:rsidRPr="003E63AB" w:rsidRDefault="0054161F" w:rsidP="00C63877">
      <w:pPr>
        <w:numPr>
          <w:ilvl w:val="0"/>
          <w:numId w:val="34"/>
        </w:numPr>
        <w:spacing w:before="100" w:beforeAutospacing="1" w:after="100" w:afterAutospacing="1"/>
        <w:jc w:val="both"/>
        <w:rPr>
          <w:rFonts w:ascii="Arial" w:eastAsia="Calibri" w:hAnsi="Arial" w:cs="Arial"/>
          <w:szCs w:val="22"/>
        </w:rPr>
      </w:pPr>
      <w:r w:rsidRPr="003E63AB">
        <w:rPr>
          <w:rFonts w:ascii="Arial" w:eastAsia="Calibri" w:hAnsi="Arial" w:cs="Arial"/>
          <w:szCs w:val="22"/>
        </w:rPr>
        <w:t>Near-Infrared Spectroscopy (NIRS, 350–2500 nm, 1 nm resolution): Conducted with the LabSpec4 Standard RES spectrometer, capturing molecular vibrations of C-H, N-H, and O-H bonds, which are commonly associated with soil organic matter (Shepherd &amp; Walsh, 2002).</w:t>
      </w:r>
    </w:p>
    <w:p w14:paraId="25CB60B7" w14:textId="77777777" w:rsidR="0054161F" w:rsidRPr="003E63AB" w:rsidRDefault="0054161F" w:rsidP="00C63877">
      <w:pPr>
        <w:numPr>
          <w:ilvl w:val="0"/>
          <w:numId w:val="34"/>
        </w:numPr>
        <w:spacing w:before="100" w:beforeAutospacing="1" w:after="100" w:afterAutospacing="1"/>
        <w:jc w:val="both"/>
        <w:rPr>
          <w:rFonts w:ascii="Arial" w:eastAsia="Calibri" w:hAnsi="Arial" w:cs="Arial"/>
          <w:szCs w:val="22"/>
        </w:rPr>
      </w:pPr>
      <w:r w:rsidRPr="003E63AB">
        <w:rPr>
          <w:rFonts w:ascii="Arial" w:eastAsia="Calibri" w:hAnsi="Arial" w:cs="Arial"/>
          <w:szCs w:val="22"/>
        </w:rPr>
        <w:t>Mid-Infrared Spectroscopy (MIRS, 4003–648 cm</w:t>
      </w:r>
      <w:r w:rsidRPr="003E63AB">
        <w:rPr>
          <w:rFonts w:ascii="Cambria Math" w:eastAsia="Calibri" w:hAnsi="Cambria Math" w:cs="Cambria Math"/>
          <w:szCs w:val="22"/>
        </w:rPr>
        <w:t>⁻</w:t>
      </w:r>
      <w:r w:rsidRPr="003E63AB">
        <w:rPr>
          <w:rFonts w:ascii="Arial" w:eastAsia="Calibri" w:hAnsi="Arial" w:cs="Arial"/>
          <w:szCs w:val="22"/>
        </w:rPr>
        <w:t>¹, 7.45 cm</w:t>
      </w:r>
      <w:r w:rsidRPr="003E63AB">
        <w:rPr>
          <w:rFonts w:ascii="Cambria Math" w:eastAsia="Calibri" w:hAnsi="Cambria Math" w:cs="Cambria Math"/>
          <w:szCs w:val="22"/>
        </w:rPr>
        <w:t>⁻</w:t>
      </w:r>
      <w:r w:rsidRPr="003E63AB">
        <w:rPr>
          <w:rFonts w:ascii="Arial" w:eastAsia="Calibri" w:hAnsi="Arial" w:cs="Arial"/>
          <w:szCs w:val="22"/>
        </w:rPr>
        <w:t xml:space="preserve">¹ resolution): Performed with the Agilent Technologies 4300 Handheld FTIR spectrometer, which is more sensitive to carbon functional groups and soil minerals (Ng et al., </w:t>
      </w:r>
      <w:commentRangeStart w:id="4"/>
      <w:r w:rsidRPr="003E63AB">
        <w:rPr>
          <w:rFonts w:ascii="Arial" w:eastAsia="Calibri" w:hAnsi="Arial" w:cs="Arial"/>
          <w:szCs w:val="22"/>
        </w:rPr>
        <w:t>2019</w:t>
      </w:r>
      <w:commentRangeEnd w:id="4"/>
      <w:r w:rsidR="002D4C51">
        <w:rPr>
          <w:rStyle w:val="CommentReference"/>
          <w:rFonts w:ascii="Times New Roman" w:hAnsi="Times New Roman"/>
          <w:lang w:val="nb-NO" w:eastAsia="nb-NO"/>
        </w:rPr>
        <w:commentReference w:id="4"/>
      </w:r>
      <w:r w:rsidRPr="003E63AB">
        <w:rPr>
          <w:rFonts w:ascii="Arial" w:eastAsia="Calibri" w:hAnsi="Arial" w:cs="Arial"/>
          <w:szCs w:val="22"/>
        </w:rPr>
        <w:t>).</w:t>
      </w:r>
    </w:p>
    <w:p w14:paraId="064A1889" w14:textId="77777777" w:rsidR="0054161F" w:rsidRPr="00487D01" w:rsidRDefault="0054161F" w:rsidP="00487D01">
      <w:pPr>
        <w:pStyle w:val="AbstHead"/>
        <w:spacing w:after="0"/>
        <w:jc w:val="both"/>
        <w:rPr>
          <w:rFonts w:ascii="Arial" w:hAnsi="Arial" w:cs="Arial"/>
        </w:rPr>
      </w:pPr>
      <w:r w:rsidRPr="00487D01">
        <w:rPr>
          <w:rFonts w:ascii="Arial" w:hAnsi="Arial" w:cs="Arial"/>
        </w:rPr>
        <w:t>2</w:t>
      </w:r>
      <w:r w:rsidRPr="00DB791F">
        <w:rPr>
          <w:rFonts w:ascii="Arial" w:hAnsi="Arial" w:cs="Arial"/>
          <w:caps w:val="0"/>
        </w:rPr>
        <w:t>.4 Calibration of Predictive Models</w:t>
      </w:r>
    </w:p>
    <w:p w14:paraId="639C0141" w14:textId="77777777" w:rsidR="0054161F" w:rsidRPr="00487D01" w:rsidRDefault="0054161F" w:rsidP="00EE26E5">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Model calibration was performed by associating spectral data with reference measurements of soil organic carbon. To this end, 240 samples were analyzed using a CHNSO autoanalyzer, a reference technique providing accurate total organic carbon measurements through high-temperature combustion and elemental detection (Nelson &amp; Sommers, 1996).</w:t>
      </w:r>
    </w:p>
    <w:p w14:paraId="72E9115F" w14:textId="77777777" w:rsidR="0054161F" w:rsidRPr="00C63877" w:rsidRDefault="00C63877" w:rsidP="00C63877">
      <w:pPr>
        <w:pStyle w:val="AbstHead"/>
        <w:spacing w:after="0"/>
        <w:jc w:val="both"/>
        <w:rPr>
          <w:rFonts w:ascii="Arial" w:hAnsi="Arial" w:cs="Arial"/>
          <w:caps w:val="0"/>
        </w:rPr>
      </w:pPr>
      <w:r>
        <w:rPr>
          <w:rFonts w:ascii="Arial" w:hAnsi="Arial" w:cs="Arial"/>
          <w:caps w:val="0"/>
        </w:rPr>
        <w:t xml:space="preserve">2.5 </w:t>
      </w:r>
      <w:r w:rsidR="0054161F" w:rsidRPr="00C63877">
        <w:rPr>
          <w:rFonts w:ascii="Arial" w:hAnsi="Arial" w:cs="Arial"/>
          <w:caps w:val="0"/>
        </w:rPr>
        <w:t>Prediction Models and Performance Indicators</w:t>
      </w:r>
    </w:p>
    <w:p w14:paraId="724C65E4"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The spectroscopic data used in this study were derived from NIRS and MIRS spectra of soil samples. Several preprocessing techniques were applied, including:</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SG: </w:t>
      </w:r>
      <w:proofErr w:type="spellStart"/>
      <w:r w:rsidRPr="003E63AB">
        <w:rPr>
          <w:rFonts w:ascii="Arial" w:eastAsia="Calibri" w:hAnsi="Arial" w:cs="Arial"/>
          <w:sz w:val="20"/>
          <w:szCs w:val="22"/>
          <w:lang w:val="en-US" w:eastAsia="en-US"/>
        </w:rPr>
        <w:t>Savitzky</w:t>
      </w:r>
      <w:proofErr w:type="spellEnd"/>
      <w:r w:rsidRPr="003E63AB">
        <w:rPr>
          <w:rFonts w:ascii="Arial" w:eastAsia="Calibri" w:hAnsi="Arial" w:cs="Arial"/>
          <w:sz w:val="20"/>
          <w:szCs w:val="22"/>
          <w:lang w:val="en-US" w:eastAsia="en-US"/>
        </w:rPr>
        <w:t>-Golay filtering for spectral smoothing (</w:t>
      </w:r>
      <w:proofErr w:type="spellStart"/>
      <w:r w:rsidRPr="003E63AB">
        <w:rPr>
          <w:rFonts w:ascii="Arial" w:eastAsia="Calibri" w:hAnsi="Arial" w:cs="Arial"/>
          <w:sz w:val="20"/>
          <w:szCs w:val="22"/>
          <w:lang w:val="en-US" w:eastAsia="en-US"/>
        </w:rPr>
        <w:t>Savitzky</w:t>
      </w:r>
      <w:proofErr w:type="spellEnd"/>
      <w:r w:rsidRPr="003E63AB">
        <w:rPr>
          <w:rFonts w:ascii="Arial" w:eastAsia="Calibri" w:hAnsi="Arial" w:cs="Arial"/>
          <w:sz w:val="20"/>
          <w:szCs w:val="22"/>
          <w:lang w:val="en-US" w:eastAsia="en-US"/>
        </w:rPr>
        <w:t xml:space="preserve"> &amp; Golay, 1964)</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Log: Logarithmic transformation to reduce extreme variations (Stevens et al., 2013)</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SNV: Standard normal variate normalization (Barnes et al., 1989)</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MSC: Multiplicative scatter correction (</w:t>
      </w:r>
      <w:proofErr w:type="spellStart"/>
      <w:r w:rsidRPr="003E63AB">
        <w:rPr>
          <w:rFonts w:ascii="Arial" w:eastAsia="Calibri" w:hAnsi="Arial" w:cs="Arial"/>
          <w:sz w:val="20"/>
          <w:szCs w:val="22"/>
          <w:lang w:val="en-US" w:eastAsia="en-US"/>
        </w:rPr>
        <w:t>Geladi</w:t>
      </w:r>
      <w:proofErr w:type="spellEnd"/>
      <w:r w:rsidRPr="003E63AB">
        <w:rPr>
          <w:rFonts w:ascii="Arial" w:eastAsia="Calibri" w:hAnsi="Arial" w:cs="Arial"/>
          <w:sz w:val="20"/>
          <w:szCs w:val="22"/>
          <w:lang w:val="en-US" w:eastAsia="en-US"/>
        </w:rPr>
        <w:t xml:space="preserve"> et al., 1985)</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Detrend: Linear trend removal (</w:t>
      </w:r>
      <w:proofErr w:type="spellStart"/>
      <w:r w:rsidRPr="003E63AB">
        <w:rPr>
          <w:rFonts w:ascii="Arial" w:eastAsia="Calibri" w:hAnsi="Arial" w:cs="Arial"/>
          <w:sz w:val="20"/>
          <w:szCs w:val="22"/>
          <w:lang w:val="en-US" w:eastAsia="en-US"/>
        </w:rPr>
        <w:t>Rinnan</w:t>
      </w:r>
      <w:proofErr w:type="spellEnd"/>
      <w:r w:rsidRPr="003E63AB">
        <w:rPr>
          <w:rFonts w:ascii="Arial" w:eastAsia="Calibri" w:hAnsi="Arial" w:cs="Arial"/>
          <w:sz w:val="20"/>
          <w:szCs w:val="22"/>
          <w:lang w:val="en-US" w:eastAsia="en-US"/>
        </w:rPr>
        <w:t xml:space="preserve"> et al., 2009)</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Raw: Unprocessed spectra.</w:t>
      </w:r>
    </w:p>
    <w:p w14:paraId="77EDC9BF"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lastRenderedPageBreak/>
        <w:t>The evaluated machine learning models included:</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SVM: Support Vector Machine, a robust nonlinear regression model (</w:t>
      </w:r>
      <w:proofErr w:type="spellStart"/>
      <w:r w:rsidRPr="003E63AB">
        <w:rPr>
          <w:rFonts w:ascii="Arial" w:eastAsia="Calibri" w:hAnsi="Arial" w:cs="Arial"/>
          <w:sz w:val="20"/>
          <w:szCs w:val="22"/>
          <w:lang w:val="en-US" w:eastAsia="en-US"/>
        </w:rPr>
        <w:t>Vapnik</w:t>
      </w:r>
      <w:proofErr w:type="spellEnd"/>
      <w:r w:rsidRPr="003E63AB">
        <w:rPr>
          <w:rFonts w:ascii="Arial" w:eastAsia="Calibri" w:hAnsi="Arial" w:cs="Arial"/>
          <w:sz w:val="20"/>
          <w:szCs w:val="22"/>
          <w:lang w:val="en-US" w:eastAsia="en-US"/>
        </w:rPr>
        <w:t>, 1995)</w:t>
      </w:r>
      <w:r w:rsidR="0033023F" w:rsidRPr="003E63AB">
        <w:rPr>
          <w:rFonts w:ascii="Arial" w:eastAsia="Calibri" w:hAnsi="Arial" w:cs="Arial"/>
          <w:sz w:val="20"/>
          <w:szCs w:val="22"/>
          <w:lang w:val="en-US" w:eastAsia="en-US"/>
        </w:rPr>
        <w:t xml:space="preserve">, </w:t>
      </w:r>
      <w:proofErr w:type="spellStart"/>
      <w:r w:rsidRPr="003E63AB">
        <w:rPr>
          <w:rFonts w:ascii="Arial" w:eastAsia="Calibri" w:hAnsi="Arial" w:cs="Arial"/>
          <w:sz w:val="20"/>
          <w:szCs w:val="22"/>
          <w:lang w:val="en-US" w:eastAsia="en-US"/>
        </w:rPr>
        <w:t>RandomForest</w:t>
      </w:r>
      <w:proofErr w:type="spellEnd"/>
      <w:r w:rsidRPr="003E63AB">
        <w:rPr>
          <w:rFonts w:ascii="Arial" w:eastAsia="Calibri" w:hAnsi="Arial" w:cs="Arial"/>
          <w:sz w:val="20"/>
          <w:szCs w:val="22"/>
          <w:lang w:val="en-US" w:eastAsia="en-US"/>
        </w:rPr>
        <w:t>: An ensemble model based on decision trees (</w:t>
      </w:r>
      <w:proofErr w:type="spellStart"/>
      <w:r w:rsidRPr="003E63AB">
        <w:rPr>
          <w:rFonts w:ascii="Arial" w:eastAsia="Calibri" w:hAnsi="Arial" w:cs="Arial"/>
          <w:sz w:val="20"/>
          <w:szCs w:val="22"/>
          <w:lang w:val="en-US" w:eastAsia="en-US"/>
        </w:rPr>
        <w:t>Breiman</w:t>
      </w:r>
      <w:proofErr w:type="spellEnd"/>
      <w:r w:rsidRPr="003E63AB">
        <w:rPr>
          <w:rFonts w:ascii="Arial" w:eastAsia="Calibri" w:hAnsi="Arial" w:cs="Arial"/>
          <w:sz w:val="20"/>
          <w:szCs w:val="22"/>
          <w:lang w:val="en-US" w:eastAsia="en-US"/>
        </w:rPr>
        <w:t>, 2001)</w:t>
      </w:r>
      <w:r w:rsidR="0033023F" w:rsidRPr="003E63AB">
        <w:rPr>
          <w:rFonts w:ascii="Arial" w:eastAsia="Calibri" w:hAnsi="Arial" w:cs="Arial"/>
          <w:sz w:val="20"/>
          <w:szCs w:val="22"/>
          <w:lang w:val="en-US" w:eastAsia="en-US"/>
        </w:rPr>
        <w:t xml:space="preserve">, </w:t>
      </w:r>
      <w:proofErr w:type="spellStart"/>
      <w:r w:rsidRPr="003E63AB">
        <w:rPr>
          <w:rFonts w:ascii="Arial" w:eastAsia="Calibri" w:hAnsi="Arial" w:cs="Arial"/>
          <w:sz w:val="20"/>
          <w:szCs w:val="22"/>
          <w:lang w:val="en-US" w:eastAsia="en-US"/>
        </w:rPr>
        <w:t>XGBoost</w:t>
      </w:r>
      <w:proofErr w:type="spellEnd"/>
      <w:r w:rsidRPr="003E63AB">
        <w:rPr>
          <w:rFonts w:ascii="Arial" w:eastAsia="Calibri" w:hAnsi="Arial" w:cs="Arial"/>
          <w:sz w:val="20"/>
          <w:szCs w:val="22"/>
          <w:lang w:val="en-US" w:eastAsia="en-US"/>
        </w:rPr>
        <w:t xml:space="preserve">: A gradient boosting model (Chen &amp; </w:t>
      </w:r>
      <w:proofErr w:type="spellStart"/>
      <w:r w:rsidRPr="003E63AB">
        <w:rPr>
          <w:rFonts w:ascii="Arial" w:eastAsia="Calibri" w:hAnsi="Arial" w:cs="Arial"/>
          <w:sz w:val="20"/>
          <w:szCs w:val="22"/>
          <w:lang w:val="en-US" w:eastAsia="en-US"/>
        </w:rPr>
        <w:t>Guestrin</w:t>
      </w:r>
      <w:proofErr w:type="spellEnd"/>
      <w:r w:rsidRPr="003E63AB">
        <w:rPr>
          <w:rFonts w:ascii="Arial" w:eastAsia="Calibri" w:hAnsi="Arial" w:cs="Arial"/>
          <w:sz w:val="20"/>
          <w:szCs w:val="22"/>
          <w:lang w:val="en-US" w:eastAsia="en-US"/>
        </w:rPr>
        <w:t>, 2016)</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PLSR: Partial Least Squares Regression (</w:t>
      </w:r>
      <w:proofErr w:type="spellStart"/>
      <w:r w:rsidRPr="003E63AB">
        <w:rPr>
          <w:rFonts w:ascii="Arial" w:eastAsia="Calibri" w:hAnsi="Arial" w:cs="Arial"/>
          <w:sz w:val="20"/>
          <w:szCs w:val="22"/>
          <w:lang w:val="en-US" w:eastAsia="en-US"/>
        </w:rPr>
        <w:t>Wold</w:t>
      </w:r>
      <w:proofErr w:type="spellEnd"/>
      <w:r w:rsidRPr="003E63AB">
        <w:rPr>
          <w:rFonts w:ascii="Arial" w:eastAsia="Calibri" w:hAnsi="Arial" w:cs="Arial"/>
          <w:sz w:val="20"/>
          <w:szCs w:val="22"/>
          <w:lang w:val="en-US" w:eastAsia="en-US"/>
        </w:rPr>
        <w:t xml:space="preserve"> et al., </w:t>
      </w:r>
      <w:commentRangeStart w:id="5"/>
      <w:r w:rsidRPr="003E63AB">
        <w:rPr>
          <w:rFonts w:ascii="Arial" w:eastAsia="Calibri" w:hAnsi="Arial" w:cs="Arial"/>
          <w:sz w:val="20"/>
          <w:szCs w:val="22"/>
          <w:lang w:val="en-US" w:eastAsia="en-US"/>
        </w:rPr>
        <w:t>2001</w:t>
      </w:r>
      <w:commentRangeEnd w:id="5"/>
      <w:r w:rsidR="002D4C51">
        <w:rPr>
          <w:rStyle w:val="CommentReference"/>
          <w:lang w:val="nb-NO" w:eastAsia="nb-NO"/>
        </w:rPr>
        <w:commentReference w:id="5"/>
      </w:r>
      <w:r w:rsidRPr="003E63AB">
        <w:rPr>
          <w:rFonts w:ascii="Arial" w:eastAsia="Calibri" w:hAnsi="Arial" w:cs="Arial"/>
          <w:sz w:val="20"/>
          <w:szCs w:val="22"/>
          <w:lang w:val="en-US" w:eastAsia="en-US"/>
        </w:rPr>
        <w:t>).</w:t>
      </w:r>
    </w:p>
    <w:p w14:paraId="78619035"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The performance of the models was assessed using the following indicators:</w:t>
      </w:r>
    </w:p>
    <w:p w14:paraId="51E629C7"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Coefficient of determination (R²): Measures the proportion of variance explained by the model, reflecting its predictive ability (Draper &amp; Smith, 1998).</w:t>
      </w:r>
    </w:p>
    <w:p w14:paraId="05DDA01F"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Root Mean Squared Error of Calibration (RMSEC): Quantifies model error on the training set.</w:t>
      </w:r>
    </w:p>
    <w:p w14:paraId="22547D29"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Root Mean Squared Error of Prediction (RMSEP): Evaluates model error on the validation set, estimating generalization ability (Williams &amp; Norris, 2001).</w:t>
      </w:r>
    </w:p>
    <w:p w14:paraId="1E5254B4"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Mean Absolute Error (MAE): Measures the average deviation between predicted and observed values, providing an alternative to RMSEP that is less sensitive to outliers (Willmott &amp; Matsuura, 2005).</w:t>
      </w:r>
    </w:p>
    <w:p w14:paraId="578849D1"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Ratio of Performance to Deviation (RPD): The ratio of the standard deviation of calibration data to RMSEP. A higher RPD indicates better model accuracy (Chang et al., 2001).</w:t>
      </w:r>
    </w:p>
    <w:p w14:paraId="2284BB42"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Ratio of Performance to Interquartile Range (RPIQ): The ratio of the range of observed values to RMSEP, offering an additional measure o</w:t>
      </w:r>
      <w:r w:rsidR="003E63AB" w:rsidRPr="003E63AB">
        <w:rPr>
          <w:rFonts w:ascii="Arial" w:eastAsia="Calibri" w:hAnsi="Arial" w:cs="Arial"/>
          <w:szCs w:val="22"/>
        </w:rPr>
        <w:t>=</w:t>
      </w:r>
      <w:r w:rsidRPr="003E63AB">
        <w:rPr>
          <w:rFonts w:ascii="Arial" w:eastAsia="Calibri" w:hAnsi="Arial" w:cs="Arial"/>
          <w:szCs w:val="22"/>
        </w:rPr>
        <w:t>f prediction quality (Bellon-Maurel et al., 2010).</w:t>
      </w:r>
    </w:p>
    <w:p w14:paraId="59108EC5"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According to Chang et al. (2001), models are classified into three categories:</w:t>
      </w:r>
    </w:p>
    <w:p w14:paraId="6B41F374"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A: Excellent models, with RPD &gt; 2 and 0.8 &lt; R² &lt; 1.</w:t>
      </w:r>
    </w:p>
    <w:p w14:paraId="5C25ABD0"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B: Moderately accurate models, with 1.4 &lt; RPD &lt; 2 and 0.5 &lt; R² &lt; 0.8.</w:t>
      </w:r>
    </w:p>
    <w:p w14:paraId="2C3D4260"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C: Unreliable models, with RPD &lt; 1.4 and R² &lt; 0.5.</w:t>
      </w:r>
    </w:p>
    <w:p w14:paraId="4528215C" w14:textId="77777777" w:rsidR="00790ADA" w:rsidRPr="00FB3A86" w:rsidRDefault="00790ADA" w:rsidP="00441B6F">
      <w:pPr>
        <w:pStyle w:val="Body"/>
        <w:spacing w:after="0"/>
        <w:rPr>
          <w:rFonts w:ascii="Arial" w:hAnsi="Arial" w:cs="Arial"/>
        </w:rPr>
      </w:pPr>
    </w:p>
    <w:p w14:paraId="2F94A103" w14:textId="77777777" w:rsidR="00902823" w:rsidRDefault="00000F8F" w:rsidP="00BB0E74">
      <w:pPr>
        <w:pStyle w:val="Conc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3F1BAB7" w14:textId="77777777" w:rsidR="00BB0E74" w:rsidRDefault="00BB0E74" w:rsidP="00BB0E74">
      <w:pPr>
        <w:pStyle w:val="ConcHead"/>
        <w:spacing w:after="0"/>
        <w:jc w:val="both"/>
        <w:rPr>
          <w:rFonts w:ascii="Arial" w:hAnsi="Arial" w:cs="Arial"/>
        </w:rPr>
      </w:pPr>
    </w:p>
    <w:p w14:paraId="1B94FB63" w14:textId="77777777" w:rsidR="00BB0E74" w:rsidRDefault="00BB0E74" w:rsidP="00BB0E74">
      <w:pPr>
        <w:pStyle w:val="ConcHead"/>
        <w:spacing w:after="0"/>
        <w:jc w:val="both"/>
        <w:rPr>
          <w:rFonts w:ascii="Arial" w:hAnsi="Arial" w:cs="Arial"/>
        </w:rPr>
      </w:pPr>
      <w:r>
        <w:rPr>
          <w:rFonts w:ascii="Arial" w:hAnsi="Arial" w:cs="Arial"/>
        </w:rPr>
        <w:t>3</w:t>
      </w:r>
      <w:r w:rsidRPr="00BB0E74">
        <w:rPr>
          <w:rFonts w:ascii="Arial" w:hAnsi="Arial" w:cs="Arial"/>
          <w:caps w:val="0"/>
        </w:rPr>
        <w:t xml:space="preserve">.1 </w:t>
      </w:r>
      <w:r>
        <w:rPr>
          <w:rFonts w:ascii="Arial" w:hAnsi="Arial" w:cs="Arial"/>
          <w:caps w:val="0"/>
        </w:rPr>
        <w:t>R</w:t>
      </w:r>
      <w:r w:rsidRPr="00BB0E74">
        <w:rPr>
          <w:rFonts w:ascii="Arial" w:hAnsi="Arial" w:cs="Arial"/>
          <w:caps w:val="0"/>
        </w:rPr>
        <w:t>esults</w:t>
      </w:r>
    </w:p>
    <w:p w14:paraId="3D7CD703" w14:textId="77777777" w:rsidR="00790ADA" w:rsidRDefault="00790ADA" w:rsidP="00441B6F">
      <w:pPr>
        <w:pStyle w:val="Head1"/>
        <w:spacing w:after="0"/>
        <w:jc w:val="both"/>
        <w:rPr>
          <w:rFonts w:ascii="Arial" w:hAnsi="Arial" w:cs="Arial"/>
        </w:rPr>
      </w:pPr>
    </w:p>
    <w:p w14:paraId="795163F4" w14:textId="77777777" w:rsidR="00B24B2C" w:rsidRPr="00191662" w:rsidRDefault="00B24B2C" w:rsidP="00B24B2C">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1 Model Performance Analysis</w:t>
      </w:r>
    </w:p>
    <w:p w14:paraId="42748DFD" w14:textId="77777777" w:rsidR="00B24B2C" w:rsidRDefault="00B24B2C"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performance of the models was evaluated based on two main factors: the spectra used (NIRS and MIRS) and the impact of preprocessing (with and without preprocessing). Performance indicators such as RMSEP, MAE, R², RPD, and RPIQ were calculated for each combination of spectrum and preprocessing. The tables present the performance of the PLSR, Random Forest, SVM, and </w:t>
      </w:r>
      <w:proofErr w:type="spellStart"/>
      <w:r w:rsidRPr="004F4A4E">
        <w:rPr>
          <w:rFonts w:ascii="Arial" w:hAnsi="Arial" w:cs="Arial"/>
          <w:sz w:val="20"/>
          <w:szCs w:val="20"/>
          <w:lang w:val="en-US" w:eastAsia="en-US"/>
        </w:rPr>
        <w:t>XGBoost</w:t>
      </w:r>
      <w:proofErr w:type="spellEnd"/>
      <w:r w:rsidRPr="004F4A4E">
        <w:rPr>
          <w:rFonts w:ascii="Arial" w:hAnsi="Arial" w:cs="Arial"/>
          <w:sz w:val="20"/>
          <w:szCs w:val="20"/>
          <w:lang w:val="en-US" w:eastAsia="en-US"/>
        </w:rPr>
        <w:t xml:space="preserve"> models based on the preprocessing techniques applied to the NIRS and MIRS spectra</w:t>
      </w:r>
      <w:r w:rsidR="00F45EC0">
        <w:rPr>
          <w:rFonts w:ascii="Arial" w:hAnsi="Arial" w:cs="Arial"/>
          <w:sz w:val="20"/>
          <w:szCs w:val="20"/>
          <w:lang w:val="en-US" w:eastAsia="en-US"/>
        </w:rPr>
        <w:t xml:space="preserve"> (Fig.1)</w:t>
      </w:r>
    </w:p>
    <w:p w14:paraId="0C77F09D" w14:textId="77777777" w:rsidR="00F45EC0" w:rsidRDefault="00F45EC0" w:rsidP="004F4A4E">
      <w:pPr>
        <w:pStyle w:val="NormalWeb"/>
        <w:jc w:val="both"/>
        <w:rPr>
          <w:rFonts w:ascii="Arial" w:hAnsi="Arial" w:cs="Arial"/>
          <w:sz w:val="20"/>
          <w:szCs w:val="20"/>
          <w:lang w:val="en-US" w:eastAsia="en-US"/>
        </w:rPr>
      </w:pPr>
      <w:r w:rsidRPr="007B7AAF">
        <w:rPr>
          <w:noProof/>
        </w:rPr>
        <w:lastRenderedPageBreak/>
        <w:drawing>
          <wp:inline distT="0" distB="0" distL="0" distR="0" wp14:anchorId="4209D08B" wp14:editId="0D923EDD">
            <wp:extent cx="5211939" cy="2518348"/>
            <wp:effectExtent l="0" t="0" r="0" b="0"/>
            <wp:docPr id="1121379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7279" name=""/>
                    <pic:cNvPicPr/>
                  </pic:nvPicPr>
                  <pic:blipFill rotWithShape="1">
                    <a:blip r:embed="rId18"/>
                    <a:srcRect t="6746" b="6069"/>
                    <a:stretch/>
                  </pic:blipFill>
                  <pic:spPr bwMode="auto">
                    <a:xfrm>
                      <a:off x="0" y="0"/>
                      <a:ext cx="5212080" cy="2518416"/>
                    </a:xfrm>
                    <a:prstGeom prst="rect">
                      <a:avLst/>
                    </a:prstGeom>
                    <a:ln>
                      <a:noFill/>
                    </a:ln>
                    <a:extLst>
                      <a:ext uri="{53640926-AAD7-44D8-BBD7-CCE9431645EC}">
                        <a14:shadowObscured xmlns:a14="http://schemas.microsoft.com/office/drawing/2010/main"/>
                      </a:ext>
                    </a:extLst>
                  </pic:spPr>
                </pic:pic>
              </a:graphicData>
            </a:graphic>
          </wp:inline>
        </w:drawing>
      </w:r>
    </w:p>
    <w:p w14:paraId="7056785F" w14:textId="77777777" w:rsidR="00F45EC0" w:rsidRPr="00F45EC0" w:rsidRDefault="00F45EC0" w:rsidP="004F4A4E">
      <w:pPr>
        <w:pStyle w:val="NormalWeb"/>
        <w:jc w:val="both"/>
        <w:rPr>
          <w:rFonts w:ascii="Arial" w:hAnsi="Arial" w:cs="Arial"/>
          <w:b/>
          <w:bCs/>
          <w:sz w:val="20"/>
          <w:szCs w:val="22"/>
          <w:lang w:val="en-US" w:eastAsia="en-US"/>
        </w:rPr>
      </w:pPr>
      <w:r w:rsidRPr="00F45EC0">
        <w:rPr>
          <w:rFonts w:ascii="Arial" w:hAnsi="Arial" w:cs="Arial"/>
          <w:b/>
          <w:bCs/>
          <w:sz w:val="20"/>
          <w:szCs w:val="22"/>
          <w:lang w:val="en-US" w:eastAsia="en-US"/>
        </w:rPr>
        <w:t>Fig.1.</w:t>
      </w:r>
      <w:r w:rsidR="00B835EF" w:rsidRPr="00B835EF">
        <w:rPr>
          <w:rFonts w:ascii="Arial" w:hAnsi="Arial" w:cs="Arial"/>
          <w:sz w:val="20"/>
          <w:szCs w:val="20"/>
          <w:lang w:val="en-US" w:eastAsia="en-US"/>
        </w:rPr>
        <w:t xml:space="preserve"> </w:t>
      </w:r>
      <w:r w:rsidR="00B835EF" w:rsidRPr="00B835EF">
        <w:rPr>
          <w:rFonts w:ascii="Arial" w:hAnsi="Arial" w:cs="Arial"/>
          <w:b/>
          <w:bCs/>
          <w:sz w:val="20"/>
          <w:szCs w:val="22"/>
          <w:lang w:val="en-US" w:eastAsia="en-US"/>
        </w:rPr>
        <w:t xml:space="preserve">performance of the PLSR, Random Forest, SVM, and </w:t>
      </w:r>
      <w:proofErr w:type="spellStart"/>
      <w:r w:rsidR="00B835EF" w:rsidRPr="00B835EF">
        <w:rPr>
          <w:rFonts w:ascii="Arial" w:hAnsi="Arial" w:cs="Arial"/>
          <w:b/>
          <w:bCs/>
          <w:sz w:val="20"/>
          <w:szCs w:val="22"/>
          <w:lang w:val="en-US" w:eastAsia="en-US"/>
        </w:rPr>
        <w:t>XGBoost</w:t>
      </w:r>
      <w:proofErr w:type="spellEnd"/>
      <w:r w:rsidR="00B835EF" w:rsidRPr="00B835EF">
        <w:rPr>
          <w:rFonts w:ascii="Arial" w:hAnsi="Arial" w:cs="Arial"/>
          <w:b/>
          <w:bCs/>
          <w:sz w:val="20"/>
          <w:szCs w:val="22"/>
          <w:lang w:val="en-US" w:eastAsia="en-US"/>
        </w:rPr>
        <w:t xml:space="preserve"> models based on the R2 applied to the NIRS and MIRS spectra</w:t>
      </w:r>
    </w:p>
    <w:p w14:paraId="4054BD56" w14:textId="77777777" w:rsidR="00B24B2C" w:rsidRPr="00C0140C" w:rsidRDefault="00B24B2C" w:rsidP="00B24B2C">
      <w:pPr>
        <w:pStyle w:val="Heading4"/>
        <w:rPr>
          <w:rFonts w:ascii="Arial" w:eastAsia="Times New Roman" w:hAnsi="Arial" w:cs="Arial"/>
          <w:iCs w:val="0"/>
          <w:color w:val="auto"/>
        </w:rPr>
      </w:pPr>
      <w:r w:rsidRPr="00C0140C">
        <w:rPr>
          <w:rFonts w:ascii="Arial" w:eastAsia="Times New Roman" w:hAnsi="Arial" w:cs="Arial"/>
          <w:iCs w:val="0"/>
          <w:color w:val="auto"/>
        </w:rPr>
        <w:t>3.</w:t>
      </w:r>
      <w:r w:rsidR="00B35C80" w:rsidRPr="00C0140C">
        <w:rPr>
          <w:rFonts w:ascii="Arial" w:eastAsia="Times New Roman" w:hAnsi="Arial" w:cs="Arial"/>
          <w:iCs w:val="0"/>
          <w:color w:val="auto"/>
        </w:rPr>
        <w:t>1.</w:t>
      </w:r>
      <w:r w:rsidRPr="00C0140C">
        <w:rPr>
          <w:rFonts w:ascii="Arial" w:eastAsia="Times New Roman" w:hAnsi="Arial" w:cs="Arial"/>
          <w:iCs w:val="0"/>
          <w:color w:val="auto"/>
        </w:rPr>
        <w:t>1.1 Model Performance</w:t>
      </w:r>
    </w:p>
    <w:p w14:paraId="0DF06A95" w14:textId="77777777" w:rsidR="00B24B2C" w:rsidRPr="004F4A4E" w:rsidRDefault="00B24B2C" w:rsidP="004F4A4E">
      <w:pPr>
        <w:pStyle w:val="NormalWeb"/>
        <w:jc w:val="both"/>
        <w:rPr>
          <w:rFonts w:ascii="Arial" w:hAnsi="Arial" w:cs="Arial"/>
          <w:sz w:val="20"/>
          <w:szCs w:val="20"/>
          <w:lang w:val="en-US" w:eastAsia="en-US"/>
        </w:rPr>
      </w:pPr>
      <w:r w:rsidRPr="004F4A4E">
        <w:rPr>
          <w:rFonts w:ascii="Arial" w:hAnsi="Arial" w:cs="Arial"/>
          <w:b/>
          <w:bCs/>
          <w:sz w:val="20"/>
          <w:szCs w:val="20"/>
          <w:lang w:val="en-US" w:eastAsia="en-US"/>
        </w:rPr>
        <w:t>PLSR</w:t>
      </w:r>
      <w:r w:rsidRPr="004F4A4E">
        <w:rPr>
          <w:rFonts w:ascii="Arial" w:hAnsi="Arial" w:cs="Arial"/>
          <w:sz w:val="20"/>
          <w:szCs w:val="20"/>
          <w:lang w:val="en-US" w:eastAsia="en-US"/>
        </w:rPr>
        <w:t>: This model exhibits modest performance, with R² values below 0.6. The best results are obtained with the Detrend preprocessing for NIRS (R² = 0.54) and SG for MIRS (R² = 0.59). SNV and MSC slightly improve accuracy but do not significantly optimize predictions</w:t>
      </w:r>
      <w:r w:rsidR="005B3CA2" w:rsidRPr="004F4A4E">
        <w:rPr>
          <w:rFonts w:ascii="Arial" w:hAnsi="Arial" w:cs="Arial"/>
          <w:sz w:val="20"/>
          <w:szCs w:val="20"/>
          <w:lang w:val="en-US" w:eastAsia="en-US"/>
        </w:rPr>
        <w:t xml:space="preserve"> (table1)</w:t>
      </w:r>
    </w:p>
    <w:p w14:paraId="5B357D8A" w14:textId="77777777" w:rsidR="005816CD" w:rsidRDefault="005816CD" w:rsidP="005816CD">
      <w:pPr>
        <w:pStyle w:val="NormalWeb"/>
        <w:rPr>
          <w:rFonts w:ascii="Arial" w:hAnsi="Arial"/>
          <w:b/>
          <w:sz w:val="20"/>
          <w:szCs w:val="20"/>
          <w:lang w:val="en-US" w:eastAsia="en-US"/>
        </w:rPr>
      </w:pPr>
      <w:r w:rsidRPr="0060078D">
        <w:rPr>
          <w:rFonts w:ascii="Arial" w:hAnsi="Arial"/>
          <w:b/>
          <w:sz w:val="20"/>
          <w:szCs w:val="20"/>
          <w:lang w:val="en-US" w:eastAsia="en-US"/>
        </w:rPr>
        <w:t>Table 1: Performance statistics of PLSR models based on spectrum and</w:t>
      </w:r>
      <w:r>
        <w:rPr>
          <w:rFonts w:ascii="Arial" w:hAnsi="Arial"/>
          <w:b/>
          <w:sz w:val="20"/>
          <w:szCs w:val="20"/>
          <w:lang w:val="en-US" w:eastAsia="en-US"/>
        </w:rPr>
        <w:t xml:space="preserve"> </w:t>
      </w:r>
      <w:r w:rsidRPr="0060078D">
        <w:rPr>
          <w:rFonts w:ascii="Arial" w:hAnsi="Arial"/>
          <w:b/>
          <w:sz w:val="20"/>
          <w:szCs w:val="20"/>
          <w:lang w:val="en-US" w:eastAsia="en-US"/>
        </w:rPr>
        <w:t>preprocessing.</w:t>
      </w:r>
    </w:p>
    <w:p w14:paraId="2E1E05CE" w14:textId="77777777" w:rsidR="005816CD" w:rsidRPr="005816CD" w:rsidRDefault="005816CD" w:rsidP="005816CD">
      <w:pPr>
        <w:pStyle w:val="Heading5"/>
        <w:ind w:left="1008" w:hanging="1008"/>
        <w:jc w:val="both"/>
        <w:rPr>
          <w:rFonts w:ascii="Times New Roman" w:hAnsi="Times New Roman" w:cs="Times New Roman"/>
          <w:color w:val="000000"/>
        </w:rPr>
      </w:pPr>
    </w:p>
    <w:tbl>
      <w:tblPr>
        <w:tblStyle w:val="ListTable6Colorful"/>
        <w:tblW w:w="7755" w:type="dxa"/>
        <w:tblLook w:val="04A0" w:firstRow="1" w:lastRow="0" w:firstColumn="1" w:lastColumn="0" w:noHBand="0" w:noVBand="1"/>
      </w:tblPr>
      <w:tblGrid>
        <w:gridCol w:w="1068"/>
        <w:gridCol w:w="1492"/>
        <w:gridCol w:w="1068"/>
        <w:gridCol w:w="1068"/>
        <w:gridCol w:w="1068"/>
        <w:gridCol w:w="1068"/>
        <w:gridCol w:w="1068"/>
      </w:tblGrid>
      <w:tr w:rsidR="005816CD" w14:paraId="0636AEEA" w14:textId="77777777" w:rsidTr="00243E4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50D16E2D"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347" w:type="dxa"/>
            <w:shd w:val="clear" w:color="auto" w:fill="auto"/>
            <w:noWrap/>
            <w:hideMark/>
          </w:tcPr>
          <w:p w14:paraId="0D7C92FC"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068" w:type="dxa"/>
            <w:shd w:val="clear" w:color="auto" w:fill="auto"/>
            <w:noWrap/>
            <w:hideMark/>
          </w:tcPr>
          <w:p w14:paraId="7F1F90D4"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068" w:type="dxa"/>
            <w:shd w:val="clear" w:color="auto" w:fill="auto"/>
            <w:noWrap/>
            <w:hideMark/>
          </w:tcPr>
          <w:p w14:paraId="7904199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068" w:type="dxa"/>
            <w:shd w:val="clear" w:color="auto" w:fill="auto"/>
            <w:noWrap/>
            <w:hideMark/>
          </w:tcPr>
          <w:p w14:paraId="2D558F97"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068" w:type="dxa"/>
            <w:shd w:val="clear" w:color="auto" w:fill="auto"/>
            <w:noWrap/>
            <w:hideMark/>
          </w:tcPr>
          <w:p w14:paraId="46726B72"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068" w:type="dxa"/>
            <w:shd w:val="clear" w:color="auto" w:fill="auto"/>
            <w:noWrap/>
            <w:hideMark/>
          </w:tcPr>
          <w:p w14:paraId="2E90DB38"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243E49" w14:paraId="5E0D5D54"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AE109F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26493DF3"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68" w:type="dxa"/>
            <w:shd w:val="clear" w:color="auto" w:fill="auto"/>
            <w:noWrap/>
            <w:hideMark/>
          </w:tcPr>
          <w:p w14:paraId="62DA63A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29</w:t>
            </w:r>
          </w:p>
        </w:tc>
        <w:tc>
          <w:tcPr>
            <w:tcW w:w="1068" w:type="dxa"/>
            <w:shd w:val="clear" w:color="auto" w:fill="auto"/>
            <w:noWrap/>
            <w:hideMark/>
          </w:tcPr>
          <w:p w14:paraId="6F2EB9D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6E9D413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21</w:t>
            </w:r>
          </w:p>
        </w:tc>
        <w:tc>
          <w:tcPr>
            <w:tcW w:w="1068" w:type="dxa"/>
            <w:shd w:val="clear" w:color="auto" w:fill="auto"/>
            <w:noWrap/>
            <w:hideMark/>
          </w:tcPr>
          <w:p w14:paraId="21DB53B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13</w:t>
            </w:r>
          </w:p>
        </w:tc>
        <w:tc>
          <w:tcPr>
            <w:tcW w:w="1068" w:type="dxa"/>
            <w:shd w:val="clear" w:color="auto" w:fill="auto"/>
            <w:noWrap/>
            <w:hideMark/>
          </w:tcPr>
          <w:p w14:paraId="762755A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11</w:t>
            </w:r>
          </w:p>
        </w:tc>
      </w:tr>
      <w:tr w:rsidR="005816CD" w14:paraId="7B62DA39"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1C236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52C32DDE"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68" w:type="dxa"/>
            <w:shd w:val="clear" w:color="auto" w:fill="auto"/>
            <w:noWrap/>
            <w:hideMark/>
          </w:tcPr>
          <w:p w14:paraId="24C387D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7C3E6BE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01BDD33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51</w:t>
            </w:r>
          </w:p>
        </w:tc>
        <w:tc>
          <w:tcPr>
            <w:tcW w:w="1068" w:type="dxa"/>
            <w:shd w:val="clear" w:color="auto" w:fill="auto"/>
            <w:noWrap/>
            <w:hideMark/>
          </w:tcPr>
          <w:p w14:paraId="6A5B855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4166D1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243E49" w14:paraId="73C4875C"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1A5AADA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23C3A2C7"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68" w:type="dxa"/>
            <w:shd w:val="clear" w:color="auto" w:fill="auto"/>
            <w:noWrap/>
            <w:hideMark/>
          </w:tcPr>
          <w:p w14:paraId="234862F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2B0A74A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4B2AF8D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54</w:t>
            </w:r>
          </w:p>
        </w:tc>
        <w:tc>
          <w:tcPr>
            <w:tcW w:w="1068" w:type="dxa"/>
            <w:shd w:val="clear" w:color="auto" w:fill="auto"/>
            <w:noWrap/>
            <w:hideMark/>
          </w:tcPr>
          <w:p w14:paraId="4A997B2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47</w:t>
            </w:r>
          </w:p>
        </w:tc>
        <w:tc>
          <w:tcPr>
            <w:tcW w:w="1068" w:type="dxa"/>
            <w:shd w:val="clear" w:color="auto" w:fill="auto"/>
            <w:noWrap/>
            <w:hideMark/>
          </w:tcPr>
          <w:p w14:paraId="7D16EE6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45</w:t>
            </w:r>
          </w:p>
        </w:tc>
      </w:tr>
      <w:tr w:rsidR="005816CD" w14:paraId="018784D5"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5589B933"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1F92BF3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68" w:type="dxa"/>
            <w:shd w:val="clear" w:color="auto" w:fill="auto"/>
            <w:noWrap/>
            <w:hideMark/>
          </w:tcPr>
          <w:p w14:paraId="5BBE1A6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24</w:t>
            </w:r>
          </w:p>
        </w:tc>
        <w:tc>
          <w:tcPr>
            <w:tcW w:w="1068" w:type="dxa"/>
            <w:shd w:val="clear" w:color="auto" w:fill="auto"/>
            <w:noWrap/>
            <w:hideMark/>
          </w:tcPr>
          <w:p w14:paraId="2707226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57BFAC7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43</w:t>
            </w:r>
          </w:p>
        </w:tc>
        <w:tc>
          <w:tcPr>
            <w:tcW w:w="1068" w:type="dxa"/>
            <w:shd w:val="clear" w:color="auto" w:fill="auto"/>
            <w:noWrap/>
            <w:hideMark/>
          </w:tcPr>
          <w:p w14:paraId="6F487CB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33</w:t>
            </w:r>
          </w:p>
        </w:tc>
        <w:tc>
          <w:tcPr>
            <w:tcW w:w="1068" w:type="dxa"/>
            <w:shd w:val="clear" w:color="auto" w:fill="auto"/>
            <w:noWrap/>
            <w:hideMark/>
          </w:tcPr>
          <w:p w14:paraId="4AE6563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31</w:t>
            </w:r>
          </w:p>
        </w:tc>
      </w:tr>
      <w:tr w:rsidR="00243E49" w14:paraId="0ED46A7E"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6FF9FF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57A8B699"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68" w:type="dxa"/>
            <w:shd w:val="clear" w:color="auto" w:fill="auto"/>
            <w:noWrap/>
            <w:hideMark/>
          </w:tcPr>
          <w:p w14:paraId="7E71F82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7549D19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2BF9D35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51</w:t>
            </w:r>
          </w:p>
        </w:tc>
        <w:tc>
          <w:tcPr>
            <w:tcW w:w="1068" w:type="dxa"/>
            <w:shd w:val="clear" w:color="auto" w:fill="auto"/>
            <w:noWrap/>
            <w:hideMark/>
          </w:tcPr>
          <w:p w14:paraId="2A2D697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2B3441F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38769F2C"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0606269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35040969"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68" w:type="dxa"/>
            <w:shd w:val="clear" w:color="auto" w:fill="auto"/>
            <w:noWrap/>
            <w:hideMark/>
          </w:tcPr>
          <w:p w14:paraId="76E9D9B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28</w:t>
            </w:r>
          </w:p>
        </w:tc>
        <w:tc>
          <w:tcPr>
            <w:tcW w:w="1068" w:type="dxa"/>
            <w:shd w:val="clear" w:color="auto" w:fill="auto"/>
            <w:noWrap/>
            <w:hideMark/>
          </w:tcPr>
          <w:p w14:paraId="0451E96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557480A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7178EEF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14</w:t>
            </w:r>
          </w:p>
        </w:tc>
        <w:tc>
          <w:tcPr>
            <w:tcW w:w="1068" w:type="dxa"/>
            <w:shd w:val="clear" w:color="auto" w:fill="auto"/>
            <w:noWrap/>
            <w:hideMark/>
          </w:tcPr>
          <w:p w14:paraId="4773970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12</w:t>
            </w:r>
          </w:p>
        </w:tc>
      </w:tr>
      <w:tr w:rsidR="00243E49" w14:paraId="16771CA2"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39C51F7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5A55192E"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68" w:type="dxa"/>
            <w:shd w:val="clear" w:color="auto" w:fill="auto"/>
            <w:noWrap/>
            <w:hideMark/>
          </w:tcPr>
          <w:p w14:paraId="0DB3EAB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4A3FD1E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0D658FC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52</w:t>
            </w:r>
          </w:p>
        </w:tc>
        <w:tc>
          <w:tcPr>
            <w:tcW w:w="1068" w:type="dxa"/>
            <w:shd w:val="clear" w:color="auto" w:fill="auto"/>
            <w:noWrap/>
            <w:hideMark/>
          </w:tcPr>
          <w:p w14:paraId="0C4A540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44</w:t>
            </w:r>
          </w:p>
        </w:tc>
        <w:tc>
          <w:tcPr>
            <w:tcW w:w="1068" w:type="dxa"/>
            <w:shd w:val="clear" w:color="auto" w:fill="auto"/>
            <w:noWrap/>
            <w:hideMark/>
          </w:tcPr>
          <w:p w14:paraId="1A85B4D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42</w:t>
            </w:r>
          </w:p>
        </w:tc>
      </w:tr>
      <w:tr w:rsidR="005816CD" w14:paraId="084B3CE3"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29230B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6D64C43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68" w:type="dxa"/>
            <w:shd w:val="clear" w:color="auto" w:fill="auto"/>
            <w:noWrap/>
            <w:hideMark/>
          </w:tcPr>
          <w:p w14:paraId="4DC827B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12A8076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532F9F5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65002ED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312837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243E49" w14:paraId="5576DFCB"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96B8836"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3D555EDA"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68" w:type="dxa"/>
            <w:shd w:val="clear" w:color="auto" w:fill="auto"/>
            <w:noWrap/>
            <w:hideMark/>
          </w:tcPr>
          <w:p w14:paraId="0F24A5D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0BFBF2D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5BA0F17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485CFCC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325A839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780F4003"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C74417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2300607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68" w:type="dxa"/>
            <w:shd w:val="clear" w:color="auto" w:fill="auto"/>
            <w:noWrap/>
            <w:hideMark/>
          </w:tcPr>
          <w:p w14:paraId="6080FD0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21</w:t>
            </w:r>
          </w:p>
        </w:tc>
        <w:tc>
          <w:tcPr>
            <w:tcW w:w="1068" w:type="dxa"/>
            <w:shd w:val="clear" w:color="auto" w:fill="auto"/>
            <w:noWrap/>
            <w:hideMark/>
          </w:tcPr>
          <w:p w14:paraId="4F78134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16</w:t>
            </w:r>
          </w:p>
        </w:tc>
        <w:tc>
          <w:tcPr>
            <w:tcW w:w="1068" w:type="dxa"/>
            <w:shd w:val="clear" w:color="auto" w:fill="auto"/>
            <w:noWrap/>
            <w:hideMark/>
          </w:tcPr>
          <w:p w14:paraId="4C87FF1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59</w:t>
            </w:r>
          </w:p>
        </w:tc>
        <w:tc>
          <w:tcPr>
            <w:tcW w:w="1068" w:type="dxa"/>
            <w:shd w:val="clear" w:color="auto" w:fill="auto"/>
            <w:noWrap/>
            <w:hideMark/>
          </w:tcPr>
          <w:p w14:paraId="18527BC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55</w:t>
            </w:r>
          </w:p>
        </w:tc>
        <w:tc>
          <w:tcPr>
            <w:tcW w:w="1068" w:type="dxa"/>
            <w:shd w:val="clear" w:color="auto" w:fill="auto"/>
            <w:noWrap/>
            <w:hideMark/>
          </w:tcPr>
          <w:p w14:paraId="2F62B03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53</w:t>
            </w:r>
          </w:p>
        </w:tc>
      </w:tr>
      <w:tr w:rsidR="00243E49" w14:paraId="6CA95EC5"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C17B3F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345FF4C1"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68" w:type="dxa"/>
            <w:shd w:val="clear" w:color="auto" w:fill="auto"/>
            <w:noWrap/>
            <w:hideMark/>
          </w:tcPr>
          <w:p w14:paraId="603D6AD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2F3905C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399ED82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1DD6AFC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023135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70E41ACB"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38A5A2E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45684593"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68" w:type="dxa"/>
            <w:shd w:val="clear" w:color="auto" w:fill="auto"/>
            <w:noWrap/>
            <w:hideMark/>
          </w:tcPr>
          <w:p w14:paraId="4C41EC52"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1813F06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4FFAD83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48</w:t>
            </w:r>
          </w:p>
        </w:tc>
        <w:tc>
          <w:tcPr>
            <w:tcW w:w="1068" w:type="dxa"/>
            <w:shd w:val="clear" w:color="auto" w:fill="auto"/>
            <w:noWrap/>
            <w:hideMark/>
          </w:tcPr>
          <w:p w14:paraId="6544A6C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c>
          <w:tcPr>
            <w:tcW w:w="1068" w:type="dxa"/>
            <w:shd w:val="clear" w:color="auto" w:fill="auto"/>
            <w:noWrap/>
            <w:hideMark/>
          </w:tcPr>
          <w:p w14:paraId="15BF8F2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36</w:t>
            </w:r>
          </w:p>
        </w:tc>
      </w:tr>
    </w:tbl>
    <w:p w14:paraId="79E4C418" w14:textId="77777777" w:rsidR="00B24B2C" w:rsidRPr="004F4A4E" w:rsidRDefault="00B24B2C" w:rsidP="004F4A4E">
      <w:pPr>
        <w:pStyle w:val="NormalWeb"/>
        <w:jc w:val="both"/>
        <w:rPr>
          <w:rFonts w:ascii="Arial" w:hAnsi="Arial" w:cs="Arial"/>
          <w:b/>
          <w:bCs/>
          <w:sz w:val="20"/>
          <w:szCs w:val="20"/>
          <w:lang w:val="en-US" w:eastAsia="en-US"/>
        </w:rPr>
      </w:pPr>
      <w:r w:rsidRPr="004F4A4E">
        <w:rPr>
          <w:rFonts w:ascii="Arial" w:hAnsi="Arial" w:cs="Arial"/>
          <w:sz w:val="20"/>
          <w:szCs w:val="20"/>
          <w:lang w:val="en-US" w:eastAsia="en-US"/>
        </w:rPr>
        <w:lastRenderedPageBreak/>
        <w:t>Random Forest</w:t>
      </w:r>
      <w:r w:rsidRPr="004F4A4E">
        <w:rPr>
          <w:rFonts w:ascii="Arial" w:hAnsi="Arial" w:cs="Arial"/>
          <w:b/>
          <w:bCs/>
          <w:sz w:val="20"/>
          <w:szCs w:val="20"/>
          <w:lang w:val="en-US" w:eastAsia="en-US"/>
        </w:rPr>
        <w:t>: This model performs better than PLSR. Applying the SG preprocessing on NIRS yields the best results (R² = 0.79, RPD = 2.21). However, performance on MIRS remains lower, with R² not exceeding 0.74.</w:t>
      </w:r>
      <w:r w:rsidR="005B3CA2" w:rsidRPr="004F4A4E">
        <w:rPr>
          <w:rFonts w:ascii="Arial" w:hAnsi="Arial" w:cs="Arial"/>
          <w:b/>
          <w:bCs/>
          <w:sz w:val="20"/>
          <w:szCs w:val="20"/>
          <w:lang w:val="en-US" w:eastAsia="en-US"/>
        </w:rPr>
        <w:t xml:space="preserve"> (table2)</w:t>
      </w:r>
    </w:p>
    <w:p w14:paraId="5843D1B7" w14:textId="77777777" w:rsidR="005816CD" w:rsidRPr="0056457E" w:rsidRDefault="005816CD" w:rsidP="005816CD">
      <w:pPr>
        <w:pStyle w:val="NormalWeb"/>
        <w:rPr>
          <w:rFonts w:ascii="Arial" w:hAnsi="Arial"/>
          <w:b/>
          <w:sz w:val="20"/>
          <w:szCs w:val="20"/>
          <w:lang w:val="en-US" w:eastAsia="en-US"/>
        </w:rPr>
      </w:pPr>
      <w:r w:rsidRPr="0056457E">
        <w:rPr>
          <w:rFonts w:ascii="Arial" w:hAnsi="Arial"/>
          <w:b/>
          <w:sz w:val="20"/>
          <w:szCs w:val="20"/>
          <w:lang w:val="en-US" w:eastAsia="en-US"/>
        </w:rPr>
        <w:t xml:space="preserve">Table 2: Descriptive statistics of the </w:t>
      </w:r>
      <w:proofErr w:type="spellStart"/>
      <w:r w:rsidRPr="0056457E">
        <w:rPr>
          <w:rFonts w:ascii="Arial" w:hAnsi="Arial"/>
          <w:b/>
          <w:sz w:val="20"/>
          <w:szCs w:val="20"/>
          <w:lang w:val="en-US" w:eastAsia="en-US"/>
        </w:rPr>
        <w:t>RandomForest</w:t>
      </w:r>
      <w:proofErr w:type="spellEnd"/>
      <w:r w:rsidRPr="0056457E">
        <w:rPr>
          <w:rFonts w:ascii="Arial" w:hAnsi="Arial"/>
          <w:b/>
          <w:sz w:val="20"/>
          <w:szCs w:val="20"/>
          <w:lang w:val="en-US" w:eastAsia="en-US"/>
        </w:rPr>
        <w:t xml:space="preserve"> model performance based on spectrum and preprocessing.</w:t>
      </w:r>
    </w:p>
    <w:tbl>
      <w:tblPr>
        <w:tblStyle w:val="ListTable6Colorful"/>
        <w:tblW w:w="7705" w:type="dxa"/>
        <w:tblLook w:val="04A0" w:firstRow="1" w:lastRow="0" w:firstColumn="1" w:lastColumn="0" w:noHBand="0" w:noVBand="1"/>
      </w:tblPr>
      <w:tblGrid>
        <w:gridCol w:w="1078"/>
        <w:gridCol w:w="1492"/>
        <w:gridCol w:w="1078"/>
        <w:gridCol w:w="1078"/>
        <w:gridCol w:w="1078"/>
        <w:gridCol w:w="1078"/>
        <w:gridCol w:w="1078"/>
      </w:tblGrid>
      <w:tr w:rsidR="005816CD" w14:paraId="59EAE4E7" w14:textId="77777777" w:rsidTr="00243E4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CD14334"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237" w:type="dxa"/>
            <w:shd w:val="clear" w:color="auto" w:fill="auto"/>
            <w:noWrap/>
            <w:hideMark/>
          </w:tcPr>
          <w:p w14:paraId="430C070B"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078" w:type="dxa"/>
            <w:shd w:val="clear" w:color="auto" w:fill="auto"/>
            <w:noWrap/>
            <w:hideMark/>
          </w:tcPr>
          <w:p w14:paraId="3F771314"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078" w:type="dxa"/>
            <w:shd w:val="clear" w:color="auto" w:fill="auto"/>
            <w:noWrap/>
            <w:hideMark/>
          </w:tcPr>
          <w:p w14:paraId="5623B73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078" w:type="dxa"/>
            <w:shd w:val="clear" w:color="auto" w:fill="auto"/>
            <w:noWrap/>
            <w:hideMark/>
          </w:tcPr>
          <w:p w14:paraId="33378CDF"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078" w:type="dxa"/>
            <w:shd w:val="clear" w:color="auto" w:fill="auto"/>
            <w:noWrap/>
            <w:hideMark/>
          </w:tcPr>
          <w:p w14:paraId="7524181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078" w:type="dxa"/>
            <w:shd w:val="clear" w:color="auto" w:fill="auto"/>
            <w:noWrap/>
            <w:hideMark/>
          </w:tcPr>
          <w:p w14:paraId="04BCCC01"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243E49" w14:paraId="3C453A88"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235C6802"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2B0ED265"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78" w:type="dxa"/>
            <w:shd w:val="clear" w:color="auto" w:fill="auto"/>
            <w:noWrap/>
            <w:hideMark/>
          </w:tcPr>
          <w:p w14:paraId="72AA32F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067262D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12</w:t>
            </w:r>
          </w:p>
        </w:tc>
        <w:tc>
          <w:tcPr>
            <w:tcW w:w="1078" w:type="dxa"/>
            <w:shd w:val="clear" w:color="auto" w:fill="auto"/>
            <w:noWrap/>
            <w:hideMark/>
          </w:tcPr>
          <w:p w14:paraId="6D46604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3FE7F73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91</w:t>
            </w:r>
          </w:p>
        </w:tc>
        <w:tc>
          <w:tcPr>
            <w:tcW w:w="1078" w:type="dxa"/>
            <w:shd w:val="clear" w:color="auto" w:fill="auto"/>
            <w:noWrap/>
            <w:hideMark/>
          </w:tcPr>
          <w:p w14:paraId="41037250"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88</w:t>
            </w:r>
          </w:p>
        </w:tc>
      </w:tr>
      <w:tr w:rsidR="005816CD" w14:paraId="36D230E3"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6E35A9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1B16E48B"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78" w:type="dxa"/>
            <w:shd w:val="clear" w:color="auto" w:fill="auto"/>
            <w:noWrap/>
            <w:hideMark/>
          </w:tcPr>
          <w:p w14:paraId="584A56E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36F3B9E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078" w:type="dxa"/>
            <w:shd w:val="clear" w:color="auto" w:fill="auto"/>
            <w:noWrap/>
            <w:hideMark/>
          </w:tcPr>
          <w:p w14:paraId="3F3077D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76</w:t>
            </w:r>
          </w:p>
        </w:tc>
        <w:tc>
          <w:tcPr>
            <w:tcW w:w="1078" w:type="dxa"/>
            <w:shd w:val="clear" w:color="auto" w:fill="auto"/>
            <w:noWrap/>
            <w:hideMark/>
          </w:tcPr>
          <w:p w14:paraId="417141A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05</w:t>
            </w:r>
          </w:p>
        </w:tc>
        <w:tc>
          <w:tcPr>
            <w:tcW w:w="1078" w:type="dxa"/>
            <w:shd w:val="clear" w:color="auto" w:fill="auto"/>
            <w:noWrap/>
            <w:hideMark/>
          </w:tcPr>
          <w:p w14:paraId="30F15EE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02</w:t>
            </w:r>
          </w:p>
        </w:tc>
      </w:tr>
      <w:tr w:rsidR="00243E49" w14:paraId="336A3A8F"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8AA490F"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77C1A10F"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78" w:type="dxa"/>
            <w:shd w:val="clear" w:color="auto" w:fill="auto"/>
            <w:noWrap/>
            <w:hideMark/>
          </w:tcPr>
          <w:p w14:paraId="5A4CA9C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4A19C50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10</w:t>
            </w:r>
          </w:p>
        </w:tc>
        <w:tc>
          <w:tcPr>
            <w:tcW w:w="1078" w:type="dxa"/>
            <w:shd w:val="clear" w:color="auto" w:fill="auto"/>
            <w:noWrap/>
            <w:hideMark/>
          </w:tcPr>
          <w:p w14:paraId="59A79A6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75</w:t>
            </w:r>
          </w:p>
        </w:tc>
        <w:tc>
          <w:tcPr>
            <w:tcW w:w="1078" w:type="dxa"/>
            <w:shd w:val="clear" w:color="auto" w:fill="auto"/>
            <w:noWrap/>
            <w:hideMark/>
          </w:tcPr>
          <w:p w14:paraId="0DDBD9A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03</w:t>
            </w:r>
          </w:p>
        </w:tc>
        <w:tc>
          <w:tcPr>
            <w:tcW w:w="1078" w:type="dxa"/>
            <w:shd w:val="clear" w:color="auto" w:fill="auto"/>
            <w:noWrap/>
            <w:hideMark/>
          </w:tcPr>
          <w:p w14:paraId="4639D34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00</w:t>
            </w:r>
          </w:p>
        </w:tc>
      </w:tr>
      <w:tr w:rsidR="005816CD" w14:paraId="38033DE4"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0D55408A"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1A99B7A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78" w:type="dxa"/>
            <w:shd w:val="clear" w:color="auto" w:fill="auto"/>
            <w:noWrap/>
            <w:hideMark/>
          </w:tcPr>
          <w:p w14:paraId="1626C95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15</w:t>
            </w:r>
          </w:p>
        </w:tc>
        <w:tc>
          <w:tcPr>
            <w:tcW w:w="1078" w:type="dxa"/>
            <w:shd w:val="clear" w:color="auto" w:fill="auto"/>
            <w:noWrap/>
            <w:hideMark/>
          </w:tcPr>
          <w:p w14:paraId="6906383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10</w:t>
            </w:r>
          </w:p>
        </w:tc>
        <w:tc>
          <w:tcPr>
            <w:tcW w:w="1078" w:type="dxa"/>
            <w:shd w:val="clear" w:color="auto" w:fill="auto"/>
            <w:noWrap/>
            <w:hideMark/>
          </w:tcPr>
          <w:p w14:paraId="2EA75F4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79</w:t>
            </w:r>
          </w:p>
        </w:tc>
        <w:tc>
          <w:tcPr>
            <w:tcW w:w="1078" w:type="dxa"/>
            <w:shd w:val="clear" w:color="auto" w:fill="auto"/>
            <w:noWrap/>
            <w:hideMark/>
          </w:tcPr>
          <w:p w14:paraId="65FE598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69BDF8E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18</w:t>
            </w:r>
          </w:p>
        </w:tc>
      </w:tr>
      <w:tr w:rsidR="00243E49" w14:paraId="3D21427E"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F6A2A9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56F0F018"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78" w:type="dxa"/>
            <w:shd w:val="clear" w:color="auto" w:fill="auto"/>
            <w:noWrap/>
            <w:hideMark/>
          </w:tcPr>
          <w:p w14:paraId="7437B1B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17A8BF80"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078" w:type="dxa"/>
            <w:shd w:val="clear" w:color="auto" w:fill="auto"/>
            <w:noWrap/>
            <w:hideMark/>
          </w:tcPr>
          <w:p w14:paraId="3FC7501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76</w:t>
            </w:r>
          </w:p>
        </w:tc>
        <w:tc>
          <w:tcPr>
            <w:tcW w:w="1078" w:type="dxa"/>
            <w:shd w:val="clear" w:color="auto" w:fill="auto"/>
            <w:noWrap/>
            <w:hideMark/>
          </w:tcPr>
          <w:p w14:paraId="5C57695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04</w:t>
            </w:r>
          </w:p>
        </w:tc>
        <w:tc>
          <w:tcPr>
            <w:tcW w:w="1078" w:type="dxa"/>
            <w:shd w:val="clear" w:color="auto" w:fill="auto"/>
            <w:noWrap/>
            <w:hideMark/>
          </w:tcPr>
          <w:p w14:paraId="20717EF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01</w:t>
            </w:r>
          </w:p>
        </w:tc>
      </w:tr>
      <w:tr w:rsidR="005816CD" w14:paraId="55A3AACF"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000B769"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7689169A"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78" w:type="dxa"/>
            <w:shd w:val="clear" w:color="auto" w:fill="auto"/>
            <w:noWrap/>
            <w:hideMark/>
          </w:tcPr>
          <w:p w14:paraId="0434FB8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7FA1F49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0331CF9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28F6130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90</w:t>
            </w:r>
          </w:p>
        </w:tc>
        <w:tc>
          <w:tcPr>
            <w:tcW w:w="1078" w:type="dxa"/>
            <w:shd w:val="clear" w:color="auto" w:fill="auto"/>
            <w:noWrap/>
            <w:hideMark/>
          </w:tcPr>
          <w:p w14:paraId="0343A87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87</w:t>
            </w:r>
          </w:p>
        </w:tc>
      </w:tr>
      <w:tr w:rsidR="00243E49" w14:paraId="0851D8C9"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02DCBA8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68EC395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78" w:type="dxa"/>
            <w:shd w:val="clear" w:color="auto" w:fill="auto"/>
            <w:noWrap/>
            <w:hideMark/>
          </w:tcPr>
          <w:p w14:paraId="49607AD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1555C92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15</w:t>
            </w:r>
          </w:p>
        </w:tc>
        <w:tc>
          <w:tcPr>
            <w:tcW w:w="1078" w:type="dxa"/>
            <w:shd w:val="clear" w:color="auto" w:fill="auto"/>
            <w:noWrap/>
            <w:hideMark/>
          </w:tcPr>
          <w:p w14:paraId="17137DD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63</w:t>
            </w:r>
          </w:p>
        </w:tc>
        <w:tc>
          <w:tcPr>
            <w:tcW w:w="1078" w:type="dxa"/>
            <w:shd w:val="clear" w:color="auto" w:fill="auto"/>
            <w:noWrap/>
            <w:hideMark/>
          </w:tcPr>
          <w:p w14:paraId="61D0822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57</w:t>
            </w:r>
          </w:p>
        </w:tc>
        <w:tc>
          <w:tcPr>
            <w:tcW w:w="1078" w:type="dxa"/>
            <w:shd w:val="clear" w:color="auto" w:fill="auto"/>
            <w:noWrap/>
            <w:hideMark/>
          </w:tcPr>
          <w:p w14:paraId="171E814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55</w:t>
            </w:r>
          </w:p>
        </w:tc>
      </w:tr>
      <w:tr w:rsidR="005816CD" w14:paraId="6061AC0A"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6F64AA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719A7B8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78" w:type="dxa"/>
            <w:shd w:val="clear" w:color="auto" w:fill="auto"/>
            <w:noWrap/>
            <w:hideMark/>
          </w:tcPr>
          <w:p w14:paraId="4E82A15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0475889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2C04C7F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4E79204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89</w:t>
            </w:r>
          </w:p>
        </w:tc>
        <w:tc>
          <w:tcPr>
            <w:tcW w:w="1078" w:type="dxa"/>
            <w:shd w:val="clear" w:color="auto" w:fill="auto"/>
            <w:noWrap/>
            <w:hideMark/>
          </w:tcPr>
          <w:p w14:paraId="17D84F2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86</w:t>
            </w:r>
          </w:p>
        </w:tc>
      </w:tr>
      <w:tr w:rsidR="00243E49" w14:paraId="4C39F306"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1E11D4C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2D1D75CB"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78" w:type="dxa"/>
            <w:shd w:val="clear" w:color="auto" w:fill="auto"/>
            <w:noWrap/>
            <w:hideMark/>
          </w:tcPr>
          <w:p w14:paraId="5E3CC4D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078" w:type="dxa"/>
            <w:shd w:val="clear" w:color="auto" w:fill="auto"/>
            <w:noWrap/>
            <w:hideMark/>
          </w:tcPr>
          <w:p w14:paraId="5C591D2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078" w:type="dxa"/>
            <w:shd w:val="clear" w:color="auto" w:fill="auto"/>
            <w:noWrap/>
            <w:hideMark/>
          </w:tcPr>
          <w:p w14:paraId="61BFB32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67</w:t>
            </w:r>
          </w:p>
        </w:tc>
        <w:tc>
          <w:tcPr>
            <w:tcW w:w="1078" w:type="dxa"/>
            <w:shd w:val="clear" w:color="auto" w:fill="auto"/>
            <w:noWrap/>
            <w:hideMark/>
          </w:tcPr>
          <w:p w14:paraId="124917D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19256FA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5816CD" w14:paraId="78C4F686"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62D095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68CC387A"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78" w:type="dxa"/>
            <w:shd w:val="clear" w:color="auto" w:fill="auto"/>
            <w:noWrap/>
            <w:hideMark/>
          </w:tcPr>
          <w:p w14:paraId="7D9F936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6DE6FCF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5184214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078" w:type="dxa"/>
            <w:shd w:val="clear" w:color="auto" w:fill="auto"/>
            <w:noWrap/>
            <w:hideMark/>
          </w:tcPr>
          <w:p w14:paraId="54FE1AA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90</w:t>
            </w:r>
          </w:p>
        </w:tc>
        <w:tc>
          <w:tcPr>
            <w:tcW w:w="1078" w:type="dxa"/>
            <w:shd w:val="clear" w:color="auto" w:fill="auto"/>
            <w:noWrap/>
            <w:hideMark/>
          </w:tcPr>
          <w:p w14:paraId="3352564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87</w:t>
            </w:r>
          </w:p>
        </w:tc>
      </w:tr>
      <w:tr w:rsidR="00243E49" w14:paraId="06A10267"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73261E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22E19722"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78" w:type="dxa"/>
            <w:shd w:val="clear" w:color="auto" w:fill="auto"/>
            <w:noWrap/>
            <w:hideMark/>
          </w:tcPr>
          <w:p w14:paraId="436FB52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2F84EBF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195E0E7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485CF478"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89</w:t>
            </w:r>
          </w:p>
        </w:tc>
        <w:tc>
          <w:tcPr>
            <w:tcW w:w="1078" w:type="dxa"/>
            <w:shd w:val="clear" w:color="auto" w:fill="auto"/>
            <w:noWrap/>
            <w:hideMark/>
          </w:tcPr>
          <w:p w14:paraId="311B7D4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86</w:t>
            </w:r>
          </w:p>
        </w:tc>
      </w:tr>
      <w:tr w:rsidR="005816CD" w14:paraId="1F714420"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9E5F073"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35464D1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78" w:type="dxa"/>
            <w:shd w:val="clear" w:color="auto" w:fill="auto"/>
            <w:noWrap/>
            <w:hideMark/>
          </w:tcPr>
          <w:p w14:paraId="6509032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25CA38F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59F95BF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63</w:t>
            </w:r>
          </w:p>
        </w:tc>
        <w:tc>
          <w:tcPr>
            <w:tcW w:w="1078" w:type="dxa"/>
            <w:shd w:val="clear" w:color="auto" w:fill="auto"/>
            <w:noWrap/>
            <w:hideMark/>
          </w:tcPr>
          <w:p w14:paraId="4E49D797"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56</w:t>
            </w:r>
          </w:p>
        </w:tc>
        <w:tc>
          <w:tcPr>
            <w:tcW w:w="1078" w:type="dxa"/>
            <w:shd w:val="clear" w:color="auto" w:fill="auto"/>
            <w:noWrap/>
            <w:hideMark/>
          </w:tcPr>
          <w:p w14:paraId="01E092E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54</w:t>
            </w:r>
          </w:p>
        </w:tc>
      </w:tr>
    </w:tbl>
    <w:p w14:paraId="574F31AE" w14:textId="77777777" w:rsidR="005816CD" w:rsidRPr="005B3CA2" w:rsidRDefault="005816CD" w:rsidP="00B24B2C">
      <w:pPr>
        <w:pStyle w:val="NormalWeb"/>
        <w:rPr>
          <w:color w:val="000000"/>
          <w:lang w:val="en-US"/>
        </w:rPr>
      </w:pPr>
    </w:p>
    <w:p w14:paraId="1431B795" w14:textId="77777777" w:rsidR="00B24B2C" w:rsidRPr="004F4A4E" w:rsidRDefault="00B24B2C" w:rsidP="004F4A4E">
      <w:pPr>
        <w:pStyle w:val="NormalWeb"/>
        <w:jc w:val="both"/>
        <w:rPr>
          <w:rFonts w:ascii="Arial" w:hAnsi="Arial" w:cs="Arial"/>
          <w:sz w:val="20"/>
          <w:szCs w:val="20"/>
          <w:lang w:val="en-US" w:eastAsia="en-US"/>
        </w:rPr>
      </w:pPr>
      <w:r w:rsidRPr="004F4A4E">
        <w:rPr>
          <w:rFonts w:ascii="Arial" w:hAnsi="Arial" w:cs="Arial"/>
          <w:b/>
          <w:bCs/>
          <w:sz w:val="20"/>
          <w:szCs w:val="20"/>
          <w:lang w:val="en-US" w:eastAsia="en-US"/>
        </w:rPr>
        <w:t>SVM</w:t>
      </w:r>
      <w:r w:rsidRPr="004F4A4E">
        <w:rPr>
          <w:rFonts w:ascii="Arial" w:hAnsi="Arial" w:cs="Arial"/>
          <w:sz w:val="20"/>
          <w:szCs w:val="20"/>
          <w:lang w:val="en-US" w:eastAsia="en-US"/>
        </w:rPr>
        <w:t xml:space="preserve">: This model demonstrates the best overall performance, with R² reaching 0.83 for SG on NIRS (RPD = 2.37, RPIQ = 2.33). The SNV and MSC </w:t>
      </w:r>
      <w:proofErr w:type="spellStart"/>
      <w:r w:rsidRPr="004F4A4E">
        <w:rPr>
          <w:rFonts w:ascii="Arial" w:hAnsi="Arial" w:cs="Arial"/>
          <w:sz w:val="20"/>
          <w:szCs w:val="20"/>
          <w:lang w:val="en-US" w:eastAsia="en-US"/>
        </w:rPr>
        <w:t>preprocessings</w:t>
      </w:r>
      <w:proofErr w:type="spellEnd"/>
      <w:r w:rsidRPr="004F4A4E">
        <w:rPr>
          <w:rFonts w:ascii="Arial" w:hAnsi="Arial" w:cs="Arial"/>
          <w:sz w:val="20"/>
          <w:szCs w:val="20"/>
          <w:lang w:val="en-US" w:eastAsia="en-US"/>
        </w:rPr>
        <w:t xml:space="preserve"> improve accuracy compared to raw data, although slightly less than SG. On MIRS, the best R² is 0.72 with SNV and MSC</w:t>
      </w:r>
      <w:r w:rsidR="005B3CA2" w:rsidRPr="004F4A4E">
        <w:rPr>
          <w:rFonts w:ascii="Arial" w:hAnsi="Arial" w:cs="Arial"/>
          <w:sz w:val="20"/>
          <w:szCs w:val="20"/>
          <w:lang w:val="en-US" w:eastAsia="en-US"/>
        </w:rPr>
        <w:t xml:space="preserve"> (table3)</w:t>
      </w:r>
    </w:p>
    <w:p w14:paraId="525C7AA9" w14:textId="044731CF" w:rsidR="005816CD" w:rsidRPr="004F4A4E" w:rsidRDefault="005816CD" w:rsidP="004F4A4E">
      <w:pPr>
        <w:pStyle w:val="NormalWeb"/>
        <w:jc w:val="both"/>
        <w:rPr>
          <w:rFonts w:ascii="Arial" w:hAnsi="Arial" w:cs="Arial"/>
          <w:b/>
          <w:bCs/>
          <w:sz w:val="20"/>
          <w:szCs w:val="20"/>
          <w:lang w:eastAsia="en-US"/>
        </w:rPr>
      </w:pPr>
      <w:r w:rsidRPr="004F4A4E">
        <w:rPr>
          <w:rFonts w:ascii="Arial" w:hAnsi="Arial" w:cs="Arial"/>
          <w:b/>
          <w:bCs/>
          <w:sz w:val="20"/>
          <w:szCs w:val="20"/>
          <w:lang w:eastAsia="en-US"/>
        </w:rPr>
        <w:t>Table</w:t>
      </w:r>
      <w:r w:rsidR="00E47AEB">
        <w:rPr>
          <w:rFonts w:ascii="Arial" w:hAnsi="Arial" w:cs="Arial"/>
          <w:b/>
          <w:bCs/>
          <w:sz w:val="20"/>
          <w:szCs w:val="20"/>
          <w:lang w:eastAsia="en-US"/>
        </w:rPr>
        <w:t xml:space="preserve"> </w:t>
      </w:r>
      <w:r w:rsidRPr="004F4A4E">
        <w:rPr>
          <w:rFonts w:ascii="Arial" w:hAnsi="Arial" w:cs="Arial"/>
          <w:b/>
          <w:bCs/>
          <w:sz w:val="20"/>
          <w:szCs w:val="20"/>
          <w:lang w:eastAsia="en-US"/>
        </w:rPr>
        <w:t>3 : Statistiques descriptives des performances du modèle SVM en fonction du spectre et du prétraitement</w:t>
      </w:r>
    </w:p>
    <w:tbl>
      <w:tblPr>
        <w:tblStyle w:val="ListTable6Colorful"/>
        <w:tblW w:w="7777" w:type="dxa"/>
        <w:tblLook w:val="04A0" w:firstRow="1" w:lastRow="0" w:firstColumn="1" w:lastColumn="0" w:noHBand="0" w:noVBand="1"/>
      </w:tblPr>
      <w:tblGrid>
        <w:gridCol w:w="1088"/>
        <w:gridCol w:w="1495"/>
        <w:gridCol w:w="1088"/>
        <w:gridCol w:w="1088"/>
        <w:gridCol w:w="1088"/>
        <w:gridCol w:w="1088"/>
        <w:gridCol w:w="1088"/>
      </w:tblGrid>
      <w:tr w:rsidR="005816CD" w:rsidRPr="004F4A4E" w14:paraId="6090C572" w14:textId="77777777" w:rsidTr="00243E4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0DA93B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IR</w:t>
            </w:r>
          </w:p>
        </w:tc>
        <w:tc>
          <w:tcPr>
            <w:tcW w:w="1249" w:type="dxa"/>
            <w:shd w:val="clear" w:color="auto" w:fill="auto"/>
            <w:noWrap/>
            <w:hideMark/>
          </w:tcPr>
          <w:p w14:paraId="1C60AF2A"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Preprocessing</w:t>
            </w:r>
          </w:p>
        </w:tc>
        <w:tc>
          <w:tcPr>
            <w:tcW w:w="1088" w:type="dxa"/>
            <w:shd w:val="clear" w:color="auto" w:fill="auto"/>
            <w:noWrap/>
            <w:hideMark/>
          </w:tcPr>
          <w:p w14:paraId="442CAB22"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RMSEP</w:t>
            </w:r>
          </w:p>
        </w:tc>
        <w:tc>
          <w:tcPr>
            <w:tcW w:w="1088" w:type="dxa"/>
            <w:shd w:val="clear" w:color="auto" w:fill="auto"/>
            <w:noWrap/>
            <w:hideMark/>
          </w:tcPr>
          <w:p w14:paraId="00AE1F22"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MAE</w:t>
            </w:r>
          </w:p>
        </w:tc>
        <w:tc>
          <w:tcPr>
            <w:tcW w:w="1088" w:type="dxa"/>
            <w:shd w:val="clear" w:color="auto" w:fill="auto"/>
            <w:noWrap/>
            <w:hideMark/>
          </w:tcPr>
          <w:p w14:paraId="32ECFE6B"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R2</w:t>
            </w:r>
          </w:p>
        </w:tc>
        <w:tc>
          <w:tcPr>
            <w:tcW w:w="1088" w:type="dxa"/>
            <w:shd w:val="clear" w:color="auto" w:fill="auto"/>
            <w:noWrap/>
            <w:hideMark/>
          </w:tcPr>
          <w:p w14:paraId="48E92903"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RPD</w:t>
            </w:r>
          </w:p>
        </w:tc>
        <w:tc>
          <w:tcPr>
            <w:tcW w:w="1088" w:type="dxa"/>
            <w:shd w:val="clear" w:color="auto" w:fill="auto"/>
            <w:noWrap/>
            <w:hideMark/>
          </w:tcPr>
          <w:p w14:paraId="33D72AC6"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RPIQ</w:t>
            </w:r>
          </w:p>
        </w:tc>
      </w:tr>
      <w:tr w:rsidR="00243E49" w:rsidRPr="004F4A4E" w14:paraId="2CE3CB9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2CF3864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157204F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Raw</w:t>
            </w:r>
          </w:p>
        </w:tc>
        <w:tc>
          <w:tcPr>
            <w:tcW w:w="1088" w:type="dxa"/>
            <w:shd w:val="clear" w:color="auto" w:fill="auto"/>
            <w:noWrap/>
            <w:hideMark/>
          </w:tcPr>
          <w:p w14:paraId="5234542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3C8D951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1E9D784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76</w:t>
            </w:r>
          </w:p>
        </w:tc>
        <w:tc>
          <w:tcPr>
            <w:tcW w:w="1088" w:type="dxa"/>
            <w:shd w:val="clear" w:color="auto" w:fill="auto"/>
            <w:noWrap/>
            <w:hideMark/>
          </w:tcPr>
          <w:p w14:paraId="1A1C55B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00</w:t>
            </w:r>
          </w:p>
        </w:tc>
        <w:tc>
          <w:tcPr>
            <w:tcW w:w="1088" w:type="dxa"/>
            <w:shd w:val="clear" w:color="auto" w:fill="auto"/>
            <w:noWrap/>
            <w:hideMark/>
          </w:tcPr>
          <w:p w14:paraId="4C106AF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97</w:t>
            </w:r>
          </w:p>
        </w:tc>
      </w:tr>
      <w:tr w:rsidR="005816CD" w:rsidRPr="004F4A4E" w14:paraId="3BA59E6D"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3A061521"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1665727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SNV</w:t>
            </w:r>
          </w:p>
        </w:tc>
        <w:tc>
          <w:tcPr>
            <w:tcW w:w="1088" w:type="dxa"/>
            <w:shd w:val="clear" w:color="auto" w:fill="auto"/>
            <w:noWrap/>
            <w:hideMark/>
          </w:tcPr>
          <w:p w14:paraId="4CE468FD"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719C8920"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10</w:t>
            </w:r>
          </w:p>
        </w:tc>
        <w:tc>
          <w:tcPr>
            <w:tcW w:w="1088" w:type="dxa"/>
            <w:shd w:val="clear" w:color="auto" w:fill="auto"/>
            <w:noWrap/>
            <w:hideMark/>
          </w:tcPr>
          <w:p w14:paraId="1D457AF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0D8A8C8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173DDF20"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243E49" w:rsidRPr="004F4A4E" w14:paraId="711CD65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BBB803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43333FF5"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Detrend</w:t>
            </w:r>
          </w:p>
        </w:tc>
        <w:tc>
          <w:tcPr>
            <w:tcW w:w="1088" w:type="dxa"/>
            <w:shd w:val="clear" w:color="auto" w:fill="auto"/>
            <w:noWrap/>
            <w:hideMark/>
          </w:tcPr>
          <w:p w14:paraId="202982C2"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7389FD6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0FCB49B6"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75</w:t>
            </w:r>
          </w:p>
        </w:tc>
        <w:tc>
          <w:tcPr>
            <w:tcW w:w="1088" w:type="dxa"/>
            <w:shd w:val="clear" w:color="auto" w:fill="auto"/>
            <w:noWrap/>
            <w:hideMark/>
          </w:tcPr>
          <w:p w14:paraId="04D7972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96</w:t>
            </w:r>
          </w:p>
        </w:tc>
        <w:tc>
          <w:tcPr>
            <w:tcW w:w="1088" w:type="dxa"/>
            <w:shd w:val="clear" w:color="auto" w:fill="auto"/>
            <w:noWrap/>
            <w:hideMark/>
          </w:tcPr>
          <w:p w14:paraId="5DCF347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93</w:t>
            </w:r>
          </w:p>
        </w:tc>
      </w:tr>
      <w:tr w:rsidR="005816CD" w:rsidRPr="004F4A4E" w14:paraId="6F70372E"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7A583713"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2545C1D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SG</w:t>
            </w:r>
          </w:p>
        </w:tc>
        <w:tc>
          <w:tcPr>
            <w:tcW w:w="1088" w:type="dxa"/>
            <w:shd w:val="clear" w:color="auto" w:fill="auto"/>
            <w:noWrap/>
            <w:hideMark/>
          </w:tcPr>
          <w:p w14:paraId="0029811D"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14</w:t>
            </w:r>
          </w:p>
        </w:tc>
        <w:tc>
          <w:tcPr>
            <w:tcW w:w="1088" w:type="dxa"/>
            <w:shd w:val="clear" w:color="auto" w:fill="auto"/>
            <w:noWrap/>
            <w:hideMark/>
          </w:tcPr>
          <w:p w14:paraId="534AF79F"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09</w:t>
            </w:r>
          </w:p>
        </w:tc>
        <w:tc>
          <w:tcPr>
            <w:tcW w:w="1088" w:type="dxa"/>
            <w:shd w:val="clear" w:color="auto" w:fill="auto"/>
            <w:noWrap/>
            <w:hideMark/>
          </w:tcPr>
          <w:p w14:paraId="7E0A708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83</w:t>
            </w:r>
          </w:p>
        </w:tc>
        <w:tc>
          <w:tcPr>
            <w:tcW w:w="1088" w:type="dxa"/>
            <w:shd w:val="clear" w:color="auto" w:fill="auto"/>
            <w:noWrap/>
            <w:hideMark/>
          </w:tcPr>
          <w:p w14:paraId="718C6E4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37</w:t>
            </w:r>
          </w:p>
        </w:tc>
        <w:tc>
          <w:tcPr>
            <w:tcW w:w="1088" w:type="dxa"/>
            <w:shd w:val="clear" w:color="auto" w:fill="auto"/>
            <w:noWrap/>
            <w:hideMark/>
          </w:tcPr>
          <w:p w14:paraId="33701F5E"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33</w:t>
            </w:r>
          </w:p>
        </w:tc>
      </w:tr>
      <w:tr w:rsidR="00243E49" w:rsidRPr="004F4A4E" w14:paraId="5611128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3F01DE57"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45BB888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MSC</w:t>
            </w:r>
          </w:p>
        </w:tc>
        <w:tc>
          <w:tcPr>
            <w:tcW w:w="1088" w:type="dxa"/>
            <w:shd w:val="clear" w:color="auto" w:fill="auto"/>
            <w:noWrap/>
            <w:hideMark/>
          </w:tcPr>
          <w:p w14:paraId="46722DA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254DAAB2"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10</w:t>
            </w:r>
          </w:p>
        </w:tc>
        <w:tc>
          <w:tcPr>
            <w:tcW w:w="1088" w:type="dxa"/>
            <w:shd w:val="clear" w:color="auto" w:fill="auto"/>
            <w:noWrap/>
            <w:hideMark/>
          </w:tcPr>
          <w:p w14:paraId="2F9A3865"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4A724A5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1D9AC8A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5816CD" w:rsidRPr="004F4A4E" w14:paraId="0E7F7486"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680086AE"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773B9F8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Log</w:t>
            </w:r>
          </w:p>
        </w:tc>
        <w:tc>
          <w:tcPr>
            <w:tcW w:w="1088" w:type="dxa"/>
            <w:shd w:val="clear" w:color="auto" w:fill="auto"/>
            <w:noWrap/>
            <w:hideMark/>
          </w:tcPr>
          <w:p w14:paraId="45648BA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3D4DB4AC"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6918F6C2"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7DBF6D3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33CE5AD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243E49" w:rsidRPr="004F4A4E" w14:paraId="66368DC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AA5F5AC"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5BCE9BC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Raw</w:t>
            </w:r>
          </w:p>
        </w:tc>
        <w:tc>
          <w:tcPr>
            <w:tcW w:w="1088" w:type="dxa"/>
            <w:shd w:val="clear" w:color="auto" w:fill="auto"/>
            <w:noWrap/>
            <w:hideMark/>
          </w:tcPr>
          <w:p w14:paraId="203B0866"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18</w:t>
            </w:r>
          </w:p>
        </w:tc>
        <w:tc>
          <w:tcPr>
            <w:tcW w:w="1088" w:type="dxa"/>
            <w:shd w:val="clear" w:color="auto" w:fill="auto"/>
            <w:noWrap/>
            <w:hideMark/>
          </w:tcPr>
          <w:p w14:paraId="13BDE22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76990B3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69</w:t>
            </w:r>
          </w:p>
        </w:tc>
        <w:tc>
          <w:tcPr>
            <w:tcW w:w="1088" w:type="dxa"/>
            <w:shd w:val="clear" w:color="auto" w:fill="auto"/>
            <w:noWrap/>
            <w:hideMark/>
          </w:tcPr>
          <w:p w14:paraId="6850272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82</w:t>
            </w:r>
          </w:p>
        </w:tc>
        <w:tc>
          <w:tcPr>
            <w:tcW w:w="1088" w:type="dxa"/>
            <w:shd w:val="clear" w:color="auto" w:fill="auto"/>
            <w:noWrap/>
            <w:hideMark/>
          </w:tcPr>
          <w:p w14:paraId="65FAEBD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79</w:t>
            </w:r>
          </w:p>
        </w:tc>
      </w:tr>
      <w:tr w:rsidR="005816CD" w:rsidRPr="004F4A4E" w14:paraId="5B6B94C9"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5EA73C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1E6924CA"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SNV</w:t>
            </w:r>
          </w:p>
        </w:tc>
        <w:tc>
          <w:tcPr>
            <w:tcW w:w="1088" w:type="dxa"/>
            <w:shd w:val="clear" w:color="auto" w:fill="auto"/>
            <w:noWrap/>
            <w:hideMark/>
          </w:tcPr>
          <w:p w14:paraId="42B51E64"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395BC75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10FADC0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02D7AB5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92</w:t>
            </w:r>
          </w:p>
        </w:tc>
        <w:tc>
          <w:tcPr>
            <w:tcW w:w="1088" w:type="dxa"/>
            <w:shd w:val="clear" w:color="auto" w:fill="auto"/>
            <w:noWrap/>
            <w:hideMark/>
          </w:tcPr>
          <w:p w14:paraId="26D52EA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r>
      <w:tr w:rsidR="00243E49" w:rsidRPr="004F4A4E" w14:paraId="1857D63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937C4E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7B88A7C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Detrend</w:t>
            </w:r>
          </w:p>
        </w:tc>
        <w:tc>
          <w:tcPr>
            <w:tcW w:w="1088" w:type="dxa"/>
            <w:shd w:val="clear" w:color="auto" w:fill="auto"/>
            <w:noWrap/>
            <w:hideMark/>
          </w:tcPr>
          <w:p w14:paraId="449883E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2A09519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428C06C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10ED53A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c>
          <w:tcPr>
            <w:tcW w:w="1088" w:type="dxa"/>
            <w:shd w:val="clear" w:color="auto" w:fill="auto"/>
            <w:noWrap/>
            <w:hideMark/>
          </w:tcPr>
          <w:p w14:paraId="7BAF8A4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86</w:t>
            </w:r>
          </w:p>
        </w:tc>
      </w:tr>
      <w:tr w:rsidR="005816CD" w:rsidRPr="004F4A4E" w14:paraId="2E392B7B"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7CC23739"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41CD82D6"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SG</w:t>
            </w:r>
          </w:p>
        </w:tc>
        <w:tc>
          <w:tcPr>
            <w:tcW w:w="1088" w:type="dxa"/>
            <w:shd w:val="clear" w:color="auto" w:fill="auto"/>
            <w:noWrap/>
            <w:hideMark/>
          </w:tcPr>
          <w:p w14:paraId="042132C6"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19</w:t>
            </w:r>
          </w:p>
        </w:tc>
        <w:tc>
          <w:tcPr>
            <w:tcW w:w="1088" w:type="dxa"/>
            <w:shd w:val="clear" w:color="auto" w:fill="auto"/>
            <w:noWrap/>
            <w:hideMark/>
          </w:tcPr>
          <w:p w14:paraId="08A5800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13</w:t>
            </w:r>
          </w:p>
        </w:tc>
        <w:tc>
          <w:tcPr>
            <w:tcW w:w="1088" w:type="dxa"/>
            <w:shd w:val="clear" w:color="auto" w:fill="auto"/>
            <w:noWrap/>
            <w:hideMark/>
          </w:tcPr>
          <w:p w14:paraId="502DDC9E"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67</w:t>
            </w:r>
          </w:p>
        </w:tc>
        <w:tc>
          <w:tcPr>
            <w:tcW w:w="1088" w:type="dxa"/>
            <w:shd w:val="clear" w:color="auto" w:fill="auto"/>
            <w:noWrap/>
            <w:hideMark/>
          </w:tcPr>
          <w:p w14:paraId="0A75833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73</w:t>
            </w:r>
          </w:p>
        </w:tc>
        <w:tc>
          <w:tcPr>
            <w:tcW w:w="1088" w:type="dxa"/>
            <w:shd w:val="clear" w:color="auto" w:fill="auto"/>
            <w:noWrap/>
            <w:hideMark/>
          </w:tcPr>
          <w:p w14:paraId="5937014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70</w:t>
            </w:r>
          </w:p>
        </w:tc>
      </w:tr>
      <w:tr w:rsidR="00243E49" w:rsidRPr="004F4A4E" w14:paraId="4B95FC7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6245DEF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2D88201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MSC</w:t>
            </w:r>
          </w:p>
        </w:tc>
        <w:tc>
          <w:tcPr>
            <w:tcW w:w="1088" w:type="dxa"/>
            <w:shd w:val="clear" w:color="auto" w:fill="auto"/>
            <w:noWrap/>
            <w:hideMark/>
          </w:tcPr>
          <w:p w14:paraId="5A441B8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01E1BA1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4BAD550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53A3E8B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92</w:t>
            </w:r>
          </w:p>
        </w:tc>
        <w:tc>
          <w:tcPr>
            <w:tcW w:w="1088" w:type="dxa"/>
            <w:shd w:val="clear" w:color="auto" w:fill="auto"/>
            <w:noWrap/>
            <w:hideMark/>
          </w:tcPr>
          <w:p w14:paraId="522409B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r>
      <w:tr w:rsidR="005816CD" w:rsidRPr="004F4A4E" w14:paraId="361A05B8"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403172E"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159D112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Log</w:t>
            </w:r>
          </w:p>
        </w:tc>
        <w:tc>
          <w:tcPr>
            <w:tcW w:w="1088" w:type="dxa"/>
            <w:shd w:val="clear" w:color="auto" w:fill="auto"/>
            <w:noWrap/>
            <w:hideMark/>
          </w:tcPr>
          <w:p w14:paraId="45A81661"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18</w:t>
            </w:r>
          </w:p>
        </w:tc>
        <w:tc>
          <w:tcPr>
            <w:tcW w:w="1088" w:type="dxa"/>
            <w:shd w:val="clear" w:color="auto" w:fill="auto"/>
            <w:noWrap/>
            <w:hideMark/>
          </w:tcPr>
          <w:p w14:paraId="5C6F61D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3808CCA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70</w:t>
            </w:r>
          </w:p>
        </w:tc>
        <w:tc>
          <w:tcPr>
            <w:tcW w:w="1088" w:type="dxa"/>
            <w:shd w:val="clear" w:color="auto" w:fill="auto"/>
            <w:noWrap/>
            <w:hideMark/>
          </w:tcPr>
          <w:p w14:paraId="449FAC7C"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84</w:t>
            </w:r>
          </w:p>
        </w:tc>
        <w:tc>
          <w:tcPr>
            <w:tcW w:w="1088" w:type="dxa"/>
            <w:shd w:val="clear" w:color="auto" w:fill="auto"/>
            <w:noWrap/>
            <w:hideMark/>
          </w:tcPr>
          <w:p w14:paraId="3CA8E30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81</w:t>
            </w:r>
          </w:p>
        </w:tc>
      </w:tr>
    </w:tbl>
    <w:p w14:paraId="1F5A2196" w14:textId="77777777" w:rsidR="005816CD" w:rsidRPr="004F4A4E" w:rsidRDefault="005816CD" w:rsidP="004F4A4E">
      <w:pPr>
        <w:pStyle w:val="NormalWeb"/>
        <w:jc w:val="both"/>
        <w:rPr>
          <w:rFonts w:ascii="Arial" w:hAnsi="Arial" w:cs="Arial"/>
          <w:b/>
          <w:bCs/>
          <w:sz w:val="20"/>
          <w:szCs w:val="20"/>
          <w:lang w:val="en-US" w:eastAsia="en-US"/>
        </w:rPr>
      </w:pPr>
    </w:p>
    <w:p w14:paraId="5FC744BE" w14:textId="77777777" w:rsidR="00B24B2C" w:rsidRPr="004F4A4E" w:rsidRDefault="00B24B2C" w:rsidP="004F4A4E">
      <w:pPr>
        <w:pStyle w:val="NormalWeb"/>
        <w:jc w:val="both"/>
        <w:rPr>
          <w:rFonts w:ascii="Arial" w:hAnsi="Arial" w:cs="Arial"/>
          <w:sz w:val="20"/>
          <w:szCs w:val="20"/>
          <w:lang w:val="en-US" w:eastAsia="en-US"/>
        </w:rPr>
      </w:pPr>
      <w:proofErr w:type="spellStart"/>
      <w:r w:rsidRPr="004F4A4E">
        <w:rPr>
          <w:rFonts w:ascii="Arial" w:hAnsi="Arial" w:cs="Arial"/>
          <w:b/>
          <w:bCs/>
          <w:sz w:val="20"/>
          <w:szCs w:val="20"/>
          <w:lang w:val="en-US" w:eastAsia="en-US"/>
        </w:rPr>
        <w:t>XGBoost</w:t>
      </w:r>
      <w:proofErr w:type="spellEnd"/>
      <w:r w:rsidRPr="004F4A4E">
        <w:rPr>
          <w:rFonts w:ascii="Arial" w:hAnsi="Arial" w:cs="Arial"/>
          <w:sz w:val="20"/>
          <w:szCs w:val="20"/>
          <w:lang w:val="en-US" w:eastAsia="en-US"/>
        </w:rPr>
        <w:t xml:space="preserve">: </w:t>
      </w:r>
      <w:proofErr w:type="spellStart"/>
      <w:r w:rsidRPr="004F4A4E">
        <w:rPr>
          <w:rFonts w:ascii="Arial" w:hAnsi="Arial" w:cs="Arial"/>
          <w:sz w:val="20"/>
          <w:szCs w:val="20"/>
          <w:lang w:val="en-US" w:eastAsia="en-US"/>
        </w:rPr>
        <w:t>XGBoost's</w:t>
      </w:r>
      <w:proofErr w:type="spellEnd"/>
      <w:r w:rsidRPr="004F4A4E">
        <w:rPr>
          <w:rFonts w:ascii="Arial" w:hAnsi="Arial" w:cs="Arial"/>
          <w:sz w:val="20"/>
          <w:szCs w:val="20"/>
          <w:lang w:val="en-US" w:eastAsia="en-US"/>
        </w:rPr>
        <w:t xml:space="preserve"> performance is lower than that of Random Forest and SVM, although some preprocessing combinations improve results. The best R² is 0.74 with SG on NIRS, but performance remains moderate on MIRS (R² = 0.67)</w:t>
      </w:r>
      <w:r w:rsidR="005B3CA2" w:rsidRPr="004F4A4E">
        <w:rPr>
          <w:rFonts w:ascii="Arial" w:hAnsi="Arial" w:cs="Arial"/>
          <w:sz w:val="20"/>
          <w:szCs w:val="20"/>
          <w:lang w:val="en-US" w:eastAsia="en-US"/>
        </w:rPr>
        <w:t xml:space="preserve"> (table4)</w:t>
      </w:r>
      <w:r w:rsidR="005816CD" w:rsidRPr="004F4A4E">
        <w:rPr>
          <w:rFonts w:ascii="Arial" w:hAnsi="Arial" w:cs="Arial"/>
          <w:sz w:val="20"/>
          <w:szCs w:val="20"/>
          <w:lang w:val="en-US" w:eastAsia="en-US"/>
        </w:rPr>
        <w:t>.</w:t>
      </w:r>
    </w:p>
    <w:p w14:paraId="7AA51146" w14:textId="77777777" w:rsidR="005816CD" w:rsidRPr="00493008" w:rsidRDefault="00493008" w:rsidP="005816CD">
      <w:pPr>
        <w:pStyle w:val="Heading5"/>
        <w:ind w:left="1008" w:hanging="1008"/>
        <w:jc w:val="both"/>
        <w:rPr>
          <w:rFonts w:ascii="Arial" w:eastAsia="Times New Roman" w:hAnsi="Arial" w:cs="Times New Roman"/>
          <w:b/>
          <w:color w:val="auto"/>
        </w:rPr>
      </w:pPr>
      <w:r w:rsidRPr="00493008">
        <w:rPr>
          <w:rFonts w:ascii="Arial" w:eastAsia="Times New Roman" w:hAnsi="Arial" w:cs="Times New Roman"/>
          <w:b/>
          <w:color w:val="auto"/>
        </w:rPr>
        <w:t xml:space="preserve">Table 4: Descriptive statistics of </w:t>
      </w:r>
      <w:proofErr w:type="spellStart"/>
      <w:r w:rsidRPr="00493008">
        <w:rPr>
          <w:rFonts w:ascii="Arial" w:eastAsia="Times New Roman" w:hAnsi="Arial" w:cs="Times New Roman"/>
          <w:b/>
          <w:color w:val="auto"/>
        </w:rPr>
        <w:t>XGBoost</w:t>
      </w:r>
      <w:proofErr w:type="spellEnd"/>
      <w:r w:rsidRPr="00493008">
        <w:rPr>
          <w:rFonts w:ascii="Arial" w:eastAsia="Times New Roman" w:hAnsi="Arial" w:cs="Times New Roman"/>
          <w:b/>
          <w:color w:val="auto"/>
        </w:rPr>
        <w:t xml:space="preserve"> model performance based on spectrum and preprocessing</w:t>
      </w:r>
    </w:p>
    <w:tbl>
      <w:tblPr>
        <w:tblStyle w:val="ListTable6Colorful"/>
        <w:tblW w:w="8032" w:type="dxa"/>
        <w:tblLook w:val="04A0" w:firstRow="1" w:lastRow="0" w:firstColumn="1" w:lastColumn="0" w:noHBand="0" w:noVBand="1"/>
      </w:tblPr>
      <w:tblGrid>
        <w:gridCol w:w="1121"/>
        <w:gridCol w:w="1477"/>
        <w:gridCol w:w="1122"/>
        <w:gridCol w:w="1122"/>
        <w:gridCol w:w="1122"/>
        <w:gridCol w:w="1122"/>
        <w:gridCol w:w="1122"/>
      </w:tblGrid>
      <w:tr w:rsidR="005816CD" w14:paraId="2C4563AB" w14:textId="77777777" w:rsidTr="00DC54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2994ABFB"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234" w:type="dxa"/>
            <w:shd w:val="clear" w:color="auto" w:fill="auto"/>
            <w:noWrap/>
            <w:hideMark/>
          </w:tcPr>
          <w:p w14:paraId="4796984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133" w:type="dxa"/>
            <w:shd w:val="clear" w:color="auto" w:fill="auto"/>
            <w:noWrap/>
            <w:hideMark/>
          </w:tcPr>
          <w:p w14:paraId="775C71F8"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133" w:type="dxa"/>
            <w:shd w:val="clear" w:color="auto" w:fill="auto"/>
            <w:noWrap/>
            <w:hideMark/>
          </w:tcPr>
          <w:p w14:paraId="308D2E4E"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133" w:type="dxa"/>
            <w:shd w:val="clear" w:color="auto" w:fill="auto"/>
            <w:noWrap/>
            <w:hideMark/>
          </w:tcPr>
          <w:p w14:paraId="33363FE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133" w:type="dxa"/>
            <w:shd w:val="clear" w:color="auto" w:fill="auto"/>
            <w:noWrap/>
            <w:hideMark/>
          </w:tcPr>
          <w:p w14:paraId="433D5089"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133" w:type="dxa"/>
            <w:shd w:val="clear" w:color="auto" w:fill="auto"/>
            <w:noWrap/>
            <w:hideMark/>
          </w:tcPr>
          <w:p w14:paraId="224781A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DC541D" w14:paraId="33B2E166"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7D0D70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07B35F0B"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133" w:type="dxa"/>
            <w:shd w:val="clear" w:color="auto" w:fill="auto"/>
            <w:noWrap/>
            <w:hideMark/>
          </w:tcPr>
          <w:p w14:paraId="0751DC2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22</w:t>
            </w:r>
          </w:p>
        </w:tc>
        <w:tc>
          <w:tcPr>
            <w:tcW w:w="1133" w:type="dxa"/>
            <w:shd w:val="clear" w:color="auto" w:fill="auto"/>
            <w:noWrap/>
            <w:hideMark/>
          </w:tcPr>
          <w:p w14:paraId="6A78602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270D555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59</w:t>
            </w:r>
          </w:p>
        </w:tc>
        <w:tc>
          <w:tcPr>
            <w:tcW w:w="1133" w:type="dxa"/>
            <w:shd w:val="clear" w:color="auto" w:fill="auto"/>
            <w:noWrap/>
            <w:hideMark/>
          </w:tcPr>
          <w:p w14:paraId="458ED12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49</w:t>
            </w:r>
          </w:p>
        </w:tc>
        <w:tc>
          <w:tcPr>
            <w:tcW w:w="1133" w:type="dxa"/>
            <w:shd w:val="clear" w:color="auto" w:fill="auto"/>
            <w:noWrap/>
            <w:hideMark/>
          </w:tcPr>
          <w:p w14:paraId="12FA9F0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46</w:t>
            </w:r>
          </w:p>
        </w:tc>
      </w:tr>
      <w:tr w:rsidR="005816CD" w14:paraId="497D28A7"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707DDF71"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27F1E6A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133" w:type="dxa"/>
            <w:shd w:val="clear" w:color="auto" w:fill="auto"/>
            <w:noWrap/>
            <w:hideMark/>
          </w:tcPr>
          <w:p w14:paraId="0629ED5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1182A1D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5B882F7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1290D69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73</w:t>
            </w:r>
          </w:p>
        </w:tc>
        <w:tc>
          <w:tcPr>
            <w:tcW w:w="1133" w:type="dxa"/>
            <w:shd w:val="clear" w:color="auto" w:fill="auto"/>
            <w:noWrap/>
            <w:hideMark/>
          </w:tcPr>
          <w:p w14:paraId="598474A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DC541D" w14:paraId="152FA1CF"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618D68A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08F4D4A5"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133" w:type="dxa"/>
            <w:shd w:val="clear" w:color="auto" w:fill="auto"/>
            <w:noWrap/>
            <w:hideMark/>
          </w:tcPr>
          <w:p w14:paraId="338E68B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18</w:t>
            </w:r>
          </w:p>
        </w:tc>
        <w:tc>
          <w:tcPr>
            <w:tcW w:w="1133" w:type="dxa"/>
            <w:shd w:val="clear" w:color="auto" w:fill="auto"/>
            <w:noWrap/>
            <w:hideMark/>
          </w:tcPr>
          <w:p w14:paraId="7954768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12</w:t>
            </w:r>
          </w:p>
        </w:tc>
        <w:tc>
          <w:tcPr>
            <w:tcW w:w="1133" w:type="dxa"/>
            <w:shd w:val="clear" w:color="auto" w:fill="auto"/>
            <w:noWrap/>
            <w:hideMark/>
          </w:tcPr>
          <w:p w14:paraId="38549D9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71</w:t>
            </w:r>
          </w:p>
        </w:tc>
        <w:tc>
          <w:tcPr>
            <w:tcW w:w="1133" w:type="dxa"/>
            <w:shd w:val="clear" w:color="auto" w:fill="auto"/>
            <w:noWrap/>
            <w:hideMark/>
          </w:tcPr>
          <w:p w14:paraId="212DB33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75</w:t>
            </w:r>
          </w:p>
        </w:tc>
        <w:tc>
          <w:tcPr>
            <w:tcW w:w="1133" w:type="dxa"/>
            <w:shd w:val="clear" w:color="auto" w:fill="auto"/>
            <w:noWrap/>
            <w:hideMark/>
          </w:tcPr>
          <w:p w14:paraId="71423D1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72</w:t>
            </w:r>
          </w:p>
        </w:tc>
      </w:tr>
      <w:tr w:rsidR="005816CD" w14:paraId="48BE1C92"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F5F4A0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65A8DC57"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133" w:type="dxa"/>
            <w:shd w:val="clear" w:color="auto" w:fill="auto"/>
            <w:noWrap/>
            <w:hideMark/>
          </w:tcPr>
          <w:p w14:paraId="1A19ECF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133" w:type="dxa"/>
            <w:shd w:val="clear" w:color="auto" w:fill="auto"/>
            <w:noWrap/>
            <w:hideMark/>
          </w:tcPr>
          <w:p w14:paraId="6FA4A72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1AAC904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6928C8C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97</w:t>
            </w:r>
          </w:p>
        </w:tc>
        <w:tc>
          <w:tcPr>
            <w:tcW w:w="1133" w:type="dxa"/>
            <w:shd w:val="clear" w:color="auto" w:fill="auto"/>
            <w:noWrap/>
            <w:hideMark/>
          </w:tcPr>
          <w:p w14:paraId="5CABE00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94</w:t>
            </w:r>
          </w:p>
        </w:tc>
      </w:tr>
      <w:tr w:rsidR="00DC541D" w14:paraId="01EE839C"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405AF77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7CD35AD3"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133" w:type="dxa"/>
            <w:shd w:val="clear" w:color="auto" w:fill="auto"/>
            <w:noWrap/>
            <w:hideMark/>
          </w:tcPr>
          <w:p w14:paraId="53505A5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4CA7C2F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5AEEFFA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1DD3856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73</w:t>
            </w:r>
          </w:p>
        </w:tc>
        <w:tc>
          <w:tcPr>
            <w:tcW w:w="1133" w:type="dxa"/>
            <w:shd w:val="clear" w:color="auto" w:fill="auto"/>
            <w:noWrap/>
            <w:hideMark/>
          </w:tcPr>
          <w:p w14:paraId="56B1E6C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5816CD" w14:paraId="3F4AFE77"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363BB71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2BEAADEB"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133" w:type="dxa"/>
            <w:shd w:val="clear" w:color="auto" w:fill="auto"/>
            <w:noWrap/>
            <w:hideMark/>
          </w:tcPr>
          <w:p w14:paraId="651ED75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22</w:t>
            </w:r>
          </w:p>
        </w:tc>
        <w:tc>
          <w:tcPr>
            <w:tcW w:w="1133" w:type="dxa"/>
            <w:shd w:val="clear" w:color="auto" w:fill="auto"/>
            <w:noWrap/>
            <w:hideMark/>
          </w:tcPr>
          <w:p w14:paraId="6B378BE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4CFE12D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59</w:t>
            </w:r>
          </w:p>
        </w:tc>
        <w:tc>
          <w:tcPr>
            <w:tcW w:w="1133" w:type="dxa"/>
            <w:shd w:val="clear" w:color="auto" w:fill="auto"/>
            <w:noWrap/>
            <w:hideMark/>
          </w:tcPr>
          <w:p w14:paraId="4A250BA2"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49</w:t>
            </w:r>
          </w:p>
        </w:tc>
        <w:tc>
          <w:tcPr>
            <w:tcW w:w="1133" w:type="dxa"/>
            <w:shd w:val="clear" w:color="auto" w:fill="auto"/>
            <w:noWrap/>
            <w:hideMark/>
          </w:tcPr>
          <w:p w14:paraId="0A3C1DA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46</w:t>
            </w:r>
          </w:p>
        </w:tc>
      </w:tr>
      <w:tr w:rsidR="00DC541D" w14:paraId="22775545"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3B10F0C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13F2AC9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133" w:type="dxa"/>
            <w:shd w:val="clear" w:color="auto" w:fill="auto"/>
            <w:noWrap/>
            <w:hideMark/>
          </w:tcPr>
          <w:p w14:paraId="5FD3AE3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24</w:t>
            </w:r>
          </w:p>
        </w:tc>
        <w:tc>
          <w:tcPr>
            <w:tcW w:w="1133" w:type="dxa"/>
            <w:shd w:val="clear" w:color="auto" w:fill="auto"/>
            <w:noWrap/>
            <w:hideMark/>
          </w:tcPr>
          <w:p w14:paraId="56D0396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133" w:type="dxa"/>
            <w:shd w:val="clear" w:color="auto" w:fill="auto"/>
            <w:noWrap/>
            <w:hideMark/>
          </w:tcPr>
          <w:p w14:paraId="0D36AC5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52</w:t>
            </w:r>
          </w:p>
        </w:tc>
        <w:tc>
          <w:tcPr>
            <w:tcW w:w="1133" w:type="dxa"/>
            <w:shd w:val="clear" w:color="auto" w:fill="auto"/>
            <w:noWrap/>
            <w:hideMark/>
          </w:tcPr>
          <w:p w14:paraId="057F290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32</w:t>
            </w:r>
          </w:p>
        </w:tc>
        <w:tc>
          <w:tcPr>
            <w:tcW w:w="1133" w:type="dxa"/>
            <w:shd w:val="clear" w:color="auto" w:fill="auto"/>
            <w:noWrap/>
            <w:hideMark/>
          </w:tcPr>
          <w:p w14:paraId="7A54CE3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30</w:t>
            </w:r>
          </w:p>
        </w:tc>
      </w:tr>
      <w:tr w:rsidR="005816CD" w14:paraId="76FF6D68"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70EEA5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7241073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133" w:type="dxa"/>
            <w:shd w:val="clear" w:color="auto" w:fill="auto"/>
            <w:noWrap/>
            <w:hideMark/>
          </w:tcPr>
          <w:p w14:paraId="43BF7DC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24486A2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091CF22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64</w:t>
            </w:r>
          </w:p>
        </w:tc>
        <w:tc>
          <w:tcPr>
            <w:tcW w:w="1133" w:type="dxa"/>
            <w:shd w:val="clear" w:color="auto" w:fill="auto"/>
            <w:noWrap/>
            <w:hideMark/>
          </w:tcPr>
          <w:p w14:paraId="3682541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40E0468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64</w:t>
            </w:r>
          </w:p>
        </w:tc>
      </w:tr>
      <w:tr w:rsidR="00DC541D" w14:paraId="40F047A2"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401514FC"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03D2D819"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133" w:type="dxa"/>
            <w:shd w:val="clear" w:color="auto" w:fill="auto"/>
            <w:noWrap/>
            <w:hideMark/>
          </w:tcPr>
          <w:p w14:paraId="4AB8F4A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348F502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7903216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0824D3C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c>
          <w:tcPr>
            <w:tcW w:w="1133" w:type="dxa"/>
            <w:shd w:val="clear" w:color="auto" w:fill="auto"/>
            <w:noWrap/>
            <w:hideMark/>
          </w:tcPr>
          <w:p w14:paraId="07DCE95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67</w:t>
            </w:r>
          </w:p>
        </w:tc>
      </w:tr>
      <w:tr w:rsidR="005816CD" w14:paraId="1274B6E4"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CF8DEF4"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528E0CF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133" w:type="dxa"/>
            <w:shd w:val="clear" w:color="auto" w:fill="auto"/>
            <w:noWrap/>
            <w:hideMark/>
          </w:tcPr>
          <w:p w14:paraId="2E93F66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7D61DB9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2E31EC7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67</w:t>
            </w:r>
          </w:p>
        </w:tc>
        <w:tc>
          <w:tcPr>
            <w:tcW w:w="1133" w:type="dxa"/>
            <w:shd w:val="clear" w:color="auto" w:fill="auto"/>
            <w:noWrap/>
            <w:hideMark/>
          </w:tcPr>
          <w:p w14:paraId="4C49B5D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c>
          <w:tcPr>
            <w:tcW w:w="1133" w:type="dxa"/>
            <w:shd w:val="clear" w:color="auto" w:fill="auto"/>
            <w:noWrap/>
            <w:hideMark/>
          </w:tcPr>
          <w:p w14:paraId="42D2222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68</w:t>
            </w:r>
          </w:p>
        </w:tc>
      </w:tr>
      <w:tr w:rsidR="00DC541D" w14:paraId="1D8B978E"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22990D51"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64A090A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133" w:type="dxa"/>
            <w:shd w:val="clear" w:color="auto" w:fill="auto"/>
            <w:noWrap/>
            <w:hideMark/>
          </w:tcPr>
          <w:p w14:paraId="7EDA214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113C3728"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4E1CA53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64</w:t>
            </w:r>
          </w:p>
        </w:tc>
        <w:tc>
          <w:tcPr>
            <w:tcW w:w="1133" w:type="dxa"/>
            <w:shd w:val="clear" w:color="auto" w:fill="auto"/>
            <w:noWrap/>
            <w:hideMark/>
          </w:tcPr>
          <w:p w14:paraId="3BFB04D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27F5D8D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64</w:t>
            </w:r>
          </w:p>
        </w:tc>
      </w:tr>
      <w:tr w:rsidR="005816CD" w14:paraId="03A8A904"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0F41DC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6CC6699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133" w:type="dxa"/>
            <w:shd w:val="clear" w:color="auto" w:fill="auto"/>
            <w:noWrap/>
            <w:hideMark/>
          </w:tcPr>
          <w:p w14:paraId="12CD7D6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24</w:t>
            </w:r>
          </w:p>
        </w:tc>
        <w:tc>
          <w:tcPr>
            <w:tcW w:w="1133" w:type="dxa"/>
            <w:shd w:val="clear" w:color="auto" w:fill="auto"/>
            <w:noWrap/>
            <w:hideMark/>
          </w:tcPr>
          <w:p w14:paraId="704FBCA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133" w:type="dxa"/>
            <w:shd w:val="clear" w:color="auto" w:fill="auto"/>
            <w:noWrap/>
            <w:hideMark/>
          </w:tcPr>
          <w:p w14:paraId="3E04C79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52</w:t>
            </w:r>
          </w:p>
        </w:tc>
        <w:tc>
          <w:tcPr>
            <w:tcW w:w="1133" w:type="dxa"/>
            <w:shd w:val="clear" w:color="auto" w:fill="auto"/>
            <w:noWrap/>
            <w:hideMark/>
          </w:tcPr>
          <w:p w14:paraId="5869571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32</w:t>
            </w:r>
          </w:p>
        </w:tc>
        <w:tc>
          <w:tcPr>
            <w:tcW w:w="1133" w:type="dxa"/>
            <w:shd w:val="clear" w:color="auto" w:fill="auto"/>
            <w:noWrap/>
            <w:hideMark/>
          </w:tcPr>
          <w:p w14:paraId="5C3F4E3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30</w:t>
            </w:r>
          </w:p>
        </w:tc>
      </w:tr>
    </w:tbl>
    <w:p w14:paraId="7868BCCA" w14:textId="77777777" w:rsidR="005816CD" w:rsidRPr="005B3CA2" w:rsidRDefault="005816CD" w:rsidP="00B24B2C">
      <w:pPr>
        <w:pStyle w:val="NormalWeb"/>
        <w:rPr>
          <w:color w:val="000000"/>
          <w:lang w:val="en-US"/>
        </w:rPr>
      </w:pPr>
    </w:p>
    <w:p w14:paraId="651F9661" w14:textId="77777777" w:rsidR="00B24B2C" w:rsidRPr="00C0140C" w:rsidRDefault="00B24B2C" w:rsidP="00243E49">
      <w:pPr>
        <w:pStyle w:val="Heading4"/>
        <w:rPr>
          <w:rFonts w:ascii="Arial" w:eastAsia="Times New Roman" w:hAnsi="Arial" w:cs="Arial"/>
          <w:iCs w:val="0"/>
          <w:color w:val="auto"/>
        </w:rPr>
      </w:pPr>
      <w:r w:rsidRPr="00C0140C">
        <w:rPr>
          <w:rFonts w:ascii="Arial" w:eastAsia="Times New Roman" w:hAnsi="Arial" w:cs="Arial"/>
          <w:iCs w:val="0"/>
          <w:color w:val="auto"/>
        </w:rPr>
        <w:t>3.</w:t>
      </w:r>
      <w:r w:rsidR="00B35C80" w:rsidRPr="00C0140C">
        <w:rPr>
          <w:rFonts w:ascii="Arial" w:eastAsia="Times New Roman" w:hAnsi="Arial" w:cs="Arial"/>
          <w:iCs w:val="0"/>
          <w:color w:val="auto"/>
        </w:rPr>
        <w:t>1.</w:t>
      </w:r>
      <w:r w:rsidRPr="00C0140C">
        <w:rPr>
          <w:rFonts w:ascii="Arial" w:eastAsia="Times New Roman" w:hAnsi="Arial" w:cs="Arial"/>
          <w:iCs w:val="0"/>
          <w:color w:val="auto"/>
        </w:rPr>
        <w:t>1.2 Prediction Error (RMSEP and MAE)</w:t>
      </w:r>
    </w:p>
    <w:p w14:paraId="07D8F0F7" w14:textId="77777777" w:rsidR="00737583" w:rsidRPr="004F4A4E" w:rsidRDefault="00737583"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analysis of RMSEP values reveals a general similarity between the NIRS and MIRS spectra. The average RMSEP value for NIRS is 0.1986, while for MIRS, it is slightly lower at 0.1894. In contrast, the standard deviations for both spectra (0.0345 for NIRS and 0.0294 for MIRS) are relatively low, indicating that the prediction errors are moderate and fairly homogeneous within each spectrum. These results suggest that both spectra are interchangeable in terms of prediction error, and no statistically significant difference has been identified for this measure, which is reflected in the relatively close distribution of RMSEP values for both spectra.</w:t>
      </w:r>
    </w:p>
    <w:p w14:paraId="28A0F286" w14:textId="77777777" w:rsidR="00B24B2C" w:rsidRPr="004F4A4E" w:rsidRDefault="00737583"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MAE, which measures the mean absolute prediction error, follows a similar trend. The averages for NIRS and MIRS are 0.1318 and 0.1441, respectively, revealing a slight tendency in favor of NIRS, although this difference is not practically significant. The standard deviations (0.0294 for NIRS and 0.0279 for MIRS) suggest that the variation in absolute errors is relatively low, implying that while NIRS has a slight edge in prediction accuracy, both spectra offer similar performance</w:t>
      </w:r>
      <w:r w:rsidR="00B24B2C" w:rsidRPr="004F4A4E">
        <w:rPr>
          <w:rFonts w:ascii="Arial" w:hAnsi="Arial" w:cs="Arial"/>
          <w:sz w:val="20"/>
          <w:szCs w:val="20"/>
          <w:lang w:val="en-US" w:eastAsia="en-US"/>
        </w:rPr>
        <w:t>.</w:t>
      </w:r>
    </w:p>
    <w:p w14:paraId="4184BA66" w14:textId="77777777" w:rsidR="00B24B2C" w:rsidRPr="005D4FCC" w:rsidRDefault="00B24B2C" w:rsidP="00B24B2C">
      <w:pPr>
        <w:pStyle w:val="Heading3"/>
        <w:rPr>
          <w:rFonts w:ascii="Arial" w:eastAsia="Times New Roman" w:hAnsi="Arial" w:cs="Arial"/>
          <w:b/>
          <w:color w:val="auto"/>
          <w:sz w:val="20"/>
          <w:szCs w:val="20"/>
          <w:u w:val="single"/>
        </w:rPr>
      </w:pPr>
      <w:r w:rsidRPr="00C0140C">
        <w:rPr>
          <w:rFonts w:ascii="Arial" w:eastAsia="Times New Roman" w:hAnsi="Arial" w:cs="Arial"/>
          <w:i/>
          <w:color w:val="auto"/>
          <w:sz w:val="20"/>
          <w:szCs w:val="20"/>
        </w:rPr>
        <w:t>3.</w:t>
      </w:r>
      <w:r w:rsidR="00B35C80" w:rsidRPr="00C0140C">
        <w:rPr>
          <w:rFonts w:ascii="Arial" w:eastAsia="Times New Roman" w:hAnsi="Arial" w:cs="Arial"/>
          <w:i/>
          <w:color w:val="auto"/>
          <w:sz w:val="20"/>
          <w:szCs w:val="20"/>
        </w:rPr>
        <w:t>1.</w:t>
      </w:r>
      <w:r w:rsidRPr="00C0140C">
        <w:rPr>
          <w:rFonts w:ascii="Arial" w:eastAsia="Times New Roman" w:hAnsi="Arial" w:cs="Arial"/>
          <w:i/>
          <w:color w:val="auto"/>
          <w:sz w:val="20"/>
          <w:szCs w:val="20"/>
        </w:rPr>
        <w:t xml:space="preserve">1.3 </w:t>
      </w:r>
      <w:r w:rsidR="00FB05E8" w:rsidRPr="00C0140C">
        <w:rPr>
          <w:rFonts w:ascii="Arial" w:eastAsia="Times New Roman" w:hAnsi="Arial" w:cs="Arial"/>
          <w:i/>
          <w:color w:val="auto"/>
          <w:sz w:val="20"/>
          <w:szCs w:val="20"/>
        </w:rPr>
        <w:t>Explanatory Power of the Model</w:t>
      </w:r>
      <w:r w:rsidRPr="00C0140C">
        <w:rPr>
          <w:rFonts w:ascii="Arial" w:eastAsia="Times New Roman" w:hAnsi="Arial" w:cs="Arial"/>
          <w:i/>
          <w:color w:val="auto"/>
          <w:sz w:val="20"/>
          <w:szCs w:val="20"/>
        </w:rPr>
        <w:t xml:space="preserve"> (R², RPD, and RPIQ)</w:t>
      </w:r>
    </w:p>
    <w:p w14:paraId="1BEFABFB" w14:textId="77777777" w:rsidR="004D07B6" w:rsidRDefault="00FB05E8" w:rsidP="004F4A4E">
      <w:pPr>
        <w:pStyle w:val="NormalWeb"/>
        <w:jc w:val="both"/>
        <w:rPr>
          <w:noProof/>
          <w:lang w:val="en-US"/>
        </w:rPr>
      </w:pPr>
      <w:r w:rsidRPr="00FB05E8">
        <w:rPr>
          <w:color w:val="000000"/>
          <w:lang w:val="en-US"/>
        </w:rPr>
        <w:t>R</w:t>
      </w:r>
      <w:r w:rsidRPr="004F4A4E">
        <w:rPr>
          <w:rFonts w:ascii="Arial" w:hAnsi="Arial" w:cs="Arial"/>
          <w:sz w:val="20"/>
          <w:szCs w:val="20"/>
          <w:lang w:val="en-US" w:eastAsia="en-US"/>
        </w:rPr>
        <w:t xml:space="preserve">², the primary indicator of the model's explanatory power, shows that NIRS holds a slight advantage over MIRS. The average R² for NIRS is 0.6537, while for MIRS it is 0.6275. </w:t>
      </w:r>
      <w:r w:rsidRPr="004F4A4E">
        <w:rPr>
          <w:rFonts w:ascii="Arial" w:hAnsi="Arial" w:cs="Arial"/>
          <w:sz w:val="20"/>
          <w:szCs w:val="20"/>
          <w:lang w:val="en-US" w:eastAsia="en-US"/>
        </w:rPr>
        <w:lastRenderedPageBreak/>
        <w:t>Although NIRS seems to explain slightly more of the variance in the data, the difference between the two spectra is minimal, suggesting that overall, both spectra can be considered to have comparable explanatory capacity. The low standard deviations (0.136 for NIRS and 0.137 for MIRS) further reinforce this observation, indicating that the models are relatively stable</w:t>
      </w:r>
      <w:r w:rsidR="00F45EC0">
        <w:rPr>
          <w:rFonts w:ascii="Arial" w:hAnsi="Arial" w:cs="Arial"/>
          <w:sz w:val="20"/>
          <w:szCs w:val="20"/>
          <w:lang w:val="en-US" w:eastAsia="en-US"/>
        </w:rPr>
        <w:t>.</w:t>
      </w:r>
    </w:p>
    <w:p w14:paraId="54A57641" w14:textId="77777777" w:rsidR="00FB05E8" w:rsidRPr="004F4A4E" w:rsidRDefault="00FB05E8"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RPD, which measures the relative performance of the model in relation to the data variability, is higher for NIRS (1.7731) than for MIRS (1.6503), although this difference is marginal. This means that NIRS exhibits better relative performance in terms of accuracy when compared to the variability of the data. However, the difference between the two spectra does not have a significant impact on the practical application of the models.</w:t>
      </w:r>
    </w:p>
    <w:p w14:paraId="6AB66CAF" w14:textId="77777777" w:rsidR="00FB05E8" w:rsidRPr="004F4A4E" w:rsidRDefault="00FB05E8"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RPIQ follows a similar trend to that of the RPD. For NIRS, the RPIQ is 1.7462, while for MIRS it is 1.6253. This slight difference suggests that both spectra show comparable performance in terms of prediction relative to the interquartile range of the data.</w:t>
      </w:r>
    </w:p>
    <w:p w14:paraId="737463F1" w14:textId="77777777" w:rsidR="008A2789" w:rsidRPr="00191662" w:rsidRDefault="008A2789" w:rsidP="00191662">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.2 Effect of Spectral Type and Preprocessing on Model Performance</w:t>
      </w:r>
    </w:p>
    <w:p w14:paraId="532B03BE"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ANOVA tests were conducted to analyze the effect of the factors Spectral Type (NIRS vs MIRS) and Preprocessing (with vs without preprocessing), as well as their interaction, on performance indicators.</w:t>
      </w:r>
    </w:p>
    <w:p w14:paraId="343B7F25"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.2.1 Effect of Spectral Type (NIRS vs MIRS)</w:t>
      </w:r>
    </w:p>
    <w:p w14:paraId="6989703A"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results of the ANOVA tests reveal no statistically significant difference between NIRS and MIRS for the indicators RMSEP, MAE, R², RPD, and RPIQ (p &gt; 0.05). This suggests that, although NIRS shows slight improvements for certain indicators (R², RPD, RPIQ), these differences are not substantial enough to conclude a marked superiority of one spectrum over the other. In other words, the choice between NIRS and MIRS can be made based on other factors such as the ease of spectrum acquisition or associated costs.</w:t>
      </w:r>
    </w:p>
    <w:p w14:paraId="58A34D57"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.2.2 Effect of Preprocessing</w:t>
      </w:r>
    </w:p>
    <w:p w14:paraId="0BDAEE81"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w:t>
      </w:r>
      <w:proofErr w:type="spellStart"/>
      <w:r w:rsidRPr="004F4A4E">
        <w:rPr>
          <w:rFonts w:ascii="Arial" w:hAnsi="Arial" w:cs="Arial"/>
          <w:sz w:val="20"/>
          <w:szCs w:val="20"/>
          <w:lang w:val="en-US" w:eastAsia="en-US"/>
        </w:rPr>
        <w:t>Savitzky</w:t>
      </w:r>
      <w:proofErr w:type="spellEnd"/>
      <w:r w:rsidRPr="004F4A4E">
        <w:rPr>
          <w:rFonts w:ascii="Arial" w:hAnsi="Arial" w:cs="Arial"/>
          <w:sz w:val="20"/>
          <w:szCs w:val="20"/>
          <w:lang w:val="en-US" w:eastAsia="en-US"/>
        </w:rPr>
        <w:t>-Golay (SG) preprocessing method showed positive effects on model performance, particularly for NIRS. The SG preprocessing improved the performance of SVM and Random Forest models for NIRS by reducing RMSEP and MAE values, suggesting an enhancement in the quality of the spectral data. In contrast, for MIRS, no preprocessing yielded a significant improvement, which could be due to the nature of the data or the specific characteristics of the MIRS spectrum.</w:t>
      </w:r>
    </w:p>
    <w:p w14:paraId="68FC93EB"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.2.3 Interaction Between Spectral Type and Preprocessing</w:t>
      </w:r>
    </w:p>
    <w:p w14:paraId="3CC37C08"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interaction between spectral type and preprocessing showed no significant effect on performance indicators (p &gt; 0.05). This suggests that the effect of preprocessing is independent of the spectral type used. Thus, the impact of the </w:t>
      </w:r>
      <w:proofErr w:type="spellStart"/>
      <w:r w:rsidRPr="004F4A4E">
        <w:rPr>
          <w:rFonts w:ascii="Arial" w:hAnsi="Arial" w:cs="Arial"/>
          <w:sz w:val="20"/>
          <w:szCs w:val="20"/>
          <w:lang w:val="en-US" w:eastAsia="en-US"/>
        </w:rPr>
        <w:t>Savitzky</w:t>
      </w:r>
      <w:proofErr w:type="spellEnd"/>
      <w:r w:rsidRPr="004F4A4E">
        <w:rPr>
          <w:rFonts w:ascii="Arial" w:hAnsi="Arial" w:cs="Arial"/>
          <w:sz w:val="20"/>
          <w:szCs w:val="20"/>
          <w:lang w:val="en-US" w:eastAsia="en-US"/>
        </w:rPr>
        <w:t>-Golay preprocessing on model performance is not modulated by the spectral type (NIRS or MIRS), but rather depends solely on the effectiveness of the preprocessing in handling the data.</w:t>
      </w:r>
    </w:p>
    <w:p w14:paraId="327A1AB2" w14:textId="77777777" w:rsidR="008A2789" w:rsidRPr="00191662" w:rsidRDefault="008A2789" w:rsidP="00191662">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lastRenderedPageBreak/>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.3 Comparison of Machine Learning Models</w:t>
      </w:r>
    </w:p>
    <w:p w14:paraId="115EE5B3" w14:textId="77777777" w:rsidR="008A2789" w:rsidRDefault="008A2789" w:rsidP="00104084">
      <w:pPr>
        <w:pStyle w:val="NormalWeb"/>
        <w:jc w:val="both"/>
        <w:rPr>
          <w:rFonts w:ascii="Arial" w:hAnsi="Arial" w:cs="Arial"/>
          <w:sz w:val="20"/>
          <w:szCs w:val="20"/>
          <w:lang w:val="en-US" w:eastAsia="en-US"/>
        </w:rPr>
      </w:pPr>
      <w:r w:rsidRPr="00104084">
        <w:rPr>
          <w:rFonts w:ascii="Arial" w:hAnsi="Arial" w:cs="Arial"/>
          <w:sz w:val="20"/>
          <w:szCs w:val="20"/>
          <w:lang w:val="en-US" w:eastAsia="en-US"/>
        </w:rPr>
        <w:t>The performance of different machine learning models was compared based on the RMSEP, MAE, R², RPD, and RPIQ indicators. The best-performing models were identified for each spectrum</w:t>
      </w:r>
      <w:r w:rsidR="00BD163C">
        <w:rPr>
          <w:rFonts w:ascii="Arial" w:hAnsi="Arial" w:cs="Arial"/>
          <w:sz w:val="20"/>
          <w:szCs w:val="20"/>
          <w:lang w:val="en-US" w:eastAsia="en-US"/>
        </w:rPr>
        <w:t xml:space="preserve"> </w:t>
      </w:r>
      <w:r w:rsidR="00BD163C" w:rsidRPr="00104084">
        <w:rPr>
          <w:rFonts w:ascii="Arial" w:hAnsi="Arial" w:cs="Arial"/>
          <w:sz w:val="20"/>
          <w:szCs w:val="20"/>
          <w:lang w:val="en-US" w:eastAsia="en-US"/>
        </w:rPr>
        <w:t>(Fig</w:t>
      </w:r>
      <w:r w:rsidR="00BD163C">
        <w:rPr>
          <w:rFonts w:ascii="Arial" w:hAnsi="Arial" w:cs="Arial"/>
          <w:sz w:val="20"/>
          <w:szCs w:val="20"/>
          <w:lang w:val="en-US" w:eastAsia="en-US"/>
        </w:rPr>
        <w:t>.</w:t>
      </w:r>
      <w:r w:rsidR="00BD163C" w:rsidRPr="00104084">
        <w:rPr>
          <w:rFonts w:ascii="Arial" w:hAnsi="Arial" w:cs="Arial"/>
          <w:sz w:val="20"/>
          <w:szCs w:val="20"/>
          <w:lang w:val="en-US" w:eastAsia="en-US"/>
        </w:rPr>
        <w:t>2)</w:t>
      </w:r>
      <w:r w:rsidRPr="00104084">
        <w:rPr>
          <w:rFonts w:ascii="Arial" w:hAnsi="Arial" w:cs="Arial"/>
          <w:sz w:val="20"/>
          <w:szCs w:val="20"/>
          <w:lang w:val="en-US" w:eastAsia="en-US"/>
        </w:rPr>
        <w:t xml:space="preserve">, and a classification of the models was made according to the criteria of Chang et al. (2001) </w:t>
      </w:r>
    </w:p>
    <w:p w14:paraId="009EBF00" w14:textId="77777777" w:rsidR="004F678B" w:rsidRDefault="00A64380" w:rsidP="00104084">
      <w:pPr>
        <w:pStyle w:val="NormalWeb"/>
        <w:jc w:val="both"/>
        <w:rPr>
          <w:rFonts w:ascii="Arial" w:hAnsi="Arial" w:cs="Arial"/>
          <w:sz w:val="20"/>
          <w:szCs w:val="20"/>
          <w:lang w:val="en-US" w:eastAsia="en-US"/>
        </w:rPr>
      </w:pPr>
      <w:r w:rsidRPr="007B7AAF">
        <w:rPr>
          <w:noProof/>
        </w:rPr>
        <w:drawing>
          <wp:inline distT="0" distB="0" distL="0" distR="0" wp14:anchorId="3E825A02" wp14:editId="29C3E1A2">
            <wp:extent cx="5210460" cy="2495862"/>
            <wp:effectExtent l="0" t="0" r="0" b="6350"/>
            <wp:docPr id="2090344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2430" name=""/>
                    <pic:cNvPicPr/>
                  </pic:nvPicPr>
                  <pic:blipFill rotWithShape="1">
                    <a:blip r:embed="rId19"/>
                    <a:srcRect t="7784" b="5793"/>
                    <a:stretch/>
                  </pic:blipFill>
                  <pic:spPr bwMode="auto">
                    <a:xfrm>
                      <a:off x="0" y="0"/>
                      <a:ext cx="5212080" cy="2496638"/>
                    </a:xfrm>
                    <a:prstGeom prst="rect">
                      <a:avLst/>
                    </a:prstGeom>
                    <a:ln>
                      <a:noFill/>
                    </a:ln>
                    <a:extLst>
                      <a:ext uri="{53640926-AAD7-44D8-BBD7-CCE9431645EC}">
                        <a14:shadowObscured xmlns:a14="http://schemas.microsoft.com/office/drawing/2010/main"/>
                      </a:ext>
                    </a:extLst>
                  </pic:spPr>
                </pic:pic>
              </a:graphicData>
            </a:graphic>
          </wp:inline>
        </w:drawing>
      </w:r>
    </w:p>
    <w:p w14:paraId="6512149A" w14:textId="77777777" w:rsidR="003658F9" w:rsidRPr="00F45EC0" w:rsidRDefault="003658F9" w:rsidP="00104084">
      <w:pPr>
        <w:pStyle w:val="NormalWeb"/>
        <w:jc w:val="both"/>
        <w:rPr>
          <w:rFonts w:ascii="Arial" w:hAnsi="Arial" w:cs="Arial"/>
          <w:b/>
          <w:bCs/>
          <w:sz w:val="20"/>
          <w:szCs w:val="22"/>
          <w:lang w:val="en-US" w:eastAsia="en-US"/>
        </w:rPr>
      </w:pPr>
      <w:r w:rsidRPr="00F45EC0">
        <w:rPr>
          <w:rFonts w:ascii="Arial" w:hAnsi="Arial" w:cs="Arial"/>
          <w:b/>
          <w:bCs/>
          <w:sz w:val="20"/>
          <w:szCs w:val="22"/>
          <w:lang w:val="en-US" w:eastAsia="en-US"/>
        </w:rPr>
        <w:t>Fig.2.</w:t>
      </w:r>
      <w:r w:rsidR="00C63877">
        <w:rPr>
          <w:rFonts w:ascii="Arial" w:hAnsi="Arial" w:cs="Arial"/>
          <w:b/>
          <w:bCs/>
          <w:sz w:val="20"/>
          <w:szCs w:val="22"/>
          <w:lang w:val="en-US" w:eastAsia="en-US"/>
        </w:rPr>
        <w:t xml:space="preserve"> </w:t>
      </w:r>
      <w:r w:rsidR="00673558" w:rsidRPr="00673558">
        <w:rPr>
          <w:rFonts w:ascii="Arial" w:hAnsi="Arial" w:cs="Arial"/>
          <w:b/>
          <w:bCs/>
          <w:sz w:val="20"/>
          <w:szCs w:val="22"/>
          <w:lang w:val="en-US" w:eastAsia="en-US"/>
        </w:rPr>
        <w:t>compares NIRS and MIRS based on the RMSEP, MAE, R², RPD, and RPIQ indicators</w:t>
      </w:r>
      <w:r w:rsidR="00673558" w:rsidRPr="00673558">
        <w:rPr>
          <w:rFonts w:ascii="-webkit-standard" w:hAnsi="-webkit-standard"/>
          <w:color w:val="000000"/>
          <w:sz w:val="27"/>
          <w:szCs w:val="27"/>
          <w:lang w:val="en-US"/>
        </w:rPr>
        <w:t>.</w:t>
      </w:r>
    </w:p>
    <w:p w14:paraId="01AD3B3B" w14:textId="77777777" w:rsidR="00104084" w:rsidRPr="00A70D0A" w:rsidRDefault="00246395" w:rsidP="00246395">
      <w:pPr>
        <w:spacing w:before="100" w:beforeAutospacing="1" w:after="100" w:afterAutospacing="1"/>
        <w:rPr>
          <w:rFonts w:ascii="Arial" w:hAnsi="Arial" w:cs="Arial"/>
          <w:b/>
          <w:u w:val="single"/>
        </w:rPr>
      </w:pPr>
      <w:r w:rsidRPr="00246395">
        <w:rPr>
          <w:rFonts w:ascii="Arial" w:hAnsi="Arial" w:cs="Arial"/>
          <w:b/>
          <w:u w:val="single"/>
        </w:rPr>
        <w:t>3</w:t>
      </w:r>
      <w:r w:rsidR="00B35C80">
        <w:rPr>
          <w:rFonts w:ascii="Arial" w:hAnsi="Arial" w:cs="Arial"/>
          <w:b/>
          <w:u w:val="single"/>
        </w:rPr>
        <w:t>.1</w:t>
      </w:r>
      <w:r w:rsidRPr="00246395">
        <w:rPr>
          <w:rFonts w:ascii="Arial" w:hAnsi="Arial" w:cs="Arial"/>
          <w:b/>
          <w:u w:val="single"/>
        </w:rPr>
        <w:t>.3.1 Best-Performing Models for NIRS</w:t>
      </w:r>
    </w:p>
    <w:p w14:paraId="6DC5F8DC" w14:textId="77777777" w:rsidR="00246395" w:rsidRPr="00246395" w:rsidRDefault="00246395" w:rsidP="00104084">
      <w:pPr>
        <w:pStyle w:val="NormalWeb"/>
        <w:jc w:val="both"/>
        <w:rPr>
          <w:rFonts w:ascii="Arial" w:hAnsi="Arial" w:cs="Arial"/>
          <w:sz w:val="20"/>
          <w:szCs w:val="20"/>
          <w:lang w:val="en-US" w:eastAsia="en-US"/>
        </w:rPr>
      </w:pPr>
      <w:r w:rsidRPr="00246395">
        <w:rPr>
          <w:rFonts w:ascii="Arial" w:hAnsi="Arial" w:cs="Arial"/>
          <w:sz w:val="20"/>
          <w:szCs w:val="20"/>
          <w:lang w:val="en-US" w:eastAsia="en-US"/>
        </w:rPr>
        <w:t xml:space="preserve">The SVM and </w:t>
      </w:r>
      <w:proofErr w:type="spellStart"/>
      <w:r w:rsidRPr="00246395">
        <w:rPr>
          <w:rFonts w:ascii="Arial" w:hAnsi="Arial" w:cs="Arial"/>
          <w:sz w:val="20"/>
          <w:szCs w:val="20"/>
          <w:lang w:val="en-US" w:eastAsia="en-US"/>
        </w:rPr>
        <w:t>RandomForest</w:t>
      </w:r>
      <w:proofErr w:type="spellEnd"/>
      <w:r w:rsidRPr="00246395">
        <w:rPr>
          <w:rFonts w:ascii="Arial" w:hAnsi="Arial" w:cs="Arial"/>
          <w:sz w:val="20"/>
          <w:szCs w:val="20"/>
          <w:lang w:val="en-US" w:eastAsia="en-US"/>
        </w:rPr>
        <w:t xml:space="preserve"> models demonstrated the best performance for NIRS, achieving R² values as high as 0.83 with </w:t>
      </w:r>
      <w:proofErr w:type="spellStart"/>
      <w:r w:rsidRPr="00246395">
        <w:rPr>
          <w:rFonts w:ascii="Arial" w:hAnsi="Arial" w:cs="Arial"/>
          <w:sz w:val="20"/>
          <w:szCs w:val="20"/>
          <w:lang w:val="en-US" w:eastAsia="en-US"/>
        </w:rPr>
        <w:t>Savitzky</w:t>
      </w:r>
      <w:proofErr w:type="spellEnd"/>
      <w:r w:rsidRPr="00246395">
        <w:rPr>
          <w:rFonts w:ascii="Arial" w:hAnsi="Arial" w:cs="Arial"/>
          <w:sz w:val="20"/>
          <w:szCs w:val="20"/>
          <w:lang w:val="en-US" w:eastAsia="en-US"/>
        </w:rPr>
        <w:t xml:space="preserve">-Golay preprocessing. These models also exhibited RPD values greater than 2.0, indicating very strong predictive ability. In contrast, </w:t>
      </w:r>
      <w:proofErr w:type="spellStart"/>
      <w:r w:rsidRPr="00246395">
        <w:rPr>
          <w:rFonts w:ascii="Arial" w:hAnsi="Arial" w:cs="Arial"/>
          <w:sz w:val="20"/>
          <w:szCs w:val="20"/>
          <w:lang w:val="en-US" w:eastAsia="en-US"/>
        </w:rPr>
        <w:t>XGBoost</w:t>
      </w:r>
      <w:proofErr w:type="spellEnd"/>
      <w:r w:rsidRPr="00246395">
        <w:rPr>
          <w:rFonts w:ascii="Arial" w:hAnsi="Arial" w:cs="Arial"/>
          <w:sz w:val="20"/>
          <w:szCs w:val="20"/>
          <w:lang w:val="en-US" w:eastAsia="en-US"/>
        </w:rPr>
        <w:t xml:space="preserve"> produced less optimal results, with R² values not exceeding 0.74, reflecting the lower precision of this model compared to the others.</w:t>
      </w:r>
    </w:p>
    <w:p w14:paraId="5EE8F321" w14:textId="77777777" w:rsidR="004F678B" w:rsidRPr="00A70D0A" w:rsidRDefault="00246395" w:rsidP="00246395">
      <w:pPr>
        <w:spacing w:before="100" w:beforeAutospacing="1" w:after="100" w:afterAutospacing="1"/>
        <w:rPr>
          <w:rFonts w:ascii="Arial" w:hAnsi="Arial" w:cs="Arial"/>
          <w:b/>
          <w:u w:val="single"/>
        </w:rPr>
      </w:pPr>
      <w:r w:rsidRPr="00246395">
        <w:rPr>
          <w:rFonts w:ascii="Arial" w:hAnsi="Arial" w:cs="Arial"/>
          <w:b/>
          <w:u w:val="single"/>
        </w:rPr>
        <w:t>3</w:t>
      </w:r>
      <w:r w:rsidR="00B35C80">
        <w:rPr>
          <w:rFonts w:ascii="Arial" w:hAnsi="Arial" w:cs="Arial"/>
          <w:b/>
          <w:u w:val="single"/>
        </w:rPr>
        <w:t>.1</w:t>
      </w:r>
      <w:r w:rsidRPr="00246395">
        <w:rPr>
          <w:rFonts w:ascii="Arial" w:hAnsi="Arial" w:cs="Arial"/>
          <w:b/>
          <w:u w:val="single"/>
        </w:rPr>
        <w:t>.3.2 Best-Performing Models for MIRS</w:t>
      </w:r>
    </w:p>
    <w:p w14:paraId="29C4166D" w14:textId="77777777" w:rsidR="00246395" w:rsidRPr="00246395" w:rsidRDefault="00246395" w:rsidP="004F678B">
      <w:pPr>
        <w:spacing w:before="100" w:beforeAutospacing="1" w:after="100" w:afterAutospacing="1"/>
        <w:jc w:val="both"/>
        <w:rPr>
          <w:rFonts w:ascii="Arial" w:hAnsi="Arial" w:cs="Arial"/>
        </w:rPr>
      </w:pPr>
      <w:r w:rsidRPr="00246395">
        <w:rPr>
          <w:rFonts w:ascii="Times New Roman" w:hAnsi="Times New Roman"/>
          <w:color w:val="000000"/>
          <w:sz w:val="24"/>
          <w:szCs w:val="24"/>
          <w:lang w:eastAsia="fr-FR"/>
        </w:rPr>
        <w:br/>
      </w:r>
      <w:r w:rsidRPr="00246395">
        <w:rPr>
          <w:rFonts w:ascii="Arial" w:hAnsi="Arial" w:cs="Arial"/>
        </w:rPr>
        <w:t xml:space="preserve">For MIRS, the overall performance was lower compared to NIRS. The SG preprocessing slightly improved the performance of SVM and </w:t>
      </w:r>
      <w:proofErr w:type="spellStart"/>
      <w:r w:rsidRPr="00246395">
        <w:rPr>
          <w:rFonts w:ascii="Arial" w:hAnsi="Arial" w:cs="Arial"/>
        </w:rPr>
        <w:t>RandomForest</w:t>
      </w:r>
      <w:proofErr w:type="spellEnd"/>
      <w:r w:rsidRPr="00246395">
        <w:rPr>
          <w:rFonts w:ascii="Arial" w:hAnsi="Arial" w:cs="Arial"/>
        </w:rPr>
        <w:t xml:space="preserve"> models, but PLSR yielded weaker results, with R² values ranging from 0.50 to 0.59. The </w:t>
      </w:r>
      <w:proofErr w:type="spellStart"/>
      <w:r w:rsidRPr="00246395">
        <w:rPr>
          <w:rFonts w:ascii="Arial" w:hAnsi="Arial" w:cs="Arial"/>
        </w:rPr>
        <w:t>XGBoost</w:t>
      </w:r>
      <w:proofErr w:type="spellEnd"/>
      <w:r w:rsidRPr="00246395">
        <w:rPr>
          <w:rFonts w:ascii="Arial" w:hAnsi="Arial" w:cs="Arial"/>
        </w:rPr>
        <w:t xml:space="preserve"> model was particularly ineffective for MIRS, with R² values dropping as low as 0.52.</w:t>
      </w:r>
    </w:p>
    <w:p w14:paraId="629D1A7A" w14:textId="77777777" w:rsidR="004F678B" w:rsidRPr="00191662" w:rsidRDefault="00246395" w:rsidP="00191662">
      <w:pPr>
        <w:pStyle w:val="Heading3"/>
        <w:rPr>
          <w:rFonts w:ascii="Arial" w:eastAsia="Times New Roman" w:hAnsi="Arial" w:cs="Arial"/>
          <w:b/>
          <w:color w:val="auto"/>
          <w:sz w:val="20"/>
          <w:szCs w:val="20"/>
          <w:u w:val="single"/>
        </w:rPr>
      </w:pPr>
      <w:r w:rsidRPr="00246395">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246395">
        <w:rPr>
          <w:rFonts w:ascii="Arial" w:eastAsia="Times New Roman" w:hAnsi="Arial" w:cs="Arial"/>
          <w:b/>
          <w:color w:val="auto"/>
          <w:sz w:val="20"/>
          <w:szCs w:val="20"/>
          <w:u w:val="single"/>
        </w:rPr>
        <w:t>.4 Categorization of Models According to Chang et al. (2001)</w:t>
      </w:r>
    </w:p>
    <w:p w14:paraId="400DB414" w14:textId="77777777" w:rsidR="00246395" w:rsidRPr="004F678B" w:rsidRDefault="00246395" w:rsidP="004F678B">
      <w:pPr>
        <w:spacing w:before="100" w:beforeAutospacing="1" w:after="100" w:afterAutospacing="1"/>
        <w:jc w:val="both"/>
        <w:rPr>
          <w:rFonts w:ascii="Arial" w:hAnsi="Arial" w:cs="Arial"/>
        </w:rPr>
      </w:pPr>
      <w:r w:rsidRPr="00246395">
        <w:rPr>
          <w:rFonts w:ascii="Arial" w:hAnsi="Arial" w:cs="Arial"/>
        </w:rPr>
        <w:t xml:space="preserve">Using the criteria outlined by Chang et al. (2001), the models were classified into three categories based on their performance. The results showed that NIRS combined with SVM and </w:t>
      </w:r>
      <w:proofErr w:type="spellStart"/>
      <w:r w:rsidRPr="00246395">
        <w:rPr>
          <w:rFonts w:ascii="Arial" w:hAnsi="Arial" w:cs="Arial"/>
        </w:rPr>
        <w:t>RandomForest</w:t>
      </w:r>
      <w:proofErr w:type="spellEnd"/>
      <w:r w:rsidRPr="00246395">
        <w:rPr>
          <w:rFonts w:ascii="Arial" w:hAnsi="Arial" w:cs="Arial"/>
        </w:rPr>
        <w:t xml:space="preserve">, especially with </w:t>
      </w:r>
      <w:proofErr w:type="spellStart"/>
      <w:r w:rsidRPr="00246395">
        <w:rPr>
          <w:rFonts w:ascii="Arial" w:hAnsi="Arial" w:cs="Arial"/>
        </w:rPr>
        <w:t>Savitzky</w:t>
      </w:r>
      <w:proofErr w:type="spellEnd"/>
      <w:r w:rsidRPr="00246395">
        <w:rPr>
          <w:rFonts w:ascii="Arial" w:hAnsi="Arial" w:cs="Arial"/>
        </w:rPr>
        <w:t xml:space="preserve">-Golay preprocessing, provided the best performance. In contrast, MIRS showed overall lower performance, particularly with PLSR and </w:t>
      </w:r>
      <w:proofErr w:type="spellStart"/>
      <w:r w:rsidRPr="00246395">
        <w:rPr>
          <w:rFonts w:ascii="Arial" w:hAnsi="Arial" w:cs="Arial"/>
        </w:rPr>
        <w:t>XGBoost</w:t>
      </w:r>
      <w:proofErr w:type="spellEnd"/>
      <w:r w:rsidRPr="00246395">
        <w:rPr>
          <w:rFonts w:ascii="Arial" w:hAnsi="Arial" w:cs="Arial"/>
        </w:rPr>
        <w:t xml:space="preserve"> (Table </w:t>
      </w:r>
      <w:r w:rsidR="00A70D0A">
        <w:rPr>
          <w:rFonts w:ascii="Arial" w:hAnsi="Arial" w:cs="Arial"/>
        </w:rPr>
        <w:t>5</w:t>
      </w:r>
      <w:r w:rsidRPr="00246395">
        <w:rPr>
          <w:rFonts w:ascii="Arial" w:hAnsi="Arial" w:cs="Arial"/>
        </w:rPr>
        <w:t xml:space="preserve"> and Figure 3). However, no significant difference was detected between </w:t>
      </w:r>
      <w:r w:rsidRPr="00246395">
        <w:rPr>
          <w:rFonts w:ascii="Arial" w:hAnsi="Arial" w:cs="Arial"/>
        </w:rPr>
        <w:lastRenderedPageBreak/>
        <w:t>the spectra, suggesting that the choice between NIRS and MIRS may be more influenced by practical considerations, such as ease of spectrum acquisition, rather than by marked performance differences.</w:t>
      </w:r>
    </w:p>
    <w:p w14:paraId="68C24379" w14:textId="77777777" w:rsidR="004F4A4E" w:rsidRPr="00246395" w:rsidRDefault="004F678B" w:rsidP="00246395">
      <w:pPr>
        <w:spacing w:before="100" w:beforeAutospacing="1" w:after="100" w:afterAutospacing="1"/>
        <w:rPr>
          <w:rFonts w:ascii="Arial" w:hAnsi="Arial"/>
          <w:b/>
        </w:rPr>
      </w:pPr>
      <w:r w:rsidRPr="00A70D0A">
        <w:rPr>
          <w:rFonts w:ascii="Arial" w:hAnsi="Arial"/>
          <w:b/>
        </w:rPr>
        <w:t xml:space="preserve">Table </w:t>
      </w:r>
      <w:r w:rsidR="00A70D0A">
        <w:rPr>
          <w:rFonts w:ascii="Arial" w:hAnsi="Arial"/>
          <w:b/>
        </w:rPr>
        <w:t>5</w:t>
      </w:r>
      <w:r w:rsidRPr="00A70D0A">
        <w:rPr>
          <w:rFonts w:ascii="Arial" w:hAnsi="Arial"/>
          <w:b/>
        </w:rPr>
        <w:t>: Categorization of Models Based on Performance Indicators (R² and RPD) According to Chang et al. (2001)</w:t>
      </w:r>
    </w:p>
    <w:tbl>
      <w:tblPr>
        <w:tblStyle w:val="ListTable6Colorful"/>
        <w:tblW w:w="8961" w:type="dxa"/>
        <w:tblLook w:val="04A0" w:firstRow="1" w:lastRow="0" w:firstColumn="1" w:lastColumn="0" w:noHBand="0" w:noVBand="1"/>
      </w:tblPr>
      <w:tblGrid>
        <w:gridCol w:w="4111"/>
        <w:gridCol w:w="2552"/>
        <w:gridCol w:w="1231"/>
        <w:gridCol w:w="1067"/>
      </w:tblGrid>
      <w:tr w:rsidR="00A70D0A" w:rsidRPr="00246395" w14:paraId="47E965D4" w14:textId="77777777" w:rsidTr="00197A3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7FA35B7C" w14:textId="77777777" w:rsidR="00246395" w:rsidRPr="00246395" w:rsidRDefault="00246395" w:rsidP="00246395">
            <w:pPr>
              <w:jc w:val="cente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p>
        </w:tc>
        <w:tc>
          <w:tcPr>
            <w:tcW w:w="2552" w:type="dxa"/>
            <w:shd w:val="clear" w:color="auto" w:fill="auto"/>
            <w:hideMark/>
          </w:tcPr>
          <w:p w14:paraId="38F99EC8"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Models</w:t>
            </w:r>
            <w:proofErr w:type="spellEnd"/>
          </w:p>
        </w:tc>
        <w:tc>
          <w:tcPr>
            <w:tcW w:w="1231" w:type="dxa"/>
            <w:shd w:val="clear" w:color="auto" w:fill="auto"/>
            <w:hideMark/>
          </w:tcPr>
          <w:p w14:paraId="5B4D2683"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w:t>
            </w:r>
          </w:p>
        </w:tc>
        <w:tc>
          <w:tcPr>
            <w:tcW w:w="1067" w:type="dxa"/>
            <w:shd w:val="clear" w:color="auto" w:fill="auto"/>
            <w:hideMark/>
          </w:tcPr>
          <w:p w14:paraId="39CB50D9"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w:t>
            </w:r>
          </w:p>
        </w:tc>
      </w:tr>
      <w:tr w:rsidR="004F4A4E" w:rsidRPr="00246395" w14:paraId="6382E347" w14:textId="77777777" w:rsidTr="00197A3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5FF45D6A" w14:textId="77777777" w:rsidR="00246395" w:rsidRPr="00246395" w:rsidRDefault="00246395" w:rsidP="00246395">
            <w:pP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r w:rsidRPr="00246395">
              <w:rPr>
                <w:rFonts w:ascii="Times New Roman" w:hAnsi="Times New Roman"/>
                <w:sz w:val="24"/>
                <w:szCs w:val="24"/>
                <w:lang w:val="fr-FR" w:eastAsia="fr-FR"/>
              </w:rPr>
              <w:t xml:space="preserve"> A (Excellent </w:t>
            </w:r>
            <w:proofErr w:type="spellStart"/>
            <w:r w:rsidRPr="00246395">
              <w:rPr>
                <w:rFonts w:ascii="Times New Roman" w:hAnsi="Times New Roman"/>
                <w:sz w:val="24"/>
                <w:szCs w:val="24"/>
                <w:lang w:val="fr-FR" w:eastAsia="fr-FR"/>
              </w:rPr>
              <w:t>models</w:t>
            </w:r>
            <w:proofErr w:type="spellEnd"/>
            <w:r w:rsidRPr="00246395">
              <w:rPr>
                <w:rFonts w:ascii="Times New Roman" w:hAnsi="Times New Roman"/>
                <w:sz w:val="24"/>
                <w:szCs w:val="24"/>
                <w:lang w:val="fr-FR" w:eastAsia="fr-FR"/>
              </w:rPr>
              <w:t>)</w:t>
            </w:r>
          </w:p>
        </w:tc>
        <w:tc>
          <w:tcPr>
            <w:tcW w:w="2552" w:type="dxa"/>
            <w:shd w:val="clear" w:color="auto" w:fill="auto"/>
            <w:hideMark/>
          </w:tcPr>
          <w:p w14:paraId="3CB09ED3"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fr-FR"/>
              </w:rPr>
            </w:pPr>
            <w:r w:rsidRPr="00246395">
              <w:rPr>
                <w:rFonts w:ascii="Times New Roman" w:hAnsi="Times New Roman"/>
                <w:sz w:val="24"/>
                <w:szCs w:val="24"/>
                <w:lang w:eastAsia="fr-FR"/>
              </w:rPr>
              <w:t xml:space="preserve">SVM and </w:t>
            </w:r>
            <w:proofErr w:type="spellStart"/>
            <w:r w:rsidRPr="00246395">
              <w:rPr>
                <w:rFonts w:ascii="Times New Roman" w:hAnsi="Times New Roman"/>
                <w:sz w:val="24"/>
                <w:szCs w:val="24"/>
                <w:lang w:eastAsia="fr-FR"/>
              </w:rPr>
              <w:t>RandomForest</w:t>
            </w:r>
            <w:proofErr w:type="spellEnd"/>
            <w:r w:rsidRPr="00246395">
              <w:rPr>
                <w:rFonts w:ascii="Times New Roman" w:hAnsi="Times New Roman"/>
                <w:sz w:val="24"/>
                <w:szCs w:val="24"/>
                <w:lang w:eastAsia="fr-FR"/>
              </w:rPr>
              <w:t xml:space="preserve"> (NIRS + SG)</w:t>
            </w:r>
          </w:p>
        </w:tc>
        <w:tc>
          <w:tcPr>
            <w:tcW w:w="1231" w:type="dxa"/>
            <w:shd w:val="clear" w:color="auto" w:fill="auto"/>
            <w:hideMark/>
          </w:tcPr>
          <w:p w14:paraId="5EC9CD08"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0.83</w:t>
            </w:r>
          </w:p>
        </w:tc>
        <w:tc>
          <w:tcPr>
            <w:tcW w:w="1067" w:type="dxa"/>
            <w:shd w:val="clear" w:color="auto" w:fill="auto"/>
            <w:hideMark/>
          </w:tcPr>
          <w:p w14:paraId="7ECB9793"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&gt; 2</w:t>
            </w:r>
          </w:p>
        </w:tc>
      </w:tr>
      <w:tr w:rsidR="00A70D0A" w:rsidRPr="00246395" w14:paraId="07E3ECAA" w14:textId="77777777" w:rsidTr="00197A3A">
        <w:trPr>
          <w:trHeight w:val="856"/>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2F5604D1" w14:textId="77777777" w:rsidR="00246395" w:rsidRPr="00246395" w:rsidRDefault="00246395" w:rsidP="00246395">
            <w:pPr>
              <w:rPr>
                <w:rFonts w:ascii="Times New Roman" w:hAnsi="Times New Roman"/>
                <w:sz w:val="24"/>
                <w:szCs w:val="24"/>
                <w:lang w:eastAsia="fr-FR"/>
              </w:rPr>
            </w:pPr>
            <w:r w:rsidRPr="00246395">
              <w:rPr>
                <w:rFonts w:ascii="Times New Roman" w:hAnsi="Times New Roman"/>
                <w:sz w:val="24"/>
                <w:szCs w:val="24"/>
                <w:lang w:eastAsia="fr-FR"/>
              </w:rPr>
              <w:t>Category B (Moderately accurate models)</w:t>
            </w:r>
          </w:p>
        </w:tc>
        <w:tc>
          <w:tcPr>
            <w:tcW w:w="2552" w:type="dxa"/>
            <w:shd w:val="clear" w:color="auto" w:fill="auto"/>
            <w:hideMark/>
          </w:tcPr>
          <w:p w14:paraId="1203A098"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PLSR (MIRS)</w:t>
            </w:r>
          </w:p>
        </w:tc>
        <w:tc>
          <w:tcPr>
            <w:tcW w:w="1231" w:type="dxa"/>
            <w:shd w:val="clear" w:color="auto" w:fill="auto"/>
            <w:hideMark/>
          </w:tcPr>
          <w:p w14:paraId="30349274"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0.55 - 0.59</w:t>
            </w:r>
          </w:p>
        </w:tc>
        <w:tc>
          <w:tcPr>
            <w:tcW w:w="1067" w:type="dxa"/>
            <w:shd w:val="clear" w:color="auto" w:fill="auto"/>
            <w:hideMark/>
          </w:tcPr>
          <w:p w14:paraId="6BE33E8F"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1.5 - 1.7</w:t>
            </w:r>
          </w:p>
        </w:tc>
      </w:tr>
      <w:tr w:rsidR="004F4A4E" w:rsidRPr="00246395" w14:paraId="2AE255D6" w14:textId="77777777" w:rsidTr="00197A3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4DFADAD9" w14:textId="77777777" w:rsidR="00246395" w:rsidRPr="00246395" w:rsidRDefault="00246395" w:rsidP="00246395">
            <w:pPr>
              <w:rPr>
                <w:rFonts w:ascii="Times New Roman" w:hAnsi="Times New Roman"/>
                <w:sz w:val="24"/>
                <w:szCs w:val="24"/>
                <w:lang w:val="fr-FR" w:eastAsia="fr-FR"/>
              </w:rPr>
            </w:pPr>
          </w:p>
        </w:tc>
        <w:tc>
          <w:tcPr>
            <w:tcW w:w="2552" w:type="dxa"/>
            <w:shd w:val="clear" w:color="auto" w:fill="auto"/>
            <w:hideMark/>
          </w:tcPr>
          <w:p w14:paraId="2BAA8D4D"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XGBoost</w:t>
            </w:r>
            <w:proofErr w:type="spellEnd"/>
            <w:r w:rsidRPr="00246395">
              <w:rPr>
                <w:rFonts w:ascii="Times New Roman" w:hAnsi="Times New Roman"/>
                <w:sz w:val="24"/>
                <w:szCs w:val="24"/>
                <w:lang w:val="fr-FR" w:eastAsia="fr-FR"/>
              </w:rPr>
              <w:t xml:space="preserve"> (NIRS)</w:t>
            </w:r>
          </w:p>
        </w:tc>
        <w:tc>
          <w:tcPr>
            <w:tcW w:w="1231" w:type="dxa"/>
            <w:shd w:val="clear" w:color="auto" w:fill="auto"/>
            <w:hideMark/>
          </w:tcPr>
          <w:p w14:paraId="48FB8DFA"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0.74</w:t>
            </w:r>
          </w:p>
        </w:tc>
        <w:tc>
          <w:tcPr>
            <w:tcW w:w="1067" w:type="dxa"/>
            <w:shd w:val="clear" w:color="auto" w:fill="auto"/>
            <w:hideMark/>
          </w:tcPr>
          <w:p w14:paraId="758282D7"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1.8</w:t>
            </w:r>
          </w:p>
        </w:tc>
      </w:tr>
      <w:tr w:rsidR="00A70D0A" w:rsidRPr="00246395" w14:paraId="2C795310" w14:textId="77777777" w:rsidTr="00197A3A">
        <w:trPr>
          <w:trHeight w:val="563"/>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4803C397" w14:textId="77777777" w:rsidR="00246395" w:rsidRPr="00246395" w:rsidRDefault="00246395" w:rsidP="00246395">
            <w:pP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r w:rsidRPr="00246395">
              <w:rPr>
                <w:rFonts w:ascii="Times New Roman" w:hAnsi="Times New Roman"/>
                <w:sz w:val="24"/>
                <w:szCs w:val="24"/>
                <w:lang w:val="fr-FR" w:eastAsia="fr-FR"/>
              </w:rPr>
              <w:t xml:space="preserve"> C (</w:t>
            </w:r>
            <w:proofErr w:type="spellStart"/>
            <w:r w:rsidRPr="00246395">
              <w:rPr>
                <w:rFonts w:ascii="Times New Roman" w:hAnsi="Times New Roman"/>
                <w:sz w:val="24"/>
                <w:szCs w:val="24"/>
                <w:lang w:val="fr-FR" w:eastAsia="fr-FR"/>
              </w:rPr>
              <w:t>Unreliable</w:t>
            </w:r>
            <w:proofErr w:type="spellEnd"/>
            <w:r w:rsidRPr="00246395">
              <w:rPr>
                <w:rFonts w:ascii="Times New Roman" w:hAnsi="Times New Roman"/>
                <w:sz w:val="24"/>
                <w:szCs w:val="24"/>
                <w:lang w:val="fr-FR" w:eastAsia="fr-FR"/>
              </w:rPr>
              <w:t xml:space="preserve"> </w:t>
            </w:r>
            <w:proofErr w:type="spellStart"/>
            <w:r w:rsidRPr="00246395">
              <w:rPr>
                <w:rFonts w:ascii="Times New Roman" w:hAnsi="Times New Roman"/>
                <w:sz w:val="24"/>
                <w:szCs w:val="24"/>
                <w:lang w:val="fr-FR" w:eastAsia="fr-FR"/>
              </w:rPr>
              <w:t>models</w:t>
            </w:r>
            <w:proofErr w:type="spellEnd"/>
            <w:r w:rsidRPr="00246395">
              <w:rPr>
                <w:rFonts w:ascii="Times New Roman" w:hAnsi="Times New Roman"/>
                <w:sz w:val="24"/>
                <w:szCs w:val="24"/>
                <w:lang w:val="fr-FR" w:eastAsia="fr-FR"/>
              </w:rPr>
              <w:t>)</w:t>
            </w:r>
          </w:p>
        </w:tc>
        <w:tc>
          <w:tcPr>
            <w:tcW w:w="2552" w:type="dxa"/>
            <w:shd w:val="clear" w:color="auto" w:fill="auto"/>
            <w:hideMark/>
          </w:tcPr>
          <w:p w14:paraId="53735152"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XGBoost</w:t>
            </w:r>
            <w:proofErr w:type="spellEnd"/>
            <w:r w:rsidRPr="00246395">
              <w:rPr>
                <w:rFonts w:ascii="Times New Roman" w:hAnsi="Times New Roman"/>
                <w:sz w:val="24"/>
                <w:szCs w:val="24"/>
                <w:lang w:val="fr-FR" w:eastAsia="fr-FR"/>
              </w:rPr>
              <w:t xml:space="preserve"> (MIRS)</w:t>
            </w:r>
          </w:p>
        </w:tc>
        <w:tc>
          <w:tcPr>
            <w:tcW w:w="1231" w:type="dxa"/>
            <w:shd w:val="clear" w:color="auto" w:fill="auto"/>
            <w:hideMark/>
          </w:tcPr>
          <w:p w14:paraId="0A038BFC"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0.52</w:t>
            </w:r>
          </w:p>
        </w:tc>
        <w:tc>
          <w:tcPr>
            <w:tcW w:w="1067" w:type="dxa"/>
            <w:shd w:val="clear" w:color="auto" w:fill="auto"/>
            <w:hideMark/>
          </w:tcPr>
          <w:p w14:paraId="451E0A2E"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1.3</w:t>
            </w:r>
          </w:p>
        </w:tc>
      </w:tr>
    </w:tbl>
    <w:p w14:paraId="45746A2C" w14:textId="77777777" w:rsidR="008A2789" w:rsidRDefault="00BE19F5" w:rsidP="00B24B2C">
      <w:pPr>
        <w:pStyle w:val="NormalWeb"/>
        <w:rPr>
          <w:color w:val="000000"/>
          <w:lang w:val="en-US"/>
        </w:rPr>
      </w:pPr>
      <w:r>
        <w:rPr>
          <w:noProof/>
        </w:rPr>
        <mc:AlternateContent>
          <mc:Choice Requires="wps">
            <w:drawing>
              <wp:anchor distT="0" distB="0" distL="114300" distR="114300" simplePos="0" relativeHeight="251659264" behindDoc="0" locked="0" layoutInCell="1" allowOverlap="1" wp14:anchorId="5AB3D4B3" wp14:editId="3FF3B07E">
                <wp:simplePos x="0" y="0"/>
                <wp:positionH relativeFrom="column">
                  <wp:posOffset>4273696</wp:posOffset>
                </wp:positionH>
                <wp:positionV relativeFrom="paragraph">
                  <wp:posOffset>1348782</wp:posOffset>
                </wp:positionV>
                <wp:extent cx="824053" cy="142406"/>
                <wp:effectExtent l="0" t="0" r="1905" b="0"/>
                <wp:wrapNone/>
                <wp:docPr id="795294305" name="Rectangle 1"/>
                <wp:cNvGraphicFramePr/>
                <a:graphic xmlns:a="http://schemas.openxmlformats.org/drawingml/2006/main">
                  <a:graphicData uri="http://schemas.microsoft.com/office/word/2010/wordprocessingShape">
                    <wps:wsp>
                      <wps:cNvSpPr/>
                      <wps:spPr>
                        <a:xfrm>
                          <a:off x="0" y="0"/>
                          <a:ext cx="824053" cy="14240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B234A5" id="Rectangle 1" o:spid="_x0000_s1026" style="position:absolute;margin-left:336.5pt;margin-top:106.2pt;width:64.9pt;height:1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" fillcolor="white [3212]" stroked="f" strokeweight="2pt"/>
            </w:pict>
          </mc:Fallback>
        </mc:AlternateContent>
      </w:r>
    </w:p>
    <w:p w14:paraId="1E1A0044" w14:textId="77777777" w:rsidR="00EB588C" w:rsidRDefault="00EB588C" w:rsidP="00B24B2C">
      <w:pPr>
        <w:pStyle w:val="NormalWeb"/>
        <w:rPr>
          <w:color w:val="000000"/>
          <w:lang w:val="en-US"/>
        </w:rPr>
      </w:pPr>
      <w:r w:rsidRPr="00EB588C">
        <w:rPr>
          <w:noProof/>
          <w:color w:val="000000"/>
          <w:lang w:val="en-US"/>
        </w:rPr>
        <w:drawing>
          <wp:inline distT="0" distB="0" distL="0" distR="0" wp14:anchorId="02C6A6F9" wp14:editId="1A003FBA">
            <wp:extent cx="5212080" cy="2548890"/>
            <wp:effectExtent l="0" t="0" r="0" b="3810"/>
            <wp:docPr id="18879629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62982" name=""/>
                    <pic:cNvPicPr/>
                  </pic:nvPicPr>
                  <pic:blipFill>
                    <a:blip r:embed="rId20"/>
                    <a:stretch>
                      <a:fillRect/>
                    </a:stretch>
                  </pic:blipFill>
                  <pic:spPr>
                    <a:xfrm>
                      <a:off x="0" y="0"/>
                      <a:ext cx="5212080" cy="2548890"/>
                    </a:xfrm>
                    <a:prstGeom prst="rect">
                      <a:avLst/>
                    </a:prstGeom>
                  </pic:spPr>
                </pic:pic>
              </a:graphicData>
            </a:graphic>
          </wp:inline>
        </w:drawing>
      </w:r>
    </w:p>
    <w:p w14:paraId="6688E1DB" w14:textId="77777777" w:rsidR="00522528" w:rsidRPr="00522528" w:rsidRDefault="00522528" w:rsidP="00522528">
      <w:pPr>
        <w:spacing w:before="100" w:beforeAutospacing="1" w:after="100" w:afterAutospacing="1"/>
        <w:rPr>
          <w:rFonts w:ascii="Arial" w:hAnsi="Arial"/>
          <w:b/>
        </w:rPr>
      </w:pPr>
      <w:r>
        <w:rPr>
          <w:rFonts w:ascii="Arial" w:hAnsi="Arial"/>
          <w:b/>
        </w:rPr>
        <w:t>Fi</w:t>
      </w:r>
      <w:r w:rsidR="003658F9">
        <w:rPr>
          <w:rFonts w:ascii="Arial" w:hAnsi="Arial"/>
          <w:b/>
        </w:rPr>
        <w:t>g.</w:t>
      </w:r>
      <w:r w:rsidR="007B2935">
        <w:rPr>
          <w:rFonts w:ascii="Arial" w:hAnsi="Arial"/>
          <w:b/>
        </w:rPr>
        <w:t>3</w:t>
      </w:r>
      <w:r w:rsidR="003658F9">
        <w:rPr>
          <w:rFonts w:ascii="Arial" w:hAnsi="Arial"/>
          <w:b/>
        </w:rPr>
        <w:t>.</w:t>
      </w:r>
      <w:r w:rsidR="00E14424">
        <w:rPr>
          <w:rFonts w:ascii="Arial" w:hAnsi="Arial"/>
          <w:b/>
        </w:rPr>
        <w:t>classication</w:t>
      </w:r>
      <w:r w:rsidRPr="00A70D0A">
        <w:rPr>
          <w:rFonts w:ascii="Arial" w:hAnsi="Arial"/>
          <w:b/>
        </w:rPr>
        <w:t xml:space="preserve"> of </w:t>
      </w:r>
      <w:proofErr w:type="gramStart"/>
      <w:r w:rsidRPr="00A70D0A">
        <w:rPr>
          <w:rFonts w:ascii="Arial" w:hAnsi="Arial"/>
          <w:b/>
        </w:rPr>
        <w:t>Models</w:t>
      </w:r>
      <w:r w:rsidR="00E14424">
        <w:rPr>
          <w:rFonts w:ascii="Arial" w:hAnsi="Arial"/>
          <w:b/>
        </w:rPr>
        <w:t>(</w:t>
      </w:r>
      <w:proofErr w:type="gramEnd"/>
      <w:r w:rsidR="00E14424">
        <w:rPr>
          <w:rFonts w:ascii="Arial" w:hAnsi="Arial"/>
          <w:b/>
        </w:rPr>
        <w:t>NIRS vs MIRS)</w:t>
      </w:r>
      <w:r w:rsidRPr="00A70D0A">
        <w:rPr>
          <w:rFonts w:ascii="Arial" w:hAnsi="Arial"/>
          <w:b/>
        </w:rPr>
        <w:t xml:space="preserve"> Based on Performance Indicators (R² and RPD) According to Chang et al. (2001)</w:t>
      </w:r>
      <w:r w:rsidR="007B2935">
        <w:rPr>
          <w:rFonts w:ascii="Arial" w:hAnsi="Arial"/>
          <w:b/>
        </w:rPr>
        <w:t xml:space="preserve"> </w:t>
      </w:r>
    </w:p>
    <w:p w14:paraId="2C4D6E65" w14:textId="77777777" w:rsidR="009A0910" w:rsidRPr="00C313EC" w:rsidRDefault="00B35C80" w:rsidP="009A0910">
      <w:pPr>
        <w:pStyle w:val="NormalWeb"/>
        <w:rPr>
          <w:rFonts w:ascii="Arial" w:hAnsi="Arial" w:cs="Arial"/>
          <w:b/>
          <w:caps/>
          <w:sz w:val="22"/>
          <w:szCs w:val="20"/>
          <w:lang w:val="en-US" w:eastAsia="en-US"/>
        </w:rPr>
      </w:pPr>
      <w:r w:rsidRPr="00C313EC">
        <w:rPr>
          <w:rFonts w:ascii="Arial" w:hAnsi="Arial" w:cs="Arial"/>
          <w:b/>
          <w:caps/>
          <w:sz w:val="22"/>
          <w:szCs w:val="20"/>
          <w:lang w:eastAsia="en-US"/>
        </w:rPr>
        <w:t>3.2</w:t>
      </w:r>
      <w:r w:rsidR="009A0910" w:rsidRPr="00C313EC">
        <w:rPr>
          <w:rFonts w:ascii="Arial" w:hAnsi="Arial" w:cs="Arial"/>
          <w:b/>
          <w:caps/>
          <w:sz w:val="22"/>
          <w:szCs w:val="20"/>
          <w:lang w:val="en-US" w:eastAsia="en-US"/>
        </w:rPr>
        <w:t>. Discussion</w:t>
      </w:r>
    </w:p>
    <w:p w14:paraId="3190D862" w14:textId="77777777" w:rsidR="00522528" w:rsidRDefault="00B35C80" w:rsidP="00191662">
      <w:pPr>
        <w:pStyle w:val="Heading3"/>
        <w:rPr>
          <w:rFonts w:ascii="Arial" w:eastAsia="Times New Roman" w:hAnsi="Arial" w:cs="Arial"/>
          <w:b/>
          <w:color w:val="auto"/>
          <w:sz w:val="20"/>
          <w:szCs w:val="20"/>
          <w:u w:val="single"/>
        </w:rPr>
      </w:pPr>
      <w:r w:rsidRPr="00C313EC">
        <w:rPr>
          <w:rFonts w:ascii="Arial" w:eastAsia="Times New Roman" w:hAnsi="Arial" w:cs="Arial"/>
          <w:b/>
          <w:color w:val="auto"/>
          <w:sz w:val="20"/>
          <w:szCs w:val="20"/>
          <w:u w:val="single"/>
        </w:rPr>
        <w:t>3.2.1</w:t>
      </w:r>
      <w:r w:rsidR="009A0910" w:rsidRPr="00C313EC">
        <w:rPr>
          <w:rFonts w:ascii="Arial" w:eastAsia="Times New Roman" w:hAnsi="Arial" w:cs="Arial"/>
          <w:b/>
          <w:color w:val="auto"/>
          <w:sz w:val="20"/>
          <w:szCs w:val="20"/>
          <w:u w:val="single"/>
        </w:rPr>
        <w:t xml:space="preserve"> Influence of Preprocessing on Model Performance</w:t>
      </w:r>
    </w:p>
    <w:p w14:paraId="1CC9EA37" w14:textId="77777777" w:rsidR="009A0910" w:rsidRPr="009A0910" w:rsidRDefault="009A0910" w:rsidP="00522528">
      <w:pPr>
        <w:pStyle w:val="NormalWeb"/>
        <w:jc w:val="both"/>
        <w:rPr>
          <w:color w:val="000000"/>
          <w:lang w:val="en-US"/>
        </w:rPr>
      </w:pPr>
      <w:r w:rsidRPr="00522528">
        <w:rPr>
          <w:rFonts w:ascii="Arial" w:hAnsi="Arial" w:cs="Arial"/>
          <w:sz w:val="20"/>
          <w:szCs w:val="20"/>
          <w:lang w:val="en-GB" w:eastAsia="en-GB"/>
        </w:rPr>
        <w:t xml:space="preserve">The results indicate that preprocessing, particularly </w:t>
      </w:r>
      <w:proofErr w:type="spellStart"/>
      <w:r w:rsidRPr="00522528">
        <w:rPr>
          <w:rFonts w:ascii="Arial" w:hAnsi="Arial" w:cs="Arial"/>
          <w:sz w:val="20"/>
          <w:szCs w:val="20"/>
          <w:lang w:val="en-GB" w:eastAsia="en-GB"/>
        </w:rPr>
        <w:t>Savitzky</w:t>
      </w:r>
      <w:proofErr w:type="spellEnd"/>
      <w:r w:rsidRPr="00522528">
        <w:rPr>
          <w:rFonts w:ascii="Arial" w:hAnsi="Arial" w:cs="Arial"/>
          <w:sz w:val="20"/>
          <w:szCs w:val="20"/>
          <w:lang w:val="en-GB" w:eastAsia="en-GB"/>
        </w:rPr>
        <w:t xml:space="preserve">-Golay (SG) filtering, significantly improves the model performances for NIRS spectra, especially for SVM and Random Forest. </w:t>
      </w:r>
      <w:r w:rsidRPr="00522528">
        <w:rPr>
          <w:rFonts w:ascii="Arial" w:hAnsi="Arial" w:cs="Arial"/>
          <w:sz w:val="20"/>
          <w:szCs w:val="20"/>
          <w:lang w:val="en-GB" w:eastAsia="en-GB"/>
        </w:rPr>
        <w:lastRenderedPageBreak/>
        <w:t>This improvement can be attributed to SG’s ability to reduce noise while preserving the spectral structure, making it easier to extract relevant information for prediction (</w:t>
      </w:r>
      <w:proofErr w:type="spellStart"/>
      <w:r w:rsidRPr="00522528">
        <w:rPr>
          <w:rFonts w:ascii="Arial" w:hAnsi="Arial" w:cs="Arial"/>
          <w:sz w:val="20"/>
          <w:szCs w:val="20"/>
          <w:lang w:val="en-GB" w:eastAsia="en-GB"/>
        </w:rPr>
        <w:t>Savitzky</w:t>
      </w:r>
      <w:proofErr w:type="spellEnd"/>
      <w:r w:rsidRPr="00522528">
        <w:rPr>
          <w:rFonts w:ascii="Arial" w:hAnsi="Arial" w:cs="Arial"/>
          <w:sz w:val="20"/>
          <w:szCs w:val="20"/>
          <w:lang w:val="en-GB" w:eastAsia="en-GB"/>
        </w:rPr>
        <w:t xml:space="preserve"> &amp; Golay, 1964; </w:t>
      </w:r>
      <w:proofErr w:type="spellStart"/>
      <w:r w:rsidRPr="00522528">
        <w:rPr>
          <w:rFonts w:ascii="Arial" w:hAnsi="Arial" w:cs="Arial"/>
          <w:sz w:val="20"/>
          <w:szCs w:val="20"/>
          <w:lang w:val="en-GB" w:eastAsia="en-GB"/>
        </w:rPr>
        <w:t>Rinnan</w:t>
      </w:r>
      <w:proofErr w:type="spellEnd"/>
      <w:r w:rsidRPr="00522528">
        <w:rPr>
          <w:rFonts w:ascii="Arial" w:hAnsi="Arial" w:cs="Arial"/>
          <w:sz w:val="20"/>
          <w:szCs w:val="20"/>
          <w:lang w:val="en-GB" w:eastAsia="en-GB"/>
        </w:rPr>
        <w:t xml:space="preserve"> et al., 2009). In contrast, applying various preprocessing techniques to MIRS spectra did not result in significant improvements in model performance, suggesting that this technique may be less suitable for quantifying organic carbon in certain soil types (Stenberg et al., 2010).</w:t>
      </w:r>
    </w:p>
    <w:p w14:paraId="092B05D1" w14:textId="77777777" w:rsidR="00522528" w:rsidRPr="00C313EC" w:rsidRDefault="00B35C80" w:rsidP="00522528">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3.2.2</w:t>
      </w:r>
      <w:r w:rsidR="009A0910" w:rsidRPr="00C313EC">
        <w:rPr>
          <w:rFonts w:ascii="Arial" w:hAnsi="Arial" w:cs="Arial"/>
          <w:b/>
          <w:sz w:val="20"/>
          <w:szCs w:val="20"/>
          <w:u w:val="single"/>
          <w:lang w:val="en-US" w:eastAsia="en-US"/>
        </w:rPr>
        <w:t xml:space="preserve"> Comparison of Model Performance by Spectroscopic Technique</w:t>
      </w:r>
    </w:p>
    <w:p w14:paraId="528AE17D" w14:textId="77777777" w:rsidR="009A0910" w:rsidRPr="009A0910" w:rsidRDefault="009A0910" w:rsidP="00522528">
      <w:pPr>
        <w:pStyle w:val="NormalWeb"/>
        <w:jc w:val="both"/>
        <w:rPr>
          <w:color w:val="000000"/>
          <w:lang w:val="en-US"/>
        </w:rPr>
      </w:pPr>
      <w:r w:rsidRPr="00522528">
        <w:rPr>
          <w:rFonts w:ascii="Arial" w:hAnsi="Arial" w:cs="Arial"/>
          <w:sz w:val="20"/>
          <w:szCs w:val="20"/>
          <w:lang w:val="en-GB" w:eastAsia="en-GB"/>
        </w:rPr>
        <w:t>Among the models tested, SVM performed best for predicting soil organic carbon, particularly with NIRS spectra, achieving R² values greater than 0.80 in several preprocessing configurations. This result is consistent with other studies highlighting the effectiveness of SVM for near-infrared spectral analysis due to its ability to handle complex relationships between variables (</w:t>
      </w:r>
      <w:proofErr w:type="spellStart"/>
      <w:r w:rsidRPr="00522528">
        <w:rPr>
          <w:rFonts w:ascii="Arial" w:hAnsi="Arial" w:cs="Arial"/>
          <w:sz w:val="20"/>
          <w:szCs w:val="20"/>
          <w:lang w:val="en-GB" w:eastAsia="en-GB"/>
        </w:rPr>
        <w:t>Vapnik</w:t>
      </w:r>
      <w:proofErr w:type="spellEnd"/>
      <w:r w:rsidRPr="00522528">
        <w:rPr>
          <w:rFonts w:ascii="Arial" w:hAnsi="Arial" w:cs="Arial"/>
          <w:sz w:val="20"/>
          <w:szCs w:val="20"/>
          <w:lang w:val="en-GB" w:eastAsia="en-GB"/>
        </w:rPr>
        <w:t>, 1995; Wu et al., 2009). However, for MIRS, the performance was less optimal, with R² values often below 0.75, which can be attributed to higher spectral variability in certain pedological contexts (Viscarra Rossel &amp; Behrens, 2010).</w:t>
      </w:r>
    </w:p>
    <w:p w14:paraId="34F96BF3" w14:textId="77777777" w:rsidR="00522528" w:rsidRPr="00C313EC" w:rsidRDefault="00B35C80" w:rsidP="00522528">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3.2.3</w:t>
      </w:r>
      <w:r w:rsidR="003658F9" w:rsidRPr="00C313EC">
        <w:rPr>
          <w:rFonts w:ascii="Arial" w:hAnsi="Arial" w:cs="Arial"/>
          <w:b/>
          <w:sz w:val="20"/>
          <w:szCs w:val="20"/>
          <w:u w:val="single"/>
          <w:lang w:eastAsia="en-US"/>
        </w:rPr>
        <w:t xml:space="preserve"> </w:t>
      </w:r>
      <w:r w:rsidR="009A0910" w:rsidRPr="00C313EC">
        <w:rPr>
          <w:rFonts w:ascii="Arial" w:hAnsi="Arial" w:cs="Arial"/>
          <w:b/>
          <w:sz w:val="20"/>
          <w:szCs w:val="20"/>
          <w:u w:val="single"/>
          <w:lang w:eastAsia="en-US"/>
        </w:rPr>
        <w:t>Comparison of Overall Performance of NIRS and MIRS</w:t>
      </w:r>
    </w:p>
    <w:p w14:paraId="5FAF2690" w14:textId="77777777" w:rsidR="009A0910" w:rsidRPr="00522528" w:rsidRDefault="009A0910" w:rsidP="00522528">
      <w:pPr>
        <w:pStyle w:val="NormalWeb"/>
        <w:jc w:val="both"/>
        <w:rPr>
          <w:rFonts w:ascii="Arial" w:hAnsi="Arial" w:cs="Arial"/>
          <w:sz w:val="20"/>
          <w:szCs w:val="20"/>
          <w:lang w:val="en-GB" w:eastAsia="en-GB"/>
        </w:rPr>
      </w:pPr>
      <w:r w:rsidRPr="00522528">
        <w:rPr>
          <w:rFonts w:ascii="Arial" w:hAnsi="Arial" w:cs="Arial"/>
          <w:sz w:val="20"/>
          <w:szCs w:val="20"/>
          <w:lang w:val="en-GB" w:eastAsia="en-GB"/>
        </w:rPr>
        <w:t xml:space="preserve">The results show that NIRS and MIRS spectra offered similar performances in terms of RMSEP, MAE, R², RPD, and RPIQ, suggesting that neither technique significantly outperforms the other. This finding is consistent with several comparative studies that have shown that the relevance of each method strongly depends on the soil type and the range of organic carbon concentrations being studied (Shepherd &amp; Walsh, 2002; </w:t>
      </w:r>
      <w:proofErr w:type="spellStart"/>
      <w:r w:rsidRPr="00522528">
        <w:rPr>
          <w:rFonts w:ascii="Arial" w:hAnsi="Arial" w:cs="Arial"/>
          <w:sz w:val="20"/>
          <w:szCs w:val="20"/>
          <w:lang w:val="en-GB" w:eastAsia="en-GB"/>
        </w:rPr>
        <w:t>Minasny</w:t>
      </w:r>
      <w:proofErr w:type="spellEnd"/>
      <w:r w:rsidRPr="00522528">
        <w:rPr>
          <w:rFonts w:ascii="Arial" w:hAnsi="Arial" w:cs="Arial"/>
          <w:sz w:val="20"/>
          <w:szCs w:val="20"/>
          <w:lang w:val="en-GB" w:eastAsia="en-GB"/>
        </w:rPr>
        <w:t xml:space="preserve"> et al., 2011). Additionally, preprocessing had little effect on model performance for these different indicators, suggesting that the influence of preprocessing may be dependent on the dataset and spectroscopic technique used (Ji et al., 2015).</w:t>
      </w:r>
    </w:p>
    <w:p w14:paraId="5D67419F" w14:textId="77777777" w:rsidR="00522528" w:rsidRPr="00C313EC" w:rsidRDefault="00B35C80" w:rsidP="00B35C80">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 xml:space="preserve">3.2.4 </w:t>
      </w:r>
      <w:r w:rsidR="009A0910" w:rsidRPr="00C313EC">
        <w:rPr>
          <w:rFonts w:ascii="Arial" w:hAnsi="Arial" w:cs="Arial"/>
          <w:b/>
          <w:sz w:val="20"/>
          <w:szCs w:val="20"/>
          <w:u w:val="single"/>
          <w:lang w:eastAsia="en-US"/>
        </w:rPr>
        <w:t>Limitations and Future Perspectives</w:t>
      </w:r>
    </w:p>
    <w:p w14:paraId="5D4D4C66" w14:textId="77777777" w:rsidR="00522528"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 xml:space="preserve">Although the observed differences between means are not large enough to have a significant practical impact, it is important to note that these results do not exclude situations where data quality or other input variables could more strongly influence model performance. Previous studies have shown that factors such as soil moisture, grain size, or the presence of specific minerals can affect the spectral response and, thus, the prediction accuracy (Gomez et al., 2008; </w:t>
      </w:r>
      <w:proofErr w:type="spellStart"/>
      <w:r w:rsidRPr="00B35C80">
        <w:rPr>
          <w:rFonts w:ascii="Arial" w:hAnsi="Arial" w:cs="Arial"/>
          <w:sz w:val="20"/>
          <w:szCs w:val="20"/>
          <w:lang w:val="en-GB" w:eastAsia="en-GB"/>
        </w:rPr>
        <w:t>Knadel</w:t>
      </w:r>
      <w:proofErr w:type="spellEnd"/>
      <w:r w:rsidRPr="00B35C80">
        <w:rPr>
          <w:rFonts w:ascii="Arial" w:hAnsi="Arial" w:cs="Arial"/>
          <w:sz w:val="20"/>
          <w:szCs w:val="20"/>
          <w:lang w:val="en-GB" w:eastAsia="en-GB"/>
        </w:rPr>
        <w:t xml:space="preserve"> et al., 2015).</w:t>
      </w:r>
    </w:p>
    <w:p w14:paraId="7978C483" w14:textId="77777777" w:rsidR="00522528"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It would, therefore, be beneficial to further explore these factors in other contexts or using alternative preprocessing methods, including more advanced approaches such as diffusion correction techniques or deep learning methods to optimize spectral information extraction (Baath et al., 2018; Shrestha et al., 2021).</w:t>
      </w:r>
    </w:p>
    <w:p w14:paraId="2917BF2A" w14:textId="77777777" w:rsidR="009A0910"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This study provides a solid foundation for comparing NIRS and MIRS as tools for predicting soil organic carbon. It also highlights the importance of other factors, such as data quality and model optimization, that may have a more significant impact on prediction accuracy. Future work could focus on integrating new machine learning approaches and evaluating these techniques in more varied environmental contexts.</w:t>
      </w:r>
    </w:p>
    <w:p w14:paraId="0F0D858D" w14:textId="77777777" w:rsidR="000D5FDE" w:rsidRPr="00BB0E74" w:rsidRDefault="000D5FDE" w:rsidP="00BB0E74">
      <w:pPr>
        <w:pStyle w:val="ConcHead"/>
        <w:spacing w:after="0"/>
        <w:jc w:val="both"/>
        <w:rPr>
          <w:rFonts w:ascii="Arial" w:hAnsi="Arial" w:cs="Arial"/>
        </w:rPr>
      </w:pPr>
      <w:r w:rsidRPr="00BB0E74">
        <w:rPr>
          <w:rFonts w:ascii="Arial" w:hAnsi="Arial" w:cs="Arial"/>
        </w:rPr>
        <w:lastRenderedPageBreak/>
        <w:t>4. Conclusion</w:t>
      </w:r>
    </w:p>
    <w:p w14:paraId="14C93D27" w14:textId="77777777" w:rsidR="003658F9" w:rsidRDefault="000D5FDE" w:rsidP="000D5FDE">
      <w:pPr>
        <w:pStyle w:val="NormalWeb"/>
        <w:jc w:val="both"/>
        <w:rPr>
          <w:rFonts w:ascii="Arial" w:hAnsi="Arial" w:cs="Arial"/>
          <w:sz w:val="20"/>
          <w:szCs w:val="20"/>
          <w:lang w:val="en-GB" w:eastAsia="en-GB"/>
        </w:rPr>
      </w:pPr>
      <w:r w:rsidRPr="000D5FDE">
        <w:rPr>
          <w:color w:val="000000"/>
          <w:lang w:val="en-US"/>
        </w:rPr>
        <w:br/>
      </w:r>
      <w:r w:rsidRPr="000D5FDE">
        <w:rPr>
          <w:rFonts w:ascii="Arial" w:hAnsi="Arial" w:cs="Arial"/>
          <w:sz w:val="20"/>
          <w:szCs w:val="20"/>
          <w:lang w:val="en-GB" w:eastAsia="en-GB"/>
        </w:rPr>
        <w:t xml:space="preserve">The results of this study emphasize the importance of selecting appropriate learning models and preprocessing techniques to improve the accuracy of predictions for soil organic carbon based on NIRS and MIRS spectra. Among the models tested, SVM and Random Forest, combined with </w:t>
      </w:r>
      <w:proofErr w:type="spellStart"/>
      <w:r w:rsidRPr="000D5FDE">
        <w:rPr>
          <w:rFonts w:ascii="Arial" w:hAnsi="Arial" w:cs="Arial"/>
          <w:sz w:val="20"/>
          <w:szCs w:val="20"/>
          <w:lang w:val="en-GB" w:eastAsia="en-GB"/>
        </w:rPr>
        <w:t>Savitzky</w:t>
      </w:r>
      <w:proofErr w:type="spellEnd"/>
      <w:r w:rsidRPr="000D5FDE">
        <w:rPr>
          <w:rFonts w:ascii="Arial" w:hAnsi="Arial" w:cs="Arial"/>
          <w:sz w:val="20"/>
          <w:szCs w:val="20"/>
          <w:lang w:val="en-GB" w:eastAsia="en-GB"/>
        </w:rPr>
        <w:t>-Golay (SG) preprocessing, displayed the best performance for NIRS, achieving R² values over 0.83 and RPD values above 2.0. In contrast, performance for MIRS remained generally lower, with R² values not exceeding 0.75 and RPD often below 1.8, indicating more limited prediction capacity.</w:t>
      </w:r>
    </w:p>
    <w:p w14:paraId="073BCD39" w14:textId="77777777" w:rsidR="00790ADA" w:rsidRPr="00BB169D" w:rsidRDefault="000D5FDE" w:rsidP="00BB169D">
      <w:pPr>
        <w:pStyle w:val="NormalWeb"/>
        <w:jc w:val="both"/>
        <w:rPr>
          <w:rFonts w:ascii="Arial" w:hAnsi="Arial" w:cs="Arial"/>
          <w:sz w:val="20"/>
          <w:szCs w:val="20"/>
          <w:lang w:val="en-GB" w:eastAsia="en-GB"/>
        </w:rPr>
      </w:pPr>
      <w:r w:rsidRPr="000D5FDE">
        <w:rPr>
          <w:rFonts w:ascii="Arial" w:hAnsi="Arial" w:cs="Arial"/>
          <w:sz w:val="20"/>
          <w:szCs w:val="20"/>
          <w:lang w:val="en-GB" w:eastAsia="en-GB"/>
        </w:rPr>
        <w:t xml:space="preserve">However, these results do not allow for a definitive conclusion regarding the superiority of one spectroscopic technique over the other. The observed variability in performance suggests that other factors, such as soil mineral composition, grain size, and moisture, may influence the spectral response and model accuracy. Therefore, further studies with larger (&gt;1000 samples) and more diverse datasets are necessary to deepen the understanding of the underlying mechanisms behind these differences and optimize preprocessing and </w:t>
      </w:r>
      <w:proofErr w:type="spellStart"/>
      <w:r w:rsidRPr="000D5FDE">
        <w:rPr>
          <w:rFonts w:ascii="Arial" w:hAnsi="Arial" w:cs="Arial"/>
          <w:sz w:val="20"/>
          <w:szCs w:val="20"/>
          <w:lang w:val="en-GB" w:eastAsia="en-GB"/>
        </w:rPr>
        <w:t>modeling</w:t>
      </w:r>
      <w:proofErr w:type="spellEnd"/>
      <w:r w:rsidRPr="000D5FDE">
        <w:rPr>
          <w:rFonts w:ascii="Arial" w:hAnsi="Arial" w:cs="Arial"/>
          <w:sz w:val="20"/>
          <w:szCs w:val="20"/>
          <w:lang w:val="en-GB" w:eastAsia="en-GB"/>
        </w:rPr>
        <w:t xml:space="preserve"> strategies.</w:t>
      </w:r>
      <w:r w:rsidRPr="000D5FDE">
        <w:rPr>
          <w:rFonts w:ascii="Arial" w:hAnsi="Arial" w:cs="Arial"/>
          <w:sz w:val="20"/>
          <w:szCs w:val="20"/>
          <w:lang w:val="en-GB" w:eastAsia="en-GB"/>
        </w:rPr>
        <w:br/>
        <w:t>Finally, exploring new approaches, such as integrating deep neural networks or using advanced spectral interference correction techniques, could further enhance the robustness of predictive models. Extending the study to tropical or arid soils would also help better define the optimal conditions for using near and mid-infrared spectroscopy for soil organic carbon quantification.</w:t>
      </w:r>
    </w:p>
    <w:p w14:paraId="4BF8C020" w14:textId="77777777" w:rsidR="002B685A" w:rsidRPr="002B685A" w:rsidRDefault="002B685A" w:rsidP="00441B6F">
      <w:pPr>
        <w:pStyle w:val="ReferHead"/>
        <w:spacing w:after="0"/>
        <w:jc w:val="both"/>
        <w:rPr>
          <w:rFonts w:ascii="Arial" w:hAnsi="Arial" w:cs="Arial"/>
          <w:bCs/>
        </w:rPr>
      </w:pPr>
    </w:p>
    <w:p w14:paraId="20EF64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EEF996" w14:textId="77777777" w:rsidR="00790ADA" w:rsidRDefault="00790ADA" w:rsidP="00441B6F">
      <w:pPr>
        <w:pStyle w:val="ReferHead"/>
        <w:spacing w:after="0"/>
        <w:jc w:val="both"/>
        <w:rPr>
          <w:rFonts w:ascii="Arial" w:hAnsi="Arial" w:cs="Arial"/>
        </w:rPr>
      </w:pPr>
    </w:p>
    <w:p w14:paraId="5CE9B1BA" w14:textId="77777777" w:rsidR="00917E86" w:rsidRPr="003D7745" w:rsidRDefault="00917E86" w:rsidP="00917E86">
      <w:pPr>
        <w:pStyle w:val="NormalWeb"/>
        <w:rPr>
          <w:color w:val="000000"/>
          <w:lang w:val="en-US"/>
        </w:rPr>
      </w:pPr>
      <w:r w:rsidRPr="003D7745">
        <w:rPr>
          <w:color w:val="000000"/>
          <w:lang w:val="en-US"/>
        </w:rPr>
        <w:t xml:space="preserve">Baath, R., </w:t>
      </w:r>
      <w:proofErr w:type="spellStart"/>
      <w:r w:rsidRPr="003D7745">
        <w:rPr>
          <w:color w:val="000000"/>
          <w:lang w:val="en-US"/>
        </w:rPr>
        <w:t>Wadoux</w:t>
      </w:r>
      <w:proofErr w:type="spellEnd"/>
      <w:r w:rsidRPr="003D7745">
        <w:rPr>
          <w:color w:val="000000"/>
          <w:lang w:val="en-US"/>
        </w:rPr>
        <w:t xml:space="preserve">, A. M. J. C., &amp; </w:t>
      </w:r>
      <w:proofErr w:type="spellStart"/>
      <w:r w:rsidRPr="003D7745">
        <w:rPr>
          <w:color w:val="000000"/>
          <w:lang w:val="en-US"/>
        </w:rPr>
        <w:t>Minasny</w:t>
      </w:r>
      <w:proofErr w:type="spellEnd"/>
      <w:r w:rsidRPr="003D7745">
        <w:rPr>
          <w:color w:val="000000"/>
          <w:lang w:val="en-US"/>
        </w:rPr>
        <w:t>, B. (2018). Improving soil carbon predictions with ensemble learning and spatial covariates.</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337</w:t>
      </w:r>
      <w:r w:rsidRPr="003D7745">
        <w:rPr>
          <w:color w:val="000000"/>
          <w:lang w:val="en-US"/>
        </w:rPr>
        <w:t>, 229-239.</w:t>
      </w:r>
      <w:r w:rsidRPr="003D7745">
        <w:rPr>
          <w:rStyle w:val="apple-converted-space"/>
          <w:color w:val="000000"/>
          <w:lang w:val="en-US"/>
        </w:rPr>
        <w:t> </w:t>
      </w:r>
      <w:r w:rsidRPr="003D7745">
        <w:rPr>
          <w:color w:val="000000"/>
          <w:lang w:val="en-US"/>
        </w:rPr>
        <w:t>https://doi.org/10.1016/j.geoderma.2018.09.003</w:t>
      </w:r>
    </w:p>
    <w:p w14:paraId="0C541C4B" w14:textId="77777777" w:rsidR="00917E86" w:rsidRPr="003D7745" w:rsidRDefault="00917E86" w:rsidP="00917E86">
      <w:pPr>
        <w:pStyle w:val="NormalWeb"/>
        <w:rPr>
          <w:color w:val="000000"/>
          <w:lang w:val="en-US"/>
        </w:rPr>
      </w:pPr>
      <w:r w:rsidRPr="003D7745">
        <w:rPr>
          <w:color w:val="000000"/>
          <w:lang w:val="en-US"/>
        </w:rPr>
        <w:t xml:space="preserve">Barnes, R. J., Dhanoa, M. S., &amp; Lister, S. J. (1989). Standard Normal Variate </w:t>
      </w:r>
      <w:commentRangeStart w:id="6"/>
      <w:r w:rsidRPr="003D7745">
        <w:rPr>
          <w:color w:val="000000"/>
          <w:lang w:val="en-US"/>
        </w:rPr>
        <w:t>transformation</w:t>
      </w:r>
      <w:commentRangeEnd w:id="6"/>
      <w:r w:rsidR="002D4C51">
        <w:rPr>
          <w:rStyle w:val="CommentReference"/>
          <w:lang w:val="nb-NO" w:eastAsia="nb-NO"/>
        </w:rPr>
        <w:commentReference w:id="6"/>
      </w:r>
      <w:r w:rsidRPr="003D7745">
        <w:rPr>
          <w:color w:val="000000"/>
          <w:lang w:val="en-US"/>
        </w:rPr>
        <w:t xml:space="preserve"> and de-trending of near-infrared diffuse reflectance spectra.</w:t>
      </w:r>
      <w:r w:rsidRPr="003D7745">
        <w:rPr>
          <w:rStyle w:val="apple-converted-space"/>
          <w:color w:val="000000"/>
          <w:lang w:val="en-US"/>
        </w:rPr>
        <w:t> </w:t>
      </w:r>
      <w:r w:rsidRPr="003D7745">
        <w:rPr>
          <w:rStyle w:val="Emphasis"/>
          <w:color w:val="000000"/>
          <w:lang w:val="en-US"/>
        </w:rPr>
        <w:t>Applied Spectroscopy, 43</w:t>
      </w:r>
      <w:r w:rsidRPr="003D7745">
        <w:rPr>
          <w:color w:val="000000"/>
          <w:lang w:val="en-US"/>
        </w:rPr>
        <w:t>(5), 772-777.</w:t>
      </w:r>
      <w:r w:rsidRPr="003D7745">
        <w:rPr>
          <w:rStyle w:val="apple-converted-space"/>
          <w:color w:val="000000"/>
          <w:lang w:val="en-US"/>
        </w:rPr>
        <w:t> </w:t>
      </w:r>
      <w:r w:rsidRPr="003D7745">
        <w:rPr>
          <w:color w:val="000000"/>
          <w:lang w:val="en-US"/>
        </w:rPr>
        <w:t>https://doi.org/10.1366/0003702894202201</w:t>
      </w:r>
    </w:p>
    <w:p w14:paraId="11CE160E" w14:textId="77777777" w:rsidR="00917E86" w:rsidRPr="003D7745" w:rsidRDefault="00917E86" w:rsidP="00917E86">
      <w:pPr>
        <w:pStyle w:val="NormalWeb"/>
        <w:rPr>
          <w:color w:val="000000"/>
          <w:lang w:val="en-US"/>
        </w:rPr>
      </w:pPr>
      <w:r>
        <w:rPr>
          <w:color w:val="000000"/>
        </w:rPr>
        <w:t xml:space="preserve">Barthès, B. G., Brunet, D., Hien, E., et al. </w:t>
      </w:r>
      <w:r w:rsidRPr="003D7745">
        <w:rPr>
          <w:color w:val="000000"/>
          <w:lang w:val="en-US"/>
        </w:rPr>
        <w:t>(2016). Improving the predictions of soil carbon and nitrogen contents by infrared reflectance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276</w:t>
      </w:r>
      <w:r w:rsidRPr="003D7745">
        <w:rPr>
          <w:color w:val="000000"/>
          <w:lang w:val="en-US"/>
        </w:rPr>
        <w:t>, 41-50.</w:t>
      </w:r>
      <w:r w:rsidRPr="003D7745">
        <w:rPr>
          <w:rStyle w:val="apple-converted-space"/>
          <w:color w:val="000000"/>
          <w:lang w:val="en-US"/>
        </w:rPr>
        <w:t> </w:t>
      </w:r>
      <w:r w:rsidRPr="003D7745">
        <w:rPr>
          <w:color w:val="000000"/>
          <w:lang w:val="en-US"/>
        </w:rPr>
        <w:t>https://doi.org/10.1016/j.geoderma.2016.04.020</w:t>
      </w:r>
    </w:p>
    <w:p w14:paraId="2A30E264" w14:textId="77777777" w:rsidR="00917E86" w:rsidRPr="003D7745" w:rsidRDefault="00917E86" w:rsidP="00917E86">
      <w:pPr>
        <w:pStyle w:val="NormalWeb"/>
        <w:rPr>
          <w:color w:val="000000"/>
          <w:lang w:val="en-US"/>
        </w:rPr>
      </w:pPr>
      <w:proofErr w:type="spellStart"/>
      <w:r w:rsidRPr="003D7745">
        <w:rPr>
          <w:color w:val="000000"/>
          <w:lang w:val="en-US"/>
        </w:rPr>
        <w:t>Batjes</w:t>
      </w:r>
      <w:proofErr w:type="spellEnd"/>
      <w:r w:rsidRPr="003D7745">
        <w:rPr>
          <w:color w:val="000000"/>
          <w:lang w:val="en-US"/>
        </w:rPr>
        <w:t>, N. H. (2014). Total carbon and nitrogen in the soils of the world.</w:t>
      </w:r>
      <w:r w:rsidRPr="003D7745">
        <w:rPr>
          <w:rStyle w:val="apple-converted-space"/>
          <w:color w:val="000000"/>
          <w:lang w:val="en-US"/>
        </w:rPr>
        <w:t> </w:t>
      </w:r>
      <w:r w:rsidRPr="003D7745">
        <w:rPr>
          <w:rStyle w:val="Emphasis"/>
          <w:color w:val="000000"/>
          <w:lang w:val="en-US"/>
        </w:rPr>
        <w:t>European Journal of Soil Science, 65</w:t>
      </w:r>
      <w:r w:rsidRPr="003D7745">
        <w:rPr>
          <w:color w:val="000000"/>
          <w:lang w:val="en-US"/>
        </w:rPr>
        <w:t>(1), 10-21.</w:t>
      </w:r>
      <w:r w:rsidRPr="003D7745">
        <w:rPr>
          <w:rStyle w:val="apple-converted-space"/>
          <w:color w:val="000000"/>
          <w:lang w:val="en-US"/>
        </w:rPr>
        <w:t> </w:t>
      </w:r>
      <w:r w:rsidRPr="003D7745">
        <w:rPr>
          <w:color w:val="000000"/>
          <w:lang w:val="en-US"/>
        </w:rPr>
        <w:t>https://doi.org/10.1111/ejss.12114</w:t>
      </w:r>
    </w:p>
    <w:p w14:paraId="3069DEDC" w14:textId="77777777" w:rsidR="00917E86" w:rsidRPr="003D7745" w:rsidRDefault="00917E86" w:rsidP="00917E86">
      <w:pPr>
        <w:pStyle w:val="NormalWeb"/>
        <w:rPr>
          <w:color w:val="000000"/>
          <w:lang w:val="en-US"/>
        </w:rPr>
      </w:pPr>
      <w:r w:rsidRPr="003D7745">
        <w:rPr>
          <w:color w:val="000000"/>
          <w:lang w:val="en-US"/>
        </w:rPr>
        <w:t>Bellon-Maurel, V., &amp; McBratney, A. (2011). Near-infrared (NIR) and mid-infrared (MIR) techniques for assessing the soil properties.</w:t>
      </w:r>
      <w:r w:rsidRPr="003D7745">
        <w:rPr>
          <w:rStyle w:val="apple-converted-space"/>
          <w:color w:val="000000"/>
          <w:lang w:val="en-US"/>
        </w:rPr>
        <w:t> </w:t>
      </w:r>
      <w:r w:rsidRPr="003D7745">
        <w:rPr>
          <w:rStyle w:val="Emphasis"/>
          <w:color w:val="000000"/>
          <w:lang w:val="en-US"/>
        </w:rPr>
        <w:t>Journal of Near Infrared Spectroscopy, 19</w:t>
      </w:r>
      <w:r w:rsidRPr="003D7745">
        <w:rPr>
          <w:color w:val="000000"/>
          <w:lang w:val="en-US"/>
        </w:rPr>
        <w:t>(3), 141-158.</w:t>
      </w:r>
      <w:r w:rsidRPr="003D7745">
        <w:rPr>
          <w:rStyle w:val="apple-converted-space"/>
          <w:color w:val="000000"/>
          <w:lang w:val="en-US"/>
        </w:rPr>
        <w:t> </w:t>
      </w:r>
      <w:r w:rsidRPr="003D7745">
        <w:rPr>
          <w:color w:val="000000"/>
          <w:lang w:val="en-US"/>
        </w:rPr>
        <w:t>https://doi.org/10.1255/jnirs.946</w:t>
      </w:r>
    </w:p>
    <w:p w14:paraId="6897712A" w14:textId="77777777" w:rsidR="00917E86" w:rsidRPr="003D7745" w:rsidRDefault="00917E86" w:rsidP="00917E86">
      <w:pPr>
        <w:pStyle w:val="NormalWeb"/>
        <w:rPr>
          <w:color w:val="000000"/>
          <w:lang w:val="en-US"/>
        </w:rPr>
      </w:pPr>
      <w:r w:rsidRPr="003D7745">
        <w:rPr>
          <w:color w:val="000000"/>
          <w:lang w:val="en-US"/>
        </w:rPr>
        <w:t xml:space="preserve">Bellon-Maurel, V., Fernandez-Ahumada, E., </w:t>
      </w:r>
      <w:proofErr w:type="spellStart"/>
      <w:r w:rsidRPr="003D7745">
        <w:rPr>
          <w:color w:val="000000"/>
          <w:lang w:val="en-US"/>
        </w:rPr>
        <w:t>Palagos</w:t>
      </w:r>
      <w:proofErr w:type="spellEnd"/>
      <w:r w:rsidRPr="003D7745">
        <w:rPr>
          <w:color w:val="000000"/>
          <w:lang w:val="en-US"/>
        </w:rPr>
        <w:t xml:space="preserve">, B., Roger, J. M., &amp; McBratney, A. (2010). Critical review of chemometric indicators commonly used for </w:t>
      </w:r>
      <w:r w:rsidRPr="003D7745">
        <w:rPr>
          <w:color w:val="000000"/>
          <w:lang w:val="en-US"/>
        </w:rPr>
        <w:lastRenderedPageBreak/>
        <w:t>assessing the quality of the prediction of soil attributes by NIR spectroscopy.</w:t>
      </w:r>
      <w:r w:rsidRPr="003D7745">
        <w:rPr>
          <w:rStyle w:val="apple-converted-space"/>
          <w:color w:val="000000"/>
          <w:lang w:val="en-US"/>
        </w:rPr>
        <w:t> </w:t>
      </w:r>
      <w:r w:rsidRPr="003D7745">
        <w:rPr>
          <w:rStyle w:val="Emphasis"/>
          <w:color w:val="000000"/>
          <w:lang w:val="en-US"/>
        </w:rPr>
        <w:t>Trends in Analytical Chemistry, 29</w:t>
      </w:r>
      <w:r w:rsidRPr="003D7745">
        <w:rPr>
          <w:color w:val="000000"/>
          <w:lang w:val="en-US"/>
        </w:rPr>
        <w:t>(9), 1073-1081.</w:t>
      </w:r>
      <w:r w:rsidRPr="003D7745">
        <w:rPr>
          <w:rStyle w:val="apple-converted-space"/>
          <w:color w:val="000000"/>
          <w:lang w:val="en-US"/>
        </w:rPr>
        <w:t> </w:t>
      </w:r>
      <w:r w:rsidRPr="003D7745">
        <w:rPr>
          <w:color w:val="000000"/>
          <w:lang w:val="en-US"/>
        </w:rPr>
        <w:t>https://doi.org/10.1016/j.trac.2010.05.006</w:t>
      </w:r>
    </w:p>
    <w:p w14:paraId="14DD50E5" w14:textId="77777777" w:rsidR="00917E86" w:rsidRPr="003D7745" w:rsidRDefault="00917E86" w:rsidP="00917E86">
      <w:pPr>
        <w:pStyle w:val="NormalWeb"/>
        <w:rPr>
          <w:color w:val="000000"/>
          <w:lang w:val="en-US"/>
        </w:rPr>
      </w:pPr>
      <w:proofErr w:type="spellStart"/>
      <w:r w:rsidRPr="003D7745">
        <w:rPr>
          <w:color w:val="000000"/>
          <w:lang w:val="en-US"/>
        </w:rPr>
        <w:t>Breiman</w:t>
      </w:r>
      <w:proofErr w:type="spellEnd"/>
      <w:r w:rsidRPr="003D7745">
        <w:rPr>
          <w:color w:val="000000"/>
          <w:lang w:val="en-US"/>
        </w:rPr>
        <w:t>, L. (2001). Random forests.</w:t>
      </w:r>
      <w:r w:rsidRPr="003D7745">
        <w:rPr>
          <w:rStyle w:val="apple-converted-space"/>
          <w:color w:val="000000"/>
          <w:lang w:val="en-US"/>
        </w:rPr>
        <w:t> </w:t>
      </w:r>
      <w:r w:rsidRPr="003D7745">
        <w:rPr>
          <w:rStyle w:val="Emphasis"/>
          <w:color w:val="000000"/>
          <w:lang w:val="en-US"/>
        </w:rPr>
        <w:t>Machine Learning, 45</w:t>
      </w:r>
      <w:r w:rsidRPr="003D7745">
        <w:rPr>
          <w:color w:val="000000"/>
          <w:lang w:val="en-US"/>
        </w:rPr>
        <w:t>(1), 5-32.</w:t>
      </w:r>
      <w:r w:rsidRPr="003D7745">
        <w:rPr>
          <w:rStyle w:val="apple-converted-space"/>
          <w:color w:val="000000"/>
          <w:lang w:val="en-US"/>
        </w:rPr>
        <w:t> </w:t>
      </w:r>
      <w:r w:rsidRPr="003D7745">
        <w:rPr>
          <w:color w:val="000000"/>
          <w:lang w:val="en-US"/>
        </w:rPr>
        <w:t>https://doi.org/10.1023/A:1010933404324</w:t>
      </w:r>
    </w:p>
    <w:p w14:paraId="0975259B" w14:textId="77777777" w:rsidR="00917E86" w:rsidRPr="003D7745" w:rsidRDefault="00917E86" w:rsidP="00917E86">
      <w:pPr>
        <w:pStyle w:val="NormalWeb"/>
        <w:rPr>
          <w:color w:val="000000"/>
          <w:lang w:val="en-US"/>
        </w:rPr>
      </w:pPr>
      <w:r w:rsidRPr="003D7745">
        <w:rPr>
          <w:color w:val="000000"/>
          <w:lang w:val="en-US"/>
        </w:rPr>
        <w:t xml:space="preserve">Chang, C. W., Laird, D. A., Mausbach, M. J., &amp; </w:t>
      </w:r>
      <w:proofErr w:type="spellStart"/>
      <w:r w:rsidRPr="003D7745">
        <w:rPr>
          <w:color w:val="000000"/>
          <w:lang w:val="en-US"/>
        </w:rPr>
        <w:t>Hurburgh</w:t>
      </w:r>
      <w:proofErr w:type="spellEnd"/>
      <w:r w:rsidRPr="003D7745">
        <w:rPr>
          <w:color w:val="000000"/>
          <w:lang w:val="en-US"/>
        </w:rPr>
        <w:t>, C. R. (2001). Near-infrared reflectance spectroscopy–principal components regression analyses of soil properties.</w:t>
      </w:r>
      <w:r w:rsidRPr="003D7745">
        <w:rPr>
          <w:rStyle w:val="apple-converted-space"/>
          <w:color w:val="000000"/>
          <w:lang w:val="en-US"/>
        </w:rPr>
        <w:t> </w:t>
      </w:r>
      <w:r w:rsidRPr="003D7745">
        <w:rPr>
          <w:rStyle w:val="Emphasis"/>
          <w:color w:val="000000"/>
          <w:lang w:val="en-US"/>
        </w:rPr>
        <w:t>Soil Science Society of America Journal, 65</w:t>
      </w:r>
      <w:r w:rsidRPr="003D7745">
        <w:rPr>
          <w:color w:val="000000"/>
          <w:lang w:val="en-US"/>
        </w:rPr>
        <w:t>(2), 480-490.</w:t>
      </w:r>
      <w:r w:rsidRPr="003D7745">
        <w:rPr>
          <w:rStyle w:val="apple-converted-space"/>
          <w:color w:val="000000"/>
          <w:lang w:val="en-US"/>
        </w:rPr>
        <w:t> </w:t>
      </w:r>
      <w:r w:rsidRPr="003D7745">
        <w:rPr>
          <w:color w:val="000000"/>
          <w:lang w:val="en-US"/>
        </w:rPr>
        <w:t>https://doi.org/10.2136/sssaj2001.652480x</w:t>
      </w:r>
    </w:p>
    <w:p w14:paraId="6E305890" w14:textId="77777777" w:rsidR="00917E86" w:rsidRPr="003D7745" w:rsidRDefault="00917E86" w:rsidP="00917E86">
      <w:pPr>
        <w:pStyle w:val="NormalWeb"/>
        <w:rPr>
          <w:color w:val="000000"/>
          <w:lang w:val="en-US"/>
        </w:rPr>
      </w:pPr>
      <w:r w:rsidRPr="003D7745">
        <w:rPr>
          <w:color w:val="000000"/>
          <w:lang w:val="en-US"/>
        </w:rPr>
        <w:t xml:space="preserve">Chen, T., &amp; </w:t>
      </w:r>
      <w:proofErr w:type="spellStart"/>
      <w:r w:rsidRPr="003D7745">
        <w:rPr>
          <w:color w:val="000000"/>
          <w:lang w:val="en-US"/>
        </w:rPr>
        <w:t>Guestrin</w:t>
      </w:r>
      <w:proofErr w:type="spellEnd"/>
      <w:r w:rsidRPr="003D7745">
        <w:rPr>
          <w:color w:val="000000"/>
          <w:lang w:val="en-US"/>
        </w:rPr>
        <w:t xml:space="preserve">, C. (2016). </w:t>
      </w:r>
      <w:proofErr w:type="spellStart"/>
      <w:r w:rsidRPr="003D7745">
        <w:rPr>
          <w:color w:val="000000"/>
          <w:lang w:val="en-US"/>
        </w:rPr>
        <w:t>XGBoost</w:t>
      </w:r>
      <w:proofErr w:type="spellEnd"/>
      <w:r w:rsidRPr="003D7745">
        <w:rPr>
          <w:color w:val="000000"/>
          <w:lang w:val="en-US"/>
        </w:rPr>
        <w:t>: A scalable tree boosting system.</w:t>
      </w:r>
      <w:r w:rsidRPr="003D7745">
        <w:rPr>
          <w:rStyle w:val="apple-converted-space"/>
          <w:color w:val="000000"/>
          <w:lang w:val="en-US"/>
        </w:rPr>
        <w:t> </w:t>
      </w:r>
      <w:r w:rsidRPr="003D7745">
        <w:rPr>
          <w:rStyle w:val="Emphasis"/>
          <w:color w:val="000000"/>
          <w:lang w:val="en-US"/>
        </w:rPr>
        <w:t>Proceedings of the 22nd ACM SIGKDD International Conference on Knowledge Discovery and Data Mining</w:t>
      </w:r>
      <w:r w:rsidRPr="003D7745">
        <w:rPr>
          <w:color w:val="000000"/>
          <w:lang w:val="en-US"/>
        </w:rPr>
        <w:t>, 785-794.</w:t>
      </w:r>
      <w:r w:rsidRPr="003D7745">
        <w:rPr>
          <w:rStyle w:val="apple-converted-space"/>
          <w:color w:val="000000"/>
          <w:lang w:val="en-US"/>
        </w:rPr>
        <w:t> </w:t>
      </w:r>
      <w:r w:rsidRPr="003D7745">
        <w:rPr>
          <w:color w:val="000000"/>
          <w:lang w:val="en-US"/>
        </w:rPr>
        <w:t>https://doi.org/10.1145/2939672.2939785</w:t>
      </w:r>
    </w:p>
    <w:p w14:paraId="4FC2816D" w14:textId="77777777" w:rsidR="00917E86" w:rsidRPr="003D7745" w:rsidRDefault="00917E86" w:rsidP="00917E86">
      <w:pPr>
        <w:pStyle w:val="NormalWeb"/>
        <w:rPr>
          <w:color w:val="000000"/>
          <w:lang w:val="en-US"/>
        </w:rPr>
      </w:pPr>
      <w:r w:rsidRPr="003D7745">
        <w:rPr>
          <w:color w:val="000000"/>
          <w:lang w:val="en-US"/>
        </w:rPr>
        <w:t>Conforti, M., et al. (2015). Comparing different preprocessing techniques and models to predict soil properties from NIR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267</w:t>
      </w:r>
      <w:r w:rsidRPr="003D7745">
        <w:rPr>
          <w:color w:val="000000"/>
          <w:lang w:val="en-US"/>
        </w:rPr>
        <w:t>, 54-63.</w:t>
      </w:r>
      <w:r w:rsidRPr="003D7745">
        <w:rPr>
          <w:rStyle w:val="apple-converted-space"/>
          <w:color w:val="000000"/>
          <w:lang w:val="en-US"/>
        </w:rPr>
        <w:t> </w:t>
      </w:r>
      <w:r w:rsidRPr="003D7745">
        <w:rPr>
          <w:color w:val="000000"/>
          <w:lang w:val="en-US"/>
        </w:rPr>
        <w:t>https://doi.org/10.1016/j.geoderma.2015.12.020</w:t>
      </w:r>
    </w:p>
    <w:p w14:paraId="73EC08D6" w14:textId="77777777" w:rsidR="00917E86" w:rsidRPr="003D7745" w:rsidRDefault="00917E86" w:rsidP="00917E86">
      <w:pPr>
        <w:pStyle w:val="NormalWeb"/>
        <w:rPr>
          <w:color w:val="000000"/>
          <w:lang w:val="en-US"/>
        </w:rPr>
      </w:pPr>
      <w:r w:rsidRPr="003D7745">
        <w:rPr>
          <w:color w:val="000000"/>
          <w:lang w:val="en-US"/>
        </w:rPr>
        <w:t>Draper, N. R., &amp; Smith, H. (1998).</w:t>
      </w:r>
      <w:r w:rsidRPr="003D7745">
        <w:rPr>
          <w:rStyle w:val="apple-converted-space"/>
          <w:color w:val="000000"/>
          <w:lang w:val="en-US"/>
        </w:rPr>
        <w:t> </w:t>
      </w:r>
      <w:r w:rsidRPr="003D7745">
        <w:rPr>
          <w:rStyle w:val="Emphasis"/>
          <w:color w:val="000000"/>
          <w:lang w:val="en-US"/>
        </w:rPr>
        <w:t>Applied Regression Analysis</w:t>
      </w:r>
      <w:r w:rsidRPr="003D7745">
        <w:rPr>
          <w:color w:val="000000"/>
          <w:lang w:val="en-US"/>
        </w:rPr>
        <w:t>. John Wiley &amp; Sons.</w:t>
      </w:r>
      <w:r w:rsidRPr="003D7745">
        <w:rPr>
          <w:rStyle w:val="apple-converted-space"/>
          <w:color w:val="000000"/>
          <w:lang w:val="en-US"/>
        </w:rPr>
        <w:t> </w:t>
      </w:r>
      <w:r w:rsidRPr="003D7745">
        <w:rPr>
          <w:color w:val="000000"/>
          <w:lang w:val="en-US"/>
        </w:rPr>
        <w:t>https://doi.org/10.1002/9781118625590</w:t>
      </w:r>
    </w:p>
    <w:p w14:paraId="411BFC91" w14:textId="77777777" w:rsidR="00917E86" w:rsidRDefault="00917E86" w:rsidP="00917E86">
      <w:pPr>
        <w:pStyle w:val="NormalWeb"/>
        <w:rPr>
          <w:color w:val="000000"/>
        </w:rPr>
      </w:pPr>
      <w:r>
        <w:rPr>
          <w:color w:val="000000"/>
        </w:rPr>
        <w:t>Feller, C., Albrecht, A., &amp; Tessier, D. (2001). Influence des pratiques culturales sur la dynamique du carbone dans les sols tropicaux.</w:t>
      </w:r>
      <w:r>
        <w:rPr>
          <w:rStyle w:val="apple-converted-space"/>
          <w:color w:val="000000"/>
        </w:rPr>
        <w:t> </w:t>
      </w:r>
      <w:r>
        <w:rPr>
          <w:rStyle w:val="Emphasis"/>
          <w:color w:val="000000"/>
        </w:rPr>
        <w:t>Agronomie, 21</w:t>
      </w:r>
      <w:r>
        <w:rPr>
          <w:color w:val="000000"/>
        </w:rPr>
        <w:t>(4), 343-364.</w:t>
      </w:r>
      <w:r>
        <w:rPr>
          <w:rStyle w:val="apple-converted-space"/>
          <w:color w:val="000000"/>
        </w:rPr>
        <w:t> </w:t>
      </w:r>
      <w:r>
        <w:rPr>
          <w:color w:val="000000"/>
        </w:rPr>
        <w:t>https://doi.org/10.1051/agro:2001134</w:t>
      </w:r>
    </w:p>
    <w:p w14:paraId="69B52635" w14:textId="77777777" w:rsidR="00917E86" w:rsidRPr="003D7745" w:rsidRDefault="00917E86" w:rsidP="00917E86">
      <w:pPr>
        <w:pStyle w:val="NormalWeb"/>
        <w:rPr>
          <w:color w:val="000000"/>
          <w:lang w:val="en-US"/>
        </w:rPr>
      </w:pPr>
      <w:proofErr w:type="spellStart"/>
      <w:r>
        <w:rPr>
          <w:color w:val="000000"/>
        </w:rPr>
        <w:t>Geladi</w:t>
      </w:r>
      <w:proofErr w:type="spellEnd"/>
      <w:r>
        <w:rPr>
          <w:color w:val="000000"/>
        </w:rPr>
        <w:t xml:space="preserve">, P., </w:t>
      </w:r>
      <w:proofErr w:type="spellStart"/>
      <w:r>
        <w:rPr>
          <w:color w:val="000000"/>
        </w:rPr>
        <w:t>MacDougall</w:t>
      </w:r>
      <w:proofErr w:type="spellEnd"/>
      <w:r>
        <w:rPr>
          <w:color w:val="000000"/>
        </w:rPr>
        <w:t xml:space="preserve">, D., &amp; Martens, H. (1985). </w:t>
      </w:r>
      <w:r w:rsidRPr="003D7745">
        <w:rPr>
          <w:color w:val="000000"/>
          <w:lang w:val="en-US"/>
        </w:rPr>
        <w:t>Linearization and scatter-correction for near-infrared reflectance spectra of meat.</w:t>
      </w:r>
      <w:r w:rsidRPr="003D7745">
        <w:rPr>
          <w:rStyle w:val="apple-converted-space"/>
          <w:color w:val="000000"/>
          <w:lang w:val="en-US"/>
        </w:rPr>
        <w:t> </w:t>
      </w:r>
      <w:r w:rsidRPr="003D7745">
        <w:rPr>
          <w:rStyle w:val="Emphasis"/>
          <w:color w:val="000000"/>
          <w:lang w:val="en-US"/>
        </w:rPr>
        <w:t>Applied Spectroscopy, 39</w:t>
      </w:r>
      <w:r w:rsidRPr="003D7745">
        <w:rPr>
          <w:color w:val="000000"/>
          <w:lang w:val="en-US"/>
        </w:rPr>
        <w:t>(3), 491-500.</w:t>
      </w:r>
      <w:r w:rsidRPr="003D7745">
        <w:rPr>
          <w:rStyle w:val="apple-converted-space"/>
          <w:color w:val="000000"/>
          <w:lang w:val="en-US"/>
        </w:rPr>
        <w:t> </w:t>
      </w:r>
      <w:r w:rsidRPr="003D7745">
        <w:rPr>
          <w:color w:val="000000"/>
          <w:lang w:val="en-US"/>
        </w:rPr>
        <w:t>https://doi.org/10.1366/0003702854248656</w:t>
      </w:r>
    </w:p>
    <w:p w14:paraId="6587AFCB" w14:textId="77777777" w:rsidR="00917E86" w:rsidRDefault="00917E86" w:rsidP="00917E86">
      <w:pPr>
        <w:pStyle w:val="NormalWeb"/>
        <w:rPr>
          <w:color w:val="000000"/>
        </w:rPr>
      </w:pPr>
      <w:r w:rsidRPr="003D7745">
        <w:rPr>
          <w:color w:val="000000"/>
          <w:lang w:val="en-US"/>
        </w:rPr>
        <w:t>Gomez, C., Rossel, R. V., &amp; McBratney, A. B. (2008). Soil organic carbon prediction by hyperspectral remote sensing and field VIS-NIR spectroscopy: An Australian case study.</w:t>
      </w:r>
      <w:r w:rsidRPr="003D7745">
        <w:rPr>
          <w:rStyle w:val="apple-converted-space"/>
          <w:color w:val="000000"/>
          <w:lang w:val="en-US"/>
        </w:rPr>
        <w:t> </w:t>
      </w:r>
      <w:proofErr w:type="spellStart"/>
      <w:r>
        <w:rPr>
          <w:rStyle w:val="Emphasis"/>
          <w:color w:val="000000"/>
        </w:rPr>
        <w:t>Geoderma</w:t>
      </w:r>
      <w:proofErr w:type="spellEnd"/>
      <w:r>
        <w:rPr>
          <w:rStyle w:val="Emphasis"/>
          <w:color w:val="000000"/>
        </w:rPr>
        <w:t>, 146</w:t>
      </w:r>
      <w:r>
        <w:rPr>
          <w:color w:val="000000"/>
        </w:rPr>
        <w:t>(3-4), 403-411.</w:t>
      </w:r>
      <w:r>
        <w:rPr>
          <w:rStyle w:val="apple-converted-space"/>
          <w:color w:val="000000"/>
        </w:rPr>
        <w:t> </w:t>
      </w:r>
      <w:r>
        <w:rPr>
          <w:color w:val="000000"/>
        </w:rPr>
        <w:t>https://doi.org/10.1016/j.geoderma.2008.06.011</w:t>
      </w:r>
    </w:p>
    <w:p w14:paraId="216FF835" w14:textId="77777777" w:rsidR="00917E86" w:rsidRPr="003D7745" w:rsidRDefault="00917E86" w:rsidP="00917E86">
      <w:pPr>
        <w:pStyle w:val="NormalWeb"/>
        <w:rPr>
          <w:color w:val="000000"/>
          <w:lang w:val="en-US"/>
        </w:rPr>
      </w:pPr>
      <w:proofErr w:type="spellStart"/>
      <w:r>
        <w:rPr>
          <w:color w:val="000000"/>
        </w:rPr>
        <w:t>Grinand</w:t>
      </w:r>
      <w:proofErr w:type="spellEnd"/>
      <w:r>
        <w:rPr>
          <w:color w:val="000000"/>
        </w:rPr>
        <w:t xml:space="preserve">, C., et al. </w:t>
      </w:r>
      <w:r w:rsidRPr="003D7745">
        <w:rPr>
          <w:color w:val="000000"/>
          <w:lang w:val="en-US"/>
        </w:rPr>
        <w:t>(2016). Estimating soil properties in tropical regions using NIRS.</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xml:space="preserve"> Regional, 7</w:t>
      </w:r>
      <w:r w:rsidRPr="003D7745">
        <w:rPr>
          <w:color w:val="000000"/>
          <w:lang w:val="en-US"/>
        </w:rPr>
        <w:t>(1), 131-141.</w:t>
      </w:r>
      <w:r w:rsidRPr="003D7745">
        <w:rPr>
          <w:rStyle w:val="apple-converted-space"/>
          <w:color w:val="000000"/>
          <w:lang w:val="en-US"/>
        </w:rPr>
        <w:t> </w:t>
      </w:r>
      <w:r w:rsidRPr="003D7745">
        <w:rPr>
          <w:color w:val="000000"/>
          <w:lang w:val="en-US"/>
        </w:rPr>
        <w:t>https://doi.org/10.1016/j.geodrs.2016.02.002</w:t>
      </w:r>
    </w:p>
    <w:p w14:paraId="5F91CD96" w14:textId="77777777" w:rsidR="00917E86" w:rsidRPr="003D7745" w:rsidRDefault="00917E86" w:rsidP="00917E86">
      <w:pPr>
        <w:pStyle w:val="NormalWeb"/>
        <w:rPr>
          <w:color w:val="000000"/>
          <w:lang w:val="en-US"/>
        </w:rPr>
      </w:pPr>
      <w:r w:rsidRPr="003D7745">
        <w:rPr>
          <w:color w:val="000000"/>
          <w:lang w:val="en-US"/>
        </w:rPr>
        <w:t xml:space="preserve">Ji, W., Viscarra Rossel, R. A., Shi, Z., &amp; Zhou, Y. (2015). Accounting for the effects of water and the environment on proximally sensed vis-NIR soil spectra and their </w:t>
      </w:r>
      <w:r w:rsidRPr="003D7745">
        <w:rPr>
          <w:color w:val="000000"/>
          <w:lang w:val="en-US"/>
        </w:rPr>
        <w:lastRenderedPageBreak/>
        <w:t>calibrations.</w:t>
      </w:r>
      <w:r w:rsidRPr="003D7745">
        <w:rPr>
          <w:rStyle w:val="apple-converted-space"/>
          <w:color w:val="000000"/>
          <w:lang w:val="en-US"/>
        </w:rPr>
        <w:t> </w:t>
      </w:r>
      <w:r w:rsidRPr="003D7745">
        <w:rPr>
          <w:rStyle w:val="Emphasis"/>
          <w:color w:val="000000"/>
          <w:lang w:val="en-US"/>
        </w:rPr>
        <w:t>European Journal of Soil Science, 66</w:t>
      </w:r>
      <w:r w:rsidRPr="003D7745">
        <w:rPr>
          <w:color w:val="000000"/>
          <w:lang w:val="en-US"/>
        </w:rPr>
        <w:t>(3), 555-567.</w:t>
      </w:r>
      <w:r w:rsidRPr="003D7745">
        <w:rPr>
          <w:rStyle w:val="apple-converted-space"/>
          <w:color w:val="000000"/>
          <w:lang w:val="en-US"/>
        </w:rPr>
        <w:t> </w:t>
      </w:r>
      <w:r w:rsidRPr="003D7745">
        <w:rPr>
          <w:color w:val="000000"/>
          <w:lang w:val="en-US"/>
        </w:rPr>
        <w:t>https://doi.org/10.1111/ejss.12242</w:t>
      </w:r>
    </w:p>
    <w:p w14:paraId="7788E681" w14:textId="77777777" w:rsidR="00917E86" w:rsidRPr="003D7745" w:rsidRDefault="00917E86" w:rsidP="00917E86">
      <w:pPr>
        <w:pStyle w:val="NormalWeb"/>
        <w:rPr>
          <w:color w:val="000000"/>
          <w:lang w:val="en-US"/>
        </w:rPr>
      </w:pPr>
      <w:r w:rsidRPr="003D7745">
        <w:rPr>
          <w:color w:val="000000"/>
          <w:lang w:val="en-US"/>
        </w:rPr>
        <w:t xml:space="preserve">Janik, L. J., Merry, R. H., &amp; </w:t>
      </w:r>
      <w:proofErr w:type="spellStart"/>
      <w:r w:rsidRPr="003D7745">
        <w:rPr>
          <w:color w:val="000000"/>
          <w:lang w:val="en-US"/>
        </w:rPr>
        <w:t>Skjemstad</w:t>
      </w:r>
      <w:proofErr w:type="spellEnd"/>
      <w:r w:rsidRPr="003D7745">
        <w:rPr>
          <w:color w:val="000000"/>
          <w:lang w:val="en-US"/>
        </w:rPr>
        <w:t>, J. O. (2007). Can mid-infrared diffuse reflectance analysis replace soil extractions?</w:t>
      </w:r>
      <w:r w:rsidRPr="003D7745">
        <w:rPr>
          <w:rStyle w:val="apple-converted-space"/>
          <w:color w:val="000000"/>
          <w:lang w:val="en-US"/>
        </w:rPr>
        <w:t> </w:t>
      </w:r>
      <w:r w:rsidRPr="003D7745">
        <w:rPr>
          <w:rStyle w:val="Emphasis"/>
          <w:color w:val="000000"/>
          <w:lang w:val="en-US"/>
        </w:rPr>
        <w:t>Australian Journal of Soil Research, 45</w:t>
      </w:r>
      <w:r w:rsidRPr="003D7745">
        <w:rPr>
          <w:color w:val="000000"/>
          <w:lang w:val="en-US"/>
        </w:rPr>
        <w:t>(8), 613-622.</w:t>
      </w:r>
      <w:r w:rsidRPr="003D7745">
        <w:rPr>
          <w:rStyle w:val="apple-converted-space"/>
          <w:color w:val="000000"/>
          <w:lang w:val="en-US"/>
        </w:rPr>
        <w:t> </w:t>
      </w:r>
      <w:r w:rsidRPr="003D7745">
        <w:rPr>
          <w:color w:val="000000"/>
          <w:lang w:val="en-US"/>
        </w:rPr>
        <w:t>https://doi.org/10.1071/SR07085</w:t>
      </w:r>
    </w:p>
    <w:p w14:paraId="59FFDC19" w14:textId="77777777" w:rsidR="00917E86" w:rsidRPr="003D7745" w:rsidRDefault="00917E86" w:rsidP="00917E86">
      <w:pPr>
        <w:pStyle w:val="NormalWeb"/>
        <w:rPr>
          <w:color w:val="000000"/>
          <w:lang w:val="en-US"/>
        </w:rPr>
      </w:pPr>
      <w:proofErr w:type="spellStart"/>
      <w:r w:rsidRPr="003D7745">
        <w:rPr>
          <w:color w:val="000000"/>
          <w:lang w:val="en-US"/>
        </w:rPr>
        <w:t>Knadel</w:t>
      </w:r>
      <w:proofErr w:type="spellEnd"/>
      <w:r w:rsidRPr="003D7745">
        <w:rPr>
          <w:color w:val="000000"/>
          <w:lang w:val="en-US"/>
        </w:rPr>
        <w:t>, M., Rossel, R. A. V., Deng, F., Thomsen, A., &amp; Greve, M. H. (2015). Comparing predictive abilities of three quantitative soil organic carbon mapping methods using visible-near-infrared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239</w:t>
      </w:r>
      <w:r w:rsidRPr="003D7745">
        <w:rPr>
          <w:color w:val="000000"/>
          <w:lang w:val="en-US"/>
        </w:rPr>
        <w:t>, 229-239.</w:t>
      </w:r>
      <w:r w:rsidRPr="003D7745">
        <w:rPr>
          <w:rStyle w:val="apple-converted-space"/>
          <w:color w:val="000000"/>
          <w:lang w:val="en-US"/>
        </w:rPr>
        <w:t> </w:t>
      </w:r>
      <w:r w:rsidRPr="003D7745">
        <w:rPr>
          <w:color w:val="000000"/>
          <w:lang w:val="en-US"/>
        </w:rPr>
        <w:t>https://doi.org/10.1016/j.geoderma.2014.10.019</w:t>
      </w:r>
    </w:p>
    <w:p w14:paraId="47AB8106" w14:textId="77777777" w:rsidR="00917E86" w:rsidRPr="00843DA0" w:rsidRDefault="00917E86" w:rsidP="00917E86">
      <w:pPr>
        <w:pStyle w:val="NormalWeb"/>
        <w:rPr>
          <w:color w:val="000000"/>
          <w:lang w:val="en-US"/>
        </w:rPr>
      </w:pPr>
      <w:r w:rsidRPr="003D7745">
        <w:rPr>
          <w:color w:val="000000"/>
          <w:lang w:val="en-US"/>
        </w:rPr>
        <w:t>Lal, R. (2004). Soil carbon sequestration impacts on global climate change and food security.</w:t>
      </w:r>
      <w:r w:rsidRPr="003D7745">
        <w:rPr>
          <w:rStyle w:val="apple-converted-space"/>
          <w:color w:val="000000"/>
          <w:lang w:val="en-US"/>
        </w:rPr>
        <w:t> </w:t>
      </w:r>
      <w:r w:rsidRPr="00843DA0">
        <w:rPr>
          <w:rStyle w:val="Emphasis"/>
          <w:color w:val="000000"/>
          <w:lang w:val="en-US"/>
        </w:rPr>
        <w:t>Science, 304</w:t>
      </w:r>
      <w:r w:rsidRPr="00843DA0">
        <w:rPr>
          <w:color w:val="000000"/>
          <w:lang w:val="en-US"/>
        </w:rPr>
        <w:t>(5677), 1623-1627.</w:t>
      </w:r>
      <w:r w:rsidRPr="00843DA0">
        <w:rPr>
          <w:rStyle w:val="apple-converted-space"/>
          <w:color w:val="000000"/>
          <w:lang w:val="en-US"/>
        </w:rPr>
        <w:t> </w:t>
      </w:r>
      <w:r w:rsidRPr="00843DA0">
        <w:rPr>
          <w:color w:val="000000"/>
          <w:lang w:val="en-US"/>
        </w:rPr>
        <w:t>https://doi.org/10.1126/science.1097396</w:t>
      </w:r>
    </w:p>
    <w:p w14:paraId="1981AA22" w14:textId="77777777" w:rsidR="00917E86" w:rsidRPr="00843DA0" w:rsidRDefault="00917E86" w:rsidP="00917E86">
      <w:pPr>
        <w:pStyle w:val="NormalWeb"/>
        <w:rPr>
          <w:color w:val="000000"/>
          <w:lang w:val="en-US"/>
        </w:rPr>
      </w:pPr>
      <w:r w:rsidRPr="00843DA0">
        <w:rPr>
          <w:color w:val="000000"/>
          <w:lang w:val="en-US"/>
        </w:rPr>
        <w:t>Lal, R. (2014). Soil carbon sequestration to mitigate climate change.</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241</w:t>
      </w:r>
      <w:r w:rsidRPr="00843DA0">
        <w:rPr>
          <w:color w:val="000000"/>
          <w:lang w:val="en-US"/>
        </w:rPr>
        <w:t>, 1-14.</w:t>
      </w:r>
      <w:r w:rsidRPr="00843DA0">
        <w:rPr>
          <w:rStyle w:val="apple-converted-space"/>
          <w:color w:val="000000"/>
          <w:lang w:val="en-US"/>
        </w:rPr>
        <w:t> </w:t>
      </w:r>
      <w:r w:rsidRPr="00843DA0">
        <w:rPr>
          <w:color w:val="000000"/>
          <w:lang w:val="en-US"/>
        </w:rPr>
        <w:t>https://doi.org/10.1016/j.geoderma.2014.01.016</w:t>
      </w:r>
    </w:p>
    <w:p w14:paraId="1E68A3DC" w14:textId="77777777" w:rsidR="00917E86" w:rsidRPr="00843DA0" w:rsidRDefault="00917E86" w:rsidP="00917E86">
      <w:pPr>
        <w:pStyle w:val="NormalWeb"/>
        <w:rPr>
          <w:color w:val="000000"/>
          <w:lang w:val="en-US"/>
        </w:rPr>
      </w:pPr>
      <w:r w:rsidRPr="00843DA0">
        <w:rPr>
          <w:color w:val="000000"/>
          <w:lang w:val="en-US"/>
        </w:rPr>
        <w:t>Liu, X., et al. (2020). Random Forest modeling for predicting soil organic carbon stocks.</w:t>
      </w:r>
      <w:r w:rsidRPr="00843DA0">
        <w:rPr>
          <w:rStyle w:val="apple-converted-space"/>
          <w:color w:val="000000"/>
          <w:lang w:val="en-US"/>
        </w:rPr>
        <w:t> </w:t>
      </w:r>
      <w:r w:rsidRPr="00843DA0">
        <w:rPr>
          <w:rStyle w:val="Emphasis"/>
          <w:color w:val="000000"/>
          <w:lang w:val="en-US"/>
        </w:rPr>
        <w:t>Soil Science Society of America Journal, 84</w:t>
      </w:r>
      <w:r w:rsidRPr="00843DA0">
        <w:rPr>
          <w:color w:val="000000"/>
          <w:lang w:val="en-US"/>
        </w:rPr>
        <w:t>(1), 123-134.</w:t>
      </w:r>
      <w:r w:rsidRPr="00843DA0">
        <w:rPr>
          <w:rStyle w:val="apple-converted-space"/>
          <w:color w:val="000000"/>
          <w:lang w:val="en-US"/>
        </w:rPr>
        <w:t> </w:t>
      </w:r>
      <w:r w:rsidRPr="00843DA0">
        <w:rPr>
          <w:color w:val="000000"/>
          <w:lang w:val="en-US"/>
        </w:rPr>
        <w:t>https://doi.org/10.1002/saj2.20002</w:t>
      </w:r>
    </w:p>
    <w:p w14:paraId="2F62E9AB" w14:textId="77777777" w:rsidR="00917E86" w:rsidRPr="00843DA0" w:rsidRDefault="00917E86" w:rsidP="00917E86">
      <w:pPr>
        <w:pStyle w:val="NormalWeb"/>
        <w:rPr>
          <w:color w:val="000000"/>
          <w:lang w:val="en-US"/>
        </w:rPr>
      </w:pPr>
      <w:proofErr w:type="spellStart"/>
      <w:r w:rsidRPr="00843DA0">
        <w:rPr>
          <w:color w:val="000000"/>
          <w:lang w:val="en-US"/>
        </w:rPr>
        <w:t>Minasny</w:t>
      </w:r>
      <w:proofErr w:type="spellEnd"/>
      <w:r w:rsidRPr="00843DA0">
        <w:rPr>
          <w:color w:val="000000"/>
          <w:lang w:val="en-US"/>
        </w:rPr>
        <w:t>, B., McBratney, A. B., &amp; Viscarra Rossel, R. A. (2011). Soil spectroscopy: A high-throughput analytical technique for soil science.</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163</w:t>
      </w:r>
      <w:r w:rsidRPr="00843DA0">
        <w:rPr>
          <w:color w:val="000000"/>
          <w:lang w:val="en-US"/>
        </w:rPr>
        <w:t>(3-4), 147-156.</w:t>
      </w:r>
      <w:r w:rsidRPr="00843DA0">
        <w:rPr>
          <w:rStyle w:val="apple-converted-space"/>
          <w:color w:val="000000"/>
          <w:lang w:val="en-US"/>
        </w:rPr>
        <w:t> </w:t>
      </w:r>
      <w:r w:rsidRPr="00843DA0">
        <w:rPr>
          <w:color w:val="000000"/>
          <w:lang w:val="en-US"/>
        </w:rPr>
        <w:t>https://doi.org/10.1016/j.geoderma.2011.05.002</w:t>
      </w:r>
    </w:p>
    <w:p w14:paraId="00AB0830" w14:textId="77777777" w:rsidR="00917E86" w:rsidRPr="00843DA0" w:rsidRDefault="00917E86" w:rsidP="00917E86">
      <w:pPr>
        <w:pStyle w:val="NormalWeb"/>
        <w:rPr>
          <w:color w:val="000000"/>
          <w:lang w:val="en-US"/>
        </w:rPr>
      </w:pPr>
      <w:r w:rsidRPr="00843DA0">
        <w:rPr>
          <w:color w:val="000000"/>
          <w:lang w:val="en-US"/>
        </w:rPr>
        <w:t>Nelson, D. W., &amp; Sommers, L. E. (1996). Total carbon, organic carbon, and organic matter.</w:t>
      </w:r>
      <w:r w:rsidRPr="00843DA0">
        <w:rPr>
          <w:rStyle w:val="apple-converted-space"/>
          <w:color w:val="000000"/>
          <w:lang w:val="en-US"/>
        </w:rPr>
        <w:t> </w:t>
      </w:r>
      <w:r w:rsidRPr="00843DA0">
        <w:rPr>
          <w:rStyle w:val="Emphasis"/>
          <w:color w:val="000000"/>
          <w:lang w:val="en-US"/>
        </w:rPr>
        <w:t>Methods of Soil Analysis, 9</w:t>
      </w:r>
      <w:r w:rsidRPr="00843DA0">
        <w:rPr>
          <w:color w:val="000000"/>
          <w:lang w:val="en-US"/>
        </w:rPr>
        <w:t>, 961-1010.</w:t>
      </w:r>
      <w:r w:rsidRPr="00843DA0">
        <w:rPr>
          <w:rStyle w:val="apple-converted-space"/>
          <w:color w:val="000000"/>
          <w:lang w:val="en-US"/>
        </w:rPr>
        <w:t> </w:t>
      </w:r>
      <w:r w:rsidRPr="00843DA0">
        <w:rPr>
          <w:color w:val="000000"/>
          <w:lang w:val="en-US"/>
        </w:rPr>
        <w:t>https://doi.org/10.2136/sssabookser5.3.c34</w:t>
      </w:r>
    </w:p>
    <w:p w14:paraId="3C65BC5B" w14:textId="77777777" w:rsidR="00917E86" w:rsidRPr="00843DA0" w:rsidRDefault="00917E86" w:rsidP="00917E86">
      <w:pPr>
        <w:pStyle w:val="NormalWeb"/>
        <w:rPr>
          <w:color w:val="000000"/>
          <w:lang w:val="en-US"/>
        </w:rPr>
      </w:pPr>
      <w:r w:rsidRPr="00843DA0">
        <w:rPr>
          <w:color w:val="000000"/>
          <w:lang w:val="en-US"/>
        </w:rPr>
        <w:t xml:space="preserve">Ng, W., </w:t>
      </w:r>
      <w:proofErr w:type="spellStart"/>
      <w:r w:rsidRPr="00843DA0">
        <w:rPr>
          <w:color w:val="000000"/>
          <w:lang w:val="en-US"/>
        </w:rPr>
        <w:t>Minasny</w:t>
      </w:r>
      <w:proofErr w:type="spellEnd"/>
      <w:r w:rsidRPr="00843DA0">
        <w:rPr>
          <w:color w:val="000000"/>
          <w:lang w:val="en-US"/>
        </w:rPr>
        <w:t xml:space="preserve">, B., &amp; </w:t>
      </w:r>
      <w:proofErr w:type="spellStart"/>
      <w:r w:rsidRPr="00843DA0">
        <w:rPr>
          <w:color w:val="000000"/>
          <w:lang w:val="en-US"/>
        </w:rPr>
        <w:t>Montazerolghaem</w:t>
      </w:r>
      <w:proofErr w:type="spellEnd"/>
      <w:r w:rsidRPr="00843DA0">
        <w:rPr>
          <w:color w:val="000000"/>
          <w:lang w:val="en-US"/>
        </w:rPr>
        <w:t>, M. (2019). Mid-infrared spectroscopy for soil analysis: Recent advances and future challenges.</w:t>
      </w:r>
      <w:r w:rsidRPr="00843DA0">
        <w:rPr>
          <w:rStyle w:val="apple-converted-space"/>
          <w:color w:val="000000"/>
          <w:lang w:val="en-US"/>
        </w:rPr>
        <w:t> </w:t>
      </w:r>
      <w:r w:rsidRPr="00843DA0">
        <w:rPr>
          <w:rStyle w:val="Emphasis"/>
          <w:color w:val="000000"/>
          <w:lang w:val="en-US"/>
        </w:rPr>
        <w:t>Soil Systems, 3</w:t>
      </w:r>
      <w:r w:rsidRPr="00843DA0">
        <w:rPr>
          <w:color w:val="000000"/>
          <w:lang w:val="en-US"/>
        </w:rPr>
        <w:t>(2), 21.</w:t>
      </w:r>
      <w:r w:rsidRPr="00843DA0">
        <w:rPr>
          <w:rStyle w:val="apple-converted-space"/>
          <w:color w:val="000000"/>
          <w:lang w:val="en-US"/>
        </w:rPr>
        <w:t> </w:t>
      </w:r>
      <w:r w:rsidRPr="00843DA0">
        <w:rPr>
          <w:color w:val="000000"/>
          <w:lang w:val="en-US"/>
        </w:rPr>
        <w:t>https://doi.org/10.3390/soilsystems3020021</w:t>
      </w:r>
    </w:p>
    <w:p w14:paraId="25F7BB44" w14:textId="77777777" w:rsidR="00917E86" w:rsidRPr="00843DA0" w:rsidRDefault="00917E86" w:rsidP="00917E86">
      <w:pPr>
        <w:pStyle w:val="NormalWeb"/>
        <w:rPr>
          <w:color w:val="000000"/>
          <w:lang w:val="en-US"/>
        </w:rPr>
      </w:pPr>
      <w:proofErr w:type="spellStart"/>
      <w:r w:rsidRPr="00843DA0">
        <w:rPr>
          <w:color w:val="000000"/>
          <w:lang w:val="en-US"/>
        </w:rPr>
        <w:t>Rinnan</w:t>
      </w:r>
      <w:proofErr w:type="spellEnd"/>
      <w:r w:rsidRPr="00843DA0">
        <w:rPr>
          <w:color w:val="000000"/>
          <w:lang w:val="en-US"/>
        </w:rPr>
        <w:t>, Å., van den Berg, F., &amp; Engelsen, S. B. (2009). Review of the most common pre-processing techniques for near-infrared spectra.</w:t>
      </w:r>
      <w:r w:rsidRPr="00843DA0">
        <w:rPr>
          <w:rStyle w:val="apple-converted-space"/>
          <w:color w:val="000000"/>
          <w:lang w:val="en-US"/>
        </w:rPr>
        <w:t> </w:t>
      </w:r>
      <w:r w:rsidRPr="00843DA0">
        <w:rPr>
          <w:rStyle w:val="Emphasis"/>
          <w:color w:val="000000"/>
          <w:lang w:val="en-US"/>
        </w:rPr>
        <w:t>Trends in Analytical Chemistry, 28</w:t>
      </w:r>
      <w:r w:rsidRPr="00843DA0">
        <w:rPr>
          <w:color w:val="000000"/>
          <w:lang w:val="en-US"/>
        </w:rPr>
        <w:t>(10), 1201-1222.</w:t>
      </w:r>
      <w:r w:rsidRPr="00843DA0">
        <w:rPr>
          <w:rStyle w:val="apple-converted-space"/>
          <w:color w:val="000000"/>
          <w:lang w:val="en-US"/>
        </w:rPr>
        <w:t> </w:t>
      </w:r>
      <w:r w:rsidRPr="00843DA0">
        <w:rPr>
          <w:color w:val="000000"/>
          <w:lang w:val="en-US"/>
        </w:rPr>
        <w:t>https://doi.org/10.1016/j.trac.2009.07.007</w:t>
      </w:r>
    </w:p>
    <w:p w14:paraId="2BD7D43B" w14:textId="77777777" w:rsidR="00917E86" w:rsidRPr="00843DA0" w:rsidRDefault="00917E86" w:rsidP="00917E86">
      <w:pPr>
        <w:pStyle w:val="NormalWeb"/>
        <w:rPr>
          <w:color w:val="000000"/>
          <w:lang w:val="en-US"/>
        </w:rPr>
      </w:pPr>
      <w:proofErr w:type="spellStart"/>
      <w:r w:rsidRPr="00843DA0">
        <w:rPr>
          <w:color w:val="000000"/>
          <w:lang w:val="en-US"/>
        </w:rPr>
        <w:t>Roudier</w:t>
      </w:r>
      <w:proofErr w:type="spellEnd"/>
      <w:r w:rsidRPr="00843DA0">
        <w:rPr>
          <w:color w:val="000000"/>
          <w:lang w:val="en-US"/>
        </w:rPr>
        <w:t>, P., et al. (2017). Predicting soil properties using SVM: a comparison with PLSR.</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289</w:t>
      </w:r>
      <w:r w:rsidRPr="00843DA0">
        <w:rPr>
          <w:color w:val="000000"/>
          <w:lang w:val="en-US"/>
        </w:rPr>
        <w:t>, 98-109.</w:t>
      </w:r>
      <w:r w:rsidRPr="00843DA0">
        <w:rPr>
          <w:rStyle w:val="apple-converted-space"/>
          <w:color w:val="000000"/>
          <w:lang w:val="en-US"/>
        </w:rPr>
        <w:t> </w:t>
      </w:r>
      <w:r w:rsidRPr="00843DA0">
        <w:rPr>
          <w:color w:val="000000"/>
          <w:lang w:val="en-US"/>
        </w:rPr>
        <w:t>https://doi.org/10.1016/j.geoderma.2016.11.021</w:t>
      </w:r>
    </w:p>
    <w:p w14:paraId="11F59B93" w14:textId="77777777" w:rsidR="00917E86" w:rsidRPr="00843DA0" w:rsidRDefault="00917E86" w:rsidP="00917E86">
      <w:pPr>
        <w:pStyle w:val="NormalWeb"/>
        <w:rPr>
          <w:color w:val="000000"/>
          <w:lang w:val="en-US"/>
        </w:rPr>
      </w:pPr>
      <w:proofErr w:type="spellStart"/>
      <w:r w:rsidRPr="00843DA0">
        <w:rPr>
          <w:color w:val="000000"/>
          <w:lang w:val="en-US"/>
        </w:rPr>
        <w:t>Savitzky</w:t>
      </w:r>
      <w:proofErr w:type="spellEnd"/>
      <w:r w:rsidRPr="00843DA0">
        <w:rPr>
          <w:color w:val="000000"/>
          <w:lang w:val="en-US"/>
        </w:rPr>
        <w:t>, A., &amp; Golay, M. J. E. (1964). Smoothing and differentiation of data by simplified least squares procedures.</w:t>
      </w:r>
      <w:r w:rsidRPr="00843DA0">
        <w:rPr>
          <w:rStyle w:val="apple-converted-space"/>
          <w:color w:val="000000"/>
          <w:lang w:val="en-US"/>
        </w:rPr>
        <w:t> </w:t>
      </w:r>
      <w:r w:rsidRPr="00843DA0">
        <w:rPr>
          <w:rStyle w:val="Emphasis"/>
          <w:color w:val="000000"/>
          <w:lang w:val="en-US"/>
        </w:rPr>
        <w:t>Analytical Chemistry, 36</w:t>
      </w:r>
      <w:r w:rsidRPr="00843DA0">
        <w:rPr>
          <w:color w:val="000000"/>
          <w:lang w:val="en-US"/>
        </w:rPr>
        <w:t>(8), 1627-1639.</w:t>
      </w:r>
      <w:r w:rsidRPr="00843DA0">
        <w:rPr>
          <w:rStyle w:val="apple-converted-space"/>
          <w:color w:val="000000"/>
          <w:lang w:val="en-US"/>
        </w:rPr>
        <w:t> </w:t>
      </w:r>
      <w:r w:rsidRPr="00843DA0">
        <w:rPr>
          <w:color w:val="000000"/>
          <w:lang w:val="en-US"/>
        </w:rPr>
        <w:t>https://doi.org/10.1021/ac60214a047</w:t>
      </w:r>
    </w:p>
    <w:p w14:paraId="165E1C77" w14:textId="77777777" w:rsidR="00917E86" w:rsidRPr="00843DA0" w:rsidRDefault="00917E86" w:rsidP="00917E86">
      <w:pPr>
        <w:pStyle w:val="NormalWeb"/>
        <w:rPr>
          <w:color w:val="000000"/>
          <w:lang w:val="en-US"/>
        </w:rPr>
      </w:pPr>
      <w:r w:rsidRPr="00843DA0">
        <w:rPr>
          <w:color w:val="000000"/>
          <w:lang w:val="en-US"/>
        </w:rPr>
        <w:lastRenderedPageBreak/>
        <w:t>Shepherd, K. D., &amp; Walsh, M. G. (2002). Development of reflectance spectral libraries for characterization of soil properties.</w:t>
      </w:r>
      <w:r w:rsidRPr="00843DA0">
        <w:rPr>
          <w:rStyle w:val="apple-converted-space"/>
          <w:color w:val="000000"/>
          <w:lang w:val="en-US"/>
        </w:rPr>
        <w:t> </w:t>
      </w:r>
      <w:r w:rsidRPr="00843DA0">
        <w:rPr>
          <w:rStyle w:val="Emphasis"/>
          <w:color w:val="000000"/>
          <w:lang w:val="en-US"/>
        </w:rPr>
        <w:t>Soil Science Society of America Journal, 66</w:t>
      </w:r>
      <w:r w:rsidRPr="00843DA0">
        <w:rPr>
          <w:color w:val="000000"/>
          <w:lang w:val="en-US"/>
        </w:rPr>
        <w:t>(3), 988-998.</w:t>
      </w:r>
      <w:r w:rsidRPr="00843DA0">
        <w:rPr>
          <w:rStyle w:val="apple-converted-space"/>
          <w:color w:val="000000"/>
          <w:lang w:val="en-US"/>
        </w:rPr>
        <w:t> </w:t>
      </w:r>
      <w:r w:rsidRPr="00843DA0">
        <w:rPr>
          <w:color w:val="000000"/>
          <w:lang w:val="en-US"/>
        </w:rPr>
        <w:t>https://doi.org/10.2136/sssaj2002.9880</w:t>
      </w:r>
    </w:p>
    <w:p w14:paraId="3376AE57" w14:textId="77777777" w:rsidR="00917E86" w:rsidRPr="00843DA0" w:rsidRDefault="00917E86" w:rsidP="00917E86">
      <w:pPr>
        <w:pStyle w:val="NormalWeb"/>
        <w:rPr>
          <w:color w:val="000000"/>
          <w:lang w:val="en-US"/>
        </w:rPr>
      </w:pPr>
      <w:r w:rsidRPr="00843DA0">
        <w:rPr>
          <w:color w:val="000000"/>
          <w:lang w:val="en-US"/>
        </w:rPr>
        <w:t>Shrestha, R., Mousavi, S. M., Rossel, R. A. V., &amp; McBratney, A. B. (2021). Deep learning for soil organic carbon estimation.</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383</w:t>
      </w:r>
      <w:r w:rsidRPr="00843DA0">
        <w:rPr>
          <w:color w:val="000000"/>
          <w:lang w:val="en-US"/>
        </w:rPr>
        <w:t>, 114753.</w:t>
      </w:r>
      <w:r w:rsidRPr="00843DA0">
        <w:rPr>
          <w:rStyle w:val="apple-converted-space"/>
          <w:color w:val="000000"/>
          <w:lang w:val="en-US"/>
        </w:rPr>
        <w:t> </w:t>
      </w:r>
      <w:r w:rsidRPr="00843DA0">
        <w:rPr>
          <w:color w:val="000000"/>
          <w:lang w:val="en-US"/>
        </w:rPr>
        <w:t>https://doi.org/10.1016/j.geoderma.2020.114753</w:t>
      </w:r>
    </w:p>
    <w:p w14:paraId="6B0B006B" w14:textId="77777777" w:rsidR="00917E86" w:rsidRPr="00843DA0" w:rsidRDefault="00917E86" w:rsidP="00917E86">
      <w:pPr>
        <w:pStyle w:val="NormalWeb"/>
        <w:rPr>
          <w:color w:val="000000"/>
          <w:lang w:val="en-US"/>
        </w:rPr>
      </w:pPr>
      <w:r w:rsidRPr="00843DA0">
        <w:rPr>
          <w:color w:val="000000"/>
          <w:lang w:val="en-US"/>
        </w:rPr>
        <w:t>Six, J., et al. (2002). Soil organic matter, aggregation, and aggregate turnover.</w:t>
      </w:r>
      <w:r w:rsidRPr="00843DA0">
        <w:rPr>
          <w:rStyle w:val="apple-converted-space"/>
          <w:color w:val="000000"/>
          <w:lang w:val="en-US"/>
        </w:rPr>
        <w:t> </w:t>
      </w:r>
      <w:r w:rsidRPr="00843DA0">
        <w:rPr>
          <w:rStyle w:val="Emphasis"/>
          <w:color w:val="000000"/>
          <w:lang w:val="en-US"/>
        </w:rPr>
        <w:t>Soil Science Society of America Journal, 66</w:t>
      </w:r>
      <w:r w:rsidRPr="00843DA0">
        <w:rPr>
          <w:color w:val="000000"/>
          <w:lang w:val="en-US"/>
        </w:rPr>
        <w:t>(4), 1367-1376.</w:t>
      </w:r>
      <w:r w:rsidRPr="00843DA0">
        <w:rPr>
          <w:rStyle w:val="apple-converted-space"/>
          <w:color w:val="000000"/>
          <w:lang w:val="en-US"/>
        </w:rPr>
        <w:t> </w:t>
      </w:r>
      <w:r w:rsidRPr="00843DA0">
        <w:rPr>
          <w:color w:val="000000"/>
          <w:lang w:val="en-US"/>
        </w:rPr>
        <w:t>https://doi.org/10.2136/sssaj2002.1367</w:t>
      </w:r>
    </w:p>
    <w:p w14:paraId="201BE748" w14:textId="77777777" w:rsidR="00917E86" w:rsidRPr="00843DA0" w:rsidRDefault="00917E86" w:rsidP="00917E86">
      <w:pPr>
        <w:pStyle w:val="NormalWeb"/>
        <w:rPr>
          <w:color w:val="000000"/>
          <w:lang w:val="en-US"/>
        </w:rPr>
      </w:pPr>
      <w:r w:rsidRPr="00843DA0">
        <w:rPr>
          <w:color w:val="000000"/>
          <w:lang w:val="en-US"/>
        </w:rPr>
        <w:t xml:space="preserve">Stevens, A., Udelhoven, T., Denis, A., Tychon, B., Lioy, R., Hoffmann, L., &amp; van </w:t>
      </w:r>
      <w:proofErr w:type="spellStart"/>
      <w:r w:rsidRPr="00843DA0">
        <w:rPr>
          <w:color w:val="000000"/>
          <w:lang w:val="en-US"/>
        </w:rPr>
        <w:t>Wesemael</w:t>
      </w:r>
      <w:proofErr w:type="spellEnd"/>
      <w:r w:rsidRPr="00843DA0">
        <w:rPr>
          <w:color w:val="000000"/>
          <w:lang w:val="en-US"/>
        </w:rPr>
        <w:t>, B. (2013). Measuring soil organic carbon in croplands at regional scale using airborne imaging spectroscopy.</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223</w:t>
      </w:r>
      <w:r w:rsidRPr="00843DA0">
        <w:rPr>
          <w:color w:val="000000"/>
          <w:lang w:val="en-US"/>
        </w:rPr>
        <w:t>, 61-67.</w:t>
      </w:r>
      <w:r w:rsidRPr="00843DA0">
        <w:rPr>
          <w:rStyle w:val="apple-converted-space"/>
          <w:color w:val="000000"/>
          <w:lang w:val="en-US"/>
        </w:rPr>
        <w:t> </w:t>
      </w:r>
      <w:r w:rsidRPr="00843DA0">
        <w:rPr>
          <w:color w:val="000000"/>
          <w:lang w:val="en-US"/>
        </w:rPr>
        <w:t>https://doi.org/10.1016/j.geoderma.2013.10.002</w:t>
      </w:r>
    </w:p>
    <w:p w14:paraId="698489E6" w14:textId="77777777" w:rsidR="00917E86" w:rsidRDefault="00917E86" w:rsidP="00917E86">
      <w:pPr>
        <w:pStyle w:val="NormalWeb"/>
        <w:rPr>
          <w:color w:val="000000"/>
        </w:rPr>
      </w:pPr>
      <w:proofErr w:type="spellStart"/>
      <w:r w:rsidRPr="00843DA0">
        <w:rPr>
          <w:color w:val="000000"/>
          <w:lang w:val="en-US"/>
        </w:rPr>
        <w:t>Vapnik</w:t>
      </w:r>
      <w:proofErr w:type="spellEnd"/>
      <w:r w:rsidRPr="00843DA0">
        <w:rPr>
          <w:color w:val="000000"/>
          <w:lang w:val="en-US"/>
        </w:rPr>
        <w:t>, V. (1995).</w:t>
      </w:r>
      <w:r w:rsidRPr="00843DA0">
        <w:rPr>
          <w:rStyle w:val="apple-converted-space"/>
          <w:color w:val="000000"/>
          <w:lang w:val="en-US"/>
        </w:rPr>
        <w:t> </w:t>
      </w:r>
      <w:r w:rsidRPr="00843DA0">
        <w:rPr>
          <w:rStyle w:val="Emphasis"/>
          <w:color w:val="000000"/>
          <w:lang w:val="en-US"/>
        </w:rPr>
        <w:t>The Nature of Statistical Learning Theory</w:t>
      </w:r>
      <w:r w:rsidRPr="00843DA0">
        <w:rPr>
          <w:color w:val="000000"/>
          <w:lang w:val="en-US"/>
        </w:rPr>
        <w:t xml:space="preserve">. </w:t>
      </w:r>
      <w:r>
        <w:rPr>
          <w:color w:val="000000"/>
        </w:rPr>
        <w:t>Springer.</w:t>
      </w:r>
      <w:r>
        <w:rPr>
          <w:rStyle w:val="apple-converted-space"/>
          <w:color w:val="000000"/>
        </w:rPr>
        <w:t> </w:t>
      </w:r>
      <w:r>
        <w:rPr>
          <w:color w:val="000000"/>
        </w:rPr>
        <w:t>https://doi.org/10.1007/978-1-4757-2440-0</w:t>
      </w:r>
    </w:p>
    <w:p w14:paraId="1CAB271B" w14:textId="77777777" w:rsidR="00917E86" w:rsidRPr="00843DA0" w:rsidRDefault="00917E86" w:rsidP="00917E86">
      <w:pPr>
        <w:pStyle w:val="NormalWeb"/>
        <w:rPr>
          <w:color w:val="000000"/>
          <w:lang w:val="en-US"/>
        </w:rPr>
      </w:pPr>
      <w:proofErr w:type="spellStart"/>
      <w:r>
        <w:rPr>
          <w:color w:val="000000"/>
        </w:rPr>
        <w:t>Viscarra</w:t>
      </w:r>
      <w:proofErr w:type="spellEnd"/>
      <w:r>
        <w:rPr>
          <w:color w:val="000000"/>
        </w:rPr>
        <w:t xml:space="preserve"> Rossel, R. A., &amp; Behrens, T. (2010). </w:t>
      </w:r>
      <w:r w:rsidRPr="00843DA0">
        <w:rPr>
          <w:color w:val="000000"/>
          <w:lang w:val="en-US"/>
        </w:rPr>
        <w:t>Using data mining to model and interpret soil diffuse reflectance spectra.</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158</w:t>
      </w:r>
      <w:r w:rsidRPr="00843DA0">
        <w:rPr>
          <w:color w:val="000000"/>
          <w:lang w:val="en-US"/>
        </w:rPr>
        <w:t>(1-2), 46-54.</w:t>
      </w:r>
      <w:r w:rsidRPr="00843DA0">
        <w:rPr>
          <w:rStyle w:val="apple-converted-space"/>
          <w:color w:val="000000"/>
          <w:lang w:val="en-US"/>
        </w:rPr>
        <w:t> </w:t>
      </w:r>
      <w:r w:rsidRPr="00843DA0">
        <w:rPr>
          <w:color w:val="000000"/>
          <w:lang w:val="en-US"/>
        </w:rPr>
        <w:t>https://doi.org/10.1016/j.geoderma.2009.12.025</w:t>
      </w:r>
    </w:p>
    <w:p w14:paraId="6D07F585" w14:textId="77777777" w:rsidR="00917E86" w:rsidRDefault="00917E86" w:rsidP="00917E86">
      <w:pPr>
        <w:pStyle w:val="NormalWeb"/>
        <w:rPr>
          <w:color w:val="000000"/>
        </w:rPr>
      </w:pPr>
      <w:r w:rsidRPr="00843DA0">
        <w:rPr>
          <w:color w:val="000000"/>
          <w:lang w:val="en-US"/>
        </w:rPr>
        <w:t xml:space="preserve">Walkley, A., &amp; Black, I. A. (1934). An examination of the </w:t>
      </w:r>
      <w:proofErr w:type="spellStart"/>
      <w:r w:rsidRPr="00843DA0">
        <w:rPr>
          <w:color w:val="000000"/>
          <w:lang w:val="en-US"/>
        </w:rPr>
        <w:t>Degtjareff</w:t>
      </w:r>
      <w:proofErr w:type="spellEnd"/>
      <w:r w:rsidRPr="00843DA0">
        <w:rPr>
          <w:color w:val="000000"/>
          <w:lang w:val="en-US"/>
        </w:rPr>
        <w:t xml:space="preserve"> method for determining soil organic matter.</w:t>
      </w:r>
      <w:r w:rsidRPr="00843DA0">
        <w:rPr>
          <w:rStyle w:val="apple-converted-space"/>
          <w:color w:val="000000"/>
          <w:lang w:val="en-US"/>
        </w:rPr>
        <w:t> </w:t>
      </w:r>
      <w:proofErr w:type="spellStart"/>
      <w:r>
        <w:rPr>
          <w:rStyle w:val="Emphasis"/>
          <w:color w:val="000000"/>
        </w:rPr>
        <w:t>Soil</w:t>
      </w:r>
      <w:proofErr w:type="spellEnd"/>
      <w:r>
        <w:rPr>
          <w:rStyle w:val="Emphasis"/>
          <w:color w:val="000000"/>
        </w:rPr>
        <w:t xml:space="preserve"> Science, 37</w:t>
      </w:r>
      <w:r>
        <w:rPr>
          <w:color w:val="000000"/>
        </w:rPr>
        <w:t>(1), 29-38.</w:t>
      </w:r>
      <w:r>
        <w:rPr>
          <w:rStyle w:val="apple-converted-space"/>
          <w:color w:val="000000"/>
        </w:rPr>
        <w:t> </w:t>
      </w:r>
      <w:r>
        <w:rPr>
          <w:color w:val="000000"/>
        </w:rPr>
        <w:t>https://doi.org/10.1097/00010694-193401000-00003</w:t>
      </w:r>
    </w:p>
    <w:p w14:paraId="6562F0CA" w14:textId="77777777" w:rsidR="00917E86" w:rsidRPr="00913858" w:rsidRDefault="00917E86" w:rsidP="00917E86">
      <w:pPr>
        <w:pStyle w:val="NormalWeb"/>
        <w:rPr>
          <w:color w:val="000000"/>
          <w:lang w:val="en-US"/>
        </w:rPr>
      </w:pPr>
      <w:proofErr w:type="spellStart"/>
      <w:r>
        <w:rPr>
          <w:color w:val="000000"/>
        </w:rPr>
        <w:t>Willmott</w:t>
      </w:r>
      <w:proofErr w:type="spellEnd"/>
      <w:r>
        <w:rPr>
          <w:color w:val="000000"/>
        </w:rPr>
        <w:t xml:space="preserve">, C. J., &amp; </w:t>
      </w:r>
      <w:proofErr w:type="spellStart"/>
      <w:r>
        <w:rPr>
          <w:color w:val="000000"/>
        </w:rPr>
        <w:t>Matsuura</w:t>
      </w:r>
      <w:proofErr w:type="spellEnd"/>
      <w:r>
        <w:rPr>
          <w:color w:val="000000"/>
        </w:rPr>
        <w:t xml:space="preserve">, K. (2005). </w:t>
      </w:r>
      <w:r w:rsidRPr="00843DA0">
        <w:rPr>
          <w:color w:val="000000"/>
          <w:lang w:val="en-US"/>
        </w:rPr>
        <w:t>Advantages of the mean absolute error (MAE) over the root mean square error (RMSE) in assessing average model performance.</w:t>
      </w:r>
      <w:r w:rsidRPr="00843DA0">
        <w:rPr>
          <w:rStyle w:val="apple-converted-space"/>
          <w:color w:val="000000"/>
          <w:lang w:val="en-US"/>
        </w:rPr>
        <w:t> </w:t>
      </w:r>
      <w:r w:rsidRPr="00913858">
        <w:rPr>
          <w:rStyle w:val="Emphasis"/>
          <w:color w:val="000000"/>
          <w:lang w:val="en-US"/>
        </w:rPr>
        <w:t>Climate Research, 30</w:t>
      </w:r>
      <w:r w:rsidRPr="00913858">
        <w:rPr>
          <w:color w:val="000000"/>
          <w:lang w:val="en-US"/>
        </w:rPr>
        <w:t>(1), 79-82.</w:t>
      </w:r>
      <w:r w:rsidRPr="00913858">
        <w:rPr>
          <w:rStyle w:val="apple-converted-space"/>
          <w:color w:val="000000"/>
          <w:lang w:val="en-US"/>
        </w:rPr>
        <w:t> </w:t>
      </w:r>
      <w:r w:rsidRPr="00913858">
        <w:rPr>
          <w:color w:val="000000"/>
          <w:lang w:val="en-US"/>
        </w:rPr>
        <w:t>https://doi.org/10.3354/cr030079</w:t>
      </w:r>
    </w:p>
    <w:p w14:paraId="1FBC70CB" w14:textId="77777777" w:rsidR="004D4277" w:rsidRPr="00FB3A86" w:rsidRDefault="004D4277" w:rsidP="00441B6F">
      <w:pPr>
        <w:pStyle w:val="Appendix"/>
        <w:spacing w:after="0"/>
        <w:jc w:val="both"/>
        <w:rPr>
          <w:rFonts w:ascii="Arial" w:hAnsi="Arial" w:cs="Arial"/>
          <w:b w:val="0"/>
        </w:rPr>
        <w:sectPr w:rsidR="004D4277" w:rsidRPr="00FB3A86" w:rsidSect="004D6680">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1B3FD572" w14:textId="77777777" w:rsidR="00B01FCD" w:rsidRPr="00FB3A86" w:rsidRDefault="00B01FCD" w:rsidP="00441B6F">
      <w:pPr>
        <w:pStyle w:val="Appendix"/>
        <w:spacing w:after="0"/>
        <w:jc w:val="both"/>
        <w:rPr>
          <w:rFonts w:ascii="Arial" w:hAnsi="Arial" w:cs="Arial"/>
          <w:b w:val="0"/>
        </w:rPr>
      </w:pPr>
    </w:p>
    <w:sectPr w:rsidR="00B01FCD" w:rsidRPr="00FB3A86" w:rsidSect="004D6680">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YA M" w:date="2025-03-13T22:43:00Z" w:initials="JM">
    <w:p w14:paraId="65B8E78C" w14:textId="25232941" w:rsidR="002D4C51" w:rsidRDefault="002D4C51">
      <w:pPr>
        <w:pStyle w:val="CommentText"/>
      </w:pPr>
      <w:r>
        <w:rPr>
          <w:rStyle w:val="CommentReference"/>
        </w:rPr>
        <w:annotationRef/>
      </w:r>
      <w:r w:rsidRPr="002D4C51">
        <w:rPr>
          <w:lang w:val="en-US"/>
        </w:rPr>
        <w:t>Mention potential future directions, such as expanding the study to different soil types or using additional techniques like FT-IR.</w:t>
      </w:r>
    </w:p>
  </w:comment>
  <w:comment w:id="1" w:author="JAYA M" w:date="2025-03-13T22:47:00Z" w:initials="JM">
    <w:p w14:paraId="18747176" w14:textId="0AA286E0" w:rsidR="002D4C51" w:rsidRDefault="002D4C51">
      <w:pPr>
        <w:pStyle w:val="CommentText"/>
      </w:pPr>
      <w:r>
        <w:rPr>
          <w:rStyle w:val="CommentReference"/>
        </w:rPr>
        <w:annotationRef/>
      </w:r>
      <w:r w:rsidRPr="002D4C51">
        <w:rPr>
          <w:lang w:val="en-US"/>
        </w:rPr>
        <w:t>The abstract provides a concise summary of the study, clearly outlining the research problem, methodology, key results, and implications.</w:t>
      </w:r>
    </w:p>
  </w:comment>
  <w:comment w:id="2" w:author="JAYA M" w:date="2025-03-13T22:44:00Z" w:initials="JM">
    <w:p w14:paraId="725E733D" w14:textId="66734EA0" w:rsidR="002D4C51" w:rsidRDefault="002D4C51">
      <w:pPr>
        <w:pStyle w:val="CommentText"/>
      </w:pPr>
      <w:r>
        <w:rPr>
          <w:rStyle w:val="CommentReference"/>
        </w:rPr>
        <w:annotationRef/>
      </w:r>
      <w:r w:rsidRPr="002D4C51">
        <w:rPr>
          <w:lang w:val="en-US"/>
        </w:rPr>
        <w:t>Include more diverse sampling locations (e.g., different soil types, land uses, and climatic zones).</w:t>
      </w:r>
    </w:p>
  </w:comment>
  <w:comment w:id="3" w:author="JAYA M" w:date="2025-03-13T22:45:00Z" w:initials="JM">
    <w:p w14:paraId="1F9AAEAD" w14:textId="6C39E635" w:rsidR="002D4C51" w:rsidRDefault="002D4C51">
      <w:pPr>
        <w:pStyle w:val="CommentText"/>
      </w:pPr>
      <w:r>
        <w:rPr>
          <w:rStyle w:val="CommentReference"/>
        </w:rPr>
        <w:annotationRef/>
      </w:r>
      <w:r w:rsidRPr="002D4C51">
        <w:rPr>
          <w:lang w:val="en-US"/>
        </w:rPr>
        <w:t>Collecting soil samples in different seasons would improve the understanding of SOC fluctuations.</w:t>
      </w:r>
    </w:p>
  </w:comment>
  <w:comment w:id="4" w:author="JAYA M" w:date="2025-03-13T22:45:00Z" w:initials="JM">
    <w:p w14:paraId="4B0E084D" w14:textId="642FF882" w:rsidR="002D4C51" w:rsidRDefault="002D4C51">
      <w:pPr>
        <w:pStyle w:val="CommentText"/>
      </w:pPr>
      <w:r>
        <w:rPr>
          <w:rStyle w:val="CommentReference"/>
        </w:rPr>
        <w:annotationRef/>
      </w:r>
      <w:r w:rsidRPr="002D4C51">
        <w:rPr>
          <w:lang w:val="en-US"/>
        </w:rPr>
        <w:t>Adding FT-IR spectroscopy could enhance the molecular characterization of SOC.</w:t>
      </w:r>
    </w:p>
  </w:comment>
  <w:comment w:id="5" w:author="JAYA M" w:date="2025-03-13T22:47:00Z" w:initials="JM">
    <w:p w14:paraId="5ACD9F2E" w14:textId="704CAB64" w:rsidR="002D4C51" w:rsidRDefault="002D4C51">
      <w:pPr>
        <w:pStyle w:val="CommentText"/>
      </w:pPr>
      <w:r>
        <w:rPr>
          <w:rStyle w:val="CommentReference"/>
        </w:rPr>
        <w:annotationRef/>
      </w:r>
      <w:r w:rsidRPr="002D4C51">
        <w:rPr>
          <w:lang w:val="en-US"/>
        </w:rPr>
        <w:t xml:space="preserve">The combination of spectral preprocessing techniques (SNV, SG, MSC) with machine learning models (PLSR, SVM, Random Forest, </w:t>
      </w:r>
      <w:proofErr w:type="spellStart"/>
      <w:r w:rsidRPr="002D4C51">
        <w:rPr>
          <w:lang w:val="en-US"/>
        </w:rPr>
        <w:t>XGBoost</w:t>
      </w:r>
      <w:proofErr w:type="spellEnd"/>
      <w:r w:rsidRPr="002D4C51">
        <w:rPr>
          <w:lang w:val="en-US"/>
        </w:rPr>
        <w:t>) enhances the robustness of SOC prediction. The study effectively leverages modern computational tools to improve accuracy.</w:t>
      </w:r>
    </w:p>
  </w:comment>
  <w:comment w:id="6" w:author="JAYA M" w:date="2025-03-13T22:42:00Z" w:initials="JM">
    <w:p w14:paraId="19265DB7" w14:textId="6FE600C8" w:rsidR="002D4C51" w:rsidRDefault="002D4C5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B8E78C" w15:done="0"/>
  <w15:commentEx w15:paraId="18747176" w15:done="0"/>
  <w15:commentEx w15:paraId="725E733D" w15:done="0"/>
  <w15:commentEx w15:paraId="1F9AAEAD" w15:done="0"/>
  <w15:commentEx w15:paraId="4B0E084D" w15:done="0"/>
  <w15:commentEx w15:paraId="5ACD9F2E" w15:done="0"/>
  <w15:commentEx w15:paraId="19265D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A722C1" w16cex:dateUtc="2025-03-13T17:13:00Z"/>
  <w16cex:commentExtensible w16cex:durableId="3EAA3D61" w16cex:dateUtc="2025-03-13T17:17:00Z"/>
  <w16cex:commentExtensible w16cex:durableId="324EDDD4" w16cex:dateUtc="2025-03-13T17:14:00Z"/>
  <w16cex:commentExtensible w16cex:durableId="180AAEF2" w16cex:dateUtc="2025-03-13T17:15:00Z"/>
  <w16cex:commentExtensible w16cex:durableId="0A4752F5" w16cex:dateUtc="2025-03-13T17:15:00Z"/>
  <w16cex:commentExtensible w16cex:durableId="3908B6EF" w16cex:dateUtc="2025-03-13T17:17:00Z"/>
  <w16cex:commentExtensible w16cex:durableId="681E9999" w16cex:dateUtc="2025-03-13T17: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B8E78C" w16cid:durableId="2CA722C1"/>
  <w16cid:commentId w16cid:paraId="18747176" w16cid:durableId="3EAA3D61"/>
  <w16cid:commentId w16cid:paraId="725E733D" w16cid:durableId="324EDDD4"/>
  <w16cid:commentId w16cid:paraId="1F9AAEAD" w16cid:durableId="180AAEF2"/>
  <w16cid:commentId w16cid:paraId="4B0E084D" w16cid:durableId="0A4752F5"/>
  <w16cid:commentId w16cid:paraId="5ACD9F2E" w16cid:durableId="3908B6EF"/>
  <w16cid:commentId w16cid:paraId="19265DB7" w16cid:durableId="681E99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2FC3B" w14:textId="77777777" w:rsidR="00BA3F30" w:rsidRDefault="00BA3F30" w:rsidP="00C37E61">
      <w:r>
        <w:separator/>
      </w:r>
    </w:p>
  </w:endnote>
  <w:endnote w:type="continuationSeparator" w:id="0">
    <w:p w14:paraId="105D9C51" w14:textId="77777777" w:rsidR="00BA3F30" w:rsidRDefault="00BA3F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B0E7E" w14:textId="77777777" w:rsidR="004D6680" w:rsidRDefault="004D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1937" w14:textId="77777777" w:rsidR="004D6680" w:rsidRDefault="004D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94456" w14:textId="187E4E71" w:rsidR="00754C9A" w:rsidRPr="004D6680" w:rsidRDefault="00754C9A" w:rsidP="004D66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67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F2177" w14:textId="77777777" w:rsidR="00BA3F30" w:rsidRDefault="00BA3F30" w:rsidP="00C37E61">
      <w:r>
        <w:separator/>
      </w:r>
    </w:p>
  </w:footnote>
  <w:footnote w:type="continuationSeparator" w:id="0">
    <w:p w14:paraId="3B1C7347" w14:textId="77777777" w:rsidR="00BA3F30" w:rsidRDefault="00BA3F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6DE3F" w14:textId="79DC9375" w:rsidR="004D6680" w:rsidRDefault="00000000">
    <w:pPr>
      <w:pStyle w:val="Header"/>
    </w:pPr>
    <w:r>
      <w:rPr>
        <w:noProof/>
      </w:rPr>
      <w:pict w14:anchorId="03F57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A925" w14:textId="1AB20A8F" w:rsidR="004D6680" w:rsidRDefault="00000000">
    <w:pPr>
      <w:pStyle w:val="Header"/>
    </w:pPr>
    <w:r>
      <w:rPr>
        <w:noProof/>
      </w:rPr>
      <w:pict w14:anchorId="4379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ED551" w14:textId="69E36A08" w:rsidR="00296529" w:rsidRPr="00296529" w:rsidRDefault="00000000" w:rsidP="00296529">
    <w:pPr>
      <w:ind w:left="2160"/>
      <w:jc w:val="center"/>
      <w:rPr>
        <w:rFonts w:ascii="Times New Roman" w:eastAsia="Calibri" w:hAnsi="Times New Roman"/>
        <w:i/>
        <w:sz w:val="18"/>
        <w:szCs w:val="22"/>
      </w:rPr>
    </w:pPr>
    <w:r>
      <w:rPr>
        <w:noProof/>
      </w:rPr>
      <w:pict w14:anchorId="39721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7A53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E13A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A1340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5515C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325A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D7F15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898F1" w14:textId="1037B6F4" w:rsidR="004D6680" w:rsidRDefault="00000000">
    <w:pPr>
      <w:pStyle w:val="Header"/>
    </w:pPr>
    <w:r>
      <w:rPr>
        <w:noProof/>
      </w:rPr>
      <w:pict w14:anchorId="407CD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23000" w14:textId="190C2163" w:rsidR="004D6680" w:rsidRDefault="00000000">
    <w:pPr>
      <w:pStyle w:val="Header"/>
    </w:pPr>
    <w:r>
      <w:rPr>
        <w:noProof/>
      </w:rPr>
      <w:pict w14:anchorId="045A5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AA74E" w14:textId="627AEEF2" w:rsidR="004D6680" w:rsidRDefault="00000000">
    <w:pPr>
      <w:pStyle w:val="Header"/>
    </w:pPr>
    <w:r>
      <w:rPr>
        <w:noProof/>
      </w:rPr>
      <w:pict w14:anchorId="3BB32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91669"/>
    <w:multiLevelType w:val="multilevel"/>
    <w:tmpl w:val="E3FE06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622B41"/>
    <w:multiLevelType w:val="multilevel"/>
    <w:tmpl w:val="28F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193C62"/>
    <w:multiLevelType w:val="multilevel"/>
    <w:tmpl w:val="8BBE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057DD"/>
    <w:multiLevelType w:val="multilevel"/>
    <w:tmpl w:val="E504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53502"/>
    <w:multiLevelType w:val="multilevel"/>
    <w:tmpl w:val="B76658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83C71"/>
    <w:multiLevelType w:val="multilevel"/>
    <w:tmpl w:val="1BD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4C7E03"/>
    <w:multiLevelType w:val="multilevel"/>
    <w:tmpl w:val="188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972BE"/>
    <w:multiLevelType w:val="multilevel"/>
    <w:tmpl w:val="5EC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F642F"/>
    <w:multiLevelType w:val="multilevel"/>
    <w:tmpl w:val="308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52D32D2"/>
    <w:multiLevelType w:val="multilevel"/>
    <w:tmpl w:val="D7C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217846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4292461">
    <w:abstractNumId w:val="21"/>
  </w:num>
  <w:num w:numId="3" w16cid:durableId="603809405">
    <w:abstractNumId w:val="33"/>
  </w:num>
  <w:num w:numId="4" w16cid:durableId="8565878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0761594">
    <w:abstractNumId w:val="8"/>
  </w:num>
  <w:num w:numId="6" w16cid:durableId="179974430">
    <w:abstractNumId w:val="7"/>
  </w:num>
  <w:num w:numId="7" w16cid:durableId="135952771">
    <w:abstractNumId w:val="2"/>
  </w:num>
  <w:num w:numId="8" w16cid:durableId="1624577556">
    <w:abstractNumId w:val="14"/>
  </w:num>
  <w:num w:numId="9" w16cid:durableId="796484514">
    <w:abstractNumId w:val="35"/>
  </w:num>
  <w:num w:numId="10" w16cid:durableId="1703286654">
    <w:abstractNumId w:val="3"/>
  </w:num>
  <w:num w:numId="11" w16cid:durableId="1552574540">
    <w:abstractNumId w:val="28"/>
  </w:num>
  <w:num w:numId="12" w16cid:durableId="2097628617">
    <w:abstractNumId w:val="4"/>
  </w:num>
  <w:num w:numId="13" w16cid:durableId="697631266">
    <w:abstractNumId w:val="26"/>
  </w:num>
  <w:num w:numId="14" w16cid:durableId="2048211536">
    <w:abstractNumId w:val="9"/>
  </w:num>
  <w:num w:numId="15" w16cid:durableId="1724792124">
    <w:abstractNumId w:val="31"/>
  </w:num>
  <w:num w:numId="16" w16cid:durableId="1727491181">
    <w:abstractNumId w:val="6"/>
  </w:num>
  <w:num w:numId="17" w16cid:durableId="1383555462">
    <w:abstractNumId w:val="32"/>
  </w:num>
  <w:num w:numId="18" w16cid:durableId="71128005">
    <w:abstractNumId w:val="16"/>
  </w:num>
  <w:num w:numId="19" w16cid:durableId="1247895">
    <w:abstractNumId w:val="38"/>
  </w:num>
  <w:num w:numId="20" w16cid:durableId="1260872323">
    <w:abstractNumId w:val="12"/>
  </w:num>
  <w:num w:numId="21" w16cid:durableId="398871918">
    <w:abstractNumId w:val="10"/>
  </w:num>
  <w:num w:numId="22" w16cid:durableId="343090240">
    <w:abstractNumId w:val="15"/>
  </w:num>
  <w:num w:numId="23" w16cid:durableId="1039286436">
    <w:abstractNumId w:val="29"/>
  </w:num>
  <w:num w:numId="24" w16cid:durableId="1595286514">
    <w:abstractNumId w:val="36"/>
  </w:num>
  <w:num w:numId="25" w16cid:durableId="22904178">
    <w:abstractNumId w:val="5"/>
  </w:num>
  <w:num w:numId="26" w16cid:durableId="1406495623">
    <w:abstractNumId w:val="23"/>
  </w:num>
  <w:num w:numId="27" w16cid:durableId="1292251040">
    <w:abstractNumId w:val="30"/>
  </w:num>
  <w:num w:numId="28" w16cid:durableId="74211233">
    <w:abstractNumId w:val="37"/>
  </w:num>
  <w:num w:numId="29" w16cid:durableId="1117917928">
    <w:abstractNumId w:val="34"/>
  </w:num>
  <w:num w:numId="30" w16cid:durableId="709501921">
    <w:abstractNumId w:val="11"/>
  </w:num>
  <w:num w:numId="31" w16cid:durableId="1817405941">
    <w:abstractNumId w:val="17"/>
  </w:num>
  <w:num w:numId="32" w16cid:durableId="796870631">
    <w:abstractNumId w:val="13"/>
  </w:num>
  <w:num w:numId="33" w16cid:durableId="63260284">
    <w:abstractNumId w:val="18"/>
  </w:num>
  <w:num w:numId="34" w16cid:durableId="716129238">
    <w:abstractNumId w:val="27"/>
  </w:num>
  <w:num w:numId="35" w16cid:durableId="1650789297">
    <w:abstractNumId w:val="24"/>
  </w:num>
  <w:num w:numId="36" w16cid:durableId="1947880778">
    <w:abstractNumId w:val="22"/>
  </w:num>
  <w:num w:numId="37" w16cid:durableId="1998806177">
    <w:abstractNumId w:val="25"/>
  </w:num>
  <w:num w:numId="38" w16cid:durableId="31348463">
    <w:abstractNumId w:val="20"/>
  </w:num>
  <w:num w:numId="39" w16cid:durableId="1390303521">
    <w:abstractNumId w:val="1"/>
  </w:num>
  <w:num w:numId="40" w16cid:durableId="18665534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A M">
    <w15:presenceInfo w15:providerId="Windows Live" w15:userId="4b501d13a65bf2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979"/>
    <w:rsid w:val="00030174"/>
    <w:rsid w:val="0004579C"/>
    <w:rsid w:val="000531CC"/>
    <w:rsid w:val="00082F77"/>
    <w:rsid w:val="000A47FA"/>
    <w:rsid w:val="000A65D3"/>
    <w:rsid w:val="000B1E33"/>
    <w:rsid w:val="000D5FDE"/>
    <w:rsid w:val="000D689F"/>
    <w:rsid w:val="000E7B7B"/>
    <w:rsid w:val="000E7D62"/>
    <w:rsid w:val="00103357"/>
    <w:rsid w:val="00104084"/>
    <w:rsid w:val="001114A2"/>
    <w:rsid w:val="00123C9F"/>
    <w:rsid w:val="00126190"/>
    <w:rsid w:val="00130F17"/>
    <w:rsid w:val="001320BF"/>
    <w:rsid w:val="00163BC4"/>
    <w:rsid w:val="001909A8"/>
    <w:rsid w:val="00191062"/>
    <w:rsid w:val="00191662"/>
    <w:rsid w:val="00192B72"/>
    <w:rsid w:val="00197A3A"/>
    <w:rsid w:val="001A29D8"/>
    <w:rsid w:val="001A5CAA"/>
    <w:rsid w:val="001B0427"/>
    <w:rsid w:val="001D3A51"/>
    <w:rsid w:val="001E10D2"/>
    <w:rsid w:val="001E25B4"/>
    <w:rsid w:val="001E27DE"/>
    <w:rsid w:val="001E44FE"/>
    <w:rsid w:val="00200595"/>
    <w:rsid w:val="00204835"/>
    <w:rsid w:val="00230A6B"/>
    <w:rsid w:val="00231920"/>
    <w:rsid w:val="0023195C"/>
    <w:rsid w:val="0024282C"/>
    <w:rsid w:val="00243E49"/>
    <w:rsid w:val="002460DC"/>
    <w:rsid w:val="00246395"/>
    <w:rsid w:val="00250985"/>
    <w:rsid w:val="002556F6"/>
    <w:rsid w:val="0026438E"/>
    <w:rsid w:val="00283105"/>
    <w:rsid w:val="00284C4C"/>
    <w:rsid w:val="00287E68"/>
    <w:rsid w:val="00296529"/>
    <w:rsid w:val="002A0280"/>
    <w:rsid w:val="002B27FB"/>
    <w:rsid w:val="002B685A"/>
    <w:rsid w:val="002C57D2"/>
    <w:rsid w:val="002C6350"/>
    <w:rsid w:val="002D4C51"/>
    <w:rsid w:val="002E0D56"/>
    <w:rsid w:val="00315186"/>
    <w:rsid w:val="0033023F"/>
    <w:rsid w:val="0033343E"/>
    <w:rsid w:val="003349F6"/>
    <w:rsid w:val="003506CB"/>
    <w:rsid w:val="003512C2"/>
    <w:rsid w:val="003658F9"/>
    <w:rsid w:val="00371FB6"/>
    <w:rsid w:val="003763C1"/>
    <w:rsid w:val="00376BBE"/>
    <w:rsid w:val="0039224F"/>
    <w:rsid w:val="003A43A4"/>
    <w:rsid w:val="003A7E18"/>
    <w:rsid w:val="003C4C86"/>
    <w:rsid w:val="003C6258"/>
    <w:rsid w:val="003E2904"/>
    <w:rsid w:val="003E4E5E"/>
    <w:rsid w:val="003E63AB"/>
    <w:rsid w:val="00401927"/>
    <w:rsid w:val="0041027F"/>
    <w:rsid w:val="00411F16"/>
    <w:rsid w:val="00412475"/>
    <w:rsid w:val="00423789"/>
    <w:rsid w:val="00440F43"/>
    <w:rsid w:val="00441B6F"/>
    <w:rsid w:val="00446221"/>
    <w:rsid w:val="00450E62"/>
    <w:rsid w:val="004539DB"/>
    <w:rsid w:val="00471A80"/>
    <w:rsid w:val="00485E30"/>
    <w:rsid w:val="00487D01"/>
    <w:rsid w:val="00493008"/>
    <w:rsid w:val="004D07B6"/>
    <w:rsid w:val="004D305E"/>
    <w:rsid w:val="004D4277"/>
    <w:rsid w:val="004D6680"/>
    <w:rsid w:val="004F4A4E"/>
    <w:rsid w:val="004F678B"/>
    <w:rsid w:val="00502516"/>
    <w:rsid w:val="00505F06"/>
    <w:rsid w:val="00506828"/>
    <w:rsid w:val="00522528"/>
    <w:rsid w:val="00523527"/>
    <w:rsid w:val="0053056E"/>
    <w:rsid w:val="0054161F"/>
    <w:rsid w:val="00554FDA"/>
    <w:rsid w:val="0056457E"/>
    <w:rsid w:val="005816CD"/>
    <w:rsid w:val="005B3CA2"/>
    <w:rsid w:val="005C784C"/>
    <w:rsid w:val="005D17F6"/>
    <w:rsid w:val="005D4FCC"/>
    <w:rsid w:val="005E5539"/>
    <w:rsid w:val="005F0C08"/>
    <w:rsid w:val="0060078D"/>
    <w:rsid w:val="00602BF5"/>
    <w:rsid w:val="00617FDD"/>
    <w:rsid w:val="00633614"/>
    <w:rsid w:val="00633F68"/>
    <w:rsid w:val="00636EB2"/>
    <w:rsid w:val="006375B8"/>
    <w:rsid w:val="0066510A"/>
    <w:rsid w:val="00673558"/>
    <w:rsid w:val="00673F9F"/>
    <w:rsid w:val="00686953"/>
    <w:rsid w:val="00687DEA"/>
    <w:rsid w:val="00687E67"/>
    <w:rsid w:val="006967F7"/>
    <w:rsid w:val="006A250C"/>
    <w:rsid w:val="006B21D3"/>
    <w:rsid w:val="006B57D0"/>
    <w:rsid w:val="006D30FF"/>
    <w:rsid w:val="006D6940"/>
    <w:rsid w:val="006E0EFA"/>
    <w:rsid w:val="006F11EC"/>
    <w:rsid w:val="0070082C"/>
    <w:rsid w:val="00702382"/>
    <w:rsid w:val="007369E6"/>
    <w:rsid w:val="00737583"/>
    <w:rsid w:val="00741E9D"/>
    <w:rsid w:val="00746E59"/>
    <w:rsid w:val="007526E6"/>
    <w:rsid w:val="00754C9A"/>
    <w:rsid w:val="0075599A"/>
    <w:rsid w:val="00761D52"/>
    <w:rsid w:val="0077749E"/>
    <w:rsid w:val="007804EF"/>
    <w:rsid w:val="00790ADA"/>
    <w:rsid w:val="007B2935"/>
    <w:rsid w:val="007C5A8B"/>
    <w:rsid w:val="007D2288"/>
    <w:rsid w:val="007E088F"/>
    <w:rsid w:val="007F7B32"/>
    <w:rsid w:val="00804BC2"/>
    <w:rsid w:val="0081431A"/>
    <w:rsid w:val="00817382"/>
    <w:rsid w:val="0083216F"/>
    <w:rsid w:val="00860000"/>
    <w:rsid w:val="00863BD3"/>
    <w:rsid w:val="008641ED"/>
    <w:rsid w:val="00866D66"/>
    <w:rsid w:val="008671C6"/>
    <w:rsid w:val="00875803"/>
    <w:rsid w:val="008A2789"/>
    <w:rsid w:val="008B459E"/>
    <w:rsid w:val="008E13AE"/>
    <w:rsid w:val="008E1506"/>
    <w:rsid w:val="008E710C"/>
    <w:rsid w:val="008F69D6"/>
    <w:rsid w:val="00902823"/>
    <w:rsid w:val="00913858"/>
    <w:rsid w:val="00915CA6"/>
    <w:rsid w:val="00917E86"/>
    <w:rsid w:val="00927834"/>
    <w:rsid w:val="009500A6"/>
    <w:rsid w:val="00957C18"/>
    <w:rsid w:val="009659BA"/>
    <w:rsid w:val="00983040"/>
    <w:rsid w:val="009A091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380"/>
    <w:rsid w:val="00A70D0A"/>
    <w:rsid w:val="00A7292A"/>
    <w:rsid w:val="00A94063"/>
    <w:rsid w:val="00AA313D"/>
    <w:rsid w:val="00AA6219"/>
    <w:rsid w:val="00AA74E0"/>
    <w:rsid w:val="00AB703F"/>
    <w:rsid w:val="00AC6BB8"/>
    <w:rsid w:val="00AE008F"/>
    <w:rsid w:val="00B01FCD"/>
    <w:rsid w:val="00B1776C"/>
    <w:rsid w:val="00B24B2C"/>
    <w:rsid w:val="00B35C80"/>
    <w:rsid w:val="00B52583"/>
    <w:rsid w:val="00B52896"/>
    <w:rsid w:val="00B541BA"/>
    <w:rsid w:val="00B55FFF"/>
    <w:rsid w:val="00B649D0"/>
    <w:rsid w:val="00B835EF"/>
    <w:rsid w:val="00B95236"/>
    <w:rsid w:val="00B96BD9"/>
    <w:rsid w:val="00BA1B01"/>
    <w:rsid w:val="00BA2641"/>
    <w:rsid w:val="00BA3F30"/>
    <w:rsid w:val="00BB0E74"/>
    <w:rsid w:val="00BB169D"/>
    <w:rsid w:val="00BB37AA"/>
    <w:rsid w:val="00BC53A0"/>
    <w:rsid w:val="00BD163C"/>
    <w:rsid w:val="00BE19F5"/>
    <w:rsid w:val="00BE62AD"/>
    <w:rsid w:val="00BF10D0"/>
    <w:rsid w:val="00BF121F"/>
    <w:rsid w:val="00BF1F80"/>
    <w:rsid w:val="00C0140C"/>
    <w:rsid w:val="00C166EF"/>
    <w:rsid w:val="00C17EB0"/>
    <w:rsid w:val="00C27F5F"/>
    <w:rsid w:val="00C30A0F"/>
    <w:rsid w:val="00C313EC"/>
    <w:rsid w:val="00C37E61"/>
    <w:rsid w:val="00C63877"/>
    <w:rsid w:val="00C70F1B"/>
    <w:rsid w:val="00C71A47"/>
    <w:rsid w:val="00C7464C"/>
    <w:rsid w:val="00C80B7C"/>
    <w:rsid w:val="00C85588"/>
    <w:rsid w:val="00CD6755"/>
    <w:rsid w:val="00CD6856"/>
    <w:rsid w:val="00CE0089"/>
    <w:rsid w:val="00CE793C"/>
    <w:rsid w:val="00CF193C"/>
    <w:rsid w:val="00D173F1"/>
    <w:rsid w:val="00D74CB0"/>
    <w:rsid w:val="00D8295D"/>
    <w:rsid w:val="00D942E5"/>
    <w:rsid w:val="00DB77CB"/>
    <w:rsid w:val="00DB791F"/>
    <w:rsid w:val="00DC2A65"/>
    <w:rsid w:val="00DC541D"/>
    <w:rsid w:val="00DE15F0"/>
    <w:rsid w:val="00DE5663"/>
    <w:rsid w:val="00DE78AA"/>
    <w:rsid w:val="00E053D0"/>
    <w:rsid w:val="00E14424"/>
    <w:rsid w:val="00E15994"/>
    <w:rsid w:val="00E3114E"/>
    <w:rsid w:val="00E31A70"/>
    <w:rsid w:val="00E35B02"/>
    <w:rsid w:val="00E47AEB"/>
    <w:rsid w:val="00E66496"/>
    <w:rsid w:val="00E66B35"/>
    <w:rsid w:val="00E66E10"/>
    <w:rsid w:val="00E769F6"/>
    <w:rsid w:val="00E8407C"/>
    <w:rsid w:val="00E84F3C"/>
    <w:rsid w:val="00E9081D"/>
    <w:rsid w:val="00E92517"/>
    <w:rsid w:val="00EA012C"/>
    <w:rsid w:val="00EB588C"/>
    <w:rsid w:val="00EC6A55"/>
    <w:rsid w:val="00ED0288"/>
    <w:rsid w:val="00ED32C8"/>
    <w:rsid w:val="00EE26E5"/>
    <w:rsid w:val="00EE52CB"/>
    <w:rsid w:val="00EF581D"/>
    <w:rsid w:val="00EF7FD8"/>
    <w:rsid w:val="00F06F59"/>
    <w:rsid w:val="00F17988"/>
    <w:rsid w:val="00F45EC0"/>
    <w:rsid w:val="00F469F0"/>
    <w:rsid w:val="00F53273"/>
    <w:rsid w:val="00F70A6D"/>
    <w:rsid w:val="00F74C34"/>
    <w:rsid w:val="00F755E4"/>
    <w:rsid w:val="00F77D02"/>
    <w:rsid w:val="00FB05E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B6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16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24B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6457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80B7C"/>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1909A8"/>
    <w:rPr>
      <w:b/>
      <w:bCs/>
    </w:rPr>
  </w:style>
  <w:style w:type="character" w:customStyle="1" w:styleId="apple-converted-space">
    <w:name w:val="apple-converted-space"/>
    <w:basedOn w:val="DefaultParagraphFont"/>
    <w:rsid w:val="001114A2"/>
  </w:style>
  <w:style w:type="character" w:customStyle="1" w:styleId="Heading3Char">
    <w:name w:val="Heading 3 Char"/>
    <w:basedOn w:val="DefaultParagraphFont"/>
    <w:link w:val="Heading3"/>
    <w:semiHidden/>
    <w:rsid w:val="0054161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56457E"/>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semiHidden/>
    <w:rsid w:val="00B24B2C"/>
    <w:rPr>
      <w:rFonts w:asciiTheme="majorHAnsi" w:eastAsiaTheme="majorEastAsia" w:hAnsiTheme="majorHAnsi" w:cstheme="majorBidi"/>
      <w:i/>
      <w:iCs/>
      <w:color w:val="365F91" w:themeColor="accent1" w:themeShade="BF"/>
    </w:rPr>
  </w:style>
  <w:style w:type="table" w:styleId="PlainTable3">
    <w:name w:val="Plain Table 3"/>
    <w:basedOn w:val="TableNormal"/>
    <w:uiPriority w:val="43"/>
    <w:rsid w:val="00DC54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DC541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2D4C51"/>
    <w:rPr>
      <w:rFonts w:ascii="Helvetica" w:hAnsi="Helvetica"/>
      <w:b/>
      <w:bCs/>
      <w:lang w:val="en-US" w:eastAsia="en-US"/>
    </w:rPr>
  </w:style>
  <w:style w:type="character" w:customStyle="1" w:styleId="CommentSubjectChar">
    <w:name w:val="Comment Subject Char"/>
    <w:basedOn w:val="CommentTextChar"/>
    <w:link w:val="CommentSubject"/>
    <w:semiHidden/>
    <w:rsid w:val="002D4C5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4123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1015686">
      <w:bodyDiv w:val="1"/>
      <w:marLeft w:val="0"/>
      <w:marRight w:val="0"/>
      <w:marTop w:val="0"/>
      <w:marBottom w:val="0"/>
      <w:divBdr>
        <w:top w:val="none" w:sz="0" w:space="0" w:color="auto"/>
        <w:left w:val="none" w:sz="0" w:space="0" w:color="auto"/>
        <w:bottom w:val="none" w:sz="0" w:space="0" w:color="auto"/>
        <w:right w:val="none" w:sz="0" w:space="0" w:color="auto"/>
      </w:divBdr>
    </w:div>
    <w:div w:id="444472417">
      <w:bodyDiv w:val="1"/>
      <w:marLeft w:val="0"/>
      <w:marRight w:val="0"/>
      <w:marTop w:val="0"/>
      <w:marBottom w:val="0"/>
      <w:divBdr>
        <w:top w:val="none" w:sz="0" w:space="0" w:color="auto"/>
        <w:left w:val="none" w:sz="0" w:space="0" w:color="auto"/>
        <w:bottom w:val="none" w:sz="0" w:space="0" w:color="auto"/>
        <w:right w:val="none" w:sz="0" w:space="0" w:color="auto"/>
      </w:divBdr>
    </w:div>
    <w:div w:id="450436000">
      <w:bodyDiv w:val="1"/>
      <w:marLeft w:val="0"/>
      <w:marRight w:val="0"/>
      <w:marTop w:val="0"/>
      <w:marBottom w:val="0"/>
      <w:divBdr>
        <w:top w:val="none" w:sz="0" w:space="0" w:color="auto"/>
        <w:left w:val="none" w:sz="0" w:space="0" w:color="auto"/>
        <w:bottom w:val="none" w:sz="0" w:space="0" w:color="auto"/>
        <w:right w:val="none" w:sz="0" w:space="0" w:color="auto"/>
      </w:divBdr>
    </w:div>
    <w:div w:id="5918583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3143482">
      <w:bodyDiv w:val="1"/>
      <w:marLeft w:val="0"/>
      <w:marRight w:val="0"/>
      <w:marTop w:val="0"/>
      <w:marBottom w:val="0"/>
      <w:divBdr>
        <w:top w:val="none" w:sz="0" w:space="0" w:color="auto"/>
        <w:left w:val="none" w:sz="0" w:space="0" w:color="auto"/>
        <w:bottom w:val="none" w:sz="0" w:space="0" w:color="auto"/>
        <w:right w:val="none" w:sz="0" w:space="0" w:color="auto"/>
      </w:divBdr>
    </w:div>
    <w:div w:id="822624984">
      <w:bodyDiv w:val="1"/>
      <w:marLeft w:val="0"/>
      <w:marRight w:val="0"/>
      <w:marTop w:val="0"/>
      <w:marBottom w:val="0"/>
      <w:divBdr>
        <w:top w:val="none" w:sz="0" w:space="0" w:color="auto"/>
        <w:left w:val="none" w:sz="0" w:space="0" w:color="auto"/>
        <w:bottom w:val="none" w:sz="0" w:space="0" w:color="auto"/>
        <w:right w:val="none" w:sz="0" w:space="0" w:color="auto"/>
      </w:divBdr>
    </w:div>
    <w:div w:id="972712737">
      <w:bodyDiv w:val="1"/>
      <w:marLeft w:val="0"/>
      <w:marRight w:val="0"/>
      <w:marTop w:val="0"/>
      <w:marBottom w:val="0"/>
      <w:divBdr>
        <w:top w:val="none" w:sz="0" w:space="0" w:color="auto"/>
        <w:left w:val="none" w:sz="0" w:space="0" w:color="auto"/>
        <w:bottom w:val="none" w:sz="0" w:space="0" w:color="auto"/>
        <w:right w:val="none" w:sz="0" w:space="0" w:color="auto"/>
      </w:divBdr>
      <w:divsChild>
        <w:div w:id="258217984">
          <w:marLeft w:val="0"/>
          <w:marRight w:val="0"/>
          <w:marTop w:val="0"/>
          <w:marBottom w:val="0"/>
          <w:divBdr>
            <w:top w:val="none" w:sz="0" w:space="0" w:color="auto"/>
            <w:left w:val="none" w:sz="0" w:space="0" w:color="auto"/>
            <w:bottom w:val="none" w:sz="0" w:space="0" w:color="auto"/>
            <w:right w:val="none" w:sz="0" w:space="0" w:color="auto"/>
          </w:divBdr>
          <w:divsChild>
            <w:div w:id="468401917">
              <w:marLeft w:val="0"/>
              <w:marRight w:val="0"/>
              <w:marTop w:val="0"/>
              <w:marBottom w:val="0"/>
              <w:divBdr>
                <w:top w:val="none" w:sz="0" w:space="0" w:color="auto"/>
                <w:left w:val="none" w:sz="0" w:space="0" w:color="auto"/>
                <w:bottom w:val="none" w:sz="0" w:space="0" w:color="auto"/>
                <w:right w:val="none" w:sz="0" w:space="0" w:color="auto"/>
              </w:divBdr>
              <w:divsChild>
                <w:div w:id="383987022">
                  <w:marLeft w:val="0"/>
                  <w:marRight w:val="0"/>
                  <w:marTop w:val="0"/>
                  <w:marBottom w:val="0"/>
                  <w:divBdr>
                    <w:top w:val="none" w:sz="0" w:space="0" w:color="auto"/>
                    <w:left w:val="none" w:sz="0" w:space="0" w:color="auto"/>
                    <w:bottom w:val="none" w:sz="0" w:space="0" w:color="auto"/>
                    <w:right w:val="none" w:sz="0" w:space="0" w:color="auto"/>
                  </w:divBdr>
                  <w:divsChild>
                    <w:div w:id="2057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57602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2884642">
      <w:bodyDiv w:val="1"/>
      <w:marLeft w:val="0"/>
      <w:marRight w:val="0"/>
      <w:marTop w:val="0"/>
      <w:marBottom w:val="0"/>
      <w:divBdr>
        <w:top w:val="none" w:sz="0" w:space="0" w:color="auto"/>
        <w:left w:val="none" w:sz="0" w:space="0" w:color="auto"/>
        <w:bottom w:val="none" w:sz="0" w:space="0" w:color="auto"/>
        <w:right w:val="none" w:sz="0" w:space="0" w:color="auto"/>
      </w:divBdr>
    </w:div>
    <w:div w:id="171993191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0389084">
      <w:bodyDiv w:val="1"/>
      <w:marLeft w:val="0"/>
      <w:marRight w:val="0"/>
      <w:marTop w:val="0"/>
      <w:marBottom w:val="0"/>
      <w:divBdr>
        <w:top w:val="none" w:sz="0" w:space="0" w:color="auto"/>
        <w:left w:val="none" w:sz="0" w:space="0" w:color="auto"/>
        <w:bottom w:val="none" w:sz="0" w:space="0" w:color="auto"/>
        <w:right w:val="none" w:sz="0" w:space="0" w:color="auto"/>
      </w:divBdr>
    </w:div>
    <w:div w:id="1905556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94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5.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3348-CE55-4DC5-892B-B60D0A22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323</TotalTime>
  <Pages>15</Pages>
  <Words>4907</Words>
  <Characters>27970</Characters>
  <Application>Microsoft Office Word</Application>
  <DocSecurity>0</DocSecurity>
  <Lines>233</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32812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JAYA M</cp:lastModifiedBy>
  <cp:revision>45</cp:revision>
  <cp:lastPrinted>1999-07-06T11:00:00Z</cp:lastPrinted>
  <dcterms:created xsi:type="dcterms:W3CDTF">2025-03-07T19:05:00Z</dcterms:created>
  <dcterms:modified xsi:type="dcterms:W3CDTF">2025-03-13T17:18:00Z</dcterms:modified>
</cp:coreProperties>
</file>