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46CFDBB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32C5544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17EC5289" w14:textId="77777777" w:rsidTr="002643B3">
        <w:trPr>
          <w:trHeight w:val="290"/>
        </w:trPr>
        <w:tc>
          <w:tcPr>
            <w:tcW w:w="1234" w:type="pct"/>
          </w:tcPr>
          <w:p w14:paraId="2F2D8075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5D514" w14:textId="77777777" w:rsidR="0000007A" w:rsidRPr="00E65EB7" w:rsidRDefault="00B84E3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227BB" w:rsidRPr="00162B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Annual Research &amp; Review in Biology</w:t>
              </w:r>
            </w:hyperlink>
          </w:p>
        </w:tc>
      </w:tr>
      <w:tr w:rsidR="0000007A" w:rsidRPr="00F245A7" w14:paraId="24E5021F" w14:textId="77777777" w:rsidTr="002643B3">
        <w:trPr>
          <w:trHeight w:val="290"/>
        </w:trPr>
        <w:tc>
          <w:tcPr>
            <w:tcW w:w="1234" w:type="pct"/>
          </w:tcPr>
          <w:p w14:paraId="60270565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D34D" w14:textId="77777777" w:rsidR="0000007A" w:rsidRPr="00F245A7" w:rsidRDefault="00044C9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044C9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Ms_ARRB_132227</w:t>
            </w:r>
          </w:p>
        </w:tc>
      </w:tr>
      <w:tr w:rsidR="0000007A" w:rsidRPr="00F245A7" w14:paraId="29F49A25" w14:textId="77777777" w:rsidTr="002643B3">
        <w:trPr>
          <w:trHeight w:val="650"/>
        </w:trPr>
        <w:tc>
          <w:tcPr>
            <w:tcW w:w="1234" w:type="pct"/>
          </w:tcPr>
          <w:p w14:paraId="008F2E3E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9EDF" w14:textId="77777777" w:rsidR="0000007A" w:rsidRPr="00F245A7" w:rsidRDefault="00044C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044C95">
              <w:rPr>
                <w:rFonts w:ascii="Arial" w:hAnsi="Arial" w:cs="Arial"/>
                <w:b/>
                <w:sz w:val="20"/>
                <w:szCs w:val="28"/>
                <w:lang w:val="en-GB"/>
              </w:rPr>
              <w:t>Helminth parasite and Microbiota in Gut Marine Fish-review</w:t>
            </w:r>
          </w:p>
        </w:tc>
      </w:tr>
      <w:tr w:rsidR="00CF0BBB" w:rsidRPr="00F245A7" w14:paraId="16DB82DC" w14:textId="77777777" w:rsidTr="002643B3">
        <w:trPr>
          <w:trHeight w:val="332"/>
        </w:trPr>
        <w:tc>
          <w:tcPr>
            <w:tcW w:w="1234" w:type="pct"/>
          </w:tcPr>
          <w:p w14:paraId="27CA4736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A292" w14:textId="1011AB41" w:rsidR="00CF0BBB" w:rsidRPr="00F245A7" w:rsidRDefault="007336F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>
              <w:rPr>
                <w:rFonts w:ascii="Arial" w:hAnsi="Arial" w:cs="Vrinda"/>
                <w:b/>
                <w:sz w:val="20"/>
                <w:szCs w:val="28"/>
                <w:lang w:val="en-GB" w:bidi="bn-IN"/>
              </w:rPr>
              <w:t xml:space="preserve">Review </w:t>
            </w:r>
          </w:p>
        </w:tc>
      </w:tr>
    </w:tbl>
    <w:p w14:paraId="7E37FC82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DF13D4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31D58F" w14:textId="77777777" w:rsidR="00B727EF" w:rsidRPr="00900E9B" w:rsidRDefault="00B727EF" w:rsidP="00B727EF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  <w:bookmarkStart w:id="0" w:name="_Hlk171324449"/>
    </w:p>
    <w:p w14:paraId="31DA9FDF" w14:textId="77777777" w:rsidR="00B727EF" w:rsidRPr="00900E9B" w:rsidRDefault="00B727EF" w:rsidP="00B727EF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727EF" w:rsidRPr="00900E9B" w14:paraId="31550F6B" w14:textId="77777777" w:rsidTr="000354D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B340E72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071AFC7E" w14:textId="77777777" w:rsidR="00B727EF" w:rsidRPr="00900E9B" w:rsidRDefault="00B727EF">
            <w:pPr>
              <w:rPr>
                <w:sz w:val="20"/>
                <w:szCs w:val="20"/>
                <w:lang w:val="en-GB"/>
              </w:rPr>
            </w:pPr>
          </w:p>
        </w:tc>
      </w:tr>
      <w:tr w:rsidR="00B727EF" w:rsidRPr="00900E9B" w14:paraId="011CA2BD" w14:textId="77777777" w:rsidTr="000354DB">
        <w:tc>
          <w:tcPr>
            <w:tcW w:w="1265" w:type="pct"/>
            <w:noWrap/>
          </w:tcPr>
          <w:p w14:paraId="273D44B4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74817625" w14:textId="77777777" w:rsidR="00B727EF" w:rsidRDefault="00B727EF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45ACFA20" w14:textId="4554D23A" w:rsidR="004A0484" w:rsidRPr="00BC3EF1" w:rsidRDefault="004A0484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8048986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727EF" w:rsidRPr="00900E9B" w14:paraId="50C7713B" w14:textId="77777777" w:rsidTr="000354DB">
        <w:trPr>
          <w:trHeight w:val="1264"/>
        </w:trPr>
        <w:tc>
          <w:tcPr>
            <w:tcW w:w="1265" w:type="pct"/>
            <w:noWrap/>
          </w:tcPr>
          <w:p w14:paraId="429BE3F5" w14:textId="77777777" w:rsidR="00B727EF" w:rsidRDefault="00B727E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459F8CE7" w14:textId="77777777" w:rsidR="00AD623C" w:rsidRPr="00900E9B" w:rsidRDefault="00AD623C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  <w:p w14:paraId="718509CA" w14:textId="30C7EDAC" w:rsidR="00B727EF" w:rsidRPr="00900E9B" w:rsidRDefault="00B727EF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D5833F" w14:textId="24F65748" w:rsidR="00B727EF" w:rsidRPr="00900E9B" w:rsidRDefault="000354DB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‘</w:t>
            </w:r>
            <w:r w:rsidRPr="00AD623C">
              <w:rPr>
                <w:rFonts w:eastAsia="MS Mincho"/>
                <w:b/>
                <w:bCs/>
                <w:sz w:val="20"/>
                <w:szCs w:val="20"/>
                <w:lang w:val="en-GB"/>
              </w:rPr>
              <w:t>Helminth parasite and Microbiota in Gut Marine Fish-review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’ this title may be replaced by “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>Helminth parasite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s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 and 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Gut 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Microbiota 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interaction 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>in Marine Fish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 in the light of establishing disease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 xml:space="preserve"> a mini </w:t>
            </w:r>
            <w:r w:rsidRPr="001F10BD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</w:t>
            </w:r>
            <w:r>
              <w:rPr>
                <w:rFonts w:eastAsia="MS Mincho"/>
                <w:b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7518BAE9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727EF" w:rsidRPr="00900E9B" w14:paraId="67EB317E" w14:textId="77777777" w:rsidTr="000354DB">
        <w:trPr>
          <w:trHeight w:val="1262"/>
        </w:trPr>
        <w:tc>
          <w:tcPr>
            <w:tcW w:w="1265" w:type="pct"/>
            <w:noWrap/>
          </w:tcPr>
          <w:p w14:paraId="0E4FD68E" w14:textId="77777777" w:rsidR="00B727EF" w:rsidRPr="00900E9B" w:rsidRDefault="00B727E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7E6AB34" w14:textId="77777777" w:rsidR="00B727EF" w:rsidRPr="00900E9B" w:rsidRDefault="00B727E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742A469" w14:textId="7E648CA8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AA24AA" w14:textId="7C36F9BA" w:rsidR="00B727EF" w:rsidRPr="00900E9B" w:rsidRDefault="001153F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but with minor correction as suggested above</w:t>
            </w:r>
          </w:p>
        </w:tc>
        <w:tc>
          <w:tcPr>
            <w:tcW w:w="1523" w:type="pct"/>
          </w:tcPr>
          <w:p w14:paraId="444D6367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727EF" w:rsidRPr="00900E9B" w14:paraId="0D844D69" w14:textId="77777777" w:rsidTr="000354DB">
        <w:trPr>
          <w:trHeight w:val="1262"/>
        </w:trPr>
        <w:tc>
          <w:tcPr>
            <w:tcW w:w="1265" w:type="pct"/>
            <w:noWrap/>
          </w:tcPr>
          <w:p w14:paraId="44D6AF20" w14:textId="77777777" w:rsidR="00B727EF" w:rsidRPr="00900E9B" w:rsidRDefault="00B727EF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7B093E3B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A554F2" w14:textId="39F44AD6" w:rsidR="00B727EF" w:rsidRPr="00900E9B" w:rsidRDefault="00611D9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DB896F6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727EF" w:rsidRPr="00900E9B" w14:paraId="70BBCE3A" w14:textId="77777777" w:rsidTr="000354DB">
        <w:trPr>
          <w:trHeight w:val="704"/>
        </w:trPr>
        <w:tc>
          <w:tcPr>
            <w:tcW w:w="1265" w:type="pct"/>
            <w:noWrap/>
          </w:tcPr>
          <w:p w14:paraId="279A7A28" w14:textId="77777777" w:rsidR="00B727EF" w:rsidRPr="00900E9B" w:rsidRDefault="00B727EF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6C4D0F2B" w14:textId="0462881F" w:rsidR="00B727EF" w:rsidRPr="00C115E9" w:rsidRDefault="00611D9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34BDF21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727EF" w:rsidRPr="00900E9B" w14:paraId="295B9AB3" w14:textId="77777777" w:rsidTr="000354DB">
        <w:trPr>
          <w:trHeight w:val="703"/>
        </w:trPr>
        <w:tc>
          <w:tcPr>
            <w:tcW w:w="1265" w:type="pct"/>
            <w:noWrap/>
          </w:tcPr>
          <w:p w14:paraId="6FE36DB8" w14:textId="77777777" w:rsidR="00B727EF" w:rsidRPr="00E10705" w:rsidRDefault="00B727EF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02F52635" w14:textId="47BA5679" w:rsidR="00B727EF" w:rsidRPr="006F5EBE" w:rsidRDefault="00611D9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1C76432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727EF" w:rsidRPr="00900E9B" w14:paraId="41D4D4D3" w14:textId="77777777" w:rsidTr="000354DB">
        <w:trPr>
          <w:trHeight w:val="386"/>
        </w:trPr>
        <w:tc>
          <w:tcPr>
            <w:tcW w:w="1265" w:type="pct"/>
            <w:noWrap/>
          </w:tcPr>
          <w:p w14:paraId="3A4A88EA" w14:textId="77777777" w:rsidR="00B727EF" w:rsidRPr="00900E9B" w:rsidRDefault="00B727EF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58734236" w14:textId="77777777" w:rsidR="00B727EF" w:rsidRPr="00900E9B" w:rsidRDefault="00B727E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BFFD37" w14:textId="228DB766" w:rsidR="00B727EF" w:rsidRPr="00900E9B" w:rsidRDefault="002F04F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861FA86" w14:textId="77777777" w:rsidR="00B727EF" w:rsidRPr="00900E9B" w:rsidRDefault="00B727EF">
            <w:pPr>
              <w:rPr>
                <w:sz w:val="20"/>
                <w:szCs w:val="20"/>
                <w:lang w:val="en-GB"/>
              </w:rPr>
            </w:pPr>
          </w:p>
        </w:tc>
      </w:tr>
      <w:tr w:rsidR="00B727EF" w:rsidRPr="00900E9B" w14:paraId="505AAFC7" w14:textId="77777777" w:rsidTr="000354DB">
        <w:trPr>
          <w:trHeight w:val="1178"/>
        </w:trPr>
        <w:tc>
          <w:tcPr>
            <w:tcW w:w="1265" w:type="pct"/>
            <w:noWrap/>
          </w:tcPr>
          <w:p w14:paraId="1CF57CF2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0C6FEAC" w14:textId="77777777" w:rsidR="00B727EF" w:rsidRPr="00900E9B" w:rsidRDefault="00B727EF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FED0D88" w14:textId="77777777" w:rsidR="00B727EF" w:rsidRDefault="0095143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Nil</w:t>
            </w:r>
          </w:p>
          <w:p w14:paraId="5C385FD5" w14:textId="77777777" w:rsidR="001D7DCD" w:rsidRDefault="001D7D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79C157A6" w14:textId="77777777" w:rsidR="001D7DCD" w:rsidRDefault="001D7DCD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B07C18">
              <w:rPr>
                <w:b/>
                <w:bCs/>
                <w:sz w:val="20"/>
                <w:szCs w:val="20"/>
              </w:rPr>
              <w:t xml:space="preserve">Title </w:t>
            </w:r>
            <w:proofErr w:type="gramStart"/>
            <w:r w:rsidRPr="00B07C18">
              <w:rPr>
                <w:b/>
                <w:bCs/>
                <w:sz w:val="20"/>
                <w:szCs w:val="20"/>
              </w:rPr>
              <w:t>to  be</w:t>
            </w:r>
            <w:proofErr w:type="gramEnd"/>
            <w:r w:rsidRPr="00B07C18">
              <w:rPr>
                <w:b/>
                <w:bCs/>
                <w:sz w:val="20"/>
                <w:szCs w:val="20"/>
              </w:rPr>
              <w:t xml:space="preserve"> corrected</w:t>
            </w:r>
          </w:p>
          <w:p w14:paraId="094C8361" w14:textId="77777777" w:rsidR="001D7DCD" w:rsidRDefault="001D7DCD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 w:rsidRPr="00B07C1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Feedback loop between Gut microbiota, parasites, and host to be cleared much</w:t>
            </w:r>
          </w:p>
          <w:p w14:paraId="5758CE51" w14:textId="77777777" w:rsidR="001D7DCD" w:rsidRDefault="001D7DCD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Chronic inflammation, dysbiosis can damage gut integrity- making people more prone to infection and lowering fitness and general health --- such type of remark to be explained </w:t>
            </w:r>
            <w:proofErr w:type="gramStart"/>
            <w:r>
              <w:rPr>
                <w:b/>
                <w:bCs/>
                <w:sz w:val="20"/>
                <w:szCs w:val="20"/>
              </w:rPr>
              <w:t>very  clearly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with proper documentation </w:t>
            </w:r>
          </w:p>
          <w:p w14:paraId="04EFEE78" w14:textId="77777777" w:rsidR="001D7DCD" w:rsidRDefault="001D7DCD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Host immune system weakened by microbial imbalance --- this type of statement needs support of molecular data, graphs, pictorials</w:t>
            </w:r>
          </w:p>
          <w:p w14:paraId="039C1A6F" w14:textId="77777777" w:rsidR="001D7DCD" w:rsidRPr="002A11FA" w:rsidRDefault="001D7DCD" w:rsidP="001D7DCD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Competitive exclusion and Immunological regulation --- needs to establish in detail in the MS</w:t>
            </w:r>
          </w:p>
          <w:p w14:paraId="3D24CD26" w14:textId="0B6FD7F2" w:rsidR="001D7DCD" w:rsidRPr="001D7DCD" w:rsidRDefault="001D7DC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3" w:type="pct"/>
          </w:tcPr>
          <w:p w14:paraId="47DEFB47" w14:textId="77777777" w:rsidR="00B727EF" w:rsidRPr="00900E9B" w:rsidRDefault="00B727EF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2164F18" w14:textId="77777777" w:rsidR="00B727EF" w:rsidRPr="00900E9B" w:rsidRDefault="00B727EF" w:rsidP="00B727E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CE51179" w14:textId="77777777" w:rsidR="00B727EF" w:rsidRPr="00900E9B" w:rsidRDefault="00B727EF" w:rsidP="00B727E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ADC5348" w14:textId="77777777" w:rsidR="00B727EF" w:rsidRPr="00900E9B" w:rsidRDefault="00B727EF" w:rsidP="00B727EF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5"/>
        <w:gridCol w:w="879"/>
      </w:tblGrid>
      <w:tr w:rsidR="00D86EC2" w:rsidRPr="00F22A7B" w14:paraId="5133466B" w14:textId="77777777" w:rsidTr="00B325C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E5D6" w14:textId="77777777" w:rsidR="00D86EC2" w:rsidRPr="00F22A7B" w:rsidRDefault="00D86EC2" w:rsidP="00B325C5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71333471"/>
            <w:r w:rsidRPr="00F22A7B">
              <w:rPr>
                <w:b/>
                <w:bCs/>
                <w:sz w:val="20"/>
                <w:szCs w:val="20"/>
                <w:u w:val="single"/>
                <w:lang w:val="en-GB"/>
              </w:rPr>
              <w:t>Editorial Comments (This section is reserved for the comments from journal editorial office and editors):</w:t>
            </w:r>
          </w:p>
          <w:p w14:paraId="0455232E" w14:textId="77777777" w:rsidR="00D86EC2" w:rsidRPr="00F22A7B" w:rsidRDefault="00D86EC2" w:rsidP="00B325C5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6EC2" w:rsidRPr="00F22A7B" w14:paraId="04BA9FD1" w14:textId="77777777" w:rsidTr="00B325C5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1653E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C45B" w14:textId="77777777" w:rsidR="00D86EC2" w:rsidRPr="00F22A7B" w:rsidRDefault="00D86EC2" w:rsidP="00B325C5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22A7B">
              <w:rPr>
                <w:sz w:val="20"/>
                <w:szCs w:val="20"/>
                <w:lang w:val="en-GB"/>
              </w:rPr>
              <w:t>Author’s Feedback</w:t>
            </w:r>
          </w:p>
        </w:tc>
      </w:tr>
      <w:tr w:rsidR="00D86EC2" w:rsidRPr="00F22A7B" w14:paraId="22E4FDC1" w14:textId="77777777" w:rsidTr="00B325C5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1D6B7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23E6F064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  <w:r w:rsidRPr="00F22A7B">
              <w:rPr>
                <w:sz w:val="20"/>
                <w:szCs w:val="20"/>
                <w:lang w:val="en-GB"/>
              </w:rPr>
              <w:t>You are hereby suggested to include following recent references to improve the quality of the manuscript.</w:t>
            </w:r>
          </w:p>
          <w:p w14:paraId="6DA0F1DC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526B7457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7F5B0B56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  <w:r w:rsidRPr="006A5300">
              <w:rPr>
                <w:sz w:val="20"/>
                <w:szCs w:val="20"/>
                <w:lang w:val="en-GB"/>
              </w:rPr>
              <w:t xml:space="preserve">Colin Y, </w:t>
            </w:r>
            <w:proofErr w:type="spellStart"/>
            <w:r w:rsidRPr="006A5300">
              <w:rPr>
                <w:sz w:val="20"/>
                <w:szCs w:val="20"/>
                <w:lang w:val="en-GB"/>
              </w:rPr>
              <w:t>Molbert</w:t>
            </w:r>
            <w:proofErr w:type="spellEnd"/>
            <w:r w:rsidRPr="006A5300">
              <w:rPr>
                <w:sz w:val="20"/>
                <w:szCs w:val="20"/>
                <w:lang w:val="en-GB"/>
              </w:rPr>
              <w:t xml:space="preserve"> N, Berthe T, Agostini S, </w:t>
            </w:r>
            <w:proofErr w:type="spellStart"/>
            <w:r w:rsidRPr="006A5300">
              <w:rPr>
                <w:sz w:val="20"/>
                <w:szCs w:val="20"/>
                <w:lang w:val="en-GB"/>
              </w:rPr>
              <w:t>Alliot</w:t>
            </w:r>
            <w:proofErr w:type="spellEnd"/>
            <w:r w:rsidRPr="006A5300">
              <w:rPr>
                <w:sz w:val="20"/>
                <w:szCs w:val="20"/>
                <w:lang w:val="en-GB"/>
              </w:rPr>
              <w:t xml:space="preserve"> F, </w:t>
            </w:r>
            <w:proofErr w:type="spellStart"/>
            <w:r w:rsidRPr="006A5300">
              <w:rPr>
                <w:sz w:val="20"/>
                <w:szCs w:val="20"/>
                <w:lang w:val="en-GB"/>
              </w:rPr>
              <w:t>Decencière</w:t>
            </w:r>
            <w:proofErr w:type="spellEnd"/>
            <w:r w:rsidRPr="006A5300">
              <w:rPr>
                <w:sz w:val="20"/>
                <w:szCs w:val="20"/>
                <w:lang w:val="en-GB"/>
              </w:rPr>
              <w:t xml:space="preserve"> B, </w:t>
            </w:r>
            <w:proofErr w:type="spellStart"/>
            <w:r w:rsidRPr="006A5300">
              <w:rPr>
                <w:sz w:val="20"/>
                <w:szCs w:val="20"/>
                <w:lang w:val="en-GB"/>
              </w:rPr>
              <w:t>Millot</w:t>
            </w:r>
            <w:proofErr w:type="spellEnd"/>
            <w:r w:rsidRPr="006A5300">
              <w:rPr>
                <w:sz w:val="20"/>
                <w:szCs w:val="20"/>
                <w:lang w:val="en-GB"/>
              </w:rPr>
              <w:t xml:space="preserve"> A, Goutte A, Petit F. Dysbiosis of fish gut microbiota is associated with helminths parasitism rather than exposure to PAHs at environmentally relevant concentrations. Scientific Reports. 2022 Jun 30;12(1):11084.</w:t>
            </w:r>
          </w:p>
          <w:p w14:paraId="62CEEB5C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372811D9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  <w:proofErr w:type="spellStart"/>
            <w:r w:rsidRPr="004637CB">
              <w:rPr>
                <w:sz w:val="20"/>
                <w:szCs w:val="20"/>
                <w:lang w:val="en-GB"/>
              </w:rPr>
              <w:lastRenderedPageBreak/>
              <w:t>Ou</w:t>
            </w:r>
            <w:proofErr w:type="spellEnd"/>
            <w:r w:rsidRPr="004637CB">
              <w:rPr>
                <w:sz w:val="20"/>
                <w:szCs w:val="20"/>
                <w:lang w:val="en-GB"/>
              </w:rPr>
              <w:t xml:space="preserve"> W, Yu G, Zhang Y, Mai K. Recent progress in the understanding of the gut microbiota of marine fishes. Marine life science &amp; technology. 2021 </w:t>
            </w:r>
            <w:proofErr w:type="gramStart"/>
            <w:r w:rsidRPr="004637CB">
              <w:rPr>
                <w:sz w:val="20"/>
                <w:szCs w:val="20"/>
                <w:lang w:val="en-GB"/>
              </w:rPr>
              <w:t>Nov;3:434</w:t>
            </w:r>
            <w:proofErr w:type="gramEnd"/>
            <w:r w:rsidRPr="004637CB">
              <w:rPr>
                <w:sz w:val="20"/>
                <w:szCs w:val="20"/>
                <w:lang w:val="en-GB"/>
              </w:rPr>
              <w:t>-48.</w:t>
            </w:r>
          </w:p>
          <w:p w14:paraId="17417B1D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461CD3BD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5AF3C915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55761926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2EAF9D93" w14:textId="77777777" w:rsidR="00D86EC2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223CD0EB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122789E9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11E26E83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36B65A47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0CB22299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28E60207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  <w:p w14:paraId="1AE89419" w14:textId="77777777" w:rsidR="00D86EC2" w:rsidRPr="00F22A7B" w:rsidRDefault="00D86EC2" w:rsidP="00B325C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367B" w14:textId="77777777" w:rsidR="00D86EC2" w:rsidRPr="00F22A7B" w:rsidRDefault="00D86EC2" w:rsidP="00B325C5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bookmarkEnd w:id="2"/>
    </w:tbl>
    <w:p w14:paraId="45E78C43" w14:textId="77777777" w:rsidR="00D86EC2" w:rsidRDefault="00D86EC2" w:rsidP="00D86EC2"/>
    <w:p w14:paraId="5EFCB430" w14:textId="77777777" w:rsidR="00D86EC2" w:rsidRDefault="00D86EC2" w:rsidP="00D86EC2"/>
    <w:p w14:paraId="1F998B14" w14:textId="77777777" w:rsidR="00D86EC2" w:rsidRDefault="00D86EC2" w:rsidP="00D86EC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433EA4" w14:paraId="10F842DE" w14:textId="77777777" w:rsidTr="00433EA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4096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bookmarkEnd w:id="0"/>
            <w:bookmarkEnd w:id="1"/>
            <w:r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2B265CE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3EA4" w14:paraId="06C4633C" w14:textId="77777777" w:rsidTr="00433EA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E684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1259" w14:textId="77777777" w:rsidR="00433EA4" w:rsidRDefault="00433EA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A33E" w14:textId="77777777" w:rsidR="00433EA4" w:rsidRDefault="00433EA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3EA4" w14:paraId="6F26E6DF" w14:textId="77777777" w:rsidTr="00433EA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A2E1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B8606A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91B5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17DA65F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644747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548B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2B4BF6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0DF2C2" w14:textId="77777777" w:rsidR="00433EA4" w:rsidRDefault="00433EA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4273F684" w14:textId="77777777" w:rsidR="00433EA4" w:rsidRDefault="00433EA4" w:rsidP="00433EA4"/>
    <w:bookmarkEnd w:id="4"/>
    <w:p w14:paraId="75C50961" w14:textId="77777777" w:rsidR="00433EA4" w:rsidRDefault="00433EA4" w:rsidP="00433EA4"/>
    <w:p w14:paraId="2305CFDE" w14:textId="77777777" w:rsidR="00433EA4" w:rsidRDefault="00433EA4" w:rsidP="00433EA4"/>
    <w:p w14:paraId="6E16C97A" w14:textId="77777777" w:rsidR="008913D5" w:rsidRDefault="008913D5" w:rsidP="00433EA4">
      <w:pPr>
        <w:rPr>
          <w:rFonts w:ascii="Arial" w:hAnsi="Arial" w:cs="Arial"/>
          <w:sz w:val="20"/>
          <w:szCs w:val="20"/>
          <w:lang w:val="en-GB"/>
        </w:rPr>
      </w:pPr>
      <w:bookmarkStart w:id="5" w:name="_GoBack"/>
      <w:bookmarkEnd w:id="5"/>
    </w:p>
    <w:sectPr w:rsidR="008913D5" w:rsidSect="0007227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1CC5" w14:textId="77777777" w:rsidR="00B84E31" w:rsidRPr="0000007A" w:rsidRDefault="00B84E31" w:rsidP="0099583E">
      <w:r>
        <w:separator/>
      </w:r>
    </w:p>
  </w:endnote>
  <w:endnote w:type="continuationSeparator" w:id="0">
    <w:p w14:paraId="7208CC87" w14:textId="77777777" w:rsidR="00B84E31" w:rsidRPr="0000007A" w:rsidRDefault="00B84E3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17C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D5572" w:rsidRPr="006D5572">
      <w:rPr>
        <w:sz w:val="16"/>
      </w:rPr>
      <w:t xml:space="preserve">Version: </w:t>
    </w:r>
    <w:r w:rsidR="00860B4F">
      <w:rPr>
        <w:sz w:val="16"/>
      </w:rPr>
      <w:t>3</w:t>
    </w:r>
    <w:r w:rsidR="006D5572" w:rsidRPr="006D5572">
      <w:rPr>
        <w:sz w:val="16"/>
      </w:rPr>
      <w:t xml:space="preserve"> (0</w:t>
    </w:r>
    <w:r w:rsidR="00860B4F">
      <w:rPr>
        <w:sz w:val="16"/>
      </w:rPr>
      <w:t>7</w:t>
    </w:r>
    <w:r w:rsidR="006D5572" w:rsidRPr="006D557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92675" w14:textId="77777777" w:rsidR="00B84E31" w:rsidRPr="0000007A" w:rsidRDefault="00B84E31" w:rsidP="0099583E">
      <w:r>
        <w:separator/>
      </w:r>
    </w:p>
  </w:footnote>
  <w:footnote w:type="continuationSeparator" w:id="0">
    <w:p w14:paraId="0442CD1F" w14:textId="77777777" w:rsidR="00B84E31" w:rsidRPr="0000007A" w:rsidRDefault="00B84E3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1C1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457EE0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860B4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1729"/>
    <w:multiLevelType w:val="hybridMultilevel"/>
    <w:tmpl w:val="766C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061E4"/>
    <w:rsid w:val="00010403"/>
    <w:rsid w:val="00012C8B"/>
    <w:rsid w:val="00016FF7"/>
    <w:rsid w:val="00021981"/>
    <w:rsid w:val="000234E1"/>
    <w:rsid w:val="0002598E"/>
    <w:rsid w:val="000354DB"/>
    <w:rsid w:val="00037D52"/>
    <w:rsid w:val="00044C95"/>
    <w:rsid w:val="000450FC"/>
    <w:rsid w:val="00056CB0"/>
    <w:rsid w:val="000577C2"/>
    <w:rsid w:val="0006257C"/>
    <w:rsid w:val="00072277"/>
    <w:rsid w:val="0007402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1665"/>
    <w:rsid w:val="001153FB"/>
    <w:rsid w:val="00136984"/>
    <w:rsid w:val="00142E7A"/>
    <w:rsid w:val="00144521"/>
    <w:rsid w:val="00150304"/>
    <w:rsid w:val="0015296D"/>
    <w:rsid w:val="00162B1C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6D82"/>
    <w:rsid w:val="001D3A1D"/>
    <w:rsid w:val="001D7DCD"/>
    <w:rsid w:val="001E4B3D"/>
    <w:rsid w:val="001F10B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4A14"/>
    <w:rsid w:val="00275984"/>
    <w:rsid w:val="00280741"/>
    <w:rsid w:val="00280EC9"/>
    <w:rsid w:val="00291D08"/>
    <w:rsid w:val="00293482"/>
    <w:rsid w:val="002A11FA"/>
    <w:rsid w:val="002A4DE9"/>
    <w:rsid w:val="002A4E0B"/>
    <w:rsid w:val="002D7EA9"/>
    <w:rsid w:val="002E1211"/>
    <w:rsid w:val="002E2339"/>
    <w:rsid w:val="002E6D86"/>
    <w:rsid w:val="002F04FF"/>
    <w:rsid w:val="002F6935"/>
    <w:rsid w:val="0030765A"/>
    <w:rsid w:val="00312559"/>
    <w:rsid w:val="003204B8"/>
    <w:rsid w:val="003217B0"/>
    <w:rsid w:val="003341C2"/>
    <w:rsid w:val="0033692F"/>
    <w:rsid w:val="00346223"/>
    <w:rsid w:val="0036202D"/>
    <w:rsid w:val="003A04E7"/>
    <w:rsid w:val="003A4991"/>
    <w:rsid w:val="003A6E1A"/>
    <w:rsid w:val="003B2172"/>
    <w:rsid w:val="003E746A"/>
    <w:rsid w:val="0042465A"/>
    <w:rsid w:val="00433EA4"/>
    <w:rsid w:val="004356CC"/>
    <w:rsid w:val="00435B36"/>
    <w:rsid w:val="00442B24"/>
    <w:rsid w:val="0044444D"/>
    <w:rsid w:val="00444C78"/>
    <w:rsid w:val="0044519B"/>
    <w:rsid w:val="00445B35"/>
    <w:rsid w:val="00446659"/>
    <w:rsid w:val="00457AB1"/>
    <w:rsid w:val="00457BC0"/>
    <w:rsid w:val="00462996"/>
    <w:rsid w:val="004674B4"/>
    <w:rsid w:val="004A0484"/>
    <w:rsid w:val="004A540F"/>
    <w:rsid w:val="004B4CAD"/>
    <w:rsid w:val="004B4FDC"/>
    <w:rsid w:val="004C3DF1"/>
    <w:rsid w:val="004D151F"/>
    <w:rsid w:val="004D2E36"/>
    <w:rsid w:val="00503AB6"/>
    <w:rsid w:val="005047C5"/>
    <w:rsid w:val="005062F9"/>
    <w:rsid w:val="0051042F"/>
    <w:rsid w:val="00510920"/>
    <w:rsid w:val="00510F69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4B58"/>
    <w:rsid w:val="00567DE0"/>
    <w:rsid w:val="005735A5"/>
    <w:rsid w:val="00580C44"/>
    <w:rsid w:val="005A5BE0"/>
    <w:rsid w:val="005B12E0"/>
    <w:rsid w:val="005B6881"/>
    <w:rsid w:val="005C25A0"/>
    <w:rsid w:val="005D230D"/>
    <w:rsid w:val="005F30FD"/>
    <w:rsid w:val="00602F7D"/>
    <w:rsid w:val="00605564"/>
    <w:rsid w:val="00605952"/>
    <w:rsid w:val="00611D9D"/>
    <w:rsid w:val="00620677"/>
    <w:rsid w:val="00624032"/>
    <w:rsid w:val="00633E0D"/>
    <w:rsid w:val="0064168E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45E1"/>
    <w:rsid w:val="00696CAD"/>
    <w:rsid w:val="006A5E0B"/>
    <w:rsid w:val="006C3797"/>
    <w:rsid w:val="006D5572"/>
    <w:rsid w:val="006E7D6E"/>
    <w:rsid w:val="006F6F2F"/>
    <w:rsid w:val="00701186"/>
    <w:rsid w:val="00707BE1"/>
    <w:rsid w:val="007238EB"/>
    <w:rsid w:val="00724FA8"/>
    <w:rsid w:val="0072789A"/>
    <w:rsid w:val="007317C3"/>
    <w:rsid w:val="007336F9"/>
    <w:rsid w:val="00734756"/>
    <w:rsid w:val="0073538B"/>
    <w:rsid w:val="007367B7"/>
    <w:rsid w:val="00741BD0"/>
    <w:rsid w:val="007426E6"/>
    <w:rsid w:val="00746370"/>
    <w:rsid w:val="00766889"/>
    <w:rsid w:val="00766A0D"/>
    <w:rsid w:val="00767F8C"/>
    <w:rsid w:val="00780B67"/>
    <w:rsid w:val="00787030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2BBB"/>
    <w:rsid w:val="00846F1F"/>
    <w:rsid w:val="00860B4F"/>
    <w:rsid w:val="00867BFE"/>
    <w:rsid w:val="0087201B"/>
    <w:rsid w:val="00877F10"/>
    <w:rsid w:val="00882091"/>
    <w:rsid w:val="008863EA"/>
    <w:rsid w:val="008913D5"/>
    <w:rsid w:val="00893E75"/>
    <w:rsid w:val="008C2778"/>
    <w:rsid w:val="008C2F62"/>
    <w:rsid w:val="008D020E"/>
    <w:rsid w:val="008D1117"/>
    <w:rsid w:val="008D15A4"/>
    <w:rsid w:val="008E6C86"/>
    <w:rsid w:val="008E6DA3"/>
    <w:rsid w:val="008F36E4"/>
    <w:rsid w:val="009104D7"/>
    <w:rsid w:val="009227BB"/>
    <w:rsid w:val="0093193C"/>
    <w:rsid w:val="009332AF"/>
    <w:rsid w:val="00933C8B"/>
    <w:rsid w:val="00942F8F"/>
    <w:rsid w:val="00951437"/>
    <w:rsid w:val="009553EC"/>
    <w:rsid w:val="00963BFF"/>
    <w:rsid w:val="00971E1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56B"/>
    <w:rsid w:val="009F29EB"/>
    <w:rsid w:val="00A001A0"/>
    <w:rsid w:val="00A12C83"/>
    <w:rsid w:val="00A31AAC"/>
    <w:rsid w:val="00A32905"/>
    <w:rsid w:val="00A36C95"/>
    <w:rsid w:val="00A37DE3"/>
    <w:rsid w:val="00A47D10"/>
    <w:rsid w:val="00A519D1"/>
    <w:rsid w:val="00A6343B"/>
    <w:rsid w:val="00A65C50"/>
    <w:rsid w:val="00A66DD2"/>
    <w:rsid w:val="00A95919"/>
    <w:rsid w:val="00A962E1"/>
    <w:rsid w:val="00AA41B3"/>
    <w:rsid w:val="00AA6670"/>
    <w:rsid w:val="00AB1ED6"/>
    <w:rsid w:val="00AB397D"/>
    <w:rsid w:val="00AB638A"/>
    <w:rsid w:val="00AB6E43"/>
    <w:rsid w:val="00AC1349"/>
    <w:rsid w:val="00AD623C"/>
    <w:rsid w:val="00AD6C51"/>
    <w:rsid w:val="00AF3016"/>
    <w:rsid w:val="00B03A45"/>
    <w:rsid w:val="00B07C18"/>
    <w:rsid w:val="00B2236C"/>
    <w:rsid w:val="00B22FE6"/>
    <w:rsid w:val="00B3033D"/>
    <w:rsid w:val="00B356AF"/>
    <w:rsid w:val="00B62087"/>
    <w:rsid w:val="00B62F41"/>
    <w:rsid w:val="00B727EF"/>
    <w:rsid w:val="00B73785"/>
    <w:rsid w:val="00B760E1"/>
    <w:rsid w:val="00B807F8"/>
    <w:rsid w:val="00B84E31"/>
    <w:rsid w:val="00B858FF"/>
    <w:rsid w:val="00BA1AB3"/>
    <w:rsid w:val="00BA6421"/>
    <w:rsid w:val="00BA7E39"/>
    <w:rsid w:val="00BB34E6"/>
    <w:rsid w:val="00BB4FEC"/>
    <w:rsid w:val="00BB695B"/>
    <w:rsid w:val="00BC3EF1"/>
    <w:rsid w:val="00BC402F"/>
    <w:rsid w:val="00BD27BA"/>
    <w:rsid w:val="00BE13EF"/>
    <w:rsid w:val="00BE40A5"/>
    <w:rsid w:val="00BE5637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6674"/>
    <w:rsid w:val="00C82466"/>
    <w:rsid w:val="00C83A4F"/>
    <w:rsid w:val="00C84097"/>
    <w:rsid w:val="00C93E1A"/>
    <w:rsid w:val="00CB429B"/>
    <w:rsid w:val="00CC2753"/>
    <w:rsid w:val="00CD093E"/>
    <w:rsid w:val="00CD1556"/>
    <w:rsid w:val="00CD1FD7"/>
    <w:rsid w:val="00CE199A"/>
    <w:rsid w:val="00CE5AC7"/>
    <w:rsid w:val="00CF0BBB"/>
    <w:rsid w:val="00CF3570"/>
    <w:rsid w:val="00D1283A"/>
    <w:rsid w:val="00D17979"/>
    <w:rsid w:val="00D2075F"/>
    <w:rsid w:val="00D220E9"/>
    <w:rsid w:val="00D24323"/>
    <w:rsid w:val="00D3257B"/>
    <w:rsid w:val="00D40416"/>
    <w:rsid w:val="00D45CF7"/>
    <w:rsid w:val="00D4782A"/>
    <w:rsid w:val="00D7603E"/>
    <w:rsid w:val="00D8579C"/>
    <w:rsid w:val="00D86EC2"/>
    <w:rsid w:val="00D90124"/>
    <w:rsid w:val="00D9392F"/>
    <w:rsid w:val="00DA2AEE"/>
    <w:rsid w:val="00DA41F5"/>
    <w:rsid w:val="00DB5B54"/>
    <w:rsid w:val="00DB7E1B"/>
    <w:rsid w:val="00DC1D81"/>
    <w:rsid w:val="00E43589"/>
    <w:rsid w:val="00E451EA"/>
    <w:rsid w:val="00E53E52"/>
    <w:rsid w:val="00E57F4B"/>
    <w:rsid w:val="00E63889"/>
    <w:rsid w:val="00E65EB7"/>
    <w:rsid w:val="00E71C8D"/>
    <w:rsid w:val="00E72360"/>
    <w:rsid w:val="00E813B2"/>
    <w:rsid w:val="00E972A7"/>
    <w:rsid w:val="00EA2839"/>
    <w:rsid w:val="00EB3E91"/>
    <w:rsid w:val="00EC49F5"/>
    <w:rsid w:val="00EC6894"/>
    <w:rsid w:val="00ED6B12"/>
    <w:rsid w:val="00EE0D3E"/>
    <w:rsid w:val="00EE58FE"/>
    <w:rsid w:val="00EF326D"/>
    <w:rsid w:val="00EF53FE"/>
    <w:rsid w:val="00F156B0"/>
    <w:rsid w:val="00F245A7"/>
    <w:rsid w:val="00F2643C"/>
    <w:rsid w:val="00F3295A"/>
    <w:rsid w:val="00F34D8E"/>
    <w:rsid w:val="00F3669D"/>
    <w:rsid w:val="00F40306"/>
    <w:rsid w:val="00F405F8"/>
    <w:rsid w:val="00F41154"/>
    <w:rsid w:val="00F4700F"/>
    <w:rsid w:val="00F51F7F"/>
    <w:rsid w:val="00F573EA"/>
    <w:rsid w:val="00F57E9D"/>
    <w:rsid w:val="00F943D8"/>
    <w:rsid w:val="00FA6528"/>
    <w:rsid w:val="00FC2E17"/>
    <w:rsid w:val="00FC6387"/>
    <w:rsid w:val="00FC6802"/>
    <w:rsid w:val="00FC7C70"/>
    <w:rsid w:val="00FD70A7"/>
    <w:rsid w:val="00FF09A0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FE14F"/>
  <w15:chartTrackingRefBased/>
  <w15:docId w15:val="{81A245A6-2A16-884F-A1E1-FDFE4FC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62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rb.com/index.php/ARR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6CA09-CA12-40FA-9241-6239047F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https://journalarrb.com/index.php/ARRB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56</cp:revision>
  <dcterms:created xsi:type="dcterms:W3CDTF">2025-02-26T11:16:00Z</dcterms:created>
  <dcterms:modified xsi:type="dcterms:W3CDTF">2025-02-27T13:06:00Z</dcterms:modified>
</cp:coreProperties>
</file>