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5BB61" w14:textId="77777777" w:rsidR="00F6328D" w:rsidRPr="00F6328D" w:rsidRDefault="00F6328D" w:rsidP="00397AC4">
      <w:pPr>
        <w:pStyle w:val="Heading1"/>
        <w:rPr>
          <w:u w:val="single"/>
          <w:lang w:val="en-US"/>
        </w:rPr>
      </w:pPr>
      <w:r w:rsidRPr="00F6328D">
        <w:rPr>
          <w:u w:val="single"/>
          <w:lang w:val="en-US"/>
        </w:rPr>
        <w:t xml:space="preserve">Case report </w:t>
      </w:r>
    </w:p>
    <w:p w14:paraId="06CCF285" w14:textId="4491BAB8" w:rsidR="00CB5649" w:rsidRDefault="00CB5649" w:rsidP="00397AC4">
      <w:pPr>
        <w:pStyle w:val="Heading1"/>
        <w:rPr>
          <w:lang w:val="en-US"/>
        </w:rPr>
      </w:pPr>
      <w:r>
        <w:rPr>
          <w:lang w:val="en-US"/>
        </w:rPr>
        <w:t xml:space="preserve">A rare case of </w:t>
      </w:r>
      <w:r w:rsidR="009850BB">
        <w:rPr>
          <w:lang w:val="en-US"/>
        </w:rPr>
        <w:t>Entero-</w:t>
      </w:r>
      <w:r>
        <w:rPr>
          <w:lang w:val="en-US"/>
        </w:rPr>
        <w:t xml:space="preserve">Enteric Intussusception Recurrence on lipoma </w:t>
      </w:r>
    </w:p>
    <w:p w14:paraId="1E17F3E9" w14:textId="77777777" w:rsidR="00AC0470" w:rsidRDefault="00AC0470" w:rsidP="00A14D1E">
      <w:pPr>
        <w:pStyle w:val="Heading1"/>
        <w:rPr>
          <w:lang w:val="en-US"/>
        </w:rPr>
      </w:pPr>
    </w:p>
    <w:p w14:paraId="0029E38E" w14:textId="055EBA26" w:rsidR="00397AC4" w:rsidRDefault="00397AC4" w:rsidP="00C17242">
      <w:pPr>
        <w:pStyle w:val="Heading1"/>
        <w:jc w:val="both"/>
        <w:rPr>
          <w:lang w:val="en-US"/>
        </w:rPr>
      </w:pPr>
      <w:r w:rsidRPr="00397AC4">
        <w:rPr>
          <w:lang w:val="en-US"/>
        </w:rPr>
        <w:t>Abstract :</w:t>
      </w:r>
    </w:p>
    <w:p w14:paraId="2232BCCD" w14:textId="1AFCB0ED" w:rsidR="00397AC4" w:rsidRDefault="00397AC4" w:rsidP="00C17242">
      <w:pPr>
        <w:jc w:val="both"/>
        <w:rPr>
          <w:lang w:val="en-US"/>
        </w:rPr>
      </w:pPr>
      <w:r w:rsidRPr="00397AC4">
        <w:rPr>
          <w:lang w:val="en-US"/>
        </w:rPr>
        <w:t>Intestinal intussusception caused by a lipoma is a rare etiology of acute intestinal obstruction in adults. Lipomas</w:t>
      </w:r>
      <w:r>
        <w:rPr>
          <w:lang w:val="en-US"/>
        </w:rPr>
        <w:t xml:space="preserve"> are</w:t>
      </w:r>
      <w:r w:rsidRPr="00397AC4">
        <w:rPr>
          <w:lang w:val="en-US"/>
        </w:rPr>
        <w:t xml:space="preserve"> benign tumors composed of adipose tissue, </w:t>
      </w:r>
      <w:r>
        <w:rPr>
          <w:lang w:val="en-US"/>
        </w:rPr>
        <w:t xml:space="preserve">they </w:t>
      </w:r>
      <w:r w:rsidRPr="00397AC4">
        <w:rPr>
          <w:lang w:val="en-US"/>
        </w:rPr>
        <w:t xml:space="preserve">can induce intussusception, particularly when they reach a significant size. We report the case of a 49-year-old woman presenting with recurrent </w:t>
      </w:r>
      <w:r w:rsidR="00A14D1E">
        <w:rPr>
          <w:lang w:val="en-US"/>
        </w:rPr>
        <w:t>entero-enteric</w:t>
      </w:r>
      <w:r w:rsidRPr="00397AC4">
        <w:rPr>
          <w:lang w:val="en-US"/>
        </w:rPr>
        <w:t xml:space="preserve"> intussusception due to a small bowel lipoma, following a prior surgical intervention for an ileo-colic </w:t>
      </w:r>
      <w:r w:rsidR="00A14D1E" w:rsidRPr="00397AC4">
        <w:rPr>
          <w:lang w:val="en-US"/>
        </w:rPr>
        <w:t>intussusception</w:t>
      </w:r>
      <w:r w:rsidR="00A14D1E">
        <w:rPr>
          <w:lang w:val="en-US"/>
        </w:rPr>
        <w:t xml:space="preserve"> on lipoma</w:t>
      </w:r>
      <w:r w:rsidR="00A14D1E" w:rsidRPr="00397AC4">
        <w:rPr>
          <w:lang w:val="en-US"/>
        </w:rPr>
        <w:t>. A</w:t>
      </w:r>
      <w:r w:rsidRPr="00397AC4">
        <w:rPr>
          <w:lang w:val="en-US"/>
        </w:rPr>
        <w:t xml:space="preserve"> CT scan revealed the invagination and a 21 mm lipoma</w:t>
      </w:r>
      <w:r w:rsidR="00A14D1E">
        <w:rPr>
          <w:lang w:val="en-US"/>
        </w:rPr>
        <w:t xml:space="preserve"> inside it</w:t>
      </w:r>
      <w:r w:rsidRPr="00397AC4">
        <w:rPr>
          <w:lang w:val="en-US"/>
        </w:rPr>
        <w:t>. Segmental resection was successfully performed, and the patient experienced a favorable postoperative course. Recurrence of intestinal lipomas is common, particularly after incomplete resection or in cases of multiple lipomas</w:t>
      </w:r>
      <w:r>
        <w:rPr>
          <w:lang w:val="en-US"/>
        </w:rPr>
        <w:t xml:space="preserve">, but the recurrence of intussusception </w:t>
      </w:r>
      <w:r w:rsidR="00A14D1E">
        <w:rPr>
          <w:lang w:val="en-US"/>
        </w:rPr>
        <w:t>is</w:t>
      </w:r>
      <w:r>
        <w:rPr>
          <w:lang w:val="en-US"/>
        </w:rPr>
        <w:t xml:space="preserve"> rare</w:t>
      </w:r>
      <w:r w:rsidRPr="00397AC4">
        <w:rPr>
          <w:lang w:val="en-US"/>
        </w:rPr>
        <w:t>. Studies suggest that approximately 20% of intestinal lipomas may lead to obstruction, with larger lesions (&gt;4 cm) being more likely to cause complications</w:t>
      </w:r>
      <w:r w:rsidR="00494A35">
        <w:rPr>
          <w:lang w:val="en-US"/>
        </w:rPr>
        <w:t xml:space="preserve"> [1]</w:t>
      </w:r>
      <w:r w:rsidRPr="00397AC4">
        <w:rPr>
          <w:lang w:val="en-US"/>
        </w:rPr>
        <w:t xml:space="preserve">. Regular monitoring through clinical examinations and imaging </w:t>
      </w:r>
      <w:r w:rsidR="00A14D1E">
        <w:rPr>
          <w:lang w:val="en-US"/>
        </w:rPr>
        <w:t>are</w:t>
      </w:r>
      <w:r w:rsidRPr="00397AC4">
        <w:rPr>
          <w:lang w:val="en-US"/>
        </w:rPr>
        <w:t xml:space="preserve"> essential for early detection of recurrences</w:t>
      </w:r>
      <w:r w:rsidR="00494A35">
        <w:rPr>
          <w:lang w:val="en-US"/>
        </w:rPr>
        <w:t xml:space="preserve"> [2]. </w:t>
      </w:r>
      <w:r w:rsidRPr="00397AC4">
        <w:rPr>
          <w:lang w:val="en-US"/>
        </w:rPr>
        <w:t>Optimal management relies on preventive surgery for large lipomas and a multidisciplinary approach</w:t>
      </w:r>
      <w:r w:rsidR="00494A35">
        <w:rPr>
          <w:lang w:val="en-US"/>
        </w:rPr>
        <w:t xml:space="preserve"> [</w:t>
      </w:r>
      <w:r w:rsidR="00A31674">
        <w:rPr>
          <w:lang w:val="en-US"/>
        </w:rPr>
        <w:t>3</w:t>
      </w:r>
      <w:r w:rsidR="00494A35">
        <w:rPr>
          <w:lang w:val="en-US"/>
        </w:rPr>
        <w:t>]</w:t>
      </w:r>
      <w:r w:rsidRPr="00397AC4">
        <w:rPr>
          <w:lang w:val="en-US"/>
        </w:rPr>
        <w:t xml:space="preserve">. Despite their benign nature, intestinal lipomas can lead to serious complications, necessitating careful medical follow-up. </w:t>
      </w:r>
    </w:p>
    <w:p w14:paraId="147B4333" w14:textId="77777777" w:rsidR="00397AC4" w:rsidRDefault="00397AC4" w:rsidP="00C17242">
      <w:pPr>
        <w:jc w:val="both"/>
        <w:rPr>
          <w:lang w:val="en-US"/>
        </w:rPr>
      </w:pPr>
      <w:r w:rsidRPr="00397AC4">
        <w:rPr>
          <w:rStyle w:val="Heading1Char"/>
          <w:lang w:val="en-US"/>
        </w:rPr>
        <w:t>Introduction :</w:t>
      </w:r>
      <w:r w:rsidRPr="00397AC4">
        <w:rPr>
          <w:lang w:val="en-US"/>
        </w:rPr>
        <w:t xml:space="preserve"> </w:t>
      </w:r>
    </w:p>
    <w:p w14:paraId="6498A984" w14:textId="05B87D9F" w:rsidR="00397AC4" w:rsidRDefault="00397AC4" w:rsidP="00C17242">
      <w:pPr>
        <w:jc w:val="both"/>
        <w:rPr>
          <w:lang w:val="en-US"/>
        </w:rPr>
      </w:pPr>
      <w:r w:rsidRPr="00397AC4">
        <w:rPr>
          <w:lang w:val="en-US"/>
        </w:rPr>
        <w:t>Small bowel intussusception is an uncommon condition, accounting for approximately 1% of acute intestinal obstructions in adults</w:t>
      </w:r>
      <w:r w:rsidR="00494A35">
        <w:rPr>
          <w:lang w:val="en-US"/>
        </w:rPr>
        <w:t xml:space="preserve"> [</w:t>
      </w:r>
      <w:r w:rsidR="00A31674">
        <w:rPr>
          <w:lang w:val="en-US"/>
        </w:rPr>
        <w:t>5</w:t>
      </w:r>
      <w:r w:rsidR="00494A35">
        <w:rPr>
          <w:lang w:val="en-US"/>
        </w:rPr>
        <w:t xml:space="preserve">]. </w:t>
      </w:r>
      <w:r w:rsidRPr="00397AC4">
        <w:rPr>
          <w:lang w:val="en-US"/>
        </w:rPr>
        <w:t xml:space="preserve">It can be caused by benign or malignant tumors, foreign bodies, or Meckel’s diverticulum. Although pedunculated small bowel lipomas are benign, they can lead to acute obstruction, recurrent abdominal pain, and, in some cases, </w:t>
      </w:r>
      <w:r w:rsidR="00A14D1E">
        <w:rPr>
          <w:lang w:val="en-US"/>
        </w:rPr>
        <w:t>ischemia</w:t>
      </w:r>
      <w:r w:rsidRPr="00397AC4">
        <w:rPr>
          <w:lang w:val="en-US"/>
        </w:rPr>
        <w:t xml:space="preserve">, which may threaten the patient’s prognosis </w:t>
      </w:r>
      <w:r w:rsidR="00E62B6D">
        <w:rPr>
          <w:lang w:val="en-US"/>
        </w:rPr>
        <w:t xml:space="preserve">[1] </w:t>
      </w:r>
      <w:r w:rsidRPr="00397AC4">
        <w:rPr>
          <w:lang w:val="en-US"/>
        </w:rPr>
        <w:t>. Studies indicate that intestinal lipomas account for 4% of all benign tumors of the intestine and are more commonly found in the colon than in the small intestine</w:t>
      </w:r>
      <w:r w:rsidR="00FA6A57">
        <w:rPr>
          <w:lang w:val="en-US"/>
        </w:rPr>
        <w:t xml:space="preserve"> [</w:t>
      </w:r>
      <w:r w:rsidR="00A31674">
        <w:rPr>
          <w:lang w:val="en-US"/>
        </w:rPr>
        <w:t>4</w:t>
      </w:r>
      <w:r w:rsidR="00FA6A57">
        <w:rPr>
          <w:lang w:val="en-US"/>
        </w:rPr>
        <w:t>]</w:t>
      </w:r>
      <w:r w:rsidRPr="00397AC4">
        <w:rPr>
          <w:lang w:val="en-US"/>
        </w:rPr>
        <w:t xml:space="preserve">. While often asymptomatic, their size can precipitate severe complications </w:t>
      </w:r>
      <w:r w:rsidR="00FA6A57">
        <w:rPr>
          <w:lang w:val="en-US"/>
        </w:rPr>
        <w:t>[</w:t>
      </w:r>
      <w:r w:rsidR="00A31674">
        <w:rPr>
          <w:lang w:val="en-US"/>
        </w:rPr>
        <w:t>4</w:t>
      </w:r>
      <w:r w:rsidR="00FA6A57">
        <w:rPr>
          <w:lang w:val="en-US"/>
        </w:rPr>
        <w:t>]</w:t>
      </w:r>
      <w:r w:rsidRPr="00397AC4">
        <w:rPr>
          <w:lang w:val="en-US"/>
        </w:rPr>
        <w:t xml:space="preserve">. Intestinal lipomas have a tendency to recur, particularly after incomplete resection or in patients with multiple lipomas. Regular medical surveillance, including clinical examinations and imaging studies, is crucial for early detection of </w:t>
      </w:r>
      <w:r w:rsidRPr="00397AC4">
        <w:rPr>
          <w:lang w:val="en-US"/>
        </w:rPr>
        <w:lastRenderedPageBreak/>
        <w:t>recurrences. The management of intestinal lipomas involves surgical intervention for symptomatic cases and continuous monitoring for asymptomatic lesions</w:t>
      </w:r>
      <w:r w:rsidR="00FA6A57">
        <w:rPr>
          <w:lang w:val="en-US"/>
        </w:rPr>
        <w:t>.</w:t>
      </w:r>
    </w:p>
    <w:p w14:paraId="189B483E" w14:textId="2CAFDE7B" w:rsidR="00397AC4" w:rsidRDefault="00397AC4" w:rsidP="00C17242">
      <w:pPr>
        <w:pStyle w:val="Heading1"/>
        <w:jc w:val="both"/>
        <w:rPr>
          <w:lang w:val="en-US"/>
        </w:rPr>
      </w:pPr>
      <w:r w:rsidRPr="00397AC4">
        <w:rPr>
          <w:rStyle w:val="Heading1Char"/>
          <w:lang w:val="en-US"/>
        </w:rPr>
        <w:t xml:space="preserve">Case </w:t>
      </w:r>
      <w:r w:rsidR="009850BB" w:rsidRPr="00397AC4">
        <w:rPr>
          <w:rStyle w:val="Heading1Char"/>
          <w:lang w:val="en-US"/>
        </w:rPr>
        <w:t>Presentation</w:t>
      </w:r>
      <w:r w:rsidR="009850BB" w:rsidRPr="00397AC4">
        <w:rPr>
          <w:lang w:val="en-US"/>
        </w:rPr>
        <w:t>:</w:t>
      </w:r>
      <w:r w:rsidRPr="00397AC4">
        <w:rPr>
          <w:lang w:val="en-US"/>
        </w:rPr>
        <w:t xml:space="preserve"> </w:t>
      </w:r>
    </w:p>
    <w:p w14:paraId="4BE48B89" w14:textId="11D39A35" w:rsidR="001905A6" w:rsidRDefault="00397AC4" w:rsidP="00C17242">
      <w:pPr>
        <w:jc w:val="both"/>
        <w:rPr>
          <w:lang w:val="en-US"/>
        </w:rPr>
      </w:pPr>
      <w:r w:rsidRPr="00397AC4">
        <w:rPr>
          <w:lang w:val="en-US"/>
        </w:rPr>
        <w:t>A 49-year-old woman, who had undergone surgery for ileo-colic intussusception secondary to a lipoma three years prior, presented with a recurrence.</w:t>
      </w:r>
      <w:commentRangeStart w:id="0"/>
      <w:r w:rsidRPr="00397AC4">
        <w:rPr>
          <w:lang w:val="en-US"/>
        </w:rPr>
        <w:t xml:space="preserve"> </w:t>
      </w:r>
      <w:commentRangeEnd w:id="0"/>
      <w:r w:rsidR="00AF7DA2">
        <w:rPr>
          <w:rStyle w:val="CommentReference"/>
        </w:rPr>
        <w:commentReference w:id="0"/>
      </w:r>
      <w:r w:rsidRPr="00397AC4">
        <w:rPr>
          <w:lang w:val="en-US"/>
        </w:rPr>
        <w:t>She was admitted to the emergency department with complaints of abdominal pain, nausea, and vomiting persisting for 15 days. Physical examination revealed non-distended abdomen with no palpable masses</w:t>
      </w:r>
      <w:r w:rsidR="001905A6">
        <w:rPr>
          <w:lang w:val="en-US"/>
        </w:rPr>
        <w:t xml:space="preserve"> and no tenderness </w:t>
      </w:r>
      <w:r w:rsidRPr="00397AC4">
        <w:rPr>
          <w:lang w:val="en-US"/>
        </w:rPr>
        <w:t xml:space="preserve">. A CT scan </w:t>
      </w:r>
      <w:r w:rsidR="00E51E8E">
        <w:rPr>
          <w:lang w:val="en-US"/>
        </w:rPr>
        <w:t>showed</w:t>
      </w:r>
      <w:r w:rsidRPr="00397AC4">
        <w:rPr>
          <w:lang w:val="en-US"/>
        </w:rPr>
        <w:t xml:space="preserve"> a 14.5 cm ileo-ileal intussusception with thickening of the invaginated bowel loop. A 21 mm nodular mass, consistent with a lipoma, was identified</w:t>
      </w:r>
      <w:r w:rsidR="001905A6">
        <w:rPr>
          <w:lang w:val="en-US"/>
        </w:rPr>
        <w:t xml:space="preserve"> inside the </w:t>
      </w:r>
      <w:commentRangeStart w:id="1"/>
      <w:proofErr w:type="spellStart"/>
      <w:r w:rsidR="001905A6">
        <w:rPr>
          <w:lang w:val="en-US"/>
        </w:rPr>
        <w:t>intusseception</w:t>
      </w:r>
      <w:commentRangeEnd w:id="1"/>
      <w:proofErr w:type="spellEnd"/>
      <w:r w:rsidR="00C17242">
        <w:rPr>
          <w:rStyle w:val="CommentReference"/>
        </w:rPr>
        <w:commentReference w:id="1"/>
      </w:r>
      <w:r w:rsidR="001905A6">
        <w:rPr>
          <w:lang w:val="en-US"/>
        </w:rPr>
        <w:t xml:space="preserve"> (Figure 1)</w:t>
      </w:r>
      <w:r w:rsidRPr="00397AC4">
        <w:rPr>
          <w:lang w:val="en-US"/>
        </w:rPr>
        <w:t>.</w:t>
      </w:r>
    </w:p>
    <w:p w14:paraId="6F5EC1FD" w14:textId="21450697" w:rsidR="001905A6" w:rsidRDefault="001905A6" w:rsidP="00C17242">
      <w:pPr>
        <w:jc w:val="both"/>
        <w:rPr>
          <w:lang w:val="en-US"/>
        </w:rPr>
      </w:pPr>
      <w:r>
        <w:rPr>
          <w:noProof/>
          <w:color w:val="000000"/>
          <w:sz w:val="20"/>
          <w:szCs w:val="20"/>
        </w:rPr>
        <w:drawing>
          <wp:inline distT="0" distB="0" distL="0" distR="0" wp14:anchorId="701A961C" wp14:editId="46FDA669">
            <wp:extent cx="5717300" cy="189633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5717300" cy="1896332"/>
                    </a:xfrm>
                    <a:prstGeom prst="rect">
                      <a:avLst/>
                    </a:prstGeom>
                    <a:ln/>
                  </pic:spPr>
                </pic:pic>
              </a:graphicData>
            </a:graphic>
          </wp:inline>
        </w:drawing>
      </w:r>
    </w:p>
    <w:p w14:paraId="434712EC" w14:textId="20A4FD7E" w:rsidR="001905A6" w:rsidRPr="00BB0444" w:rsidRDefault="001905A6" w:rsidP="00C17242">
      <w:pPr>
        <w:ind w:left="100"/>
        <w:jc w:val="both"/>
        <w:rPr>
          <w:rFonts w:eastAsia="Carlito" w:cstheme="minorHAnsi"/>
          <w:i/>
          <w:lang w:val="en-US"/>
        </w:rPr>
      </w:pPr>
      <w:r w:rsidRPr="00BB0444">
        <w:rPr>
          <w:rFonts w:eastAsia="Carlito" w:cstheme="minorHAnsi"/>
          <w:b/>
          <w:i/>
          <w:lang w:val="en-US"/>
        </w:rPr>
        <w:t>Figure 1</w:t>
      </w:r>
      <w:r w:rsidRPr="00BB0444">
        <w:rPr>
          <w:rFonts w:eastAsia="Carlito" w:cstheme="minorHAnsi"/>
          <w:i/>
          <w:lang w:val="en-US"/>
        </w:rPr>
        <w:t>: CT scan image of ileal intussusception on lipoma</w:t>
      </w:r>
      <w:r w:rsidR="00BB0444" w:rsidRPr="00BB0444">
        <w:rPr>
          <w:rFonts w:eastAsia="Carlito" w:cstheme="minorHAnsi"/>
          <w:i/>
          <w:lang w:val="en-US"/>
        </w:rPr>
        <w:t xml:space="preserve"> with the hot-dog sign</w:t>
      </w:r>
      <w:r w:rsidRPr="00BB0444">
        <w:rPr>
          <w:rFonts w:eastAsia="Carlito" w:cstheme="minorHAnsi"/>
          <w:i/>
          <w:lang w:val="en-US"/>
        </w:rPr>
        <w:t>.</w:t>
      </w:r>
    </w:p>
    <w:p w14:paraId="01261078" w14:textId="77777777" w:rsidR="001905A6" w:rsidRDefault="001905A6" w:rsidP="00C17242">
      <w:pPr>
        <w:jc w:val="both"/>
        <w:rPr>
          <w:lang w:val="en-US"/>
        </w:rPr>
      </w:pPr>
    </w:p>
    <w:p w14:paraId="5C62E063" w14:textId="6862274C" w:rsidR="0035795C" w:rsidRDefault="00397AC4" w:rsidP="00C17242">
      <w:pPr>
        <w:jc w:val="both"/>
        <w:rPr>
          <w:lang w:val="en-US"/>
        </w:rPr>
      </w:pPr>
      <w:r w:rsidRPr="00397AC4">
        <w:rPr>
          <w:lang w:val="en-US"/>
        </w:rPr>
        <w:t xml:space="preserve">Emergency surgical intervention was performed, </w:t>
      </w:r>
      <w:r w:rsidR="00E51E8E">
        <w:rPr>
          <w:lang w:val="en-US"/>
        </w:rPr>
        <w:t xml:space="preserve">the surgical exploration found the </w:t>
      </w:r>
      <w:commentRangeStart w:id="2"/>
      <w:proofErr w:type="spellStart"/>
      <w:r w:rsidR="00E51E8E">
        <w:rPr>
          <w:lang w:val="en-US"/>
        </w:rPr>
        <w:t>intussucepted</w:t>
      </w:r>
      <w:commentRangeEnd w:id="2"/>
      <w:proofErr w:type="spellEnd"/>
      <w:r w:rsidR="00C17242">
        <w:rPr>
          <w:rStyle w:val="CommentReference"/>
        </w:rPr>
        <w:commentReference w:id="2"/>
      </w:r>
      <w:r w:rsidR="00E51E8E">
        <w:rPr>
          <w:lang w:val="en-US"/>
        </w:rPr>
        <w:t xml:space="preserve"> bowel without </w:t>
      </w:r>
      <w:r w:rsidR="001905A6">
        <w:rPr>
          <w:lang w:val="en-US"/>
        </w:rPr>
        <w:t xml:space="preserve">sign of ischemia and without </w:t>
      </w:r>
      <w:r w:rsidR="00E51E8E">
        <w:rPr>
          <w:lang w:val="en-US"/>
        </w:rPr>
        <w:t>distended bowels</w:t>
      </w:r>
      <w:r w:rsidR="001905A6">
        <w:rPr>
          <w:lang w:val="en-US"/>
        </w:rPr>
        <w:t xml:space="preserve"> (Figure 2) </w:t>
      </w:r>
      <w:r w:rsidR="00E51E8E">
        <w:rPr>
          <w:lang w:val="en-US"/>
        </w:rPr>
        <w:t xml:space="preserve">, </w:t>
      </w:r>
      <w:r w:rsidR="001905A6">
        <w:rPr>
          <w:lang w:val="en-US"/>
        </w:rPr>
        <w:t>the intervention was a</w:t>
      </w:r>
      <w:r w:rsidRPr="00397AC4">
        <w:rPr>
          <w:lang w:val="en-US"/>
        </w:rPr>
        <w:t xml:space="preserve"> </w:t>
      </w:r>
      <w:commentRangeStart w:id="3"/>
      <w:r w:rsidR="0035795C">
        <w:rPr>
          <w:lang w:val="en-US"/>
        </w:rPr>
        <w:t xml:space="preserve">carcinologic </w:t>
      </w:r>
      <w:commentRangeEnd w:id="3"/>
      <w:r w:rsidR="00C17242">
        <w:rPr>
          <w:rStyle w:val="CommentReference"/>
        </w:rPr>
        <w:commentReference w:id="3"/>
      </w:r>
      <w:r w:rsidRPr="00397AC4">
        <w:rPr>
          <w:lang w:val="en-US"/>
        </w:rPr>
        <w:t>segmental resection of the affected small bowel with end-to-</w:t>
      </w:r>
      <w:r w:rsidR="0035795C" w:rsidRPr="0035795C">
        <w:rPr>
          <w:lang w:val="en-US"/>
        </w:rPr>
        <w:t xml:space="preserve"> </w:t>
      </w:r>
      <w:r w:rsidR="0035795C" w:rsidRPr="00397AC4">
        <w:rPr>
          <w:lang w:val="en-US"/>
        </w:rPr>
        <w:t xml:space="preserve">end anastomosis. The postoperative course was uneventful, and the patient was discharged after five days of recovery. </w:t>
      </w:r>
    </w:p>
    <w:p w14:paraId="38215CDE" w14:textId="58C7B182" w:rsidR="001905A6" w:rsidRDefault="0035795C" w:rsidP="00C17242">
      <w:pPr>
        <w:jc w:val="both"/>
        <w:rPr>
          <w:lang w:val="en-US"/>
        </w:rPr>
      </w:pPr>
      <w:r>
        <w:rPr>
          <w:noProof/>
        </w:rPr>
        <w:lastRenderedPageBreak/>
        <w:drawing>
          <wp:anchor distT="0" distB="0" distL="0" distR="0" simplePos="0" relativeHeight="251659264" behindDoc="0" locked="0" layoutInCell="1" hidden="0" allowOverlap="1" wp14:anchorId="513B342A" wp14:editId="4EACA2D7">
            <wp:simplePos x="0" y="0"/>
            <wp:positionH relativeFrom="column">
              <wp:posOffset>1669415</wp:posOffset>
            </wp:positionH>
            <wp:positionV relativeFrom="paragraph">
              <wp:posOffset>-337820</wp:posOffset>
            </wp:positionV>
            <wp:extent cx="2382520" cy="3058160"/>
            <wp:effectExtent l="5080" t="0" r="3810" b="3810"/>
            <wp:wrapTopAndBottom distT="0" dist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a:srcRect/>
                    <a:stretch>
                      <a:fillRect/>
                    </a:stretch>
                  </pic:blipFill>
                  <pic:spPr>
                    <a:xfrm rot="5400000">
                      <a:off x="0" y="0"/>
                      <a:ext cx="2382520" cy="3058160"/>
                    </a:xfrm>
                    <a:prstGeom prst="rect">
                      <a:avLst/>
                    </a:prstGeom>
                    <a:ln/>
                  </pic:spPr>
                </pic:pic>
              </a:graphicData>
            </a:graphic>
          </wp:anchor>
        </w:drawing>
      </w:r>
    </w:p>
    <w:p w14:paraId="70450E21" w14:textId="10DB1841" w:rsidR="001905A6" w:rsidRPr="001905A6" w:rsidRDefault="001905A6" w:rsidP="00C17242">
      <w:pPr>
        <w:spacing w:before="252"/>
        <w:ind w:left="100"/>
        <w:jc w:val="both"/>
        <w:rPr>
          <w:i/>
          <w:lang w:val="en-US"/>
        </w:rPr>
      </w:pPr>
      <w:r w:rsidRPr="001905A6">
        <w:rPr>
          <w:b/>
          <w:i/>
          <w:lang w:val="en-US"/>
        </w:rPr>
        <w:t xml:space="preserve">Figure 2: </w:t>
      </w:r>
      <w:r w:rsidRPr="001905A6">
        <w:rPr>
          <w:i/>
          <w:lang w:val="en-US"/>
        </w:rPr>
        <w:t>Intraoperative image of the ileal lipoma responsible for the intussusception.</w:t>
      </w:r>
    </w:p>
    <w:p w14:paraId="0DE0CA3F" w14:textId="2F272930" w:rsidR="001905A6" w:rsidRDefault="001905A6" w:rsidP="00C17242">
      <w:pPr>
        <w:jc w:val="both"/>
        <w:rPr>
          <w:lang w:val="en-US"/>
        </w:rPr>
      </w:pPr>
    </w:p>
    <w:p w14:paraId="76325CA0" w14:textId="0236DD9F" w:rsidR="00401504" w:rsidRDefault="00397AC4" w:rsidP="00C17242">
      <w:pPr>
        <w:pStyle w:val="Heading1"/>
        <w:jc w:val="both"/>
        <w:rPr>
          <w:lang w:val="en-US"/>
        </w:rPr>
      </w:pPr>
      <w:r w:rsidRPr="00397AC4">
        <w:rPr>
          <w:lang w:val="en-US"/>
        </w:rPr>
        <w:t>Discussion :</w:t>
      </w:r>
    </w:p>
    <w:p w14:paraId="77F17E35" w14:textId="27425F1E" w:rsidR="00401504" w:rsidRDefault="00401504" w:rsidP="00C17242">
      <w:pPr>
        <w:jc w:val="both"/>
        <w:rPr>
          <w:lang w:val="en-US"/>
        </w:rPr>
      </w:pPr>
      <w:r>
        <w:rPr>
          <w:lang w:val="en-US"/>
        </w:rPr>
        <w:t>I</w:t>
      </w:r>
      <w:r w:rsidRPr="00401504">
        <w:rPr>
          <w:lang w:val="en-US"/>
        </w:rPr>
        <w:t xml:space="preserve">ntussusception </w:t>
      </w:r>
      <w:r>
        <w:rPr>
          <w:lang w:val="en-US"/>
        </w:rPr>
        <w:t>result of</w:t>
      </w:r>
      <w:r w:rsidRPr="00401504">
        <w:rPr>
          <w:lang w:val="en-US"/>
        </w:rPr>
        <w:t xml:space="preserve"> the telescoping of a segment of</w:t>
      </w:r>
      <w:r>
        <w:rPr>
          <w:lang w:val="en-US"/>
        </w:rPr>
        <w:t xml:space="preserve"> </w:t>
      </w:r>
      <w:r w:rsidRPr="00401504">
        <w:rPr>
          <w:lang w:val="en-US"/>
        </w:rPr>
        <w:t xml:space="preserve">bowel into an adjacent segment, </w:t>
      </w:r>
      <w:r>
        <w:rPr>
          <w:lang w:val="en-US"/>
        </w:rPr>
        <w:t xml:space="preserve">causing an </w:t>
      </w:r>
      <w:r w:rsidRPr="00401504">
        <w:rPr>
          <w:lang w:val="en-US"/>
        </w:rPr>
        <w:t>obstruction, inflammation,</w:t>
      </w:r>
      <w:r>
        <w:rPr>
          <w:lang w:val="en-US"/>
        </w:rPr>
        <w:t xml:space="preserve"> </w:t>
      </w:r>
      <w:r w:rsidRPr="00401504">
        <w:rPr>
          <w:lang w:val="en-US"/>
        </w:rPr>
        <w:t>ischemia</w:t>
      </w:r>
      <w:r w:rsidR="0035795C">
        <w:rPr>
          <w:lang w:val="en-US"/>
        </w:rPr>
        <w:t xml:space="preserve"> and necrosis of </w:t>
      </w:r>
      <w:r w:rsidR="00BB0444">
        <w:rPr>
          <w:lang w:val="en-US"/>
        </w:rPr>
        <w:t>both</w:t>
      </w:r>
      <w:r w:rsidR="0035795C">
        <w:rPr>
          <w:lang w:val="en-US"/>
        </w:rPr>
        <w:t xml:space="preserve"> segments</w:t>
      </w:r>
      <w:r w:rsidRPr="00401504">
        <w:rPr>
          <w:lang w:val="en-US"/>
        </w:rPr>
        <w:t>. Although intussusception</w:t>
      </w:r>
      <w:r>
        <w:rPr>
          <w:lang w:val="en-US"/>
        </w:rPr>
        <w:t xml:space="preserve"> </w:t>
      </w:r>
      <w:r w:rsidRPr="00401504">
        <w:rPr>
          <w:lang w:val="en-US"/>
        </w:rPr>
        <w:t>is the leading cause of intestinal obstruction in children, it is</w:t>
      </w:r>
      <w:r>
        <w:rPr>
          <w:lang w:val="en-US"/>
        </w:rPr>
        <w:t xml:space="preserve"> </w:t>
      </w:r>
      <w:r w:rsidRPr="00401504">
        <w:rPr>
          <w:lang w:val="en-US"/>
        </w:rPr>
        <w:t>relatively rare after childhood, accounting for less than 5%</w:t>
      </w:r>
      <w:r>
        <w:rPr>
          <w:lang w:val="en-US"/>
        </w:rPr>
        <w:t xml:space="preserve"> </w:t>
      </w:r>
      <w:r w:rsidRPr="00401504">
        <w:rPr>
          <w:lang w:val="en-US"/>
        </w:rPr>
        <w:t>of bowel obstruction in adults</w:t>
      </w:r>
      <w:r w:rsidR="00A31674">
        <w:rPr>
          <w:lang w:val="en-US"/>
        </w:rPr>
        <w:t xml:space="preserve"> </w:t>
      </w:r>
      <w:r>
        <w:rPr>
          <w:lang w:val="en-US"/>
        </w:rPr>
        <w:t>[</w:t>
      </w:r>
      <w:r w:rsidR="00A31674">
        <w:rPr>
          <w:lang w:val="en-US"/>
        </w:rPr>
        <w:t>6</w:t>
      </w:r>
      <w:r>
        <w:rPr>
          <w:lang w:val="en-US"/>
        </w:rPr>
        <w:t>].</w:t>
      </w:r>
      <w:r w:rsidR="0035795C">
        <w:rPr>
          <w:lang w:val="en-US"/>
        </w:rPr>
        <w:t xml:space="preserve"> </w:t>
      </w:r>
      <w:r w:rsidRPr="00401504">
        <w:rPr>
          <w:lang w:val="en-US"/>
        </w:rPr>
        <w:t>Intussusception is found in 1 % of adult patients with</w:t>
      </w:r>
      <w:r>
        <w:rPr>
          <w:lang w:val="en-US"/>
        </w:rPr>
        <w:t xml:space="preserve"> occlusive syndrome,</w:t>
      </w:r>
      <w:r w:rsidRPr="00401504">
        <w:rPr>
          <w:lang w:val="en-US"/>
        </w:rPr>
        <w:t xml:space="preserve"> </w:t>
      </w:r>
      <w:r w:rsidR="0035795C">
        <w:rPr>
          <w:lang w:val="en-US"/>
        </w:rPr>
        <w:t>t</w:t>
      </w:r>
      <w:r w:rsidRPr="00401504">
        <w:rPr>
          <w:lang w:val="en-US"/>
        </w:rPr>
        <w:t>he average age of</w:t>
      </w:r>
      <w:r>
        <w:rPr>
          <w:lang w:val="en-US"/>
        </w:rPr>
        <w:t xml:space="preserve"> </w:t>
      </w:r>
      <w:r w:rsidRPr="00401504">
        <w:rPr>
          <w:lang w:val="en-US"/>
        </w:rPr>
        <w:t>affected individuals is 50 years, and the male/female ratio</w:t>
      </w:r>
      <w:r>
        <w:rPr>
          <w:lang w:val="en-US"/>
        </w:rPr>
        <w:t xml:space="preserve"> </w:t>
      </w:r>
      <w:r w:rsidRPr="00401504">
        <w:rPr>
          <w:lang w:val="en-US"/>
        </w:rPr>
        <w:t>is 1:5</w:t>
      </w:r>
      <w:r>
        <w:rPr>
          <w:lang w:val="en-US"/>
        </w:rPr>
        <w:t>.</w:t>
      </w:r>
      <w:r w:rsidR="00BB0444">
        <w:rPr>
          <w:lang w:val="en-US"/>
        </w:rPr>
        <w:t xml:space="preserve">The main cause of intestinal intussusception is tumors </w:t>
      </w:r>
      <w:r w:rsidR="00751923">
        <w:rPr>
          <w:lang w:val="en-US"/>
        </w:rPr>
        <w:t>[</w:t>
      </w:r>
      <w:r w:rsidR="00A31674">
        <w:rPr>
          <w:lang w:val="en-US"/>
        </w:rPr>
        <w:t>7</w:t>
      </w:r>
      <w:r w:rsidR="00751923">
        <w:rPr>
          <w:lang w:val="en-US"/>
        </w:rPr>
        <w:t>]</w:t>
      </w:r>
    </w:p>
    <w:p w14:paraId="7B41FD46" w14:textId="16D6D69B" w:rsidR="0035795C" w:rsidRPr="00401504" w:rsidRDefault="0035795C" w:rsidP="00C17242">
      <w:pPr>
        <w:jc w:val="both"/>
        <w:rPr>
          <w:lang w:val="en-US"/>
        </w:rPr>
      </w:pPr>
      <w:r w:rsidRPr="00397AC4">
        <w:rPr>
          <w:lang w:val="en-US"/>
        </w:rPr>
        <w:t xml:space="preserve">CT remains the gold standard for diagnosis, as it enables accurate localization of the intussusception and identification of lipomas </w:t>
      </w:r>
      <w:r>
        <w:rPr>
          <w:lang w:val="en-US"/>
        </w:rPr>
        <w:t>[6]</w:t>
      </w:r>
      <w:r w:rsidRPr="00397AC4">
        <w:rPr>
          <w:lang w:val="en-US"/>
        </w:rPr>
        <w:t xml:space="preserve">. </w:t>
      </w:r>
      <w:r w:rsidRPr="008C1421">
        <w:rPr>
          <w:lang w:val="en-US"/>
        </w:rPr>
        <w:t>CT imaging, having a</w:t>
      </w:r>
      <w:r>
        <w:rPr>
          <w:lang w:val="en-US"/>
        </w:rPr>
        <w:t xml:space="preserve"> high</w:t>
      </w:r>
      <w:r w:rsidRPr="008C1421">
        <w:rPr>
          <w:lang w:val="en-US"/>
        </w:rPr>
        <w:t xml:space="preserve"> sensitivity and specificity</w:t>
      </w:r>
      <w:r>
        <w:rPr>
          <w:lang w:val="en-US"/>
        </w:rPr>
        <w:t xml:space="preserve"> for showing the </w:t>
      </w:r>
      <w:r w:rsidRPr="008C1421">
        <w:rPr>
          <w:lang w:val="en-US"/>
        </w:rPr>
        <w:t>intussusception presenting the typical</w:t>
      </w:r>
      <w:r>
        <w:rPr>
          <w:lang w:val="en-US"/>
        </w:rPr>
        <w:t xml:space="preserve"> image</w:t>
      </w:r>
      <w:r w:rsidRPr="008C1421">
        <w:rPr>
          <w:lang w:val="en-US"/>
        </w:rPr>
        <w:t xml:space="preserve"> known as the “target sign” or “sign of donut”</w:t>
      </w:r>
      <w:r>
        <w:rPr>
          <w:lang w:val="en-US"/>
        </w:rPr>
        <w:t xml:space="preserve">.[10]. In our case the CT scan was a rapid test that permitted the diagnostic.  </w:t>
      </w:r>
    </w:p>
    <w:p w14:paraId="48087862" w14:textId="5926B4E1" w:rsidR="008C1421" w:rsidRDefault="00397AC4" w:rsidP="00C17242">
      <w:pPr>
        <w:jc w:val="both"/>
        <w:rPr>
          <w:lang w:val="en-US"/>
        </w:rPr>
      </w:pPr>
      <w:r w:rsidRPr="00397AC4">
        <w:rPr>
          <w:lang w:val="en-US"/>
        </w:rPr>
        <w:t xml:space="preserve">This case underscores several critical aspects of the management of intestinal intussusception caused by a lipoma. It is essential to consider common causes when evaluating acute abdominal pain, particularly in patients with a history of benign tumors. </w:t>
      </w:r>
    </w:p>
    <w:p w14:paraId="61EF786F" w14:textId="36B9E181" w:rsidR="00E51E8E" w:rsidRPr="00397AC4" w:rsidRDefault="00E51E8E" w:rsidP="00C17242">
      <w:pPr>
        <w:jc w:val="both"/>
        <w:rPr>
          <w:lang w:val="en-US"/>
        </w:rPr>
      </w:pPr>
      <w:r w:rsidRPr="00397AC4">
        <w:rPr>
          <w:lang w:val="en-US"/>
        </w:rPr>
        <w:t>Studies have shown that lipomas smaller than 2 cm are less likely to cause intussusception, while those exceeding 4 cm present a higher risk of obstruction and require surgical intervention</w:t>
      </w:r>
      <w:r w:rsidR="007D333A">
        <w:rPr>
          <w:lang w:val="en-US"/>
        </w:rPr>
        <w:t xml:space="preserve"> [</w:t>
      </w:r>
      <w:r w:rsidR="00A31674">
        <w:rPr>
          <w:lang w:val="en-US"/>
        </w:rPr>
        <w:t>4</w:t>
      </w:r>
      <w:r w:rsidR="007D333A">
        <w:rPr>
          <w:lang w:val="en-US"/>
        </w:rPr>
        <w:t>].</w:t>
      </w:r>
    </w:p>
    <w:p w14:paraId="01CF95F8" w14:textId="60D1513E" w:rsidR="005E36A4" w:rsidRDefault="0035795C" w:rsidP="00C17242">
      <w:pPr>
        <w:jc w:val="both"/>
        <w:rPr>
          <w:lang w:val="en-US"/>
        </w:rPr>
      </w:pPr>
      <w:commentRangeStart w:id="4"/>
      <w:r w:rsidRPr="00397AC4">
        <w:rPr>
          <w:lang w:val="en-US"/>
        </w:rPr>
        <w:t>Preventing recurrence of intestinal lipomas is challenging.</w:t>
      </w:r>
      <w:r>
        <w:rPr>
          <w:lang w:val="en-US"/>
        </w:rPr>
        <w:t xml:space="preserve"> </w:t>
      </w:r>
      <w:r w:rsidR="00397AC4" w:rsidRPr="00397AC4">
        <w:rPr>
          <w:lang w:val="en-US"/>
        </w:rPr>
        <w:t xml:space="preserve">While no definitive method exists to eliminate the risk of recurrence, </w:t>
      </w:r>
      <w:commentRangeEnd w:id="4"/>
      <w:r w:rsidR="00AF7DA2">
        <w:rPr>
          <w:rStyle w:val="CommentReference"/>
        </w:rPr>
        <w:commentReference w:id="4"/>
      </w:r>
      <w:r w:rsidR="00CB5649">
        <w:rPr>
          <w:lang w:val="en-US"/>
        </w:rPr>
        <w:t>periodic</w:t>
      </w:r>
      <w:r w:rsidR="00397AC4" w:rsidRPr="00397AC4">
        <w:rPr>
          <w:lang w:val="en-US"/>
        </w:rPr>
        <w:t xml:space="preserve"> clinical monitoring and regular imaging are vital </w:t>
      </w:r>
      <w:r w:rsidR="007D333A">
        <w:rPr>
          <w:lang w:val="en-US"/>
        </w:rPr>
        <w:t>[</w:t>
      </w:r>
      <w:r w:rsidR="00A31674">
        <w:rPr>
          <w:lang w:val="en-US"/>
        </w:rPr>
        <w:t>4</w:t>
      </w:r>
      <w:r w:rsidR="007D333A">
        <w:rPr>
          <w:lang w:val="en-US"/>
        </w:rPr>
        <w:t>] .</w:t>
      </w:r>
      <w:r w:rsidR="00397AC4" w:rsidRPr="00397AC4">
        <w:rPr>
          <w:lang w:val="en-US"/>
        </w:rPr>
        <w:t xml:space="preserve"> Studies indicate that recurrence rates of intestinal lipomas post-resection range from 10% </w:t>
      </w:r>
      <w:r w:rsidR="00397AC4" w:rsidRPr="00397AC4">
        <w:rPr>
          <w:lang w:val="en-US"/>
        </w:rPr>
        <w:lastRenderedPageBreak/>
        <w:t xml:space="preserve">to 15%, particularly in cases of incomplete excision or multiple lesions </w:t>
      </w:r>
      <w:r w:rsidR="003179C8">
        <w:rPr>
          <w:lang w:val="en-US"/>
        </w:rPr>
        <w:t>[1</w:t>
      </w:r>
      <w:r w:rsidR="00A31674">
        <w:rPr>
          <w:lang w:val="en-US"/>
        </w:rPr>
        <w:t>0</w:t>
      </w:r>
      <w:r w:rsidR="003179C8">
        <w:rPr>
          <w:lang w:val="en-US"/>
        </w:rPr>
        <w:t>]</w:t>
      </w:r>
      <w:r w:rsidR="00397AC4" w:rsidRPr="00397AC4">
        <w:rPr>
          <w:lang w:val="en-US"/>
        </w:rPr>
        <w:t xml:space="preserve">. Surgical treatment, particularly segmental resection, remains the preferred therapeutic approach for addressing intussusception and restoring intestinal continuity </w:t>
      </w:r>
      <w:r w:rsidR="00FA6A57">
        <w:rPr>
          <w:lang w:val="en-US"/>
        </w:rPr>
        <w:t>[1</w:t>
      </w:r>
      <w:r w:rsidR="00A31674">
        <w:rPr>
          <w:lang w:val="en-US"/>
        </w:rPr>
        <w:t>1</w:t>
      </w:r>
      <w:r w:rsidR="00FA6A57">
        <w:rPr>
          <w:lang w:val="en-US"/>
        </w:rPr>
        <w:t>]</w:t>
      </w:r>
      <w:r w:rsidR="00397AC4" w:rsidRPr="00397AC4">
        <w:rPr>
          <w:lang w:val="en-US"/>
        </w:rPr>
        <w:t xml:space="preserve">. </w:t>
      </w:r>
      <w:r w:rsidR="005E36A4" w:rsidRPr="005E36A4">
        <w:rPr>
          <w:lang w:val="en-US"/>
        </w:rPr>
        <w:t>Considering the high rate of</w:t>
      </w:r>
      <w:r w:rsidR="005E36A4">
        <w:rPr>
          <w:lang w:val="en-US"/>
        </w:rPr>
        <w:t xml:space="preserve"> </w:t>
      </w:r>
      <w:r w:rsidR="005E36A4" w:rsidRPr="005E36A4">
        <w:rPr>
          <w:lang w:val="en-US"/>
        </w:rPr>
        <w:t>primary adenocarcinoma,</w:t>
      </w:r>
      <w:r w:rsidR="005E36A4">
        <w:rPr>
          <w:lang w:val="en-US"/>
        </w:rPr>
        <w:t xml:space="preserve"> intestinal </w:t>
      </w:r>
      <w:r w:rsidR="005E36A4" w:rsidRPr="005E36A4">
        <w:rPr>
          <w:lang w:val="en-US"/>
        </w:rPr>
        <w:t>intussusception should be</w:t>
      </w:r>
      <w:r w:rsidR="005E36A4">
        <w:rPr>
          <w:lang w:val="en-US"/>
        </w:rPr>
        <w:t xml:space="preserve"> </w:t>
      </w:r>
      <w:r w:rsidR="005E36A4" w:rsidRPr="005E36A4">
        <w:rPr>
          <w:lang w:val="en-US"/>
        </w:rPr>
        <w:t xml:space="preserve">resected </w:t>
      </w:r>
      <w:proofErr w:type="spellStart"/>
      <w:r w:rsidR="005E36A4" w:rsidRPr="005E36A4">
        <w:rPr>
          <w:lang w:val="en-US"/>
        </w:rPr>
        <w:t>en</w:t>
      </w:r>
      <w:proofErr w:type="spellEnd"/>
      <w:r w:rsidR="005E36A4" w:rsidRPr="005E36A4">
        <w:rPr>
          <w:lang w:val="en-US"/>
        </w:rPr>
        <w:t xml:space="preserve"> bloc without reduction to avoid potential intraluminal seeding or venous tumor dissemination</w:t>
      </w:r>
      <w:r w:rsidR="005E36A4">
        <w:rPr>
          <w:lang w:val="en-US"/>
        </w:rPr>
        <w:t>.[</w:t>
      </w:r>
      <w:r w:rsidR="00A31674">
        <w:rPr>
          <w:lang w:val="en-US"/>
        </w:rPr>
        <w:t>9</w:t>
      </w:r>
      <w:r w:rsidR="005E36A4">
        <w:rPr>
          <w:lang w:val="en-US"/>
        </w:rPr>
        <w:t>]</w:t>
      </w:r>
    </w:p>
    <w:p w14:paraId="5F4C986B" w14:textId="77777777" w:rsidR="00A14D1E" w:rsidRDefault="00397AC4" w:rsidP="00C17242">
      <w:pPr>
        <w:jc w:val="both"/>
        <w:rPr>
          <w:lang w:val="en-US"/>
        </w:rPr>
      </w:pPr>
      <w:r w:rsidRPr="00397AC4">
        <w:rPr>
          <w:lang w:val="en-US"/>
        </w:rPr>
        <w:t xml:space="preserve">The decision to operate should consider the lipoma’s location and the patient’s overall clinical status. Long-term follow-up is necessary to identify potential recurrences or postoperative complications, such as intestinal stenosis or fistula formation </w:t>
      </w:r>
      <w:r w:rsidR="00FA6A57">
        <w:rPr>
          <w:lang w:val="en-US"/>
        </w:rPr>
        <w:t>[1</w:t>
      </w:r>
      <w:r w:rsidR="00A31674">
        <w:rPr>
          <w:lang w:val="en-US"/>
        </w:rPr>
        <w:t>2</w:t>
      </w:r>
      <w:r w:rsidR="00FA6A57">
        <w:rPr>
          <w:lang w:val="en-US"/>
        </w:rPr>
        <w:t>]</w:t>
      </w:r>
      <w:r w:rsidRPr="00397AC4">
        <w:rPr>
          <w:lang w:val="en-US"/>
        </w:rPr>
        <w:t xml:space="preserve">. Further research is warranted to elucidate risk factors and refine management strategies for this rare condition </w:t>
      </w:r>
      <w:r w:rsidR="00FA6A57">
        <w:rPr>
          <w:lang w:val="en-US"/>
        </w:rPr>
        <w:t>[1</w:t>
      </w:r>
      <w:r w:rsidR="00A31674">
        <w:rPr>
          <w:lang w:val="en-US"/>
        </w:rPr>
        <w:t>1</w:t>
      </w:r>
      <w:r w:rsidR="00FA6A57">
        <w:rPr>
          <w:lang w:val="en-US"/>
        </w:rPr>
        <w:t>]</w:t>
      </w:r>
    </w:p>
    <w:p w14:paraId="7185558D" w14:textId="5A072613" w:rsidR="00397AC4" w:rsidRDefault="00397AC4" w:rsidP="00C17242">
      <w:pPr>
        <w:pStyle w:val="Heading1"/>
        <w:jc w:val="both"/>
        <w:rPr>
          <w:lang w:val="en-US"/>
        </w:rPr>
      </w:pPr>
      <w:r w:rsidRPr="00397AC4">
        <w:rPr>
          <w:rStyle w:val="Heading1Char"/>
          <w:lang w:val="en-US"/>
        </w:rPr>
        <w:t>Conclusion</w:t>
      </w:r>
      <w:r w:rsidRPr="00397AC4">
        <w:rPr>
          <w:lang w:val="en-US"/>
        </w:rPr>
        <w:t xml:space="preserve"> :</w:t>
      </w:r>
    </w:p>
    <w:p w14:paraId="01CEB8E3" w14:textId="77777777" w:rsidR="00397AC4" w:rsidRDefault="00397AC4" w:rsidP="00C17242">
      <w:pPr>
        <w:jc w:val="both"/>
        <w:rPr>
          <w:lang w:val="en-US"/>
        </w:rPr>
      </w:pPr>
      <w:r w:rsidRPr="00397AC4">
        <w:rPr>
          <w:lang w:val="en-US"/>
        </w:rPr>
        <w:t xml:space="preserve"> This case highlights the importance of clinical vigilance in managing this rare form of intestinal intussusception, frequently caused by a lipoma. It underscores the necessity of a multidisciplinary approach involving gastroenterologists, radiologists, and surgeons to optimize treatment outcomes. Long-term follow-up is imperative for preventing recurrence and managing potential complications. Additional research is crucial to enhance our understanding of this condition, identify risk factors, and improve treatment protocols. </w:t>
      </w:r>
    </w:p>
    <w:p w14:paraId="57B3AAD3" w14:textId="77777777" w:rsidR="009850BB" w:rsidRPr="009850BB" w:rsidRDefault="009850BB" w:rsidP="009850BB">
      <w:pPr>
        <w:rPr>
          <w:b/>
          <w:bCs/>
          <w:lang w:val="en-US"/>
        </w:rPr>
      </w:pPr>
      <w:r w:rsidRPr="009850BB">
        <w:rPr>
          <w:b/>
          <w:bCs/>
          <w:lang w:val="en-US"/>
        </w:rPr>
        <w:t>DISCLAIMER (ARTIFICIAL INTELLIGENCE)</w:t>
      </w:r>
    </w:p>
    <w:p w14:paraId="22AD4DBE" w14:textId="77777777" w:rsidR="009850BB" w:rsidRPr="009850BB" w:rsidRDefault="009850BB" w:rsidP="009850BB">
      <w:pPr>
        <w:rPr>
          <w:lang w:val="en-US"/>
        </w:rPr>
      </w:pPr>
      <w:r w:rsidRPr="009850BB">
        <w:rPr>
          <w:lang w:val="en-US"/>
        </w:rPr>
        <w:t>Author(s) hereby declare that NO generative AI technologies such as Large Language Models</w:t>
      </w:r>
    </w:p>
    <w:p w14:paraId="34EEEC84" w14:textId="3B22FFF0" w:rsidR="009850BB" w:rsidRPr="009850BB" w:rsidRDefault="009850BB" w:rsidP="009850BB">
      <w:pPr>
        <w:rPr>
          <w:lang w:val="en-US"/>
        </w:rPr>
      </w:pPr>
      <w:r w:rsidRPr="009850BB">
        <w:rPr>
          <w:lang w:val="en-US"/>
        </w:rPr>
        <w:t>and text-to-image generators have been used during writing or editing of</w:t>
      </w:r>
      <w:r>
        <w:rPr>
          <w:lang w:val="en-US"/>
        </w:rPr>
        <w:t xml:space="preserve"> </w:t>
      </w:r>
      <w:r w:rsidRPr="009850BB">
        <w:rPr>
          <w:lang w:val="en-US"/>
        </w:rPr>
        <w:t>manuscripts.</w:t>
      </w:r>
    </w:p>
    <w:p w14:paraId="4CF46296" w14:textId="77777777" w:rsidR="009850BB" w:rsidRPr="009850BB" w:rsidRDefault="009850BB" w:rsidP="009850BB">
      <w:pPr>
        <w:rPr>
          <w:b/>
          <w:bCs/>
          <w:lang w:val="en-US"/>
        </w:rPr>
      </w:pPr>
      <w:r w:rsidRPr="009850BB">
        <w:rPr>
          <w:b/>
          <w:bCs/>
          <w:lang w:val="en-US"/>
        </w:rPr>
        <w:t>CONSENT</w:t>
      </w:r>
    </w:p>
    <w:p w14:paraId="5676FE24" w14:textId="77777777" w:rsidR="009850BB" w:rsidRPr="009850BB" w:rsidRDefault="009850BB" w:rsidP="009850BB">
      <w:pPr>
        <w:rPr>
          <w:lang w:val="en-US"/>
        </w:rPr>
      </w:pPr>
      <w:r w:rsidRPr="009850BB">
        <w:rPr>
          <w:lang w:val="en-US"/>
        </w:rPr>
        <w:t>As per international standards or university standards, patient(s) written consent</w:t>
      </w:r>
    </w:p>
    <w:p w14:paraId="2E008944" w14:textId="77777777" w:rsidR="009850BB" w:rsidRPr="009850BB" w:rsidRDefault="009850BB" w:rsidP="009850BB">
      <w:pPr>
        <w:rPr>
          <w:lang w:val="en-US"/>
        </w:rPr>
      </w:pPr>
      <w:r w:rsidRPr="009850BB">
        <w:rPr>
          <w:lang w:val="en-US"/>
        </w:rPr>
        <w:t>has been collected and preserved by the author(s).</w:t>
      </w:r>
    </w:p>
    <w:p w14:paraId="659EB58A" w14:textId="77777777" w:rsidR="009850BB" w:rsidRPr="009850BB" w:rsidRDefault="009850BB" w:rsidP="009850BB">
      <w:pPr>
        <w:rPr>
          <w:b/>
          <w:bCs/>
          <w:lang w:val="en-US"/>
        </w:rPr>
      </w:pPr>
      <w:r w:rsidRPr="009850BB">
        <w:rPr>
          <w:b/>
          <w:bCs/>
          <w:lang w:val="en-US"/>
        </w:rPr>
        <w:t>ETHICAL APPROVAL</w:t>
      </w:r>
    </w:p>
    <w:p w14:paraId="2612DFEB" w14:textId="14A7660C" w:rsidR="009850BB" w:rsidRDefault="009850BB" w:rsidP="009850BB">
      <w:pPr>
        <w:rPr>
          <w:lang w:val="en-US"/>
        </w:rPr>
      </w:pPr>
      <w:r w:rsidRPr="009850BB">
        <w:rPr>
          <w:lang w:val="en-US"/>
        </w:rPr>
        <w:t>Authors declare that the ethical approval has been exempted by my establishment</w:t>
      </w:r>
    </w:p>
    <w:p w14:paraId="39DED4B8" w14:textId="77777777" w:rsidR="00397AC4" w:rsidRDefault="00397AC4" w:rsidP="003179C8">
      <w:pPr>
        <w:pStyle w:val="Heading1"/>
        <w:rPr>
          <w:lang w:val="en-US"/>
        </w:rPr>
      </w:pPr>
      <w:commentRangeStart w:id="5"/>
      <w:r w:rsidRPr="00397AC4">
        <w:rPr>
          <w:lang w:val="en-US"/>
        </w:rPr>
        <w:t>References</w:t>
      </w:r>
      <w:commentRangeEnd w:id="5"/>
      <w:r w:rsidR="00AF7DA2">
        <w:rPr>
          <w:rStyle w:val="CommentReference"/>
          <w:rFonts w:asciiTheme="minorHAnsi" w:eastAsiaTheme="minorHAnsi" w:hAnsiTheme="minorHAnsi" w:cstheme="minorBidi"/>
          <w:color w:val="auto"/>
        </w:rPr>
        <w:commentReference w:id="5"/>
      </w:r>
    </w:p>
    <w:p w14:paraId="40FA0AEF" w14:textId="6EE71CBD" w:rsidR="005B01E3" w:rsidRDefault="00A31674" w:rsidP="00A31674">
      <w:r>
        <w:rPr>
          <w:lang w:val="en-US"/>
        </w:rPr>
        <w:t>1.</w:t>
      </w:r>
      <w:r w:rsidR="005B01E3" w:rsidRPr="00A31674">
        <w:rPr>
          <w:lang w:val="en-US"/>
        </w:rPr>
        <w:t>Álvarez-Bautista, F. E., Moctezuma-Velázquez, P., Cisneros-Correa, J. C., Aguilar-Frasco, J. L., Vélez-Valle, A., Vergara-Fernández, O., &amp; Salgado-</w:t>
      </w:r>
      <w:proofErr w:type="spellStart"/>
      <w:r w:rsidR="005B01E3" w:rsidRPr="00A31674">
        <w:rPr>
          <w:lang w:val="en-US"/>
        </w:rPr>
        <w:t>Nesme</w:t>
      </w:r>
      <w:proofErr w:type="spellEnd"/>
      <w:r w:rsidR="005B01E3" w:rsidRPr="00A31674">
        <w:rPr>
          <w:lang w:val="en-US"/>
        </w:rPr>
        <w:t xml:space="preserve">, N. (2021). Colonic lipomas an uncommon cause of intussusception in adult patients: report of three cases and literature review. </w:t>
      </w:r>
      <w:proofErr w:type="spellStart"/>
      <w:r w:rsidR="005B01E3" w:rsidRPr="009850BB">
        <w:t>Cirugía</w:t>
      </w:r>
      <w:proofErr w:type="spellEnd"/>
      <w:r w:rsidR="005B01E3" w:rsidRPr="009850BB">
        <w:t xml:space="preserve"> y </w:t>
      </w:r>
      <w:proofErr w:type="spellStart"/>
      <w:r w:rsidR="005B01E3" w:rsidRPr="009850BB">
        <w:t>Cirujanos</w:t>
      </w:r>
      <w:proofErr w:type="spellEnd"/>
      <w:r w:rsidR="005B01E3" w:rsidRPr="009850BB">
        <w:t xml:space="preserve">, 89(1), 9–14. </w:t>
      </w:r>
      <w:hyperlink r:id="rId14" w:tgtFrame="_blank" w:history="1">
        <w:r w:rsidR="005B01E3" w:rsidRPr="009850BB">
          <w:rPr>
            <w:rStyle w:val="Hyperlink"/>
          </w:rPr>
          <w:t>https://doi.org/10.24875/CIRU.20000622</w:t>
        </w:r>
      </w:hyperlink>
    </w:p>
    <w:p w14:paraId="4F0720BA" w14:textId="3CD1874C" w:rsidR="00FA6A57" w:rsidRPr="00A31674" w:rsidRDefault="00A31674" w:rsidP="00A31674">
      <w:pPr>
        <w:rPr>
          <w:lang w:val="en-US"/>
        </w:rPr>
      </w:pPr>
      <w:r>
        <w:lastRenderedPageBreak/>
        <w:t>2.</w:t>
      </w:r>
      <w:r w:rsidR="00FA6A57" w:rsidRPr="00FA6A57">
        <w:t xml:space="preserve">MANOURAS, Andreas, LAGOUDIANAKIS, Emmanuel E., DARDAMANIS, </w:t>
      </w:r>
      <w:proofErr w:type="spellStart"/>
      <w:r w:rsidR="00FA6A57" w:rsidRPr="00FA6A57">
        <w:t>Dimitrios</w:t>
      </w:r>
      <w:proofErr w:type="spellEnd"/>
      <w:r w:rsidR="00FA6A57" w:rsidRPr="00FA6A57">
        <w:t xml:space="preserve">, </w:t>
      </w:r>
      <w:r w:rsidR="00FA6A57" w:rsidRPr="00A31674">
        <w:rPr>
          <w:i/>
          <w:iCs/>
        </w:rPr>
        <w:t>et al.</w:t>
      </w:r>
      <w:r w:rsidR="00FA6A57" w:rsidRPr="00FA6A57">
        <w:t xml:space="preserve"> </w:t>
      </w:r>
      <w:r w:rsidR="00FA6A57" w:rsidRPr="00A31674">
        <w:rPr>
          <w:lang w:val="en-US"/>
        </w:rPr>
        <w:t xml:space="preserve">Lipoma induced </w:t>
      </w:r>
      <w:proofErr w:type="spellStart"/>
      <w:r w:rsidR="00FA6A57" w:rsidRPr="00A31674">
        <w:rPr>
          <w:lang w:val="en-US"/>
        </w:rPr>
        <w:t>jejunojejunal</w:t>
      </w:r>
      <w:proofErr w:type="spellEnd"/>
      <w:r w:rsidR="00FA6A57" w:rsidRPr="00A31674">
        <w:rPr>
          <w:lang w:val="en-US"/>
        </w:rPr>
        <w:t xml:space="preserve"> intussusception. </w:t>
      </w:r>
      <w:r w:rsidR="00FA6A57" w:rsidRPr="00A31674">
        <w:rPr>
          <w:i/>
          <w:iCs/>
          <w:lang w:val="en-US"/>
        </w:rPr>
        <w:t>World journal of gastroenterology: WJG</w:t>
      </w:r>
      <w:r w:rsidR="00FA6A57" w:rsidRPr="00A31674">
        <w:rPr>
          <w:lang w:val="en-US"/>
        </w:rPr>
        <w:t>, 2007, vol. 13, no 26, p. 3641.</w:t>
      </w:r>
    </w:p>
    <w:p w14:paraId="719CC526" w14:textId="4A4CD373" w:rsidR="00A31674" w:rsidRPr="00A31674" w:rsidRDefault="00A31674" w:rsidP="00A31674">
      <w:pPr>
        <w:rPr>
          <w:lang w:val="en-US"/>
        </w:rPr>
      </w:pPr>
      <w:r w:rsidRPr="00A31674">
        <w:rPr>
          <w:lang w:val="en-US"/>
        </w:rPr>
        <w:t xml:space="preserve">3. </w:t>
      </w:r>
      <w:proofErr w:type="spellStart"/>
      <w:r w:rsidRPr="00A31674">
        <w:rPr>
          <w:lang w:val="en-US"/>
        </w:rPr>
        <w:t>Amirhom</w:t>
      </w:r>
      <w:proofErr w:type="spellEnd"/>
      <w:r w:rsidRPr="00A31674">
        <w:rPr>
          <w:lang w:val="en-US"/>
        </w:rPr>
        <w:t xml:space="preserve">, E., </w:t>
      </w:r>
      <w:proofErr w:type="spellStart"/>
      <w:r w:rsidRPr="00A31674">
        <w:rPr>
          <w:lang w:val="en-US"/>
        </w:rPr>
        <w:t>Dondapati</w:t>
      </w:r>
      <w:proofErr w:type="spellEnd"/>
      <w:r w:rsidRPr="00A31674">
        <w:rPr>
          <w:lang w:val="en-US"/>
        </w:rPr>
        <w:t xml:space="preserve">, M., Horton, N., &amp; </w:t>
      </w:r>
      <w:proofErr w:type="spellStart"/>
      <w:r w:rsidRPr="00A31674">
        <w:rPr>
          <w:lang w:val="en-US"/>
        </w:rPr>
        <w:t>Pescovitz</w:t>
      </w:r>
      <w:proofErr w:type="spellEnd"/>
      <w:r w:rsidRPr="00A31674">
        <w:rPr>
          <w:lang w:val="en-US"/>
        </w:rPr>
        <w:t xml:space="preserve">, A. R. (2022). Large colonic lipoma as a lead point for intussusception in an adult. Journal of Surgical Case Reports, 2022(7), rjac327. </w:t>
      </w:r>
      <w:hyperlink r:id="rId15" w:tgtFrame="_blank" w:history="1">
        <w:r w:rsidRPr="00A31674">
          <w:rPr>
            <w:rStyle w:val="Hyperlink"/>
            <w:lang w:val="en-US"/>
          </w:rPr>
          <w:t>https://doi.org/10.1093/jscr/rjac327</w:t>
        </w:r>
      </w:hyperlink>
      <w:r w:rsidRPr="00A31674">
        <w:rPr>
          <w:lang w:val="en-US"/>
        </w:rPr>
        <w:t xml:space="preserve"> </w:t>
      </w:r>
    </w:p>
    <w:p w14:paraId="39F4D166" w14:textId="0058CE01" w:rsidR="00FA6A57" w:rsidRPr="005E36A4" w:rsidRDefault="00A31674" w:rsidP="00A31674">
      <w:pPr>
        <w:rPr>
          <w:lang w:val="en-US"/>
        </w:rPr>
      </w:pPr>
      <w:r>
        <w:rPr>
          <w:lang w:val="en-US"/>
        </w:rPr>
        <w:t>4</w:t>
      </w:r>
      <w:r w:rsidR="005E36A4">
        <w:rPr>
          <w:lang w:val="en-US"/>
        </w:rPr>
        <w:t>.</w:t>
      </w:r>
      <w:r w:rsidR="005B01E3" w:rsidRPr="005E36A4">
        <w:rPr>
          <w:lang w:val="en-US"/>
        </w:rPr>
        <w:t xml:space="preserve">Hu, Q., Wu, J., &amp; Sun, Y. (2022). Intussusception Related to Small Intestinal Lipomas: A Case Report and Review of the Literature. Frontiers in Surgery, 9, 915114. </w:t>
      </w:r>
      <w:hyperlink r:id="rId16" w:tgtFrame="_blank" w:history="1">
        <w:r w:rsidR="005B01E3" w:rsidRPr="005E36A4">
          <w:rPr>
            <w:rStyle w:val="Hyperlink"/>
            <w:lang w:val="en-US"/>
          </w:rPr>
          <w:t>https://doi.org/10.3389/fsurg.2022</w:t>
        </w:r>
        <w:r w:rsidR="005B01E3" w:rsidRPr="005E36A4">
          <w:rPr>
            <w:rStyle w:val="Hyperlink"/>
            <w:lang w:val="en-US"/>
          </w:rPr>
          <w:t>.915114</w:t>
        </w:r>
      </w:hyperlink>
      <w:r w:rsidR="005B01E3" w:rsidRPr="005E36A4">
        <w:rPr>
          <w:lang w:val="en-US"/>
        </w:rPr>
        <w:t xml:space="preserve"> </w:t>
      </w:r>
    </w:p>
    <w:p w14:paraId="7C2AFF72" w14:textId="54095036" w:rsidR="00397AC4" w:rsidRDefault="00A31674" w:rsidP="00397AC4">
      <w:pPr>
        <w:rPr>
          <w:lang w:val="en-US"/>
        </w:rPr>
      </w:pPr>
      <w:r>
        <w:rPr>
          <w:lang w:val="en-US"/>
        </w:rPr>
        <w:t>5</w:t>
      </w:r>
      <w:r w:rsidR="00494A35">
        <w:rPr>
          <w:lang w:val="en-US"/>
        </w:rPr>
        <w:t xml:space="preserve">. </w:t>
      </w:r>
      <w:r w:rsidR="00397AC4" w:rsidRPr="00397AC4">
        <w:rPr>
          <w:lang w:val="en-US"/>
        </w:rPr>
        <w:t xml:space="preserve">Brandt, E. J., &amp; Bower, C. E. (2021). Submucosal Sigmoid Lipoma Acting as Unusual Lead Point of </w:t>
      </w:r>
      <w:proofErr w:type="spellStart"/>
      <w:r w:rsidR="00397AC4" w:rsidRPr="00397AC4">
        <w:rPr>
          <w:lang w:val="en-US"/>
        </w:rPr>
        <w:t>Colocolic</w:t>
      </w:r>
      <w:proofErr w:type="spellEnd"/>
      <w:r w:rsidR="00397AC4" w:rsidRPr="00397AC4">
        <w:rPr>
          <w:lang w:val="en-US"/>
        </w:rPr>
        <w:t xml:space="preserve"> Intussusception. ACS Case Reviews in Surgery, 3(4). </w:t>
      </w:r>
      <w:hyperlink r:id="rId17" w:tgtFrame="_blank" w:history="1">
        <w:r w:rsidR="00397AC4" w:rsidRPr="00397AC4">
          <w:rPr>
            <w:rStyle w:val="Hyperlink"/>
            <w:lang w:val="en-US"/>
          </w:rPr>
          <w:t>https://doi.org/10.1093/acscr/</w:t>
        </w:r>
      </w:hyperlink>
      <w:r w:rsidR="00397AC4" w:rsidRPr="00397AC4">
        <w:rPr>
          <w:lang w:val="en-US"/>
        </w:rPr>
        <w:t xml:space="preserve"> </w:t>
      </w:r>
    </w:p>
    <w:p w14:paraId="398BFD7B" w14:textId="6177E2EC" w:rsidR="00401504" w:rsidRDefault="00401504" w:rsidP="007D333A">
      <w:r w:rsidRPr="007D333A">
        <w:rPr>
          <w:lang w:val="en-US"/>
        </w:rPr>
        <w:t>6.</w:t>
      </w:r>
      <w:r w:rsidR="007D333A" w:rsidRPr="007D333A">
        <w:rPr>
          <w:rFonts w:ascii="Roboto" w:hAnsi="Roboto"/>
          <w:color w:val="000000"/>
          <w:shd w:val="clear" w:color="auto" w:fill="E3FEE0"/>
          <w:lang w:val="en-US"/>
        </w:rPr>
        <w:t xml:space="preserve"> </w:t>
      </w:r>
      <w:commentRangeStart w:id="6"/>
      <w:r w:rsidR="007D333A" w:rsidRPr="007D333A">
        <w:rPr>
          <w:lang w:val="en-US"/>
        </w:rPr>
        <w:t xml:space="preserve">Ozen, O., Guler, Y., &amp; Yuksel, Y. (2019). Giant colonic lipoma causing intussusception: CT scan and clinical findings. </w:t>
      </w:r>
      <w:r w:rsidR="007D333A" w:rsidRPr="007D333A">
        <w:t xml:space="preserve">Pan </w:t>
      </w:r>
      <w:proofErr w:type="spellStart"/>
      <w:r w:rsidR="007D333A" w:rsidRPr="007D333A">
        <w:t>African</w:t>
      </w:r>
      <w:proofErr w:type="spellEnd"/>
      <w:r w:rsidR="007D333A" w:rsidRPr="007D333A">
        <w:t xml:space="preserve"> </w:t>
      </w:r>
      <w:proofErr w:type="spellStart"/>
      <w:r w:rsidR="007D333A" w:rsidRPr="007D333A">
        <w:t>Medical</w:t>
      </w:r>
      <w:proofErr w:type="spellEnd"/>
      <w:r w:rsidR="007D333A" w:rsidRPr="007D333A">
        <w:t xml:space="preserve"> Journal, 32, 27.</w:t>
      </w:r>
      <w:commentRangeEnd w:id="6"/>
      <w:r w:rsidR="00C17242">
        <w:rPr>
          <w:rStyle w:val="CommentReference"/>
        </w:rPr>
        <w:commentReference w:id="6"/>
      </w:r>
    </w:p>
    <w:p w14:paraId="15A6F7F8" w14:textId="714ED14E" w:rsidR="00397AC4" w:rsidRDefault="00401504" w:rsidP="00401504">
      <w:r>
        <w:t>7</w:t>
      </w:r>
      <w:r w:rsidRPr="00401504">
        <w:t xml:space="preserve"> LU, Teng et CHNG, Yi-</w:t>
      </w:r>
      <w:proofErr w:type="spellStart"/>
      <w:r w:rsidRPr="00401504">
        <w:t>mei</w:t>
      </w:r>
      <w:proofErr w:type="spellEnd"/>
      <w:r w:rsidRPr="00401504">
        <w:t xml:space="preserve">. </w:t>
      </w:r>
      <w:proofErr w:type="spellStart"/>
      <w:r w:rsidRPr="00401504">
        <w:t>Adult</w:t>
      </w:r>
      <w:proofErr w:type="spellEnd"/>
      <w:r w:rsidRPr="00401504">
        <w:t xml:space="preserve"> intussusception. </w:t>
      </w:r>
      <w:r w:rsidRPr="00401504">
        <w:rPr>
          <w:i/>
          <w:iCs/>
        </w:rPr>
        <w:t>The Permanente Journal</w:t>
      </w:r>
      <w:r w:rsidRPr="00401504">
        <w:t>, 2015, vol. 19, no 1, p. 79.</w:t>
      </w:r>
      <w:r w:rsidR="00397AC4" w:rsidRPr="00397AC4">
        <w:t xml:space="preserve"> </w:t>
      </w:r>
    </w:p>
    <w:p w14:paraId="1FEF6563" w14:textId="660C24AC" w:rsidR="00751923" w:rsidRPr="00397AC4" w:rsidRDefault="00751923" w:rsidP="00751923">
      <w:pPr>
        <w:rPr>
          <w:lang w:val="en-US"/>
        </w:rPr>
      </w:pPr>
      <w:r w:rsidRPr="00751923">
        <w:rPr>
          <w:lang w:val="en-US"/>
        </w:rPr>
        <w:t xml:space="preserve">8. HONJO, Hirotaka, MIKE, Makio, KUSANAGI, Hiroshi, </w:t>
      </w:r>
      <w:r w:rsidRPr="00751923">
        <w:rPr>
          <w:i/>
          <w:iCs/>
          <w:lang w:val="en-US"/>
        </w:rPr>
        <w:t>et al.</w:t>
      </w:r>
      <w:r w:rsidRPr="00751923">
        <w:rPr>
          <w:lang w:val="en-US"/>
        </w:rPr>
        <w:t xml:space="preserve"> Adult intussusception: a retrospective review. </w:t>
      </w:r>
      <w:r w:rsidRPr="00751923">
        <w:rPr>
          <w:i/>
          <w:iCs/>
          <w:lang w:val="en-US"/>
        </w:rPr>
        <w:t>World Journal of Surgery</w:t>
      </w:r>
      <w:r w:rsidRPr="00751923">
        <w:rPr>
          <w:lang w:val="en-US"/>
        </w:rPr>
        <w:t>, 2015, vol. 39, p. 134-138.</w:t>
      </w:r>
    </w:p>
    <w:p w14:paraId="6763D046" w14:textId="5CFEEB9F" w:rsidR="00A3025F" w:rsidRPr="009850BB" w:rsidRDefault="005E36A4" w:rsidP="005E36A4">
      <w:pPr>
        <w:rPr>
          <w:lang w:val="en-US"/>
        </w:rPr>
      </w:pPr>
      <w:r w:rsidRPr="005E36A4">
        <w:t xml:space="preserve">9. HONG, </w:t>
      </w:r>
      <w:proofErr w:type="spellStart"/>
      <w:r w:rsidRPr="005E36A4">
        <w:t>Kwang</w:t>
      </w:r>
      <w:proofErr w:type="spellEnd"/>
      <w:r w:rsidRPr="005E36A4">
        <w:t xml:space="preserve"> </w:t>
      </w:r>
      <w:proofErr w:type="spellStart"/>
      <w:r w:rsidRPr="005E36A4">
        <w:t>Dae</w:t>
      </w:r>
      <w:proofErr w:type="spellEnd"/>
      <w:r w:rsidRPr="005E36A4">
        <w:t xml:space="preserve">, KIM, J., JI, W., </w:t>
      </w:r>
      <w:r w:rsidRPr="005E36A4">
        <w:rPr>
          <w:i/>
          <w:iCs/>
        </w:rPr>
        <w:t>et al.</w:t>
      </w:r>
      <w:r w:rsidRPr="005E36A4">
        <w:t xml:space="preserve"> </w:t>
      </w:r>
      <w:r w:rsidRPr="005E36A4">
        <w:rPr>
          <w:lang w:val="en-US"/>
        </w:rPr>
        <w:t xml:space="preserve">Adult intussusception: a systematic review and meta-analysis. </w:t>
      </w:r>
      <w:r w:rsidRPr="009850BB">
        <w:rPr>
          <w:i/>
          <w:iCs/>
          <w:lang w:val="en-US"/>
        </w:rPr>
        <w:t>Techniques in coloproctology</w:t>
      </w:r>
      <w:r w:rsidRPr="009850BB">
        <w:rPr>
          <w:lang w:val="en-US"/>
        </w:rPr>
        <w:t>, 2019, vol. 23, p. 315-324.</w:t>
      </w:r>
    </w:p>
    <w:p w14:paraId="2A771232" w14:textId="58EC008E" w:rsidR="008C1421" w:rsidRPr="00AF7DA2" w:rsidRDefault="008C1421" w:rsidP="00FA6A57">
      <w:pPr>
        <w:rPr>
          <w:strike/>
          <w:lang w:val="en-US"/>
        </w:rPr>
      </w:pPr>
      <w:r w:rsidRPr="003179C8">
        <w:rPr>
          <w:lang w:val="en-US"/>
        </w:rPr>
        <w:t xml:space="preserve">10. </w:t>
      </w:r>
      <w:proofErr w:type="spellStart"/>
      <w:r w:rsidRPr="003179C8">
        <w:rPr>
          <w:lang w:val="en-US"/>
        </w:rPr>
        <w:t>Menegon</w:t>
      </w:r>
      <w:proofErr w:type="spellEnd"/>
      <w:r w:rsidRPr="003179C8">
        <w:rPr>
          <w:lang w:val="en-US"/>
        </w:rPr>
        <w:t xml:space="preserve"> </w:t>
      </w:r>
      <w:proofErr w:type="spellStart"/>
      <w:r w:rsidRPr="003179C8">
        <w:rPr>
          <w:lang w:val="en-US"/>
        </w:rPr>
        <w:t>Tasselli</w:t>
      </w:r>
      <w:proofErr w:type="spellEnd"/>
      <w:r w:rsidRPr="003179C8">
        <w:rPr>
          <w:lang w:val="en-US"/>
        </w:rPr>
        <w:t xml:space="preserve"> F, </w:t>
      </w:r>
      <w:proofErr w:type="spellStart"/>
      <w:r w:rsidRPr="003179C8">
        <w:rPr>
          <w:lang w:val="en-US"/>
        </w:rPr>
        <w:t>Urraro</w:t>
      </w:r>
      <w:proofErr w:type="spellEnd"/>
      <w:r w:rsidRPr="003179C8">
        <w:rPr>
          <w:lang w:val="en-US"/>
        </w:rPr>
        <w:t xml:space="preserve"> F, </w:t>
      </w:r>
      <w:proofErr w:type="spellStart"/>
      <w:r w:rsidRPr="003179C8">
        <w:rPr>
          <w:lang w:val="en-US"/>
        </w:rPr>
        <w:t>Sciaudone</w:t>
      </w:r>
      <w:proofErr w:type="spellEnd"/>
      <w:r w:rsidRPr="003179C8">
        <w:rPr>
          <w:lang w:val="en-US"/>
        </w:rPr>
        <w:t xml:space="preserve"> G, </w:t>
      </w:r>
      <w:proofErr w:type="spellStart"/>
      <w:r w:rsidRPr="003179C8">
        <w:rPr>
          <w:lang w:val="en-US"/>
        </w:rPr>
        <w:t>Bagaglini</w:t>
      </w:r>
      <w:proofErr w:type="spellEnd"/>
      <w:r w:rsidRPr="003179C8">
        <w:rPr>
          <w:lang w:val="en-US"/>
        </w:rPr>
        <w:t xml:space="preserve"> G, Pagliuca F, Reginelli A, Ferraraccio F, Cappabianca S, Selvaggi F, Pellino G. Colonic Lipoma Causing Bowel Intussusception: An Up-to-Date Systematic Review. </w:t>
      </w:r>
      <w:r w:rsidRPr="00FA6A57">
        <w:rPr>
          <w:lang w:val="en-US"/>
        </w:rPr>
        <w:t xml:space="preserve">J Clin Med. 2021 Nov 2;10(21):5149. </w:t>
      </w:r>
      <w:proofErr w:type="spellStart"/>
      <w:r w:rsidRPr="00FA6A57">
        <w:rPr>
          <w:lang w:val="en-US"/>
        </w:rPr>
        <w:t>doi</w:t>
      </w:r>
      <w:proofErr w:type="spellEnd"/>
      <w:r w:rsidRPr="00FA6A57">
        <w:rPr>
          <w:lang w:val="en-US"/>
        </w:rPr>
        <w:t xml:space="preserve">: 10.3390/jcm10215149. </w:t>
      </w:r>
      <w:r w:rsidRPr="00AF7DA2">
        <w:rPr>
          <w:strike/>
          <w:lang w:val="en-US"/>
        </w:rPr>
        <w:t>PMID: 34768668; PMCID: PMC8584916.</w:t>
      </w:r>
    </w:p>
    <w:p w14:paraId="718DF775" w14:textId="3A1118D1" w:rsidR="00FA6A57" w:rsidRPr="009850BB" w:rsidRDefault="00FA6A57" w:rsidP="00FA6A57">
      <w:pPr>
        <w:rPr>
          <w:lang w:val="en-US"/>
        </w:rPr>
      </w:pPr>
      <w:r w:rsidRPr="00FA6A57">
        <w:rPr>
          <w:lang w:val="en-US"/>
        </w:rPr>
        <w:t>11.</w:t>
      </w:r>
      <w:r w:rsidRPr="00FA6A57">
        <w:rPr>
          <w:rFonts w:ascii="Times New Roman" w:eastAsia="Times New Roman" w:hAnsi="Times New Roman" w:cs="Times New Roman"/>
          <w:kern w:val="0"/>
          <w:lang w:val="en-US" w:eastAsia="fr-MA"/>
          <w14:ligatures w14:val="none"/>
        </w:rPr>
        <w:t xml:space="preserve"> </w:t>
      </w:r>
      <w:r w:rsidRPr="00FA6A57">
        <w:rPr>
          <w:lang w:val="en-US"/>
        </w:rPr>
        <w:t xml:space="preserve">AMIRHOM, Emad, DONDAPATI, Manasa, HORTON, Nisha, </w:t>
      </w:r>
      <w:r w:rsidRPr="00FA6A57">
        <w:rPr>
          <w:i/>
          <w:iCs/>
          <w:lang w:val="en-US"/>
        </w:rPr>
        <w:t>et al.</w:t>
      </w:r>
      <w:r w:rsidRPr="00FA6A57">
        <w:rPr>
          <w:lang w:val="en-US"/>
        </w:rPr>
        <w:t xml:space="preserve"> Large colonic lipoma as a lead point for intussusception in an adult. </w:t>
      </w:r>
      <w:r w:rsidRPr="009850BB">
        <w:rPr>
          <w:i/>
          <w:iCs/>
          <w:lang w:val="en-US"/>
        </w:rPr>
        <w:t>Journal of Surgical Case Reports</w:t>
      </w:r>
      <w:r w:rsidRPr="009850BB">
        <w:rPr>
          <w:lang w:val="en-US"/>
        </w:rPr>
        <w:t>, 2022, vol. 2022, no 7, p. rjac327.</w:t>
      </w:r>
    </w:p>
    <w:p w14:paraId="5BED8823" w14:textId="5BC6C26D" w:rsidR="00FA6A57" w:rsidRPr="00FA6A57" w:rsidRDefault="00FA6A57" w:rsidP="00FA6A57">
      <w:pPr>
        <w:rPr>
          <w:lang w:val="en-US"/>
        </w:rPr>
      </w:pPr>
      <w:r w:rsidRPr="009850BB">
        <w:rPr>
          <w:lang w:val="en-US"/>
        </w:rPr>
        <w:t xml:space="preserve">12. ÁLVAREZ-BAUTISTA, F. E., MOCTEZUMA-VELÁZQUEZ, P., PIMIENTA-IBARRA, A. S., </w:t>
      </w:r>
      <w:r w:rsidRPr="009850BB">
        <w:rPr>
          <w:i/>
          <w:iCs/>
          <w:lang w:val="en-US"/>
        </w:rPr>
        <w:t>et al.</w:t>
      </w:r>
      <w:r w:rsidRPr="009850BB">
        <w:rPr>
          <w:lang w:val="en-US"/>
        </w:rPr>
        <w:t xml:space="preserve"> </w:t>
      </w:r>
      <w:r w:rsidRPr="00FA6A57">
        <w:rPr>
          <w:lang w:val="en-US"/>
        </w:rPr>
        <w:t xml:space="preserve">Adult intussusception: still a challenging diagnosis for the surgeon. </w:t>
      </w:r>
      <w:proofErr w:type="spellStart"/>
      <w:r w:rsidRPr="00FA6A57">
        <w:rPr>
          <w:i/>
          <w:iCs/>
          <w:lang w:val="en-US"/>
        </w:rPr>
        <w:t>Revista</w:t>
      </w:r>
      <w:proofErr w:type="spellEnd"/>
      <w:r w:rsidRPr="00FA6A57">
        <w:rPr>
          <w:i/>
          <w:iCs/>
          <w:lang w:val="en-US"/>
        </w:rPr>
        <w:t xml:space="preserve"> de </w:t>
      </w:r>
      <w:proofErr w:type="spellStart"/>
      <w:r w:rsidRPr="00FA6A57">
        <w:rPr>
          <w:i/>
          <w:iCs/>
          <w:lang w:val="en-US"/>
        </w:rPr>
        <w:t>Gastroenterología</w:t>
      </w:r>
      <w:proofErr w:type="spellEnd"/>
      <w:r w:rsidRPr="00FA6A57">
        <w:rPr>
          <w:i/>
          <w:iCs/>
          <w:lang w:val="en-US"/>
        </w:rPr>
        <w:t xml:space="preserve"> de México (English Edition)</w:t>
      </w:r>
      <w:r w:rsidRPr="00FA6A57">
        <w:rPr>
          <w:lang w:val="en-US"/>
        </w:rPr>
        <w:t>, 2023, vol. 88, no 4, p. 315-321.</w:t>
      </w:r>
    </w:p>
    <w:p w14:paraId="18E833E8" w14:textId="6E5B27C1" w:rsidR="00FA6A57" w:rsidRPr="00FA6A57" w:rsidRDefault="00FA6A57" w:rsidP="00FA6A57">
      <w:pPr>
        <w:rPr>
          <w:lang w:val="en-US"/>
        </w:rPr>
      </w:pPr>
    </w:p>
    <w:sectPr w:rsidR="00FA6A57" w:rsidRPr="00FA6A5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ogesh Sarin" w:date="2025-02-26T15:25:00Z" w:initials="YS">
    <w:p w14:paraId="1B0E5311" w14:textId="77777777" w:rsidR="00AF7DA2" w:rsidRDefault="00AF7DA2" w:rsidP="00AF7DA2">
      <w:r>
        <w:rPr>
          <w:rStyle w:val="CommentReference"/>
        </w:rPr>
        <w:annotationRef/>
      </w:r>
      <w:r>
        <w:rPr>
          <w:color w:val="000000"/>
          <w:sz w:val="20"/>
          <w:szCs w:val="20"/>
        </w:rPr>
        <w:t>what was the biopsy of the resected specimen in the previous surgery? Were the surgical margins free of lipoma?</w:t>
      </w:r>
    </w:p>
  </w:comment>
  <w:comment w:id="1" w:author="Yogesh Sarin" w:date="2025-02-26T15:17:00Z" w:initials="YS">
    <w:p w14:paraId="08202EE0" w14:textId="6EEA9851" w:rsidR="00C17242" w:rsidRDefault="00C17242" w:rsidP="00C17242">
      <w:r>
        <w:rPr>
          <w:rStyle w:val="CommentReference"/>
        </w:rPr>
        <w:annotationRef/>
      </w:r>
      <w:r>
        <w:rPr>
          <w:color w:val="000000"/>
          <w:sz w:val="20"/>
          <w:szCs w:val="20"/>
        </w:rPr>
        <w:t>intussusception</w:t>
      </w:r>
    </w:p>
  </w:comment>
  <w:comment w:id="2" w:author="Yogesh Sarin" w:date="2025-02-26T15:17:00Z" w:initials="YS">
    <w:p w14:paraId="188A8F0A" w14:textId="77777777" w:rsidR="00C17242" w:rsidRDefault="00C17242" w:rsidP="00C17242">
      <w:r>
        <w:rPr>
          <w:rStyle w:val="CommentReference"/>
        </w:rPr>
        <w:annotationRef/>
      </w:r>
      <w:r>
        <w:rPr>
          <w:color w:val="000000"/>
          <w:sz w:val="20"/>
          <w:szCs w:val="20"/>
        </w:rPr>
        <w:t>intussuscepted</w:t>
      </w:r>
    </w:p>
  </w:comment>
  <w:comment w:id="3" w:author="Yogesh Sarin" w:date="2025-02-26T15:18:00Z" w:initials="YS">
    <w:p w14:paraId="356918E3" w14:textId="77777777" w:rsidR="00C17242" w:rsidRDefault="00C17242" w:rsidP="00C17242">
      <w:r>
        <w:rPr>
          <w:rStyle w:val="CommentReference"/>
        </w:rPr>
        <w:annotationRef/>
      </w:r>
      <w:r>
        <w:rPr>
          <w:color w:val="000000"/>
          <w:sz w:val="20"/>
          <w:szCs w:val="20"/>
        </w:rPr>
        <w:t>delete</w:t>
      </w:r>
    </w:p>
  </w:comment>
  <w:comment w:id="4" w:author="Yogesh Sarin" w:date="2025-02-26T15:29:00Z" w:initials="YS">
    <w:p w14:paraId="33968580" w14:textId="77777777" w:rsidR="00AF7DA2" w:rsidRDefault="00AF7DA2" w:rsidP="00AF7DA2">
      <w:r>
        <w:rPr>
          <w:rStyle w:val="CommentReference"/>
        </w:rPr>
        <w:annotationRef/>
      </w:r>
      <w:r>
        <w:rPr>
          <w:color w:val="000000"/>
          <w:sz w:val="20"/>
          <w:szCs w:val="20"/>
        </w:rPr>
        <w:t>wrongly cited</w:t>
      </w:r>
    </w:p>
  </w:comment>
  <w:comment w:id="5" w:author="Yogesh Sarin" w:date="2025-02-26T15:21:00Z" w:initials="YS">
    <w:p w14:paraId="05F5267E" w14:textId="28D2E2D3" w:rsidR="00AF7DA2" w:rsidRDefault="00AF7DA2" w:rsidP="00AF7DA2">
      <w:r>
        <w:rPr>
          <w:rStyle w:val="CommentReference"/>
        </w:rPr>
        <w:annotationRef/>
      </w:r>
      <w:r>
        <w:rPr>
          <w:color w:val="1F1F1F"/>
          <w:sz w:val="20"/>
          <w:szCs w:val="20"/>
        </w:rPr>
        <w:t>References should include, in order, authors' surnames and initials, article title, abbreviated journal name, year, volume and inclusive page numbers. The last names and initials of all the authors up to 6 should be included, but when the number of authors is 7 or more, list the first 3 authors only followed by "et al". Abbreviations for journal names should conform to those used in MEDLINE.</w:t>
      </w:r>
      <w:r>
        <w:rPr>
          <w:sz w:val="20"/>
          <w:szCs w:val="20"/>
        </w:rPr>
        <w:cr/>
      </w:r>
      <w:r>
        <w:rPr>
          <w:color w:val="1F1F1F"/>
          <w:sz w:val="20"/>
          <w:szCs w:val="20"/>
        </w:rPr>
        <w:cr/>
      </w:r>
      <w:r>
        <w:rPr>
          <w:b/>
          <w:bCs/>
          <w:color w:val="1F1F1F"/>
          <w:sz w:val="20"/>
          <w:szCs w:val="20"/>
        </w:rPr>
        <w:t>Available in Instructions to Authors.</w:t>
      </w:r>
      <w:r>
        <w:rPr>
          <w:color w:val="1F1F1F"/>
          <w:sz w:val="20"/>
          <w:szCs w:val="20"/>
        </w:rPr>
        <w:t xml:space="preserve">  Need to rewrite all of them.</w:t>
      </w:r>
    </w:p>
  </w:comment>
  <w:comment w:id="6" w:author="Yogesh Sarin" w:date="2025-02-26T15:16:00Z" w:initials="YS">
    <w:p w14:paraId="3BB879CE" w14:textId="30DCA0B7" w:rsidR="00C17242" w:rsidRDefault="00C17242" w:rsidP="00C17242">
      <w:r>
        <w:rPr>
          <w:rStyle w:val="CommentReference"/>
        </w:rPr>
        <w:annotationRef/>
      </w:r>
      <w:r>
        <w:rPr>
          <w:color w:val="000000"/>
          <w:sz w:val="20"/>
          <w:szCs w:val="20"/>
        </w:rPr>
        <w:t>no year mentioned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B0E5311" w15:done="0"/>
  <w15:commentEx w15:paraId="08202EE0" w15:done="0"/>
  <w15:commentEx w15:paraId="188A8F0A" w15:done="0"/>
  <w15:commentEx w15:paraId="356918E3" w15:done="0"/>
  <w15:commentEx w15:paraId="33968580" w15:done="0"/>
  <w15:commentEx w15:paraId="05F5267E" w15:done="0"/>
  <w15:commentEx w15:paraId="3BB879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A2BAF5" w16cex:dateUtc="2025-02-26T09:55:00Z"/>
  <w16cex:commentExtensible w16cex:durableId="6C192EAF" w16cex:dateUtc="2025-02-26T09:47:00Z"/>
  <w16cex:commentExtensible w16cex:durableId="00BB0ADF" w16cex:dateUtc="2025-02-26T09:47:00Z"/>
  <w16cex:commentExtensible w16cex:durableId="33122C1E" w16cex:dateUtc="2025-02-26T09:48:00Z"/>
  <w16cex:commentExtensible w16cex:durableId="48F64809" w16cex:dateUtc="2025-02-26T09:59:00Z"/>
  <w16cex:commentExtensible w16cex:durableId="4275D297" w16cex:dateUtc="2025-02-26T09:51:00Z"/>
  <w16cex:commentExtensible w16cex:durableId="2678D2CF" w16cex:dateUtc="2025-02-26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0E5311" w16cid:durableId="11A2BAF5"/>
  <w16cid:commentId w16cid:paraId="08202EE0" w16cid:durableId="6C192EAF"/>
  <w16cid:commentId w16cid:paraId="188A8F0A" w16cid:durableId="00BB0ADF"/>
  <w16cid:commentId w16cid:paraId="356918E3" w16cid:durableId="33122C1E"/>
  <w16cid:commentId w16cid:paraId="33968580" w16cid:durableId="48F64809"/>
  <w16cid:commentId w16cid:paraId="05F5267E" w16cid:durableId="4275D297"/>
  <w16cid:commentId w16cid:paraId="3BB879CE" w16cid:durableId="2678D2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5AECA" w14:textId="77777777" w:rsidR="00A02703" w:rsidRDefault="00A02703" w:rsidP="00AC0470">
      <w:pPr>
        <w:spacing w:after="0" w:line="240" w:lineRule="auto"/>
      </w:pPr>
      <w:r>
        <w:separator/>
      </w:r>
    </w:p>
  </w:endnote>
  <w:endnote w:type="continuationSeparator" w:id="0">
    <w:p w14:paraId="488D3B41" w14:textId="77777777" w:rsidR="00A02703" w:rsidRDefault="00A02703" w:rsidP="00AC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rlito">
    <w:altName w:val="Calibri"/>
    <w:panose1 w:val="020B0604020202020204"/>
    <w:charset w:val="00"/>
    <w:family w:val="auto"/>
    <w:pitch w:val="default"/>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9BB2" w14:textId="77777777" w:rsidR="00AC0470" w:rsidRDefault="00AC0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8138" w14:textId="77777777" w:rsidR="00AC0470" w:rsidRDefault="00AC0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2C93C" w14:textId="77777777" w:rsidR="00AC0470" w:rsidRDefault="00AC0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1425C" w14:textId="77777777" w:rsidR="00A02703" w:rsidRDefault="00A02703" w:rsidP="00AC0470">
      <w:pPr>
        <w:spacing w:after="0" w:line="240" w:lineRule="auto"/>
      </w:pPr>
      <w:r>
        <w:separator/>
      </w:r>
    </w:p>
  </w:footnote>
  <w:footnote w:type="continuationSeparator" w:id="0">
    <w:p w14:paraId="2392C080" w14:textId="77777777" w:rsidR="00A02703" w:rsidRDefault="00A02703" w:rsidP="00AC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3AEB" w14:textId="7CA00529" w:rsidR="00AC0470" w:rsidRDefault="00A02703">
    <w:pPr>
      <w:pStyle w:val="Header"/>
    </w:pPr>
    <w:r>
      <w:rPr>
        <w:noProof/>
      </w:rPr>
      <w:pict w14:anchorId="4DA2E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60" o:spid="_x0000_s1027"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ACBDC" w14:textId="6545F1FC" w:rsidR="00AC0470" w:rsidRDefault="00A02703">
    <w:pPr>
      <w:pStyle w:val="Header"/>
    </w:pPr>
    <w:r>
      <w:rPr>
        <w:noProof/>
      </w:rPr>
      <w:pict w14:anchorId="2B5B3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61" o:spid="_x0000_s1026"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74AF" w14:textId="32B1A009" w:rsidR="00AC0470" w:rsidRDefault="00A02703">
    <w:pPr>
      <w:pStyle w:val="Header"/>
    </w:pPr>
    <w:r>
      <w:rPr>
        <w:noProof/>
      </w:rPr>
      <w:pict w14:anchorId="5B5A4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1827859" o:spid="_x0000_s1025"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70DEB"/>
    <w:multiLevelType w:val="hybridMultilevel"/>
    <w:tmpl w:val="8132E17E"/>
    <w:lvl w:ilvl="0" w:tplc="49083170">
      <w:start w:val="1"/>
      <w:numFmt w:val="decimal"/>
      <w:lvlText w:val="%1"/>
      <w:lvlJc w:val="left"/>
      <w:pPr>
        <w:ind w:left="720" w:hanging="360"/>
      </w:pPr>
      <w:rPr>
        <w:rFonts w:asciiTheme="minorHAnsi" w:eastAsiaTheme="minorHAnsi" w:hAnsiTheme="minorHAnsi" w:cstheme="minorBidi"/>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15:restartNumberingAfterBreak="0">
    <w:nsid w:val="769C0E1F"/>
    <w:multiLevelType w:val="hybridMultilevel"/>
    <w:tmpl w:val="F9ACCDCA"/>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16cid:durableId="1364208910">
    <w:abstractNumId w:val="1"/>
  </w:num>
  <w:num w:numId="2" w16cid:durableId="2402614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ogesh Sarin">
    <w15:presenceInfo w15:providerId="Windows Live" w15:userId="28dcdeb1dc82a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5F"/>
    <w:rsid w:val="001905A6"/>
    <w:rsid w:val="003179C8"/>
    <w:rsid w:val="0035795C"/>
    <w:rsid w:val="00397AC4"/>
    <w:rsid w:val="003B60E4"/>
    <w:rsid w:val="00401504"/>
    <w:rsid w:val="00494A35"/>
    <w:rsid w:val="005B01E3"/>
    <w:rsid w:val="005E36A4"/>
    <w:rsid w:val="005E5E3B"/>
    <w:rsid w:val="00751923"/>
    <w:rsid w:val="00790E40"/>
    <w:rsid w:val="007D333A"/>
    <w:rsid w:val="008C1421"/>
    <w:rsid w:val="009850BB"/>
    <w:rsid w:val="009A3120"/>
    <w:rsid w:val="00A02703"/>
    <w:rsid w:val="00A14D1E"/>
    <w:rsid w:val="00A3025F"/>
    <w:rsid w:val="00A31674"/>
    <w:rsid w:val="00A37F7E"/>
    <w:rsid w:val="00AC0470"/>
    <w:rsid w:val="00AF7DA2"/>
    <w:rsid w:val="00B1715B"/>
    <w:rsid w:val="00BB0444"/>
    <w:rsid w:val="00C17242"/>
    <w:rsid w:val="00C40BD4"/>
    <w:rsid w:val="00CB5649"/>
    <w:rsid w:val="00D166B0"/>
    <w:rsid w:val="00DD78DC"/>
    <w:rsid w:val="00E509E7"/>
    <w:rsid w:val="00E51E8E"/>
    <w:rsid w:val="00E62B6D"/>
    <w:rsid w:val="00F6328D"/>
    <w:rsid w:val="00FA6A57"/>
    <w:rsid w:val="00FE1C9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3705"/>
  <w15:chartTrackingRefBased/>
  <w15:docId w15:val="{AB849BDE-863F-443C-AE54-FEB7B7F3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2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02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02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02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02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0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2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02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02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02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02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0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25F"/>
    <w:rPr>
      <w:rFonts w:eastAsiaTheme="majorEastAsia" w:cstheme="majorBidi"/>
      <w:color w:val="272727" w:themeColor="text1" w:themeTint="D8"/>
    </w:rPr>
  </w:style>
  <w:style w:type="paragraph" w:styleId="Title">
    <w:name w:val="Title"/>
    <w:basedOn w:val="Normal"/>
    <w:next w:val="Normal"/>
    <w:link w:val="TitleChar"/>
    <w:uiPriority w:val="10"/>
    <w:qFormat/>
    <w:rsid w:val="00A30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2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25F"/>
    <w:pPr>
      <w:spacing w:before="160"/>
      <w:jc w:val="center"/>
    </w:pPr>
    <w:rPr>
      <w:i/>
      <w:iCs/>
      <w:color w:val="404040" w:themeColor="text1" w:themeTint="BF"/>
    </w:rPr>
  </w:style>
  <w:style w:type="character" w:customStyle="1" w:styleId="QuoteChar">
    <w:name w:val="Quote Char"/>
    <w:basedOn w:val="DefaultParagraphFont"/>
    <w:link w:val="Quote"/>
    <w:uiPriority w:val="29"/>
    <w:rsid w:val="00A3025F"/>
    <w:rPr>
      <w:i/>
      <w:iCs/>
      <w:color w:val="404040" w:themeColor="text1" w:themeTint="BF"/>
    </w:rPr>
  </w:style>
  <w:style w:type="paragraph" w:styleId="ListParagraph">
    <w:name w:val="List Paragraph"/>
    <w:basedOn w:val="Normal"/>
    <w:uiPriority w:val="34"/>
    <w:qFormat/>
    <w:rsid w:val="00A3025F"/>
    <w:pPr>
      <w:ind w:left="720"/>
      <w:contextualSpacing/>
    </w:pPr>
  </w:style>
  <w:style w:type="character" w:styleId="IntenseEmphasis">
    <w:name w:val="Intense Emphasis"/>
    <w:basedOn w:val="DefaultParagraphFont"/>
    <w:uiPriority w:val="21"/>
    <w:qFormat/>
    <w:rsid w:val="00A3025F"/>
    <w:rPr>
      <w:i/>
      <w:iCs/>
      <w:color w:val="2F5496" w:themeColor="accent1" w:themeShade="BF"/>
    </w:rPr>
  </w:style>
  <w:style w:type="paragraph" w:styleId="IntenseQuote">
    <w:name w:val="Intense Quote"/>
    <w:basedOn w:val="Normal"/>
    <w:next w:val="Normal"/>
    <w:link w:val="IntenseQuoteChar"/>
    <w:uiPriority w:val="30"/>
    <w:qFormat/>
    <w:rsid w:val="00A30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025F"/>
    <w:rPr>
      <w:i/>
      <w:iCs/>
      <w:color w:val="2F5496" w:themeColor="accent1" w:themeShade="BF"/>
    </w:rPr>
  </w:style>
  <w:style w:type="character" w:styleId="IntenseReference">
    <w:name w:val="Intense Reference"/>
    <w:basedOn w:val="DefaultParagraphFont"/>
    <w:uiPriority w:val="32"/>
    <w:qFormat/>
    <w:rsid w:val="00A3025F"/>
    <w:rPr>
      <w:b/>
      <w:bCs/>
      <w:smallCaps/>
      <w:color w:val="2F5496" w:themeColor="accent1" w:themeShade="BF"/>
      <w:spacing w:val="5"/>
    </w:rPr>
  </w:style>
  <w:style w:type="character" w:styleId="Hyperlink">
    <w:name w:val="Hyperlink"/>
    <w:basedOn w:val="DefaultParagraphFont"/>
    <w:uiPriority w:val="99"/>
    <w:unhideWhenUsed/>
    <w:rsid w:val="00397AC4"/>
    <w:rPr>
      <w:color w:val="0563C1" w:themeColor="hyperlink"/>
      <w:u w:val="single"/>
    </w:rPr>
  </w:style>
  <w:style w:type="character" w:styleId="UnresolvedMention">
    <w:name w:val="Unresolved Mention"/>
    <w:basedOn w:val="DefaultParagraphFont"/>
    <w:uiPriority w:val="99"/>
    <w:semiHidden/>
    <w:unhideWhenUsed/>
    <w:rsid w:val="00397AC4"/>
    <w:rPr>
      <w:color w:val="605E5C"/>
      <w:shd w:val="clear" w:color="auto" w:fill="E1DFDD"/>
    </w:rPr>
  </w:style>
  <w:style w:type="paragraph" w:styleId="NoSpacing">
    <w:name w:val="No Spacing"/>
    <w:uiPriority w:val="1"/>
    <w:qFormat/>
    <w:rsid w:val="003179C8"/>
    <w:pPr>
      <w:spacing w:after="0" w:line="240" w:lineRule="auto"/>
    </w:pPr>
  </w:style>
  <w:style w:type="paragraph" w:styleId="Header">
    <w:name w:val="header"/>
    <w:basedOn w:val="Normal"/>
    <w:link w:val="HeaderChar"/>
    <w:uiPriority w:val="99"/>
    <w:unhideWhenUsed/>
    <w:rsid w:val="00AC0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470"/>
  </w:style>
  <w:style w:type="paragraph" w:styleId="Footer">
    <w:name w:val="footer"/>
    <w:basedOn w:val="Normal"/>
    <w:link w:val="FooterChar"/>
    <w:uiPriority w:val="99"/>
    <w:unhideWhenUsed/>
    <w:rsid w:val="00AC0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470"/>
  </w:style>
  <w:style w:type="character" w:styleId="CommentReference">
    <w:name w:val="annotation reference"/>
    <w:basedOn w:val="DefaultParagraphFont"/>
    <w:uiPriority w:val="99"/>
    <w:semiHidden/>
    <w:unhideWhenUsed/>
    <w:rsid w:val="00C17242"/>
    <w:rPr>
      <w:sz w:val="16"/>
      <w:szCs w:val="16"/>
    </w:rPr>
  </w:style>
  <w:style w:type="paragraph" w:styleId="CommentText">
    <w:name w:val="annotation text"/>
    <w:basedOn w:val="Normal"/>
    <w:link w:val="CommentTextChar"/>
    <w:uiPriority w:val="99"/>
    <w:semiHidden/>
    <w:unhideWhenUsed/>
    <w:rsid w:val="00C17242"/>
    <w:pPr>
      <w:spacing w:line="240" w:lineRule="auto"/>
    </w:pPr>
    <w:rPr>
      <w:sz w:val="20"/>
      <w:szCs w:val="20"/>
    </w:rPr>
  </w:style>
  <w:style w:type="character" w:customStyle="1" w:styleId="CommentTextChar">
    <w:name w:val="Comment Text Char"/>
    <w:basedOn w:val="DefaultParagraphFont"/>
    <w:link w:val="CommentText"/>
    <w:uiPriority w:val="99"/>
    <w:semiHidden/>
    <w:rsid w:val="00C17242"/>
    <w:rPr>
      <w:sz w:val="20"/>
      <w:szCs w:val="20"/>
    </w:rPr>
  </w:style>
  <w:style w:type="paragraph" w:styleId="CommentSubject">
    <w:name w:val="annotation subject"/>
    <w:basedOn w:val="CommentText"/>
    <w:next w:val="CommentText"/>
    <w:link w:val="CommentSubjectChar"/>
    <w:uiPriority w:val="99"/>
    <w:semiHidden/>
    <w:unhideWhenUsed/>
    <w:rsid w:val="00C17242"/>
    <w:rPr>
      <w:b/>
      <w:bCs/>
    </w:rPr>
  </w:style>
  <w:style w:type="character" w:customStyle="1" w:styleId="CommentSubjectChar">
    <w:name w:val="Comment Subject Char"/>
    <w:basedOn w:val="CommentTextChar"/>
    <w:link w:val="CommentSubject"/>
    <w:uiPriority w:val="99"/>
    <w:semiHidden/>
    <w:rsid w:val="00C17242"/>
    <w:rPr>
      <w:b/>
      <w:bCs/>
      <w:sz w:val="20"/>
      <w:szCs w:val="20"/>
    </w:rPr>
  </w:style>
  <w:style w:type="character" w:styleId="FollowedHyperlink">
    <w:name w:val="FollowedHyperlink"/>
    <w:basedOn w:val="DefaultParagraphFont"/>
    <w:uiPriority w:val="99"/>
    <w:semiHidden/>
    <w:unhideWhenUsed/>
    <w:rsid w:val="00AF7D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248603">
      <w:bodyDiv w:val="1"/>
      <w:marLeft w:val="0"/>
      <w:marRight w:val="0"/>
      <w:marTop w:val="0"/>
      <w:marBottom w:val="0"/>
      <w:divBdr>
        <w:top w:val="none" w:sz="0" w:space="0" w:color="auto"/>
        <w:left w:val="none" w:sz="0" w:space="0" w:color="auto"/>
        <w:bottom w:val="none" w:sz="0" w:space="0" w:color="auto"/>
        <w:right w:val="none" w:sz="0" w:space="0" w:color="auto"/>
      </w:divBdr>
      <w:divsChild>
        <w:div w:id="36122125">
          <w:marLeft w:val="0"/>
          <w:marRight w:val="0"/>
          <w:marTop w:val="0"/>
          <w:marBottom w:val="0"/>
          <w:divBdr>
            <w:top w:val="none" w:sz="0" w:space="0" w:color="auto"/>
            <w:left w:val="none" w:sz="0" w:space="0" w:color="auto"/>
            <w:bottom w:val="none" w:sz="0" w:space="0" w:color="auto"/>
            <w:right w:val="none" w:sz="0" w:space="0" w:color="auto"/>
          </w:divBdr>
        </w:div>
      </w:divsChild>
    </w:div>
    <w:div w:id="1283341728">
      <w:bodyDiv w:val="1"/>
      <w:marLeft w:val="0"/>
      <w:marRight w:val="0"/>
      <w:marTop w:val="0"/>
      <w:marBottom w:val="0"/>
      <w:divBdr>
        <w:top w:val="none" w:sz="0" w:space="0" w:color="auto"/>
        <w:left w:val="none" w:sz="0" w:space="0" w:color="auto"/>
        <w:bottom w:val="none" w:sz="0" w:space="0" w:color="auto"/>
        <w:right w:val="none" w:sz="0" w:space="0" w:color="auto"/>
      </w:divBdr>
      <w:divsChild>
        <w:div w:id="954556921">
          <w:marLeft w:val="0"/>
          <w:marRight w:val="0"/>
          <w:marTop w:val="0"/>
          <w:marBottom w:val="0"/>
          <w:divBdr>
            <w:top w:val="none" w:sz="0" w:space="0" w:color="auto"/>
            <w:left w:val="none" w:sz="0" w:space="0" w:color="auto"/>
            <w:bottom w:val="none" w:sz="0" w:space="0" w:color="auto"/>
            <w:right w:val="none" w:sz="0" w:space="0" w:color="auto"/>
          </w:divBdr>
          <w:divsChild>
            <w:div w:id="1215390164">
              <w:marLeft w:val="0"/>
              <w:marRight w:val="0"/>
              <w:marTop w:val="0"/>
              <w:marBottom w:val="0"/>
              <w:divBdr>
                <w:top w:val="none" w:sz="0" w:space="0" w:color="auto"/>
                <w:left w:val="none" w:sz="0" w:space="0" w:color="auto"/>
                <w:bottom w:val="none" w:sz="0" w:space="0" w:color="auto"/>
                <w:right w:val="none" w:sz="0" w:space="0" w:color="auto"/>
              </w:divBdr>
              <w:divsChild>
                <w:div w:id="1677147696">
                  <w:marLeft w:val="0"/>
                  <w:marRight w:val="0"/>
                  <w:marTop w:val="0"/>
                  <w:marBottom w:val="0"/>
                  <w:divBdr>
                    <w:top w:val="none" w:sz="0" w:space="0" w:color="auto"/>
                    <w:left w:val="none" w:sz="0" w:space="0" w:color="auto"/>
                    <w:bottom w:val="none" w:sz="0" w:space="0" w:color="auto"/>
                    <w:right w:val="none" w:sz="0" w:space="0" w:color="auto"/>
                  </w:divBdr>
                  <w:divsChild>
                    <w:div w:id="1868105814">
                      <w:marLeft w:val="120"/>
                      <w:marRight w:val="120"/>
                      <w:marTop w:val="60"/>
                      <w:marBottom w:val="75"/>
                      <w:divBdr>
                        <w:top w:val="none" w:sz="0" w:space="0" w:color="auto"/>
                        <w:left w:val="none" w:sz="0" w:space="0" w:color="auto"/>
                        <w:bottom w:val="none" w:sz="0" w:space="0" w:color="auto"/>
                        <w:right w:val="none" w:sz="0" w:space="0" w:color="auto"/>
                      </w:divBdr>
                      <w:divsChild>
                        <w:div w:id="534775078">
                          <w:marLeft w:val="0"/>
                          <w:marRight w:val="0"/>
                          <w:marTop w:val="0"/>
                          <w:marBottom w:val="0"/>
                          <w:divBdr>
                            <w:top w:val="none" w:sz="0" w:space="0" w:color="auto"/>
                            <w:left w:val="none" w:sz="0" w:space="0" w:color="auto"/>
                            <w:bottom w:val="none" w:sz="0" w:space="0" w:color="auto"/>
                            <w:right w:val="none" w:sz="0" w:space="0" w:color="auto"/>
                          </w:divBdr>
                          <w:divsChild>
                            <w:div w:id="1328822327">
                              <w:marLeft w:val="0"/>
                              <w:marRight w:val="0"/>
                              <w:marTop w:val="0"/>
                              <w:marBottom w:val="0"/>
                              <w:divBdr>
                                <w:top w:val="none" w:sz="0" w:space="0" w:color="auto"/>
                                <w:left w:val="none" w:sz="0" w:space="0" w:color="auto"/>
                                <w:bottom w:val="none" w:sz="0" w:space="0" w:color="auto"/>
                                <w:right w:val="none" w:sz="0" w:space="0" w:color="auto"/>
                              </w:divBdr>
                              <w:divsChild>
                                <w:div w:id="413623113">
                                  <w:marLeft w:val="0"/>
                                  <w:marRight w:val="0"/>
                                  <w:marTop w:val="0"/>
                                  <w:marBottom w:val="0"/>
                                  <w:divBdr>
                                    <w:top w:val="none" w:sz="0" w:space="0" w:color="auto"/>
                                    <w:left w:val="none" w:sz="0" w:space="0" w:color="auto"/>
                                    <w:bottom w:val="none" w:sz="0" w:space="0" w:color="auto"/>
                                    <w:right w:val="none" w:sz="0" w:space="0" w:color="auto"/>
                                  </w:divBdr>
                                </w:div>
                                <w:div w:id="203519560">
                                  <w:marLeft w:val="0"/>
                                  <w:marRight w:val="0"/>
                                  <w:marTop w:val="0"/>
                                  <w:marBottom w:val="0"/>
                                  <w:divBdr>
                                    <w:top w:val="none" w:sz="0" w:space="0" w:color="auto"/>
                                    <w:left w:val="none" w:sz="0" w:space="0" w:color="auto"/>
                                    <w:bottom w:val="none" w:sz="0" w:space="0" w:color="auto"/>
                                    <w:right w:val="none" w:sz="0" w:space="0" w:color="auto"/>
                                  </w:divBdr>
                                </w:div>
                                <w:div w:id="1614360154">
                                  <w:marLeft w:val="0"/>
                                  <w:marRight w:val="0"/>
                                  <w:marTop w:val="0"/>
                                  <w:marBottom w:val="0"/>
                                  <w:divBdr>
                                    <w:top w:val="none" w:sz="0" w:space="0" w:color="auto"/>
                                    <w:left w:val="none" w:sz="0" w:space="0" w:color="auto"/>
                                    <w:bottom w:val="none" w:sz="0" w:space="0" w:color="auto"/>
                                    <w:right w:val="none" w:sz="0" w:space="0" w:color="auto"/>
                                  </w:divBdr>
                                </w:div>
                                <w:div w:id="721059040">
                                  <w:marLeft w:val="0"/>
                                  <w:marRight w:val="0"/>
                                  <w:marTop w:val="0"/>
                                  <w:marBottom w:val="0"/>
                                  <w:divBdr>
                                    <w:top w:val="none" w:sz="0" w:space="0" w:color="auto"/>
                                    <w:left w:val="none" w:sz="0" w:space="0" w:color="auto"/>
                                    <w:bottom w:val="none" w:sz="0" w:space="0" w:color="auto"/>
                                    <w:right w:val="none" w:sz="0" w:space="0" w:color="auto"/>
                                  </w:divBdr>
                                  <w:divsChild>
                                    <w:div w:id="13645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95865">
          <w:marLeft w:val="0"/>
          <w:marRight w:val="0"/>
          <w:marTop w:val="0"/>
          <w:marBottom w:val="0"/>
          <w:divBdr>
            <w:top w:val="none" w:sz="0" w:space="0" w:color="auto"/>
            <w:left w:val="none" w:sz="0" w:space="0" w:color="auto"/>
            <w:bottom w:val="none" w:sz="0" w:space="0" w:color="auto"/>
            <w:right w:val="none" w:sz="0" w:space="0" w:color="auto"/>
          </w:divBdr>
          <w:divsChild>
            <w:div w:id="1463839788">
              <w:marLeft w:val="0"/>
              <w:marRight w:val="0"/>
              <w:marTop w:val="0"/>
              <w:marBottom w:val="0"/>
              <w:divBdr>
                <w:top w:val="none" w:sz="0" w:space="0" w:color="auto"/>
                <w:left w:val="none" w:sz="0" w:space="0" w:color="auto"/>
                <w:bottom w:val="none" w:sz="0" w:space="0" w:color="auto"/>
                <w:right w:val="none" w:sz="0" w:space="0" w:color="auto"/>
              </w:divBdr>
              <w:divsChild>
                <w:div w:id="487986270">
                  <w:marLeft w:val="0"/>
                  <w:marRight w:val="0"/>
                  <w:marTop w:val="0"/>
                  <w:marBottom w:val="0"/>
                  <w:divBdr>
                    <w:top w:val="none" w:sz="0" w:space="0" w:color="auto"/>
                    <w:left w:val="none" w:sz="0" w:space="0" w:color="auto"/>
                    <w:bottom w:val="none" w:sz="0" w:space="0" w:color="auto"/>
                    <w:right w:val="none" w:sz="0" w:space="0" w:color="auto"/>
                  </w:divBdr>
                  <w:divsChild>
                    <w:div w:id="701898825">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1475873337">
      <w:bodyDiv w:val="1"/>
      <w:marLeft w:val="0"/>
      <w:marRight w:val="0"/>
      <w:marTop w:val="0"/>
      <w:marBottom w:val="0"/>
      <w:divBdr>
        <w:top w:val="none" w:sz="0" w:space="0" w:color="auto"/>
        <w:left w:val="none" w:sz="0" w:space="0" w:color="auto"/>
        <w:bottom w:val="none" w:sz="0" w:space="0" w:color="auto"/>
        <w:right w:val="none" w:sz="0" w:space="0" w:color="auto"/>
      </w:divBdr>
      <w:divsChild>
        <w:div w:id="2095005582">
          <w:marLeft w:val="0"/>
          <w:marRight w:val="0"/>
          <w:marTop w:val="0"/>
          <w:marBottom w:val="0"/>
          <w:divBdr>
            <w:top w:val="none" w:sz="0" w:space="0" w:color="auto"/>
            <w:left w:val="none" w:sz="0" w:space="0" w:color="auto"/>
            <w:bottom w:val="none" w:sz="0" w:space="0" w:color="auto"/>
            <w:right w:val="none" w:sz="0" w:space="0" w:color="auto"/>
          </w:divBdr>
        </w:div>
      </w:divsChild>
    </w:div>
    <w:div w:id="1674069780">
      <w:bodyDiv w:val="1"/>
      <w:marLeft w:val="0"/>
      <w:marRight w:val="0"/>
      <w:marTop w:val="0"/>
      <w:marBottom w:val="0"/>
      <w:divBdr>
        <w:top w:val="none" w:sz="0" w:space="0" w:color="auto"/>
        <w:left w:val="none" w:sz="0" w:space="0" w:color="auto"/>
        <w:bottom w:val="none" w:sz="0" w:space="0" w:color="auto"/>
        <w:right w:val="none" w:sz="0" w:space="0" w:color="auto"/>
      </w:divBdr>
      <w:divsChild>
        <w:div w:id="1024329402">
          <w:marLeft w:val="0"/>
          <w:marRight w:val="0"/>
          <w:marTop w:val="0"/>
          <w:marBottom w:val="0"/>
          <w:divBdr>
            <w:top w:val="none" w:sz="0" w:space="0" w:color="auto"/>
            <w:left w:val="none" w:sz="0" w:space="0" w:color="auto"/>
            <w:bottom w:val="none" w:sz="0" w:space="0" w:color="auto"/>
            <w:right w:val="none" w:sz="0" w:space="0" w:color="auto"/>
          </w:divBdr>
          <w:divsChild>
            <w:div w:id="1889874515">
              <w:marLeft w:val="0"/>
              <w:marRight w:val="0"/>
              <w:marTop w:val="0"/>
              <w:marBottom w:val="0"/>
              <w:divBdr>
                <w:top w:val="none" w:sz="0" w:space="0" w:color="auto"/>
                <w:left w:val="none" w:sz="0" w:space="0" w:color="auto"/>
                <w:bottom w:val="none" w:sz="0" w:space="0" w:color="auto"/>
                <w:right w:val="none" w:sz="0" w:space="0" w:color="auto"/>
              </w:divBdr>
              <w:divsChild>
                <w:div w:id="561672299">
                  <w:marLeft w:val="0"/>
                  <w:marRight w:val="0"/>
                  <w:marTop w:val="0"/>
                  <w:marBottom w:val="0"/>
                  <w:divBdr>
                    <w:top w:val="none" w:sz="0" w:space="0" w:color="auto"/>
                    <w:left w:val="none" w:sz="0" w:space="0" w:color="auto"/>
                    <w:bottom w:val="none" w:sz="0" w:space="0" w:color="auto"/>
                    <w:right w:val="none" w:sz="0" w:space="0" w:color="auto"/>
                  </w:divBdr>
                  <w:divsChild>
                    <w:div w:id="333340179">
                      <w:marLeft w:val="120"/>
                      <w:marRight w:val="120"/>
                      <w:marTop w:val="60"/>
                      <w:marBottom w:val="75"/>
                      <w:divBdr>
                        <w:top w:val="none" w:sz="0" w:space="0" w:color="auto"/>
                        <w:left w:val="none" w:sz="0" w:space="0" w:color="auto"/>
                        <w:bottom w:val="none" w:sz="0" w:space="0" w:color="auto"/>
                        <w:right w:val="none" w:sz="0" w:space="0" w:color="auto"/>
                      </w:divBdr>
                      <w:divsChild>
                        <w:div w:id="76752624">
                          <w:marLeft w:val="0"/>
                          <w:marRight w:val="0"/>
                          <w:marTop w:val="0"/>
                          <w:marBottom w:val="0"/>
                          <w:divBdr>
                            <w:top w:val="none" w:sz="0" w:space="0" w:color="auto"/>
                            <w:left w:val="none" w:sz="0" w:space="0" w:color="auto"/>
                            <w:bottom w:val="none" w:sz="0" w:space="0" w:color="auto"/>
                            <w:right w:val="none" w:sz="0" w:space="0" w:color="auto"/>
                          </w:divBdr>
                          <w:divsChild>
                            <w:div w:id="1324352042">
                              <w:marLeft w:val="0"/>
                              <w:marRight w:val="0"/>
                              <w:marTop w:val="0"/>
                              <w:marBottom w:val="0"/>
                              <w:divBdr>
                                <w:top w:val="none" w:sz="0" w:space="0" w:color="auto"/>
                                <w:left w:val="none" w:sz="0" w:space="0" w:color="auto"/>
                                <w:bottom w:val="none" w:sz="0" w:space="0" w:color="auto"/>
                                <w:right w:val="none" w:sz="0" w:space="0" w:color="auto"/>
                              </w:divBdr>
                              <w:divsChild>
                                <w:div w:id="1520269695">
                                  <w:marLeft w:val="0"/>
                                  <w:marRight w:val="0"/>
                                  <w:marTop w:val="0"/>
                                  <w:marBottom w:val="0"/>
                                  <w:divBdr>
                                    <w:top w:val="none" w:sz="0" w:space="0" w:color="auto"/>
                                    <w:left w:val="none" w:sz="0" w:space="0" w:color="auto"/>
                                    <w:bottom w:val="none" w:sz="0" w:space="0" w:color="auto"/>
                                    <w:right w:val="none" w:sz="0" w:space="0" w:color="auto"/>
                                  </w:divBdr>
                                </w:div>
                                <w:div w:id="798185991">
                                  <w:marLeft w:val="0"/>
                                  <w:marRight w:val="0"/>
                                  <w:marTop w:val="0"/>
                                  <w:marBottom w:val="0"/>
                                  <w:divBdr>
                                    <w:top w:val="none" w:sz="0" w:space="0" w:color="auto"/>
                                    <w:left w:val="none" w:sz="0" w:space="0" w:color="auto"/>
                                    <w:bottom w:val="none" w:sz="0" w:space="0" w:color="auto"/>
                                    <w:right w:val="none" w:sz="0" w:space="0" w:color="auto"/>
                                  </w:divBdr>
                                </w:div>
                                <w:div w:id="1701515721">
                                  <w:marLeft w:val="0"/>
                                  <w:marRight w:val="0"/>
                                  <w:marTop w:val="0"/>
                                  <w:marBottom w:val="0"/>
                                  <w:divBdr>
                                    <w:top w:val="none" w:sz="0" w:space="0" w:color="auto"/>
                                    <w:left w:val="none" w:sz="0" w:space="0" w:color="auto"/>
                                    <w:bottom w:val="none" w:sz="0" w:space="0" w:color="auto"/>
                                    <w:right w:val="none" w:sz="0" w:space="0" w:color="auto"/>
                                  </w:divBdr>
                                </w:div>
                                <w:div w:id="1668441421">
                                  <w:marLeft w:val="0"/>
                                  <w:marRight w:val="0"/>
                                  <w:marTop w:val="0"/>
                                  <w:marBottom w:val="0"/>
                                  <w:divBdr>
                                    <w:top w:val="none" w:sz="0" w:space="0" w:color="auto"/>
                                    <w:left w:val="none" w:sz="0" w:space="0" w:color="auto"/>
                                    <w:bottom w:val="none" w:sz="0" w:space="0" w:color="auto"/>
                                    <w:right w:val="none" w:sz="0" w:space="0" w:color="auto"/>
                                  </w:divBdr>
                                  <w:divsChild>
                                    <w:div w:id="16724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1009">
          <w:marLeft w:val="0"/>
          <w:marRight w:val="0"/>
          <w:marTop w:val="0"/>
          <w:marBottom w:val="0"/>
          <w:divBdr>
            <w:top w:val="none" w:sz="0" w:space="0" w:color="auto"/>
            <w:left w:val="none" w:sz="0" w:space="0" w:color="auto"/>
            <w:bottom w:val="none" w:sz="0" w:space="0" w:color="auto"/>
            <w:right w:val="none" w:sz="0" w:space="0" w:color="auto"/>
          </w:divBdr>
          <w:divsChild>
            <w:div w:id="831409962">
              <w:marLeft w:val="0"/>
              <w:marRight w:val="0"/>
              <w:marTop w:val="0"/>
              <w:marBottom w:val="0"/>
              <w:divBdr>
                <w:top w:val="none" w:sz="0" w:space="0" w:color="auto"/>
                <w:left w:val="none" w:sz="0" w:space="0" w:color="auto"/>
                <w:bottom w:val="none" w:sz="0" w:space="0" w:color="auto"/>
                <w:right w:val="none" w:sz="0" w:space="0" w:color="auto"/>
              </w:divBdr>
              <w:divsChild>
                <w:div w:id="1779107815">
                  <w:marLeft w:val="0"/>
                  <w:marRight w:val="0"/>
                  <w:marTop w:val="0"/>
                  <w:marBottom w:val="0"/>
                  <w:divBdr>
                    <w:top w:val="none" w:sz="0" w:space="0" w:color="auto"/>
                    <w:left w:val="none" w:sz="0" w:space="0" w:color="auto"/>
                    <w:bottom w:val="none" w:sz="0" w:space="0" w:color="auto"/>
                    <w:right w:val="none" w:sz="0" w:space="0" w:color="auto"/>
                  </w:divBdr>
                  <w:divsChild>
                    <w:div w:id="675770449">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https://doi.org/10.1093/acscr/"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3389/fsurg.2022.9151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93/jscr/rjac327"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4875/CIRU.20000622"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F8CE-42E0-428E-88C4-08066507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1485</Words>
  <Characters>8470</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iliaselazhari@outlook.fr</dc:creator>
  <cp:keywords/>
  <dc:description/>
  <cp:lastModifiedBy>Yogesh Sarin</cp:lastModifiedBy>
  <cp:revision>18</cp:revision>
  <dcterms:created xsi:type="dcterms:W3CDTF">2025-02-23T17:22:00Z</dcterms:created>
  <dcterms:modified xsi:type="dcterms:W3CDTF">2025-02-26T10:27:00Z</dcterms:modified>
</cp:coreProperties>
</file>