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drawings/drawing6.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244AF">
      <w:pPr>
        <w:pStyle w:val="20"/>
        <w:spacing w:after="0"/>
        <w:jc w:val="both"/>
        <w:rPr>
          <w:rFonts w:ascii="Arial" w:hAnsi="Arial" w:cs="Arial"/>
          <w:bCs/>
          <w:i/>
          <w:iCs/>
          <w:sz w:val="22"/>
          <w:szCs w:val="22"/>
          <w:u w:val="single"/>
        </w:rPr>
      </w:pPr>
      <w:r>
        <w:rPr>
          <w:rFonts w:ascii="Arial" w:hAnsi="Arial" w:cs="Arial"/>
          <w:bCs/>
          <w:i/>
          <w:iCs/>
          <w:sz w:val="22"/>
          <w:szCs w:val="22"/>
          <w:u w:val="single"/>
        </w:rPr>
        <w:t>Original Research Article</w:t>
      </w:r>
    </w:p>
    <w:p w14:paraId="765284CF">
      <w:pPr>
        <w:pStyle w:val="20"/>
        <w:spacing w:after="0"/>
        <w:jc w:val="both"/>
        <w:rPr>
          <w:rFonts w:ascii="Arial" w:hAnsi="Arial" w:cs="Arial"/>
          <w:sz w:val="22"/>
          <w:szCs w:val="22"/>
        </w:rPr>
      </w:pPr>
    </w:p>
    <w:p w14:paraId="17E1D354">
      <w:pPr>
        <w:pStyle w:val="21"/>
        <w:spacing w:line="240" w:lineRule="auto"/>
        <w:jc w:val="both"/>
        <w:rPr>
          <w:rFonts w:ascii="Arial" w:hAnsi="Arial" w:cs="Arial"/>
          <w:sz w:val="22"/>
          <w:szCs w:val="22"/>
        </w:rPr>
      </w:pPr>
      <w:bookmarkStart w:id="0" w:name="_Hlk191131182"/>
      <w:r>
        <w:rPr>
          <w:rFonts w:ascii="Arial" w:hAnsi="Arial" w:cs="Arial"/>
          <w:sz w:val="22"/>
          <w:szCs w:val="22"/>
        </w:rPr>
        <w:t>Carcass composition and meat quality of Boran crossbred cattle under different finishing strategies</w:t>
      </w:r>
    </w:p>
    <w:p w14:paraId="4A7EC591">
      <w:pPr>
        <w:pStyle w:val="21"/>
        <w:spacing w:line="240" w:lineRule="auto"/>
        <w:jc w:val="both"/>
        <w:rPr>
          <w:rFonts w:ascii="Arial" w:hAnsi="Arial" w:cs="Arial"/>
          <w:sz w:val="22"/>
          <w:szCs w:val="22"/>
        </w:rPr>
      </w:pPr>
    </w:p>
    <w:bookmarkEnd w:id="0"/>
    <w:p w14:paraId="3362F843">
      <w:pPr>
        <w:pStyle w:val="22"/>
        <w:spacing w:after="0" w:line="240" w:lineRule="auto"/>
        <w:jc w:val="both"/>
        <w:rPr>
          <w:rFonts w:ascii="Arial" w:hAnsi="Arial" w:cs="Arial"/>
          <w:sz w:val="22"/>
          <w:szCs w:val="22"/>
        </w:rPr>
      </w:pPr>
    </w:p>
    <w:p w14:paraId="74938E3E">
      <w:pPr>
        <w:pStyle w:val="33"/>
        <w:spacing w:after="0" w:line="240" w:lineRule="auto"/>
        <w:jc w:val="both"/>
        <w:rPr>
          <w:rFonts w:ascii="Arial" w:hAnsi="Arial" w:cs="Arial"/>
          <w:sz w:val="22"/>
          <w:szCs w:val="22"/>
        </w:rPr>
        <w:sectPr>
          <w:headerReference r:id="rId7" w:type="first"/>
          <w:footerReference r:id="rId10" w:type="first"/>
          <w:headerReference r:id="rId5" w:type="default"/>
          <w:footerReference r:id="rId8" w:type="default"/>
          <w:headerReference r:id="rId6" w:type="even"/>
          <w:footerReference r:id="rId9" w:type="even"/>
          <w:pgSz w:w="12240" w:h="15840"/>
          <w:pgMar w:top="1440" w:right="2016" w:bottom="2016" w:left="2016" w:header="720" w:footer="1296" w:gutter="0"/>
          <w:cols w:space="720" w:num="1"/>
          <w:docGrid w:linePitch="272" w:charSpace="0"/>
        </w:sectPr>
      </w:pPr>
      <w:r>
        <w:rPr>
          <w:rFonts w:ascii="Arial" w:hAnsi="Arial" w:cs="Arial"/>
          <w:sz w:val="22"/>
          <w:szCs w:val="22"/>
          <w:lang w:val="en-GB" w:eastAsia="en-GB"/>
        </w:rPr>
        <mc:AlternateContent>
          <mc:Choice Requires="wps">
            <w:drawing>
              <wp:inline distT="0" distB="0" distL="0" distR="0">
                <wp:extent cx="5303520" cy="0"/>
                <wp:effectExtent l="9525" t="9525" r="11430" b="9525"/>
                <wp:docPr id="1" name="AutoShape 2"/>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w:pict>
              <v:shape id="AutoShape 2" o:spid="_x0000_s1026" o:spt="32" type="#_x0000_t32" style="height:0pt;width:417.6pt;" filled="f" stroked="t" coordsize="21600,21600" o:gfxdata="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BIQd88AAAACAQAADwAAAAAAAAABACAAAAAiAAAAZHJz&#10;L2Rvd25yZXYueG1sUEsBAhQAFAAAAAgAh07iQDHBZszUAQAAswMAAA4AAAAAAAAAAQAgAAAAHgEA&#10;AGRycy9lMm9Eb2MueG1sUEsFBgAAAAAGAAYAWQEAAGQFAAAAAA==&#10;">
                <v:fill on="f" focussize="0,0"/>
                <v:stroke weight="1.5pt" color="#000000" joinstyle="round"/>
                <v:imagedata o:title=""/>
                <o:lock v:ext="edit" aspectratio="f"/>
                <w10:wrap type="none"/>
                <w10:anchorlock/>
              </v:shape>
            </w:pict>
          </mc:Fallback>
        </mc:AlternateContent>
      </w:r>
    </w:p>
    <w:p w14:paraId="49BBA5E0">
      <w:pPr>
        <w:pStyle w:val="24"/>
        <w:spacing w:after="0"/>
        <w:jc w:val="both"/>
        <w:rPr>
          <w:rFonts w:ascii="Arial" w:hAnsi="Arial" w:cs="Arial"/>
          <w:szCs w:val="22"/>
        </w:rPr>
      </w:pPr>
      <w:r>
        <w:rPr>
          <w:rFonts w:ascii="Arial" w:hAnsi="Arial" w:cs="Arial"/>
          <w:szCs w:val="22"/>
        </w:rPr>
        <w:t>ABSTRACT</w:t>
      </w:r>
    </w:p>
    <w:p w14:paraId="3ED75805">
      <w:pPr>
        <w:pStyle w:val="24"/>
        <w:spacing w:after="0"/>
        <w:jc w:val="both"/>
        <w:rPr>
          <w:rFonts w:ascii="Arial" w:hAnsi="Arial" w:cs="Arial"/>
          <w:szCs w:val="22"/>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Layout w:type="autofit"/>
        <w:tblCellMar>
          <w:top w:w="0" w:type="dxa"/>
          <w:left w:w="108" w:type="dxa"/>
          <w:bottom w:w="0" w:type="dxa"/>
          <w:right w:w="108" w:type="dxa"/>
        </w:tblCellMar>
      </w:tblPr>
      <w:tblGrid>
        <w:gridCol w:w="8198"/>
      </w:tblGrid>
      <w:tr w14:paraId="6CA26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c>
          <w:tcPr>
            <w:tcW w:w="8198" w:type="dxa"/>
            <w:shd w:val="clear" w:color="auto" w:fill="F2F2F2"/>
          </w:tcPr>
          <w:p w14:paraId="665882E4">
            <w:pPr>
              <w:jc w:val="both"/>
              <w:rPr>
                <w:rFonts w:ascii="Arial" w:hAnsi="Arial" w:cs="Arial"/>
                <w:sz w:val="22"/>
                <w:szCs w:val="22"/>
              </w:rPr>
            </w:pPr>
            <w:bookmarkStart w:id="1" w:name="OLE_LINK1"/>
            <w:bookmarkStart w:id="2" w:name="OLE_LINK2"/>
            <w:r>
              <w:rPr>
                <w:rFonts w:ascii="Arial" w:hAnsi="Arial" w:cs="Arial"/>
                <w:sz w:val="22"/>
                <w:szCs w:val="22"/>
              </w:rPr>
              <w:t xml:space="preserve">A study was carried out to evaluate the effects of finishing practices and slaughter periods on carcass composition and quality of meat from Boran crossbred bulls. Fifty-four (54) bulls aged 2.5 - 3 years with initial body weight of 205 ± 1.89 kg were allocated to three finishing practices: sole grazing (P1), grazing with supplementation (P2) and feedlot finishing (P3) with P2 and P3 groups receiving a compounded diet of hominy feeds, cassava meal, rice polishing, sunflower seed cake, minerals, and salt. Three (3) bulls from each practice were slaughtered at 45 (S1), 60 (S2) and 75 (S3) days of finishing period. Non-carcass components and carcass composition were assessed, with carcass pH measured at 24- and 48-hours post-slaughter in the </w:t>
            </w:r>
            <w:r>
              <w:rPr>
                <w:rFonts w:ascii="Arial" w:hAnsi="Arial" w:cs="Arial"/>
                <w:i/>
                <w:iCs/>
                <w:sz w:val="22"/>
                <w:szCs w:val="22"/>
              </w:rPr>
              <w:t>Longissimus thoracis et lumborum</w:t>
            </w:r>
            <w:r>
              <w:rPr>
                <w:rFonts w:ascii="Arial" w:hAnsi="Arial" w:cs="Arial"/>
                <w:sz w:val="22"/>
                <w:szCs w:val="22"/>
              </w:rPr>
              <w:t xml:space="preserve"> (LTL) muscle. Colour, cooking loss and shear force were determined after ageing the LTL muscle for 4, 8, 12, and 16 days. Feedlot finished bulls (P3) significantly increased (P&lt;0.05) internal fat (2.26 kg vs. 1.52 kg in P2 and 0.49 kg in P1), heart-lung-liver weight (11.91 kg vs. 10.96 kg and 9.87 kg), carcass length (164 cm vs. 147.3 cm and 107.7 cm), and chest depth (42.43 cm vs. 37.07 cm and 35.38 cm) compared to P2 and P1, respectively. Late slaughter (S3) resulted in the highest (P&lt;0.05) carcass length (155.97 cm) and chest depth (40.94 cm). Bulls in P3 also showed the highest fat thickness (2.34 cm). Meat pH (5.21-5.49) was similar across effects. Significant interactions between finishing practice and slaughter period were observed for carcass length, chest depth, hide weight, GIT weight (empty), tenderness, and a* colour. This suggests that, bulls on P3 tended to have longer carcasses, larger chests and thicker fat at late finishing duration, resulting in tender meat and improved meat colour than those on P2 and P1. L* colour intensity was highest in S3 (45.96), while a* values were significantly higher in P1 (10.47) than in P2 (9.83) and P3 (8.71). P3 bulls exhibited significantly more tender meat (lowest shear force: 41.71 N/kg) compared to P1 (44.41 N/kg) and P2 (45.4 N/kg). In conclusion, 75 days of feedlot finishing followed by 12-day ageing produced tender meat with improved colour. Further research is needed on the influence of the current finishing strategies on consumer preferences.</w:t>
            </w:r>
            <w:bookmarkEnd w:id="1"/>
            <w:bookmarkEnd w:id="2"/>
          </w:p>
        </w:tc>
      </w:tr>
    </w:tbl>
    <w:p w14:paraId="6B719BEF">
      <w:pPr>
        <w:pStyle w:val="23"/>
        <w:spacing w:after="0"/>
        <w:rPr>
          <w:rFonts w:ascii="Arial" w:hAnsi="Arial" w:cs="Arial"/>
          <w:i/>
          <w:sz w:val="22"/>
          <w:szCs w:val="22"/>
        </w:rPr>
      </w:pPr>
      <w:r>
        <w:rPr>
          <w:rFonts w:ascii="Arial" w:hAnsi="Arial" w:cs="Arial"/>
          <w:b/>
          <w:i/>
          <w:sz w:val="22"/>
          <w:szCs w:val="22"/>
        </w:rPr>
        <w:t>Keywords</w:t>
      </w:r>
      <w:r>
        <w:rPr>
          <w:rFonts w:ascii="Arial" w:hAnsi="Arial" w:cs="Arial"/>
          <w:b/>
          <w:sz w:val="22"/>
          <w:szCs w:val="22"/>
        </w:rPr>
        <w:t>:</w:t>
      </w:r>
      <w:r>
        <w:rPr>
          <w:rFonts w:ascii="Arial" w:hAnsi="Arial" w:cs="Arial"/>
          <w:sz w:val="22"/>
          <w:szCs w:val="22"/>
        </w:rPr>
        <w:t xml:space="preserve"> </w:t>
      </w:r>
      <w:r>
        <w:rPr>
          <w:rFonts w:ascii="Arial" w:hAnsi="Arial" w:cs="Arial"/>
          <w:i/>
          <w:sz w:val="22"/>
          <w:szCs w:val="22"/>
        </w:rPr>
        <w:t xml:space="preserve">Boran crossbred, finishing practice, slaughter period, pH, tenderness, </w:t>
      </w:r>
      <w:r>
        <w:commentReference w:id="0"/>
      </w:r>
      <w:r>
        <w:rPr>
          <w:rFonts w:ascii="Arial" w:hAnsi="Arial" w:cs="Arial"/>
          <w:i/>
          <w:sz w:val="22"/>
          <w:szCs w:val="22"/>
        </w:rPr>
        <w:t xml:space="preserve">cooking loss </w:t>
      </w:r>
    </w:p>
    <w:p w14:paraId="3E20D66D">
      <w:pPr>
        <w:pStyle w:val="24"/>
        <w:spacing w:after="0"/>
        <w:rPr>
          <w:rFonts w:ascii="Arial" w:hAnsi="Arial" w:cs="Arial"/>
          <w:szCs w:val="22"/>
        </w:rPr>
      </w:pPr>
    </w:p>
    <w:p w14:paraId="19D0B11F">
      <w:pPr>
        <w:pStyle w:val="24"/>
        <w:spacing w:after="0"/>
        <w:rPr>
          <w:rFonts w:ascii="Arial" w:hAnsi="Arial" w:cs="Arial"/>
          <w:szCs w:val="22"/>
        </w:rPr>
      </w:pPr>
      <w:r>
        <w:rPr>
          <w:rFonts w:ascii="Arial" w:hAnsi="Arial" w:cs="Arial"/>
          <w:szCs w:val="22"/>
        </w:rPr>
        <w:t xml:space="preserve">1. INTRODUCTION </w:t>
      </w:r>
    </w:p>
    <w:p w14:paraId="7627A2F7">
      <w:pPr>
        <w:spacing w:before="240"/>
        <w:jc w:val="both"/>
        <w:rPr>
          <w:rFonts w:ascii="Arial" w:hAnsi="Arial" w:cs="Arial"/>
          <w:sz w:val="22"/>
          <w:szCs w:val="22"/>
        </w:rPr>
      </w:pPr>
      <w:r>
        <w:rPr>
          <w:rFonts w:ascii="Arial" w:hAnsi="Arial" w:cs="Arial"/>
          <w:sz w:val="22"/>
          <w:szCs w:val="22"/>
        </w:rPr>
        <w:t>Globally, there is a growing demand for quality meat and meat products mainly attributed to, and driven by the change from cereal protein foods to animal protein foods and hasty economic growth due to positive population shifts [1]. According to the budget for the Tanzanian Ministry of Livestock and Fisheries for the year 2024, beef production locally supplied approximately 74 % of red meat [2]</w:t>
      </w:r>
      <w:r>
        <w:rPr>
          <w:rFonts w:ascii="Arial" w:hAnsi="Arial" w:cs="Arial"/>
          <w:b/>
          <w:sz w:val="22"/>
          <w:szCs w:val="22"/>
        </w:rPr>
        <w:t xml:space="preserve"> </w:t>
      </w:r>
      <w:r>
        <w:rPr>
          <w:rFonts w:ascii="Arial" w:hAnsi="Arial" w:cs="Arial"/>
          <w:sz w:val="22"/>
          <w:szCs w:val="22"/>
        </w:rPr>
        <w:t xml:space="preserve">sourced from agro-pastoralists (80%), pastoralists (14%) and formal beef farms (6%) [3]. Agro-pastoralists and pastoralists mainly keep indigenous cattle breeds, which are solely raised on traditional grazing systems. Finishing cattle in low-input practices delayed the attainment of slaughter weight (275 kg) and consequently produced a low carcass weight (137.5 kg) [3] and tough meat. However, improved finishing practices, such as feedlots and supplementing concentrate on grazing animals could improve the yield of beef and meat quality attributes, thus, meeting the increased demand for prime beef. </w:t>
      </w:r>
    </w:p>
    <w:p w14:paraId="4EE243F3">
      <w:pPr>
        <w:spacing w:before="240"/>
        <w:jc w:val="both"/>
        <w:rPr>
          <w:rFonts w:ascii="Arial" w:hAnsi="Arial" w:cs="Arial"/>
          <w:sz w:val="22"/>
          <w:szCs w:val="22"/>
        </w:rPr>
      </w:pPr>
      <w:r>
        <w:rPr>
          <w:rFonts w:ascii="Arial" w:hAnsi="Arial" w:cs="Arial"/>
          <w:sz w:val="22"/>
          <w:szCs w:val="22"/>
        </w:rPr>
        <w:t>Animals finished in feedlots and those on grazing plus supplementation with energy-</w:t>
      </w:r>
      <w:r>
        <w:commentReference w:id="1"/>
      </w:r>
      <w:r>
        <w:rPr>
          <w:rFonts w:ascii="Arial" w:hAnsi="Arial" w:cs="Arial"/>
          <w:sz w:val="22"/>
          <w:szCs w:val="22"/>
        </w:rPr>
        <w:t>rich diets showed to have improved growth performance, carcass composition and meat quality traits by supporting fat deposition and producing more tender meat than sole grass-finished cattle [4-5]. Tenderness is one of the most essential meat quality properties influencing meat palatability and that are highlighted by modern markets and is mainly influenced by the quantity and type of fat contained in the meat [6]. The characteristics of meat quality are inherently influenced by animal age, species (</w:t>
      </w:r>
      <w:r>
        <w:rPr>
          <w:rFonts w:ascii="Arial" w:hAnsi="Arial" w:cs="Arial"/>
          <w:i/>
          <w:sz w:val="22"/>
          <w:szCs w:val="22"/>
        </w:rPr>
        <w:t>Bos indicus Vs Bos taurus</w:t>
      </w:r>
      <w:r>
        <w:rPr>
          <w:rFonts w:ascii="Arial" w:hAnsi="Arial" w:cs="Arial"/>
          <w:sz w:val="22"/>
          <w:szCs w:val="22"/>
        </w:rPr>
        <w:t>), breed, sex, type and location of muscle fibre and contents of connective tissues. Other imperative elements, which are external to the animal and may influence meat quality traits include the type and quantity of feed, days spent on finishing practice [7], pre-slaughter handling and slaughter method. Others are post-slaughter pH and temperature, ageing duration, the colour of the meat and fat content [8]</w:t>
      </w:r>
      <w:r>
        <w:rPr>
          <w:rFonts w:ascii="Arial" w:hAnsi="Arial" w:cs="Arial"/>
          <w:b/>
          <w:sz w:val="22"/>
          <w:szCs w:val="22"/>
        </w:rPr>
        <w:t>.</w:t>
      </w:r>
      <w:r>
        <w:rPr>
          <w:rFonts w:ascii="Arial" w:hAnsi="Arial" w:cs="Arial"/>
          <w:sz w:val="22"/>
          <w:szCs w:val="22"/>
        </w:rPr>
        <w:t xml:space="preserve"> The characteristics of meat quality, especially colour and tenderness are influenced by finishing practices and slaughter durations [9]. Moreover, animals raised in low-production systems have produced meat lighter in colour than animals raised in feedlots and supplements [10]. Similarly, the breakdown of cytoskeletal myofibrillar proteins by endogenous proteases during meat ageing after slaughter notably enhances the flavour, tenderness and overall quality [11]. Feedlot and a combination of grazing with concentrate supplementation are the finishing strategies known to improve the growth performance and quality of the meat. Previous studies [12-14]</w:t>
      </w:r>
      <w:r>
        <w:rPr>
          <w:rFonts w:ascii="Arial" w:hAnsi="Arial" w:cs="Arial"/>
          <w:b/>
          <w:sz w:val="22"/>
          <w:szCs w:val="22"/>
        </w:rPr>
        <w:t xml:space="preserve"> </w:t>
      </w:r>
      <w:r>
        <w:rPr>
          <w:rFonts w:ascii="Arial" w:hAnsi="Arial" w:cs="Arial"/>
          <w:sz w:val="22"/>
          <w:szCs w:val="22"/>
        </w:rPr>
        <w:t xml:space="preserve">showed a linkage between the animal finishing practice, finishing period and the quality of meat produced, which can be elucidated by a series of biological, biochemical and biophysical mechanisms. In practice of feedlot and grazing plus supplementation, prolonging the finishing time results in heavy and fatty carcasses, increases water holding capacity, accelerates post-slaughter glycolysis, lowers pH and increases tenderness in cattle [5]. The influence of </w:t>
      </w:r>
      <w:r>
        <w:rPr>
          <w:rFonts w:ascii="Arial" w:hAnsi="Arial" w:cs="Arial"/>
          <w:i/>
          <w:sz w:val="22"/>
          <w:szCs w:val="22"/>
        </w:rPr>
        <w:t>ad libitum</w:t>
      </w:r>
      <w:r>
        <w:rPr>
          <w:rFonts w:ascii="Arial" w:hAnsi="Arial" w:cs="Arial"/>
          <w:sz w:val="22"/>
          <w:szCs w:val="22"/>
        </w:rPr>
        <w:t xml:space="preserve"> supply of high-energy diets during finishing animals in feedlots has been reported to result in the production of big carcasses and relatively high levels of subcutaneous and intramuscular fats [4]; [15]. These attributes are related to low pH, slow cooling rate and meat tenderness [5]. Nevertheless, a slow cooling rate leads to a rapid rate of post-slaughter glycolysis, which leads to rapid pH decline [12]; [16]. </w:t>
      </w:r>
    </w:p>
    <w:p w14:paraId="6F9F982F">
      <w:pPr>
        <w:spacing w:before="240"/>
        <w:jc w:val="both"/>
        <w:rPr>
          <w:rFonts w:ascii="Arial" w:hAnsi="Arial" w:cs="Arial"/>
          <w:sz w:val="22"/>
          <w:szCs w:val="22"/>
        </w:rPr>
      </w:pPr>
      <w:r>
        <w:rPr>
          <w:rFonts w:ascii="Arial" w:hAnsi="Arial" w:cs="Arial"/>
          <w:sz w:val="22"/>
          <w:szCs w:val="22"/>
        </w:rPr>
        <w:t>The optimal time to finish cattle and age their meat to achieve acceptable meat quality qualities in finished Boran crossbred cattle is limited, despite the fact that extensive research and documentation have been done on feeding finishing cattle-rich energy diets.  Therefore, the present study aimed at establishing the length of finishing Boran crossbred cattle using different finishing practices and meat ageing on the carcass composition and attributes of meat quality of Boran crossbred cattle.</w:t>
      </w:r>
    </w:p>
    <w:p w14:paraId="3A6B56D0">
      <w:pPr>
        <w:pStyle w:val="24"/>
        <w:spacing w:after="0"/>
        <w:jc w:val="both"/>
        <w:rPr>
          <w:rFonts w:ascii="Arial" w:hAnsi="Arial" w:cs="Arial"/>
          <w:szCs w:val="22"/>
        </w:rPr>
      </w:pPr>
    </w:p>
    <w:p w14:paraId="42EE3E4E">
      <w:pPr>
        <w:pStyle w:val="24"/>
        <w:spacing w:after="0"/>
        <w:rPr>
          <w:rFonts w:ascii="Arial" w:hAnsi="Arial" w:cs="Arial"/>
          <w:szCs w:val="22"/>
        </w:rPr>
      </w:pPr>
      <w:r>
        <w:rPr>
          <w:rFonts w:ascii="Arial" w:hAnsi="Arial" w:cs="Arial"/>
          <w:szCs w:val="22"/>
        </w:rPr>
        <w:t xml:space="preserve">2. materialS and methods </w:t>
      </w:r>
    </w:p>
    <w:p w14:paraId="48D920E2">
      <w:pPr>
        <w:pStyle w:val="24"/>
        <w:spacing w:after="0"/>
        <w:jc w:val="both"/>
        <w:rPr>
          <w:rFonts w:ascii="Arial" w:hAnsi="Arial" w:cs="Arial"/>
          <w:szCs w:val="22"/>
        </w:rPr>
      </w:pPr>
    </w:p>
    <w:p w14:paraId="4CCF632E">
      <w:pPr>
        <w:rPr>
          <w:rFonts w:ascii="Arial" w:hAnsi="Arial" w:cs="Arial"/>
          <w:b/>
          <w:sz w:val="22"/>
          <w:szCs w:val="22"/>
        </w:rPr>
      </w:pPr>
      <w:r>
        <w:rPr>
          <w:rFonts w:ascii="Arial" w:hAnsi="Arial" w:cs="Arial"/>
          <w:b/>
          <w:sz w:val="22"/>
          <w:szCs w:val="22"/>
        </w:rPr>
        <w:t>2.1 Description of the study area</w:t>
      </w:r>
    </w:p>
    <w:p w14:paraId="4B1CB6D3">
      <w:pPr>
        <w:jc w:val="both"/>
        <w:rPr>
          <w:rFonts w:ascii="Arial" w:hAnsi="Arial" w:cs="Arial"/>
          <w:sz w:val="22"/>
          <w:szCs w:val="22"/>
        </w:rPr>
      </w:pPr>
    </w:p>
    <w:p w14:paraId="279E91B3">
      <w:pPr>
        <w:jc w:val="both"/>
        <w:rPr>
          <w:rFonts w:ascii="Arial" w:hAnsi="Arial" w:cs="Arial"/>
          <w:sz w:val="22"/>
          <w:szCs w:val="22"/>
        </w:rPr>
      </w:pPr>
      <w:r>
        <w:rPr>
          <w:rFonts w:ascii="Arial" w:hAnsi="Arial" w:cs="Arial"/>
          <w:sz w:val="22"/>
          <w:szCs w:val="22"/>
        </w:rPr>
        <w:t xml:space="preserve">The feeding study was carried out at Kidago farm and animals were slaughtered at Mgolole Agro-processing Co. Ltd as detailed in the previous publication [17].  </w:t>
      </w:r>
    </w:p>
    <w:p w14:paraId="32DB42CD">
      <w:pPr>
        <w:rPr>
          <w:rFonts w:ascii="Arial" w:hAnsi="Arial" w:cs="Arial"/>
          <w:b/>
          <w:sz w:val="22"/>
          <w:szCs w:val="22"/>
        </w:rPr>
      </w:pPr>
    </w:p>
    <w:p w14:paraId="209E8F16">
      <w:pPr>
        <w:rPr>
          <w:rFonts w:ascii="Arial" w:hAnsi="Arial" w:cs="Arial"/>
          <w:b/>
          <w:sz w:val="22"/>
          <w:szCs w:val="22"/>
        </w:rPr>
      </w:pPr>
      <w:r>
        <w:rPr>
          <w:rFonts w:ascii="Arial" w:hAnsi="Arial" w:cs="Arial"/>
          <w:b/>
          <w:sz w:val="22"/>
          <w:szCs w:val="22"/>
        </w:rPr>
        <w:t>2.2 Experimental design, feeds and feeding</w:t>
      </w:r>
    </w:p>
    <w:p w14:paraId="7DE405F2">
      <w:pPr>
        <w:tabs>
          <w:tab w:val="left" w:pos="5580"/>
        </w:tabs>
        <w:jc w:val="both"/>
        <w:rPr>
          <w:rFonts w:ascii="Arial" w:hAnsi="Arial" w:cs="Arial"/>
          <w:sz w:val="22"/>
          <w:szCs w:val="22"/>
        </w:rPr>
      </w:pPr>
    </w:p>
    <w:p w14:paraId="51B1CC78">
      <w:pPr>
        <w:jc w:val="both"/>
        <w:rPr>
          <w:rFonts w:ascii="Arial" w:hAnsi="Arial" w:cs="Arial"/>
          <w:sz w:val="22"/>
          <w:szCs w:val="22"/>
        </w:rPr>
      </w:pPr>
      <w:r>
        <w:rPr>
          <w:rFonts w:ascii="Arial" w:hAnsi="Arial" w:cs="Arial"/>
          <w:sz w:val="22"/>
          <w:szCs w:val="22"/>
        </w:rPr>
        <w:t>A total of 54 bulls were distributed evenly across three treatment groups in a 3*3 factorial arrangement, comprising of grazing only (P1) as a control group, grazing with concentrate supplementation (P2) and feedlot finishing (P3). A compounded diet constituting hominy feed (36%), cassava meal (18%), rice polishing (6%), sunflower seed cake (38%), minerals (1.5%) and salt (0.5) was provided to bulls in groups P2 and P3.</w:t>
      </w:r>
      <w:r>
        <w:rPr>
          <w:rFonts w:ascii="Arial" w:hAnsi="Arial" w:cs="Arial"/>
          <w:b/>
          <w:sz w:val="22"/>
          <w:szCs w:val="22"/>
        </w:rPr>
        <w:t xml:space="preserve"> </w:t>
      </w:r>
      <w:r>
        <w:rPr>
          <w:rFonts w:ascii="Arial" w:hAnsi="Arial" w:cs="Arial"/>
          <w:sz w:val="22"/>
          <w:szCs w:val="22"/>
        </w:rPr>
        <w:t xml:space="preserve">The concentrate was fed </w:t>
      </w:r>
      <w:r>
        <w:rPr>
          <w:rFonts w:ascii="Arial" w:hAnsi="Arial" w:cs="Arial"/>
          <w:i/>
          <w:sz w:val="22"/>
          <w:szCs w:val="22"/>
        </w:rPr>
        <w:t>ad libitum</w:t>
      </w:r>
      <w:r>
        <w:rPr>
          <w:rFonts w:ascii="Arial" w:hAnsi="Arial" w:cs="Arial"/>
          <w:sz w:val="22"/>
          <w:szCs w:val="22"/>
        </w:rPr>
        <w:t xml:space="preserve"> (10% refusals) to bulls on P3 and once for P2 after grazing. The adjustment of the amount of feed offered was done weekly after weighing the bulls. The details on the diets, feeding and management of the experimental animals are presented by [17]. Twenty-seven (27) out of the 54 bulls were purposively sampled and slaughtered. That is, 9 bulls, 3 from each practice were slaughtered at 45 (S1), 60 (S2) and 75 (S3) days of the finishing period. </w:t>
      </w:r>
    </w:p>
    <w:p w14:paraId="52C40CDD">
      <w:pPr>
        <w:jc w:val="both"/>
        <w:rPr>
          <w:rFonts w:ascii="Arial" w:hAnsi="Arial" w:cs="Arial"/>
          <w:b/>
          <w:sz w:val="22"/>
          <w:szCs w:val="22"/>
        </w:rPr>
      </w:pPr>
    </w:p>
    <w:p w14:paraId="462E4A92">
      <w:pPr>
        <w:rPr>
          <w:rFonts w:ascii="Arial" w:hAnsi="Arial" w:cs="Arial"/>
          <w:b/>
          <w:sz w:val="22"/>
          <w:szCs w:val="22"/>
        </w:rPr>
      </w:pPr>
      <w:r>
        <w:rPr>
          <w:rFonts w:ascii="Arial" w:hAnsi="Arial" w:cs="Arial"/>
          <w:b/>
          <w:sz w:val="22"/>
          <w:szCs w:val="22"/>
        </w:rPr>
        <w:t>2.3 Slaughter procedure and measurements</w:t>
      </w:r>
    </w:p>
    <w:p w14:paraId="78EFA1BF">
      <w:pPr>
        <w:tabs>
          <w:tab w:val="left" w:pos="6210"/>
        </w:tabs>
        <w:jc w:val="both"/>
        <w:rPr>
          <w:rFonts w:ascii="Arial" w:hAnsi="Arial" w:cs="Arial"/>
          <w:sz w:val="22"/>
          <w:szCs w:val="22"/>
        </w:rPr>
      </w:pPr>
    </w:p>
    <w:p w14:paraId="1C1D0D02">
      <w:pPr>
        <w:tabs>
          <w:tab w:val="left" w:pos="6210"/>
        </w:tabs>
        <w:jc w:val="both"/>
        <w:rPr>
          <w:rFonts w:ascii="Arial" w:hAnsi="Arial" w:cs="Arial"/>
          <w:sz w:val="22"/>
          <w:szCs w:val="22"/>
        </w:rPr>
      </w:pPr>
      <w:r>
        <w:rPr>
          <w:rFonts w:ascii="Arial" w:hAnsi="Arial" w:cs="Arial"/>
          <w:sz w:val="22"/>
          <w:szCs w:val="22"/>
        </w:rPr>
        <w:t>Prior to slaughter, live weight of the bulls was estimated using a measuring band (RONDO</w:t>
      </w:r>
      <w:r>
        <w:rPr>
          <w:rFonts w:ascii="Arial" w:hAnsi="Arial" w:cs="Arial"/>
          <w:sz w:val="22"/>
          <w:szCs w:val="22"/>
          <w:vertAlign w:val="superscript"/>
        </w:rPr>
        <w:t>®</w:t>
      </w:r>
      <w:r>
        <w:rPr>
          <w:rFonts w:ascii="Arial" w:hAnsi="Arial" w:cs="Arial"/>
          <w:sz w:val="22"/>
          <w:szCs w:val="22"/>
        </w:rPr>
        <w:t xml:space="preserve">) for three days consecutively, where the average value was taken as the final body weight. In each slaughter period, nine bulls were trucked to Mgolole Agro-processing Co. Ltd located 30 km from Kidago farm for slaughter. On arrival, bulls were fasted for 24 hours with free access to fresh drinking water. Thereafter, they were weighed to obtain the slaughter weight. The animals were stunned with a captive bolt pistol to </w:t>
      </w:r>
      <w:r>
        <w:rPr>
          <w:sz w:val="22"/>
          <w:szCs w:val="22"/>
        </w:rPr>
        <w:t xml:space="preserve">render them unconscious and the neck was humanely severed at the jugular and carotid vessels using a sharp knife following Halal rituals. After that, </w:t>
      </w:r>
      <w:r>
        <w:rPr>
          <w:rFonts w:ascii="Arial" w:hAnsi="Arial" w:cs="Arial"/>
          <w:sz w:val="22"/>
          <w:szCs w:val="22"/>
        </w:rPr>
        <w:t xml:space="preserve">the slaughtered bulls were suspended by their hind legs on an overhead rail system using a hoisting chain for bleeding, flaying, and evisceration. The head was removed at the atlas joint, while the flaying was done starting from the legs and moving up until the whole animal body was unhiding. The fore and hind feet were removed at the carpal and hock joints respectively. Then evisceration was done, whereby the stomach, intestines and the pluck were removed through the vertical midline incision of the abdominal cavity. </w:t>
      </w:r>
    </w:p>
    <w:p w14:paraId="2188B981">
      <w:pPr>
        <w:tabs>
          <w:tab w:val="left" w:pos="6210"/>
        </w:tabs>
        <w:jc w:val="both"/>
        <w:rPr>
          <w:rFonts w:ascii="Arial" w:hAnsi="Arial" w:cs="Arial"/>
          <w:sz w:val="22"/>
          <w:szCs w:val="22"/>
        </w:rPr>
      </w:pPr>
    </w:p>
    <w:p w14:paraId="1541510C">
      <w:pPr>
        <w:tabs>
          <w:tab w:val="left" w:pos="6210"/>
        </w:tabs>
        <w:jc w:val="both"/>
        <w:rPr>
          <w:rFonts w:ascii="Arial" w:hAnsi="Arial" w:cs="Arial"/>
          <w:sz w:val="22"/>
          <w:szCs w:val="22"/>
        </w:rPr>
      </w:pPr>
      <w:r>
        <w:rPr>
          <w:rFonts w:ascii="Arial" w:hAnsi="Arial" w:cs="Arial"/>
          <w:sz w:val="22"/>
          <w:szCs w:val="22"/>
        </w:rPr>
        <w:t>The non-carcass components, head, feet, hide, tail, external organs and small intestines were weighed in kilograms, using a spring weighing scale (200 kg capacity).   Other non-carcass components, such as full and empty digestive tract and pluck, which included the heart, liver, lungs and trachea were also weighed. The gastrointestinal or digestive tract (GIT) was weighed while full, emptied within 45 to 60 minutes of slaughter, washed off its fillings and lastly re-weighed to get the weight of the empty GIT. The GIT fill or contents was derived as the difference between the weight of full and empty GIT. The internal fat depots (IFD) were extracted and weighed using an electronic weighing scale (10 kg capacity).</w:t>
      </w:r>
    </w:p>
    <w:p w14:paraId="05CF0245">
      <w:pPr>
        <w:tabs>
          <w:tab w:val="left" w:pos="6210"/>
        </w:tabs>
        <w:jc w:val="both"/>
        <w:rPr>
          <w:rFonts w:ascii="Arial" w:hAnsi="Arial" w:cs="Arial"/>
          <w:sz w:val="22"/>
          <w:szCs w:val="22"/>
        </w:rPr>
      </w:pPr>
    </w:p>
    <w:p w14:paraId="0E9EC067">
      <w:pPr>
        <w:jc w:val="both"/>
        <w:rPr>
          <w:rFonts w:ascii="Arial" w:hAnsi="Arial" w:cs="Arial"/>
          <w:sz w:val="22"/>
          <w:szCs w:val="22"/>
        </w:rPr>
      </w:pPr>
      <w:r>
        <w:rPr>
          <w:rFonts w:ascii="Arial" w:hAnsi="Arial" w:cs="Arial"/>
          <w:sz w:val="22"/>
          <w:szCs w:val="22"/>
        </w:rPr>
        <w:t>The dressed carcasses were longitudinally sawed into two halves using a hand saw. The left half carcass was used for carcass linear measurements. The carcass length was measured straight from the anterior edge of the first rib to the caudal end of the pubic symphysis using a tailor measuring tape. The hind leg length, chest depth and hind leg circumference were also measured. The back fat thickness was measured using a ruler on the 10</w:t>
      </w:r>
      <w:r>
        <w:rPr>
          <w:rFonts w:ascii="Arial" w:hAnsi="Arial" w:cs="Arial"/>
          <w:sz w:val="22"/>
          <w:szCs w:val="22"/>
          <w:vertAlign w:val="superscript"/>
        </w:rPr>
        <w:t>th</w:t>
      </w:r>
      <w:r>
        <w:rPr>
          <w:rFonts w:ascii="Arial" w:hAnsi="Arial" w:cs="Arial"/>
          <w:sz w:val="22"/>
          <w:szCs w:val="22"/>
        </w:rPr>
        <w:t xml:space="preserve"> rib. The carcasses were left at room temperature for 12 hours and then transferred to a chilling room set at 0 </w:t>
      </w:r>
      <w:r>
        <w:rPr>
          <w:rFonts w:ascii="Arial" w:hAnsi="Arial" w:cs="Arial"/>
          <w:sz w:val="22"/>
          <w:szCs w:val="22"/>
          <w:vertAlign w:val="superscript"/>
        </w:rPr>
        <w:t>ͦ</w:t>
      </w:r>
      <w:r>
        <w:rPr>
          <w:rFonts w:ascii="Arial" w:hAnsi="Arial" w:cs="Arial"/>
          <w:sz w:val="22"/>
          <w:szCs w:val="22"/>
        </w:rPr>
        <w:t>C. Twelve hours post-slaughter, the 6</w:t>
      </w:r>
      <w:r>
        <w:rPr>
          <w:rFonts w:ascii="Arial" w:hAnsi="Arial" w:cs="Arial"/>
          <w:sz w:val="22"/>
          <w:szCs w:val="22"/>
          <w:vertAlign w:val="superscript"/>
        </w:rPr>
        <w:t>th</w:t>
      </w:r>
      <w:r>
        <w:rPr>
          <w:rFonts w:ascii="Arial" w:hAnsi="Arial" w:cs="Arial"/>
          <w:sz w:val="22"/>
          <w:szCs w:val="22"/>
        </w:rPr>
        <w:t xml:space="preserve"> rib joint from the left side of the half carcass was extracted by a straight cut perpendicular to the vertebral axis from the middle of each intercostal space to the vertebrae, then weighed and vacuum packed in polythene sheets. Similarly, the </w:t>
      </w:r>
      <w:r>
        <w:rPr>
          <w:rFonts w:ascii="Arial" w:hAnsi="Arial" w:cs="Arial"/>
          <w:i/>
          <w:sz w:val="22"/>
          <w:szCs w:val="22"/>
        </w:rPr>
        <w:t>Longissimus thoracis et lumborum</w:t>
      </w:r>
      <w:r>
        <w:rPr>
          <w:rFonts w:ascii="Arial" w:hAnsi="Arial" w:cs="Arial"/>
          <w:sz w:val="22"/>
          <w:szCs w:val="22"/>
        </w:rPr>
        <w:t xml:space="preserve"> (LTL) muscle was excised from the 7</w:t>
      </w:r>
      <w:r>
        <w:rPr>
          <w:rFonts w:ascii="Arial" w:hAnsi="Arial" w:cs="Arial"/>
          <w:sz w:val="22"/>
          <w:szCs w:val="22"/>
          <w:vertAlign w:val="superscript"/>
        </w:rPr>
        <w:t>th</w:t>
      </w:r>
      <w:r>
        <w:rPr>
          <w:rFonts w:ascii="Arial" w:hAnsi="Arial" w:cs="Arial"/>
          <w:sz w:val="22"/>
          <w:szCs w:val="22"/>
        </w:rPr>
        <w:t xml:space="preserve"> to the 10</w:t>
      </w:r>
      <w:r>
        <w:rPr>
          <w:rFonts w:ascii="Arial" w:hAnsi="Arial" w:cs="Arial"/>
          <w:sz w:val="22"/>
          <w:szCs w:val="22"/>
          <w:vertAlign w:val="superscript"/>
        </w:rPr>
        <w:t>th</w:t>
      </w:r>
      <w:r>
        <w:rPr>
          <w:rFonts w:ascii="Arial" w:hAnsi="Arial" w:cs="Arial"/>
          <w:sz w:val="22"/>
          <w:szCs w:val="22"/>
        </w:rPr>
        <w:t xml:space="preserve"> rib, weighed and vacuum packed in a polythene sheet. The cuts were placed in a cool box and transported to the laboratory, where they were stored in a deep freezer, set at -4°C. </w:t>
      </w:r>
    </w:p>
    <w:p w14:paraId="14351278">
      <w:pPr>
        <w:rPr>
          <w:rFonts w:ascii="Arial" w:hAnsi="Arial" w:cs="Arial"/>
          <w:sz w:val="22"/>
          <w:szCs w:val="22"/>
        </w:rPr>
      </w:pPr>
    </w:p>
    <w:p w14:paraId="0F78EC8D">
      <w:pPr>
        <w:rPr>
          <w:rFonts w:ascii="Arial" w:hAnsi="Arial" w:cs="Arial"/>
          <w:sz w:val="22"/>
          <w:szCs w:val="22"/>
        </w:rPr>
      </w:pPr>
      <w:r>
        <w:rPr>
          <w:rFonts w:ascii="Arial" w:hAnsi="Arial" w:cs="Arial"/>
          <w:sz w:val="22"/>
          <w:szCs w:val="22"/>
        </w:rPr>
        <w:t>2.4 Determination of carcass composition</w:t>
      </w:r>
    </w:p>
    <w:p w14:paraId="23B50F54">
      <w:pPr>
        <w:jc w:val="both"/>
        <w:rPr>
          <w:rFonts w:ascii="Arial" w:hAnsi="Arial" w:cs="Arial"/>
          <w:sz w:val="22"/>
          <w:szCs w:val="22"/>
        </w:rPr>
      </w:pPr>
    </w:p>
    <w:p w14:paraId="3BFB9F00">
      <w:pPr>
        <w:jc w:val="both"/>
        <w:rPr>
          <w:rFonts w:ascii="Arial" w:hAnsi="Arial" w:cs="Arial"/>
          <w:sz w:val="22"/>
          <w:szCs w:val="22"/>
        </w:rPr>
      </w:pPr>
      <w:r>
        <w:rPr>
          <w:rFonts w:ascii="Arial" w:hAnsi="Arial" w:cs="Arial"/>
          <w:sz w:val="22"/>
          <w:szCs w:val="22"/>
        </w:rPr>
        <w:t>The carcass's physical composition was estimated from the samples of the 6</w:t>
      </w:r>
      <w:r>
        <w:rPr>
          <w:rFonts w:ascii="Arial" w:hAnsi="Arial" w:cs="Arial"/>
          <w:sz w:val="22"/>
          <w:szCs w:val="22"/>
          <w:vertAlign w:val="superscript"/>
        </w:rPr>
        <w:t>th</w:t>
      </w:r>
      <w:r>
        <w:rPr>
          <w:rFonts w:ascii="Arial" w:hAnsi="Arial" w:cs="Arial"/>
          <w:sz w:val="22"/>
          <w:szCs w:val="22"/>
        </w:rPr>
        <w:t xml:space="preserve"> rib joint. The samples of the 6</w:t>
      </w:r>
      <w:r>
        <w:rPr>
          <w:rFonts w:ascii="Arial" w:hAnsi="Arial" w:cs="Arial"/>
          <w:sz w:val="22"/>
          <w:szCs w:val="22"/>
          <w:vertAlign w:val="superscript"/>
        </w:rPr>
        <w:t>th</w:t>
      </w:r>
      <w:r>
        <w:rPr>
          <w:rFonts w:ascii="Arial" w:hAnsi="Arial" w:cs="Arial"/>
          <w:sz w:val="22"/>
          <w:szCs w:val="22"/>
        </w:rPr>
        <w:t xml:space="preserve"> rib joint were thawed, weighed and dissected into muscle, fat and bone tissues. Each tissue component was weighed using a digital weighing scale (10 kg capacity). The weight of each tissue was then expressed as the percent of the joint weight. </w:t>
      </w:r>
    </w:p>
    <w:p w14:paraId="1D96E471">
      <w:pPr>
        <w:jc w:val="both"/>
        <w:rPr>
          <w:rFonts w:ascii="Arial" w:hAnsi="Arial" w:cs="Arial"/>
          <w:sz w:val="22"/>
          <w:szCs w:val="22"/>
        </w:rPr>
      </w:pPr>
    </w:p>
    <w:p w14:paraId="476AB23C">
      <w:pPr>
        <w:jc w:val="both"/>
        <w:rPr>
          <w:rFonts w:ascii="Arial" w:hAnsi="Arial" w:cs="Arial"/>
          <w:sz w:val="22"/>
          <w:szCs w:val="22"/>
        </w:rPr>
      </w:pPr>
      <w:r>
        <w:rPr>
          <w:rFonts w:ascii="Arial" w:hAnsi="Arial" w:cs="Arial"/>
          <w:b/>
          <w:sz w:val="22"/>
          <w:szCs w:val="22"/>
        </w:rPr>
        <w:t xml:space="preserve">2.4 Determination of the meat quality attributes </w:t>
      </w:r>
    </w:p>
    <w:p w14:paraId="0F8FD808">
      <w:pPr>
        <w:jc w:val="both"/>
        <w:rPr>
          <w:rFonts w:ascii="Arial" w:hAnsi="Arial" w:cs="Arial"/>
          <w:sz w:val="22"/>
          <w:szCs w:val="22"/>
        </w:rPr>
      </w:pPr>
    </w:p>
    <w:p w14:paraId="58734A83">
      <w:pPr>
        <w:jc w:val="both"/>
        <w:rPr>
          <w:rFonts w:ascii="Arial" w:hAnsi="Arial" w:cs="Arial"/>
          <w:sz w:val="22"/>
          <w:szCs w:val="22"/>
        </w:rPr>
      </w:pPr>
      <w:r>
        <w:rPr>
          <w:rFonts w:ascii="Arial" w:hAnsi="Arial" w:cs="Arial"/>
          <w:sz w:val="22"/>
          <w:szCs w:val="22"/>
        </w:rPr>
        <w:t xml:space="preserve">The pH of the meat was taken at 24- and 48 hours post-slaughter on each LTL muscle. This was done by taking 100 g of the thawed LTL muscle and thoroughly grounded using a food grinder blender machine (Europe strong; ES-2L model). The finely ground meat was then mixed with 150 ml of distilled water and stirred vigorously to obtain the solution. Thereafter, the calibrated pH meter (Hanna Instruments HI-98127) was partially immersed into the solution and the pH was read and recorded. </w:t>
      </w:r>
    </w:p>
    <w:p w14:paraId="06BA0D51">
      <w:pPr>
        <w:jc w:val="both"/>
        <w:rPr>
          <w:rFonts w:ascii="Arial" w:hAnsi="Arial" w:cs="Arial"/>
          <w:sz w:val="22"/>
          <w:szCs w:val="22"/>
        </w:rPr>
      </w:pPr>
    </w:p>
    <w:p w14:paraId="0DE1A988">
      <w:pPr>
        <w:jc w:val="both"/>
        <w:rPr>
          <w:rFonts w:ascii="Arial" w:hAnsi="Arial" w:cs="Arial"/>
          <w:sz w:val="22"/>
          <w:szCs w:val="22"/>
        </w:rPr>
      </w:pPr>
      <w:r>
        <w:rPr>
          <w:rFonts w:ascii="Arial" w:hAnsi="Arial" w:cs="Arial"/>
          <w:sz w:val="22"/>
          <w:szCs w:val="22"/>
        </w:rPr>
        <w:t>The influence of ageing meat from bulls finished at different practices and slaughter periods on cooking loss and tenderness was determined using the</w:t>
      </w:r>
      <w:r>
        <w:rPr>
          <w:rFonts w:ascii="Arial" w:hAnsi="Arial" w:cs="Arial"/>
          <w:i/>
          <w:sz w:val="22"/>
          <w:szCs w:val="22"/>
        </w:rPr>
        <w:t xml:space="preserve"> Longissimus thoracis et lumborum</w:t>
      </w:r>
      <w:r>
        <w:rPr>
          <w:rFonts w:ascii="Arial" w:hAnsi="Arial" w:cs="Arial"/>
          <w:sz w:val="22"/>
          <w:szCs w:val="22"/>
        </w:rPr>
        <w:t xml:space="preserve"> (LTL) muscle. The LTL muscle from each slaughtered bull was apportioned into five portions weighed between 150 to 180g with labels LTL0, LTL4, LTL8, LTL12 and LTL16 and kept in a deep freezer, set at 0°C for ageing periods 0, 4, 8, 12 and 16 days, respectively. The samples were then assessed for cooking loss, meat colour and tenderness after each ageing time.</w:t>
      </w:r>
    </w:p>
    <w:p w14:paraId="7D904502">
      <w:pPr>
        <w:jc w:val="both"/>
        <w:rPr>
          <w:rFonts w:ascii="Arial" w:hAnsi="Arial" w:cs="Arial"/>
          <w:sz w:val="22"/>
          <w:szCs w:val="22"/>
        </w:rPr>
      </w:pPr>
    </w:p>
    <w:p w14:paraId="572A6849">
      <w:pPr>
        <w:jc w:val="both"/>
        <w:rPr>
          <w:rFonts w:ascii="Arial" w:hAnsi="Arial" w:cs="Arial"/>
          <w:sz w:val="22"/>
          <w:szCs w:val="22"/>
        </w:rPr>
      </w:pPr>
      <w:r>
        <w:rPr>
          <w:rFonts w:ascii="Arial" w:hAnsi="Arial" w:cs="Arial"/>
          <w:sz w:val="22"/>
          <w:szCs w:val="22"/>
        </w:rPr>
        <w:t>In the determination of the cooking loss (CL), the samples were thawed in a refrigerator at 4°C overnight, weighed (W1), labelled and vacuum-packed. They were then heated constantly at 70°C for 1 h in a water bath. The samples were cooled under running tap water for 2 hours. Thereafter, they were removed from the plastic bags, wiped with clean cotton gauze and then weighed (W2). The CL was calculated as the difference between W1 and W2. Assessment of meat colour was performed on LTL muscle before cooking, whereby a fresh cut was done on the surface of each portion of the LTL muscle. The Minolta Chroma meter CR-400 (Konica Minolta Inc. made in Japan) aperture was perpendicularly placed to the LTL muscle surface and colours of the meat were examined based on Commission Internationale de l’Eclairage</w:t>
      </w:r>
      <w:r>
        <w:rPr>
          <w:sz w:val="22"/>
          <w:szCs w:val="22"/>
        </w:rPr>
        <w:t xml:space="preserve"> </w:t>
      </w:r>
      <w:r>
        <w:rPr>
          <w:rFonts w:ascii="Arial" w:hAnsi="Arial" w:cs="Arial"/>
          <w:sz w:val="22"/>
          <w:szCs w:val="22"/>
        </w:rPr>
        <w:t>(CIE) L*a*b* system, where L* implies relative lightness, a*, relative redness and b* is relative yellowness [18].</w:t>
      </w:r>
      <w:r>
        <w:rPr>
          <w:rFonts w:ascii="Arial" w:hAnsi="Arial" w:cs="Arial"/>
          <w:color w:val="0070C0"/>
          <w:sz w:val="22"/>
          <w:szCs w:val="22"/>
        </w:rPr>
        <w:t xml:space="preserve"> </w:t>
      </w:r>
    </w:p>
    <w:p w14:paraId="6C0B4213">
      <w:pPr>
        <w:jc w:val="both"/>
        <w:rPr>
          <w:rFonts w:ascii="Arial" w:hAnsi="Arial" w:cs="Arial"/>
          <w:b/>
          <w:sz w:val="22"/>
          <w:szCs w:val="22"/>
        </w:rPr>
      </w:pPr>
    </w:p>
    <w:p w14:paraId="63448801">
      <w:pPr>
        <w:jc w:val="both"/>
        <w:rPr>
          <w:rFonts w:ascii="Arial" w:hAnsi="Arial" w:cs="Arial"/>
          <w:sz w:val="22"/>
          <w:szCs w:val="22"/>
        </w:rPr>
      </w:pPr>
      <w:r>
        <w:rPr>
          <w:rFonts w:ascii="Arial" w:hAnsi="Arial" w:cs="Arial"/>
          <w:sz w:val="22"/>
          <w:szCs w:val="22"/>
        </w:rPr>
        <w:t>In the determination of meat tenderness, the cooked portions of LTL muscle were used. For each portion, six rectangular-shaped blocks were cut into 1 cm</w:t>
      </w:r>
      <w:r>
        <w:rPr>
          <w:rFonts w:ascii="Arial" w:hAnsi="Arial" w:cs="Arial"/>
          <w:sz w:val="22"/>
          <w:szCs w:val="22"/>
          <w:vertAlign w:val="superscript"/>
        </w:rPr>
        <w:t>3</w:t>
      </w:r>
      <w:r>
        <w:rPr>
          <w:rFonts w:ascii="Arial" w:hAnsi="Arial" w:cs="Arial"/>
          <w:sz w:val="22"/>
          <w:szCs w:val="22"/>
        </w:rPr>
        <w:t xml:space="preserve"> parallel to the direction of the muscle fibre. Then each block was sheared through twice perpendicular to the muscle fibre direction, with a triangular-shaped shear blade attached to the Warner-Bratzler Shear Force (WBSF) machine (Zwick/Roell Z2.5, Germany) set with 1 KN load cell. An average of 12 shear values per sample were considered the peak WBSF value for that sample.</w:t>
      </w:r>
    </w:p>
    <w:p w14:paraId="572270E5">
      <w:pPr>
        <w:jc w:val="both"/>
        <w:rPr>
          <w:rFonts w:ascii="Arial" w:hAnsi="Arial" w:cs="Arial"/>
          <w:sz w:val="22"/>
          <w:szCs w:val="22"/>
        </w:rPr>
      </w:pPr>
    </w:p>
    <w:p w14:paraId="5F51D58F">
      <w:pPr>
        <w:rPr>
          <w:rFonts w:ascii="Arial" w:hAnsi="Arial" w:cs="Arial"/>
          <w:b/>
          <w:sz w:val="22"/>
          <w:szCs w:val="22"/>
        </w:rPr>
      </w:pPr>
      <w:r>
        <w:rPr>
          <w:rFonts w:ascii="Arial" w:hAnsi="Arial" w:cs="Arial"/>
          <w:b/>
          <w:sz w:val="22"/>
          <w:szCs w:val="22"/>
        </w:rPr>
        <w:t>2.5 Statistical analysis</w:t>
      </w:r>
    </w:p>
    <w:p w14:paraId="617ABD04">
      <w:pPr>
        <w:jc w:val="both"/>
        <w:rPr>
          <w:rFonts w:ascii="Arial" w:hAnsi="Arial" w:cs="Arial"/>
          <w:sz w:val="22"/>
          <w:szCs w:val="22"/>
        </w:rPr>
      </w:pPr>
    </w:p>
    <w:p w14:paraId="3CB23C23">
      <w:pPr>
        <w:jc w:val="both"/>
        <w:rPr>
          <w:rFonts w:ascii="Arial" w:hAnsi="Arial" w:cs="Arial"/>
          <w:sz w:val="22"/>
          <w:szCs w:val="22"/>
        </w:rPr>
      </w:pPr>
      <w:r>
        <w:rPr>
          <w:rFonts w:ascii="Arial" w:hAnsi="Arial" w:cs="Arial"/>
          <w:sz w:val="22"/>
          <w:szCs w:val="22"/>
        </w:rPr>
        <w:t>The collected data were analyzed using the General Linear Model (GLM) procedures of SAS (Version 9.2; 2004) [19]</w:t>
      </w:r>
      <w:r>
        <w:rPr>
          <w:rFonts w:ascii="Arial" w:hAnsi="Arial" w:cs="Arial"/>
          <w:bCs/>
          <w:sz w:val="22"/>
          <w:szCs w:val="22"/>
        </w:rPr>
        <w:t>.</w:t>
      </w:r>
      <w:r>
        <w:rPr>
          <w:rFonts w:ascii="Arial" w:hAnsi="Arial" w:cs="Arial"/>
          <w:sz w:val="22"/>
          <w:szCs w:val="22"/>
        </w:rPr>
        <w:t xml:space="preserve"> The influence of finishing practices, slaughter periods, ageing time and their interaction effects on the parameters of meat quality that are colour, pH, CL, and WBSF, were regarded as fixed effects. The least-square means were considered significantly different at (P&lt;0.05) and were separated by the PDIFF option of the GLM model of SAS. </w:t>
      </w:r>
    </w:p>
    <w:p w14:paraId="7B44873D">
      <w:pPr>
        <w:pStyle w:val="23"/>
        <w:spacing w:after="0"/>
        <w:rPr>
          <w:rFonts w:ascii="Arial" w:hAnsi="Arial" w:cs="Arial"/>
          <w:sz w:val="22"/>
          <w:szCs w:val="22"/>
        </w:rPr>
      </w:pPr>
    </w:p>
    <w:p w14:paraId="0F0520C1">
      <w:pPr>
        <w:rPr>
          <w:rFonts w:ascii="Arial" w:hAnsi="Arial" w:cs="Arial"/>
          <w:b/>
          <w:caps/>
          <w:sz w:val="22"/>
          <w:szCs w:val="22"/>
        </w:rPr>
      </w:pPr>
      <w:r>
        <w:rPr>
          <w:rFonts w:ascii="Arial" w:hAnsi="Arial" w:cs="Arial"/>
          <w:sz w:val="22"/>
          <w:szCs w:val="22"/>
        </w:rPr>
        <w:br w:type="page"/>
      </w:r>
    </w:p>
    <w:p w14:paraId="52C64DAD">
      <w:pPr>
        <w:pStyle w:val="35"/>
        <w:spacing w:after="0"/>
        <w:jc w:val="both"/>
        <w:rPr>
          <w:rFonts w:ascii="Arial" w:hAnsi="Arial" w:cs="Arial"/>
          <w:szCs w:val="22"/>
        </w:rPr>
      </w:pPr>
      <w:r>
        <w:rPr>
          <w:rFonts w:ascii="Arial" w:hAnsi="Arial" w:cs="Arial"/>
          <w:szCs w:val="22"/>
        </w:rPr>
        <w:t>3. results</w:t>
      </w:r>
      <w:r>
        <w:commentReference w:id="2"/>
      </w:r>
    </w:p>
    <w:p w14:paraId="0B027C67">
      <w:pPr>
        <w:jc w:val="both"/>
        <w:rPr>
          <w:rFonts w:ascii="Arial" w:hAnsi="Arial" w:cs="Arial"/>
          <w:b/>
          <w:sz w:val="22"/>
          <w:szCs w:val="22"/>
        </w:rPr>
      </w:pPr>
    </w:p>
    <w:p w14:paraId="106313D3">
      <w:pPr>
        <w:jc w:val="both"/>
        <w:rPr>
          <w:rFonts w:ascii="Arial" w:hAnsi="Arial" w:cs="Arial"/>
          <w:b/>
          <w:sz w:val="22"/>
          <w:szCs w:val="22"/>
        </w:rPr>
      </w:pPr>
      <w:r>
        <w:rPr>
          <w:rFonts w:ascii="Arial" w:hAnsi="Arial" w:cs="Arial"/>
          <w:b/>
          <w:sz w:val="22"/>
          <w:szCs w:val="22"/>
        </w:rPr>
        <w:t xml:space="preserve">3.1. Yield of non-carcass components </w:t>
      </w:r>
    </w:p>
    <w:p w14:paraId="43FC3D66">
      <w:pPr>
        <w:spacing w:before="240"/>
        <w:jc w:val="both"/>
        <w:rPr>
          <w:rFonts w:ascii="Arial" w:hAnsi="Arial" w:cs="Arial"/>
          <w:sz w:val="22"/>
          <w:szCs w:val="22"/>
        </w:rPr>
      </w:pPr>
      <w:r>
        <w:rPr>
          <w:rFonts w:ascii="Arial" w:hAnsi="Arial" w:cs="Arial"/>
          <w:sz w:val="22"/>
          <w:szCs w:val="22"/>
        </w:rPr>
        <w:t>The effects of the finishing practices and slaughter periods on the</w:t>
      </w:r>
      <w:r>
        <w:rPr>
          <w:rFonts w:ascii="Arial" w:hAnsi="Arial" w:cs="Arial"/>
          <w:b/>
          <w:sz w:val="22"/>
          <w:szCs w:val="22"/>
        </w:rPr>
        <w:t xml:space="preserve"> </w:t>
      </w:r>
      <w:r>
        <w:rPr>
          <w:rFonts w:ascii="Arial" w:hAnsi="Arial" w:cs="Arial"/>
          <w:sz w:val="22"/>
          <w:szCs w:val="22"/>
        </w:rPr>
        <w:t xml:space="preserve">weights of non-carcass components of the bulls are presented in Table 1. The lsmean weights of heads and hides were not affected (P&gt;0.05) by the finishing practices, however, they were higher (P&lt;0.05) in bulls slaughtered at 60 (S2) and 75 (S3) days of finishing compared with those slaughtered at 45 (S1) days of finishing.  Bulls on P3 had the highest (P&lt;0.05) internal fat accretion, followed by those on P2 and the least for those on P1. Bulls slaughtered at S2 had largest (P&lt;0.05) internal fat accumulation than those at S1 and S3 periods of finishing. Bulls on P2 and P3 had higher (P&lt;0.05) mean weights of heart-lung-liver and four feet than those on P1. On the other hand, bulls slaughtered at S2 and S3 had higher (P&lt;0.05) weights of heart-lung-liver than those slaughtered at S1. The lsmeans of the GIT full and GIT empty were higher (P&lt;0.05) for the bulls finished using practices P3 and P2 than those on P1. The slaughter periods did not (P˃0.05) influence the weights of neither full nor empty GIT of the slaughtered bulls. Bulls finished under various practices and slaughter periods had similar (P˃0.05) weights of the GIT contents. Quantitative interaction (P&lt;0.05) effects between finishing practices and slaughter periods were observed on the lsmeans of hide and empty GIT. During the early finishing periods (S1) bulls on P2 had lower mean weight of hide than their counterparts (Figure 1a).  Consistently with increased slaughter periods at S2, they had higher weight of hide than other groups and later decreased, leading them to attain a lighter mean weight of hide at S3 than those of P3. On the other hand, bulls on P1 had the highest mean weight of hide at the early stages of finishing (S1), and gently reduced at the slaughter periods S2 and S3. At early stages of finishing (S1), all bulls had more or less similar mean weights of empty GIT (Figure 1b). However, the mean weight of empty GIT for the feedlot (P3) group increased drastically, while for the other groups the weights decreased. This trend led the bulls in P3 to attain the highest mean weight of empty GIT at S2. This weight dropped thereafter, leading to bulls on P2 and P3 having comparable weights of empty GIT at slaughter period S3. </w:t>
      </w:r>
    </w:p>
    <w:p w14:paraId="3ECC514A">
      <w:pPr>
        <w:spacing w:before="240"/>
        <w:ind w:left="810" w:hanging="810"/>
        <w:jc w:val="both"/>
        <w:rPr>
          <w:rFonts w:ascii="Arial" w:hAnsi="Arial" w:cs="Arial"/>
          <w:sz w:val="22"/>
          <w:szCs w:val="22"/>
        </w:rPr>
      </w:pPr>
      <w:r>
        <w:rPr>
          <w:rFonts w:ascii="Arial" w:hAnsi="Arial" w:cs="Arial"/>
          <w:sz w:val="22"/>
          <w:szCs w:val="22"/>
        </w:rPr>
        <w:t xml:space="preserve">Table 1. Lsmeans ± SEM of the weights of non-carcass components as influenced by finishing practices and slaughter periods  </w:t>
      </w:r>
    </w:p>
    <w:tbl>
      <w:tblPr>
        <w:tblStyle w:val="5"/>
        <w:tblW w:w="9447" w:type="dxa"/>
        <w:tblInd w:w="93" w:type="dxa"/>
        <w:tblLayout w:type="fixed"/>
        <w:tblCellMar>
          <w:top w:w="0" w:type="dxa"/>
          <w:left w:w="108" w:type="dxa"/>
          <w:bottom w:w="0" w:type="dxa"/>
          <w:right w:w="108" w:type="dxa"/>
        </w:tblCellMar>
      </w:tblPr>
      <w:tblGrid>
        <w:gridCol w:w="1347"/>
        <w:gridCol w:w="720"/>
        <w:gridCol w:w="810"/>
        <w:gridCol w:w="720"/>
        <w:gridCol w:w="630"/>
        <w:gridCol w:w="720"/>
        <w:gridCol w:w="720"/>
        <w:gridCol w:w="720"/>
        <w:gridCol w:w="720"/>
        <w:gridCol w:w="630"/>
        <w:gridCol w:w="810"/>
        <w:gridCol w:w="900"/>
      </w:tblGrid>
      <w:tr w14:paraId="6657DDB8">
        <w:tblPrEx>
          <w:tblCellMar>
            <w:top w:w="0" w:type="dxa"/>
            <w:left w:w="108" w:type="dxa"/>
            <w:bottom w:w="0" w:type="dxa"/>
            <w:right w:w="108" w:type="dxa"/>
          </w:tblCellMar>
        </w:tblPrEx>
        <w:trPr>
          <w:cantSplit/>
          <w:trHeight w:val="315" w:hRule="atLeast"/>
          <w:tblHeader/>
        </w:trPr>
        <w:tc>
          <w:tcPr>
            <w:tcW w:w="1347" w:type="dxa"/>
            <w:vMerge w:val="restart"/>
            <w:tcBorders>
              <w:top w:val="single" w:color="auto" w:sz="4" w:space="0"/>
            </w:tcBorders>
            <w:shd w:val="clear" w:color="auto" w:fill="auto"/>
            <w:noWrap/>
            <w:vAlign w:val="center"/>
          </w:tcPr>
          <w:p w14:paraId="3F57588D">
            <w:pPr>
              <w:jc w:val="both"/>
              <w:rPr>
                <w:rFonts w:ascii="Arial" w:hAnsi="Arial" w:cs="Arial"/>
                <w:sz w:val="16"/>
                <w:szCs w:val="16"/>
              </w:rPr>
            </w:pPr>
            <w:r>
              <w:rPr>
                <w:rFonts w:ascii="Arial" w:hAnsi="Arial" w:cs="Arial"/>
                <w:b/>
                <w:bCs/>
                <w:sz w:val="16"/>
                <w:szCs w:val="16"/>
              </w:rPr>
              <w:t>Parameter (kg)</w:t>
            </w:r>
          </w:p>
        </w:tc>
        <w:tc>
          <w:tcPr>
            <w:tcW w:w="2250" w:type="dxa"/>
            <w:gridSpan w:val="3"/>
            <w:tcBorders>
              <w:top w:val="single" w:color="auto" w:sz="4" w:space="0"/>
              <w:bottom w:val="single" w:color="auto" w:sz="4" w:space="0"/>
            </w:tcBorders>
            <w:shd w:val="clear" w:color="auto" w:fill="auto"/>
            <w:noWrap/>
            <w:vAlign w:val="center"/>
          </w:tcPr>
          <w:p w14:paraId="14ECFCCE">
            <w:pPr>
              <w:jc w:val="both"/>
              <w:rPr>
                <w:rFonts w:ascii="Arial" w:hAnsi="Arial" w:cs="Arial"/>
                <w:b/>
                <w:bCs/>
                <w:sz w:val="16"/>
                <w:szCs w:val="16"/>
              </w:rPr>
            </w:pPr>
            <w:r>
              <w:rPr>
                <w:rFonts w:ascii="Arial" w:hAnsi="Arial" w:cs="Arial"/>
                <w:b/>
                <w:bCs/>
                <w:sz w:val="16"/>
                <w:szCs w:val="16"/>
              </w:rPr>
              <w:t>Finishing practices</w:t>
            </w:r>
          </w:p>
        </w:tc>
        <w:tc>
          <w:tcPr>
            <w:tcW w:w="630" w:type="dxa"/>
            <w:tcBorders>
              <w:top w:val="single" w:color="auto" w:sz="4" w:space="0"/>
              <w:bottom w:val="single" w:color="auto" w:sz="4" w:space="0"/>
            </w:tcBorders>
            <w:vAlign w:val="center"/>
          </w:tcPr>
          <w:p w14:paraId="62AB2DAC">
            <w:pPr>
              <w:jc w:val="both"/>
              <w:rPr>
                <w:rFonts w:ascii="Arial" w:hAnsi="Arial" w:cs="Arial"/>
                <w:b/>
                <w:bCs/>
                <w:sz w:val="16"/>
                <w:szCs w:val="16"/>
              </w:rPr>
            </w:pPr>
          </w:p>
        </w:tc>
        <w:tc>
          <w:tcPr>
            <w:tcW w:w="720" w:type="dxa"/>
            <w:tcBorders>
              <w:top w:val="single" w:color="auto" w:sz="4" w:space="0"/>
              <w:bottom w:val="single" w:color="auto" w:sz="4" w:space="0"/>
            </w:tcBorders>
            <w:vAlign w:val="center"/>
          </w:tcPr>
          <w:p w14:paraId="5C03FA39">
            <w:pPr>
              <w:jc w:val="both"/>
              <w:rPr>
                <w:rFonts w:ascii="Arial" w:hAnsi="Arial" w:cs="Arial"/>
                <w:b/>
                <w:bCs/>
                <w:sz w:val="16"/>
                <w:szCs w:val="16"/>
              </w:rPr>
            </w:pPr>
          </w:p>
        </w:tc>
        <w:tc>
          <w:tcPr>
            <w:tcW w:w="2160" w:type="dxa"/>
            <w:gridSpan w:val="3"/>
            <w:tcBorders>
              <w:top w:val="single" w:color="auto" w:sz="4" w:space="0"/>
              <w:bottom w:val="single" w:color="auto" w:sz="4" w:space="0"/>
            </w:tcBorders>
            <w:vAlign w:val="center"/>
          </w:tcPr>
          <w:p w14:paraId="1FA33546">
            <w:pPr>
              <w:jc w:val="both"/>
              <w:rPr>
                <w:rFonts w:ascii="Arial" w:hAnsi="Arial" w:cs="Arial"/>
                <w:b/>
                <w:bCs/>
                <w:sz w:val="16"/>
                <w:szCs w:val="16"/>
              </w:rPr>
            </w:pPr>
            <w:r>
              <w:rPr>
                <w:rFonts w:ascii="Arial" w:hAnsi="Arial" w:cs="Arial"/>
                <w:b/>
                <w:bCs/>
                <w:sz w:val="16"/>
                <w:szCs w:val="16"/>
              </w:rPr>
              <w:t xml:space="preserve">Slaughter periods </w:t>
            </w:r>
          </w:p>
        </w:tc>
        <w:tc>
          <w:tcPr>
            <w:tcW w:w="630" w:type="dxa"/>
            <w:tcBorders>
              <w:top w:val="single" w:color="auto" w:sz="4" w:space="0"/>
              <w:bottom w:val="single" w:color="auto" w:sz="4" w:space="0"/>
            </w:tcBorders>
            <w:vAlign w:val="center"/>
          </w:tcPr>
          <w:p w14:paraId="533F8CBB">
            <w:pPr>
              <w:jc w:val="both"/>
              <w:rPr>
                <w:rFonts w:ascii="Arial" w:hAnsi="Arial" w:cs="Arial"/>
                <w:b/>
                <w:bCs/>
                <w:sz w:val="16"/>
                <w:szCs w:val="16"/>
              </w:rPr>
            </w:pPr>
          </w:p>
        </w:tc>
        <w:tc>
          <w:tcPr>
            <w:tcW w:w="810" w:type="dxa"/>
            <w:tcBorders>
              <w:top w:val="single" w:color="auto" w:sz="4" w:space="0"/>
              <w:bottom w:val="single" w:color="auto" w:sz="4" w:space="0"/>
            </w:tcBorders>
            <w:vAlign w:val="center"/>
          </w:tcPr>
          <w:p w14:paraId="4806B4A7">
            <w:pPr>
              <w:jc w:val="both"/>
              <w:rPr>
                <w:rFonts w:ascii="Arial" w:hAnsi="Arial" w:cs="Arial"/>
                <w:b/>
                <w:bCs/>
                <w:sz w:val="16"/>
                <w:szCs w:val="16"/>
              </w:rPr>
            </w:pPr>
          </w:p>
        </w:tc>
        <w:tc>
          <w:tcPr>
            <w:tcW w:w="900" w:type="dxa"/>
            <w:tcBorders>
              <w:top w:val="single" w:color="auto" w:sz="4" w:space="0"/>
              <w:bottom w:val="single" w:color="auto" w:sz="4" w:space="0"/>
            </w:tcBorders>
            <w:vAlign w:val="center"/>
          </w:tcPr>
          <w:p w14:paraId="444D58E3">
            <w:pPr>
              <w:jc w:val="center"/>
              <w:rPr>
                <w:rFonts w:ascii="Arial" w:hAnsi="Arial" w:cs="Arial"/>
                <w:b/>
                <w:bCs/>
                <w:sz w:val="16"/>
                <w:szCs w:val="16"/>
              </w:rPr>
            </w:pPr>
            <w:r>
              <w:rPr>
                <w:rFonts w:ascii="Arial" w:hAnsi="Arial" w:cs="Arial"/>
                <w:b/>
                <w:bCs/>
                <w:sz w:val="16"/>
                <w:szCs w:val="16"/>
              </w:rPr>
              <w:t>FP*SP</w:t>
            </w:r>
          </w:p>
        </w:tc>
      </w:tr>
      <w:tr w14:paraId="5046B4CE">
        <w:tblPrEx>
          <w:tblCellMar>
            <w:top w:w="0" w:type="dxa"/>
            <w:left w:w="108" w:type="dxa"/>
            <w:bottom w:w="0" w:type="dxa"/>
            <w:right w:w="108" w:type="dxa"/>
          </w:tblCellMar>
        </w:tblPrEx>
        <w:trPr>
          <w:cantSplit/>
          <w:trHeight w:val="315" w:hRule="atLeast"/>
          <w:tblHeader/>
        </w:trPr>
        <w:tc>
          <w:tcPr>
            <w:tcW w:w="1347" w:type="dxa"/>
            <w:vMerge w:val="continue"/>
            <w:tcBorders>
              <w:bottom w:val="single" w:color="auto" w:sz="4" w:space="0"/>
            </w:tcBorders>
            <w:shd w:val="clear" w:color="auto" w:fill="auto"/>
            <w:noWrap/>
            <w:vAlign w:val="center"/>
          </w:tcPr>
          <w:p w14:paraId="53E1D334">
            <w:pPr>
              <w:jc w:val="center"/>
              <w:rPr>
                <w:rFonts w:ascii="Arial" w:hAnsi="Arial" w:cs="Arial"/>
                <w:b/>
                <w:bCs/>
                <w:sz w:val="16"/>
                <w:szCs w:val="16"/>
              </w:rPr>
            </w:pPr>
          </w:p>
        </w:tc>
        <w:tc>
          <w:tcPr>
            <w:tcW w:w="720" w:type="dxa"/>
            <w:tcBorders>
              <w:top w:val="single" w:color="auto" w:sz="4" w:space="0"/>
              <w:bottom w:val="single" w:color="auto" w:sz="4" w:space="0"/>
            </w:tcBorders>
            <w:shd w:val="clear" w:color="auto" w:fill="auto"/>
            <w:noWrap/>
            <w:vAlign w:val="center"/>
          </w:tcPr>
          <w:p w14:paraId="1970594B">
            <w:pPr>
              <w:jc w:val="center"/>
              <w:rPr>
                <w:rFonts w:ascii="Arial" w:hAnsi="Arial" w:cs="Arial"/>
                <w:b/>
                <w:bCs/>
                <w:sz w:val="16"/>
                <w:szCs w:val="16"/>
              </w:rPr>
            </w:pPr>
            <w:r>
              <w:rPr>
                <w:rFonts w:ascii="Arial" w:hAnsi="Arial" w:cs="Arial"/>
                <w:b/>
                <w:bCs/>
                <w:sz w:val="16"/>
                <w:szCs w:val="16"/>
              </w:rPr>
              <w:t>P1</w:t>
            </w:r>
          </w:p>
        </w:tc>
        <w:tc>
          <w:tcPr>
            <w:tcW w:w="810" w:type="dxa"/>
            <w:tcBorders>
              <w:top w:val="single" w:color="auto" w:sz="4" w:space="0"/>
              <w:bottom w:val="single" w:color="auto" w:sz="4" w:space="0"/>
            </w:tcBorders>
            <w:shd w:val="clear" w:color="auto" w:fill="auto"/>
            <w:noWrap/>
            <w:vAlign w:val="center"/>
          </w:tcPr>
          <w:p w14:paraId="061E5F34">
            <w:pPr>
              <w:jc w:val="center"/>
              <w:rPr>
                <w:rFonts w:ascii="Arial" w:hAnsi="Arial" w:cs="Arial"/>
                <w:b/>
                <w:bCs/>
                <w:sz w:val="16"/>
                <w:szCs w:val="16"/>
              </w:rPr>
            </w:pPr>
            <w:r>
              <w:rPr>
                <w:rFonts w:ascii="Arial" w:hAnsi="Arial" w:cs="Arial"/>
                <w:b/>
                <w:bCs/>
                <w:sz w:val="16"/>
                <w:szCs w:val="16"/>
              </w:rPr>
              <w:t>P2</w:t>
            </w:r>
          </w:p>
        </w:tc>
        <w:tc>
          <w:tcPr>
            <w:tcW w:w="720" w:type="dxa"/>
            <w:tcBorders>
              <w:top w:val="single" w:color="auto" w:sz="4" w:space="0"/>
              <w:bottom w:val="single" w:color="auto" w:sz="4" w:space="0"/>
            </w:tcBorders>
            <w:shd w:val="clear" w:color="auto" w:fill="auto"/>
            <w:noWrap/>
            <w:vAlign w:val="center"/>
          </w:tcPr>
          <w:p w14:paraId="5636EFE8">
            <w:pPr>
              <w:jc w:val="center"/>
              <w:rPr>
                <w:rFonts w:ascii="Arial" w:hAnsi="Arial" w:cs="Arial"/>
                <w:b/>
                <w:bCs/>
                <w:sz w:val="16"/>
                <w:szCs w:val="16"/>
              </w:rPr>
            </w:pPr>
            <w:r>
              <w:rPr>
                <w:rFonts w:ascii="Arial" w:hAnsi="Arial" w:cs="Arial"/>
                <w:b/>
                <w:bCs/>
                <w:sz w:val="16"/>
                <w:szCs w:val="16"/>
              </w:rPr>
              <w:t>P3</w:t>
            </w:r>
          </w:p>
        </w:tc>
        <w:tc>
          <w:tcPr>
            <w:tcW w:w="630" w:type="dxa"/>
            <w:tcBorders>
              <w:top w:val="single" w:color="auto" w:sz="4" w:space="0"/>
              <w:bottom w:val="single" w:color="auto" w:sz="4" w:space="0"/>
            </w:tcBorders>
            <w:vAlign w:val="center"/>
          </w:tcPr>
          <w:p w14:paraId="149E82F5">
            <w:pPr>
              <w:jc w:val="center"/>
              <w:rPr>
                <w:rFonts w:ascii="Arial" w:hAnsi="Arial" w:cs="Arial"/>
                <w:b/>
                <w:bCs/>
                <w:sz w:val="16"/>
                <w:szCs w:val="16"/>
              </w:rPr>
            </w:pPr>
            <w:r>
              <w:rPr>
                <w:rFonts w:ascii="Arial" w:hAnsi="Arial" w:cs="Arial"/>
                <w:b/>
                <w:bCs/>
                <w:sz w:val="16"/>
                <w:szCs w:val="16"/>
              </w:rPr>
              <w:t>SEM</w:t>
            </w:r>
          </w:p>
        </w:tc>
        <w:tc>
          <w:tcPr>
            <w:tcW w:w="720" w:type="dxa"/>
            <w:tcBorders>
              <w:top w:val="single" w:color="auto" w:sz="4" w:space="0"/>
              <w:bottom w:val="single" w:color="auto" w:sz="4" w:space="0"/>
            </w:tcBorders>
            <w:vAlign w:val="center"/>
          </w:tcPr>
          <w:p w14:paraId="2012A528">
            <w:pPr>
              <w:jc w:val="center"/>
              <w:rPr>
                <w:rFonts w:ascii="Arial" w:hAnsi="Arial" w:cs="Arial"/>
                <w:b/>
                <w:bCs/>
                <w:sz w:val="16"/>
                <w:szCs w:val="16"/>
              </w:rPr>
            </w:pPr>
            <w:r>
              <w:rPr>
                <w:rFonts w:ascii="Arial" w:hAnsi="Arial" w:cs="Arial"/>
                <w:b/>
                <w:bCs/>
                <w:sz w:val="16"/>
                <w:szCs w:val="16"/>
              </w:rPr>
              <w:t>P-value</w:t>
            </w:r>
          </w:p>
        </w:tc>
        <w:tc>
          <w:tcPr>
            <w:tcW w:w="720" w:type="dxa"/>
            <w:tcBorders>
              <w:top w:val="single" w:color="auto" w:sz="4" w:space="0"/>
              <w:bottom w:val="single" w:color="auto" w:sz="4" w:space="0"/>
            </w:tcBorders>
            <w:vAlign w:val="center"/>
          </w:tcPr>
          <w:p w14:paraId="0656B332">
            <w:pPr>
              <w:jc w:val="center"/>
              <w:rPr>
                <w:rFonts w:ascii="Arial" w:hAnsi="Arial" w:cs="Arial"/>
                <w:b/>
                <w:bCs/>
                <w:sz w:val="16"/>
                <w:szCs w:val="16"/>
              </w:rPr>
            </w:pPr>
            <w:r>
              <w:rPr>
                <w:rFonts w:ascii="Arial" w:hAnsi="Arial" w:cs="Arial"/>
                <w:b/>
                <w:bCs/>
                <w:sz w:val="16"/>
                <w:szCs w:val="16"/>
              </w:rPr>
              <w:t>S1</w:t>
            </w:r>
          </w:p>
        </w:tc>
        <w:tc>
          <w:tcPr>
            <w:tcW w:w="720" w:type="dxa"/>
            <w:tcBorders>
              <w:top w:val="single" w:color="auto" w:sz="4" w:space="0"/>
              <w:bottom w:val="single" w:color="auto" w:sz="4" w:space="0"/>
            </w:tcBorders>
            <w:vAlign w:val="center"/>
          </w:tcPr>
          <w:p w14:paraId="47253977">
            <w:pPr>
              <w:jc w:val="center"/>
              <w:rPr>
                <w:rFonts w:ascii="Arial" w:hAnsi="Arial" w:cs="Arial"/>
                <w:b/>
                <w:bCs/>
                <w:sz w:val="16"/>
                <w:szCs w:val="16"/>
              </w:rPr>
            </w:pPr>
            <w:r>
              <w:rPr>
                <w:rFonts w:ascii="Arial" w:hAnsi="Arial" w:cs="Arial"/>
                <w:b/>
                <w:bCs/>
                <w:sz w:val="16"/>
                <w:szCs w:val="16"/>
              </w:rPr>
              <w:t>S2</w:t>
            </w:r>
          </w:p>
        </w:tc>
        <w:tc>
          <w:tcPr>
            <w:tcW w:w="720" w:type="dxa"/>
            <w:tcBorders>
              <w:top w:val="single" w:color="auto" w:sz="4" w:space="0"/>
              <w:bottom w:val="single" w:color="auto" w:sz="4" w:space="0"/>
            </w:tcBorders>
            <w:vAlign w:val="center"/>
          </w:tcPr>
          <w:p w14:paraId="7A1A5BD3">
            <w:pPr>
              <w:jc w:val="center"/>
              <w:rPr>
                <w:rFonts w:ascii="Arial" w:hAnsi="Arial" w:cs="Arial"/>
                <w:b/>
                <w:bCs/>
                <w:sz w:val="16"/>
                <w:szCs w:val="16"/>
              </w:rPr>
            </w:pPr>
            <w:r>
              <w:rPr>
                <w:rFonts w:ascii="Arial" w:hAnsi="Arial" w:cs="Arial"/>
                <w:b/>
                <w:bCs/>
                <w:sz w:val="16"/>
                <w:szCs w:val="16"/>
              </w:rPr>
              <w:t>S3</w:t>
            </w:r>
          </w:p>
        </w:tc>
        <w:tc>
          <w:tcPr>
            <w:tcW w:w="630" w:type="dxa"/>
            <w:tcBorders>
              <w:top w:val="single" w:color="auto" w:sz="4" w:space="0"/>
              <w:bottom w:val="single" w:color="auto" w:sz="4" w:space="0"/>
            </w:tcBorders>
            <w:vAlign w:val="center"/>
          </w:tcPr>
          <w:p w14:paraId="6041A66F">
            <w:pPr>
              <w:jc w:val="center"/>
              <w:rPr>
                <w:rFonts w:ascii="Arial" w:hAnsi="Arial" w:cs="Arial"/>
                <w:b/>
                <w:bCs/>
                <w:sz w:val="16"/>
                <w:szCs w:val="16"/>
              </w:rPr>
            </w:pPr>
            <w:r>
              <w:rPr>
                <w:rFonts w:ascii="Arial" w:hAnsi="Arial" w:cs="Arial"/>
                <w:b/>
                <w:bCs/>
                <w:sz w:val="16"/>
                <w:szCs w:val="16"/>
              </w:rPr>
              <w:t>SEM</w:t>
            </w:r>
          </w:p>
        </w:tc>
        <w:tc>
          <w:tcPr>
            <w:tcW w:w="810" w:type="dxa"/>
            <w:tcBorders>
              <w:top w:val="single" w:color="auto" w:sz="4" w:space="0"/>
              <w:bottom w:val="single" w:color="auto" w:sz="4" w:space="0"/>
            </w:tcBorders>
            <w:vAlign w:val="center"/>
          </w:tcPr>
          <w:p w14:paraId="519AE908">
            <w:pPr>
              <w:jc w:val="center"/>
              <w:rPr>
                <w:rFonts w:ascii="Arial" w:hAnsi="Arial" w:cs="Arial"/>
                <w:b/>
                <w:bCs/>
                <w:sz w:val="16"/>
                <w:szCs w:val="16"/>
              </w:rPr>
            </w:pPr>
            <w:r>
              <w:rPr>
                <w:rFonts w:ascii="Arial" w:hAnsi="Arial" w:cs="Arial"/>
                <w:b/>
                <w:bCs/>
                <w:sz w:val="16"/>
                <w:szCs w:val="16"/>
              </w:rPr>
              <w:t>P-value</w:t>
            </w:r>
          </w:p>
        </w:tc>
        <w:tc>
          <w:tcPr>
            <w:tcW w:w="900" w:type="dxa"/>
            <w:tcBorders>
              <w:top w:val="single" w:color="auto" w:sz="4" w:space="0"/>
              <w:bottom w:val="single" w:color="auto" w:sz="4" w:space="0"/>
            </w:tcBorders>
            <w:vAlign w:val="center"/>
          </w:tcPr>
          <w:p w14:paraId="3EEAC9A6">
            <w:pPr>
              <w:jc w:val="center"/>
              <w:rPr>
                <w:rFonts w:ascii="Arial" w:hAnsi="Arial" w:cs="Arial"/>
                <w:b/>
                <w:bCs/>
                <w:sz w:val="16"/>
                <w:szCs w:val="16"/>
              </w:rPr>
            </w:pPr>
            <w:r>
              <w:rPr>
                <w:rFonts w:ascii="Arial" w:hAnsi="Arial" w:cs="Arial"/>
                <w:b/>
                <w:bCs/>
                <w:sz w:val="16"/>
                <w:szCs w:val="16"/>
              </w:rPr>
              <w:t>P-value</w:t>
            </w:r>
          </w:p>
        </w:tc>
      </w:tr>
      <w:tr w14:paraId="302BA282">
        <w:tblPrEx>
          <w:tblCellMar>
            <w:top w:w="0" w:type="dxa"/>
            <w:left w:w="108" w:type="dxa"/>
            <w:bottom w:w="0" w:type="dxa"/>
            <w:right w:w="108" w:type="dxa"/>
          </w:tblCellMar>
        </w:tblPrEx>
        <w:trPr>
          <w:cantSplit/>
          <w:trHeight w:val="360" w:hRule="atLeast"/>
          <w:tblHeader/>
        </w:trPr>
        <w:tc>
          <w:tcPr>
            <w:tcW w:w="1347" w:type="dxa"/>
            <w:tcBorders>
              <w:top w:val="single" w:color="auto" w:sz="4" w:space="0"/>
            </w:tcBorders>
            <w:shd w:val="clear" w:color="auto" w:fill="auto"/>
            <w:noWrap/>
            <w:vAlign w:val="bottom"/>
          </w:tcPr>
          <w:p w14:paraId="439311F6">
            <w:pPr>
              <w:jc w:val="both"/>
              <w:rPr>
                <w:rFonts w:ascii="Arial" w:hAnsi="Arial" w:cs="Arial"/>
                <w:bCs/>
                <w:sz w:val="16"/>
                <w:szCs w:val="16"/>
              </w:rPr>
            </w:pPr>
            <w:r>
              <w:rPr>
                <w:rFonts w:ascii="Arial" w:hAnsi="Arial" w:cs="Arial"/>
                <w:bCs/>
                <w:sz w:val="16"/>
                <w:szCs w:val="16"/>
              </w:rPr>
              <w:t xml:space="preserve">Head </w:t>
            </w:r>
          </w:p>
        </w:tc>
        <w:tc>
          <w:tcPr>
            <w:tcW w:w="720" w:type="dxa"/>
            <w:tcBorders>
              <w:top w:val="single" w:color="auto" w:sz="4" w:space="0"/>
            </w:tcBorders>
            <w:shd w:val="clear" w:color="auto" w:fill="auto"/>
            <w:noWrap/>
            <w:vAlign w:val="bottom"/>
          </w:tcPr>
          <w:p w14:paraId="7C24DD02">
            <w:pPr>
              <w:jc w:val="both"/>
              <w:rPr>
                <w:rFonts w:ascii="Arial" w:hAnsi="Arial" w:cs="Arial"/>
                <w:bCs/>
                <w:sz w:val="16"/>
                <w:szCs w:val="16"/>
              </w:rPr>
            </w:pPr>
            <w:r>
              <w:rPr>
                <w:rFonts w:ascii="Arial" w:hAnsi="Arial" w:cs="Arial"/>
                <w:bCs/>
                <w:sz w:val="16"/>
                <w:szCs w:val="16"/>
              </w:rPr>
              <w:t>14.37</w:t>
            </w:r>
          </w:p>
        </w:tc>
        <w:tc>
          <w:tcPr>
            <w:tcW w:w="810" w:type="dxa"/>
            <w:tcBorders>
              <w:top w:val="single" w:color="auto" w:sz="4" w:space="0"/>
            </w:tcBorders>
            <w:shd w:val="clear" w:color="auto" w:fill="auto"/>
            <w:noWrap/>
            <w:vAlign w:val="bottom"/>
          </w:tcPr>
          <w:p w14:paraId="2D3FA358">
            <w:pPr>
              <w:jc w:val="both"/>
              <w:rPr>
                <w:rFonts w:ascii="Arial" w:hAnsi="Arial" w:cs="Arial"/>
                <w:bCs/>
                <w:sz w:val="16"/>
                <w:szCs w:val="16"/>
              </w:rPr>
            </w:pPr>
            <w:r>
              <w:rPr>
                <w:rFonts w:ascii="Arial" w:hAnsi="Arial" w:cs="Arial"/>
                <w:bCs/>
                <w:sz w:val="16"/>
                <w:szCs w:val="16"/>
              </w:rPr>
              <w:t>15.73</w:t>
            </w:r>
          </w:p>
        </w:tc>
        <w:tc>
          <w:tcPr>
            <w:tcW w:w="720" w:type="dxa"/>
            <w:tcBorders>
              <w:top w:val="single" w:color="auto" w:sz="4" w:space="0"/>
            </w:tcBorders>
            <w:shd w:val="clear" w:color="auto" w:fill="auto"/>
            <w:noWrap/>
            <w:vAlign w:val="bottom"/>
          </w:tcPr>
          <w:p w14:paraId="7D6A2621">
            <w:pPr>
              <w:jc w:val="both"/>
              <w:rPr>
                <w:rFonts w:ascii="Arial" w:hAnsi="Arial" w:cs="Arial"/>
                <w:bCs/>
                <w:sz w:val="16"/>
                <w:szCs w:val="16"/>
              </w:rPr>
            </w:pPr>
            <w:r>
              <w:rPr>
                <w:rFonts w:ascii="Arial" w:hAnsi="Arial" w:cs="Arial"/>
                <w:bCs/>
                <w:sz w:val="16"/>
                <w:szCs w:val="16"/>
              </w:rPr>
              <w:t>15.51</w:t>
            </w:r>
          </w:p>
        </w:tc>
        <w:tc>
          <w:tcPr>
            <w:tcW w:w="630" w:type="dxa"/>
            <w:tcBorders>
              <w:top w:val="single" w:color="auto" w:sz="4" w:space="0"/>
            </w:tcBorders>
            <w:vAlign w:val="bottom"/>
          </w:tcPr>
          <w:p w14:paraId="6C45C4E9">
            <w:pPr>
              <w:jc w:val="both"/>
              <w:rPr>
                <w:rFonts w:ascii="Arial" w:hAnsi="Arial" w:cs="Arial"/>
                <w:bCs/>
                <w:sz w:val="16"/>
                <w:szCs w:val="16"/>
              </w:rPr>
            </w:pPr>
            <w:r>
              <w:rPr>
                <w:rFonts w:ascii="Arial" w:hAnsi="Arial" w:cs="Arial"/>
                <w:bCs/>
                <w:sz w:val="16"/>
                <w:szCs w:val="16"/>
              </w:rPr>
              <w:t>1.48</w:t>
            </w:r>
          </w:p>
        </w:tc>
        <w:tc>
          <w:tcPr>
            <w:tcW w:w="720" w:type="dxa"/>
            <w:tcBorders>
              <w:top w:val="single" w:color="auto" w:sz="4" w:space="0"/>
            </w:tcBorders>
            <w:vAlign w:val="bottom"/>
          </w:tcPr>
          <w:p w14:paraId="4BA00179">
            <w:pPr>
              <w:jc w:val="both"/>
              <w:rPr>
                <w:rFonts w:ascii="Arial" w:hAnsi="Arial" w:cs="Arial"/>
                <w:bCs/>
                <w:sz w:val="16"/>
                <w:szCs w:val="16"/>
              </w:rPr>
            </w:pPr>
            <w:r>
              <w:rPr>
                <w:rFonts w:ascii="Arial" w:hAnsi="Arial" w:cs="Arial"/>
                <w:bCs/>
                <w:sz w:val="16"/>
                <w:szCs w:val="16"/>
              </w:rPr>
              <w:t>0.7647</w:t>
            </w:r>
          </w:p>
        </w:tc>
        <w:tc>
          <w:tcPr>
            <w:tcW w:w="720" w:type="dxa"/>
            <w:tcBorders>
              <w:top w:val="single" w:color="auto" w:sz="4" w:space="0"/>
            </w:tcBorders>
            <w:vAlign w:val="bottom"/>
          </w:tcPr>
          <w:p w14:paraId="54656F46">
            <w:pPr>
              <w:jc w:val="both"/>
              <w:rPr>
                <w:rFonts w:ascii="Arial" w:hAnsi="Arial" w:cs="Arial"/>
                <w:bCs/>
                <w:sz w:val="16"/>
                <w:szCs w:val="16"/>
              </w:rPr>
            </w:pPr>
            <w:r>
              <w:rPr>
                <w:rFonts w:ascii="Arial" w:hAnsi="Arial" w:cs="Arial"/>
                <w:bCs/>
                <w:sz w:val="16"/>
                <w:szCs w:val="16"/>
              </w:rPr>
              <w:t>11.66</w:t>
            </w:r>
            <w:r>
              <w:rPr>
                <w:rFonts w:ascii="Arial" w:hAnsi="Arial" w:cs="Arial"/>
                <w:bCs/>
                <w:sz w:val="16"/>
                <w:szCs w:val="16"/>
                <w:vertAlign w:val="superscript"/>
              </w:rPr>
              <w:t>b</w:t>
            </w:r>
          </w:p>
        </w:tc>
        <w:tc>
          <w:tcPr>
            <w:tcW w:w="720" w:type="dxa"/>
            <w:tcBorders>
              <w:top w:val="single" w:color="auto" w:sz="4" w:space="0"/>
            </w:tcBorders>
            <w:vAlign w:val="bottom"/>
          </w:tcPr>
          <w:p w14:paraId="526AB4FC">
            <w:pPr>
              <w:jc w:val="both"/>
              <w:rPr>
                <w:rFonts w:ascii="Arial" w:hAnsi="Arial" w:cs="Arial"/>
                <w:bCs/>
                <w:sz w:val="16"/>
                <w:szCs w:val="16"/>
              </w:rPr>
            </w:pPr>
            <w:r>
              <w:rPr>
                <w:rFonts w:ascii="Arial" w:hAnsi="Arial" w:cs="Arial"/>
                <w:bCs/>
                <w:sz w:val="16"/>
                <w:szCs w:val="16"/>
              </w:rPr>
              <w:t>17.36</w:t>
            </w:r>
            <w:r>
              <w:rPr>
                <w:rFonts w:ascii="Arial" w:hAnsi="Arial" w:cs="Arial"/>
                <w:bCs/>
                <w:sz w:val="16"/>
                <w:szCs w:val="16"/>
                <w:vertAlign w:val="superscript"/>
              </w:rPr>
              <w:t>a</w:t>
            </w:r>
          </w:p>
        </w:tc>
        <w:tc>
          <w:tcPr>
            <w:tcW w:w="720" w:type="dxa"/>
            <w:tcBorders>
              <w:top w:val="single" w:color="auto" w:sz="4" w:space="0"/>
            </w:tcBorders>
            <w:vAlign w:val="bottom"/>
          </w:tcPr>
          <w:p w14:paraId="62ADF83E">
            <w:pPr>
              <w:jc w:val="both"/>
              <w:rPr>
                <w:rFonts w:ascii="Arial" w:hAnsi="Arial" w:cs="Arial"/>
                <w:bCs/>
                <w:sz w:val="16"/>
                <w:szCs w:val="16"/>
              </w:rPr>
            </w:pPr>
            <w:r>
              <w:rPr>
                <w:rFonts w:ascii="Arial" w:hAnsi="Arial" w:cs="Arial"/>
                <w:bCs/>
                <w:sz w:val="16"/>
                <w:szCs w:val="16"/>
              </w:rPr>
              <w:t>16.59</w:t>
            </w:r>
            <w:r>
              <w:rPr>
                <w:rFonts w:ascii="Arial" w:hAnsi="Arial" w:cs="Arial"/>
                <w:bCs/>
                <w:sz w:val="16"/>
                <w:szCs w:val="16"/>
                <w:vertAlign w:val="superscript"/>
              </w:rPr>
              <w:t>a</w:t>
            </w:r>
          </w:p>
        </w:tc>
        <w:tc>
          <w:tcPr>
            <w:tcW w:w="630" w:type="dxa"/>
            <w:tcBorders>
              <w:top w:val="single" w:color="auto" w:sz="4" w:space="0"/>
            </w:tcBorders>
            <w:vAlign w:val="bottom"/>
          </w:tcPr>
          <w:p w14:paraId="4719546A">
            <w:pPr>
              <w:jc w:val="both"/>
              <w:rPr>
                <w:rFonts w:ascii="Arial" w:hAnsi="Arial" w:cs="Arial"/>
                <w:bCs/>
                <w:sz w:val="16"/>
                <w:szCs w:val="16"/>
              </w:rPr>
            </w:pPr>
            <w:r>
              <w:rPr>
                <w:rFonts w:ascii="Arial" w:hAnsi="Arial" w:cs="Arial"/>
                <w:bCs/>
                <w:sz w:val="16"/>
                <w:szCs w:val="16"/>
              </w:rPr>
              <w:t>1.44</w:t>
            </w:r>
          </w:p>
        </w:tc>
        <w:tc>
          <w:tcPr>
            <w:tcW w:w="810" w:type="dxa"/>
            <w:tcBorders>
              <w:top w:val="single" w:color="auto" w:sz="4" w:space="0"/>
            </w:tcBorders>
            <w:vAlign w:val="bottom"/>
          </w:tcPr>
          <w:p w14:paraId="31C843F2">
            <w:pPr>
              <w:jc w:val="both"/>
              <w:rPr>
                <w:rFonts w:ascii="Arial" w:hAnsi="Arial" w:cs="Arial"/>
                <w:bCs/>
                <w:sz w:val="16"/>
                <w:szCs w:val="16"/>
              </w:rPr>
            </w:pPr>
            <w:r>
              <w:rPr>
                <w:rFonts w:ascii="Arial" w:hAnsi="Arial" w:cs="Arial"/>
                <w:bCs/>
                <w:sz w:val="16"/>
                <w:szCs w:val="16"/>
              </w:rPr>
              <w:t>0.0308</w:t>
            </w:r>
          </w:p>
        </w:tc>
        <w:tc>
          <w:tcPr>
            <w:tcW w:w="900" w:type="dxa"/>
            <w:tcBorders>
              <w:top w:val="single" w:color="auto" w:sz="4" w:space="0"/>
            </w:tcBorders>
            <w:vAlign w:val="bottom"/>
          </w:tcPr>
          <w:p w14:paraId="6AE361CB">
            <w:pPr>
              <w:widowControl w:val="0"/>
              <w:autoSpaceDE w:val="0"/>
              <w:autoSpaceDN w:val="0"/>
              <w:adjustRightInd w:val="0"/>
              <w:jc w:val="both"/>
              <w:rPr>
                <w:rFonts w:ascii="Arial" w:hAnsi="Arial" w:cs="Arial"/>
                <w:bCs/>
                <w:sz w:val="16"/>
                <w:szCs w:val="16"/>
              </w:rPr>
            </w:pPr>
            <w:r>
              <w:rPr>
                <w:rFonts w:ascii="Arial" w:hAnsi="Arial" w:cs="Arial"/>
                <w:bCs/>
                <w:sz w:val="16"/>
                <w:szCs w:val="16"/>
              </w:rPr>
              <w:t>0.8138</w:t>
            </w:r>
          </w:p>
        </w:tc>
      </w:tr>
      <w:tr w14:paraId="35B33FCE">
        <w:tblPrEx>
          <w:tblCellMar>
            <w:top w:w="0" w:type="dxa"/>
            <w:left w:w="108" w:type="dxa"/>
            <w:bottom w:w="0" w:type="dxa"/>
            <w:right w:w="108" w:type="dxa"/>
          </w:tblCellMar>
        </w:tblPrEx>
        <w:trPr>
          <w:cantSplit/>
          <w:trHeight w:val="360" w:hRule="atLeast"/>
          <w:tblHeader/>
        </w:trPr>
        <w:tc>
          <w:tcPr>
            <w:tcW w:w="1347" w:type="dxa"/>
            <w:shd w:val="clear" w:color="auto" w:fill="auto"/>
            <w:noWrap/>
            <w:vAlign w:val="bottom"/>
          </w:tcPr>
          <w:p w14:paraId="15060F26">
            <w:pPr>
              <w:jc w:val="both"/>
              <w:rPr>
                <w:rFonts w:ascii="Arial" w:hAnsi="Arial" w:cs="Arial"/>
                <w:bCs/>
                <w:sz w:val="16"/>
                <w:szCs w:val="16"/>
              </w:rPr>
            </w:pPr>
            <w:r>
              <w:rPr>
                <w:rFonts w:ascii="Arial" w:hAnsi="Arial" w:cs="Arial"/>
                <w:bCs/>
                <w:sz w:val="16"/>
                <w:szCs w:val="16"/>
              </w:rPr>
              <w:t xml:space="preserve">Hide </w:t>
            </w:r>
          </w:p>
        </w:tc>
        <w:tc>
          <w:tcPr>
            <w:tcW w:w="720" w:type="dxa"/>
            <w:shd w:val="clear" w:color="auto" w:fill="auto"/>
            <w:noWrap/>
            <w:vAlign w:val="bottom"/>
          </w:tcPr>
          <w:p w14:paraId="247FE7F1">
            <w:pPr>
              <w:jc w:val="both"/>
              <w:rPr>
                <w:rFonts w:ascii="Arial" w:hAnsi="Arial" w:cs="Arial"/>
                <w:bCs/>
                <w:sz w:val="16"/>
                <w:szCs w:val="16"/>
              </w:rPr>
            </w:pPr>
            <w:r>
              <w:rPr>
                <w:rFonts w:ascii="Arial" w:hAnsi="Arial" w:cs="Arial"/>
                <w:bCs/>
                <w:sz w:val="16"/>
                <w:szCs w:val="16"/>
              </w:rPr>
              <w:t>20.22</w:t>
            </w:r>
          </w:p>
        </w:tc>
        <w:tc>
          <w:tcPr>
            <w:tcW w:w="810" w:type="dxa"/>
            <w:shd w:val="clear" w:color="auto" w:fill="auto"/>
            <w:noWrap/>
            <w:vAlign w:val="bottom"/>
          </w:tcPr>
          <w:p w14:paraId="59F1D8CC">
            <w:pPr>
              <w:jc w:val="both"/>
              <w:rPr>
                <w:rFonts w:ascii="Arial" w:hAnsi="Arial" w:cs="Arial"/>
                <w:bCs/>
                <w:sz w:val="16"/>
                <w:szCs w:val="16"/>
              </w:rPr>
            </w:pPr>
            <w:r>
              <w:rPr>
                <w:rFonts w:ascii="Arial" w:hAnsi="Arial" w:cs="Arial"/>
                <w:bCs/>
                <w:sz w:val="16"/>
                <w:szCs w:val="16"/>
              </w:rPr>
              <w:t>18.94</w:t>
            </w:r>
          </w:p>
        </w:tc>
        <w:tc>
          <w:tcPr>
            <w:tcW w:w="720" w:type="dxa"/>
            <w:shd w:val="clear" w:color="auto" w:fill="auto"/>
            <w:noWrap/>
            <w:vAlign w:val="bottom"/>
          </w:tcPr>
          <w:p w14:paraId="2E16F88E">
            <w:pPr>
              <w:jc w:val="both"/>
              <w:rPr>
                <w:rFonts w:ascii="Arial" w:hAnsi="Arial" w:cs="Arial"/>
                <w:bCs/>
                <w:sz w:val="16"/>
                <w:szCs w:val="16"/>
              </w:rPr>
            </w:pPr>
            <w:r>
              <w:rPr>
                <w:rFonts w:ascii="Arial" w:hAnsi="Arial" w:cs="Arial"/>
                <w:bCs/>
                <w:sz w:val="16"/>
                <w:szCs w:val="16"/>
              </w:rPr>
              <w:t>21.21</w:t>
            </w:r>
          </w:p>
        </w:tc>
        <w:tc>
          <w:tcPr>
            <w:tcW w:w="630" w:type="dxa"/>
            <w:vAlign w:val="bottom"/>
          </w:tcPr>
          <w:p w14:paraId="424A2F62">
            <w:pPr>
              <w:jc w:val="both"/>
              <w:rPr>
                <w:rFonts w:ascii="Arial" w:hAnsi="Arial" w:cs="Arial"/>
                <w:bCs/>
                <w:sz w:val="16"/>
                <w:szCs w:val="16"/>
              </w:rPr>
            </w:pPr>
            <w:r>
              <w:rPr>
                <w:rFonts w:ascii="Arial" w:hAnsi="Arial" w:cs="Arial"/>
                <w:bCs/>
                <w:sz w:val="16"/>
                <w:szCs w:val="16"/>
              </w:rPr>
              <w:t>0.92</w:t>
            </w:r>
          </w:p>
        </w:tc>
        <w:tc>
          <w:tcPr>
            <w:tcW w:w="720" w:type="dxa"/>
            <w:vAlign w:val="bottom"/>
          </w:tcPr>
          <w:p w14:paraId="3308AD9A">
            <w:pPr>
              <w:jc w:val="both"/>
              <w:rPr>
                <w:rFonts w:ascii="Arial" w:hAnsi="Arial" w:cs="Arial"/>
                <w:bCs/>
                <w:sz w:val="16"/>
                <w:szCs w:val="16"/>
              </w:rPr>
            </w:pPr>
            <w:r>
              <w:rPr>
                <w:rFonts w:ascii="Arial" w:hAnsi="Arial" w:cs="Arial"/>
                <w:bCs/>
                <w:sz w:val="16"/>
                <w:szCs w:val="16"/>
              </w:rPr>
              <w:t>0.1970</w:t>
            </w:r>
          </w:p>
        </w:tc>
        <w:tc>
          <w:tcPr>
            <w:tcW w:w="720" w:type="dxa"/>
            <w:vAlign w:val="bottom"/>
          </w:tcPr>
          <w:p w14:paraId="6EF8AF1B">
            <w:pPr>
              <w:jc w:val="both"/>
              <w:rPr>
                <w:rFonts w:ascii="Arial" w:hAnsi="Arial" w:cs="Arial"/>
                <w:bCs/>
                <w:sz w:val="16"/>
                <w:szCs w:val="16"/>
              </w:rPr>
            </w:pPr>
            <w:r>
              <w:rPr>
                <w:rFonts w:ascii="Arial" w:hAnsi="Arial" w:cs="Arial"/>
                <w:bCs/>
                <w:sz w:val="16"/>
                <w:szCs w:val="16"/>
              </w:rPr>
              <w:t>17.48</w:t>
            </w:r>
            <w:r>
              <w:rPr>
                <w:rFonts w:ascii="Arial" w:hAnsi="Arial" w:cs="Arial"/>
                <w:bCs/>
                <w:sz w:val="16"/>
                <w:szCs w:val="16"/>
                <w:vertAlign w:val="superscript"/>
              </w:rPr>
              <w:t>b</w:t>
            </w:r>
          </w:p>
        </w:tc>
        <w:tc>
          <w:tcPr>
            <w:tcW w:w="720" w:type="dxa"/>
            <w:vAlign w:val="bottom"/>
          </w:tcPr>
          <w:p w14:paraId="5562878F">
            <w:pPr>
              <w:jc w:val="both"/>
              <w:rPr>
                <w:rFonts w:ascii="Arial" w:hAnsi="Arial" w:cs="Arial"/>
                <w:bCs/>
                <w:sz w:val="16"/>
                <w:szCs w:val="16"/>
              </w:rPr>
            </w:pPr>
            <w:r>
              <w:rPr>
                <w:rFonts w:ascii="Arial" w:hAnsi="Arial" w:cs="Arial"/>
                <w:bCs/>
                <w:sz w:val="16"/>
                <w:szCs w:val="16"/>
              </w:rPr>
              <w:t>22.91</w:t>
            </w:r>
            <w:r>
              <w:rPr>
                <w:rFonts w:ascii="Arial" w:hAnsi="Arial" w:cs="Arial"/>
                <w:bCs/>
                <w:sz w:val="16"/>
                <w:szCs w:val="16"/>
                <w:vertAlign w:val="superscript"/>
              </w:rPr>
              <w:t>a</w:t>
            </w:r>
          </w:p>
        </w:tc>
        <w:tc>
          <w:tcPr>
            <w:tcW w:w="720" w:type="dxa"/>
            <w:vAlign w:val="bottom"/>
          </w:tcPr>
          <w:p w14:paraId="3FF75064">
            <w:pPr>
              <w:jc w:val="both"/>
              <w:rPr>
                <w:rFonts w:ascii="Arial" w:hAnsi="Arial" w:cs="Arial"/>
                <w:bCs/>
                <w:sz w:val="16"/>
                <w:szCs w:val="16"/>
              </w:rPr>
            </w:pPr>
            <w:r>
              <w:rPr>
                <w:rFonts w:ascii="Arial" w:hAnsi="Arial" w:cs="Arial"/>
                <w:bCs/>
                <w:sz w:val="16"/>
                <w:szCs w:val="16"/>
              </w:rPr>
              <w:t>19.98</w:t>
            </w:r>
            <w:r>
              <w:rPr>
                <w:rFonts w:ascii="Arial" w:hAnsi="Arial" w:cs="Arial"/>
                <w:bCs/>
                <w:sz w:val="16"/>
                <w:szCs w:val="16"/>
                <w:vertAlign w:val="superscript"/>
              </w:rPr>
              <w:t>a</w:t>
            </w:r>
          </w:p>
        </w:tc>
        <w:tc>
          <w:tcPr>
            <w:tcW w:w="630" w:type="dxa"/>
            <w:vAlign w:val="bottom"/>
          </w:tcPr>
          <w:p w14:paraId="0DD3E532">
            <w:pPr>
              <w:jc w:val="both"/>
              <w:rPr>
                <w:rFonts w:ascii="Arial" w:hAnsi="Arial" w:cs="Arial"/>
                <w:bCs/>
                <w:sz w:val="16"/>
                <w:szCs w:val="16"/>
              </w:rPr>
            </w:pPr>
            <w:r>
              <w:rPr>
                <w:rFonts w:ascii="Arial" w:hAnsi="Arial" w:cs="Arial"/>
                <w:bCs/>
                <w:sz w:val="16"/>
                <w:szCs w:val="16"/>
              </w:rPr>
              <w:t>0.90</w:t>
            </w:r>
          </w:p>
        </w:tc>
        <w:tc>
          <w:tcPr>
            <w:tcW w:w="810" w:type="dxa"/>
            <w:vAlign w:val="bottom"/>
          </w:tcPr>
          <w:p w14:paraId="150C72FA">
            <w:pPr>
              <w:jc w:val="both"/>
              <w:rPr>
                <w:rFonts w:ascii="Arial" w:hAnsi="Arial" w:cs="Arial"/>
                <w:bCs/>
                <w:sz w:val="16"/>
                <w:szCs w:val="16"/>
              </w:rPr>
            </w:pPr>
            <w:r>
              <w:rPr>
                <w:rFonts w:ascii="Arial" w:hAnsi="Arial" w:cs="Arial"/>
                <w:bCs/>
                <w:sz w:val="16"/>
                <w:szCs w:val="16"/>
              </w:rPr>
              <w:t>0.0062</w:t>
            </w:r>
          </w:p>
        </w:tc>
        <w:tc>
          <w:tcPr>
            <w:tcW w:w="900" w:type="dxa"/>
            <w:vAlign w:val="bottom"/>
          </w:tcPr>
          <w:p w14:paraId="19A3A30F">
            <w:pPr>
              <w:widowControl w:val="0"/>
              <w:autoSpaceDE w:val="0"/>
              <w:autoSpaceDN w:val="0"/>
              <w:adjustRightInd w:val="0"/>
              <w:jc w:val="both"/>
              <w:rPr>
                <w:rFonts w:ascii="Arial" w:hAnsi="Arial" w:cs="Arial"/>
                <w:bCs/>
                <w:sz w:val="16"/>
                <w:szCs w:val="16"/>
              </w:rPr>
            </w:pPr>
            <w:r>
              <w:rPr>
                <w:rFonts w:ascii="Arial" w:hAnsi="Arial" w:cs="Arial"/>
                <w:bCs/>
                <w:sz w:val="16"/>
                <w:szCs w:val="16"/>
              </w:rPr>
              <w:t>0.0240</w:t>
            </w:r>
          </w:p>
        </w:tc>
      </w:tr>
      <w:tr w14:paraId="1BDC1EE8">
        <w:tblPrEx>
          <w:tblCellMar>
            <w:top w:w="0" w:type="dxa"/>
            <w:left w:w="108" w:type="dxa"/>
            <w:bottom w:w="0" w:type="dxa"/>
            <w:right w:w="108" w:type="dxa"/>
          </w:tblCellMar>
        </w:tblPrEx>
        <w:trPr>
          <w:cantSplit/>
          <w:trHeight w:val="360" w:hRule="atLeast"/>
          <w:tblHeader/>
        </w:trPr>
        <w:tc>
          <w:tcPr>
            <w:tcW w:w="1347" w:type="dxa"/>
            <w:shd w:val="clear" w:color="auto" w:fill="auto"/>
            <w:noWrap/>
            <w:vAlign w:val="bottom"/>
          </w:tcPr>
          <w:p w14:paraId="38A39502">
            <w:pPr>
              <w:jc w:val="both"/>
              <w:rPr>
                <w:rFonts w:ascii="Arial" w:hAnsi="Arial" w:cs="Arial"/>
                <w:bCs/>
                <w:sz w:val="16"/>
                <w:szCs w:val="16"/>
              </w:rPr>
            </w:pPr>
            <w:r>
              <w:rPr>
                <w:rFonts w:ascii="Arial" w:hAnsi="Arial" w:cs="Arial"/>
                <w:bCs/>
                <w:sz w:val="16"/>
                <w:szCs w:val="16"/>
              </w:rPr>
              <w:t xml:space="preserve">Internal fat </w:t>
            </w:r>
          </w:p>
        </w:tc>
        <w:tc>
          <w:tcPr>
            <w:tcW w:w="720" w:type="dxa"/>
            <w:shd w:val="clear" w:color="auto" w:fill="auto"/>
            <w:noWrap/>
            <w:vAlign w:val="bottom"/>
          </w:tcPr>
          <w:p w14:paraId="76983907">
            <w:pPr>
              <w:jc w:val="both"/>
              <w:rPr>
                <w:rFonts w:ascii="Arial" w:hAnsi="Arial" w:cs="Arial"/>
                <w:bCs/>
                <w:sz w:val="16"/>
                <w:szCs w:val="16"/>
              </w:rPr>
            </w:pPr>
            <w:r>
              <w:rPr>
                <w:rFonts w:ascii="Arial" w:hAnsi="Arial" w:cs="Arial"/>
                <w:bCs/>
                <w:sz w:val="16"/>
                <w:szCs w:val="16"/>
              </w:rPr>
              <w:t>0.49</w:t>
            </w:r>
            <w:r>
              <w:rPr>
                <w:rFonts w:ascii="Arial" w:hAnsi="Arial" w:cs="Arial"/>
                <w:bCs/>
                <w:sz w:val="16"/>
                <w:szCs w:val="16"/>
                <w:vertAlign w:val="superscript"/>
              </w:rPr>
              <w:t>c</w:t>
            </w:r>
          </w:p>
        </w:tc>
        <w:tc>
          <w:tcPr>
            <w:tcW w:w="810" w:type="dxa"/>
            <w:shd w:val="clear" w:color="auto" w:fill="auto"/>
            <w:noWrap/>
            <w:vAlign w:val="bottom"/>
          </w:tcPr>
          <w:p w14:paraId="48D0B070">
            <w:pPr>
              <w:jc w:val="both"/>
              <w:rPr>
                <w:rFonts w:ascii="Arial" w:hAnsi="Arial" w:cs="Arial"/>
                <w:bCs/>
                <w:sz w:val="16"/>
                <w:szCs w:val="16"/>
              </w:rPr>
            </w:pPr>
            <w:r>
              <w:rPr>
                <w:rFonts w:ascii="Arial" w:hAnsi="Arial" w:cs="Arial"/>
                <w:bCs/>
                <w:sz w:val="16"/>
                <w:szCs w:val="16"/>
              </w:rPr>
              <w:t>1.52</w:t>
            </w:r>
            <w:r>
              <w:rPr>
                <w:rFonts w:ascii="Arial" w:hAnsi="Arial" w:cs="Arial"/>
                <w:bCs/>
                <w:sz w:val="16"/>
                <w:szCs w:val="16"/>
                <w:vertAlign w:val="superscript"/>
              </w:rPr>
              <w:t>b</w:t>
            </w:r>
          </w:p>
        </w:tc>
        <w:tc>
          <w:tcPr>
            <w:tcW w:w="720" w:type="dxa"/>
            <w:shd w:val="clear" w:color="auto" w:fill="auto"/>
            <w:noWrap/>
            <w:vAlign w:val="bottom"/>
          </w:tcPr>
          <w:p w14:paraId="090D8BF0">
            <w:pPr>
              <w:jc w:val="both"/>
              <w:rPr>
                <w:rFonts w:ascii="Arial" w:hAnsi="Arial" w:cs="Arial"/>
                <w:bCs/>
                <w:sz w:val="16"/>
                <w:szCs w:val="16"/>
              </w:rPr>
            </w:pPr>
            <w:r>
              <w:rPr>
                <w:rFonts w:ascii="Arial" w:hAnsi="Arial" w:cs="Arial"/>
                <w:bCs/>
                <w:sz w:val="16"/>
                <w:szCs w:val="16"/>
              </w:rPr>
              <w:t>2.26</w:t>
            </w:r>
            <w:r>
              <w:rPr>
                <w:rFonts w:ascii="Arial" w:hAnsi="Arial" w:cs="Arial"/>
                <w:bCs/>
                <w:sz w:val="16"/>
                <w:szCs w:val="16"/>
                <w:vertAlign w:val="superscript"/>
              </w:rPr>
              <w:t>a</w:t>
            </w:r>
          </w:p>
        </w:tc>
        <w:tc>
          <w:tcPr>
            <w:tcW w:w="630" w:type="dxa"/>
            <w:vAlign w:val="bottom"/>
          </w:tcPr>
          <w:p w14:paraId="67BE2218">
            <w:pPr>
              <w:jc w:val="both"/>
              <w:rPr>
                <w:rFonts w:ascii="Arial" w:hAnsi="Arial" w:cs="Arial"/>
                <w:bCs/>
                <w:sz w:val="16"/>
                <w:szCs w:val="16"/>
              </w:rPr>
            </w:pPr>
            <w:r>
              <w:rPr>
                <w:rFonts w:ascii="Arial" w:hAnsi="Arial" w:cs="Arial"/>
                <w:bCs/>
                <w:sz w:val="16"/>
                <w:szCs w:val="16"/>
              </w:rPr>
              <w:t>0.18</w:t>
            </w:r>
          </w:p>
        </w:tc>
        <w:tc>
          <w:tcPr>
            <w:tcW w:w="720" w:type="dxa"/>
            <w:vAlign w:val="bottom"/>
          </w:tcPr>
          <w:p w14:paraId="042EDD7F">
            <w:pPr>
              <w:jc w:val="both"/>
              <w:rPr>
                <w:rFonts w:ascii="Arial" w:hAnsi="Arial" w:cs="Arial"/>
                <w:bCs/>
                <w:sz w:val="16"/>
                <w:szCs w:val="16"/>
              </w:rPr>
            </w:pPr>
            <w:r>
              <w:rPr>
                <w:rFonts w:ascii="Arial" w:hAnsi="Arial" w:cs="Arial"/>
                <w:bCs/>
                <w:sz w:val="16"/>
                <w:szCs w:val="16"/>
              </w:rPr>
              <w:t>0.0003</w:t>
            </w:r>
          </w:p>
        </w:tc>
        <w:tc>
          <w:tcPr>
            <w:tcW w:w="720" w:type="dxa"/>
            <w:vAlign w:val="bottom"/>
          </w:tcPr>
          <w:p w14:paraId="14F3FE65">
            <w:pPr>
              <w:jc w:val="both"/>
              <w:rPr>
                <w:rFonts w:ascii="Arial" w:hAnsi="Arial" w:cs="Arial"/>
                <w:bCs/>
                <w:sz w:val="16"/>
                <w:szCs w:val="16"/>
              </w:rPr>
            </w:pPr>
            <w:r>
              <w:rPr>
                <w:rFonts w:ascii="Arial" w:hAnsi="Arial" w:cs="Arial"/>
                <w:bCs/>
                <w:sz w:val="16"/>
                <w:szCs w:val="16"/>
              </w:rPr>
              <w:t>1.10</w:t>
            </w:r>
            <w:r>
              <w:rPr>
                <w:rFonts w:ascii="Arial" w:hAnsi="Arial" w:cs="Arial"/>
                <w:bCs/>
                <w:sz w:val="16"/>
                <w:szCs w:val="16"/>
                <w:vertAlign w:val="superscript"/>
              </w:rPr>
              <w:t>b</w:t>
            </w:r>
          </w:p>
        </w:tc>
        <w:tc>
          <w:tcPr>
            <w:tcW w:w="720" w:type="dxa"/>
            <w:vAlign w:val="bottom"/>
          </w:tcPr>
          <w:p w14:paraId="6F733770">
            <w:pPr>
              <w:jc w:val="both"/>
              <w:rPr>
                <w:rFonts w:ascii="Arial" w:hAnsi="Arial" w:cs="Arial"/>
                <w:bCs/>
                <w:sz w:val="16"/>
                <w:szCs w:val="16"/>
              </w:rPr>
            </w:pPr>
            <w:r>
              <w:rPr>
                <w:rFonts w:ascii="Arial" w:hAnsi="Arial" w:cs="Arial"/>
                <w:bCs/>
                <w:sz w:val="16"/>
                <w:szCs w:val="16"/>
              </w:rPr>
              <w:t>1.83</w:t>
            </w:r>
            <w:r>
              <w:rPr>
                <w:rFonts w:ascii="Arial" w:hAnsi="Arial" w:cs="Arial"/>
                <w:bCs/>
                <w:sz w:val="16"/>
                <w:szCs w:val="16"/>
                <w:vertAlign w:val="superscript"/>
              </w:rPr>
              <w:t>a</w:t>
            </w:r>
          </w:p>
        </w:tc>
        <w:tc>
          <w:tcPr>
            <w:tcW w:w="720" w:type="dxa"/>
            <w:vAlign w:val="bottom"/>
          </w:tcPr>
          <w:p w14:paraId="3222C038">
            <w:pPr>
              <w:jc w:val="both"/>
              <w:rPr>
                <w:rFonts w:ascii="Arial" w:hAnsi="Arial" w:cs="Arial"/>
                <w:bCs/>
                <w:sz w:val="16"/>
                <w:szCs w:val="16"/>
              </w:rPr>
            </w:pPr>
            <w:r>
              <w:rPr>
                <w:rFonts w:ascii="Arial" w:hAnsi="Arial" w:cs="Arial"/>
                <w:bCs/>
                <w:sz w:val="16"/>
                <w:szCs w:val="16"/>
              </w:rPr>
              <w:t>1.33</w:t>
            </w:r>
            <w:r>
              <w:rPr>
                <w:rFonts w:ascii="Arial" w:hAnsi="Arial" w:cs="Arial"/>
                <w:bCs/>
                <w:sz w:val="16"/>
                <w:szCs w:val="16"/>
                <w:vertAlign w:val="superscript"/>
              </w:rPr>
              <w:t>b</w:t>
            </w:r>
          </w:p>
        </w:tc>
        <w:tc>
          <w:tcPr>
            <w:tcW w:w="630" w:type="dxa"/>
            <w:vAlign w:val="bottom"/>
          </w:tcPr>
          <w:p w14:paraId="7A34F9FC">
            <w:pPr>
              <w:jc w:val="both"/>
              <w:rPr>
                <w:rFonts w:ascii="Arial" w:hAnsi="Arial" w:cs="Arial"/>
                <w:bCs/>
                <w:sz w:val="16"/>
                <w:szCs w:val="16"/>
              </w:rPr>
            </w:pPr>
            <w:r>
              <w:rPr>
                <w:rFonts w:ascii="Arial" w:hAnsi="Arial" w:cs="Arial"/>
                <w:bCs/>
                <w:sz w:val="16"/>
                <w:szCs w:val="16"/>
              </w:rPr>
              <w:t xml:space="preserve">0.17  </w:t>
            </w:r>
          </w:p>
        </w:tc>
        <w:tc>
          <w:tcPr>
            <w:tcW w:w="810" w:type="dxa"/>
            <w:vAlign w:val="bottom"/>
          </w:tcPr>
          <w:p w14:paraId="5D6729FD">
            <w:pPr>
              <w:ind w:left="-108"/>
              <w:jc w:val="both"/>
              <w:rPr>
                <w:rFonts w:ascii="Arial" w:hAnsi="Arial" w:cs="Arial"/>
                <w:bCs/>
                <w:sz w:val="16"/>
                <w:szCs w:val="16"/>
              </w:rPr>
            </w:pPr>
            <w:r>
              <w:rPr>
                <w:rFonts w:ascii="Arial" w:hAnsi="Arial" w:cs="Arial"/>
                <w:bCs/>
                <w:sz w:val="16"/>
                <w:szCs w:val="16"/>
              </w:rPr>
              <w:t>0.0341</w:t>
            </w:r>
          </w:p>
        </w:tc>
        <w:tc>
          <w:tcPr>
            <w:tcW w:w="900" w:type="dxa"/>
            <w:vAlign w:val="bottom"/>
          </w:tcPr>
          <w:p w14:paraId="59C2A90C">
            <w:pPr>
              <w:jc w:val="both"/>
              <w:rPr>
                <w:rFonts w:ascii="Arial" w:hAnsi="Arial" w:cs="Arial"/>
                <w:bCs/>
                <w:sz w:val="16"/>
                <w:szCs w:val="16"/>
              </w:rPr>
            </w:pPr>
            <w:r>
              <w:rPr>
                <w:rFonts w:ascii="Arial" w:hAnsi="Arial" w:cs="Arial"/>
                <w:bCs/>
                <w:sz w:val="16"/>
                <w:szCs w:val="16"/>
              </w:rPr>
              <w:t>0.1013</w:t>
            </w:r>
          </w:p>
        </w:tc>
      </w:tr>
      <w:tr w14:paraId="6CABEF12">
        <w:tblPrEx>
          <w:tblCellMar>
            <w:top w:w="0" w:type="dxa"/>
            <w:left w:w="108" w:type="dxa"/>
            <w:bottom w:w="0" w:type="dxa"/>
            <w:right w:w="108" w:type="dxa"/>
          </w:tblCellMar>
        </w:tblPrEx>
        <w:trPr>
          <w:cantSplit/>
          <w:trHeight w:val="360" w:hRule="atLeast"/>
          <w:tblHeader/>
        </w:trPr>
        <w:tc>
          <w:tcPr>
            <w:tcW w:w="1347" w:type="dxa"/>
            <w:shd w:val="clear" w:color="auto" w:fill="auto"/>
            <w:noWrap/>
            <w:vAlign w:val="bottom"/>
          </w:tcPr>
          <w:p w14:paraId="669A732F">
            <w:pPr>
              <w:jc w:val="both"/>
              <w:rPr>
                <w:rFonts w:ascii="Arial" w:hAnsi="Arial" w:cs="Arial"/>
                <w:bCs/>
                <w:sz w:val="16"/>
                <w:szCs w:val="16"/>
              </w:rPr>
            </w:pPr>
            <w:r>
              <w:rPr>
                <w:rFonts w:ascii="Arial" w:hAnsi="Arial" w:cs="Arial"/>
                <w:bCs/>
                <w:sz w:val="16"/>
                <w:szCs w:val="16"/>
              </w:rPr>
              <w:t xml:space="preserve">Heart-lung-liver </w:t>
            </w:r>
          </w:p>
        </w:tc>
        <w:tc>
          <w:tcPr>
            <w:tcW w:w="720" w:type="dxa"/>
            <w:shd w:val="clear" w:color="auto" w:fill="auto"/>
            <w:noWrap/>
            <w:vAlign w:val="bottom"/>
          </w:tcPr>
          <w:p w14:paraId="4E41C829">
            <w:pPr>
              <w:jc w:val="both"/>
              <w:rPr>
                <w:rFonts w:ascii="Arial" w:hAnsi="Arial" w:cs="Arial"/>
                <w:bCs/>
                <w:sz w:val="16"/>
                <w:szCs w:val="16"/>
              </w:rPr>
            </w:pPr>
            <w:r>
              <w:rPr>
                <w:rFonts w:ascii="Arial" w:hAnsi="Arial" w:cs="Arial"/>
                <w:bCs/>
                <w:sz w:val="16"/>
                <w:szCs w:val="16"/>
              </w:rPr>
              <w:t>9.87</w:t>
            </w:r>
            <w:r>
              <w:rPr>
                <w:rFonts w:ascii="Arial" w:hAnsi="Arial" w:cs="Arial"/>
                <w:bCs/>
                <w:sz w:val="16"/>
                <w:szCs w:val="16"/>
                <w:vertAlign w:val="superscript"/>
              </w:rPr>
              <w:t>b</w:t>
            </w:r>
          </w:p>
        </w:tc>
        <w:tc>
          <w:tcPr>
            <w:tcW w:w="810" w:type="dxa"/>
            <w:shd w:val="clear" w:color="auto" w:fill="auto"/>
            <w:noWrap/>
            <w:vAlign w:val="bottom"/>
          </w:tcPr>
          <w:p w14:paraId="4CA8B0EC">
            <w:pPr>
              <w:jc w:val="both"/>
              <w:rPr>
                <w:rFonts w:ascii="Arial" w:hAnsi="Arial" w:cs="Arial"/>
                <w:bCs/>
                <w:sz w:val="16"/>
                <w:szCs w:val="16"/>
              </w:rPr>
            </w:pPr>
            <w:r>
              <w:rPr>
                <w:rFonts w:ascii="Arial" w:hAnsi="Arial" w:cs="Arial"/>
                <w:bCs/>
                <w:sz w:val="16"/>
                <w:szCs w:val="16"/>
              </w:rPr>
              <w:t>10.96</w:t>
            </w:r>
            <w:r>
              <w:rPr>
                <w:rFonts w:ascii="Arial" w:hAnsi="Arial" w:cs="Arial"/>
                <w:bCs/>
                <w:sz w:val="16"/>
                <w:szCs w:val="16"/>
                <w:vertAlign w:val="superscript"/>
              </w:rPr>
              <w:t>a</w:t>
            </w:r>
          </w:p>
        </w:tc>
        <w:tc>
          <w:tcPr>
            <w:tcW w:w="720" w:type="dxa"/>
            <w:shd w:val="clear" w:color="auto" w:fill="auto"/>
            <w:noWrap/>
            <w:vAlign w:val="bottom"/>
          </w:tcPr>
          <w:p w14:paraId="7E983A60">
            <w:pPr>
              <w:jc w:val="both"/>
              <w:rPr>
                <w:rFonts w:ascii="Arial" w:hAnsi="Arial" w:cs="Arial"/>
                <w:bCs/>
                <w:sz w:val="16"/>
                <w:szCs w:val="16"/>
              </w:rPr>
            </w:pPr>
            <w:r>
              <w:rPr>
                <w:rFonts w:ascii="Arial" w:hAnsi="Arial" w:cs="Arial"/>
                <w:bCs/>
                <w:sz w:val="16"/>
                <w:szCs w:val="16"/>
              </w:rPr>
              <w:t>11.91</w:t>
            </w:r>
            <w:r>
              <w:rPr>
                <w:rFonts w:ascii="Arial" w:hAnsi="Arial" w:cs="Arial"/>
                <w:bCs/>
                <w:sz w:val="16"/>
                <w:szCs w:val="16"/>
                <w:vertAlign w:val="superscript"/>
              </w:rPr>
              <w:t>a</w:t>
            </w:r>
          </w:p>
        </w:tc>
        <w:tc>
          <w:tcPr>
            <w:tcW w:w="630" w:type="dxa"/>
            <w:vAlign w:val="bottom"/>
          </w:tcPr>
          <w:p w14:paraId="3104839D">
            <w:pPr>
              <w:jc w:val="both"/>
              <w:rPr>
                <w:rFonts w:ascii="Arial" w:hAnsi="Arial" w:cs="Arial"/>
                <w:bCs/>
                <w:sz w:val="16"/>
                <w:szCs w:val="16"/>
              </w:rPr>
            </w:pPr>
            <w:r>
              <w:rPr>
                <w:rFonts w:ascii="Arial" w:hAnsi="Arial" w:cs="Arial"/>
                <w:bCs/>
                <w:sz w:val="16"/>
                <w:szCs w:val="16"/>
              </w:rPr>
              <w:t>0.44</w:t>
            </w:r>
          </w:p>
        </w:tc>
        <w:tc>
          <w:tcPr>
            <w:tcW w:w="720" w:type="dxa"/>
            <w:vAlign w:val="bottom"/>
          </w:tcPr>
          <w:p w14:paraId="1539F8ED">
            <w:pPr>
              <w:jc w:val="both"/>
              <w:rPr>
                <w:rFonts w:ascii="Arial" w:hAnsi="Arial" w:cs="Arial"/>
                <w:bCs/>
                <w:sz w:val="16"/>
                <w:szCs w:val="16"/>
              </w:rPr>
            </w:pPr>
            <w:r>
              <w:rPr>
                <w:rFonts w:ascii="Arial" w:hAnsi="Arial" w:cs="Arial"/>
                <w:bCs/>
                <w:sz w:val="16"/>
                <w:szCs w:val="16"/>
              </w:rPr>
              <w:t>0.0210</w:t>
            </w:r>
          </w:p>
        </w:tc>
        <w:tc>
          <w:tcPr>
            <w:tcW w:w="720" w:type="dxa"/>
            <w:vAlign w:val="bottom"/>
          </w:tcPr>
          <w:p w14:paraId="6C0F5C3C">
            <w:pPr>
              <w:jc w:val="both"/>
              <w:rPr>
                <w:rFonts w:ascii="Arial" w:hAnsi="Arial" w:cs="Arial"/>
                <w:bCs/>
                <w:sz w:val="16"/>
                <w:szCs w:val="16"/>
              </w:rPr>
            </w:pPr>
            <w:r>
              <w:rPr>
                <w:rFonts w:ascii="Arial" w:hAnsi="Arial" w:cs="Arial"/>
                <w:bCs/>
                <w:sz w:val="16"/>
                <w:szCs w:val="16"/>
              </w:rPr>
              <w:t>9.94</w:t>
            </w:r>
            <w:r>
              <w:rPr>
                <w:rFonts w:ascii="Arial" w:hAnsi="Arial" w:cs="Arial"/>
                <w:bCs/>
                <w:sz w:val="16"/>
                <w:szCs w:val="16"/>
                <w:vertAlign w:val="superscript"/>
              </w:rPr>
              <w:t>b</w:t>
            </w:r>
          </w:p>
        </w:tc>
        <w:tc>
          <w:tcPr>
            <w:tcW w:w="720" w:type="dxa"/>
            <w:vAlign w:val="bottom"/>
          </w:tcPr>
          <w:p w14:paraId="24525638">
            <w:pPr>
              <w:jc w:val="both"/>
              <w:rPr>
                <w:rFonts w:ascii="Arial" w:hAnsi="Arial" w:cs="Arial"/>
                <w:bCs/>
                <w:sz w:val="16"/>
                <w:szCs w:val="16"/>
              </w:rPr>
            </w:pPr>
            <w:r>
              <w:rPr>
                <w:rFonts w:ascii="Arial" w:hAnsi="Arial" w:cs="Arial"/>
                <w:bCs/>
                <w:sz w:val="16"/>
                <w:szCs w:val="16"/>
              </w:rPr>
              <w:t>11.69</w:t>
            </w:r>
            <w:r>
              <w:rPr>
                <w:rFonts w:ascii="Arial" w:hAnsi="Arial" w:cs="Arial"/>
                <w:bCs/>
                <w:sz w:val="16"/>
                <w:szCs w:val="16"/>
                <w:vertAlign w:val="superscript"/>
              </w:rPr>
              <w:t>a</w:t>
            </w:r>
          </w:p>
        </w:tc>
        <w:tc>
          <w:tcPr>
            <w:tcW w:w="720" w:type="dxa"/>
            <w:vAlign w:val="bottom"/>
          </w:tcPr>
          <w:p w14:paraId="05C275E5">
            <w:pPr>
              <w:jc w:val="both"/>
              <w:rPr>
                <w:rFonts w:ascii="Arial" w:hAnsi="Arial" w:cs="Arial"/>
                <w:bCs/>
                <w:sz w:val="16"/>
                <w:szCs w:val="16"/>
              </w:rPr>
            </w:pPr>
            <w:r>
              <w:rPr>
                <w:rFonts w:ascii="Arial" w:hAnsi="Arial" w:cs="Arial"/>
                <w:bCs/>
                <w:sz w:val="16"/>
                <w:szCs w:val="16"/>
              </w:rPr>
              <w:t>11. 09</w:t>
            </w:r>
            <w:r>
              <w:rPr>
                <w:rFonts w:ascii="Arial" w:hAnsi="Arial" w:cs="Arial"/>
                <w:bCs/>
                <w:sz w:val="16"/>
                <w:szCs w:val="16"/>
                <w:vertAlign w:val="superscript"/>
              </w:rPr>
              <w:t>a</w:t>
            </w:r>
          </w:p>
        </w:tc>
        <w:tc>
          <w:tcPr>
            <w:tcW w:w="630" w:type="dxa"/>
            <w:vAlign w:val="bottom"/>
          </w:tcPr>
          <w:p w14:paraId="1031739D">
            <w:pPr>
              <w:jc w:val="both"/>
              <w:rPr>
                <w:rFonts w:ascii="Arial" w:hAnsi="Arial" w:cs="Arial"/>
                <w:bCs/>
                <w:sz w:val="16"/>
                <w:szCs w:val="16"/>
              </w:rPr>
            </w:pPr>
            <w:r>
              <w:rPr>
                <w:rFonts w:ascii="Arial" w:hAnsi="Arial" w:cs="Arial"/>
                <w:bCs/>
                <w:sz w:val="16"/>
                <w:szCs w:val="16"/>
              </w:rPr>
              <w:t>0.43</w:t>
            </w:r>
          </w:p>
        </w:tc>
        <w:tc>
          <w:tcPr>
            <w:tcW w:w="810" w:type="dxa"/>
            <w:vAlign w:val="bottom"/>
          </w:tcPr>
          <w:p w14:paraId="542D01F6">
            <w:pPr>
              <w:jc w:val="both"/>
              <w:rPr>
                <w:rFonts w:ascii="Arial" w:hAnsi="Arial" w:cs="Arial"/>
                <w:bCs/>
                <w:sz w:val="16"/>
                <w:szCs w:val="16"/>
              </w:rPr>
            </w:pPr>
            <w:r>
              <w:rPr>
                <w:rFonts w:ascii="Arial" w:hAnsi="Arial" w:cs="Arial"/>
                <w:bCs/>
                <w:sz w:val="16"/>
                <w:szCs w:val="16"/>
              </w:rPr>
              <w:t>&lt;0.0371</w:t>
            </w:r>
          </w:p>
        </w:tc>
        <w:tc>
          <w:tcPr>
            <w:tcW w:w="900" w:type="dxa"/>
            <w:vAlign w:val="bottom"/>
          </w:tcPr>
          <w:p w14:paraId="5DB10F7C">
            <w:pPr>
              <w:jc w:val="both"/>
              <w:rPr>
                <w:rFonts w:ascii="Arial" w:hAnsi="Arial" w:cs="Arial"/>
                <w:bCs/>
                <w:sz w:val="16"/>
                <w:szCs w:val="16"/>
              </w:rPr>
            </w:pPr>
            <w:r>
              <w:rPr>
                <w:rFonts w:ascii="Arial" w:hAnsi="Arial" w:cs="Arial"/>
                <w:bCs/>
                <w:sz w:val="16"/>
                <w:szCs w:val="16"/>
              </w:rPr>
              <w:t>0.1078</w:t>
            </w:r>
          </w:p>
        </w:tc>
      </w:tr>
      <w:tr w14:paraId="62B174C2">
        <w:tblPrEx>
          <w:tblCellMar>
            <w:top w:w="0" w:type="dxa"/>
            <w:left w:w="108" w:type="dxa"/>
            <w:bottom w:w="0" w:type="dxa"/>
            <w:right w:w="108" w:type="dxa"/>
          </w:tblCellMar>
        </w:tblPrEx>
        <w:trPr>
          <w:cantSplit/>
          <w:trHeight w:val="360" w:hRule="atLeast"/>
          <w:tblHeader/>
        </w:trPr>
        <w:tc>
          <w:tcPr>
            <w:tcW w:w="1347" w:type="dxa"/>
            <w:shd w:val="clear" w:color="auto" w:fill="auto"/>
            <w:noWrap/>
            <w:vAlign w:val="bottom"/>
          </w:tcPr>
          <w:p w14:paraId="1AFF7C61">
            <w:pPr>
              <w:jc w:val="both"/>
              <w:rPr>
                <w:rFonts w:ascii="Arial" w:hAnsi="Arial" w:cs="Arial"/>
                <w:bCs/>
                <w:sz w:val="16"/>
                <w:szCs w:val="16"/>
              </w:rPr>
            </w:pPr>
            <w:r>
              <w:rPr>
                <w:rFonts w:ascii="Arial" w:hAnsi="Arial" w:cs="Arial"/>
                <w:bCs/>
                <w:sz w:val="16"/>
                <w:szCs w:val="16"/>
              </w:rPr>
              <w:t xml:space="preserve">Four feet </w:t>
            </w:r>
          </w:p>
        </w:tc>
        <w:tc>
          <w:tcPr>
            <w:tcW w:w="720" w:type="dxa"/>
            <w:shd w:val="clear" w:color="auto" w:fill="auto"/>
            <w:noWrap/>
            <w:vAlign w:val="bottom"/>
          </w:tcPr>
          <w:p w14:paraId="56534C03">
            <w:pPr>
              <w:jc w:val="both"/>
              <w:rPr>
                <w:rFonts w:ascii="Arial" w:hAnsi="Arial" w:cs="Arial"/>
                <w:bCs/>
                <w:sz w:val="16"/>
                <w:szCs w:val="16"/>
              </w:rPr>
            </w:pPr>
            <w:r>
              <w:rPr>
                <w:rFonts w:ascii="Arial" w:hAnsi="Arial" w:cs="Arial"/>
                <w:bCs/>
                <w:sz w:val="16"/>
                <w:szCs w:val="16"/>
              </w:rPr>
              <w:t>7.98</w:t>
            </w:r>
            <w:r>
              <w:rPr>
                <w:rFonts w:ascii="Arial" w:hAnsi="Arial" w:cs="Arial"/>
                <w:bCs/>
                <w:sz w:val="16"/>
                <w:szCs w:val="16"/>
                <w:vertAlign w:val="superscript"/>
              </w:rPr>
              <w:t>b</w:t>
            </w:r>
          </w:p>
        </w:tc>
        <w:tc>
          <w:tcPr>
            <w:tcW w:w="810" w:type="dxa"/>
            <w:shd w:val="clear" w:color="auto" w:fill="auto"/>
            <w:noWrap/>
            <w:vAlign w:val="bottom"/>
          </w:tcPr>
          <w:p w14:paraId="5497E076">
            <w:pPr>
              <w:jc w:val="both"/>
              <w:rPr>
                <w:rFonts w:ascii="Arial" w:hAnsi="Arial" w:cs="Arial"/>
                <w:bCs/>
                <w:sz w:val="16"/>
                <w:szCs w:val="16"/>
              </w:rPr>
            </w:pPr>
            <w:r>
              <w:rPr>
                <w:rFonts w:ascii="Arial" w:hAnsi="Arial" w:cs="Arial"/>
                <w:bCs/>
                <w:sz w:val="16"/>
                <w:szCs w:val="16"/>
              </w:rPr>
              <w:t>8.24</w:t>
            </w:r>
            <w:r>
              <w:rPr>
                <w:rFonts w:ascii="Arial" w:hAnsi="Arial" w:cs="Arial"/>
                <w:bCs/>
                <w:sz w:val="16"/>
                <w:szCs w:val="16"/>
                <w:vertAlign w:val="superscript"/>
              </w:rPr>
              <w:t>ab</w:t>
            </w:r>
          </w:p>
        </w:tc>
        <w:tc>
          <w:tcPr>
            <w:tcW w:w="720" w:type="dxa"/>
            <w:shd w:val="clear" w:color="auto" w:fill="auto"/>
            <w:noWrap/>
            <w:vAlign w:val="bottom"/>
          </w:tcPr>
          <w:p w14:paraId="618AF2BF">
            <w:pPr>
              <w:jc w:val="both"/>
              <w:rPr>
                <w:rFonts w:ascii="Arial" w:hAnsi="Arial" w:cs="Arial"/>
                <w:bCs/>
                <w:sz w:val="16"/>
                <w:szCs w:val="16"/>
              </w:rPr>
            </w:pPr>
            <w:r>
              <w:rPr>
                <w:rFonts w:ascii="Arial" w:hAnsi="Arial" w:cs="Arial"/>
                <w:bCs/>
                <w:sz w:val="16"/>
                <w:szCs w:val="16"/>
              </w:rPr>
              <w:t>9.49</w:t>
            </w:r>
            <w:r>
              <w:rPr>
                <w:rFonts w:ascii="Arial" w:hAnsi="Arial" w:cs="Arial"/>
                <w:bCs/>
                <w:sz w:val="16"/>
                <w:szCs w:val="16"/>
                <w:vertAlign w:val="superscript"/>
              </w:rPr>
              <w:t>a</w:t>
            </w:r>
          </w:p>
        </w:tc>
        <w:tc>
          <w:tcPr>
            <w:tcW w:w="630" w:type="dxa"/>
            <w:vAlign w:val="bottom"/>
          </w:tcPr>
          <w:p w14:paraId="2A8F6819">
            <w:pPr>
              <w:jc w:val="both"/>
              <w:rPr>
                <w:rFonts w:ascii="Arial" w:hAnsi="Arial" w:cs="Arial"/>
                <w:bCs/>
                <w:sz w:val="16"/>
                <w:szCs w:val="16"/>
              </w:rPr>
            </w:pPr>
            <w:r>
              <w:rPr>
                <w:rFonts w:ascii="Arial" w:hAnsi="Arial" w:cs="Arial"/>
                <w:bCs/>
                <w:sz w:val="16"/>
                <w:szCs w:val="16"/>
              </w:rPr>
              <w:t>0.39</w:t>
            </w:r>
          </w:p>
        </w:tc>
        <w:tc>
          <w:tcPr>
            <w:tcW w:w="720" w:type="dxa"/>
            <w:vAlign w:val="bottom"/>
          </w:tcPr>
          <w:p w14:paraId="5A995156">
            <w:pPr>
              <w:jc w:val="both"/>
              <w:rPr>
                <w:rFonts w:ascii="Arial" w:hAnsi="Arial" w:cs="Arial"/>
                <w:bCs/>
                <w:sz w:val="16"/>
                <w:szCs w:val="16"/>
              </w:rPr>
            </w:pPr>
            <w:r>
              <w:rPr>
                <w:rFonts w:ascii="Arial" w:hAnsi="Arial" w:cs="Arial"/>
                <w:bCs/>
                <w:sz w:val="16"/>
                <w:szCs w:val="16"/>
              </w:rPr>
              <w:t>0.0314</w:t>
            </w:r>
          </w:p>
        </w:tc>
        <w:tc>
          <w:tcPr>
            <w:tcW w:w="720" w:type="dxa"/>
            <w:vAlign w:val="bottom"/>
          </w:tcPr>
          <w:p w14:paraId="46D22A4E">
            <w:pPr>
              <w:jc w:val="both"/>
              <w:rPr>
                <w:rFonts w:ascii="Arial" w:hAnsi="Arial" w:cs="Arial"/>
                <w:bCs/>
                <w:sz w:val="16"/>
                <w:szCs w:val="16"/>
              </w:rPr>
            </w:pPr>
            <w:r>
              <w:rPr>
                <w:rFonts w:ascii="Arial" w:hAnsi="Arial" w:cs="Arial"/>
                <w:bCs/>
                <w:sz w:val="16"/>
                <w:szCs w:val="16"/>
              </w:rPr>
              <w:t>8.45</w:t>
            </w:r>
          </w:p>
        </w:tc>
        <w:tc>
          <w:tcPr>
            <w:tcW w:w="720" w:type="dxa"/>
            <w:vAlign w:val="bottom"/>
          </w:tcPr>
          <w:p w14:paraId="07ADD8EB">
            <w:pPr>
              <w:jc w:val="both"/>
              <w:rPr>
                <w:rFonts w:ascii="Arial" w:hAnsi="Arial" w:cs="Arial"/>
                <w:bCs/>
                <w:sz w:val="16"/>
                <w:szCs w:val="16"/>
              </w:rPr>
            </w:pPr>
            <w:r>
              <w:rPr>
                <w:rFonts w:ascii="Arial" w:hAnsi="Arial" w:cs="Arial"/>
                <w:bCs/>
                <w:sz w:val="16"/>
                <w:szCs w:val="16"/>
              </w:rPr>
              <w:t>8.97</w:t>
            </w:r>
          </w:p>
        </w:tc>
        <w:tc>
          <w:tcPr>
            <w:tcW w:w="720" w:type="dxa"/>
            <w:vAlign w:val="bottom"/>
          </w:tcPr>
          <w:p w14:paraId="33675609">
            <w:pPr>
              <w:jc w:val="both"/>
              <w:rPr>
                <w:rFonts w:ascii="Arial" w:hAnsi="Arial" w:cs="Arial"/>
                <w:bCs/>
                <w:sz w:val="16"/>
                <w:szCs w:val="16"/>
              </w:rPr>
            </w:pPr>
            <w:r>
              <w:rPr>
                <w:rFonts w:ascii="Arial" w:hAnsi="Arial" w:cs="Arial"/>
                <w:bCs/>
                <w:sz w:val="16"/>
                <w:szCs w:val="16"/>
              </w:rPr>
              <w:t>8.29</w:t>
            </w:r>
          </w:p>
        </w:tc>
        <w:tc>
          <w:tcPr>
            <w:tcW w:w="630" w:type="dxa"/>
            <w:vAlign w:val="bottom"/>
          </w:tcPr>
          <w:p w14:paraId="1E5C669F">
            <w:pPr>
              <w:jc w:val="both"/>
              <w:rPr>
                <w:rFonts w:ascii="Arial" w:hAnsi="Arial" w:cs="Arial"/>
                <w:bCs/>
                <w:sz w:val="16"/>
                <w:szCs w:val="16"/>
              </w:rPr>
            </w:pPr>
            <w:r>
              <w:rPr>
                <w:rFonts w:ascii="Arial" w:hAnsi="Arial" w:cs="Arial"/>
                <w:bCs/>
                <w:sz w:val="16"/>
                <w:szCs w:val="16"/>
              </w:rPr>
              <w:t>0.38</w:t>
            </w:r>
          </w:p>
        </w:tc>
        <w:tc>
          <w:tcPr>
            <w:tcW w:w="810" w:type="dxa"/>
            <w:vAlign w:val="bottom"/>
          </w:tcPr>
          <w:p w14:paraId="59D9A2F3">
            <w:pPr>
              <w:jc w:val="both"/>
              <w:rPr>
                <w:rFonts w:ascii="Arial" w:hAnsi="Arial" w:cs="Arial"/>
                <w:bCs/>
                <w:sz w:val="16"/>
                <w:szCs w:val="16"/>
              </w:rPr>
            </w:pPr>
            <w:r>
              <w:rPr>
                <w:rFonts w:ascii="Arial" w:hAnsi="Arial" w:cs="Arial"/>
                <w:bCs/>
                <w:sz w:val="16"/>
                <w:szCs w:val="16"/>
              </w:rPr>
              <w:t>0.3837</w:t>
            </w:r>
          </w:p>
        </w:tc>
        <w:tc>
          <w:tcPr>
            <w:tcW w:w="900" w:type="dxa"/>
            <w:vAlign w:val="bottom"/>
          </w:tcPr>
          <w:p w14:paraId="0D4D1F2B">
            <w:pPr>
              <w:jc w:val="both"/>
              <w:rPr>
                <w:rFonts w:ascii="Arial" w:hAnsi="Arial" w:cs="Arial"/>
                <w:bCs/>
                <w:sz w:val="16"/>
                <w:szCs w:val="16"/>
              </w:rPr>
            </w:pPr>
            <w:r>
              <w:rPr>
                <w:rFonts w:ascii="Arial" w:hAnsi="Arial" w:cs="Arial"/>
                <w:bCs/>
                <w:sz w:val="16"/>
                <w:szCs w:val="16"/>
              </w:rPr>
              <w:t>0.2701</w:t>
            </w:r>
          </w:p>
        </w:tc>
      </w:tr>
      <w:tr w14:paraId="455D5144">
        <w:tblPrEx>
          <w:tblCellMar>
            <w:top w:w="0" w:type="dxa"/>
            <w:left w:w="108" w:type="dxa"/>
            <w:bottom w:w="0" w:type="dxa"/>
            <w:right w:w="108" w:type="dxa"/>
          </w:tblCellMar>
        </w:tblPrEx>
        <w:trPr>
          <w:cantSplit/>
          <w:trHeight w:val="360" w:hRule="atLeast"/>
          <w:tblHeader/>
        </w:trPr>
        <w:tc>
          <w:tcPr>
            <w:tcW w:w="1347" w:type="dxa"/>
            <w:shd w:val="clear" w:color="auto" w:fill="auto"/>
            <w:noWrap/>
            <w:vAlign w:val="bottom"/>
          </w:tcPr>
          <w:p w14:paraId="4CD922E6">
            <w:pPr>
              <w:jc w:val="both"/>
              <w:rPr>
                <w:rFonts w:ascii="Arial" w:hAnsi="Arial" w:cs="Arial"/>
                <w:bCs/>
                <w:sz w:val="16"/>
                <w:szCs w:val="16"/>
              </w:rPr>
            </w:pPr>
            <w:r>
              <w:rPr>
                <w:rFonts w:ascii="Arial" w:hAnsi="Arial" w:cs="Arial"/>
                <w:bCs/>
                <w:sz w:val="16"/>
                <w:szCs w:val="16"/>
              </w:rPr>
              <w:t xml:space="preserve">Tail </w:t>
            </w:r>
          </w:p>
        </w:tc>
        <w:tc>
          <w:tcPr>
            <w:tcW w:w="720" w:type="dxa"/>
            <w:shd w:val="clear" w:color="auto" w:fill="auto"/>
            <w:noWrap/>
            <w:vAlign w:val="bottom"/>
          </w:tcPr>
          <w:p w14:paraId="411CA506">
            <w:pPr>
              <w:jc w:val="both"/>
              <w:rPr>
                <w:rFonts w:ascii="Arial" w:hAnsi="Arial" w:cs="Arial"/>
                <w:bCs/>
                <w:sz w:val="16"/>
                <w:szCs w:val="16"/>
              </w:rPr>
            </w:pPr>
            <w:r>
              <w:rPr>
                <w:rFonts w:ascii="Arial" w:hAnsi="Arial" w:cs="Arial"/>
                <w:bCs/>
                <w:sz w:val="16"/>
                <w:szCs w:val="16"/>
              </w:rPr>
              <w:t>0.81</w:t>
            </w:r>
          </w:p>
        </w:tc>
        <w:tc>
          <w:tcPr>
            <w:tcW w:w="810" w:type="dxa"/>
            <w:shd w:val="clear" w:color="auto" w:fill="auto"/>
            <w:noWrap/>
            <w:vAlign w:val="bottom"/>
          </w:tcPr>
          <w:p w14:paraId="02F3BE5C">
            <w:pPr>
              <w:jc w:val="both"/>
              <w:rPr>
                <w:rFonts w:ascii="Arial" w:hAnsi="Arial" w:cs="Arial"/>
                <w:bCs/>
                <w:sz w:val="16"/>
                <w:szCs w:val="16"/>
              </w:rPr>
            </w:pPr>
            <w:r>
              <w:rPr>
                <w:rFonts w:ascii="Arial" w:hAnsi="Arial" w:cs="Arial"/>
                <w:bCs/>
                <w:sz w:val="16"/>
                <w:szCs w:val="16"/>
              </w:rPr>
              <w:t>0.89</w:t>
            </w:r>
          </w:p>
        </w:tc>
        <w:tc>
          <w:tcPr>
            <w:tcW w:w="720" w:type="dxa"/>
            <w:shd w:val="clear" w:color="auto" w:fill="auto"/>
            <w:noWrap/>
            <w:vAlign w:val="bottom"/>
          </w:tcPr>
          <w:p w14:paraId="5BDA8778">
            <w:pPr>
              <w:jc w:val="both"/>
              <w:rPr>
                <w:rFonts w:ascii="Arial" w:hAnsi="Arial" w:cs="Arial"/>
                <w:bCs/>
                <w:sz w:val="16"/>
                <w:szCs w:val="16"/>
              </w:rPr>
            </w:pPr>
            <w:r>
              <w:rPr>
                <w:rFonts w:ascii="Arial" w:hAnsi="Arial" w:cs="Arial"/>
                <w:bCs/>
                <w:sz w:val="16"/>
                <w:szCs w:val="16"/>
              </w:rPr>
              <w:t>1.03</w:t>
            </w:r>
          </w:p>
        </w:tc>
        <w:tc>
          <w:tcPr>
            <w:tcW w:w="630" w:type="dxa"/>
            <w:vAlign w:val="bottom"/>
          </w:tcPr>
          <w:p w14:paraId="698BDB56">
            <w:pPr>
              <w:jc w:val="both"/>
              <w:rPr>
                <w:rFonts w:ascii="Arial" w:hAnsi="Arial" w:cs="Arial"/>
                <w:bCs/>
                <w:sz w:val="16"/>
                <w:szCs w:val="16"/>
              </w:rPr>
            </w:pPr>
            <w:r>
              <w:rPr>
                <w:rFonts w:ascii="Arial" w:hAnsi="Arial" w:cs="Arial"/>
                <w:bCs/>
                <w:sz w:val="16"/>
                <w:szCs w:val="16"/>
              </w:rPr>
              <w:t>0.07</w:t>
            </w:r>
          </w:p>
        </w:tc>
        <w:tc>
          <w:tcPr>
            <w:tcW w:w="720" w:type="dxa"/>
            <w:vAlign w:val="bottom"/>
          </w:tcPr>
          <w:p w14:paraId="356A73CB">
            <w:pPr>
              <w:jc w:val="both"/>
              <w:rPr>
                <w:rFonts w:ascii="Arial" w:hAnsi="Arial" w:cs="Arial"/>
                <w:bCs/>
                <w:sz w:val="16"/>
                <w:szCs w:val="16"/>
              </w:rPr>
            </w:pPr>
            <w:r>
              <w:rPr>
                <w:rFonts w:ascii="Arial" w:hAnsi="Arial" w:cs="Arial"/>
                <w:bCs/>
                <w:sz w:val="16"/>
                <w:szCs w:val="16"/>
              </w:rPr>
              <w:t>0.0902</w:t>
            </w:r>
          </w:p>
        </w:tc>
        <w:tc>
          <w:tcPr>
            <w:tcW w:w="720" w:type="dxa"/>
            <w:vAlign w:val="bottom"/>
          </w:tcPr>
          <w:p w14:paraId="4FE90EC2">
            <w:pPr>
              <w:jc w:val="both"/>
              <w:rPr>
                <w:rFonts w:ascii="Arial" w:hAnsi="Arial" w:cs="Arial"/>
                <w:bCs/>
                <w:sz w:val="16"/>
                <w:szCs w:val="16"/>
              </w:rPr>
            </w:pPr>
            <w:r>
              <w:rPr>
                <w:rFonts w:ascii="Arial" w:hAnsi="Arial" w:cs="Arial"/>
                <w:bCs/>
                <w:sz w:val="16"/>
                <w:szCs w:val="16"/>
              </w:rPr>
              <w:t>0.87</w:t>
            </w:r>
          </w:p>
        </w:tc>
        <w:tc>
          <w:tcPr>
            <w:tcW w:w="720" w:type="dxa"/>
            <w:vAlign w:val="bottom"/>
          </w:tcPr>
          <w:p w14:paraId="3AE8046A">
            <w:pPr>
              <w:jc w:val="both"/>
              <w:rPr>
                <w:rFonts w:ascii="Arial" w:hAnsi="Arial" w:cs="Arial"/>
                <w:bCs/>
                <w:sz w:val="16"/>
                <w:szCs w:val="16"/>
              </w:rPr>
            </w:pPr>
            <w:r>
              <w:rPr>
                <w:rFonts w:ascii="Arial" w:hAnsi="Arial" w:cs="Arial"/>
                <w:bCs/>
                <w:sz w:val="16"/>
                <w:szCs w:val="16"/>
              </w:rPr>
              <w:t>1.04</w:t>
            </w:r>
          </w:p>
        </w:tc>
        <w:tc>
          <w:tcPr>
            <w:tcW w:w="720" w:type="dxa"/>
            <w:vAlign w:val="bottom"/>
          </w:tcPr>
          <w:p w14:paraId="71FE2B79">
            <w:pPr>
              <w:jc w:val="both"/>
              <w:rPr>
                <w:rFonts w:ascii="Arial" w:hAnsi="Arial" w:cs="Arial"/>
                <w:bCs/>
                <w:sz w:val="16"/>
                <w:szCs w:val="16"/>
              </w:rPr>
            </w:pPr>
            <w:r>
              <w:rPr>
                <w:rFonts w:ascii="Arial" w:hAnsi="Arial" w:cs="Arial"/>
                <w:bCs/>
                <w:sz w:val="16"/>
                <w:szCs w:val="16"/>
              </w:rPr>
              <w:t>0.82</w:t>
            </w:r>
          </w:p>
        </w:tc>
        <w:tc>
          <w:tcPr>
            <w:tcW w:w="630" w:type="dxa"/>
            <w:vAlign w:val="bottom"/>
          </w:tcPr>
          <w:p w14:paraId="3ED6C069">
            <w:pPr>
              <w:jc w:val="both"/>
              <w:rPr>
                <w:rFonts w:ascii="Arial" w:hAnsi="Arial" w:cs="Arial"/>
                <w:bCs/>
                <w:sz w:val="16"/>
                <w:szCs w:val="16"/>
              </w:rPr>
            </w:pPr>
            <w:r>
              <w:rPr>
                <w:rFonts w:ascii="Arial" w:hAnsi="Arial" w:cs="Arial"/>
                <w:bCs/>
                <w:sz w:val="16"/>
                <w:szCs w:val="16"/>
              </w:rPr>
              <w:t>0.07</w:t>
            </w:r>
          </w:p>
        </w:tc>
        <w:tc>
          <w:tcPr>
            <w:tcW w:w="810" w:type="dxa"/>
            <w:vAlign w:val="bottom"/>
          </w:tcPr>
          <w:p w14:paraId="4FA054EF">
            <w:pPr>
              <w:jc w:val="both"/>
              <w:rPr>
                <w:rFonts w:ascii="Arial" w:hAnsi="Arial" w:cs="Arial"/>
                <w:bCs/>
                <w:sz w:val="16"/>
                <w:szCs w:val="16"/>
              </w:rPr>
            </w:pPr>
            <w:r>
              <w:rPr>
                <w:rFonts w:ascii="Arial" w:hAnsi="Arial" w:cs="Arial"/>
                <w:bCs/>
                <w:sz w:val="16"/>
                <w:szCs w:val="16"/>
              </w:rPr>
              <w:t>0.0858</w:t>
            </w:r>
          </w:p>
        </w:tc>
        <w:tc>
          <w:tcPr>
            <w:tcW w:w="900" w:type="dxa"/>
            <w:vAlign w:val="bottom"/>
          </w:tcPr>
          <w:p w14:paraId="54E73807">
            <w:pPr>
              <w:jc w:val="both"/>
              <w:rPr>
                <w:rFonts w:ascii="Arial" w:hAnsi="Arial" w:cs="Arial"/>
                <w:bCs/>
                <w:sz w:val="16"/>
                <w:szCs w:val="16"/>
              </w:rPr>
            </w:pPr>
            <w:r>
              <w:rPr>
                <w:rFonts w:ascii="Arial" w:hAnsi="Arial" w:cs="Arial"/>
                <w:bCs/>
                <w:sz w:val="16"/>
                <w:szCs w:val="16"/>
              </w:rPr>
              <w:t>0.8207</w:t>
            </w:r>
          </w:p>
        </w:tc>
      </w:tr>
      <w:tr w14:paraId="52E06831">
        <w:tblPrEx>
          <w:tblCellMar>
            <w:top w:w="0" w:type="dxa"/>
            <w:left w:w="108" w:type="dxa"/>
            <w:bottom w:w="0" w:type="dxa"/>
            <w:right w:w="108" w:type="dxa"/>
          </w:tblCellMar>
        </w:tblPrEx>
        <w:trPr>
          <w:cantSplit/>
          <w:trHeight w:val="360" w:hRule="atLeast"/>
          <w:tblHeader/>
        </w:trPr>
        <w:tc>
          <w:tcPr>
            <w:tcW w:w="1347" w:type="dxa"/>
            <w:shd w:val="clear" w:color="auto" w:fill="auto"/>
            <w:noWrap/>
            <w:vAlign w:val="bottom"/>
          </w:tcPr>
          <w:p w14:paraId="280366AF">
            <w:pPr>
              <w:jc w:val="both"/>
              <w:rPr>
                <w:rFonts w:ascii="Arial" w:hAnsi="Arial" w:cs="Arial"/>
                <w:bCs/>
                <w:sz w:val="16"/>
                <w:szCs w:val="16"/>
              </w:rPr>
            </w:pPr>
            <w:r>
              <w:rPr>
                <w:rFonts w:ascii="Arial" w:hAnsi="Arial" w:cs="Arial"/>
                <w:bCs/>
                <w:sz w:val="16"/>
                <w:szCs w:val="16"/>
              </w:rPr>
              <w:t xml:space="preserve">GIT full </w:t>
            </w:r>
          </w:p>
        </w:tc>
        <w:tc>
          <w:tcPr>
            <w:tcW w:w="720" w:type="dxa"/>
            <w:shd w:val="clear" w:color="auto" w:fill="auto"/>
            <w:noWrap/>
            <w:vAlign w:val="bottom"/>
          </w:tcPr>
          <w:p w14:paraId="25871E45">
            <w:pPr>
              <w:jc w:val="both"/>
              <w:rPr>
                <w:rFonts w:ascii="Arial" w:hAnsi="Arial" w:cs="Arial"/>
                <w:bCs/>
                <w:sz w:val="16"/>
                <w:szCs w:val="16"/>
              </w:rPr>
            </w:pPr>
            <w:r>
              <w:rPr>
                <w:rFonts w:ascii="Arial" w:hAnsi="Arial" w:cs="Arial"/>
                <w:bCs/>
                <w:sz w:val="16"/>
                <w:szCs w:val="16"/>
              </w:rPr>
              <w:t>51.03</w:t>
            </w:r>
            <w:r>
              <w:rPr>
                <w:rFonts w:ascii="Arial" w:hAnsi="Arial" w:cs="Arial"/>
                <w:bCs/>
                <w:sz w:val="16"/>
                <w:szCs w:val="16"/>
                <w:vertAlign w:val="superscript"/>
              </w:rPr>
              <w:t>b</w:t>
            </w:r>
          </w:p>
        </w:tc>
        <w:tc>
          <w:tcPr>
            <w:tcW w:w="810" w:type="dxa"/>
            <w:shd w:val="clear" w:color="auto" w:fill="auto"/>
            <w:noWrap/>
            <w:vAlign w:val="bottom"/>
          </w:tcPr>
          <w:p w14:paraId="4BA0F69C">
            <w:pPr>
              <w:jc w:val="both"/>
              <w:rPr>
                <w:rFonts w:ascii="Arial" w:hAnsi="Arial" w:cs="Arial"/>
                <w:bCs/>
                <w:sz w:val="16"/>
                <w:szCs w:val="16"/>
              </w:rPr>
            </w:pPr>
            <w:r>
              <w:rPr>
                <w:rFonts w:ascii="Arial" w:hAnsi="Arial" w:cs="Arial"/>
                <w:bCs/>
                <w:sz w:val="16"/>
                <w:szCs w:val="16"/>
              </w:rPr>
              <w:t>55.51</w:t>
            </w:r>
            <w:r>
              <w:rPr>
                <w:rFonts w:ascii="Arial" w:hAnsi="Arial" w:cs="Arial"/>
                <w:bCs/>
                <w:sz w:val="16"/>
                <w:szCs w:val="16"/>
                <w:vertAlign w:val="superscript"/>
              </w:rPr>
              <w:t>ab</w:t>
            </w:r>
          </w:p>
        </w:tc>
        <w:tc>
          <w:tcPr>
            <w:tcW w:w="720" w:type="dxa"/>
            <w:shd w:val="clear" w:color="auto" w:fill="auto"/>
            <w:noWrap/>
            <w:vAlign w:val="bottom"/>
          </w:tcPr>
          <w:p w14:paraId="7921ABB0">
            <w:pPr>
              <w:jc w:val="both"/>
              <w:rPr>
                <w:rFonts w:ascii="Arial" w:hAnsi="Arial" w:cs="Arial"/>
                <w:bCs/>
                <w:sz w:val="16"/>
                <w:szCs w:val="16"/>
              </w:rPr>
            </w:pPr>
            <w:r>
              <w:rPr>
                <w:rFonts w:ascii="Arial" w:hAnsi="Arial" w:cs="Arial"/>
                <w:bCs/>
                <w:sz w:val="16"/>
                <w:szCs w:val="16"/>
              </w:rPr>
              <w:t>61.64</w:t>
            </w:r>
            <w:r>
              <w:rPr>
                <w:rFonts w:ascii="Arial" w:hAnsi="Arial" w:cs="Arial"/>
                <w:bCs/>
                <w:sz w:val="16"/>
                <w:szCs w:val="16"/>
                <w:vertAlign w:val="superscript"/>
              </w:rPr>
              <w:t>a</w:t>
            </w:r>
          </w:p>
        </w:tc>
        <w:tc>
          <w:tcPr>
            <w:tcW w:w="630" w:type="dxa"/>
            <w:vAlign w:val="bottom"/>
          </w:tcPr>
          <w:p w14:paraId="1BC48A28">
            <w:pPr>
              <w:jc w:val="both"/>
              <w:rPr>
                <w:rFonts w:ascii="Arial" w:hAnsi="Arial" w:cs="Arial"/>
                <w:bCs/>
                <w:sz w:val="16"/>
                <w:szCs w:val="16"/>
              </w:rPr>
            </w:pPr>
            <w:r>
              <w:rPr>
                <w:rFonts w:ascii="Arial" w:hAnsi="Arial" w:cs="Arial"/>
                <w:bCs/>
                <w:sz w:val="16"/>
                <w:szCs w:val="16"/>
              </w:rPr>
              <w:t>2.49</w:t>
            </w:r>
          </w:p>
        </w:tc>
        <w:tc>
          <w:tcPr>
            <w:tcW w:w="720" w:type="dxa"/>
            <w:vAlign w:val="bottom"/>
          </w:tcPr>
          <w:p w14:paraId="5DF4E6E3">
            <w:pPr>
              <w:jc w:val="both"/>
              <w:rPr>
                <w:rFonts w:ascii="Arial" w:hAnsi="Arial" w:cs="Arial"/>
                <w:bCs/>
                <w:sz w:val="16"/>
                <w:szCs w:val="16"/>
              </w:rPr>
            </w:pPr>
            <w:r>
              <w:rPr>
                <w:rFonts w:ascii="Arial" w:hAnsi="Arial" w:cs="Arial"/>
                <w:bCs/>
                <w:sz w:val="16"/>
                <w:szCs w:val="16"/>
              </w:rPr>
              <w:t>0.0334</w:t>
            </w:r>
          </w:p>
        </w:tc>
        <w:tc>
          <w:tcPr>
            <w:tcW w:w="720" w:type="dxa"/>
            <w:vAlign w:val="bottom"/>
          </w:tcPr>
          <w:p w14:paraId="174A81D0">
            <w:pPr>
              <w:jc w:val="both"/>
              <w:rPr>
                <w:rFonts w:ascii="Arial" w:hAnsi="Arial" w:cs="Arial"/>
                <w:bCs/>
                <w:sz w:val="16"/>
                <w:szCs w:val="16"/>
              </w:rPr>
            </w:pPr>
            <w:r>
              <w:rPr>
                <w:rFonts w:ascii="Arial" w:hAnsi="Arial" w:cs="Arial"/>
                <w:bCs/>
                <w:sz w:val="16"/>
                <w:szCs w:val="16"/>
              </w:rPr>
              <w:t>54.27</w:t>
            </w:r>
          </w:p>
        </w:tc>
        <w:tc>
          <w:tcPr>
            <w:tcW w:w="720" w:type="dxa"/>
            <w:vAlign w:val="bottom"/>
          </w:tcPr>
          <w:p w14:paraId="2062B8E5">
            <w:pPr>
              <w:jc w:val="both"/>
              <w:rPr>
                <w:rFonts w:ascii="Arial" w:hAnsi="Arial" w:cs="Arial"/>
                <w:bCs/>
                <w:sz w:val="16"/>
                <w:szCs w:val="16"/>
              </w:rPr>
            </w:pPr>
            <w:r>
              <w:rPr>
                <w:rFonts w:ascii="Arial" w:hAnsi="Arial" w:cs="Arial"/>
                <w:bCs/>
                <w:sz w:val="16"/>
                <w:szCs w:val="16"/>
              </w:rPr>
              <w:t>58.64</w:t>
            </w:r>
          </w:p>
        </w:tc>
        <w:tc>
          <w:tcPr>
            <w:tcW w:w="720" w:type="dxa"/>
            <w:vAlign w:val="bottom"/>
          </w:tcPr>
          <w:p w14:paraId="065BE2BD">
            <w:pPr>
              <w:jc w:val="both"/>
              <w:rPr>
                <w:rFonts w:ascii="Arial" w:hAnsi="Arial" w:cs="Arial"/>
                <w:bCs/>
                <w:sz w:val="16"/>
                <w:szCs w:val="16"/>
              </w:rPr>
            </w:pPr>
            <w:r>
              <w:rPr>
                <w:rFonts w:ascii="Arial" w:hAnsi="Arial" w:cs="Arial"/>
                <w:bCs/>
                <w:sz w:val="16"/>
                <w:szCs w:val="16"/>
              </w:rPr>
              <w:t>54.95</w:t>
            </w:r>
          </w:p>
        </w:tc>
        <w:tc>
          <w:tcPr>
            <w:tcW w:w="630" w:type="dxa"/>
            <w:vAlign w:val="bottom"/>
          </w:tcPr>
          <w:p w14:paraId="0E163352">
            <w:pPr>
              <w:jc w:val="both"/>
              <w:rPr>
                <w:rFonts w:ascii="Arial" w:hAnsi="Arial" w:cs="Arial"/>
                <w:bCs/>
                <w:sz w:val="16"/>
                <w:szCs w:val="16"/>
              </w:rPr>
            </w:pPr>
            <w:r>
              <w:rPr>
                <w:rFonts w:ascii="Arial" w:hAnsi="Arial" w:cs="Arial"/>
                <w:bCs/>
                <w:sz w:val="16"/>
                <w:szCs w:val="16"/>
              </w:rPr>
              <w:t>2.42</w:t>
            </w:r>
          </w:p>
        </w:tc>
        <w:tc>
          <w:tcPr>
            <w:tcW w:w="810" w:type="dxa"/>
            <w:vAlign w:val="bottom"/>
          </w:tcPr>
          <w:p w14:paraId="04BB8F49">
            <w:pPr>
              <w:jc w:val="both"/>
              <w:rPr>
                <w:rFonts w:ascii="Arial" w:hAnsi="Arial" w:cs="Arial"/>
                <w:bCs/>
                <w:sz w:val="16"/>
                <w:szCs w:val="16"/>
              </w:rPr>
            </w:pPr>
            <w:r>
              <w:rPr>
                <w:rFonts w:ascii="Arial" w:hAnsi="Arial" w:cs="Arial"/>
                <w:bCs/>
                <w:sz w:val="16"/>
                <w:szCs w:val="16"/>
              </w:rPr>
              <w:t>0.1432</w:t>
            </w:r>
          </w:p>
        </w:tc>
        <w:tc>
          <w:tcPr>
            <w:tcW w:w="900" w:type="dxa"/>
            <w:vAlign w:val="bottom"/>
          </w:tcPr>
          <w:p w14:paraId="2A74835E">
            <w:pPr>
              <w:jc w:val="both"/>
              <w:rPr>
                <w:rFonts w:ascii="Arial" w:hAnsi="Arial" w:cs="Arial"/>
                <w:bCs/>
                <w:sz w:val="16"/>
                <w:szCs w:val="16"/>
              </w:rPr>
            </w:pPr>
            <w:r>
              <w:rPr>
                <w:rFonts w:ascii="Arial" w:hAnsi="Arial" w:cs="Arial"/>
                <w:bCs/>
                <w:sz w:val="16"/>
                <w:szCs w:val="16"/>
              </w:rPr>
              <w:t>0.5393</w:t>
            </w:r>
          </w:p>
        </w:tc>
      </w:tr>
      <w:tr w14:paraId="1BB5DB24">
        <w:tblPrEx>
          <w:tblCellMar>
            <w:top w:w="0" w:type="dxa"/>
            <w:left w:w="108" w:type="dxa"/>
            <w:bottom w:w="0" w:type="dxa"/>
            <w:right w:w="108" w:type="dxa"/>
          </w:tblCellMar>
        </w:tblPrEx>
        <w:trPr>
          <w:cantSplit/>
          <w:trHeight w:val="360" w:hRule="atLeast"/>
          <w:tblHeader/>
        </w:trPr>
        <w:tc>
          <w:tcPr>
            <w:tcW w:w="1347" w:type="dxa"/>
            <w:shd w:val="clear" w:color="auto" w:fill="auto"/>
            <w:noWrap/>
            <w:vAlign w:val="bottom"/>
          </w:tcPr>
          <w:p w14:paraId="0609FEBD">
            <w:pPr>
              <w:jc w:val="both"/>
              <w:rPr>
                <w:rFonts w:ascii="Arial" w:hAnsi="Arial" w:cs="Arial"/>
                <w:bCs/>
                <w:sz w:val="16"/>
                <w:szCs w:val="16"/>
              </w:rPr>
            </w:pPr>
            <w:r>
              <w:rPr>
                <w:rFonts w:ascii="Arial" w:hAnsi="Arial" w:cs="Arial"/>
                <w:bCs/>
                <w:sz w:val="16"/>
                <w:szCs w:val="16"/>
              </w:rPr>
              <w:t>GIT empty</w:t>
            </w:r>
          </w:p>
        </w:tc>
        <w:tc>
          <w:tcPr>
            <w:tcW w:w="720" w:type="dxa"/>
            <w:shd w:val="clear" w:color="auto" w:fill="auto"/>
            <w:noWrap/>
            <w:vAlign w:val="bottom"/>
          </w:tcPr>
          <w:p w14:paraId="487E5175">
            <w:pPr>
              <w:jc w:val="both"/>
              <w:rPr>
                <w:rFonts w:ascii="Arial" w:hAnsi="Arial" w:cs="Arial"/>
                <w:bCs/>
                <w:sz w:val="16"/>
                <w:szCs w:val="16"/>
              </w:rPr>
            </w:pPr>
            <w:r>
              <w:rPr>
                <w:rFonts w:ascii="Arial" w:hAnsi="Arial" w:cs="Arial"/>
                <w:bCs/>
                <w:sz w:val="16"/>
                <w:szCs w:val="16"/>
              </w:rPr>
              <w:t>16.69</w:t>
            </w:r>
            <w:r>
              <w:rPr>
                <w:rFonts w:ascii="Arial" w:hAnsi="Arial" w:cs="Arial"/>
                <w:bCs/>
                <w:sz w:val="16"/>
                <w:szCs w:val="16"/>
                <w:vertAlign w:val="superscript"/>
              </w:rPr>
              <w:t>c</w:t>
            </w:r>
          </w:p>
        </w:tc>
        <w:tc>
          <w:tcPr>
            <w:tcW w:w="810" w:type="dxa"/>
            <w:shd w:val="clear" w:color="auto" w:fill="auto"/>
            <w:noWrap/>
            <w:vAlign w:val="bottom"/>
          </w:tcPr>
          <w:p w14:paraId="3107C335">
            <w:pPr>
              <w:jc w:val="both"/>
              <w:rPr>
                <w:rFonts w:ascii="Arial" w:hAnsi="Arial" w:cs="Arial"/>
                <w:bCs/>
                <w:sz w:val="16"/>
                <w:szCs w:val="16"/>
              </w:rPr>
            </w:pPr>
            <w:r>
              <w:rPr>
                <w:rFonts w:ascii="Arial" w:hAnsi="Arial" w:cs="Arial"/>
                <w:bCs/>
                <w:sz w:val="16"/>
                <w:szCs w:val="16"/>
              </w:rPr>
              <w:t>19.31</w:t>
            </w:r>
            <w:r>
              <w:rPr>
                <w:rFonts w:ascii="Arial" w:hAnsi="Arial" w:cs="Arial"/>
                <w:bCs/>
                <w:sz w:val="16"/>
                <w:szCs w:val="16"/>
                <w:vertAlign w:val="superscript"/>
              </w:rPr>
              <w:t>b</w:t>
            </w:r>
          </w:p>
        </w:tc>
        <w:tc>
          <w:tcPr>
            <w:tcW w:w="720" w:type="dxa"/>
            <w:shd w:val="clear" w:color="auto" w:fill="auto"/>
            <w:noWrap/>
            <w:vAlign w:val="bottom"/>
          </w:tcPr>
          <w:p w14:paraId="11D88998">
            <w:pPr>
              <w:jc w:val="both"/>
              <w:rPr>
                <w:rFonts w:ascii="Arial" w:hAnsi="Arial" w:cs="Arial"/>
                <w:bCs/>
                <w:sz w:val="16"/>
                <w:szCs w:val="16"/>
              </w:rPr>
            </w:pPr>
            <w:r>
              <w:rPr>
                <w:rFonts w:ascii="Arial" w:hAnsi="Arial" w:cs="Arial"/>
                <w:bCs/>
                <w:sz w:val="16"/>
                <w:szCs w:val="16"/>
              </w:rPr>
              <w:t>20.78</w:t>
            </w:r>
            <w:r>
              <w:rPr>
                <w:rFonts w:ascii="Arial" w:hAnsi="Arial" w:cs="Arial"/>
                <w:bCs/>
                <w:sz w:val="16"/>
                <w:szCs w:val="16"/>
                <w:vertAlign w:val="superscript"/>
              </w:rPr>
              <w:t>a</w:t>
            </w:r>
          </w:p>
        </w:tc>
        <w:tc>
          <w:tcPr>
            <w:tcW w:w="630" w:type="dxa"/>
            <w:vAlign w:val="bottom"/>
          </w:tcPr>
          <w:p w14:paraId="3B234EAE">
            <w:pPr>
              <w:jc w:val="both"/>
              <w:rPr>
                <w:rFonts w:ascii="Arial" w:hAnsi="Arial" w:cs="Arial"/>
                <w:bCs/>
                <w:sz w:val="16"/>
                <w:szCs w:val="16"/>
              </w:rPr>
            </w:pPr>
            <w:r>
              <w:rPr>
                <w:rFonts w:ascii="Arial" w:hAnsi="Arial" w:cs="Arial"/>
                <w:bCs/>
                <w:sz w:val="16"/>
                <w:szCs w:val="16"/>
              </w:rPr>
              <w:t>0.81</w:t>
            </w:r>
          </w:p>
        </w:tc>
        <w:tc>
          <w:tcPr>
            <w:tcW w:w="720" w:type="dxa"/>
            <w:vAlign w:val="bottom"/>
          </w:tcPr>
          <w:p w14:paraId="548E4778">
            <w:pPr>
              <w:jc w:val="both"/>
              <w:rPr>
                <w:rFonts w:ascii="Arial" w:hAnsi="Arial" w:cs="Arial"/>
                <w:bCs/>
                <w:sz w:val="16"/>
                <w:szCs w:val="16"/>
              </w:rPr>
            </w:pPr>
            <w:r>
              <w:rPr>
                <w:rFonts w:ascii="Arial" w:hAnsi="Arial" w:cs="Arial"/>
                <w:bCs/>
                <w:sz w:val="16"/>
                <w:szCs w:val="16"/>
              </w:rPr>
              <w:t>0.0142</w:t>
            </w:r>
          </w:p>
        </w:tc>
        <w:tc>
          <w:tcPr>
            <w:tcW w:w="720" w:type="dxa"/>
            <w:vAlign w:val="bottom"/>
          </w:tcPr>
          <w:p w14:paraId="7158B3C3">
            <w:pPr>
              <w:jc w:val="both"/>
              <w:rPr>
                <w:rFonts w:ascii="Arial" w:hAnsi="Arial" w:cs="Arial"/>
                <w:bCs/>
                <w:sz w:val="16"/>
                <w:szCs w:val="16"/>
              </w:rPr>
            </w:pPr>
            <w:r>
              <w:rPr>
                <w:rFonts w:ascii="Arial" w:hAnsi="Arial" w:cs="Arial"/>
                <w:bCs/>
                <w:sz w:val="16"/>
                <w:szCs w:val="16"/>
              </w:rPr>
              <w:t>18.33</w:t>
            </w:r>
          </w:p>
        </w:tc>
        <w:tc>
          <w:tcPr>
            <w:tcW w:w="720" w:type="dxa"/>
            <w:vAlign w:val="bottom"/>
          </w:tcPr>
          <w:p w14:paraId="72F532A1">
            <w:pPr>
              <w:jc w:val="both"/>
              <w:rPr>
                <w:rFonts w:ascii="Arial" w:hAnsi="Arial" w:cs="Arial"/>
                <w:bCs/>
                <w:sz w:val="16"/>
                <w:szCs w:val="16"/>
              </w:rPr>
            </w:pPr>
            <w:r>
              <w:rPr>
                <w:rFonts w:ascii="Arial" w:hAnsi="Arial" w:cs="Arial"/>
                <w:bCs/>
                <w:sz w:val="16"/>
                <w:szCs w:val="16"/>
              </w:rPr>
              <w:t>20.24</w:t>
            </w:r>
          </w:p>
        </w:tc>
        <w:tc>
          <w:tcPr>
            <w:tcW w:w="720" w:type="dxa"/>
            <w:vAlign w:val="bottom"/>
          </w:tcPr>
          <w:p w14:paraId="43A42ED1">
            <w:pPr>
              <w:jc w:val="both"/>
              <w:rPr>
                <w:rFonts w:ascii="Arial" w:hAnsi="Arial" w:cs="Arial"/>
                <w:bCs/>
                <w:sz w:val="16"/>
                <w:szCs w:val="16"/>
              </w:rPr>
            </w:pPr>
            <w:r>
              <w:rPr>
                <w:rFonts w:ascii="Arial" w:hAnsi="Arial" w:cs="Arial"/>
                <w:bCs/>
                <w:sz w:val="16"/>
                <w:szCs w:val="16"/>
              </w:rPr>
              <w:t>18.21</w:t>
            </w:r>
          </w:p>
        </w:tc>
        <w:tc>
          <w:tcPr>
            <w:tcW w:w="630" w:type="dxa"/>
            <w:vAlign w:val="bottom"/>
          </w:tcPr>
          <w:p w14:paraId="0CA4EA29">
            <w:pPr>
              <w:jc w:val="both"/>
              <w:rPr>
                <w:rFonts w:ascii="Arial" w:hAnsi="Arial" w:cs="Arial"/>
                <w:bCs/>
                <w:sz w:val="16"/>
                <w:szCs w:val="16"/>
              </w:rPr>
            </w:pPr>
            <w:r>
              <w:rPr>
                <w:rFonts w:ascii="Arial" w:hAnsi="Arial" w:cs="Arial"/>
                <w:bCs/>
                <w:sz w:val="16"/>
                <w:szCs w:val="16"/>
              </w:rPr>
              <w:t>0.78</w:t>
            </w:r>
          </w:p>
        </w:tc>
        <w:tc>
          <w:tcPr>
            <w:tcW w:w="810" w:type="dxa"/>
            <w:vAlign w:val="bottom"/>
          </w:tcPr>
          <w:p w14:paraId="2DB7DF64">
            <w:pPr>
              <w:jc w:val="both"/>
              <w:rPr>
                <w:rFonts w:ascii="Arial" w:hAnsi="Arial" w:cs="Arial"/>
                <w:bCs/>
                <w:sz w:val="16"/>
                <w:szCs w:val="16"/>
              </w:rPr>
            </w:pPr>
            <w:r>
              <w:rPr>
                <w:rFonts w:ascii="Arial" w:hAnsi="Arial" w:cs="Arial"/>
                <w:bCs/>
                <w:sz w:val="16"/>
                <w:szCs w:val="16"/>
              </w:rPr>
              <w:t>0.1432</w:t>
            </w:r>
          </w:p>
        </w:tc>
        <w:tc>
          <w:tcPr>
            <w:tcW w:w="900" w:type="dxa"/>
            <w:vAlign w:val="bottom"/>
          </w:tcPr>
          <w:p w14:paraId="0201D786">
            <w:pPr>
              <w:jc w:val="both"/>
              <w:rPr>
                <w:rFonts w:ascii="Arial" w:hAnsi="Arial" w:cs="Arial"/>
                <w:bCs/>
                <w:sz w:val="16"/>
                <w:szCs w:val="16"/>
              </w:rPr>
            </w:pPr>
            <w:r>
              <w:rPr>
                <w:rFonts w:ascii="Arial" w:hAnsi="Arial" w:cs="Arial"/>
                <w:bCs/>
                <w:sz w:val="16"/>
                <w:szCs w:val="16"/>
              </w:rPr>
              <w:t>0.0136</w:t>
            </w:r>
          </w:p>
        </w:tc>
      </w:tr>
      <w:tr w14:paraId="0E768B9C">
        <w:tblPrEx>
          <w:tblCellMar>
            <w:top w:w="0" w:type="dxa"/>
            <w:left w:w="108" w:type="dxa"/>
            <w:bottom w:w="0" w:type="dxa"/>
            <w:right w:w="108" w:type="dxa"/>
          </w:tblCellMar>
        </w:tblPrEx>
        <w:trPr>
          <w:cantSplit/>
          <w:trHeight w:val="360" w:hRule="atLeast"/>
          <w:tblHeader/>
        </w:trPr>
        <w:tc>
          <w:tcPr>
            <w:tcW w:w="1347" w:type="dxa"/>
            <w:tcBorders>
              <w:bottom w:val="single" w:color="auto" w:sz="4" w:space="0"/>
            </w:tcBorders>
            <w:shd w:val="clear" w:color="auto" w:fill="auto"/>
            <w:noWrap/>
            <w:vAlign w:val="bottom"/>
          </w:tcPr>
          <w:p w14:paraId="2AA4B50C">
            <w:pPr>
              <w:jc w:val="both"/>
              <w:rPr>
                <w:rFonts w:ascii="Arial" w:hAnsi="Arial" w:cs="Arial"/>
                <w:bCs/>
                <w:sz w:val="16"/>
                <w:szCs w:val="16"/>
              </w:rPr>
            </w:pPr>
            <w:r>
              <w:rPr>
                <w:rFonts w:ascii="Arial" w:hAnsi="Arial" w:cs="Arial"/>
                <w:bCs/>
                <w:sz w:val="16"/>
                <w:szCs w:val="16"/>
              </w:rPr>
              <w:t xml:space="preserve">GIT content </w:t>
            </w:r>
          </w:p>
        </w:tc>
        <w:tc>
          <w:tcPr>
            <w:tcW w:w="720" w:type="dxa"/>
            <w:tcBorders>
              <w:bottom w:val="single" w:color="auto" w:sz="4" w:space="0"/>
            </w:tcBorders>
            <w:shd w:val="clear" w:color="auto" w:fill="auto"/>
            <w:noWrap/>
            <w:vAlign w:val="bottom"/>
          </w:tcPr>
          <w:p w14:paraId="0BC243FC">
            <w:pPr>
              <w:jc w:val="both"/>
              <w:rPr>
                <w:rFonts w:ascii="Arial" w:hAnsi="Arial" w:cs="Arial"/>
                <w:bCs/>
                <w:sz w:val="16"/>
                <w:szCs w:val="16"/>
              </w:rPr>
            </w:pPr>
            <w:r>
              <w:rPr>
                <w:rFonts w:ascii="Arial" w:hAnsi="Arial" w:cs="Arial"/>
                <w:bCs/>
                <w:sz w:val="16"/>
                <w:szCs w:val="16"/>
              </w:rPr>
              <w:t>34.34</w:t>
            </w:r>
          </w:p>
        </w:tc>
        <w:tc>
          <w:tcPr>
            <w:tcW w:w="810" w:type="dxa"/>
            <w:tcBorders>
              <w:bottom w:val="single" w:color="auto" w:sz="4" w:space="0"/>
            </w:tcBorders>
            <w:shd w:val="clear" w:color="auto" w:fill="auto"/>
            <w:noWrap/>
            <w:vAlign w:val="bottom"/>
          </w:tcPr>
          <w:p w14:paraId="36B6DDFC">
            <w:pPr>
              <w:jc w:val="both"/>
              <w:rPr>
                <w:rFonts w:ascii="Arial" w:hAnsi="Arial" w:cs="Arial"/>
                <w:bCs/>
                <w:sz w:val="16"/>
                <w:szCs w:val="16"/>
              </w:rPr>
            </w:pPr>
            <w:r>
              <w:rPr>
                <w:rFonts w:ascii="Arial" w:hAnsi="Arial" w:cs="Arial"/>
                <w:bCs/>
                <w:sz w:val="16"/>
                <w:szCs w:val="16"/>
              </w:rPr>
              <w:t>36.20</w:t>
            </w:r>
          </w:p>
        </w:tc>
        <w:tc>
          <w:tcPr>
            <w:tcW w:w="720" w:type="dxa"/>
            <w:tcBorders>
              <w:bottom w:val="single" w:color="auto" w:sz="4" w:space="0"/>
            </w:tcBorders>
            <w:shd w:val="clear" w:color="auto" w:fill="auto"/>
            <w:noWrap/>
            <w:vAlign w:val="bottom"/>
          </w:tcPr>
          <w:p w14:paraId="206ED24F">
            <w:pPr>
              <w:jc w:val="both"/>
              <w:rPr>
                <w:rFonts w:ascii="Arial" w:hAnsi="Arial" w:cs="Arial"/>
                <w:bCs/>
                <w:sz w:val="16"/>
                <w:szCs w:val="16"/>
              </w:rPr>
            </w:pPr>
            <w:r>
              <w:rPr>
                <w:rFonts w:ascii="Arial" w:hAnsi="Arial" w:cs="Arial"/>
                <w:bCs/>
                <w:sz w:val="16"/>
                <w:szCs w:val="16"/>
              </w:rPr>
              <w:t>40.54</w:t>
            </w:r>
          </w:p>
        </w:tc>
        <w:tc>
          <w:tcPr>
            <w:tcW w:w="630" w:type="dxa"/>
            <w:tcBorders>
              <w:bottom w:val="single" w:color="auto" w:sz="4" w:space="0"/>
            </w:tcBorders>
            <w:vAlign w:val="bottom"/>
          </w:tcPr>
          <w:p w14:paraId="5686D84C">
            <w:pPr>
              <w:jc w:val="both"/>
              <w:rPr>
                <w:rFonts w:ascii="Arial" w:hAnsi="Arial" w:cs="Arial"/>
                <w:bCs/>
                <w:sz w:val="16"/>
                <w:szCs w:val="16"/>
              </w:rPr>
            </w:pPr>
            <w:r>
              <w:rPr>
                <w:rFonts w:ascii="Arial" w:hAnsi="Arial" w:cs="Arial"/>
                <w:bCs/>
                <w:sz w:val="16"/>
                <w:szCs w:val="16"/>
              </w:rPr>
              <w:t>2.03</w:t>
            </w:r>
          </w:p>
        </w:tc>
        <w:tc>
          <w:tcPr>
            <w:tcW w:w="720" w:type="dxa"/>
            <w:tcBorders>
              <w:bottom w:val="single" w:color="auto" w:sz="4" w:space="0"/>
            </w:tcBorders>
            <w:vAlign w:val="bottom"/>
          </w:tcPr>
          <w:p w14:paraId="0E24ACE9">
            <w:pPr>
              <w:jc w:val="both"/>
              <w:rPr>
                <w:rFonts w:ascii="Arial" w:hAnsi="Arial" w:cs="Arial"/>
                <w:bCs/>
                <w:sz w:val="16"/>
                <w:szCs w:val="16"/>
              </w:rPr>
            </w:pPr>
            <w:r>
              <w:rPr>
                <w:rFonts w:ascii="Arial" w:hAnsi="Arial" w:cs="Arial"/>
                <w:bCs/>
                <w:sz w:val="16"/>
                <w:szCs w:val="16"/>
              </w:rPr>
              <w:t>0.0975</w:t>
            </w:r>
          </w:p>
        </w:tc>
        <w:tc>
          <w:tcPr>
            <w:tcW w:w="720" w:type="dxa"/>
            <w:tcBorders>
              <w:bottom w:val="single" w:color="auto" w:sz="4" w:space="0"/>
            </w:tcBorders>
            <w:vAlign w:val="bottom"/>
          </w:tcPr>
          <w:p w14:paraId="300A1D32">
            <w:pPr>
              <w:jc w:val="both"/>
              <w:rPr>
                <w:rFonts w:ascii="Arial" w:hAnsi="Arial" w:cs="Arial"/>
                <w:bCs/>
                <w:sz w:val="16"/>
                <w:szCs w:val="16"/>
              </w:rPr>
            </w:pPr>
            <w:r>
              <w:rPr>
                <w:rFonts w:ascii="Arial" w:hAnsi="Arial" w:cs="Arial"/>
                <w:bCs/>
                <w:sz w:val="16"/>
                <w:szCs w:val="16"/>
              </w:rPr>
              <w:t>35.94</w:t>
            </w:r>
          </w:p>
        </w:tc>
        <w:tc>
          <w:tcPr>
            <w:tcW w:w="720" w:type="dxa"/>
            <w:tcBorders>
              <w:bottom w:val="single" w:color="auto" w:sz="4" w:space="0"/>
            </w:tcBorders>
            <w:vAlign w:val="bottom"/>
          </w:tcPr>
          <w:p w14:paraId="0F0EC3A2">
            <w:pPr>
              <w:jc w:val="both"/>
              <w:rPr>
                <w:rFonts w:ascii="Arial" w:hAnsi="Arial" w:cs="Arial"/>
                <w:bCs/>
                <w:sz w:val="16"/>
                <w:szCs w:val="16"/>
              </w:rPr>
            </w:pPr>
            <w:r>
              <w:rPr>
                <w:rFonts w:ascii="Arial" w:hAnsi="Arial" w:cs="Arial"/>
                <w:bCs/>
                <w:sz w:val="16"/>
                <w:szCs w:val="16"/>
              </w:rPr>
              <w:t>38.40</w:t>
            </w:r>
          </w:p>
        </w:tc>
        <w:tc>
          <w:tcPr>
            <w:tcW w:w="720" w:type="dxa"/>
            <w:tcBorders>
              <w:bottom w:val="single" w:color="auto" w:sz="4" w:space="0"/>
            </w:tcBorders>
            <w:vAlign w:val="bottom"/>
          </w:tcPr>
          <w:p w14:paraId="4473E7BB">
            <w:pPr>
              <w:jc w:val="both"/>
              <w:rPr>
                <w:rFonts w:ascii="Arial" w:hAnsi="Arial" w:cs="Arial"/>
                <w:bCs/>
                <w:sz w:val="16"/>
                <w:szCs w:val="16"/>
              </w:rPr>
            </w:pPr>
            <w:r>
              <w:rPr>
                <w:rFonts w:ascii="Arial" w:hAnsi="Arial" w:cs="Arial"/>
                <w:bCs/>
                <w:sz w:val="16"/>
                <w:szCs w:val="16"/>
              </w:rPr>
              <w:t>36.74</w:t>
            </w:r>
          </w:p>
        </w:tc>
        <w:tc>
          <w:tcPr>
            <w:tcW w:w="630" w:type="dxa"/>
            <w:tcBorders>
              <w:bottom w:val="single" w:color="auto" w:sz="4" w:space="0"/>
            </w:tcBorders>
            <w:vAlign w:val="bottom"/>
          </w:tcPr>
          <w:p w14:paraId="2D8DCE85">
            <w:pPr>
              <w:jc w:val="both"/>
              <w:rPr>
                <w:rFonts w:ascii="Arial" w:hAnsi="Arial" w:cs="Arial"/>
                <w:bCs/>
                <w:sz w:val="16"/>
                <w:szCs w:val="16"/>
              </w:rPr>
            </w:pPr>
            <w:r>
              <w:rPr>
                <w:rFonts w:ascii="Arial" w:hAnsi="Arial" w:cs="Arial"/>
                <w:bCs/>
                <w:sz w:val="16"/>
                <w:szCs w:val="16"/>
              </w:rPr>
              <w:t>1.99</w:t>
            </w:r>
          </w:p>
        </w:tc>
        <w:tc>
          <w:tcPr>
            <w:tcW w:w="810" w:type="dxa"/>
            <w:tcBorders>
              <w:bottom w:val="single" w:color="auto" w:sz="4" w:space="0"/>
            </w:tcBorders>
            <w:vAlign w:val="bottom"/>
          </w:tcPr>
          <w:p w14:paraId="34389923">
            <w:pPr>
              <w:jc w:val="both"/>
              <w:rPr>
                <w:rFonts w:ascii="Arial" w:hAnsi="Arial" w:cs="Arial"/>
                <w:bCs/>
                <w:sz w:val="16"/>
                <w:szCs w:val="16"/>
              </w:rPr>
            </w:pPr>
            <w:r>
              <w:rPr>
                <w:rFonts w:ascii="Arial" w:hAnsi="Arial" w:cs="Arial"/>
                <w:bCs/>
                <w:sz w:val="16"/>
                <w:szCs w:val="16"/>
              </w:rPr>
              <w:t>0.6359</w:t>
            </w:r>
          </w:p>
        </w:tc>
        <w:tc>
          <w:tcPr>
            <w:tcW w:w="900" w:type="dxa"/>
            <w:tcBorders>
              <w:bottom w:val="single" w:color="auto" w:sz="4" w:space="0"/>
            </w:tcBorders>
            <w:vAlign w:val="bottom"/>
          </w:tcPr>
          <w:p w14:paraId="7A579EDD">
            <w:pPr>
              <w:jc w:val="both"/>
              <w:rPr>
                <w:rFonts w:ascii="Arial" w:hAnsi="Arial" w:cs="Arial"/>
                <w:bCs/>
                <w:sz w:val="16"/>
                <w:szCs w:val="16"/>
              </w:rPr>
            </w:pPr>
            <w:r>
              <w:rPr>
                <w:rFonts w:ascii="Arial" w:hAnsi="Arial" w:cs="Arial"/>
                <w:bCs/>
                <w:sz w:val="16"/>
                <w:szCs w:val="16"/>
              </w:rPr>
              <w:t>0.1425</w:t>
            </w:r>
          </w:p>
        </w:tc>
      </w:tr>
    </w:tbl>
    <w:p w14:paraId="74D694F1">
      <w:pPr>
        <w:jc w:val="both"/>
        <w:rPr>
          <w:rFonts w:ascii="Arial" w:hAnsi="Arial" w:cs="Arial"/>
          <w:iCs/>
          <w:sz w:val="16"/>
          <w:szCs w:val="16"/>
          <w:vertAlign w:val="superscript"/>
        </w:rPr>
      </w:pPr>
      <w:r>
        <w:rPr>
          <w:rFonts w:ascii="Arial" w:hAnsi="Arial" w:cs="Arial"/>
          <w:i/>
          <w:sz w:val="16"/>
          <w:szCs w:val="16"/>
        </w:rPr>
        <w:t xml:space="preserve">P1- grazing alone, P2–grazing plus supplementation, P3-full feedlot </w:t>
      </w:r>
      <w:r>
        <w:rPr>
          <w:rFonts w:ascii="Arial" w:hAnsi="Arial" w:cs="Arial"/>
          <w:iCs/>
          <w:sz w:val="16"/>
          <w:szCs w:val="16"/>
          <w:vertAlign w:val="superscript"/>
        </w:rPr>
        <w:t xml:space="preserve"> </w:t>
      </w:r>
    </w:p>
    <w:p w14:paraId="671CE75F">
      <w:pPr>
        <w:jc w:val="both"/>
        <w:rPr>
          <w:rFonts w:ascii="Arial" w:hAnsi="Arial" w:cs="Arial"/>
          <w:i/>
          <w:sz w:val="16"/>
          <w:szCs w:val="16"/>
        </w:rPr>
      </w:pPr>
      <w:r>
        <w:rPr>
          <w:rFonts w:ascii="Arial" w:hAnsi="Arial" w:cs="Arial"/>
          <w:i/>
          <w:sz w:val="16"/>
          <w:szCs w:val="16"/>
        </w:rPr>
        <w:t>a-c Means with different superscripts within a row differ significantly (P&lt;0.05). SEM = standard error of the mean,</w:t>
      </w:r>
      <w:r>
        <w:rPr>
          <w:rFonts w:ascii="Arial" w:hAnsi="Arial" w:cs="Arial"/>
          <w:sz w:val="16"/>
          <w:szCs w:val="16"/>
        </w:rPr>
        <w:t xml:space="preserve"> </w:t>
      </w:r>
      <w:r>
        <w:rPr>
          <w:rFonts w:ascii="Arial" w:hAnsi="Arial" w:cs="Arial"/>
          <w:i/>
          <w:sz w:val="16"/>
          <w:szCs w:val="16"/>
        </w:rPr>
        <w:t>GIT- gastro-intestinal track</w:t>
      </w:r>
      <w:r>
        <w:rPr>
          <w:rFonts w:ascii="Arial" w:hAnsi="Arial" w:cs="Arial"/>
          <w:sz w:val="16"/>
          <w:szCs w:val="16"/>
        </w:rPr>
        <w:t xml:space="preserve">, </w:t>
      </w:r>
      <w:r>
        <w:rPr>
          <w:rFonts w:ascii="Arial" w:hAnsi="Arial" w:cs="Arial"/>
          <w:i/>
          <w:sz w:val="16"/>
          <w:szCs w:val="16"/>
        </w:rPr>
        <w:t>S1- 45 days, S2- 60 days, S3- 75 days FP*SP- interaction effect between finishing practices and slaughter periods</w:t>
      </w:r>
    </w:p>
    <w:p w14:paraId="5AE5113C">
      <w:pPr>
        <w:jc w:val="both"/>
        <w:rPr>
          <w:rFonts w:ascii="Arial" w:hAnsi="Arial" w:cs="Arial"/>
          <w:i/>
          <w:sz w:val="22"/>
          <w:szCs w:val="22"/>
        </w:rPr>
      </w:pP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40"/>
        <w:gridCol w:w="4184"/>
      </w:tblGrid>
      <w:tr w14:paraId="1614F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39" w:type="dxa"/>
          </w:tcPr>
          <w:p w14:paraId="20D30FF4">
            <w:pPr>
              <w:spacing w:before="240"/>
              <w:jc w:val="both"/>
              <w:rPr>
                <w:rFonts w:ascii="Arial" w:hAnsi="Arial" w:eastAsia="Calibri" w:cs="Arial"/>
                <w:sz w:val="22"/>
                <w:szCs w:val="22"/>
              </w:rPr>
            </w:pPr>
            <w:r>
              <w:rPr>
                <w:rFonts w:ascii="Arial" w:hAnsi="Arial" w:eastAsia="Calibri" w:cs="Arial"/>
                <w:sz w:val="22"/>
                <w:szCs w:val="22"/>
                <w:lang w:val="en-GB" w:eastAsia="en-GB"/>
              </w:rPr>
              <w:drawing>
                <wp:inline distT="0" distB="0" distL="0" distR="0">
                  <wp:extent cx="2647950" cy="2845435"/>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427" w:type="dxa"/>
          </w:tcPr>
          <w:p w14:paraId="5C17BF5B">
            <w:pPr>
              <w:spacing w:before="240"/>
              <w:jc w:val="both"/>
              <w:rPr>
                <w:rFonts w:ascii="Arial" w:hAnsi="Arial" w:eastAsia="Calibri" w:cs="Arial"/>
                <w:sz w:val="22"/>
                <w:szCs w:val="22"/>
              </w:rPr>
            </w:pPr>
            <w:r>
              <w:rPr>
                <w:rFonts w:ascii="Arial" w:hAnsi="Arial" w:eastAsia="Calibri" w:cs="Arial"/>
                <w:sz w:val="22"/>
                <w:szCs w:val="22"/>
                <w:lang w:val="en-GB" w:eastAsia="en-GB"/>
              </w:rPr>
              <w:drawing>
                <wp:inline distT="0" distB="0" distL="0" distR="0">
                  <wp:extent cx="2611120" cy="2845435"/>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14:paraId="6A37B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66" w:type="dxa"/>
            <w:gridSpan w:val="2"/>
          </w:tcPr>
          <w:p w14:paraId="3E47F967">
            <w:pPr>
              <w:spacing w:before="240"/>
              <w:ind w:left="990" w:hanging="990"/>
              <w:jc w:val="both"/>
              <w:rPr>
                <w:rFonts w:ascii="Arial" w:hAnsi="Arial" w:eastAsia="Calibri" w:cs="Arial"/>
                <w:sz w:val="22"/>
                <w:szCs w:val="22"/>
              </w:rPr>
            </w:pPr>
            <w:r>
              <w:rPr>
                <w:rFonts w:ascii="Arial" w:hAnsi="Arial" w:eastAsia="Calibri" w:cs="Arial"/>
                <w:sz w:val="22"/>
                <w:szCs w:val="22"/>
              </w:rPr>
              <w:t>Figure 1. Trends of the mean weights of hides “a” and empty gastrointestinal tract “b” of Boran crossbred bulls as influenced by finishing practices and slaughter periods</w:t>
            </w:r>
          </w:p>
        </w:tc>
      </w:tr>
    </w:tbl>
    <w:p w14:paraId="73079398">
      <w:pPr>
        <w:pStyle w:val="35"/>
        <w:spacing w:after="0"/>
        <w:jc w:val="both"/>
        <w:rPr>
          <w:rFonts w:ascii="Arial" w:hAnsi="Arial" w:cs="Arial"/>
          <w:szCs w:val="22"/>
        </w:rPr>
      </w:pPr>
    </w:p>
    <w:p w14:paraId="1C9EBD37">
      <w:pPr>
        <w:spacing w:before="240"/>
        <w:jc w:val="both"/>
        <w:rPr>
          <w:rFonts w:ascii="Arial" w:hAnsi="Arial" w:cs="Arial"/>
          <w:b/>
          <w:sz w:val="22"/>
          <w:szCs w:val="22"/>
        </w:rPr>
      </w:pPr>
      <w:r>
        <w:rPr>
          <w:rFonts w:ascii="Arial" w:hAnsi="Arial" w:cs="Arial"/>
          <w:b/>
          <w:sz w:val="22"/>
          <w:szCs w:val="22"/>
        </w:rPr>
        <w:t>3.2. Carcass measurements and composition</w:t>
      </w:r>
    </w:p>
    <w:p w14:paraId="10CDB8E1">
      <w:pPr>
        <w:spacing w:before="240"/>
        <w:jc w:val="both"/>
        <w:rPr>
          <w:rFonts w:ascii="Arial" w:hAnsi="Arial" w:cs="Arial"/>
          <w:sz w:val="22"/>
          <w:szCs w:val="22"/>
        </w:rPr>
      </w:pPr>
      <w:r>
        <w:rPr>
          <w:rFonts w:ascii="Arial" w:hAnsi="Arial" w:cs="Arial"/>
          <w:sz w:val="22"/>
          <w:szCs w:val="22"/>
        </w:rPr>
        <w:t>The effects of finishing practices and slaughter periods on the carcass measurements and composition are summarized in Table 2. The longest (P&lt;0.05) carcass length was shown in bulls on P3, followed by those on P2, and the shortest (P&lt;0.05) in those on P1. Similarly, bulls slaughtered on the 75th day of finishing (S3) had the longest (P&lt;0.05) carcass length than their counterparts. Bulls slaughtered at periods S1 and S2 had similar (P&gt;0.05) values of carcass length. A significant interaction effect between finishing practices and slaughter periods was observed on the carcass length. Bulls on P2 had slightly higher carcass lengths than those on P3 at the early stages of finishing (S1), however, the opposite trend was observed at the later stage of finishing (S3) (Figure 2a). The lsmeans for the hind leg length and hind leg circumference were neither influenced (P&gt;0.05) by finishing practices nor the slaughter periods. The bulls on P1 and P2 had similar (P&lt;0.05) values of chest depths, however lower than that of bulls on P3. On the other hand, chest depth size increased (P&lt;0.05) with slaughter periods, leading to bulls slaughtered at S3 having the largest chest depth followed by those at S2 and least in those slaughtered at S1. The interaction effect of finishing practices and slaughter periods on chest depth size was significant (P&lt;0.05). Bulls on P2 had relatively higher values of chest depth size at the early stages of finishing (S1) than those on P1. However, the chest size for P2 decreased, while that of P1 increased with finishing time, making those on P2 to have lower chest size than those on P2 at S2 (Figure 2b). Towards the late slaughter period (S3), the mean chest size for bulls on P2 increased and attained a similar mean value to that of P1. Bulls on P3 had consistently higher (P&lt;0.05) mean values of chest size than their counterparts throughout the finishing period. The lsmeans of fat thickness were highest (P&lt;0.05) in bulls on P3 followed by those on P2 and lowest (P&lt;0.05) in those on P1. The periods in which the bulls were slaughtered did not influence (P&gt;0.05) the thickness of fat in the body. The percentages of dissectible muscle, fat, and bone were neither influenced by finishing practice nor the slaughter period.</w:t>
      </w:r>
    </w:p>
    <w:p w14:paraId="41B51828">
      <w:pPr>
        <w:ind w:left="900" w:hanging="900"/>
        <w:jc w:val="both"/>
        <w:rPr>
          <w:rFonts w:ascii="Arial" w:hAnsi="Arial" w:cs="Arial"/>
          <w:sz w:val="22"/>
          <w:szCs w:val="22"/>
        </w:rPr>
      </w:pPr>
    </w:p>
    <w:p w14:paraId="3C422359">
      <w:pPr>
        <w:ind w:left="900" w:hanging="900"/>
        <w:jc w:val="both"/>
        <w:rPr>
          <w:rFonts w:ascii="Arial" w:hAnsi="Arial" w:cs="Arial"/>
          <w:sz w:val="22"/>
          <w:szCs w:val="22"/>
        </w:rPr>
      </w:pPr>
      <w:r>
        <w:rPr>
          <w:rFonts w:ascii="Arial" w:hAnsi="Arial" w:cs="Arial"/>
          <w:sz w:val="22"/>
          <w:szCs w:val="22"/>
        </w:rPr>
        <w:t>Table 2. Lsmeans ± SEM of carcass measurements (cm) and carcass composition of the bulls as influenced by finishing practices and slaughter periods</w:t>
      </w:r>
    </w:p>
    <w:tbl>
      <w:tblPr>
        <w:tblStyle w:val="5"/>
        <w:tblW w:w="9403" w:type="dxa"/>
        <w:tblInd w:w="93" w:type="dxa"/>
        <w:tblLayout w:type="fixed"/>
        <w:tblCellMar>
          <w:top w:w="0" w:type="dxa"/>
          <w:left w:w="108" w:type="dxa"/>
          <w:bottom w:w="0" w:type="dxa"/>
          <w:right w:w="108" w:type="dxa"/>
        </w:tblCellMar>
      </w:tblPr>
      <w:tblGrid>
        <w:gridCol w:w="1275"/>
        <w:gridCol w:w="720"/>
        <w:gridCol w:w="720"/>
        <w:gridCol w:w="720"/>
        <w:gridCol w:w="612"/>
        <w:gridCol w:w="720"/>
        <w:gridCol w:w="810"/>
        <w:gridCol w:w="810"/>
        <w:gridCol w:w="850"/>
        <w:gridCol w:w="630"/>
        <w:gridCol w:w="810"/>
        <w:gridCol w:w="726"/>
      </w:tblGrid>
      <w:tr w14:paraId="2763B350">
        <w:tblPrEx>
          <w:tblCellMar>
            <w:top w:w="0" w:type="dxa"/>
            <w:left w:w="108" w:type="dxa"/>
            <w:bottom w:w="0" w:type="dxa"/>
            <w:right w:w="108" w:type="dxa"/>
          </w:tblCellMar>
        </w:tblPrEx>
        <w:trPr>
          <w:cantSplit/>
          <w:trHeight w:val="315" w:hRule="atLeast"/>
          <w:tblHeader/>
        </w:trPr>
        <w:tc>
          <w:tcPr>
            <w:tcW w:w="1275" w:type="dxa"/>
            <w:vMerge w:val="restart"/>
            <w:tcBorders>
              <w:top w:val="single" w:color="auto" w:sz="4" w:space="0"/>
            </w:tcBorders>
            <w:shd w:val="clear" w:color="auto" w:fill="auto"/>
            <w:noWrap/>
            <w:vAlign w:val="center"/>
          </w:tcPr>
          <w:p w14:paraId="5052DA35">
            <w:pPr>
              <w:jc w:val="both"/>
              <w:rPr>
                <w:rFonts w:ascii="Arial" w:hAnsi="Arial" w:cs="Arial"/>
                <w:b/>
                <w:bCs/>
                <w:sz w:val="16"/>
                <w:szCs w:val="16"/>
              </w:rPr>
            </w:pPr>
            <w:r>
              <w:rPr>
                <w:rFonts w:ascii="Arial" w:hAnsi="Arial" w:cs="Arial"/>
                <w:b/>
                <w:bCs/>
                <w:sz w:val="16"/>
                <w:szCs w:val="16"/>
              </w:rPr>
              <w:t>Parameter</w:t>
            </w:r>
          </w:p>
          <w:p w14:paraId="43AC2271">
            <w:pPr>
              <w:jc w:val="both"/>
              <w:rPr>
                <w:rFonts w:ascii="Arial" w:hAnsi="Arial" w:cs="Arial"/>
                <w:b/>
                <w:bCs/>
                <w:sz w:val="16"/>
                <w:szCs w:val="16"/>
              </w:rPr>
            </w:pPr>
          </w:p>
        </w:tc>
        <w:tc>
          <w:tcPr>
            <w:tcW w:w="2160" w:type="dxa"/>
            <w:gridSpan w:val="3"/>
            <w:tcBorders>
              <w:top w:val="single" w:color="auto" w:sz="4" w:space="0"/>
              <w:bottom w:val="single" w:color="auto" w:sz="4" w:space="0"/>
            </w:tcBorders>
            <w:shd w:val="clear" w:color="auto" w:fill="auto"/>
            <w:noWrap/>
            <w:vAlign w:val="center"/>
          </w:tcPr>
          <w:p w14:paraId="158A0B08">
            <w:pPr>
              <w:jc w:val="both"/>
              <w:rPr>
                <w:rFonts w:ascii="Arial" w:hAnsi="Arial" w:cs="Arial"/>
                <w:b/>
                <w:bCs/>
                <w:sz w:val="16"/>
                <w:szCs w:val="16"/>
              </w:rPr>
            </w:pPr>
            <w:r>
              <w:rPr>
                <w:rFonts w:ascii="Arial" w:hAnsi="Arial" w:cs="Arial"/>
                <w:b/>
                <w:bCs/>
                <w:sz w:val="16"/>
                <w:szCs w:val="16"/>
              </w:rPr>
              <w:t>Finishing practices</w:t>
            </w:r>
          </w:p>
        </w:tc>
        <w:tc>
          <w:tcPr>
            <w:tcW w:w="612" w:type="dxa"/>
            <w:tcBorders>
              <w:top w:val="single" w:color="auto" w:sz="4" w:space="0"/>
              <w:bottom w:val="single" w:color="auto" w:sz="4" w:space="0"/>
            </w:tcBorders>
            <w:vAlign w:val="center"/>
          </w:tcPr>
          <w:p w14:paraId="6BD5FB55">
            <w:pPr>
              <w:jc w:val="both"/>
              <w:rPr>
                <w:rFonts w:ascii="Arial" w:hAnsi="Arial" w:cs="Arial"/>
                <w:b/>
                <w:bCs/>
                <w:sz w:val="16"/>
                <w:szCs w:val="16"/>
              </w:rPr>
            </w:pPr>
          </w:p>
        </w:tc>
        <w:tc>
          <w:tcPr>
            <w:tcW w:w="720" w:type="dxa"/>
            <w:tcBorders>
              <w:top w:val="single" w:color="auto" w:sz="4" w:space="0"/>
              <w:bottom w:val="single" w:color="auto" w:sz="4" w:space="0"/>
            </w:tcBorders>
            <w:vAlign w:val="center"/>
          </w:tcPr>
          <w:p w14:paraId="0B17EC62">
            <w:pPr>
              <w:jc w:val="both"/>
              <w:rPr>
                <w:rFonts w:ascii="Arial" w:hAnsi="Arial" w:cs="Arial"/>
                <w:b/>
                <w:bCs/>
                <w:sz w:val="16"/>
                <w:szCs w:val="16"/>
              </w:rPr>
            </w:pPr>
          </w:p>
        </w:tc>
        <w:tc>
          <w:tcPr>
            <w:tcW w:w="2470" w:type="dxa"/>
            <w:gridSpan w:val="3"/>
            <w:tcBorders>
              <w:top w:val="single" w:color="auto" w:sz="4" w:space="0"/>
              <w:bottom w:val="single" w:color="auto" w:sz="4" w:space="0"/>
            </w:tcBorders>
            <w:vAlign w:val="center"/>
          </w:tcPr>
          <w:p w14:paraId="2FD432DC">
            <w:pPr>
              <w:jc w:val="both"/>
              <w:rPr>
                <w:rFonts w:ascii="Arial" w:hAnsi="Arial" w:cs="Arial"/>
                <w:b/>
                <w:bCs/>
                <w:sz w:val="16"/>
                <w:szCs w:val="16"/>
              </w:rPr>
            </w:pPr>
            <w:r>
              <w:rPr>
                <w:rFonts w:ascii="Arial" w:hAnsi="Arial" w:cs="Arial"/>
                <w:b/>
                <w:bCs/>
                <w:sz w:val="16"/>
                <w:szCs w:val="16"/>
              </w:rPr>
              <w:t>Slaughter periods</w:t>
            </w:r>
          </w:p>
        </w:tc>
        <w:tc>
          <w:tcPr>
            <w:tcW w:w="630" w:type="dxa"/>
            <w:tcBorders>
              <w:top w:val="single" w:color="auto" w:sz="4" w:space="0"/>
              <w:bottom w:val="single" w:color="auto" w:sz="4" w:space="0"/>
            </w:tcBorders>
            <w:vAlign w:val="center"/>
          </w:tcPr>
          <w:p w14:paraId="7AAFF1CB">
            <w:pPr>
              <w:jc w:val="both"/>
              <w:rPr>
                <w:rFonts w:ascii="Arial" w:hAnsi="Arial" w:cs="Arial"/>
                <w:b/>
                <w:bCs/>
                <w:sz w:val="16"/>
                <w:szCs w:val="16"/>
              </w:rPr>
            </w:pPr>
          </w:p>
        </w:tc>
        <w:tc>
          <w:tcPr>
            <w:tcW w:w="810" w:type="dxa"/>
            <w:tcBorders>
              <w:top w:val="single" w:color="auto" w:sz="4" w:space="0"/>
              <w:bottom w:val="single" w:color="auto" w:sz="4" w:space="0"/>
            </w:tcBorders>
            <w:vAlign w:val="center"/>
          </w:tcPr>
          <w:p w14:paraId="4ADBEAB6">
            <w:pPr>
              <w:jc w:val="both"/>
              <w:rPr>
                <w:rFonts w:ascii="Arial" w:hAnsi="Arial" w:cs="Arial"/>
                <w:b/>
                <w:bCs/>
                <w:sz w:val="16"/>
                <w:szCs w:val="16"/>
              </w:rPr>
            </w:pPr>
          </w:p>
        </w:tc>
        <w:tc>
          <w:tcPr>
            <w:tcW w:w="726" w:type="dxa"/>
            <w:tcBorders>
              <w:top w:val="single" w:color="auto" w:sz="4" w:space="0"/>
              <w:bottom w:val="single" w:color="auto" w:sz="4" w:space="0"/>
            </w:tcBorders>
            <w:vAlign w:val="center"/>
          </w:tcPr>
          <w:p w14:paraId="71C82C98">
            <w:pPr>
              <w:jc w:val="both"/>
              <w:rPr>
                <w:rFonts w:ascii="Arial" w:hAnsi="Arial" w:cs="Arial"/>
                <w:b/>
                <w:bCs/>
                <w:sz w:val="16"/>
                <w:szCs w:val="16"/>
              </w:rPr>
            </w:pPr>
            <w:r>
              <w:rPr>
                <w:rFonts w:ascii="Arial" w:hAnsi="Arial" w:cs="Arial"/>
                <w:b/>
                <w:bCs/>
                <w:sz w:val="16"/>
                <w:szCs w:val="16"/>
              </w:rPr>
              <w:t>FP*SP</w:t>
            </w:r>
          </w:p>
        </w:tc>
      </w:tr>
      <w:tr w14:paraId="212A2C9C">
        <w:tblPrEx>
          <w:tblCellMar>
            <w:top w:w="0" w:type="dxa"/>
            <w:left w:w="108" w:type="dxa"/>
            <w:bottom w:w="0" w:type="dxa"/>
            <w:right w:w="108" w:type="dxa"/>
          </w:tblCellMar>
        </w:tblPrEx>
        <w:trPr>
          <w:cantSplit/>
          <w:trHeight w:val="315" w:hRule="atLeast"/>
          <w:tblHeader/>
        </w:trPr>
        <w:tc>
          <w:tcPr>
            <w:tcW w:w="1275" w:type="dxa"/>
            <w:vMerge w:val="continue"/>
            <w:tcBorders>
              <w:bottom w:val="single" w:color="auto" w:sz="4" w:space="0"/>
            </w:tcBorders>
            <w:shd w:val="clear" w:color="auto" w:fill="auto"/>
            <w:noWrap/>
            <w:vAlign w:val="center"/>
          </w:tcPr>
          <w:p w14:paraId="36E2D3B6">
            <w:pPr>
              <w:jc w:val="both"/>
              <w:rPr>
                <w:rFonts w:ascii="Arial" w:hAnsi="Arial" w:cs="Arial"/>
                <w:b/>
                <w:bCs/>
                <w:sz w:val="16"/>
                <w:szCs w:val="16"/>
              </w:rPr>
            </w:pPr>
          </w:p>
        </w:tc>
        <w:tc>
          <w:tcPr>
            <w:tcW w:w="720" w:type="dxa"/>
            <w:tcBorders>
              <w:top w:val="single" w:color="auto" w:sz="4" w:space="0"/>
              <w:bottom w:val="single" w:color="auto" w:sz="4" w:space="0"/>
            </w:tcBorders>
            <w:shd w:val="clear" w:color="auto" w:fill="auto"/>
            <w:noWrap/>
            <w:vAlign w:val="center"/>
          </w:tcPr>
          <w:p w14:paraId="36E0CA2E">
            <w:pPr>
              <w:jc w:val="both"/>
              <w:rPr>
                <w:rFonts w:ascii="Arial" w:hAnsi="Arial" w:cs="Arial"/>
                <w:b/>
                <w:bCs/>
                <w:sz w:val="16"/>
                <w:szCs w:val="16"/>
              </w:rPr>
            </w:pPr>
            <w:r>
              <w:rPr>
                <w:rFonts w:ascii="Arial" w:hAnsi="Arial" w:cs="Arial"/>
                <w:b/>
                <w:bCs/>
                <w:sz w:val="16"/>
                <w:szCs w:val="16"/>
              </w:rPr>
              <w:t>P1</w:t>
            </w:r>
          </w:p>
        </w:tc>
        <w:tc>
          <w:tcPr>
            <w:tcW w:w="720" w:type="dxa"/>
            <w:tcBorders>
              <w:top w:val="single" w:color="auto" w:sz="4" w:space="0"/>
              <w:bottom w:val="single" w:color="auto" w:sz="4" w:space="0"/>
            </w:tcBorders>
            <w:shd w:val="clear" w:color="auto" w:fill="auto"/>
            <w:noWrap/>
            <w:vAlign w:val="center"/>
          </w:tcPr>
          <w:p w14:paraId="68B9111D">
            <w:pPr>
              <w:jc w:val="both"/>
              <w:rPr>
                <w:rFonts w:ascii="Arial" w:hAnsi="Arial" w:cs="Arial"/>
                <w:b/>
                <w:bCs/>
                <w:sz w:val="16"/>
                <w:szCs w:val="16"/>
              </w:rPr>
            </w:pPr>
            <w:r>
              <w:rPr>
                <w:rFonts w:ascii="Arial" w:hAnsi="Arial" w:cs="Arial"/>
                <w:b/>
                <w:bCs/>
                <w:sz w:val="16"/>
                <w:szCs w:val="16"/>
              </w:rPr>
              <w:t>P2</w:t>
            </w:r>
          </w:p>
        </w:tc>
        <w:tc>
          <w:tcPr>
            <w:tcW w:w="720" w:type="dxa"/>
            <w:tcBorders>
              <w:top w:val="single" w:color="auto" w:sz="4" w:space="0"/>
              <w:bottom w:val="single" w:color="auto" w:sz="4" w:space="0"/>
            </w:tcBorders>
            <w:shd w:val="clear" w:color="auto" w:fill="auto"/>
            <w:noWrap/>
            <w:vAlign w:val="center"/>
          </w:tcPr>
          <w:p w14:paraId="1ED26D8A">
            <w:pPr>
              <w:jc w:val="both"/>
              <w:rPr>
                <w:rFonts w:ascii="Arial" w:hAnsi="Arial" w:cs="Arial"/>
                <w:b/>
                <w:bCs/>
                <w:sz w:val="16"/>
                <w:szCs w:val="16"/>
              </w:rPr>
            </w:pPr>
            <w:r>
              <w:rPr>
                <w:rFonts w:ascii="Arial" w:hAnsi="Arial" w:cs="Arial"/>
                <w:b/>
                <w:bCs/>
                <w:sz w:val="16"/>
                <w:szCs w:val="16"/>
              </w:rPr>
              <w:t>P3</w:t>
            </w:r>
          </w:p>
        </w:tc>
        <w:tc>
          <w:tcPr>
            <w:tcW w:w="612" w:type="dxa"/>
            <w:tcBorders>
              <w:top w:val="single" w:color="auto" w:sz="4" w:space="0"/>
              <w:bottom w:val="single" w:color="auto" w:sz="4" w:space="0"/>
            </w:tcBorders>
            <w:vAlign w:val="center"/>
          </w:tcPr>
          <w:p w14:paraId="09C0FF1C">
            <w:pPr>
              <w:jc w:val="both"/>
              <w:rPr>
                <w:rFonts w:ascii="Arial" w:hAnsi="Arial" w:cs="Arial"/>
                <w:b/>
                <w:bCs/>
                <w:sz w:val="16"/>
                <w:szCs w:val="16"/>
              </w:rPr>
            </w:pPr>
            <w:r>
              <w:rPr>
                <w:rFonts w:ascii="Arial" w:hAnsi="Arial" w:cs="Arial"/>
                <w:b/>
                <w:bCs/>
                <w:sz w:val="16"/>
                <w:szCs w:val="16"/>
              </w:rPr>
              <w:t>SEM</w:t>
            </w:r>
          </w:p>
        </w:tc>
        <w:tc>
          <w:tcPr>
            <w:tcW w:w="720" w:type="dxa"/>
            <w:tcBorders>
              <w:top w:val="single" w:color="auto" w:sz="4" w:space="0"/>
              <w:bottom w:val="single" w:color="auto" w:sz="4" w:space="0"/>
            </w:tcBorders>
            <w:vAlign w:val="center"/>
          </w:tcPr>
          <w:p w14:paraId="4C077C95">
            <w:pPr>
              <w:jc w:val="both"/>
              <w:rPr>
                <w:rFonts w:ascii="Arial" w:hAnsi="Arial" w:cs="Arial"/>
                <w:b/>
                <w:bCs/>
                <w:sz w:val="16"/>
                <w:szCs w:val="16"/>
              </w:rPr>
            </w:pPr>
            <w:r>
              <w:rPr>
                <w:rFonts w:ascii="Arial" w:hAnsi="Arial" w:cs="Arial"/>
                <w:b/>
                <w:bCs/>
                <w:sz w:val="16"/>
                <w:szCs w:val="16"/>
              </w:rPr>
              <w:t>P-value</w:t>
            </w:r>
          </w:p>
        </w:tc>
        <w:tc>
          <w:tcPr>
            <w:tcW w:w="810" w:type="dxa"/>
            <w:tcBorders>
              <w:top w:val="single" w:color="auto" w:sz="4" w:space="0"/>
              <w:bottom w:val="single" w:color="auto" w:sz="4" w:space="0"/>
            </w:tcBorders>
            <w:vAlign w:val="center"/>
          </w:tcPr>
          <w:p w14:paraId="56434ECC">
            <w:pPr>
              <w:jc w:val="both"/>
              <w:rPr>
                <w:rFonts w:ascii="Arial" w:hAnsi="Arial" w:cs="Arial"/>
                <w:b/>
                <w:bCs/>
                <w:sz w:val="16"/>
                <w:szCs w:val="16"/>
              </w:rPr>
            </w:pPr>
            <w:r>
              <w:rPr>
                <w:rFonts w:ascii="Arial" w:hAnsi="Arial" w:cs="Arial"/>
                <w:b/>
                <w:bCs/>
                <w:sz w:val="16"/>
                <w:szCs w:val="16"/>
              </w:rPr>
              <w:t>S1</w:t>
            </w:r>
          </w:p>
        </w:tc>
        <w:tc>
          <w:tcPr>
            <w:tcW w:w="810" w:type="dxa"/>
            <w:tcBorders>
              <w:top w:val="single" w:color="auto" w:sz="4" w:space="0"/>
              <w:bottom w:val="single" w:color="auto" w:sz="4" w:space="0"/>
            </w:tcBorders>
            <w:vAlign w:val="center"/>
          </w:tcPr>
          <w:p w14:paraId="6F32CCCF">
            <w:pPr>
              <w:jc w:val="both"/>
              <w:rPr>
                <w:rFonts w:ascii="Arial" w:hAnsi="Arial" w:cs="Arial"/>
                <w:b/>
                <w:bCs/>
                <w:sz w:val="16"/>
                <w:szCs w:val="16"/>
              </w:rPr>
            </w:pPr>
            <w:r>
              <w:rPr>
                <w:rFonts w:ascii="Arial" w:hAnsi="Arial" w:cs="Arial"/>
                <w:b/>
                <w:bCs/>
                <w:sz w:val="16"/>
                <w:szCs w:val="16"/>
              </w:rPr>
              <w:t>S2</w:t>
            </w:r>
          </w:p>
        </w:tc>
        <w:tc>
          <w:tcPr>
            <w:tcW w:w="850" w:type="dxa"/>
            <w:tcBorders>
              <w:top w:val="single" w:color="auto" w:sz="4" w:space="0"/>
              <w:bottom w:val="single" w:color="auto" w:sz="4" w:space="0"/>
            </w:tcBorders>
            <w:vAlign w:val="center"/>
          </w:tcPr>
          <w:p w14:paraId="0AE82633">
            <w:pPr>
              <w:jc w:val="both"/>
              <w:rPr>
                <w:rFonts w:ascii="Arial" w:hAnsi="Arial" w:cs="Arial"/>
                <w:b/>
                <w:bCs/>
                <w:sz w:val="16"/>
                <w:szCs w:val="16"/>
              </w:rPr>
            </w:pPr>
            <w:r>
              <w:rPr>
                <w:rFonts w:ascii="Arial" w:hAnsi="Arial" w:cs="Arial"/>
                <w:b/>
                <w:bCs/>
                <w:sz w:val="16"/>
                <w:szCs w:val="16"/>
              </w:rPr>
              <w:t>S3</w:t>
            </w:r>
          </w:p>
        </w:tc>
        <w:tc>
          <w:tcPr>
            <w:tcW w:w="630" w:type="dxa"/>
            <w:tcBorders>
              <w:top w:val="single" w:color="auto" w:sz="4" w:space="0"/>
              <w:bottom w:val="single" w:color="auto" w:sz="4" w:space="0"/>
            </w:tcBorders>
            <w:vAlign w:val="center"/>
          </w:tcPr>
          <w:p w14:paraId="070E35E4">
            <w:pPr>
              <w:jc w:val="both"/>
              <w:rPr>
                <w:rFonts w:ascii="Arial" w:hAnsi="Arial" w:cs="Arial"/>
                <w:b/>
                <w:bCs/>
                <w:sz w:val="16"/>
                <w:szCs w:val="16"/>
              </w:rPr>
            </w:pPr>
            <w:r>
              <w:rPr>
                <w:rFonts w:ascii="Arial" w:hAnsi="Arial" w:cs="Arial"/>
                <w:b/>
                <w:bCs/>
                <w:sz w:val="16"/>
                <w:szCs w:val="16"/>
              </w:rPr>
              <w:t>SEM</w:t>
            </w:r>
          </w:p>
        </w:tc>
        <w:tc>
          <w:tcPr>
            <w:tcW w:w="810" w:type="dxa"/>
            <w:tcBorders>
              <w:top w:val="single" w:color="auto" w:sz="4" w:space="0"/>
              <w:bottom w:val="single" w:color="auto" w:sz="4" w:space="0"/>
            </w:tcBorders>
            <w:vAlign w:val="center"/>
          </w:tcPr>
          <w:p w14:paraId="47362A9E">
            <w:pPr>
              <w:jc w:val="both"/>
              <w:rPr>
                <w:rFonts w:ascii="Arial" w:hAnsi="Arial" w:cs="Arial"/>
                <w:b/>
                <w:bCs/>
                <w:sz w:val="16"/>
                <w:szCs w:val="16"/>
              </w:rPr>
            </w:pPr>
            <w:r>
              <w:rPr>
                <w:rFonts w:ascii="Arial" w:hAnsi="Arial" w:cs="Arial"/>
                <w:b/>
                <w:bCs/>
                <w:sz w:val="16"/>
                <w:szCs w:val="16"/>
              </w:rPr>
              <w:t>P-value</w:t>
            </w:r>
          </w:p>
        </w:tc>
        <w:tc>
          <w:tcPr>
            <w:tcW w:w="726" w:type="dxa"/>
            <w:tcBorders>
              <w:top w:val="single" w:color="auto" w:sz="4" w:space="0"/>
              <w:bottom w:val="single" w:color="auto" w:sz="4" w:space="0"/>
            </w:tcBorders>
            <w:vAlign w:val="center"/>
          </w:tcPr>
          <w:p w14:paraId="040DD17C">
            <w:pPr>
              <w:jc w:val="both"/>
              <w:rPr>
                <w:rFonts w:ascii="Arial" w:hAnsi="Arial" w:cs="Arial"/>
                <w:b/>
                <w:bCs/>
                <w:sz w:val="16"/>
                <w:szCs w:val="16"/>
              </w:rPr>
            </w:pPr>
            <w:r>
              <w:rPr>
                <w:rFonts w:ascii="Arial" w:hAnsi="Arial" w:cs="Arial"/>
                <w:b/>
                <w:bCs/>
                <w:sz w:val="16"/>
                <w:szCs w:val="16"/>
              </w:rPr>
              <w:t>P-value</w:t>
            </w:r>
          </w:p>
        </w:tc>
      </w:tr>
      <w:tr w14:paraId="21E6B02D">
        <w:tblPrEx>
          <w:tblCellMar>
            <w:top w:w="0" w:type="dxa"/>
            <w:left w:w="108" w:type="dxa"/>
            <w:bottom w:w="0" w:type="dxa"/>
            <w:right w:w="108" w:type="dxa"/>
          </w:tblCellMar>
        </w:tblPrEx>
        <w:trPr>
          <w:cantSplit/>
          <w:trHeight w:val="360" w:hRule="atLeast"/>
          <w:tblHeader/>
        </w:trPr>
        <w:tc>
          <w:tcPr>
            <w:tcW w:w="1275" w:type="dxa"/>
            <w:tcBorders>
              <w:top w:val="single" w:color="auto" w:sz="4" w:space="0"/>
            </w:tcBorders>
            <w:shd w:val="clear" w:color="auto" w:fill="auto"/>
            <w:noWrap/>
            <w:vAlign w:val="bottom"/>
          </w:tcPr>
          <w:p w14:paraId="69FE16BD">
            <w:pPr>
              <w:jc w:val="both"/>
              <w:rPr>
                <w:rFonts w:ascii="Arial" w:hAnsi="Arial" w:cs="Arial"/>
                <w:bCs/>
                <w:sz w:val="16"/>
                <w:szCs w:val="16"/>
              </w:rPr>
            </w:pPr>
            <w:r>
              <w:rPr>
                <w:rFonts w:ascii="Arial" w:hAnsi="Arial" w:cs="Arial"/>
                <w:bCs/>
                <w:sz w:val="16"/>
                <w:szCs w:val="16"/>
              </w:rPr>
              <w:t xml:space="preserve">Carcass length </w:t>
            </w:r>
          </w:p>
        </w:tc>
        <w:tc>
          <w:tcPr>
            <w:tcW w:w="720" w:type="dxa"/>
            <w:tcBorders>
              <w:top w:val="single" w:color="auto" w:sz="4" w:space="0"/>
            </w:tcBorders>
            <w:shd w:val="clear" w:color="auto" w:fill="auto"/>
            <w:noWrap/>
            <w:vAlign w:val="bottom"/>
          </w:tcPr>
          <w:p w14:paraId="53BB4818">
            <w:pPr>
              <w:jc w:val="both"/>
              <w:rPr>
                <w:rFonts w:ascii="Arial" w:hAnsi="Arial" w:cs="Arial"/>
                <w:bCs/>
                <w:sz w:val="16"/>
                <w:szCs w:val="16"/>
              </w:rPr>
            </w:pPr>
            <w:r>
              <w:rPr>
                <w:rFonts w:ascii="Arial" w:hAnsi="Arial" w:cs="Arial"/>
                <w:bCs/>
                <w:sz w:val="16"/>
                <w:szCs w:val="16"/>
              </w:rPr>
              <w:t>107.7</w:t>
            </w:r>
            <w:r>
              <w:rPr>
                <w:rFonts w:ascii="Arial" w:hAnsi="Arial" w:cs="Arial"/>
                <w:bCs/>
                <w:sz w:val="16"/>
                <w:szCs w:val="16"/>
                <w:vertAlign w:val="superscript"/>
              </w:rPr>
              <w:t>c</w:t>
            </w:r>
          </w:p>
        </w:tc>
        <w:tc>
          <w:tcPr>
            <w:tcW w:w="720" w:type="dxa"/>
            <w:tcBorders>
              <w:top w:val="single" w:color="auto" w:sz="4" w:space="0"/>
            </w:tcBorders>
            <w:shd w:val="clear" w:color="auto" w:fill="auto"/>
            <w:noWrap/>
            <w:vAlign w:val="bottom"/>
          </w:tcPr>
          <w:p w14:paraId="52C9AF16">
            <w:pPr>
              <w:jc w:val="both"/>
              <w:rPr>
                <w:rFonts w:ascii="Arial" w:hAnsi="Arial" w:cs="Arial"/>
                <w:bCs/>
                <w:sz w:val="16"/>
                <w:szCs w:val="16"/>
              </w:rPr>
            </w:pPr>
            <w:r>
              <w:rPr>
                <w:rFonts w:ascii="Arial" w:hAnsi="Arial" w:cs="Arial"/>
                <w:bCs/>
                <w:sz w:val="16"/>
                <w:szCs w:val="16"/>
              </w:rPr>
              <w:t>147.3</w:t>
            </w:r>
            <w:r>
              <w:rPr>
                <w:rFonts w:ascii="Arial" w:hAnsi="Arial" w:cs="Arial"/>
                <w:bCs/>
                <w:sz w:val="16"/>
                <w:szCs w:val="16"/>
                <w:vertAlign w:val="superscript"/>
              </w:rPr>
              <w:t>b</w:t>
            </w:r>
          </w:p>
        </w:tc>
        <w:tc>
          <w:tcPr>
            <w:tcW w:w="720" w:type="dxa"/>
            <w:tcBorders>
              <w:top w:val="single" w:color="auto" w:sz="4" w:space="0"/>
            </w:tcBorders>
            <w:shd w:val="clear" w:color="auto" w:fill="auto"/>
            <w:noWrap/>
            <w:vAlign w:val="bottom"/>
          </w:tcPr>
          <w:p w14:paraId="1E4ECE30">
            <w:pPr>
              <w:jc w:val="both"/>
              <w:rPr>
                <w:rFonts w:ascii="Arial" w:hAnsi="Arial" w:cs="Arial"/>
                <w:bCs/>
                <w:sz w:val="16"/>
                <w:szCs w:val="16"/>
              </w:rPr>
            </w:pPr>
            <w:r>
              <w:rPr>
                <w:rFonts w:ascii="Arial" w:hAnsi="Arial" w:cs="Arial"/>
                <w:bCs/>
                <w:sz w:val="16"/>
                <w:szCs w:val="16"/>
              </w:rPr>
              <w:t>164.0</w:t>
            </w:r>
            <w:r>
              <w:rPr>
                <w:rFonts w:ascii="Arial" w:hAnsi="Arial" w:cs="Arial"/>
                <w:bCs/>
                <w:sz w:val="16"/>
                <w:szCs w:val="16"/>
                <w:vertAlign w:val="superscript"/>
              </w:rPr>
              <w:t>a</w:t>
            </w:r>
          </w:p>
        </w:tc>
        <w:tc>
          <w:tcPr>
            <w:tcW w:w="612" w:type="dxa"/>
            <w:tcBorders>
              <w:top w:val="single" w:color="auto" w:sz="4" w:space="0"/>
            </w:tcBorders>
            <w:vAlign w:val="bottom"/>
          </w:tcPr>
          <w:p w14:paraId="5048D031">
            <w:pPr>
              <w:jc w:val="both"/>
              <w:rPr>
                <w:rFonts w:ascii="Arial" w:hAnsi="Arial" w:cs="Arial"/>
                <w:bCs/>
                <w:sz w:val="16"/>
                <w:szCs w:val="16"/>
              </w:rPr>
            </w:pPr>
            <w:r>
              <w:rPr>
                <w:rFonts w:ascii="Arial" w:hAnsi="Arial" w:cs="Arial"/>
                <w:bCs/>
                <w:sz w:val="16"/>
                <w:szCs w:val="16"/>
              </w:rPr>
              <w:t>4.71</w:t>
            </w:r>
          </w:p>
        </w:tc>
        <w:tc>
          <w:tcPr>
            <w:tcW w:w="720" w:type="dxa"/>
            <w:tcBorders>
              <w:top w:val="single" w:color="auto" w:sz="4" w:space="0"/>
            </w:tcBorders>
            <w:vAlign w:val="bottom"/>
          </w:tcPr>
          <w:p w14:paraId="1467CFF4">
            <w:pPr>
              <w:jc w:val="both"/>
              <w:rPr>
                <w:rFonts w:ascii="Arial" w:hAnsi="Arial" w:cs="Arial"/>
                <w:bCs/>
                <w:sz w:val="16"/>
                <w:szCs w:val="16"/>
              </w:rPr>
            </w:pPr>
            <w:r>
              <w:rPr>
                <w:rFonts w:ascii="Arial" w:hAnsi="Arial" w:cs="Arial"/>
                <w:bCs/>
                <w:sz w:val="16"/>
                <w:szCs w:val="16"/>
              </w:rPr>
              <w:t>0.0001</w:t>
            </w:r>
          </w:p>
        </w:tc>
        <w:tc>
          <w:tcPr>
            <w:tcW w:w="810" w:type="dxa"/>
            <w:tcBorders>
              <w:top w:val="single" w:color="auto" w:sz="4" w:space="0"/>
            </w:tcBorders>
            <w:vAlign w:val="bottom"/>
          </w:tcPr>
          <w:p w14:paraId="6DA1898C">
            <w:pPr>
              <w:jc w:val="both"/>
              <w:rPr>
                <w:rFonts w:ascii="Arial" w:hAnsi="Arial" w:cs="Arial"/>
                <w:bCs/>
                <w:sz w:val="16"/>
                <w:szCs w:val="16"/>
              </w:rPr>
            </w:pPr>
            <w:r>
              <w:rPr>
                <w:rFonts w:ascii="Arial" w:hAnsi="Arial" w:cs="Arial"/>
                <w:bCs/>
                <w:sz w:val="16"/>
                <w:szCs w:val="16"/>
              </w:rPr>
              <w:t>133.41</w:t>
            </w:r>
            <w:r>
              <w:rPr>
                <w:rFonts w:ascii="Arial" w:hAnsi="Arial" w:cs="Arial"/>
                <w:bCs/>
                <w:sz w:val="16"/>
                <w:szCs w:val="16"/>
                <w:vertAlign w:val="superscript"/>
              </w:rPr>
              <w:t>b</w:t>
            </w:r>
          </w:p>
        </w:tc>
        <w:tc>
          <w:tcPr>
            <w:tcW w:w="810" w:type="dxa"/>
            <w:tcBorders>
              <w:top w:val="single" w:color="auto" w:sz="4" w:space="0"/>
            </w:tcBorders>
            <w:vAlign w:val="bottom"/>
          </w:tcPr>
          <w:p w14:paraId="6926ABC1">
            <w:pPr>
              <w:jc w:val="both"/>
              <w:rPr>
                <w:rFonts w:ascii="Arial" w:hAnsi="Arial" w:cs="Arial"/>
                <w:bCs/>
                <w:sz w:val="16"/>
                <w:szCs w:val="16"/>
              </w:rPr>
            </w:pPr>
            <w:r>
              <w:rPr>
                <w:rFonts w:ascii="Arial" w:hAnsi="Arial" w:cs="Arial"/>
                <w:bCs/>
                <w:sz w:val="16"/>
                <w:szCs w:val="16"/>
              </w:rPr>
              <w:t>129.65</w:t>
            </w:r>
            <w:r>
              <w:rPr>
                <w:rFonts w:ascii="Arial" w:hAnsi="Arial" w:cs="Arial"/>
                <w:bCs/>
                <w:sz w:val="16"/>
                <w:szCs w:val="16"/>
                <w:vertAlign w:val="superscript"/>
              </w:rPr>
              <w:t>b</w:t>
            </w:r>
          </w:p>
        </w:tc>
        <w:tc>
          <w:tcPr>
            <w:tcW w:w="850" w:type="dxa"/>
            <w:tcBorders>
              <w:top w:val="single" w:color="auto" w:sz="4" w:space="0"/>
            </w:tcBorders>
            <w:vAlign w:val="bottom"/>
          </w:tcPr>
          <w:p w14:paraId="0B97FA89">
            <w:pPr>
              <w:jc w:val="both"/>
              <w:rPr>
                <w:rFonts w:ascii="Arial" w:hAnsi="Arial" w:cs="Arial"/>
                <w:bCs/>
                <w:sz w:val="16"/>
                <w:szCs w:val="16"/>
              </w:rPr>
            </w:pPr>
            <w:r>
              <w:rPr>
                <w:rFonts w:ascii="Arial" w:hAnsi="Arial" w:cs="Arial"/>
                <w:bCs/>
                <w:sz w:val="16"/>
                <w:szCs w:val="16"/>
              </w:rPr>
              <w:t>155.91</w:t>
            </w:r>
            <w:r>
              <w:rPr>
                <w:rFonts w:ascii="Arial" w:hAnsi="Arial" w:cs="Arial"/>
                <w:bCs/>
                <w:sz w:val="16"/>
                <w:szCs w:val="16"/>
                <w:vertAlign w:val="superscript"/>
              </w:rPr>
              <w:t>a</w:t>
            </w:r>
          </w:p>
        </w:tc>
        <w:tc>
          <w:tcPr>
            <w:tcW w:w="630" w:type="dxa"/>
            <w:tcBorders>
              <w:top w:val="single" w:color="auto" w:sz="4" w:space="0"/>
            </w:tcBorders>
            <w:vAlign w:val="bottom"/>
          </w:tcPr>
          <w:p w14:paraId="60731111">
            <w:pPr>
              <w:jc w:val="both"/>
              <w:rPr>
                <w:rFonts w:ascii="Arial" w:hAnsi="Arial" w:cs="Arial"/>
                <w:bCs/>
                <w:sz w:val="16"/>
                <w:szCs w:val="16"/>
              </w:rPr>
            </w:pPr>
            <w:r>
              <w:rPr>
                <w:rFonts w:ascii="Arial" w:hAnsi="Arial" w:cs="Arial"/>
                <w:bCs/>
                <w:sz w:val="16"/>
                <w:szCs w:val="16"/>
              </w:rPr>
              <w:t>4.58</w:t>
            </w:r>
          </w:p>
        </w:tc>
        <w:tc>
          <w:tcPr>
            <w:tcW w:w="810" w:type="dxa"/>
            <w:tcBorders>
              <w:top w:val="single" w:color="auto" w:sz="4" w:space="0"/>
            </w:tcBorders>
            <w:vAlign w:val="bottom"/>
          </w:tcPr>
          <w:p w14:paraId="396294F7">
            <w:pPr>
              <w:jc w:val="both"/>
              <w:rPr>
                <w:rFonts w:ascii="Arial" w:hAnsi="Arial" w:cs="Arial"/>
                <w:bCs/>
                <w:sz w:val="16"/>
                <w:szCs w:val="16"/>
              </w:rPr>
            </w:pPr>
            <w:r>
              <w:rPr>
                <w:rFonts w:ascii="Arial" w:hAnsi="Arial" w:cs="Arial"/>
                <w:bCs/>
                <w:sz w:val="16"/>
                <w:szCs w:val="16"/>
              </w:rPr>
              <w:t>0.0042</w:t>
            </w:r>
          </w:p>
        </w:tc>
        <w:tc>
          <w:tcPr>
            <w:tcW w:w="726" w:type="dxa"/>
            <w:tcBorders>
              <w:top w:val="single" w:color="auto" w:sz="4" w:space="0"/>
            </w:tcBorders>
            <w:vAlign w:val="bottom"/>
          </w:tcPr>
          <w:p w14:paraId="15F98EC4">
            <w:pPr>
              <w:jc w:val="both"/>
              <w:rPr>
                <w:rFonts w:ascii="Arial" w:hAnsi="Arial" w:cs="Arial"/>
                <w:bCs/>
                <w:sz w:val="16"/>
                <w:szCs w:val="16"/>
              </w:rPr>
            </w:pPr>
            <w:r>
              <w:rPr>
                <w:rFonts w:ascii="Arial" w:hAnsi="Arial" w:cs="Arial"/>
                <w:bCs/>
                <w:sz w:val="16"/>
                <w:szCs w:val="16"/>
              </w:rPr>
              <w:t>0.0209</w:t>
            </w:r>
          </w:p>
        </w:tc>
      </w:tr>
      <w:tr w14:paraId="2427D483">
        <w:tblPrEx>
          <w:tblCellMar>
            <w:top w:w="0" w:type="dxa"/>
            <w:left w:w="108" w:type="dxa"/>
            <w:bottom w:w="0" w:type="dxa"/>
            <w:right w:w="108" w:type="dxa"/>
          </w:tblCellMar>
        </w:tblPrEx>
        <w:trPr>
          <w:cantSplit/>
          <w:trHeight w:val="360" w:hRule="atLeast"/>
          <w:tblHeader/>
        </w:trPr>
        <w:tc>
          <w:tcPr>
            <w:tcW w:w="1275" w:type="dxa"/>
            <w:shd w:val="clear" w:color="auto" w:fill="auto"/>
            <w:noWrap/>
            <w:vAlign w:val="bottom"/>
          </w:tcPr>
          <w:p w14:paraId="2A015FF4">
            <w:pPr>
              <w:jc w:val="both"/>
              <w:rPr>
                <w:rFonts w:ascii="Arial" w:hAnsi="Arial" w:cs="Arial"/>
                <w:bCs/>
                <w:sz w:val="16"/>
                <w:szCs w:val="16"/>
              </w:rPr>
            </w:pPr>
            <w:r>
              <w:rPr>
                <w:rFonts w:ascii="Arial" w:hAnsi="Arial" w:cs="Arial"/>
                <w:bCs/>
                <w:sz w:val="16"/>
                <w:szCs w:val="16"/>
              </w:rPr>
              <w:t xml:space="preserve">Hind leg length </w:t>
            </w:r>
          </w:p>
        </w:tc>
        <w:tc>
          <w:tcPr>
            <w:tcW w:w="720" w:type="dxa"/>
            <w:shd w:val="clear" w:color="auto" w:fill="auto"/>
            <w:noWrap/>
            <w:vAlign w:val="bottom"/>
          </w:tcPr>
          <w:p w14:paraId="11CAD08F">
            <w:pPr>
              <w:jc w:val="both"/>
              <w:rPr>
                <w:rFonts w:ascii="Arial" w:hAnsi="Arial" w:cs="Arial"/>
                <w:bCs/>
                <w:sz w:val="16"/>
                <w:szCs w:val="16"/>
              </w:rPr>
            </w:pPr>
            <w:r>
              <w:rPr>
                <w:rFonts w:ascii="Arial" w:hAnsi="Arial" w:cs="Arial"/>
                <w:bCs/>
                <w:sz w:val="16"/>
                <w:szCs w:val="16"/>
              </w:rPr>
              <w:t>75.86</w:t>
            </w:r>
          </w:p>
        </w:tc>
        <w:tc>
          <w:tcPr>
            <w:tcW w:w="720" w:type="dxa"/>
            <w:shd w:val="clear" w:color="auto" w:fill="auto"/>
            <w:noWrap/>
            <w:vAlign w:val="bottom"/>
          </w:tcPr>
          <w:p w14:paraId="2CAFCB47">
            <w:pPr>
              <w:jc w:val="both"/>
              <w:rPr>
                <w:rFonts w:ascii="Arial" w:hAnsi="Arial" w:cs="Arial"/>
                <w:bCs/>
                <w:sz w:val="16"/>
                <w:szCs w:val="16"/>
              </w:rPr>
            </w:pPr>
            <w:r>
              <w:rPr>
                <w:rFonts w:ascii="Arial" w:hAnsi="Arial" w:cs="Arial"/>
                <w:bCs/>
                <w:sz w:val="16"/>
                <w:szCs w:val="16"/>
              </w:rPr>
              <w:t>76.61</w:t>
            </w:r>
          </w:p>
        </w:tc>
        <w:tc>
          <w:tcPr>
            <w:tcW w:w="720" w:type="dxa"/>
            <w:shd w:val="clear" w:color="auto" w:fill="auto"/>
            <w:noWrap/>
            <w:vAlign w:val="bottom"/>
          </w:tcPr>
          <w:p w14:paraId="6F1627A6">
            <w:pPr>
              <w:jc w:val="both"/>
              <w:rPr>
                <w:rFonts w:ascii="Arial" w:hAnsi="Arial" w:cs="Arial"/>
                <w:bCs/>
                <w:sz w:val="16"/>
                <w:szCs w:val="16"/>
              </w:rPr>
            </w:pPr>
            <w:r>
              <w:rPr>
                <w:rFonts w:ascii="Arial" w:hAnsi="Arial" w:cs="Arial"/>
                <w:bCs/>
                <w:sz w:val="16"/>
                <w:szCs w:val="16"/>
              </w:rPr>
              <w:t>79.56</w:t>
            </w:r>
          </w:p>
        </w:tc>
        <w:tc>
          <w:tcPr>
            <w:tcW w:w="612" w:type="dxa"/>
            <w:vAlign w:val="bottom"/>
          </w:tcPr>
          <w:p w14:paraId="3FFC08BC">
            <w:pPr>
              <w:jc w:val="both"/>
              <w:rPr>
                <w:rFonts w:ascii="Arial" w:hAnsi="Arial" w:cs="Arial"/>
                <w:bCs/>
                <w:sz w:val="16"/>
                <w:szCs w:val="16"/>
              </w:rPr>
            </w:pPr>
            <w:r>
              <w:rPr>
                <w:rFonts w:ascii="Arial" w:hAnsi="Arial" w:cs="Arial"/>
                <w:bCs/>
                <w:sz w:val="16"/>
                <w:szCs w:val="16"/>
              </w:rPr>
              <w:t>1.33</w:t>
            </w:r>
          </w:p>
        </w:tc>
        <w:tc>
          <w:tcPr>
            <w:tcW w:w="720" w:type="dxa"/>
            <w:vAlign w:val="bottom"/>
          </w:tcPr>
          <w:p w14:paraId="42E7F0D5">
            <w:pPr>
              <w:jc w:val="both"/>
              <w:rPr>
                <w:rFonts w:ascii="Arial" w:hAnsi="Arial" w:cs="Arial"/>
                <w:bCs/>
                <w:sz w:val="16"/>
                <w:szCs w:val="16"/>
              </w:rPr>
            </w:pPr>
            <w:r>
              <w:rPr>
                <w:rFonts w:ascii="Arial" w:hAnsi="Arial" w:cs="Arial"/>
                <w:bCs/>
                <w:sz w:val="16"/>
                <w:szCs w:val="16"/>
              </w:rPr>
              <w:t>0.1155</w:t>
            </w:r>
          </w:p>
        </w:tc>
        <w:tc>
          <w:tcPr>
            <w:tcW w:w="810" w:type="dxa"/>
            <w:vAlign w:val="bottom"/>
          </w:tcPr>
          <w:p w14:paraId="570F01BB">
            <w:pPr>
              <w:jc w:val="both"/>
              <w:rPr>
                <w:rFonts w:ascii="Arial" w:hAnsi="Arial" w:cs="Arial"/>
                <w:bCs/>
                <w:sz w:val="16"/>
                <w:szCs w:val="16"/>
              </w:rPr>
            </w:pPr>
            <w:r>
              <w:rPr>
                <w:rFonts w:ascii="Arial" w:hAnsi="Arial" w:cs="Arial"/>
                <w:bCs/>
                <w:sz w:val="16"/>
                <w:szCs w:val="16"/>
              </w:rPr>
              <w:t>79.25</w:t>
            </w:r>
          </w:p>
        </w:tc>
        <w:tc>
          <w:tcPr>
            <w:tcW w:w="810" w:type="dxa"/>
            <w:vAlign w:val="bottom"/>
          </w:tcPr>
          <w:p w14:paraId="75C2416A">
            <w:pPr>
              <w:jc w:val="both"/>
              <w:rPr>
                <w:rFonts w:ascii="Arial" w:hAnsi="Arial" w:cs="Arial"/>
                <w:bCs/>
                <w:sz w:val="16"/>
                <w:szCs w:val="16"/>
              </w:rPr>
            </w:pPr>
            <w:r>
              <w:rPr>
                <w:rFonts w:ascii="Arial" w:hAnsi="Arial" w:cs="Arial"/>
                <w:bCs/>
                <w:sz w:val="16"/>
                <w:szCs w:val="16"/>
              </w:rPr>
              <w:t>77.58</w:t>
            </w:r>
          </w:p>
        </w:tc>
        <w:tc>
          <w:tcPr>
            <w:tcW w:w="850" w:type="dxa"/>
            <w:vAlign w:val="bottom"/>
          </w:tcPr>
          <w:p w14:paraId="38548196">
            <w:pPr>
              <w:jc w:val="both"/>
              <w:rPr>
                <w:rFonts w:ascii="Arial" w:hAnsi="Arial" w:cs="Arial"/>
                <w:bCs/>
                <w:sz w:val="16"/>
                <w:szCs w:val="16"/>
              </w:rPr>
            </w:pPr>
            <w:r>
              <w:rPr>
                <w:rFonts w:ascii="Arial" w:hAnsi="Arial" w:cs="Arial"/>
                <w:bCs/>
                <w:sz w:val="16"/>
                <w:szCs w:val="16"/>
              </w:rPr>
              <w:t>75.20</w:t>
            </w:r>
          </w:p>
        </w:tc>
        <w:tc>
          <w:tcPr>
            <w:tcW w:w="630" w:type="dxa"/>
            <w:vAlign w:val="bottom"/>
          </w:tcPr>
          <w:p w14:paraId="1CFC178F">
            <w:pPr>
              <w:jc w:val="both"/>
              <w:rPr>
                <w:rFonts w:ascii="Arial" w:hAnsi="Arial" w:cs="Arial"/>
                <w:bCs/>
                <w:sz w:val="16"/>
                <w:szCs w:val="16"/>
              </w:rPr>
            </w:pPr>
            <w:r>
              <w:rPr>
                <w:rFonts w:ascii="Arial" w:hAnsi="Arial" w:cs="Arial"/>
                <w:bCs/>
                <w:sz w:val="16"/>
                <w:szCs w:val="16"/>
              </w:rPr>
              <w:t>1.3</w:t>
            </w:r>
          </w:p>
        </w:tc>
        <w:tc>
          <w:tcPr>
            <w:tcW w:w="810" w:type="dxa"/>
            <w:vAlign w:val="bottom"/>
          </w:tcPr>
          <w:p w14:paraId="0E20880B">
            <w:pPr>
              <w:jc w:val="both"/>
              <w:rPr>
                <w:rFonts w:ascii="Arial" w:hAnsi="Arial" w:cs="Arial"/>
                <w:bCs/>
                <w:sz w:val="16"/>
                <w:szCs w:val="16"/>
              </w:rPr>
            </w:pPr>
            <w:r>
              <w:rPr>
                <w:rFonts w:ascii="Arial" w:hAnsi="Arial" w:cs="Arial"/>
                <w:bCs/>
                <w:sz w:val="16"/>
                <w:szCs w:val="16"/>
              </w:rPr>
              <w:t>0.0916</w:t>
            </w:r>
          </w:p>
        </w:tc>
        <w:tc>
          <w:tcPr>
            <w:tcW w:w="726" w:type="dxa"/>
            <w:vAlign w:val="bottom"/>
          </w:tcPr>
          <w:p w14:paraId="110FBF3A">
            <w:pPr>
              <w:jc w:val="both"/>
              <w:rPr>
                <w:rFonts w:ascii="Arial" w:hAnsi="Arial" w:cs="Arial"/>
                <w:bCs/>
                <w:sz w:val="16"/>
                <w:szCs w:val="16"/>
              </w:rPr>
            </w:pPr>
            <w:r>
              <w:rPr>
                <w:rFonts w:ascii="Arial" w:hAnsi="Arial" w:cs="Arial"/>
                <w:bCs/>
                <w:sz w:val="16"/>
                <w:szCs w:val="16"/>
              </w:rPr>
              <w:t>0.1725</w:t>
            </w:r>
          </w:p>
        </w:tc>
      </w:tr>
      <w:tr w14:paraId="65055AE5">
        <w:tblPrEx>
          <w:tblCellMar>
            <w:top w:w="0" w:type="dxa"/>
            <w:left w:w="108" w:type="dxa"/>
            <w:bottom w:w="0" w:type="dxa"/>
            <w:right w:w="108" w:type="dxa"/>
          </w:tblCellMar>
        </w:tblPrEx>
        <w:trPr>
          <w:cantSplit/>
          <w:trHeight w:val="360" w:hRule="atLeast"/>
          <w:tblHeader/>
        </w:trPr>
        <w:tc>
          <w:tcPr>
            <w:tcW w:w="1275" w:type="dxa"/>
            <w:shd w:val="clear" w:color="auto" w:fill="auto"/>
            <w:noWrap/>
            <w:vAlign w:val="bottom"/>
          </w:tcPr>
          <w:p w14:paraId="27106129">
            <w:pPr>
              <w:jc w:val="both"/>
              <w:rPr>
                <w:rFonts w:ascii="Arial" w:hAnsi="Arial" w:cs="Arial"/>
                <w:bCs/>
                <w:sz w:val="16"/>
                <w:szCs w:val="16"/>
              </w:rPr>
            </w:pPr>
            <w:r>
              <w:rPr>
                <w:rFonts w:ascii="Arial" w:hAnsi="Arial" w:cs="Arial"/>
                <w:bCs/>
                <w:sz w:val="16"/>
                <w:szCs w:val="16"/>
              </w:rPr>
              <w:t xml:space="preserve">Hind leg circumference </w:t>
            </w:r>
          </w:p>
        </w:tc>
        <w:tc>
          <w:tcPr>
            <w:tcW w:w="720" w:type="dxa"/>
            <w:shd w:val="clear" w:color="auto" w:fill="auto"/>
            <w:noWrap/>
            <w:vAlign w:val="bottom"/>
          </w:tcPr>
          <w:p w14:paraId="3A6C24E2">
            <w:pPr>
              <w:jc w:val="both"/>
              <w:rPr>
                <w:rFonts w:ascii="Arial" w:hAnsi="Arial" w:cs="Arial"/>
                <w:bCs/>
                <w:sz w:val="16"/>
                <w:szCs w:val="16"/>
              </w:rPr>
            </w:pPr>
            <w:r>
              <w:rPr>
                <w:rFonts w:ascii="Arial" w:hAnsi="Arial" w:cs="Arial"/>
                <w:bCs/>
                <w:sz w:val="16"/>
                <w:szCs w:val="16"/>
              </w:rPr>
              <w:t>101.51</w:t>
            </w:r>
          </w:p>
        </w:tc>
        <w:tc>
          <w:tcPr>
            <w:tcW w:w="720" w:type="dxa"/>
            <w:shd w:val="clear" w:color="auto" w:fill="auto"/>
            <w:noWrap/>
            <w:vAlign w:val="bottom"/>
          </w:tcPr>
          <w:p w14:paraId="61CFB469">
            <w:pPr>
              <w:jc w:val="both"/>
              <w:rPr>
                <w:rFonts w:ascii="Arial" w:hAnsi="Arial" w:cs="Arial"/>
                <w:bCs/>
                <w:sz w:val="16"/>
                <w:szCs w:val="16"/>
              </w:rPr>
            </w:pPr>
            <w:r>
              <w:rPr>
                <w:rFonts w:ascii="Arial" w:hAnsi="Arial" w:cs="Arial"/>
                <w:bCs/>
                <w:sz w:val="16"/>
                <w:szCs w:val="16"/>
              </w:rPr>
              <w:t>99.11</w:t>
            </w:r>
          </w:p>
        </w:tc>
        <w:tc>
          <w:tcPr>
            <w:tcW w:w="720" w:type="dxa"/>
            <w:shd w:val="clear" w:color="auto" w:fill="auto"/>
            <w:noWrap/>
            <w:vAlign w:val="bottom"/>
          </w:tcPr>
          <w:p w14:paraId="784916D4">
            <w:pPr>
              <w:jc w:val="both"/>
              <w:rPr>
                <w:rFonts w:ascii="Arial" w:hAnsi="Arial" w:cs="Arial"/>
                <w:bCs/>
                <w:sz w:val="16"/>
                <w:szCs w:val="16"/>
              </w:rPr>
            </w:pPr>
            <w:r>
              <w:rPr>
                <w:rFonts w:ascii="Arial" w:hAnsi="Arial" w:cs="Arial"/>
                <w:bCs/>
                <w:sz w:val="16"/>
                <w:szCs w:val="16"/>
              </w:rPr>
              <w:t>103.04</w:t>
            </w:r>
          </w:p>
        </w:tc>
        <w:tc>
          <w:tcPr>
            <w:tcW w:w="612" w:type="dxa"/>
            <w:vAlign w:val="bottom"/>
          </w:tcPr>
          <w:p w14:paraId="26FDB86E">
            <w:pPr>
              <w:jc w:val="both"/>
              <w:rPr>
                <w:rFonts w:ascii="Arial" w:hAnsi="Arial" w:cs="Arial"/>
                <w:bCs/>
                <w:sz w:val="16"/>
                <w:szCs w:val="16"/>
              </w:rPr>
            </w:pPr>
            <w:r>
              <w:rPr>
                <w:rFonts w:ascii="Arial" w:hAnsi="Arial" w:cs="Arial"/>
                <w:bCs/>
                <w:sz w:val="16"/>
                <w:szCs w:val="16"/>
              </w:rPr>
              <w:t>3.71</w:t>
            </w:r>
          </w:p>
        </w:tc>
        <w:tc>
          <w:tcPr>
            <w:tcW w:w="720" w:type="dxa"/>
            <w:vAlign w:val="bottom"/>
          </w:tcPr>
          <w:p w14:paraId="6E991FB6">
            <w:pPr>
              <w:jc w:val="both"/>
              <w:rPr>
                <w:rFonts w:ascii="Arial" w:hAnsi="Arial" w:cs="Arial"/>
                <w:bCs/>
                <w:sz w:val="16"/>
                <w:szCs w:val="16"/>
              </w:rPr>
            </w:pPr>
            <w:r>
              <w:rPr>
                <w:rFonts w:ascii="Arial" w:hAnsi="Arial" w:cs="Arial"/>
                <w:bCs/>
                <w:sz w:val="16"/>
                <w:szCs w:val="16"/>
              </w:rPr>
              <w:t>0.6945</w:t>
            </w:r>
          </w:p>
        </w:tc>
        <w:tc>
          <w:tcPr>
            <w:tcW w:w="810" w:type="dxa"/>
            <w:vAlign w:val="bottom"/>
          </w:tcPr>
          <w:p w14:paraId="03627B76">
            <w:pPr>
              <w:jc w:val="both"/>
              <w:rPr>
                <w:rFonts w:ascii="Arial" w:hAnsi="Arial" w:cs="Arial"/>
                <w:bCs/>
                <w:sz w:val="16"/>
                <w:szCs w:val="16"/>
              </w:rPr>
            </w:pPr>
            <w:r>
              <w:rPr>
                <w:rFonts w:ascii="Arial" w:hAnsi="Arial" w:cs="Arial"/>
                <w:bCs/>
                <w:sz w:val="16"/>
                <w:szCs w:val="16"/>
              </w:rPr>
              <w:t>101.74</w:t>
            </w:r>
          </w:p>
        </w:tc>
        <w:tc>
          <w:tcPr>
            <w:tcW w:w="810" w:type="dxa"/>
            <w:vAlign w:val="bottom"/>
          </w:tcPr>
          <w:p w14:paraId="74271888">
            <w:pPr>
              <w:jc w:val="both"/>
              <w:rPr>
                <w:rFonts w:ascii="Arial" w:hAnsi="Arial" w:cs="Arial"/>
                <w:bCs/>
                <w:sz w:val="16"/>
                <w:szCs w:val="16"/>
              </w:rPr>
            </w:pPr>
            <w:r>
              <w:rPr>
                <w:rFonts w:ascii="Arial" w:hAnsi="Arial" w:cs="Arial"/>
                <w:bCs/>
                <w:sz w:val="16"/>
                <w:szCs w:val="16"/>
              </w:rPr>
              <w:t>104.73</w:t>
            </w:r>
          </w:p>
        </w:tc>
        <w:tc>
          <w:tcPr>
            <w:tcW w:w="850" w:type="dxa"/>
            <w:vAlign w:val="bottom"/>
          </w:tcPr>
          <w:p w14:paraId="1AE5223A">
            <w:pPr>
              <w:jc w:val="both"/>
              <w:rPr>
                <w:rFonts w:ascii="Arial" w:hAnsi="Arial" w:cs="Arial"/>
                <w:bCs/>
                <w:sz w:val="16"/>
                <w:szCs w:val="16"/>
              </w:rPr>
            </w:pPr>
            <w:r>
              <w:rPr>
                <w:rFonts w:ascii="Arial" w:hAnsi="Arial" w:cs="Arial"/>
                <w:bCs/>
                <w:sz w:val="16"/>
                <w:szCs w:val="16"/>
              </w:rPr>
              <w:t>97.18</w:t>
            </w:r>
          </w:p>
        </w:tc>
        <w:tc>
          <w:tcPr>
            <w:tcW w:w="630" w:type="dxa"/>
            <w:vAlign w:val="bottom"/>
          </w:tcPr>
          <w:p w14:paraId="635ED89F">
            <w:pPr>
              <w:jc w:val="both"/>
              <w:rPr>
                <w:rFonts w:ascii="Arial" w:hAnsi="Arial" w:cs="Arial"/>
                <w:bCs/>
                <w:sz w:val="16"/>
                <w:szCs w:val="16"/>
              </w:rPr>
            </w:pPr>
            <w:r>
              <w:rPr>
                <w:rFonts w:ascii="Arial" w:hAnsi="Arial" w:cs="Arial"/>
                <w:bCs/>
                <w:sz w:val="16"/>
                <w:szCs w:val="16"/>
              </w:rPr>
              <w:t>2.94</w:t>
            </w:r>
          </w:p>
        </w:tc>
        <w:tc>
          <w:tcPr>
            <w:tcW w:w="810" w:type="dxa"/>
            <w:vAlign w:val="bottom"/>
          </w:tcPr>
          <w:p w14:paraId="48A92587">
            <w:pPr>
              <w:jc w:val="both"/>
              <w:rPr>
                <w:rFonts w:ascii="Arial" w:hAnsi="Arial" w:cs="Arial"/>
                <w:bCs/>
                <w:sz w:val="16"/>
                <w:szCs w:val="16"/>
              </w:rPr>
            </w:pPr>
            <w:r>
              <w:rPr>
                <w:rFonts w:ascii="Arial" w:hAnsi="Arial" w:cs="Arial"/>
                <w:bCs/>
                <w:sz w:val="16"/>
                <w:szCs w:val="16"/>
              </w:rPr>
              <w:t>0.2917</w:t>
            </w:r>
          </w:p>
        </w:tc>
        <w:tc>
          <w:tcPr>
            <w:tcW w:w="726" w:type="dxa"/>
            <w:vAlign w:val="bottom"/>
          </w:tcPr>
          <w:p w14:paraId="1C1176C0">
            <w:pPr>
              <w:jc w:val="both"/>
              <w:rPr>
                <w:rFonts w:ascii="Arial" w:hAnsi="Arial" w:cs="Arial"/>
                <w:bCs/>
                <w:sz w:val="16"/>
                <w:szCs w:val="16"/>
              </w:rPr>
            </w:pPr>
            <w:r>
              <w:rPr>
                <w:rFonts w:ascii="Arial" w:hAnsi="Arial" w:cs="Arial"/>
                <w:bCs/>
                <w:sz w:val="16"/>
                <w:szCs w:val="16"/>
              </w:rPr>
              <w:t>0.4516</w:t>
            </w:r>
          </w:p>
        </w:tc>
      </w:tr>
      <w:tr w14:paraId="0EBE1955">
        <w:tblPrEx>
          <w:tblCellMar>
            <w:top w:w="0" w:type="dxa"/>
            <w:left w:w="108" w:type="dxa"/>
            <w:bottom w:w="0" w:type="dxa"/>
            <w:right w:w="108" w:type="dxa"/>
          </w:tblCellMar>
        </w:tblPrEx>
        <w:trPr>
          <w:cantSplit/>
          <w:trHeight w:val="360" w:hRule="atLeast"/>
          <w:tblHeader/>
        </w:trPr>
        <w:tc>
          <w:tcPr>
            <w:tcW w:w="1275" w:type="dxa"/>
            <w:shd w:val="clear" w:color="auto" w:fill="auto"/>
            <w:noWrap/>
            <w:vAlign w:val="bottom"/>
          </w:tcPr>
          <w:p w14:paraId="197CF768">
            <w:pPr>
              <w:jc w:val="both"/>
              <w:rPr>
                <w:rFonts w:ascii="Arial" w:hAnsi="Arial" w:cs="Arial"/>
                <w:bCs/>
                <w:sz w:val="16"/>
                <w:szCs w:val="16"/>
              </w:rPr>
            </w:pPr>
            <w:r>
              <w:rPr>
                <w:rFonts w:ascii="Arial" w:hAnsi="Arial" w:cs="Arial"/>
                <w:bCs/>
                <w:sz w:val="16"/>
                <w:szCs w:val="16"/>
              </w:rPr>
              <w:t xml:space="preserve">Chest depth </w:t>
            </w:r>
          </w:p>
        </w:tc>
        <w:tc>
          <w:tcPr>
            <w:tcW w:w="720" w:type="dxa"/>
            <w:shd w:val="clear" w:color="auto" w:fill="auto"/>
            <w:noWrap/>
            <w:vAlign w:val="bottom"/>
          </w:tcPr>
          <w:p w14:paraId="6A2C200E">
            <w:pPr>
              <w:jc w:val="both"/>
              <w:rPr>
                <w:rFonts w:ascii="Arial" w:hAnsi="Arial" w:cs="Arial"/>
                <w:bCs/>
                <w:sz w:val="16"/>
                <w:szCs w:val="16"/>
              </w:rPr>
            </w:pPr>
            <w:r>
              <w:rPr>
                <w:rFonts w:ascii="Arial" w:hAnsi="Arial" w:cs="Arial"/>
                <w:bCs/>
                <w:sz w:val="16"/>
                <w:szCs w:val="16"/>
              </w:rPr>
              <w:t>35.38</w:t>
            </w:r>
            <w:r>
              <w:rPr>
                <w:rFonts w:ascii="Arial" w:hAnsi="Arial" w:cs="Arial"/>
                <w:bCs/>
                <w:sz w:val="16"/>
                <w:szCs w:val="16"/>
                <w:vertAlign w:val="superscript"/>
              </w:rPr>
              <w:t>b</w:t>
            </w:r>
          </w:p>
        </w:tc>
        <w:tc>
          <w:tcPr>
            <w:tcW w:w="720" w:type="dxa"/>
            <w:shd w:val="clear" w:color="auto" w:fill="auto"/>
            <w:noWrap/>
            <w:vAlign w:val="bottom"/>
          </w:tcPr>
          <w:p w14:paraId="39D699AB">
            <w:pPr>
              <w:jc w:val="both"/>
              <w:rPr>
                <w:rFonts w:ascii="Arial" w:hAnsi="Arial" w:cs="Arial"/>
                <w:bCs/>
                <w:sz w:val="16"/>
                <w:szCs w:val="16"/>
              </w:rPr>
            </w:pPr>
            <w:r>
              <w:rPr>
                <w:rFonts w:ascii="Arial" w:hAnsi="Arial" w:cs="Arial"/>
                <w:bCs/>
                <w:sz w:val="16"/>
                <w:szCs w:val="16"/>
              </w:rPr>
              <w:t>37.07</w:t>
            </w:r>
            <w:r>
              <w:rPr>
                <w:rFonts w:ascii="Arial" w:hAnsi="Arial" w:cs="Arial"/>
                <w:bCs/>
                <w:sz w:val="16"/>
                <w:szCs w:val="16"/>
                <w:vertAlign w:val="superscript"/>
              </w:rPr>
              <w:t>b</w:t>
            </w:r>
          </w:p>
        </w:tc>
        <w:tc>
          <w:tcPr>
            <w:tcW w:w="720" w:type="dxa"/>
            <w:shd w:val="clear" w:color="auto" w:fill="auto"/>
            <w:noWrap/>
            <w:vAlign w:val="bottom"/>
          </w:tcPr>
          <w:p w14:paraId="78D21421">
            <w:pPr>
              <w:jc w:val="both"/>
              <w:rPr>
                <w:rFonts w:ascii="Arial" w:hAnsi="Arial" w:cs="Arial"/>
                <w:bCs/>
                <w:sz w:val="16"/>
                <w:szCs w:val="16"/>
              </w:rPr>
            </w:pPr>
            <w:r>
              <w:rPr>
                <w:rFonts w:ascii="Arial" w:hAnsi="Arial" w:cs="Arial"/>
                <w:bCs/>
                <w:sz w:val="16"/>
                <w:szCs w:val="16"/>
              </w:rPr>
              <w:t>42.43</w:t>
            </w:r>
            <w:r>
              <w:rPr>
                <w:rFonts w:ascii="Arial" w:hAnsi="Arial" w:cs="Arial"/>
                <w:bCs/>
                <w:sz w:val="16"/>
                <w:szCs w:val="16"/>
                <w:vertAlign w:val="superscript"/>
              </w:rPr>
              <w:t>a</w:t>
            </w:r>
          </w:p>
        </w:tc>
        <w:tc>
          <w:tcPr>
            <w:tcW w:w="612" w:type="dxa"/>
            <w:vAlign w:val="bottom"/>
          </w:tcPr>
          <w:p w14:paraId="2E5B1C1E">
            <w:pPr>
              <w:jc w:val="both"/>
              <w:rPr>
                <w:rFonts w:ascii="Arial" w:hAnsi="Arial" w:cs="Arial"/>
                <w:bCs/>
                <w:sz w:val="16"/>
                <w:szCs w:val="16"/>
              </w:rPr>
            </w:pPr>
            <w:r>
              <w:rPr>
                <w:rFonts w:ascii="Arial" w:hAnsi="Arial" w:cs="Arial"/>
                <w:bCs/>
                <w:sz w:val="16"/>
                <w:szCs w:val="16"/>
              </w:rPr>
              <w:t>1.05</w:t>
            </w:r>
          </w:p>
        </w:tc>
        <w:tc>
          <w:tcPr>
            <w:tcW w:w="720" w:type="dxa"/>
            <w:vAlign w:val="bottom"/>
          </w:tcPr>
          <w:p w14:paraId="7852748D">
            <w:pPr>
              <w:jc w:val="both"/>
              <w:rPr>
                <w:rFonts w:ascii="Arial" w:hAnsi="Arial" w:cs="Arial"/>
                <w:bCs/>
                <w:sz w:val="16"/>
                <w:szCs w:val="16"/>
              </w:rPr>
            </w:pPr>
            <w:r>
              <w:rPr>
                <w:rFonts w:ascii="Arial" w:hAnsi="Arial" w:cs="Arial"/>
                <w:bCs/>
                <w:sz w:val="16"/>
                <w:szCs w:val="16"/>
              </w:rPr>
              <w:t>0.0020</w:t>
            </w:r>
          </w:p>
        </w:tc>
        <w:tc>
          <w:tcPr>
            <w:tcW w:w="810" w:type="dxa"/>
            <w:vAlign w:val="bottom"/>
          </w:tcPr>
          <w:p w14:paraId="0E4E3445">
            <w:pPr>
              <w:jc w:val="both"/>
              <w:rPr>
                <w:rFonts w:ascii="Arial" w:hAnsi="Arial" w:cs="Arial"/>
                <w:bCs/>
                <w:sz w:val="16"/>
                <w:szCs w:val="16"/>
              </w:rPr>
            </w:pPr>
            <w:r>
              <w:rPr>
                <w:rFonts w:ascii="Arial" w:hAnsi="Arial" w:cs="Arial"/>
                <w:bCs/>
                <w:sz w:val="16"/>
                <w:szCs w:val="16"/>
              </w:rPr>
              <w:t>36.77</w:t>
            </w:r>
            <w:r>
              <w:rPr>
                <w:rFonts w:ascii="Arial" w:hAnsi="Arial" w:cs="Arial"/>
                <w:bCs/>
                <w:sz w:val="16"/>
                <w:szCs w:val="16"/>
                <w:vertAlign w:val="superscript"/>
              </w:rPr>
              <w:t>b</w:t>
            </w:r>
          </w:p>
        </w:tc>
        <w:tc>
          <w:tcPr>
            <w:tcW w:w="810" w:type="dxa"/>
            <w:vAlign w:val="bottom"/>
          </w:tcPr>
          <w:p w14:paraId="6937F608">
            <w:pPr>
              <w:jc w:val="both"/>
              <w:rPr>
                <w:rFonts w:ascii="Arial" w:hAnsi="Arial" w:cs="Arial"/>
                <w:bCs/>
                <w:sz w:val="16"/>
                <w:szCs w:val="16"/>
              </w:rPr>
            </w:pPr>
            <w:r>
              <w:rPr>
                <w:rFonts w:ascii="Arial" w:hAnsi="Arial" w:cs="Arial"/>
                <w:bCs/>
                <w:sz w:val="16"/>
                <w:szCs w:val="16"/>
              </w:rPr>
              <w:t>37.16</w:t>
            </w:r>
            <w:r>
              <w:rPr>
                <w:rFonts w:ascii="Arial" w:hAnsi="Arial" w:cs="Arial"/>
                <w:bCs/>
                <w:sz w:val="16"/>
                <w:szCs w:val="16"/>
                <w:vertAlign w:val="superscript"/>
              </w:rPr>
              <w:t>b</w:t>
            </w:r>
          </w:p>
        </w:tc>
        <w:tc>
          <w:tcPr>
            <w:tcW w:w="850" w:type="dxa"/>
            <w:vAlign w:val="bottom"/>
          </w:tcPr>
          <w:p w14:paraId="22E68F3D">
            <w:pPr>
              <w:jc w:val="both"/>
              <w:rPr>
                <w:rFonts w:ascii="Arial" w:hAnsi="Arial" w:cs="Arial"/>
                <w:bCs/>
                <w:sz w:val="16"/>
                <w:szCs w:val="16"/>
              </w:rPr>
            </w:pPr>
            <w:r>
              <w:rPr>
                <w:rFonts w:ascii="Arial" w:hAnsi="Arial" w:cs="Arial"/>
                <w:bCs/>
                <w:sz w:val="16"/>
                <w:szCs w:val="16"/>
              </w:rPr>
              <w:t>40.94</w:t>
            </w:r>
            <w:r>
              <w:rPr>
                <w:rFonts w:ascii="Arial" w:hAnsi="Arial" w:cs="Arial"/>
                <w:bCs/>
                <w:sz w:val="16"/>
                <w:szCs w:val="16"/>
                <w:vertAlign w:val="superscript"/>
              </w:rPr>
              <w:t>a</w:t>
            </w:r>
          </w:p>
        </w:tc>
        <w:tc>
          <w:tcPr>
            <w:tcW w:w="630" w:type="dxa"/>
            <w:vAlign w:val="bottom"/>
          </w:tcPr>
          <w:p w14:paraId="0211D415">
            <w:pPr>
              <w:jc w:val="both"/>
              <w:rPr>
                <w:rFonts w:ascii="Arial" w:hAnsi="Arial" w:cs="Arial"/>
                <w:bCs/>
                <w:sz w:val="16"/>
                <w:szCs w:val="16"/>
              </w:rPr>
            </w:pPr>
            <w:r>
              <w:rPr>
                <w:rFonts w:ascii="Arial" w:hAnsi="Arial" w:cs="Arial"/>
                <w:bCs/>
                <w:sz w:val="16"/>
                <w:szCs w:val="16"/>
              </w:rPr>
              <w:t>1.02</w:t>
            </w:r>
          </w:p>
        </w:tc>
        <w:tc>
          <w:tcPr>
            <w:tcW w:w="810" w:type="dxa"/>
            <w:vAlign w:val="bottom"/>
          </w:tcPr>
          <w:p w14:paraId="0101D099">
            <w:pPr>
              <w:jc w:val="both"/>
              <w:rPr>
                <w:rFonts w:ascii="Arial" w:hAnsi="Arial" w:cs="Arial"/>
                <w:bCs/>
                <w:sz w:val="16"/>
                <w:szCs w:val="16"/>
              </w:rPr>
            </w:pPr>
            <w:r>
              <w:rPr>
                <w:rFonts w:ascii="Arial" w:hAnsi="Arial" w:cs="Arial"/>
                <w:bCs/>
                <w:sz w:val="16"/>
                <w:szCs w:val="16"/>
              </w:rPr>
              <w:t>0.0203</w:t>
            </w:r>
          </w:p>
        </w:tc>
        <w:tc>
          <w:tcPr>
            <w:tcW w:w="726" w:type="dxa"/>
            <w:vAlign w:val="bottom"/>
          </w:tcPr>
          <w:p w14:paraId="3DAC1C15">
            <w:pPr>
              <w:jc w:val="both"/>
              <w:rPr>
                <w:rFonts w:ascii="Arial" w:hAnsi="Arial" w:cs="Arial"/>
                <w:bCs/>
                <w:sz w:val="16"/>
                <w:szCs w:val="16"/>
              </w:rPr>
            </w:pPr>
            <w:r>
              <w:rPr>
                <w:rFonts w:ascii="Arial" w:hAnsi="Arial" w:cs="Arial"/>
                <w:bCs/>
                <w:sz w:val="16"/>
                <w:szCs w:val="16"/>
              </w:rPr>
              <w:t>0.0206</w:t>
            </w:r>
          </w:p>
        </w:tc>
      </w:tr>
      <w:tr w14:paraId="00F3F410">
        <w:tblPrEx>
          <w:tblCellMar>
            <w:top w:w="0" w:type="dxa"/>
            <w:left w:w="108" w:type="dxa"/>
            <w:bottom w:w="0" w:type="dxa"/>
            <w:right w:w="108" w:type="dxa"/>
          </w:tblCellMar>
        </w:tblPrEx>
        <w:trPr>
          <w:cantSplit/>
          <w:trHeight w:val="360" w:hRule="atLeast"/>
          <w:tblHeader/>
        </w:trPr>
        <w:tc>
          <w:tcPr>
            <w:tcW w:w="1275" w:type="dxa"/>
            <w:shd w:val="clear" w:color="auto" w:fill="auto"/>
            <w:noWrap/>
            <w:vAlign w:val="bottom"/>
          </w:tcPr>
          <w:p w14:paraId="2DDE9218">
            <w:pPr>
              <w:jc w:val="both"/>
              <w:rPr>
                <w:rFonts w:ascii="Arial" w:hAnsi="Arial" w:cs="Arial"/>
                <w:bCs/>
                <w:sz w:val="16"/>
                <w:szCs w:val="16"/>
              </w:rPr>
            </w:pPr>
            <w:r>
              <w:rPr>
                <w:rFonts w:ascii="Arial" w:hAnsi="Arial" w:cs="Arial"/>
                <w:bCs/>
                <w:sz w:val="16"/>
                <w:szCs w:val="16"/>
              </w:rPr>
              <w:t xml:space="preserve">Fat thickness </w:t>
            </w:r>
          </w:p>
        </w:tc>
        <w:tc>
          <w:tcPr>
            <w:tcW w:w="720" w:type="dxa"/>
            <w:shd w:val="clear" w:color="auto" w:fill="auto"/>
            <w:noWrap/>
            <w:vAlign w:val="bottom"/>
          </w:tcPr>
          <w:p w14:paraId="4E976FBF">
            <w:pPr>
              <w:jc w:val="both"/>
              <w:rPr>
                <w:rFonts w:ascii="Arial" w:hAnsi="Arial" w:cs="Arial"/>
                <w:bCs/>
                <w:sz w:val="16"/>
                <w:szCs w:val="16"/>
              </w:rPr>
            </w:pPr>
            <w:r>
              <w:rPr>
                <w:rFonts w:ascii="Arial" w:hAnsi="Arial" w:cs="Arial"/>
                <w:bCs/>
                <w:sz w:val="16"/>
                <w:szCs w:val="16"/>
              </w:rPr>
              <w:t>0.59</w:t>
            </w:r>
            <w:r>
              <w:rPr>
                <w:rFonts w:ascii="Arial" w:hAnsi="Arial" w:cs="Arial"/>
                <w:bCs/>
                <w:sz w:val="16"/>
                <w:szCs w:val="16"/>
                <w:vertAlign w:val="superscript"/>
              </w:rPr>
              <w:t>b</w:t>
            </w:r>
          </w:p>
        </w:tc>
        <w:tc>
          <w:tcPr>
            <w:tcW w:w="720" w:type="dxa"/>
            <w:shd w:val="clear" w:color="auto" w:fill="auto"/>
            <w:noWrap/>
            <w:vAlign w:val="bottom"/>
          </w:tcPr>
          <w:p w14:paraId="22A6C1BD">
            <w:pPr>
              <w:jc w:val="both"/>
              <w:rPr>
                <w:rFonts w:ascii="Arial" w:hAnsi="Arial" w:cs="Arial"/>
                <w:bCs/>
                <w:sz w:val="16"/>
                <w:szCs w:val="16"/>
              </w:rPr>
            </w:pPr>
            <w:r>
              <w:rPr>
                <w:rFonts w:ascii="Arial" w:hAnsi="Arial" w:cs="Arial"/>
                <w:bCs/>
                <w:sz w:val="16"/>
                <w:szCs w:val="16"/>
              </w:rPr>
              <w:t>2.10</w:t>
            </w:r>
            <w:r>
              <w:rPr>
                <w:rFonts w:ascii="Arial" w:hAnsi="Arial" w:cs="Arial"/>
                <w:bCs/>
                <w:sz w:val="16"/>
                <w:szCs w:val="16"/>
                <w:vertAlign w:val="superscript"/>
              </w:rPr>
              <w:t>a</w:t>
            </w:r>
          </w:p>
        </w:tc>
        <w:tc>
          <w:tcPr>
            <w:tcW w:w="720" w:type="dxa"/>
            <w:shd w:val="clear" w:color="auto" w:fill="auto"/>
            <w:noWrap/>
            <w:vAlign w:val="bottom"/>
          </w:tcPr>
          <w:p w14:paraId="726330D8">
            <w:pPr>
              <w:jc w:val="both"/>
              <w:rPr>
                <w:rFonts w:ascii="Arial" w:hAnsi="Arial" w:cs="Arial"/>
                <w:bCs/>
                <w:sz w:val="16"/>
                <w:szCs w:val="16"/>
              </w:rPr>
            </w:pPr>
            <w:r>
              <w:rPr>
                <w:rFonts w:ascii="Arial" w:hAnsi="Arial" w:cs="Arial"/>
                <w:bCs/>
                <w:sz w:val="16"/>
                <w:szCs w:val="16"/>
              </w:rPr>
              <w:t>2.34</w:t>
            </w:r>
            <w:r>
              <w:rPr>
                <w:rFonts w:ascii="Arial" w:hAnsi="Arial" w:cs="Arial"/>
                <w:bCs/>
                <w:sz w:val="16"/>
                <w:szCs w:val="16"/>
                <w:vertAlign w:val="superscript"/>
              </w:rPr>
              <w:t>a</w:t>
            </w:r>
          </w:p>
        </w:tc>
        <w:tc>
          <w:tcPr>
            <w:tcW w:w="612" w:type="dxa"/>
            <w:vAlign w:val="bottom"/>
          </w:tcPr>
          <w:p w14:paraId="6255CFB8">
            <w:pPr>
              <w:jc w:val="both"/>
              <w:rPr>
                <w:rFonts w:ascii="Arial" w:hAnsi="Arial" w:cs="Arial"/>
                <w:bCs/>
                <w:sz w:val="16"/>
                <w:szCs w:val="16"/>
              </w:rPr>
            </w:pPr>
            <w:r>
              <w:rPr>
                <w:rFonts w:ascii="Arial" w:hAnsi="Arial" w:cs="Arial"/>
                <w:bCs/>
                <w:sz w:val="16"/>
                <w:szCs w:val="16"/>
              </w:rPr>
              <w:t>0.17</w:t>
            </w:r>
          </w:p>
        </w:tc>
        <w:tc>
          <w:tcPr>
            <w:tcW w:w="720" w:type="dxa"/>
            <w:vAlign w:val="bottom"/>
          </w:tcPr>
          <w:p w14:paraId="110EAC6C">
            <w:pPr>
              <w:jc w:val="both"/>
              <w:rPr>
                <w:rFonts w:ascii="Arial" w:hAnsi="Arial" w:cs="Arial"/>
                <w:bCs/>
                <w:sz w:val="16"/>
                <w:szCs w:val="16"/>
              </w:rPr>
            </w:pPr>
            <w:r>
              <w:rPr>
                <w:rFonts w:ascii="Arial" w:hAnsi="Arial" w:cs="Arial"/>
                <w:bCs/>
                <w:sz w:val="16"/>
                <w:szCs w:val="16"/>
              </w:rPr>
              <w:t>0.0002</w:t>
            </w:r>
          </w:p>
        </w:tc>
        <w:tc>
          <w:tcPr>
            <w:tcW w:w="810" w:type="dxa"/>
            <w:vAlign w:val="bottom"/>
          </w:tcPr>
          <w:p w14:paraId="7AF97842">
            <w:pPr>
              <w:jc w:val="both"/>
              <w:rPr>
                <w:rFonts w:ascii="Arial" w:hAnsi="Arial" w:cs="Arial"/>
                <w:bCs/>
                <w:sz w:val="16"/>
                <w:szCs w:val="16"/>
              </w:rPr>
            </w:pPr>
            <w:r>
              <w:rPr>
                <w:rFonts w:ascii="Arial" w:hAnsi="Arial" w:cs="Arial"/>
                <w:sz w:val="16"/>
                <w:szCs w:val="16"/>
              </w:rPr>
              <w:t>1.73</w:t>
            </w:r>
          </w:p>
        </w:tc>
        <w:tc>
          <w:tcPr>
            <w:tcW w:w="810" w:type="dxa"/>
            <w:vAlign w:val="bottom"/>
          </w:tcPr>
          <w:p w14:paraId="4F8771B0">
            <w:pPr>
              <w:jc w:val="both"/>
              <w:rPr>
                <w:rFonts w:ascii="Arial" w:hAnsi="Arial" w:cs="Arial"/>
                <w:bCs/>
                <w:sz w:val="16"/>
                <w:szCs w:val="16"/>
              </w:rPr>
            </w:pPr>
            <w:r>
              <w:rPr>
                <w:rFonts w:ascii="Arial" w:hAnsi="Arial" w:cs="Arial"/>
                <w:bCs/>
                <w:sz w:val="16"/>
                <w:szCs w:val="16"/>
              </w:rPr>
              <w:t>1.78</w:t>
            </w:r>
          </w:p>
        </w:tc>
        <w:tc>
          <w:tcPr>
            <w:tcW w:w="850" w:type="dxa"/>
            <w:vAlign w:val="bottom"/>
          </w:tcPr>
          <w:p w14:paraId="1A215491">
            <w:pPr>
              <w:jc w:val="both"/>
              <w:rPr>
                <w:rFonts w:ascii="Arial" w:hAnsi="Arial" w:cs="Arial"/>
                <w:bCs/>
                <w:sz w:val="16"/>
                <w:szCs w:val="16"/>
              </w:rPr>
            </w:pPr>
            <w:r>
              <w:rPr>
                <w:rFonts w:ascii="Arial" w:hAnsi="Arial" w:cs="Arial"/>
                <w:bCs/>
                <w:sz w:val="16"/>
                <w:szCs w:val="16"/>
              </w:rPr>
              <w:t>1.52</w:t>
            </w:r>
          </w:p>
        </w:tc>
        <w:tc>
          <w:tcPr>
            <w:tcW w:w="630" w:type="dxa"/>
            <w:vAlign w:val="bottom"/>
          </w:tcPr>
          <w:p w14:paraId="0BB5FA2C">
            <w:pPr>
              <w:jc w:val="both"/>
              <w:rPr>
                <w:rFonts w:ascii="Arial" w:hAnsi="Arial" w:cs="Arial"/>
                <w:bCs/>
                <w:sz w:val="16"/>
                <w:szCs w:val="16"/>
              </w:rPr>
            </w:pPr>
            <w:r>
              <w:rPr>
                <w:rFonts w:ascii="Arial" w:hAnsi="Arial" w:cs="Arial"/>
                <w:bCs/>
                <w:sz w:val="16"/>
                <w:szCs w:val="16"/>
              </w:rPr>
              <w:t>0.50</w:t>
            </w:r>
          </w:p>
        </w:tc>
        <w:tc>
          <w:tcPr>
            <w:tcW w:w="810" w:type="dxa"/>
            <w:vAlign w:val="bottom"/>
          </w:tcPr>
          <w:p w14:paraId="5F4B2600">
            <w:pPr>
              <w:jc w:val="both"/>
              <w:rPr>
                <w:rFonts w:ascii="Arial" w:hAnsi="Arial" w:cs="Arial"/>
                <w:bCs/>
                <w:sz w:val="16"/>
                <w:szCs w:val="16"/>
              </w:rPr>
            </w:pPr>
            <w:r>
              <w:rPr>
                <w:rFonts w:ascii="Arial" w:hAnsi="Arial" w:cs="Arial"/>
                <w:bCs/>
                <w:sz w:val="16"/>
                <w:szCs w:val="16"/>
              </w:rPr>
              <w:t>0.4528</w:t>
            </w:r>
          </w:p>
        </w:tc>
        <w:tc>
          <w:tcPr>
            <w:tcW w:w="726" w:type="dxa"/>
            <w:vAlign w:val="bottom"/>
          </w:tcPr>
          <w:p w14:paraId="60FDBACB">
            <w:pPr>
              <w:jc w:val="both"/>
              <w:rPr>
                <w:rFonts w:ascii="Arial" w:hAnsi="Arial" w:cs="Arial"/>
                <w:bCs/>
                <w:sz w:val="16"/>
                <w:szCs w:val="16"/>
              </w:rPr>
            </w:pPr>
            <w:r>
              <w:rPr>
                <w:rFonts w:ascii="Arial" w:hAnsi="Arial" w:cs="Arial"/>
                <w:bCs/>
                <w:sz w:val="16"/>
                <w:szCs w:val="16"/>
              </w:rPr>
              <w:t>0.5746</w:t>
            </w:r>
          </w:p>
        </w:tc>
      </w:tr>
      <w:tr w14:paraId="5011CBC0">
        <w:tblPrEx>
          <w:tblCellMar>
            <w:top w:w="0" w:type="dxa"/>
            <w:left w:w="108" w:type="dxa"/>
            <w:bottom w:w="0" w:type="dxa"/>
            <w:right w:w="108" w:type="dxa"/>
          </w:tblCellMar>
        </w:tblPrEx>
        <w:trPr>
          <w:cantSplit/>
          <w:trHeight w:val="315" w:hRule="atLeast"/>
          <w:tblHeader/>
        </w:trPr>
        <w:tc>
          <w:tcPr>
            <w:tcW w:w="3435" w:type="dxa"/>
            <w:gridSpan w:val="4"/>
            <w:shd w:val="clear" w:color="auto" w:fill="auto"/>
            <w:noWrap/>
            <w:vAlign w:val="bottom"/>
          </w:tcPr>
          <w:p w14:paraId="29E6B606">
            <w:pPr>
              <w:jc w:val="both"/>
              <w:rPr>
                <w:rFonts w:ascii="Arial" w:hAnsi="Arial" w:cs="Arial"/>
                <w:bCs/>
                <w:sz w:val="16"/>
                <w:szCs w:val="16"/>
              </w:rPr>
            </w:pPr>
            <w:r>
              <w:rPr>
                <w:rFonts w:ascii="Arial" w:hAnsi="Arial" w:cs="Arial"/>
                <w:bCs/>
                <w:sz w:val="16"/>
                <w:szCs w:val="16"/>
              </w:rPr>
              <w:t>% in the 6</w:t>
            </w:r>
            <w:r>
              <w:rPr>
                <w:rFonts w:ascii="Arial" w:hAnsi="Arial" w:cs="Arial"/>
                <w:bCs/>
                <w:sz w:val="16"/>
                <w:szCs w:val="16"/>
                <w:vertAlign w:val="superscript"/>
              </w:rPr>
              <w:t>th</w:t>
            </w:r>
            <w:r>
              <w:rPr>
                <w:rFonts w:ascii="Arial" w:hAnsi="Arial" w:cs="Arial"/>
                <w:bCs/>
                <w:sz w:val="16"/>
                <w:szCs w:val="16"/>
              </w:rPr>
              <w:t xml:space="preserve"> rib joint</w:t>
            </w:r>
          </w:p>
        </w:tc>
        <w:tc>
          <w:tcPr>
            <w:tcW w:w="612" w:type="dxa"/>
            <w:vAlign w:val="bottom"/>
          </w:tcPr>
          <w:p w14:paraId="12E1BE1A">
            <w:pPr>
              <w:jc w:val="both"/>
              <w:rPr>
                <w:rFonts w:ascii="Arial" w:hAnsi="Arial" w:cs="Arial"/>
                <w:bCs/>
                <w:sz w:val="16"/>
                <w:szCs w:val="16"/>
              </w:rPr>
            </w:pPr>
          </w:p>
        </w:tc>
        <w:tc>
          <w:tcPr>
            <w:tcW w:w="720" w:type="dxa"/>
            <w:vAlign w:val="bottom"/>
          </w:tcPr>
          <w:p w14:paraId="7946BA14">
            <w:pPr>
              <w:jc w:val="both"/>
              <w:rPr>
                <w:rFonts w:ascii="Arial" w:hAnsi="Arial" w:cs="Arial"/>
                <w:bCs/>
                <w:sz w:val="16"/>
                <w:szCs w:val="16"/>
              </w:rPr>
            </w:pPr>
          </w:p>
        </w:tc>
        <w:tc>
          <w:tcPr>
            <w:tcW w:w="810" w:type="dxa"/>
          </w:tcPr>
          <w:p w14:paraId="295D9687">
            <w:pPr>
              <w:jc w:val="both"/>
              <w:rPr>
                <w:rFonts w:ascii="Arial" w:hAnsi="Arial" w:cs="Arial"/>
                <w:bCs/>
                <w:sz w:val="16"/>
                <w:szCs w:val="16"/>
              </w:rPr>
            </w:pPr>
          </w:p>
        </w:tc>
        <w:tc>
          <w:tcPr>
            <w:tcW w:w="810" w:type="dxa"/>
          </w:tcPr>
          <w:p w14:paraId="066481A7">
            <w:pPr>
              <w:jc w:val="both"/>
              <w:rPr>
                <w:rFonts w:ascii="Arial" w:hAnsi="Arial" w:cs="Arial"/>
                <w:bCs/>
                <w:sz w:val="16"/>
                <w:szCs w:val="16"/>
              </w:rPr>
            </w:pPr>
          </w:p>
        </w:tc>
        <w:tc>
          <w:tcPr>
            <w:tcW w:w="850" w:type="dxa"/>
          </w:tcPr>
          <w:p w14:paraId="58CE9784">
            <w:pPr>
              <w:jc w:val="both"/>
              <w:rPr>
                <w:rFonts w:ascii="Arial" w:hAnsi="Arial" w:cs="Arial"/>
                <w:bCs/>
                <w:sz w:val="16"/>
                <w:szCs w:val="16"/>
              </w:rPr>
            </w:pPr>
          </w:p>
        </w:tc>
        <w:tc>
          <w:tcPr>
            <w:tcW w:w="630" w:type="dxa"/>
          </w:tcPr>
          <w:p w14:paraId="08979778">
            <w:pPr>
              <w:jc w:val="both"/>
              <w:rPr>
                <w:rFonts w:ascii="Arial" w:hAnsi="Arial" w:cs="Arial"/>
                <w:bCs/>
                <w:sz w:val="16"/>
                <w:szCs w:val="16"/>
              </w:rPr>
            </w:pPr>
          </w:p>
        </w:tc>
        <w:tc>
          <w:tcPr>
            <w:tcW w:w="810" w:type="dxa"/>
          </w:tcPr>
          <w:p w14:paraId="3A9A9B61">
            <w:pPr>
              <w:jc w:val="both"/>
              <w:rPr>
                <w:rFonts w:ascii="Arial" w:hAnsi="Arial" w:cs="Arial"/>
                <w:bCs/>
                <w:sz w:val="16"/>
                <w:szCs w:val="16"/>
              </w:rPr>
            </w:pPr>
          </w:p>
        </w:tc>
        <w:tc>
          <w:tcPr>
            <w:tcW w:w="726" w:type="dxa"/>
            <w:vAlign w:val="bottom"/>
          </w:tcPr>
          <w:p w14:paraId="5847A856">
            <w:pPr>
              <w:jc w:val="both"/>
              <w:rPr>
                <w:rFonts w:ascii="Arial" w:hAnsi="Arial" w:cs="Arial"/>
                <w:bCs/>
                <w:sz w:val="16"/>
                <w:szCs w:val="16"/>
              </w:rPr>
            </w:pPr>
          </w:p>
        </w:tc>
      </w:tr>
      <w:tr w14:paraId="526D6E61">
        <w:tblPrEx>
          <w:tblCellMar>
            <w:top w:w="0" w:type="dxa"/>
            <w:left w:w="108" w:type="dxa"/>
            <w:bottom w:w="0" w:type="dxa"/>
            <w:right w:w="108" w:type="dxa"/>
          </w:tblCellMar>
        </w:tblPrEx>
        <w:trPr>
          <w:cantSplit/>
          <w:trHeight w:val="315" w:hRule="atLeast"/>
          <w:tblHeader/>
        </w:trPr>
        <w:tc>
          <w:tcPr>
            <w:tcW w:w="1275" w:type="dxa"/>
            <w:shd w:val="clear" w:color="auto" w:fill="auto"/>
            <w:noWrap/>
            <w:vAlign w:val="bottom"/>
          </w:tcPr>
          <w:p w14:paraId="55C25CCA">
            <w:pPr>
              <w:jc w:val="both"/>
              <w:rPr>
                <w:rFonts w:ascii="Arial" w:hAnsi="Arial" w:cs="Arial"/>
                <w:bCs/>
                <w:sz w:val="16"/>
                <w:szCs w:val="16"/>
              </w:rPr>
            </w:pPr>
            <w:r>
              <w:rPr>
                <w:rFonts w:ascii="Arial" w:hAnsi="Arial" w:cs="Arial"/>
                <w:bCs/>
                <w:sz w:val="16"/>
                <w:szCs w:val="16"/>
              </w:rPr>
              <w:t xml:space="preserve">Muscle </w:t>
            </w:r>
          </w:p>
        </w:tc>
        <w:tc>
          <w:tcPr>
            <w:tcW w:w="720" w:type="dxa"/>
            <w:shd w:val="clear" w:color="auto" w:fill="auto"/>
            <w:noWrap/>
            <w:vAlign w:val="bottom"/>
          </w:tcPr>
          <w:p w14:paraId="1C6E9BA2">
            <w:pPr>
              <w:jc w:val="both"/>
              <w:rPr>
                <w:rFonts w:ascii="Arial" w:hAnsi="Arial" w:cs="Arial"/>
                <w:bCs/>
                <w:sz w:val="16"/>
                <w:szCs w:val="16"/>
              </w:rPr>
            </w:pPr>
            <w:r>
              <w:rPr>
                <w:rFonts w:ascii="Arial" w:hAnsi="Arial" w:cs="Arial"/>
                <w:bCs/>
                <w:sz w:val="16"/>
                <w:szCs w:val="16"/>
              </w:rPr>
              <w:t>59.41</w:t>
            </w:r>
          </w:p>
        </w:tc>
        <w:tc>
          <w:tcPr>
            <w:tcW w:w="720" w:type="dxa"/>
            <w:shd w:val="clear" w:color="auto" w:fill="auto"/>
            <w:noWrap/>
            <w:vAlign w:val="bottom"/>
          </w:tcPr>
          <w:p w14:paraId="5A555F0E">
            <w:pPr>
              <w:jc w:val="both"/>
              <w:rPr>
                <w:rFonts w:ascii="Arial" w:hAnsi="Arial" w:cs="Arial"/>
                <w:bCs/>
                <w:sz w:val="16"/>
                <w:szCs w:val="16"/>
              </w:rPr>
            </w:pPr>
            <w:r>
              <w:rPr>
                <w:rFonts w:ascii="Arial" w:hAnsi="Arial" w:cs="Arial"/>
                <w:bCs/>
                <w:sz w:val="16"/>
                <w:szCs w:val="16"/>
              </w:rPr>
              <w:t>62.5</w:t>
            </w:r>
          </w:p>
        </w:tc>
        <w:tc>
          <w:tcPr>
            <w:tcW w:w="720" w:type="dxa"/>
            <w:shd w:val="clear" w:color="auto" w:fill="auto"/>
            <w:noWrap/>
            <w:vAlign w:val="bottom"/>
          </w:tcPr>
          <w:p w14:paraId="182C87B0">
            <w:pPr>
              <w:jc w:val="both"/>
              <w:rPr>
                <w:rFonts w:ascii="Arial" w:hAnsi="Arial" w:cs="Arial"/>
                <w:bCs/>
                <w:sz w:val="16"/>
                <w:szCs w:val="16"/>
              </w:rPr>
            </w:pPr>
            <w:r>
              <w:rPr>
                <w:rFonts w:ascii="Arial" w:hAnsi="Arial" w:cs="Arial"/>
                <w:bCs/>
                <w:sz w:val="16"/>
                <w:szCs w:val="16"/>
              </w:rPr>
              <w:t>60.11</w:t>
            </w:r>
          </w:p>
        </w:tc>
        <w:tc>
          <w:tcPr>
            <w:tcW w:w="612" w:type="dxa"/>
            <w:vAlign w:val="bottom"/>
          </w:tcPr>
          <w:p w14:paraId="7F5E181E">
            <w:pPr>
              <w:jc w:val="both"/>
              <w:rPr>
                <w:rFonts w:ascii="Arial" w:hAnsi="Arial" w:cs="Arial"/>
                <w:bCs/>
                <w:sz w:val="16"/>
                <w:szCs w:val="16"/>
              </w:rPr>
            </w:pPr>
            <w:r>
              <w:rPr>
                <w:rFonts w:ascii="Arial" w:hAnsi="Arial" w:cs="Arial"/>
                <w:bCs/>
                <w:sz w:val="16"/>
                <w:szCs w:val="16"/>
              </w:rPr>
              <w:t>7.89</w:t>
            </w:r>
          </w:p>
        </w:tc>
        <w:tc>
          <w:tcPr>
            <w:tcW w:w="720" w:type="dxa"/>
            <w:vAlign w:val="bottom"/>
          </w:tcPr>
          <w:p w14:paraId="57D0250B">
            <w:pPr>
              <w:jc w:val="both"/>
              <w:rPr>
                <w:rFonts w:ascii="Arial" w:hAnsi="Arial" w:cs="Arial"/>
                <w:bCs/>
                <w:sz w:val="16"/>
                <w:szCs w:val="16"/>
              </w:rPr>
            </w:pPr>
            <w:r>
              <w:rPr>
                <w:rFonts w:ascii="Arial" w:hAnsi="Arial" w:cs="Arial"/>
                <w:bCs/>
                <w:sz w:val="16"/>
                <w:szCs w:val="16"/>
              </w:rPr>
              <w:t>0.5308</w:t>
            </w:r>
          </w:p>
        </w:tc>
        <w:tc>
          <w:tcPr>
            <w:tcW w:w="810" w:type="dxa"/>
            <w:vAlign w:val="bottom"/>
          </w:tcPr>
          <w:p w14:paraId="6729F16F">
            <w:pPr>
              <w:jc w:val="both"/>
              <w:rPr>
                <w:rFonts w:ascii="Arial" w:hAnsi="Arial" w:cs="Arial"/>
                <w:bCs/>
                <w:sz w:val="16"/>
                <w:szCs w:val="16"/>
              </w:rPr>
            </w:pPr>
            <w:r>
              <w:rPr>
                <w:rFonts w:ascii="Arial" w:hAnsi="Arial" w:cs="Arial"/>
                <w:bCs/>
                <w:sz w:val="16"/>
                <w:szCs w:val="16"/>
              </w:rPr>
              <w:t>60.24</w:t>
            </w:r>
          </w:p>
        </w:tc>
        <w:tc>
          <w:tcPr>
            <w:tcW w:w="810" w:type="dxa"/>
            <w:vAlign w:val="bottom"/>
          </w:tcPr>
          <w:p w14:paraId="4F201261">
            <w:pPr>
              <w:jc w:val="both"/>
              <w:rPr>
                <w:rFonts w:ascii="Arial" w:hAnsi="Arial" w:cs="Arial"/>
                <w:bCs/>
                <w:sz w:val="16"/>
                <w:szCs w:val="16"/>
              </w:rPr>
            </w:pPr>
            <w:r>
              <w:rPr>
                <w:rFonts w:ascii="Arial" w:hAnsi="Arial" w:cs="Arial"/>
                <w:bCs/>
                <w:sz w:val="16"/>
                <w:szCs w:val="16"/>
              </w:rPr>
              <w:t>61.36</w:t>
            </w:r>
          </w:p>
        </w:tc>
        <w:tc>
          <w:tcPr>
            <w:tcW w:w="850" w:type="dxa"/>
            <w:vAlign w:val="bottom"/>
          </w:tcPr>
          <w:p w14:paraId="1C6DF206">
            <w:pPr>
              <w:jc w:val="both"/>
              <w:rPr>
                <w:rFonts w:ascii="Arial" w:hAnsi="Arial" w:cs="Arial"/>
                <w:bCs/>
                <w:sz w:val="16"/>
                <w:szCs w:val="16"/>
              </w:rPr>
            </w:pPr>
            <w:r>
              <w:rPr>
                <w:rFonts w:ascii="Arial" w:hAnsi="Arial" w:cs="Arial"/>
                <w:bCs/>
                <w:sz w:val="16"/>
                <w:szCs w:val="16"/>
              </w:rPr>
              <w:t>60.5</w:t>
            </w:r>
          </w:p>
        </w:tc>
        <w:tc>
          <w:tcPr>
            <w:tcW w:w="630" w:type="dxa"/>
            <w:vAlign w:val="bottom"/>
          </w:tcPr>
          <w:p w14:paraId="40EAA167">
            <w:pPr>
              <w:jc w:val="both"/>
              <w:rPr>
                <w:rFonts w:ascii="Arial" w:hAnsi="Arial" w:cs="Arial"/>
                <w:bCs/>
                <w:sz w:val="16"/>
                <w:szCs w:val="16"/>
              </w:rPr>
            </w:pPr>
            <w:r>
              <w:rPr>
                <w:rFonts w:ascii="Arial" w:hAnsi="Arial" w:cs="Arial"/>
                <w:bCs/>
                <w:sz w:val="16"/>
                <w:szCs w:val="16"/>
              </w:rPr>
              <w:t>7.89</w:t>
            </w:r>
          </w:p>
        </w:tc>
        <w:tc>
          <w:tcPr>
            <w:tcW w:w="810" w:type="dxa"/>
            <w:vAlign w:val="bottom"/>
          </w:tcPr>
          <w:p w14:paraId="043EC25D">
            <w:pPr>
              <w:jc w:val="both"/>
              <w:rPr>
                <w:rFonts w:ascii="Arial" w:hAnsi="Arial" w:cs="Arial"/>
                <w:bCs/>
                <w:sz w:val="16"/>
                <w:szCs w:val="16"/>
              </w:rPr>
            </w:pPr>
            <w:r>
              <w:rPr>
                <w:rFonts w:ascii="Arial" w:hAnsi="Arial" w:cs="Arial"/>
                <w:bCs/>
                <w:sz w:val="16"/>
                <w:szCs w:val="16"/>
              </w:rPr>
              <w:t>0.6350</w:t>
            </w:r>
          </w:p>
        </w:tc>
        <w:tc>
          <w:tcPr>
            <w:tcW w:w="726" w:type="dxa"/>
            <w:vAlign w:val="bottom"/>
          </w:tcPr>
          <w:p w14:paraId="76B32A5F">
            <w:pPr>
              <w:jc w:val="both"/>
              <w:rPr>
                <w:rFonts w:ascii="Arial" w:hAnsi="Arial" w:cs="Arial"/>
                <w:bCs/>
                <w:sz w:val="16"/>
                <w:szCs w:val="16"/>
              </w:rPr>
            </w:pPr>
            <w:r>
              <w:rPr>
                <w:rFonts w:ascii="Arial" w:hAnsi="Arial" w:cs="Arial"/>
                <w:bCs/>
                <w:sz w:val="16"/>
                <w:szCs w:val="16"/>
              </w:rPr>
              <w:t>0.7126</w:t>
            </w:r>
          </w:p>
        </w:tc>
      </w:tr>
      <w:tr w14:paraId="2579F628">
        <w:tblPrEx>
          <w:tblCellMar>
            <w:top w:w="0" w:type="dxa"/>
            <w:left w:w="108" w:type="dxa"/>
            <w:bottom w:w="0" w:type="dxa"/>
            <w:right w:w="108" w:type="dxa"/>
          </w:tblCellMar>
        </w:tblPrEx>
        <w:trPr>
          <w:cantSplit/>
          <w:trHeight w:val="315" w:hRule="atLeast"/>
          <w:tblHeader/>
        </w:trPr>
        <w:tc>
          <w:tcPr>
            <w:tcW w:w="1275" w:type="dxa"/>
            <w:shd w:val="clear" w:color="auto" w:fill="auto"/>
            <w:noWrap/>
            <w:vAlign w:val="bottom"/>
          </w:tcPr>
          <w:p w14:paraId="4B30606B">
            <w:pPr>
              <w:jc w:val="both"/>
              <w:rPr>
                <w:rFonts w:ascii="Arial" w:hAnsi="Arial" w:cs="Arial"/>
                <w:bCs/>
                <w:sz w:val="16"/>
                <w:szCs w:val="16"/>
              </w:rPr>
            </w:pPr>
            <w:r>
              <w:rPr>
                <w:rFonts w:ascii="Arial" w:hAnsi="Arial" w:cs="Arial"/>
                <w:bCs/>
                <w:sz w:val="16"/>
                <w:szCs w:val="16"/>
              </w:rPr>
              <w:t xml:space="preserve">Fat </w:t>
            </w:r>
          </w:p>
        </w:tc>
        <w:tc>
          <w:tcPr>
            <w:tcW w:w="720" w:type="dxa"/>
            <w:shd w:val="clear" w:color="auto" w:fill="auto"/>
            <w:noWrap/>
            <w:vAlign w:val="bottom"/>
          </w:tcPr>
          <w:p w14:paraId="19EFD944">
            <w:pPr>
              <w:jc w:val="both"/>
              <w:rPr>
                <w:rFonts w:ascii="Arial" w:hAnsi="Arial" w:cs="Arial"/>
                <w:bCs/>
                <w:sz w:val="16"/>
                <w:szCs w:val="16"/>
              </w:rPr>
            </w:pPr>
            <w:r>
              <w:rPr>
                <w:rFonts w:ascii="Arial" w:hAnsi="Arial" w:cs="Arial"/>
                <w:bCs/>
                <w:sz w:val="16"/>
                <w:szCs w:val="16"/>
              </w:rPr>
              <w:t>17.72</w:t>
            </w:r>
          </w:p>
        </w:tc>
        <w:tc>
          <w:tcPr>
            <w:tcW w:w="720" w:type="dxa"/>
            <w:shd w:val="clear" w:color="auto" w:fill="auto"/>
            <w:noWrap/>
            <w:vAlign w:val="bottom"/>
          </w:tcPr>
          <w:p w14:paraId="216ECADD">
            <w:pPr>
              <w:jc w:val="both"/>
              <w:rPr>
                <w:rFonts w:ascii="Arial" w:hAnsi="Arial" w:cs="Arial"/>
                <w:bCs/>
                <w:sz w:val="16"/>
                <w:szCs w:val="16"/>
              </w:rPr>
            </w:pPr>
            <w:r>
              <w:rPr>
                <w:rFonts w:ascii="Arial" w:hAnsi="Arial" w:cs="Arial"/>
                <w:bCs/>
                <w:sz w:val="16"/>
                <w:szCs w:val="16"/>
              </w:rPr>
              <w:t>18.88</w:t>
            </w:r>
          </w:p>
        </w:tc>
        <w:tc>
          <w:tcPr>
            <w:tcW w:w="720" w:type="dxa"/>
            <w:shd w:val="clear" w:color="auto" w:fill="auto"/>
            <w:noWrap/>
            <w:vAlign w:val="bottom"/>
          </w:tcPr>
          <w:p w14:paraId="32694CDD">
            <w:pPr>
              <w:jc w:val="both"/>
              <w:rPr>
                <w:rFonts w:ascii="Arial" w:hAnsi="Arial" w:cs="Arial"/>
                <w:bCs/>
                <w:sz w:val="16"/>
                <w:szCs w:val="16"/>
              </w:rPr>
            </w:pPr>
            <w:r>
              <w:rPr>
                <w:rFonts w:ascii="Arial" w:hAnsi="Arial" w:cs="Arial"/>
                <w:bCs/>
                <w:sz w:val="16"/>
                <w:szCs w:val="16"/>
              </w:rPr>
              <w:t>20.5</w:t>
            </w:r>
          </w:p>
        </w:tc>
        <w:tc>
          <w:tcPr>
            <w:tcW w:w="612" w:type="dxa"/>
            <w:vAlign w:val="bottom"/>
          </w:tcPr>
          <w:p w14:paraId="0CB68631">
            <w:pPr>
              <w:jc w:val="both"/>
              <w:rPr>
                <w:rFonts w:ascii="Arial" w:hAnsi="Arial" w:cs="Arial"/>
                <w:bCs/>
                <w:sz w:val="16"/>
                <w:szCs w:val="16"/>
              </w:rPr>
            </w:pPr>
            <w:r>
              <w:rPr>
                <w:rFonts w:ascii="Arial" w:hAnsi="Arial" w:cs="Arial"/>
                <w:bCs/>
                <w:sz w:val="16"/>
                <w:szCs w:val="16"/>
              </w:rPr>
              <w:t>3.60</w:t>
            </w:r>
          </w:p>
        </w:tc>
        <w:tc>
          <w:tcPr>
            <w:tcW w:w="720" w:type="dxa"/>
            <w:vAlign w:val="bottom"/>
          </w:tcPr>
          <w:p w14:paraId="5146B95A">
            <w:pPr>
              <w:jc w:val="both"/>
              <w:rPr>
                <w:rFonts w:ascii="Arial" w:hAnsi="Arial" w:cs="Arial"/>
                <w:bCs/>
                <w:sz w:val="16"/>
                <w:szCs w:val="16"/>
              </w:rPr>
            </w:pPr>
            <w:r>
              <w:rPr>
                <w:rFonts w:ascii="Arial" w:hAnsi="Arial" w:cs="Arial"/>
                <w:bCs/>
                <w:sz w:val="16"/>
                <w:szCs w:val="16"/>
              </w:rPr>
              <w:t>0.6417</w:t>
            </w:r>
          </w:p>
        </w:tc>
        <w:tc>
          <w:tcPr>
            <w:tcW w:w="810" w:type="dxa"/>
            <w:vAlign w:val="bottom"/>
          </w:tcPr>
          <w:p w14:paraId="21418A56">
            <w:pPr>
              <w:jc w:val="both"/>
              <w:rPr>
                <w:rFonts w:ascii="Arial" w:hAnsi="Arial" w:cs="Arial"/>
                <w:bCs/>
                <w:sz w:val="16"/>
                <w:szCs w:val="16"/>
              </w:rPr>
            </w:pPr>
            <w:r>
              <w:rPr>
                <w:rFonts w:ascii="Arial" w:hAnsi="Arial" w:cs="Arial"/>
                <w:bCs/>
                <w:sz w:val="16"/>
                <w:szCs w:val="16"/>
              </w:rPr>
              <w:t>18.55</w:t>
            </w:r>
          </w:p>
        </w:tc>
        <w:tc>
          <w:tcPr>
            <w:tcW w:w="810" w:type="dxa"/>
            <w:vAlign w:val="bottom"/>
          </w:tcPr>
          <w:p w14:paraId="6A64DA82">
            <w:pPr>
              <w:jc w:val="both"/>
              <w:rPr>
                <w:rFonts w:ascii="Arial" w:hAnsi="Arial" w:cs="Arial"/>
                <w:bCs/>
                <w:sz w:val="16"/>
                <w:szCs w:val="16"/>
              </w:rPr>
            </w:pPr>
            <w:r>
              <w:rPr>
                <w:rFonts w:ascii="Arial" w:hAnsi="Arial" w:cs="Arial"/>
                <w:bCs/>
                <w:sz w:val="16"/>
                <w:szCs w:val="16"/>
              </w:rPr>
              <w:t>19</w:t>
            </w:r>
          </w:p>
        </w:tc>
        <w:tc>
          <w:tcPr>
            <w:tcW w:w="850" w:type="dxa"/>
            <w:vAlign w:val="bottom"/>
          </w:tcPr>
          <w:p w14:paraId="3A1FA231">
            <w:pPr>
              <w:jc w:val="both"/>
              <w:rPr>
                <w:rFonts w:ascii="Arial" w:hAnsi="Arial" w:cs="Arial"/>
                <w:bCs/>
                <w:sz w:val="16"/>
                <w:szCs w:val="16"/>
              </w:rPr>
            </w:pPr>
            <w:r>
              <w:rPr>
                <w:rFonts w:ascii="Arial" w:hAnsi="Arial" w:cs="Arial"/>
                <w:bCs/>
                <w:sz w:val="16"/>
                <w:szCs w:val="16"/>
              </w:rPr>
              <w:t>20.49</w:t>
            </w:r>
          </w:p>
        </w:tc>
        <w:tc>
          <w:tcPr>
            <w:tcW w:w="630" w:type="dxa"/>
            <w:vAlign w:val="bottom"/>
          </w:tcPr>
          <w:p w14:paraId="6A9DFA08">
            <w:pPr>
              <w:jc w:val="both"/>
              <w:rPr>
                <w:rFonts w:ascii="Arial" w:hAnsi="Arial" w:cs="Arial"/>
                <w:bCs/>
                <w:sz w:val="16"/>
                <w:szCs w:val="16"/>
              </w:rPr>
            </w:pPr>
            <w:r>
              <w:rPr>
                <w:rFonts w:ascii="Arial" w:hAnsi="Arial" w:cs="Arial"/>
                <w:bCs/>
                <w:sz w:val="16"/>
                <w:szCs w:val="16"/>
              </w:rPr>
              <w:t>3.60</w:t>
            </w:r>
          </w:p>
        </w:tc>
        <w:tc>
          <w:tcPr>
            <w:tcW w:w="810" w:type="dxa"/>
            <w:vAlign w:val="bottom"/>
          </w:tcPr>
          <w:p w14:paraId="498DE2A4">
            <w:pPr>
              <w:jc w:val="both"/>
              <w:rPr>
                <w:rFonts w:ascii="Arial" w:hAnsi="Arial" w:cs="Arial"/>
                <w:bCs/>
                <w:sz w:val="16"/>
                <w:szCs w:val="16"/>
              </w:rPr>
            </w:pPr>
            <w:r>
              <w:rPr>
                <w:rFonts w:ascii="Arial" w:hAnsi="Arial" w:cs="Arial"/>
                <w:bCs/>
                <w:sz w:val="16"/>
                <w:szCs w:val="16"/>
              </w:rPr>
              <w:t>0.5576</w:t>
            </w:r>
          </w:p>
        </w:tc>
        <w:tc>
          <w:tcPr>
            <w:tcW w:w="726" w:type="dxa"/>
            <w:vAlign w:val="bottom"/>
          </w:tcPr>
          <w:p w14:paraId="633C9055">
            <w:pPr>
              <w:jc w:val="both"/>
              <w:rPr>
                <w:rFonts w:ascii="Arial" w:hAnsi="Arial" w:cs="Arial"/>
                <w:bCs/>
                <w:sz w:val="16"/>
                <w:szCs w:val="16"/>
              </w:rPr>
            </w:pPr>
            <w:r>
              <w:rPr>
                <w:rFonts w:ascii="Arial" w:hAnsi="Arial" w:cs="Arial"/>
                <w:bCs/>
                <w:sz w:val="16"/>
                <w:szCs w:val="16"/>
              </w:rPr>
              <w:t>0.3240</w:t>
            </w:r>
          </w:p>
        </w:tc>
      </w:tr>
      <w:tr w14:paraId="6E0C5675">
        <w:tblPrEx>
          <w:tblCellMar>
            <w:top w:w="0" w:type="dxa"/>
            <w:left w:w="108" w:type="dxa"/>
            <w:bottom w:w="0" w:type="dxa"/>
            <w:right w:w="108" w:type="dxa"/>
          </w:tblCellMar>
        </w:tblPrEx>
        <w:trPr>
          <w:cantSplit/>
          <w:trHeight w:val="315" w:hRule="atLeast"/>
          <w:tblHeader/>
        </w:trPr>
        <w:tc>
          <w:tcPr>
            <w:tcW w:w="1275" w:type="dxa"/>
            <w:tcBorders>
              <w:bottom w:val="single" w:color="auto" w:sz="4" w:space="0"/>
            </w:tcBorders>
            <w:shd w:val="clear" w:color="auto" w:fill="auto"/>
            <w:noWrap/>
            <w:vAlign w:val="bottom"/>
          </w:tcPr>
          <w:p w14:paraId="52E517E0">
            <w:pPr>
              <w:jc w:val="both"/>
              <w:rPr>
                <w:rFonts w:ascii="Arial" w:hAnsi="Arial" w:cs="Arial"/>
                <w:bCs/>
                <w:sz w:val="16"/>
                <w:szCs w:val="16"/>
              </w:rPr>
            </w:pPr>
            <w:r>
              <w:rPr>
                <w:rFonts w:ascii="Arial" w:hAnsi="Arial" w:cs="Arial"/>
                <w:bCs/>
                <w:sz w:val="16"/>
                <w:szCs w:val="16"/>
              </w:rPr>
              <w:t>Bone</w:t>
            </w:r>
          </w:p>
        </w:tc>
        <w:tc>
          <w:tcPr>
            <w:tcW w:w="720" w:type="dxa"/>
            <w:tcBorders>
              <w:bottom w:val="single" w:color="auto" w:sz="4" w:space="0"/>
            </w:tcBorders>
            <w:shd w:val="clear" w:color="auto" w:fill="auto"/>
            <w:noWrap/>
            <w:vAlign w:val="bottom"/>
          </w:tcPr>
          <w:p w14:paraId="39D1C0D2">
            <w:pPr>
              <w:jc w:val="both"/>
              <w:rPr>
                <w:rFonts w:ascii="Arial" w:hAnsi="Arial" w:cs="Arial"/>
                <w:bCs/>
                <w:sz w:val="16"/>
                <w:szCs w:val="16"/>
              </w:rPr>
            </w:pPr>
            <w:r>
              <w:rPr>
                <w:rFonts w:ascii="Arial" w:hAnsi="Arial" w:cs="Arial"/>
                <w:bCs/>
                <w:sz w:val="16"/>
                <w:szCs w:val="16"/>
              </w:rPr>
              <w:t>22.87</w:t>
            </w:r>
          </w:p>
        </w:tc>
        <w:tc>
          <w:tcPr>
            <w:tcW w:w="720" w:type="dxa"/>
            <w:tcBorders>
              <w:bottom w:val="single" w:color="auto" w:sz="4" w:space="0"/>
            </w:tcBorders>
            <w:shd w:val="clear" w:color="auto" w:fill="auto"/>
            <w:noWrap/>
            <w:vAlign w:val="bottom"/>
          </w:tcPr>
          <w:p w14:paraId="3EDF06F7">
            <w:pPr>
              <w:jc w:val="both"/>
              <w:rPr>
                <w:rFonts w:ascii="Arial" w:hAnsi="Arial" w:cs="Arial"/>
                <w:bCs/>
                <w:sz w:val="16"/>
                <w:szCs w:val="16"/>
              </w:rPr>
            </w:pPr>
            <w:r>
              <w:rPr>
                <w:rFonts w:ascii="Arial" w:hAnsi="Arial" w:cs="Arial"/>
                <w:bCs/>
                <w:sz w:val="16"/>
                <w:szCs w:val="16"/>
              </w:rPr>
              <w:t>18.62</w:t>
            </w:r>
          </w:p>
        </w:tc>
        <w:tc>
          <w:tcPr>
            <w:tcW w:w="720" w:type="dxa"/>
            <w:tcBorders>
              <w:bottom w:val="single" w:color="auto" w:sz="4" w:space="0"/>
            </w:tcBorders>
            <w:shd w:val="clear" w:color="auto" w:fill="auto"/>
            <w:noWrap/>
            <w:vAlign w:val="bottom"/>
          </w:tcPr>
          <w:p w14:paraId="0D1B00EF">
            <w:pPr>
              <w:jc w:val="both"/>
              <w:rPr>
                <w:rFonts w:ascii="Arial" w:hAnsi="Arial" w:cs="Arial"/>
                <w:bCs/>
                <w:sz w:val="16"/>
                <w:szCs w:val="16"/>
              </w:rPr>
            </w:pPr>
            <w:r>
              <w:rPr>
                <w:rFonts w:ascii="Arial" w:hAnsi="Arial" w:cs="Arial"/>
                <w:bCs/>
                <w:sz w:val="16"/>
                <w:szCs w:val="16"/>
              </w:rPr>
              <w:t>19.39</w:t>
            </w:r>
          </w:p>
        </w:tc>
        <w:tc>
          <w:tcPr>
            <w:tcW w:w="612" w:type="dxa"/>
            <w:tcBorders>
              <w:bottom w:val="single" w:color="auto" w:sz="4" w:space="0"/>
            </w:tcBorders>
            <w:vAlign w:val="bottom"/>
          </w:tcPr>
          <w:p w14:paraId="5FFF8413">
            <w:pPr>
              <w:jc w:val="both"/>
              <w:rPr>
                <w:rFonts w:ascii="Arial" w:hAnsi="Arial" w:cs="Arial"/>
                <w:bCs/>
                <w:sz w:val="16"/>
                <w:szCs w:val="16"/>
              </w:rPr>
            </w:pPr>
            <w:r>
              <w:rPr>
                <w:rFonts w:ascii="Arial" w:hAnsi="Arial" w:cs="Arial"/>
                <w:bCs/>
                <w:sz w:val="16"/>
                <w:szCs w:val="16"/>
              </w:rPr>
              <w:t>4.21</w:t>
            </w:r>
          </w:p>
        </w:tc>
        <w:tc>
          <w:tcPr>
            <w:tcW w:w="720" w:type="dxa"/>
            <w:tcBorders>
              <w:bottom w:val="single" w:color="auto" w:sz="4" w:space="0"/>
            </w:tcBorders>
            <w:vAlign w:val="bottom"/>
          </w:tcPr>
          <w:p w14:paraId="687AB008">
            <w:pPr>
              <w:jc w:val="both"/>
              <w:rPr>
                <w:rFonts w:ascii="Arial" w:hAnsi="Arial" w:cs="Arial"/>
                <w:bCs/>
                <w:sz w:val="16"/>
                <w:szCs w:val="16"/>
              </w:rPr>
            </w:pPr>
            <w:r>
              <w:rPr>
                <w:rFonts w:ascii="Arial" w:hAnsi="Arial" w:cs="Arial"/>
                <w:bCs/>
                <w:sz w:val="16"/>
                <w:szCs w:val="16"/>
              </w:rPr>
              <w:t>0.6727</w:t>
            </w:r>
          </w:p>
        </w:tc>
        <w:tc>
          <w:tcPr>
            <w:tcW w:w="810" w:type="dxa"/>
            <w:tcBorders>
              <w:bottom w:val="single" w:color="auto" w:sz="4" w:space="0"/>
            </w:tcBorders>
            <w:vAlign w:val="bottom"/>
          </w:tcPr>
          <w:p w14:paraId="45C008A9">
            <w:pPr>
              <w:jc w:val="both"/>
              <w:rPr>
                <w:rFonts w:ascii="Arial" w:hAnsi="Arial" w:cs="Arial"/>
                <w:bCs/>
                <w:sz w:val="16"/>
                <w:szCs w:val="16"/>
              </w:rPr>
            </w:pPr>
            <w:r>
              <w:rPr>
                <w:rFonts w:ascii="Arial" w:hAnsi="Arial" w:cs="Arial"/>
                <w:bCs/>
                <w:sz w:val="16"/>
                <w:szCs w:val="16"/>
              </w:rPr>
              <w:t>21.21</w:t>
            </w:r>
          </w:p>
        </w:tc>
        <w:tc>
          <w:tcPr>
            <w:tcW w:w="810" w:type="dxa"/>
            <w:tcBorders>
              <w:bottom w:val="single" w:color="auto" w:sz="4" w:space="0"/>
            </w:tcBorders>
            <w:vAlign w:val="bottom"/>
          </w:tcPr>
          <w:p w14:paraId="7319087E">
            <w:pPr>
              <w:jc w:val="both"/>
              <w:rPr>
                <w:rFonts w:ascii="Arial" w:hAnsi="Arial" w:cs="Arial"/>
                <w:bCs/>
                <w:sz w:val="16"/>
                <w:szCs w:val="16"/>
              </w:rPr>
            </w:pPr>
            <w:r>
              <w:rPr>
                <w:rFonts w:ascii="Arial" w:hAnsi="Arial" w:cs="Arial"/>
                <w:bCs/>
                <w:sz w:val="16"/>
                <w:szCs w:val="16"/>
              </w:rPr>
              <w:t>19.64</w:t>
            </w:r>
          </w:p>
        </w:tc>
        <w:tc>
          <w:tcPr>
            <w:tcW w:w="850" w:type="dxa"/>
            <w:tcBorders>
              <w:bottom w:val="single" w:color="auto" w:sz="4" w:space="0"/>
            </w:tcBorders>
            <w:vAlign w:val="bottom"/>
          </w:tcPr>
          <w:p w14:paraId="2267C675">
            <w:pPr>
              <w:jc w:val="both"/>
              <w:rPr>
                <w:rFonts w:ascii="Arial" w:hAnsi="Arial" w:cs="Arial"/>
                <w:bCs/>
                <w:sz w:val="16"/>
                <w:szCs w:val="16"/>
              </w:rPr>
            </w:pPr>
            <w:r>
              <w:rPr>
                <w:rFonts w:ascii="Arial" w:hAnsi="Arial" w:cs="Arial"/>
                <w:bCs/>
                <w:sz w:val="16"/>
                <w:szCs w:val="16"/>
              </w:rPr>
              <w:t>19.01</w:t>
            </w:r>
          </w:p>
        </w:tc>
        <w:tc>
          <w:tcPr>
            <w:tcW w:w="630" w:type="dxa"/>
            <w:tcBorders>
              <w:bottom w:val="single" w:color="auto" w:sz="4" w:space="0"/>
            </w:tcBorders>
            <w:vAlign w:val="bottom"/>
          </w:tcPr>
          <w:p w14:paraId="02353393">
            <w:pPr>
              <w:jc w:val="both"/>
              <w:rPr>
                <w:rFonts w:ascii="Arial" w:hAnsi="Arial" w:cs="Arial"/>
                <w:bCs/>
                <w:sz w:val="16"/>
                <w:szCs w:val="16"/>
              </w:rPr>
            </w:pPr>
            <w:r>
              <w:rPr>
                <w:rFonts w:ascii="Arial" w:hAnsi="Arial" w:cs="Arial"/>
                <w:bCs/>
                <w:sz w:val="16"/>
                <w:szCs w:val="16"/>
              </w:rPr>
              <w:t>4.21</w:t>
            </w:r>
          </w:p>
        </w:tc>
        <w:tc>
          <w:tcPr>
            <w:tcW w:w="810" w:type="dxa"/>
            <w:tcBorders>
              <w:bottom w:val="single" w:color="auto" w:sz="4" w:space="0"/>
            </w:tcBorders>
            <w:vAlign w:val="bottom"/>
          </w:tcPr>
          <w:p w14:paraId="4E08434D">
            <w:pPr>
              <w:jc w:val="both"/>
              <w:rPr>
                <w:rFonts w:ascii="Arial" w:hAnsi="Arial" w:cs="Arial"/>
                <w:bCs/>
                <w:sz w:val="16"/>
                <w:szCs w:val="16"/>
              </w:rPr>
            </w:pPr>
            <w:r>
              <w:rPr>
                <w:rFonts w:ascii="Arial" w:hAnsi="Arial" w:cs="Arial"/>
                <w:bCs/>
                <w:sz w:val="16"/>
                <w:szCs w:val="16"/>
              </w:rPr>
              <w:t>0.6550</w:t>
            </w:r>
          </w:p>
        </w:tc>
        <w:tc>
          <w:tcPr>
            <w:tcW w:w="726" w:type="dxa"/>
            <w:tcBorders>
              <w:bottom w:val="single" w:color="auto" w:sz="4" w:space="0"/>
            </w:tcBorders>
            <w:vAlign w:val="bottom"/>
          </w:tcPr>
          <w:p w14:paraId="2E0AC3F5">
            <w:pPr>
              <w:jc w:val="both"/>
              <w:rPr>
                <w:rFonts w:ascii="Arial" w:hAnsi="Arial" w:cs="Arial"/>
                <w:bCs/>
                <w:sz w:val="16"/>
                <w:szCs w:val="16"/>
              </w:rPr>
            </w:pPr>
            <w:r>
              <w:rPr>
                <w:rFonts w:ascii="Arial" w:hAnsi="Arial" w:cs="Arial"/>
                <w:bCs/>
                <w:sz w:val="16"/>
                <w:szCs w:val="16"/>
              </w:rPr>
              <w:t>0.9818</w:t>
            </w:r>
          </w:p>
        </w:tc>
      </w:tr>
    </w:tbl>
    <w:p w14:paraId="6A5DB924">
      <w:pPr>
        <w:jc w:val="both"/>
        <w:rPr>
          <w:rFonts w:ascii="Arial" w:hAnsi="Arial" w:cs="Arial"/>
          <w:iCs/>
          <w:vertAlign w:val="superscript"/>
        </w:rPr>
      </w:pPr>
      <w:r>
        <w:rPr>
          <w:rFonts w:ascii="Arial" w:hAnsi="Arial" w:cs="Arial"/>
          <w:i/>
        </w:rPr>
        <w:t xml:space="preserve">P1- grazing alone, P2–grazing plus supplementation, P3-full feedlot </w:t>
      </w:r>
      <w:r>
        <w:rPr>
          <w:rFonts w:ascii="Arial" w:hAnsi="Arial" w:cs="Arial"/>
          <w:iCs/>
          <w:vertAlign w:val="superscript"/>
        </w:rPr>
        <w:t xml:space="preserve"> </w:t>
      </w:r>
    </w:p>
    <w:p w14:paraId="50EAE61C">
      <w:pPr>
        <w:jc w:val="both"/>
        <w:rPr>
          <w:rFonts w:ascii="Arial" w:hAnsi="Arial" w:cs="Arial"/>
          <w:i/>
        </w:rPr>
      </w:pPr>
      <w:r>
        <w:rPr>
          <w:rFonts w:ascii="Arial" w:hAnsi="Arial" w:cs="Arial"/>
          <w:i/>
        </w:rPr>
        <w:t xml:space="preserve">a-c Means with different superscripts within a row differ significantly (P&lt;0.05). </w:t>
      </w:r>
    </w:p>
    <w:p w14:paraId="289496FC">
      <w:pPr>
        <w:jc w:val="both"/>
        <w:rPr>
          <w:rFonts w:ascii="Arial" w:hAnsi="Arial" w:cs="Arial"/>
          <w:i/>
          <w:sz w:val="22"/>
          <w:szCs w:val="22"/>
        </w:rPr>
      </w:pPr>
      <w:r>
        <w:rPr>
          <w:rFonts w:ascii="Arial" w:hAnsi="Arial" w:cs="Arial"/>
          <w:i/>
        </w:rPr>
        <w:t>SEM = standard error of the mean, S1- 45 days, S2- 60 days, S3- 75days FP*SP- interaction effect between finishing practices and slaughter periods</w:t>
      </w:r>
    </w:p>
    <w:p w14:paraId="67711384">
      <w:pPr>
        <w:jc w:val="both"/>
        <w:rPr>
          <w:rFonts w:ascii="Arial" w:hAnsi="Arial" w:cs="Arial"/>
          <w:sz w:val="22"/>
          <w:szCs w:val="22"/>
        </w:rPr>
      </w:pP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38"/>
        <w:gridCol w:w="4428"/>
      </w:tblGrid>
      <w:tr w14:paraId="15143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38" w:type="dxa"/>
          </w:tcPr>
          <w:p w14:paraId="7806A436">
            <w:pPr>
              <w:jc w:val="both"/>
              <w:rPr>
                <w:rFonts w:ascii="Arial" w:hAnsi="Arial" w:eastAsia="Calibri" w:cs="Arial"/>
                <w:sz w:val="22"/>
                <w:szCs w:val="22"/>
              </w:rPr>
            </w:pPr>
            <w:r>
              <w:rPr>
                <w:rFonts w:ascii="Arial" w:hAnsi="Arial" w:eastAsia="Calibri" w:cs="Arial"/>
                <w:sz w:val="22"/>
                <w:szCs w:val="22"/>
                <w:lang w:val="en-GB" w:eastAsia="en-GB"/>
              </w:rPr>
              <w:drawing>
                <wp:inline distT="0" distB="0" distL="0" distR="0">
                  <wp:extent cx="2609850" cy="27622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428" w:type="dxa"/>
          </w:tcPr>
          <w:p w14:paraId="31D6B616">
            <w:pPr>
              <w:jc w:val="both"/>
              <w:rPr>
                <w:rFonts w:ascii="Arial" w:hAnsi="Arial" w:eastAsia="Calibri" w:cs="Arial"/>
                <w:sz w:val="22"/>
                <w:szCs w:val="22"/>
              </w:rPr>
            </w:pPr>
            <w:r>
              <w:rPr>
                <w:rFonts w:ascii="Arial" w:hAnsi="Arial" w:eastAsia="Calibri" w:cs="Arial"/>
                <w:sz w:val="22"/>
                <w:szCs w:val="22"/>
                <w:lang w:val="en-GB" w:eastAsia="en-GB"/>
              </w:rPr>
              <w:drawing>
                <wp:inline distT="0" distB="0" distL="0" distR="0">
                  <wp:extent cx="2724150" cy="27622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14:paraId="3F879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66" w:type="dxa"/>
            <w:gridSpan w:val="2"/>
          </w:tcPr>
          <w:p w14:paraId="439829C7">
            <w:pPr>
              <w:ind w:left="990" w:hanging="990"/>
              <w:jc w:val="both"/>
              <w:rPr>
                <w:rFonts w:ascii="Arial" w:hAnsi="Arial" w:eastAsia="Calibri" w:cs="Arial"/>
                <w:sz w:val="22"/>
                <w:szCs w:val="22"/>
              </w:rPr>
            </w:pPr>
            <w:r>
              <w:rPr>
                <w:rFonts w:ascii="Arial" w:hAnsi="Arial" w:eastAsia="Calibri" w:cs="Arial"/>
                <w:sz w:val="22"/>
                <w:szCs w:val="22"/>
              </w:rPr>
              <w:t>Figure 2. Trends of the carcass length “a” and depth of chest “b” of the bulls as influenced by finishing practices and slaughter periods</w:t>
            </w:r>
          </w:p>
        </w:tc>
      </w:tr>
    </w:tbl>
    <w:p w14:paraId="4F0B54B2">
      <w:pPr>
        <w:jc w:val="both"/>
        <w:rPr>
          <w:rFonts w:ascii="Arial" w:hAnsi="Arial" w:cs="Arial"/>
          <w:b/>
          <w:sz w:val="22"/>
          <w:szCs w:val="22"/>
        </w:rPr>
      </w:pPr>
    </w:p>
    <w:p w14:paraId="08E4CB83">
      <w:pPr>
        <w:spacing w:before="240"/>
        <w:jc w:val="both"/>
        <w:rPr>
          <w:rFonts w:ascii="Arial" w:hAnsi="Arial" w:cs="Arial"/>
          <w:b/>
          <w:sz w:val="22"/>
          <w:szCs w:val="22"/>
        </w:rPr>
      </w:pPr>
      <w:r>
        <w:rPr>
          <w:rFonts w:ascii="Arial" w:hAnsi="Arial" w:cs="Arial"/>
          <w:b/>
          <w:sz w:val="22"/>
          <w:szCs w:val="22"/>
        </w:rPr>
        <w:t xml:space="preserve">3.3. Attributes of meat quality </w:t>
      </w:r>
      <w:r>
        <w:rPr>
          <w:rFonts w:ascii="Arial" w:hAnsi="Arial" w:cs="Arial"/>
          <w:sz w:val="22"/>
          <w:szCs w:val="22"/>
        </w:rPr>
        <w:t xml:space="preserve"> </w:t>
      </w:r>
    </w:p>
    <w:p w14:paraId="5B748514">
      <w:pPr>
        <w:spacing w:before="240"/>
        <w:jc w:val="both"/>
        <w:rPr>
          <w:rFonts w:ascii="Arial" w:hAnsi="Arial" w:cs="Arial"/>
          <w:sz w:val="22"/>
          <w:szCs w:val="22"/>
        </w:rPr>
      </w:pPr>
      <w:r>
        <w:rPr>
          <w:rFonts w:ascii="Arial" w:hAnsi="Arial" w:cs="Arial"/>
          <w:sz w:val="22"/>
          <w:szCs w:val="22"/>
        </w:rPr>
        <w:t xml:space="preserve">Table 3 illustrates the effects of finishing practices, slaughter periods and their interaction effects on the pH, cooking losses, colour, and shear force of the meat from the finished bulls. Finishing practices and slaughter periods did not (P˃0.05) influence the average pH of the meat and cooking losses. The meat from bulls on the feedlot practice (P3) became more tender with the lowest (P&lt;0.05) Warner-Bratzler Shear Force (WBSF) values, compared to that of bulls on P2 and P1, which produced meat with similar (P&lt;0.05) values of shear force. Similarly, bulls slaughtered at period S3 had lower (P&lt;0.05) mean shear force values than those slaughtered at S1 and S2, which had similar (P˃0.05) shear force values. There was a significant (P&lt;0.05) interaction effect between finishing practice and the slaughter period on the tenderness of the meat from the bulls (Table 3). At the early stage of finishing (S1), the mean values of shear force were relatively high for all finishing practices (Figure 3a). However, with increased finishing time to S2, the values of shear force for meat from bulls on P1 increased and started to decrease thereafter. On the other hand, the values for the meat from bulls on practices P2 and P3 decreased slightly from periods S1 to S2 and drastically from periods S2 to S3. During the late slaughter period S3, the mean values of the shear force of the meat from bulls on practices P1 and P2 were similar (P&gt;0.05), while that from bulls on practice P3 was lowest (P&lt;0.05). The means relative lightness and yellowness of the meat were not affected (P˃0.05) by the finishing practices (Table 3). However, the meat from the bulls slaughtered at period S3 was lighter in colour (P&lt;0.05) than the meat from those slaughtered at S1 and S2 periods. The redness colour of the meat was stronger (P&lt;0.05) in the meat from the bulls on P1, followed by those on P2 and least in those on P3. The periods of slaughter did not influence the redness of the meat, however, there was a significant (P&lt;0.05) interaction effect between the feeding practices and slaughter periods on the redness of the meat. Meat from bulls on all practices slaughtered at period S1 had similar level of meat redness colour (Figure 3b). However, as finishing days advanced, the redness colour of the meat from bulls on P3 faded out but became more intense for the meat from bulls on P1 and P2 (Figure (3 b). The finishing practices had no effect (P&lt;0.05) on the yellowish colour of the meat, but bulls slaughtered at S3 had more (P&lt;0.05) yellowish meat than those slaughtered in other periods. </w:t>
      </w:r>
    </w:p>
    <w:p w14:paraId="1CAF64B2">
      <w:pPr>
        <w:spacing w:before="240"/>
        <w:ind w:left="720" w:hanging="810"/>
        <w:jc w:val="both"/>
        <w:rPr>
          <w:rFonts w:ascii="Arial" w:hAnsi="Arial" w:cs="Arial"/>
          <w:sz w:val="22"/>
          <w:szCs w:val="22"/>
        </w:rPr>
      </w:pPr>
      <w:r>
        <w:rPr>
          <w:rFonts w:ascii="Arial" w:hAnsi="Arial" w:cs="Arial"/>
          <w:sz w:val="22"/>
          <w:szCs w:val="22"/>
        </w:rPr>
        <w:t xml:space="preserve">Table 3. Lsmeans ± SEM for the attributes of meat quality of bulls as influenced by finishing practices and slaughter periods </w:t>
      </w:r>
    </w:p>
    <w:tbl>
      <w:tblPr>
        <w:tblStyle w:val="5"/>
        <w:tblW w:w="9105" w:type="dxa"/>
        <w:tblInd w:w="93" w:type="dxa"/>
        <w:tblLayout w:type="fixed"/>
        <w:tblCellMar>
          <w:top w:w="0" w:type="dxa"/>
          <w:left w:w="108" w:type="dxa"/>
          <w:bottom w:w="0" w:type="dxa"/>
          <w:right w:w="108" w:type="dxa"/>
        </w:tblCellMar>
      </w:tblPr>
      <w:tblGrid>
        <w:gridCol w:w="1095"/>
        <w:gridCol w:w="702"/>
        <w:gridCol w:w="630"/>
        <w:gridCol w:w="720"/>
        <w:gridCol w:w="630"/>
        <w:gridCol w:w="882"/>
        <w:gridCol w:w="738"/>
        <w:gridCol w:w="720"/>
        <w:gridCol w:w="720"/>
        <w:gridCol w:w="630"/>
        <w:gridCol w:w="810"/>
        <w:gridCol w:w="828"/>
      </w:tblGrid>
      <w:tr w14:paraId="5E2C5131">
        <w:tblPrEx>
          <w:tblCellMar>
            <w:top w:w="0" w:type="dxa"/>
            <w:left w:w="108" w:type="dxa"/>
            <w:bottom w:w="0" w:type="dxa"/>
            <w:right w:w="108" w:type="dxa"/>
          </w:tblCellMar>
        </w:tblPrEx>
        <w:trPr>
          <w:cantSplit/>
          <w:trHeight w:val="315" w:hRule="atLeast"/>
          <w:tblHeader/>
        </w:trPr>
        <w:tc>
          <w:tcPr>
            <w:tcW w:w="1095" w:type="dxa"/>
            <w:tcBorders>
              <w:top w:val="single" w:color="auto" w:sz="4" w:space="0"/>
              <w:bottom w:val="single" w:color="auto" w:sz="4" w:space="0"/>
            </w:tcBorders>
            <w:shd w:val="clear" w:color="auto" w:fill="auto"/>
            <w:noWrap/>
            <w:vAlign w:val="center"/>
          </w:tcPr>
          <w:p w14:paraId="0FB6C1A1">
            <w:pPr>
              <w:jc w:val="both"/>
              <w:rPr>
                <w:rFonts w:ascii="Arial" w:hAnsi="Arial" w:cs="Arial"/>
                <w:b/>
                <w:sz w:val="16"/>
                <w:szCs w:val="16"/>
              </w:rPr>
            </w:pPr>
            <w:r>
              <w:rPr>
                <w:rFonts w:ascii="Arial" w:hAnsi="Arial" w:cs="Arial"/>
                <w:b/>
                <w:sz w:val="16"/>
                <w:szCs w:val="16"/>
              </w:rPr>
              <w:t>Parameter</w:t>
            </w:r>
          </w:p>
        </w:tc>
        <w:tc>
          <w:tcPr>
            <w:tcW w:w="2052" w:type="dxa"/>
            <w:gridSpan w:val="3"/>
            <w:tcBorders>
              <w:top w:val="single" w:color="auto" w:sz="4" w:space="0"/>
              <w:bottom w:val="single" w:color="auto" w:sz="4" w:space="0"/>
            </w:tcBorders>
            <w:shd w:val="clear" w:color="auto" w:fill="auto"/>
            <w:noWrap/>
            <w:vAlign w:val="center"/>
          </w:tcPr>
          <w:p w14:paraId="712F0378">
            <w:pPr>
              <w:jc w:val="both"/>
              <w:rPr>
                <w:rFonts w:ascii="Arial" w:hAnsi="Arial" w:cs="Arial"/>
                <w:b/>
                <w:sz w:val="16"/>
                <w:szCs w:val="16"/>
              </w:rPr>
            </w:pPr>
            <w:r>
              <w:rPr>
                <w:rFonts w:ascii="Arial" w:hAnsi="Arial" w:cs="Arial"/>
                <w:b/>
                <w:sz w:val="16"/>
                <w:szCs w:val="16"/>
              </w:rPr>
              <w:t>Finishing practices</w:t>
            </w:r>
          </w:p>
        </w:tc>
        <w:tc>
          <w:tcPr>
            <w:tcW w:w="630" w:type="dxa"/>
            <w:tcBorders>
              <w:top w:val="single" w:color="auto" w:sz="4" w:space="0"/>
              <w:bottom w:val="single" w:color="auto" w:sz="4" w:space="0"/>
            </w:tcBorders>
            <w:vAlign w:val="center"/>
          </w:tcPr>
          <w:p w14:paraId="33A50576">
            <w:pPr>
              <w:jc w:val="both"/>
              <w:rPr>
                <w:rFonts w:ascii="Arial" w:hAnsi="Arial" w:cs="Arial"/>
                <w:b/>
                <w:sz w:val="16"/>
                <w:szCs w:val="16"/>
              </w:rPr>
            </w:pPr>
          </w:p>
        </w:tc>
        <w:tc>
          <w:tcPr>
            <w:tcW w:w="882" w:type="dxa"/>
            <w:tcBorders>
              <w:top w:val="single" w:color="auto" w:sz="4" w:space="0"/>
              <w:bottom w:val="single" w:color="auto" w:sz="4" w:space="0"/>
            </w:tcBorders>
            <w:vAlign w:val="center"/>
          </w:tcPr>
          <w:p w14:paraId="5CCF44E0">
            <w:pPr>
              <w:jc w:val="both"/>
              <w:rPr>
                <w:rFonts w:ascii="Arial" w:hAnsi="Arial" w:cs="Arial"/>
                <w:b/>
                <w:sz w:val="16"/>
                <w:szCs w:val="16"/>
              </w:rPr>
            </w:pPr>
          </w:p>
        </w:tc>
        <w:tc>
          <w:tcPr>
            <w:tcW w:w="2178" w:type="dxa"/>
            <w:gridSpan w:val="3"/>
            <w:tcBorders>
              <w:top w:val="single" w:color="auto" w:sz="4" w:space="0"/>
              <w:bottom w:val="single" w:color="auto" w:sz="4" w:space="0"/>
            </w:tcBorders>
            <w:vAlign w:val="center"/>
          </w:tcPr>
          <w:p w14:paraId="16922A62">
            <w:pPr>
              <w:jc w:val="both"/>
              <w:rPr>
                <w:rFonts w:ascii="Arial" w:hAnsi="Arial" w:cs="Arial"/>
                <w:b/>
                <w:sz w:val="16"/>
                <w:szCs w:val="16"/>
              </w:rPr>
            </w:pPr>
            <w:r>
              <w:rPr>
                <w:rFonts w:ascii="Arial" w:hAnsi="Arial" w:cs="Arial"/>
                <w:b/>
                <w:sz w:val="16"/>
                <w:szCs w:val="16"/>
              </w:rPr>
              <w:t>Slaughter periods</w:t>
            </w:r>
          </w:p>
        </w:tc>
        <w:tc>
          <w:tcPr>
            <w:tcW w:w="630" w:type="dxa"/>
            <w:tcBorders>
              <w:top w:val="single" w:color="auto" w:sz="4" w:space="0"/>
              <w:bottom w:val="single" w:color="auto" w:sz="4" w:space="0"/>
            </w:tcBorders>
            <w:vAlign w:val="center"/>
          </w:tcPr>
          <w:p w14:paraId="00709F63">
            <w:pPr>
              <w:jc w:val="both"/>
              <w:rPr>
                <w:rFonts w:ascii="Arial" w:hAnsi="Arial" w:cs="Arial"/>
                <w:b/>
                <w:sz w:val="16"/>
                <w:szCs w:val="16"/>
              </w:rPr>
            </w:pPr>
          </w:p>
        </w:tc>
        <w:tc>
          <w:tcPr>
            <w:tcW w:w="810" w:type="dxa"/>
            <w:tcBorders>
              <w:top w:val="single" w:color="auto" w:sz="4" w:space="0"/>
              <w:bottom w:val="single" w:color="auto" w:sz="4" w:space="0"/>
            </w:tcBorders>
            <w:vAlign w:val="center"/>
          </w:tcPr>
          <w:p w14:paraId="7B9F4BC3">
            <w:pPr>
              <w:jc w:val="both"/>
              <w:rPr>
                <w:rFonts w:ascii="Arial" w:hAnsi="Arial" w:cs="Arial"/>
                <w:b/>
                <w:sz w:val="16"/>
                <w:szCs w:val="16"/>
              </w:rPr>
            </w:pPr>
          </w:p>
        </w:tc>
        <w:tc>
          <w:tcPr>
            <w:tcW w:w="828" w:type="dxa"/>
            <w:tcBorders>
              <w:top w:val="single" w:color="auto" w:sz="4" w:space="0"/>
              <w:bottom w:val="single" w:color="auto" w:sz="4" w:space="0"/>
            </w:tcBorders>
          </w:tcPr>
          <w:p w14:paraId="292A7DE4">
            <w:pPr>
              <w:jc w:val="both"/>
              <w:rPr>
                <w:rFonts w:ascii="Arial" w:hAnsi="Arial" w:cs="Arial"/>
                <w:b/>
                <w:sz w:val="16"/>
                <w:szCs w:val="16"/>
              </w:rPr>
            </w:pPr>
            <w:r>
              <w:rPr>
                <w:rFonts w:ascii="Arial" w:hAnsi="Arial" w:cs="Arial"/>
                <w:b/>
                <w:sz w:val="16"/>
                <w:szCs w:val="16"/>
              </w:rPr>
              <w:t>FP*SP</w:t>
            </w:r>
          </w:p>
        </w:tc>
      </w:tr>
      <w:tr w14:paraId="45164E8D">
        <w:tblPrEx>
          <w:tblCellMar>
            <w:top w:w="0" w:type="dxa"/>
            <w:left w:w="108" w:type="dxa"/>
            <w:bottom w:w="0" w:type="dxa"/>
            <w:right w:w="108" w:type="dxa"/>
          </w:tblCellMar>
        </w:tblPrEx>
        <w:trPr>
          <w:cantSplit/>
          <w:trHeight w:val="602" w:hRule="atLeast"/>
          <w:tblHeader/>
        </w:trPr>
        <w:tc>
          <w:tcPr>
            <w:tcW w:w="1095" w:type="dxa"/>
            <w:tcBorders>
              <w:top w:val="single" w:color="auto" w:sz="4" w:space="0"/>
              <w:bottom w:val="single" w:color="auto" w:sz="4" w:space="0"/>
            </w:tcBorders>
            <w:shd w:val="clear" w:color="auto" w:fill="auto"/>
            <w:noWrap/>
            <w:vAlign w:val="center"/>
          </w:tcPr>
          <w:p w14:paraId="6533BBEF">
            <w:pPr>
              <w:jc w:val="both"/>
              <w:rPr>
                <w:rFonts w:ascii="Arial" w:hAnsi="Arial" w:cs="Arial"/>
                <w:b/>
                <w:sz w:val="16"/>
                <w:szCs w:val="16"/>
              </w:rPr>
            </w:pPr>
          </w:p>
        </w:tc>
        <w:tc>
          <w:tcPr>
            <w:tcW w:w="702" w:type="dxa"/>
            <w:tcBorders>
              <w:top w:val="single" w:color="auto" w:sz="4" w:space="0"/>
              <w:bottom w:val="single" w:color="auto" w:sz="4" w:space="0"/>
            </w:tcBorders>
            <w:shd w:val="clear" w:color="auto" w:fill="auto"/>
            <w:noWrap/>
            <w:vAlign w:val="center"/>
          </w:tcPr>
          <w:p w14:paraId="0CBDB8B0">
            <w:pPr>
              <w:jc w:val="both"/>
              <w:rPr>
                <w:rFonts w:ascii="Arial" w:hAnsi="Arial" w:cs="Arial"/>
                <w:b/>
                <w:sz w:val="16"/>
                <w:szCs w:val="16"/>
              </w:rPr>
            </w:pPr>
            <w:r>
              <w:rPr>
                <w:rFonts w:ascii="Arial" w:hAnsi="Arial" w:cs="Arial"/>
                <w:b/>
                <w:sz w:val="16"/>
                <w:szCs w:val="16"/>
              </w:rPr>
              <w:t>P1</w:t>
            </w:r>
          </w:p>
        </w:tc>
        <w:tc>
          <w:tcPr>
            <w:tcW w:w="630" w:type="dxa"/>
            <w:tcBorders>
              <w:top w:val="single" w:color="auto" w:sz="4" w:space="0"/>
              <w:bottom w:val="single" w:color="auto" w:sz="4" w:space="0"/>
            </w:tcBorders>
            <w:shd w:val="clear" w:color="auto" w:fill="auto"/>
            <w:noWrap/>
            <w:vAlign w:val="center"/>
          </w:tcPr>
          <w:p w14:paraId="6562EAE3">
            <w:pPr>
              <w:jc w:val="both"/>
              <w:rPr>
                <w:rFonts w:ascii="Arial" w:hAnsi="Arial" w:cs="Arial"/>
                <w:b/>
                <w:sz w:val="16"/>
                <w:szCs w:val="16"/>
              </w:rPr>
            </w:pPr>
            <w:r>
              <w:rPr>
                <w:rFonts w:ascii="Arial" w:hAnsi="Arial" w:cs="Arial"/>
                <w:b/>
                <w:sz w:val="16"/>
                <w:szCs w:val="16"/>
              </w:rPr>
              <w:t>P2</w:t>
            </w:r>
          </w:p>
        </w:tc>
        <w:tc>
          <w:tcPr>
            <w:tcW w:w="720" w:type="dxa"/>
            <w:tcBorders>
              <w:top w:val="single" w:color="auto" w:sz="4" w:space="0"/>
              <w:bottom w:val="single" w:color="auto" w:sz="4" w:space="0"/>
            </w:tcBorders>
            <w:shd w:val="clear" w:color="auto" w:fill="auto"/>
            <w:noWrap/>
            <w:vAlign w:val="center"/>
          </w:tcPr>
          <w:p w14:paraId="1ED9F416">
            <w:pPr>
              <w:jc w:val="both"/>
              <w:rPr>
                <w:rFonts w:ascii="Arial" w:hAnsi="Arial" w:cs="Arial"/>
                <w:b/>
                <w:sz w:val="16"/>
                <w:szCs w:val="16"/>
              </w:rPr>
            </w:pPr>
            <w:r>
              <w:rPr>
                <w:rFonts w:ascii="Arial" w:hAnsi="Arial" w:cs="Arial"/>
                <w:b/>
                <w:sz w:val="16"/>
                <w:szCs w:val="16"/>
              </w:rPr>
              <w:t>P3</w:t>
            </w:r>
          </w:p>
        </w:tc>
        <w:tc>
          <w:tcPr>
            <w:tcW w:w="630" w:type="dxa"/>
            <w:tcBorders>
              <w:top w:val="single" w:color="auto" w:sz="4" w:space="0"/>
              <w:bottom w:val="single" w:color="auto" w:sz="4" w:space="0"/>
            </w:tcBorders>
            <w:vAlign w:val="center"/>
          </w:tcPr>
          <w:p w14:paraId="2A75BFDE">
            <w:pPr>
              <w:jc w:val="both"/>
              <w:rPr>
                <w:rFonts w:ascii="Arial" w:hAnsi="Arial" w:cs="Arial"/>
                <w:b/>
                <w:sz w:val="16"/>
                <w:szCs w:val="16"/>
              </w:rPr>
            </w:pPr>
            <w:r>
              <w:rPr>
                <w:rFonts w:ascii="Arial" w:hAnsi="Arial" w:cs="Arial"/>
                <w:b/>
                <w:sz w:val="16"/>
                <w:szCs w:val="16"/>
              </w:rPr>
              <w:t>SEM</w:t>
            </w:r>
          </w:p>
        </w:tc>
        <w:tc>
          <w:tcPr>
            <w:tcW w:w="882" w:type="dxa"/>
            <w:tcBorders>
              <w:top w:val="single" w:color="auto" w:sz="4" w:space="0"/>
              <w:bottom w:val="single" w:color="auto" w:sz="4" w:space="0"/>
            </w:tcBorders>
            <w:vAlign w:val="center"/>
          </w:tcPr>
          <w:p w14:paraId="024E7341">
            <w:pPr>
              <w:jc w:val="both"/>
              <w:rPr>
                <w:rFonts w:ascii="Arial" w:hAnsi="Arial" w:cs="Arial"/>
                <w:b/>
                <w:sz w:val="16"/>
                <w:szCs w:val="16"/>
              </w:rPr>
            </w:pPr>
            <w:r>
              <w:rPr>
                <w:rFonts w:ascii="Arial" w:hAnsi="Arial" w:cs="Arial"/>
                <w:b/>
                <w:sz w:val="16"/>
                <w:szCs w:val="16"/>
              </w:rPr>
              <w:t>P-value</w:t>
            </w:r>
          </w:p>
        </w:tc>
        <w:tc>
          <w:tcPr>
            <w:tcW w:w="738" w:type="dxa"/>
            <w:tcBorders>
              <w:top w:val="single" w:color="auto" w:sz="4" w:space="0"/>
              <w:bottom w:val="single" w:color="auto" w:sz="4" w:space="0"/>
            </w:tcBorders>
            <w:vAlign w:val="center"/>
          </w:tcPr>
          <w:p w14:paraId="16A842A8">
            <w:pPr>
              <w:jc w:val="both"/>
              <w:rPr>
                <w:rFonts w:ascii="Arial" w:hAnsi="Arial" w:cs="Arial"/>
                <w:b/>
                <w:bCs/>
                <w:sz w:val="16"/>
                <w:szCs w:val="16"/>
              </w:rPr>
            </w:pPr>
            <w:r>
              <w:rPr>
                <w:rFonts w:ascii="Arial" w:hAnsi="Arial" w:cs="Arial"/>
                <w:b/>
                <w:bCs/>
                <w:sz w:val="16"/>
                <w:szCs w:val="16"/>
              </w:rPr>
              <w:t>S1</w:t>
            </w:r>
          </w:p>
        </w:tc>
        <w:tc>
          <w:tcPr>
            <w:tcW w:w="720" w:type="dxa"/>
            <w:tcBorders>
              <w:top w:val="single" w:color="auto" w:sz="4" w:space="0"/>
              <w:bottom w:val="single" w:color="auto" w:sz="4" w:space="0"/>
            </w:tcBorders>
            <w:vAlign w:val="center"/>
          </w:tcPr>
          <w:p w14:paraId="5011E9CB">
            <w:pPr>
              <w:jc w:val="both"/>
              <w:rPr>
                <w:rFonts w:ascii="Arial" w:hAnsi="Arial" w:cs="Arial"/>
                <w:b/>
                <w:bCs/>
                <w:sz w:val="16"/>
                <w:szCs w:val="16"/>
              </w:rPr>
            </w:pPr>
            <w:r>
              <w:rPr>
                <w:rFonts w:ascii="Arial" w:hAnsi="Arial" w:cs="Arial"/>
                <w:b/>
                <w:bCs/>
                <w:sz w:val="16"/>
                <w:szCs w:val="16"/>
              </w:rPr>
              <w:t>S2</w:t>
            </w:r>
          </w:p>
        </w:tc>
        <w:tc>
          <w:tcPr>
            <w:tcW w:w="720" w:type="dxa"/>
            <w:tcBorders>
              <w:top w:val="single" w:color="auto" w:sz="4" w:space="0"/>
              <w:bottom w:val="single" w:color="auto" w:sz="4" w:space="0"/>
            </w:tcBorders>
            <w:vAlign w:val="center"/>
          </w:tcPr>
          <w:p w14:paraId="5A42FB85">
            <w:pPr>
              <w:jc w:val="both"/>
              <w:rPr>
                <w:rFonts w:ascii="Arial" w:hAnsi="Arial" w:cs="Arial"/>
                <w:b/>
                <w:bCs/>
                <w:sz w:val="16"/>
                <w:szCs w:val="16"/>
              </w:rPr>
            </w:pPr>
            <w:r>
              <w:rPr>
                <w:rFonts w:ascii="Arial" w:hAnsi="Arial" w:cs="Arial"/>
                <w:b/>
                <w:bCs/>
                <w:sz w:val="16"/>
                <w:szCs w:val="16"/>
              </w:rPr>
              <w:t>S3</w:t>
            </w:r>
          </w:p>
        </w:tc>
        <w:tc>
          <w:tcPr>
            <w:tcW w:w="630" w:type="dxa"/>
            <w:tcBorders>
              <w:top w:val="single" w:color="auto" w:sz="4" w:space="0"/>
              <w:bottom w:val="single" w:color="auto" w:sz="4" w:space="0"/>
            </w:tcBorders>
            <w:vAlign w:val="center"/>
          </w:tcPr>
          <w:p w14:paraId="56B7F0EF">
            <w:pPr>
              <w:jc w:val="both"/>
              <w:rPr>
                <w:rFonts w:ascii="Arial" w:hAnsi="Arial" w:cs="Arial"/>
                <w:b/>
                <w:bCs/>
                <w:sz w:val="16"/>
                <w:szCs w:val="16"/>
              </w:rPr>
            </w:pPr>
            <w:r>
              <w:rPr>
                <w:rFonts w:ascii="Arial" w:hAnsi="Arial" w:cs="Arial"/>
                <w:b/>
                <w:bCs/>
                <w:sz w:val="16"/>
                <w:szCs w:val="16"/>
              </w:rPr>
              <w:t>SEM</w:t>
            </w:r>
          </w:p>
        </w:tc>
        <w:tc>
          <w:tcPr>
            <w:tcW w:w="810" w:type="dxa"/>
            <w:tcBorders>
              <w:top w:val="single" w:color="auto" w:sz="4" w:space="0"/>
              <w:bottom w:val="single" w:color="auto" w:sz="4" w:space="0"/>
            </w:tcBorders>
            <w:vAlign w:val="center"/>
          </w:tcPr>
          <w:p w14:paraId="69A2F5EF">
            <w:pPr>
              <w:jc w:val="both"/>
              <w:rPr>
                <w:rFonts w:ascii="Arial" w:hAnsi="Arial" w:cs="Arial"/>
                <w:b/>
                <w:bCs/>
                <w:sz w:val="16"/>
                <w:szCs w:val="16"/>
              </w:rPr>
            </w:pPr>
            <w:r>
              <w:rPr>
                <w:rFonts w:ascii="Arial" w:hAnsi="Arial" w:cs="Arial"/>
                <w:b/>
                <w:bCs/>
                <w:sz w:val="16"/>
                <w:szCs w:val="16"/>
              </w:rPr>
              <w:t>P-value</w:t>
            </w:r>
          </w:p>
        </w:tc>
        <w:tc>
          <w:tcPr>
            <w:tcW w:w="828" w:type="dxa"/>
            <w:tcBorders>
              <w:top w:val="single" w:color="auto" w:sz="4" w:space="0"/>
              <w:bottom w:val="single" w:color="auto" w:sz="4" w:space="0"/>
            </w:tcBorders>
            <w:vAlign w:val="center"/>
          </w:tcPr>
          <w:p w14:paraId="2BC1CE5B">
            <w:pPr>
              <w:jc w:val="both"/>
              <w:rPr>
                <w:rFonts w:ascii="Arial" w:hAnsi="Arial" w:cs="Arial"/>
                <w:b/>
                <w:sz w:val="16"/>
                <w:szCs w:val="16"/>
              </w:rPr>
            </w:pPr>
            <w:r>
              <w:rPr>
                <w:rFonts w:ascii="Arial" w:hAnsi="Arial" w:cs="Arial"/>
                <w:b/>
                <w:sz w:val="16"/>
                <w:szCs w:val="16"/>
              </w:rPr>
              <w:t>P-value</w:t>
            </w:r>
          </w:p>
        </w:tc>
      </w:tr>
      <w:tr w14:paraId="27C7F704">
        <w:tblPrEx>
          <w:tblCellMar>
            <w:top w:w="0" w:type="dxa"/>
            <w:left w:w="108" w:type="dxa"/>
            <w:bottom w:w="0" w:type="dxa"/>
            <w:right w:w="108" w:type="dxa"/>
          </w:tblCellMar>
        </w:tblPrEx>
        <w:trPr>
          <w:cantSplit/>
          <w:trHeight w:val="315" w:hRule="atLeast"/>
          <w:tblHeader/>
        </w:trPr>
        <w:tc>
          <w:tcPr>
            <w:tcW w:w="1095" w:type="dxa"/>
            <w:tcBorders>
              <w:top w:val="single" w:color="auto" w:sz="4" w:space="0"/>
            </w:tcBorders>
            <w:shd w:val="clear" w:color="auto" w:fill="auto"/>
            <w:noWrap/>
            <w:vAlign w:val="bottom"/>
          </w:tcPr>
          <w:p w14:paraId="03D05ABB">
            <w:pPr>
              <w:jc w:val="both"/>
              <w:rPr>
                <w:rFonts w:ascii="Arial" w:hAnsi="Arial" w:cs="Arial"/>
                <w:b/>
                <w:sz w:val="16"/>
                <w:szCs w:val="16"/>
              </w:rPr>
            </w:pPr>
            <w:r>
              <w:rPr>
                <w:rFonts w:ascii="Arial" w:hAnsi="Arial" w:cs="Arial"/>
                <w:sz w:val="16"/>
                <w:szCs w:val="16"/>
              </w:rPr>
              <w:t>pH24</w:t>
            </w:r>
          </w:p>
        </w:tc>
        <w:tc>
          <w:tcPr>
            <w:tcW w:w="702" w:type="dxa"/>
            <w:tcBorders>
              <w:top w:val="single" w:color="auto" w:sz="4" w:space="0"/>
            </w:tcBorders>
            <w:shd w:val="clear" w:color="auto" w:fill="auto"/>
            <w:noWrap/>
            <w:vAlign w:val="bottom"/>
          </w:tcPr>
          <w:p w14:paraId="6B3573CD">
            <w:pPr>
              <w:jc w:val="both"/>
              <w:rPr>
                <w:rFonts w:ascii="Arial" w:hAnsi="Arial" w:cs="Arial"/>
                <w:b/>
                <w:sz w:val="16"/>
                <w:szCs w:val="16"/>
              </w:rPr>
            </w:pPr>
            <w:r>
              <w:rPr>
                <w:rFonts w:ascii="Arial" w:hAnsi="Arial" w:cs="Arial"/>
                <w:sz w:val="16"/>
                <w:szCs w:val="16"/>
              </w:rPr>
              <w:t>5.47</w:t>
            </w:r>
          </w:p>
        </w:tc>
        <w:tc>
          <w:tcPr>
            <w:tcW w:w="630" w:type="dxa"/>
            <w:tcBorders>
              <w:top w:val="single" w:color="auto" w:sz="4" w:space="0"/>
            </w:tcBorders>
            <w:shd w:val="clear" w:color="auto" w:fill="auto"/>
            <w:noWrap/>
            <w:vAlign w:val="bottom"/>
          </w:tcPr>
          <w:p w14:paraId="7CA85E54">
            <w:pPr>
              <w:jc w:val="both"/>
              <w:rPr>
                <w:rFonts w:ascii="Arial" w:hAnsi="Arial" w:cs="Arial"/>
                <w:b/>
                <w:sz w:val="16"/>
                <w:szCs w:val="16"/>
              </w:rPr>
            </w:pPr>
            <w:r>
              <w:rPr>
                <w:rFonts w:ascii="Arial" w:hAnsi="Arial" w:cs="Arial"/>
                <w:sz w:val="16"/>
                <w:szCs w:val="16"/>
              </w:rPr>
              <w:t>5.44</w:t>
            </w:r>
          </w:p>
        </w:tc>
        <w:tc>
          <w:tcPr>
            <w:tcW w:w="720" w:type="dxa"/>
            <w:tcBorders>
              <w:top w:val="single" w:color="auto" w:sz="4" w:space="0"/>
            </w:tcBorders>
            <w:shd w:val="clear" w:color="auto" w:fill="auto"/>
            <w:noWrap/>
            <w:vAlign w:val="bottom"/>
          </w:tcPr>
          <w:p w14:paraId="6237BB38">
            <w:pPr>
              <w:jc w:val="both"/>
              <w:rPr>
                <w:rFonts w:ascii="Arial" w:hAnsi="Arial" w:cs="Arial"/>
                <w:b/>
                <w:sz w:val="16"/>
                <w:szCs w:val="16"/>
              </w:rPr>
            </w:pPr>
            <w:r>
              <w:rPr>
                <w:rFonts w:ascii="Arial" w:hAnsi="Arial" w:cs="Arial"/>
                <w:sz w:val="16"/>
                <w:szCs w:val="16"/>
              </w:rPr>
              <w:t>5.45</w:t>
            </w:r>
          </w:p>
        </w:tc>
        <w:tc>
          <w:tcPr>
            <w:tcW w:w="630" w:type="dxa"/>
            <w:tcBorders>
              <w:top w:val="single" w:color="auto" w:sz="4" w:space="0"/>
            </w:tcBorders>
            <w:vAlign w:val="bottom"/>
          </w:tcPr>
          <w:p w14:paraId="0F16332E">
            <w:pPr>
              <w:jc w:val="both"/>
              <w:rPr>
                <w:rFonts w:ascii="Arial" w:hAnsi="Arial" w:cs="Arial"/>
                <w:b/>
                <w:sz w:val="16"/>
                <w:szCs w:val="16"/>
              </w:rPr>
            </w:pPr>
            <w:r>
              <w:rPr>
                <w:rFonts w:ascii="Arial" w:hAnsi="Arial" w:cs="Arial"/>
                <w:sz w:val="16"/>
                <w:szCs w:val="16"/>
              </w:rPr>
              <w:t>0.05</w:t>
            </w:r>
          </w:p>
        </w:tc>
        <w:tc>
          <w:tcPr>
            <w:tcW w:w="882" w:type="dxa"/>
            <w:tcBorders>
              <w:top w:val="single" w:color="auto" w:sz="4" w:space="0"/>
            </w:tcBorders>
            <w:vAlign w:val="bottom"/>
          </w:tcPr>
          <w:p w14:paraId="61B62B66">
            <w:pPr>
              <w:jc w:val="both"/>
              <w:rPr>
                <w:rFonts w:ascii="Arial" w:hAnsi="Arial" w:cs="Arial"/>
                <w:b/>
                <w:sz w:val="16"/>
                <w:szCs w:val="16"/>
              </w:rPr>
            </w:pPr>
            <w:r>
              <w:rPr>
                <w:rFonts w:ascii="Arial" w:hAnsi="Arial" w:cs="Arial"/>
                <w:sz w:val="16"/>
                <w:szCs w:val="16"/>
              </w:rPr>
              <w:t>0.9420</w:t>
            </w:r>
          </w:p>
        </w:tc>
        <w:tc>
          <w:tcPr>
            <w:tcW w:w="738" w:type="dxa"/>
            <w:tcBorders>
              <w:top w:val="single" w:color="auto" w:sz="4" w:space="0"/>
            </w:tcBorders>
            <w:vAlign w:val="bottom"/>
          </w:tcPr>
          <w:p w14:paraId="24ABD108">
            <w:pPr>
              <w:jc w:val="both"/>
              <w:rPr>
                <w:rFonts w:ascii="Arial" w:hAnsi="Arial" w:cs="Arial"/>
                <w:b/>
                <w:bCs/>
                <w:sz w:val="16"/>
                <w:szCs w:val="16"/>
              </w:rPr>
            </w:pPr>
            <w:r>
              <w:rPr>
                <w:rFonts w:ascii="Arial" w:hAnsi="Arial" w:cs="Arial"/>
                <w:bCs/>
                <w:sz w:val="16"/>
                <w:szCs w:val="16"/>
              </w:rPr>
              <w:t>5.44</w:t>
            </w:r>
          </w:p>
        </w:tc>
        <w:tc>
          <w:tcPr>
            <w:tcW w:w="720" w:type="dxa"/>
            <w:tcBorders>
              <w:top w:val="single" w:color="auto" w:sz="4" w:space="0"/>
            </w:tcBorders>
            <w:vAlign w:val="bottom"/>
          </w:tcPr>
          <w:p w14:paraId="6E7EE5BD">
            <w:pPr>
              <w:jc w:val="both"/>
              <w:rPr>
                <w:rFonts w:ascii="Arial" w:hAnsi="Arial" w:cs="Arial"/>
                <w:b/>
                <w:bCs/>
                <w:sz w:val="16"/>
                <w:szCs w:val="16"/>
              </w:rPr>
            </w:pPr>
            <w:r>
              <w:rPr>
                <w:rFonts w:ascii="Arial" w:hAnsi="Arial" w:cs="Arial"/>
                <w:bCs/>
                <w:sz w:val="16"/>
                <w:szCs w:val="16"/>
              </w:rPr>
              <w:t>5.49</w:t>
            </w:r>
          </w:p>
        </w:tc>
        <w:tc>
          <w:tcPr>
            <w:tcW w:w="720" w:type="dxa"/>
            <w:tcBorders>
              <w:top w:val="single" w:color="auto" w:sz="4" w:space="0"/>
            </w:tcBorders>
            <w:vAlign w:val="bottom"/>
          </w:tcPr>
          <w:p w14:paraId="15406897">
            <w:pPr>
              <w:jc w:val="both"/>
              <w:rPr>
                <w:rFonts w:ascii="Arial" w:hAnsi="Arial" w:cs="Arial"/>
                <w:b/>
                <w:bCs/>
                <w:sz w:val="16"/>
                <w:szCs w:val="16"/>
              </w:rPr>
            </w:pPr>
            <w:r>
              <w:rPr>
                <w:rFonts w:ascii="Arial" w:hAnsi="Arial" w:cs="Arial"/>
                <w:bCs/>
                <w:sz w:val="16"/>
                <w:szCs w:val="16"/>
              </w:rPr>
              <w:t>5.43</w:t>
            </w:r>
          </w:p>
        </w:tc>
        <w:tc>
          <w:tcPr>
            <w:tcW w:w="630" w:type="dxa"/>
            <w:tcBorders>
              <w:top w:val="single" w:color="auto" w:sz="4" w:space="0"/>
            </w:tcBorders>
            <w:vAlign w:val="bottom"/>
          </w:tcPr>
          <w:p w14:paraId="62F9361B">
            <w:pPr>
              <w:jc w:val="both"/>
              <w:rPr>
                <w:rFonts w:ascii="Arial" w:hAnsi="Arial" w:cs="Arial"/>
                <w:b/>
                <w:bCs/>
                <w:sz w:val="16"/>
                <w:szCs w:val="16"/>
              </w:rPr>
            </w:pPr>
            <w:r>
              <w:rPr>
                <w:rFonts w:ascii="Arial" w:hAnsi="Arial" w:cs="Arial"/>
                <w:bCs/>
                <w:sz w:val="16"/>
                <w:szCs w:val="16"/>
              </w:rPr>
              <w:t>0.05</w:t>
            </w:r>
          </w:p>
        </w:tc>
        <w:tc>
          <w:tcPr>
            <w:tcW w:w="810" w:type="dxa"/>
            <w:tcBorders>
              <w:top w:val="single" w:color="auto" w:sz="4" w:space="0"/>
            </w:tcBorders>
            <w:vAlign w:val="bottom"/>
          </w:tcPr>
          <w:p w14:paraId="0D9D8E11">
            <w:pPr>
              <w:jc w:val="both"/>
              <w:rPr>
                <w:rFonts w:ascii="Arial" w:hAnsi="Arial" w:cs="Arial"/>
                <w:b/>
                <w:bCs/>
                <w:sz w:val="16"/>
                <w:szCs w:val="16"/>
              </w:rPr>
            </w:pPr>
            <w:r>
              <w:rPr>
                <w:rFonts w:ascii="Arial" w:hAnsi="Arial" w:cs="Arial"/>
                <w:bCs/>
                <w:sz w:val="16"/>
                <w:szCs w:val="16"/>
              </w:rPr>
              <w:t>0.6633</w:t>
            </w:r>
          </w:p>
        </w:tc>
        <w:tc>
          <w:tcPr>
            <w:tcW w:w="828" w:type="dxa"/>
            <w:tcBorders>
              <w:top w:val="single" w:color="auto" w:sz="4" w:space="0"/>
            </w:tcBorders>
            <w:vAlign w:val="bottom"/>
          </w:tcPr>
          <w:p w14:paraId="705FD6FF">
            <w:pPr>
              <w:jc w:val="both"/>
              <w:rPr>
                <w:rFonts w:ascii="Arial" w:hAnsi="Arial" w:cs="Arial"/>
                <w:sz w:val="16"/>
                <w:szCs w:val="16"/>
              </w:rPr>
            </w:pPr>
            <w:r>
              <w:rPr>
                <w:rFonts w:ascii="Arial" w:hAnsi="Arial" w:cs="Arial"/>
                <w:sz w:val="16"/>
                <w:szCs w:val="16"/>
              </w:rPr>
              <w:t>0.3109</w:t>
            </w:r>
          </w:p>
        </w:tc>
      </w:tr>
      <w:tr w14:paraId="7C53F90F">
        <w:tblPrEx>
          <w:tblCellMar>
            <w:top w:w="0" w:type="dxa"/>
            <w:left w:w="108" w:type="dxa"/>
            <w:bottom w:w="0" w:type="dxa"/>
            <w:right w:w="108" w:type="dxa"/>
          </w:tblCellMar>
        </w:tblPrEx>
        <w:trPr>
          <w:cantSplit/>
          <w:trHeight w:val="315" w:hRule="atLeast"/>
          <w:tblHeader/>
        </w:trPr>
        <w:tc>
          <w:tcPr>
            <w:tcW w:w="1095" w:type="dxa"/>
            <w:shd w:val="clear" w:color="auto" w:fill="auto"/>
            <w:noWrap/>
            <w:vAlign w:val="bottom"/>
          </w:tcPr>
          <w:p w14:paraId="3D5C0A07">
            <w:pPr>
              <w:jc w:val="both"/>
              <w:rPr>
                <w:rFonts w:ascii="Arial" w:hAnsi="Arial" w:cs="Arial"/>
                <w:b/>
                <w:sz w:val="16"/>
                <w:szCs w:val="16"/>
              </w:rPr>
            </w:pPr>
            <w:r>
              <w:rPr>
                <w:rFonts w:ascii="Arial" w:hAnsi="Arial" w:cs="Arial"/>
                <w:sz w:val="16"/>
                <w:szCs w:val="16"/>
              </w:rPr>
              <w:t>pH48</w:t>
            </w:r>
          </w:p>
        </w:tc>
        <w:tc>
          <w:tcPr>
            <w:tcW w:w="702" w:type="dxa"/>
            <w:shd w:val="clear" w:color="auto" w:fill="auto"/>
            <w:noWrap/>
            <w:vAlign w:val="bottom"/>
          </w:tcPr>
          <w:p w14:paraId="0EF98384">
            <w:pPr>
              <w:jc w:val="both"/>
              <w:rPr>
                <w:rFonts w:ascii="Arial" w:hAnsi="Arial" w:cs="Arial"/>
                <w:b/>
                <w:sz w:val="16"/>
                <w:szCs w:val="16"/>
              </w:rPr>
            </w:pPr>
            <w:r>
              <w:rPr>
                <w:rFonts w:ascii="Arial" w:hAnsi="Arial" w:cs="Arial"/>
                <w:sz w:val="16"/>
                <w:szCs w:val="16"/>
              </w:rPr>
              <w:t>5.28</w:t>
            </w:r>
          </w:p>
        </w:tc>
        <w:tc>
          <w:tcPr>
            <w:tcW w:w="630" w:type="dxa"/>
            <w:shd w:val="clear" w:color="auto" w:fill="auto"/>
            <w:noWrap/>
            <w:vAlign w:val="bottom"/>
          </w:tcPr>
          <w:p w14:paraId="153711AF">
            <w:pPr>
              <w:jc w:val="both"/>
              <w:rPr>
                <w:rFonts w:ascii="Arial" w:hAnsi="Arial" w:cs="Arial"/>
                <w:b/>
                <w:sz w:val="16"/>
                <w:szCs w:val="16"/>
              </w:rPr>
            </w:pPr>
            <w:r>
              <w:rPr>
                <w:rFonts w:ascii="Arial" w:hAnsi="Arial" w:cs="Arial"/>
                <w:sz w:val="16"/>
                <w:szCs w:val="16"/>
              </w:rPr>
              <w:t>5.21</w:t>
            </w:r>
          </w:p>
        </w:tc>
        <w:tc>
          <w:tcPr>
            <w:tcW w:w="720" w:type="dxa"/>
            <w:shd w:val="clear" w:color="auto" w:fill="auto"/>
            <w:noWrap/>
            <w:vAlign w:val="bottom"/>
          </w:tcPr>
          <w:p w14:paraId="7CAE18EC">
            <w:pPr>
              <w:jc w:val="both"/>
              <w:rPr>
                <w:rFonts w:ascii="Arial" w:hAnsi="Arial" w:cs="Arial"/>
                <w:b/>
                <w:sz w:val="16"/>
                <w:szCs w:val="16"/>
              </w:rPr>
            </w:pPr>
            <w:r>
              <w:rPr>
                <w:rFonts w:ascii="Arial" w:hAnsi="Arial" w:cs="Arial"/>
                <w:sz w:val="16"/>
                <w:szCs w:val="16"/>
              </w:rPr>
              <w:t>5.28</w:t>
            </w:r>
          </w:p>
        </w:tc>
        <w:tc>
          <w:tcPr>
            <w:tcW w:w="630" w:type="dxa"/>
            <w:vAlign w:val="bottom"/>
          </w:tcPr>
          <w:p w14:paraId="3DFF1856">
            <w:pPr>
              <w:jc w:val="both"/>
              <w:rPr>
                <w:rFonts w:ascii="Arial" w:hAnsi="Arial" w:cs="Arial"/>
                <w:b/>
                <w:sz w:val="16"/>
                <w:szCs w:val="16"/>
              </w:rPr>
            </w:pPr>
            <w:r>
              <w:rPr>
                <w:rFonts w:ascii="Arial" w:hAnsi="Arial" w:cs="Arial"/>
                <w:sz w:val="16"/>
                <w:szCs w:val="16"/>
              </w:rPr>
              <w:t>0.05</w:t>
            </w:r>
          </w:p>
        </w:tc>
        <w:tc>
          <w:tcPr>
            <w:tcW w:w="882" w:type="dxa"/>
            <w:vAlign w:val="bottom"/>
          </w:tcPr>
          <w:p w14:paraId="7E5565CB">
            <w:pPr>
              <w:jc w:val="both"/>
              <w:rPr>
                <w:rFonts w:ascii="Arial" w:hAnsi="Arial" w:cs="Arial"/>
                <w:b/>
                <w:sz w:val="16"/>
                <w:szCs w:val="16"/>
              </w:rPr>
            </w:pPr>
            <w:r>
              <w:rPr>
                <w:rFonts w:ascii="Arial" w:hAnsi="Arial" w:cs="Arial"/>
                <w:sz w:val="16"/>
                <w:szCs w:val="16"/>
              </w:rPr>
              <w:t>0.4467</w:t>
            </w:r>
          </w:p>
        </w:tc>
        <w:tc>
          <w:tcPr>
            <w:tcW w:w="738" w:type="dxa"/>
            <w:vAlign w:val="bottom"/>
          </w:tcPr>
          <w:p w14:paraId="2D2F12AF">
            <w:pPr>
              <w:jc w:val="both"/>
              <w:rPr>
                <w:rFonts w:ascii="Arial" w:hAnsi="Arial" w:cs="Arial"/>
                <w:b/>
                <w:bCs/>
                <w:sz w:val="16"/>
                <w:szCs w:val="16"/>
              </w:rPr>
            </w:pPr>
            <w:r>
              <w:rPr>
                <w:rFonts w:ascii="Arial" w:hAnsi="Arial" w:cs="Arial"/>
                <w:bCs/>
                <w:sz w:val="16"/>
                <w:szCs w:val="16"/>
              </w:rPr>
              <w:t>5.24</w:t>
            </w:r>
          </w:p>
        </w:tc>
        <w:tc>
          <w:tcPr>
            <w:tcW w:w="720" w:type="dxa"/>
            <w:vAlign w:val="bottom"/>
          </w:tcPr>
          <w:p w14:paraId="01EC99D2">
            <w:pPr>
              <w:jc w:val="both"/>
              <w:rPr>
                <w:rFonts w:ascii="Arial" w:hAnsi="Arial" w:cs="Arial"/>
                <w:b/>
                <w:bCs/>
                <w:sz w:val="16"/>
                <w:szCs w:val="16"/>
              </w:rPr>
            </w:pPr>
            <w:r>
              <w:rPr>
                <w:rFonts w:ascii="Arial" w:hAnsi="Arial" w:cs="Arial"/>
                <w:bCs/>
                <w:sz w:val="16"/>
                <w:szCs w:val="16"/>
              </w:rPr>
              <w:t>5.26</w:t>
            </w:r>
          </w:p>
        </w:tc>
        <w:tc>
          <w:tcPr>
            <w:tcW w:w="720" w:type="dxa"/>
            <w:vAlign w:val="bottom"/>
          </w:tcPr>
          <w:p w14:paraId="6CD5C363">
            <w:pPr>
              <w:jc w:val="both"/>
              <w:rPr>
                <w:rFonts w:ascii="Arial" w:hAnsi="Arial" w:cs="Arial"/>
                <w:b/>
                <w:bCs/>
                <w:sz w:val="16"/>
                <w:szCs w:val="16"/>
              </w:rPr>
            </w:pPr>
            <w:r>
              <w:rPr>
                <w:rFonts w:ascii="Arial" w:hAnsi="Arial" w:cs="Arial"/>
                <w:bCs/>
                <w:sz w:val="16"/>
                <w:szCs w:val="16"/>
              </w:rPr>
              <w:t>5.26</w:t>
            </w:r>
          </w:p>
        </w:tc>
        <w:tc>
          <w:tcPr>
            <w:tcW w:w="630" w:type="dxa"/>
            <w:vAlign w:val="bottom"/>
          </w:tcPr>
          <w:p w14:paraId="5FB58C59">
            <w:pPr>
              <w:jc w:val="both"/>
              <w:rPr>
                <w:rFonts w:ascii="Arial" w:hAnsi="Arial" w:cs="Arial"/>
                <w:b/>
                <w:bCs/>
                <w:sz w:val="16"/>
                <w:szCs w:val="16"/>
              </w:rPr>
            </w:pPr>
            <w:r>
              <w:rPr>
                <w:rFonts w:ascii="Arial" w:hAnsi="Arial" w:cs="Arial"/>
                <w:bCs/>
                <w:sz w:val="16"/>
                <w:szCs w:val="16"/>
              </w:rPr>
              <w:t>0.05</w:t>
            </w:r>
          </w:p>
        </w:tc>
        <w:tc>
          <w:tcPr>
            <w:tcW w:w="810" w:type="dxa"/>
            <w:vAlign w:val="bottom"/>
          </w:tcPr>
          <w:p w14:paraId="52D62BF1">
            <w:pPr>
              <w:jc w:val="both"/>
              <w:rPr>
                <w:rFonts w:ascii="Arial" w:hAnsi="Arial" w:cs="Arial"/>
                <w:b/>
                <w:bCs/>
                <w:sz w:val="16"/>
                <w:szCs w:val="16"/>
              </w:rPr>
            </w:pPr>
            <w:r>
              <w:rPr>
                <w:rFonts w:ascii="Arial" w:hAnsi="Arial" w:cs="Arial"/>
                <w:bCs/>
                <w:sz w:val="16"/>
                <w:szCs w:val="16"/>
              </w:rPr>
              <w:t>0.9249</w:t>
            </w:r>
          </w:p>
        </w:tc>
        <w:tc>
          <w:tcPr>
            <w:tcW w:w="828" w:type="dxa"/>
            <w:vAlign w:val="bottom"/>
          </w:tcPr>
          <w:p w14:paraId="7D608ED2">
            <w:pPr>
              <w:jc w:val="both"/>
              <w:rPr>
                <w:rFonts w:ascii="Arial" w:hAnsi="Arial" w:cs="Arial"/>
                <w:sz w:val="16"/>
                <w:szCs w:val="16"/>
              </w:rPr>
            </w:pPr>
            <w:r>
              <w:rPr>
                <w:rFonts w:ascii="Arial" w:hAnsi="Arial" w:cs="Arial"/>
                <w:sz w:val="16"/>
                <w:szCs w:val="16"/>
              </w:rPr>
              <w:t>0.1392</w:t>
            </w:r>
          </w:p>
        </w:tc>
      </w:tr>
      <w:tr w14:paraId="2ECA78AD">
        <w:tblPrEx>
          <w:tblCellMar>
            <w:top w:w="0" w:type="dxa"/>
            <w:left w:w="108" w:type="dxa"/>
            <w:bottom w:w="0" w:type="dxa"/>
            <w:right w:w="108" w:type="dxa"/>
          </w:tblCellMar>
        </w:tblPrEx>
        <w:trPr>
          <w:cantSplit/>
          <w:trHeight w:val="360" w:hRule="atLeast"/>
          <w:tblHeader/>
        </w:trPr>
        <w:tc>
          <w:tcPr>
            <w:tcW w:w="1095" w:type="dxa"/>
            <w:shd w:val="clear" w:color="auto" w:fill="auto"/>
            <w:noWrap/>
            <w:vAlign w:val="bottom"/>
          </w:tcPr>
          <w:p w14:paraId="3C86AE82">
            <w:pPr>
              <w:spacing w:line="360" w:lineRule="auto"/>
              <w:jc w:val="both"/>
              <w:rPr>
                <w:rFonts w:ascii="Arial" w:hAnsi="Arial" w:cs="Arial"/>
                <w:sz w:val="16"/>
                <w:szCs w:val="16"/>
              </w:rPr>
            </w:pPr>
            <w:r>
              <w:rPr>
                <w:rFonts w:ascii="Arial" w:hAnsi="Arial" w:cs="Arial"/>
                <w:sz w:val="16"/>
                <w:szCs w:val="16"/>
              </w:rPr>
              <w:t>Cooking Loss (%)</w:t>
            </w:r>
          </w:p>
        </w:tc>
        <w:tc>
          <w:tcPr>
            <w:tcW w:w="702" w:type="dxa"/>
            <w:shd w:val="clear" w:color="auto" w:fill="auto"/>
            <w:noWrap/>
            <w:vAlign w:val="bottom"/>
          </w:tcPr>
          <w:p w14:paraId="15E18706">
            <w:pPr>
              <w:jc w:val="both"/>
              <w:rPr>
                <w:rFonts w:ascii="Arial" w:hAnsi="Arial" w:cs="Arial"/>
                <w:sz w:val="16"/>
                <w:szCs w:val="16"/>
              </w:rPr>
            </w:pPr>
            <w:r>
              <w:rPr>
                <w:rFonts w:ascii="Arial" w:hAnsi="Arial" w:cs="Arial"/>
                <w:sz w:val="16"/>
                <w:szCs w:val="16"/>
              </w:rPr>
              <w:t>33.31</w:t>
            </w:r>
          </w:p>
        </w:tc>
        <w:tc>
          <w:tcPr>
            <w:tcW w:w="630" w:type="dxa"/>
            <w:shd w:val="clear" w:color="auto" w:fill="auto"/>
            <w:noWrap/>
            <w:vAlign w:val="bottom"/>
          </w:tcPr>
          <w:p w14:paraId="0805A3D6">
            <w:pPr>
              <w:jc w:val="both"/>
              <w:rPr>
                <w:rFonts w:ascii="Arial" w:hAnsi="Arial" w:cs="Arial"/>
                <w:sz w:val="16"/>
                <w:szCs w:val="16"/>
              </w:rPr>
            </w:pPr>
            <w:r>
              <w:rPr>
                <w:rFonts w:ascii="Arial" w:hAnsi="Arial" w:cs="Arial"/>
                <w:sz w:val="16"/>
                <w:szCs w:val="16"/>
              </w:rPr>
              <w:t>34.04</w:t>
            </w:r>
          </w:p>
        </w:tc>
        <w:tc>
          <w:tcPr>
            <w:tcW w:w="720" w:type="dxa"/>
            <w:shd w:val="clear" w:color="auto" w:fill="auto"/>
            <w:noWrap/>
            <w:vAlign w:val="bottom"/>
          </w:tcPr>
          <w:p w14:paraId="5B6AF420">
            <w:pPr>
              <w:jc w:val="both"/>
              <w:rPr>
                <w:rFonts w:ascii="Arial" w:hAnsi="Arial" w:cs="Arial"/>
                <w:sz w:val="16"/>
                <w:szCs w:val="16"/>
              </w:rPr>
            </w:pPr>
            <w:r>
              <w:rPr>
                <w:rFonts w:ascii="Arial" w:hAnsi="Arial" w:cs="Arial"/>
                <w:sz w:val="16"/>
                <w:szCs w:val="16"/>
              </w:rPr>
              <w:t>34.35</w:t>
            </w:r>
          </w:p>
        </w:tc>
        <w:tc>
          <w:tcPr>
            <w:tcW w:w="630" w:type="dxa"/>
            <w:vAlign w:val="bottom"/>
          </w:tcPr>
          <w:p w14:paraId="31244FFC">
            <w:pPr>
              <w:jc w:val="both"/>
              <w:rPr>
                <w:rFonts w:ascii="Arial" w:hAnsi="Arial" w:cs="Arial"/>
                <w:sz w:val="16"/>
                <w:szCs w:val="16"/>
              </w:rPr>
            </w:pPr>
            <w:r>
              <w:rPr>
                <w:rFonts w:ascii="Arial" w:hAnsi="Arial" w:cs="Arial"/>
                <w:sz w:val="16"/>
                <w:szCs w:val="16"/>
              </w:rPr>
              <w:t>1.08</w:t>
            </w:r>
          </w:p>
        </w:tc>
        <w:tc>
          <w:tcPr>
            <w:tcW w:w="882" w:type="dxa"/>
            <w:vAlign w:val="bottom"/>
          </w:tcPr>
          <w:p w14:paraId="591D40A6">
            <w:pPr>
              <w:jc w:val="both"/>
              <w:rPr>
                <w:rFonts w:ascii="Arial" w:hAnsi="Arial" w:cs="Arial"/>
                <w:sz w:val="16"/>
                <w:szCs w:val="16"/>
              </w:rPr>
            </w:pPr>
            <w:r>
              <w:rPr>
                <w:rFonts w:ascii="Arial" w:hAnsi="Arial" w:cs="Arial"/>
                <w:sz w:val="16"/>
                <w:szCs w:val="16"/>
              </w:rPr>
              <w:t>0.7814</w:t>
            </w:r>
          </w:p>
        </w:tc>
        <w:tc>
          <w:tcPr>
            <w:tcW w:w="738" w:type="dxa"/>
            <w:vAlign w:val="bottom"/>
          </w:tcPr>
          <w:p w14:paraId="524612CB">
            <w:pPr>
              <w:jc w:val="both"/>
              <w:rPr>
                <w:rFonts w:ascii="Arial" w:hAnsi="Arial" w:cs="Arial"/>
                <w:bCs/>
                <w:sz w:val="16"/>
                <w:szCs w:val="16"/>
              </w:rPr>
            </w:pPr>
            <w:r>
              <w:rPr>
                <w:rFonts w:ascii="Arial" w:hAnsi="Arial" w:cs="Arial"/>
                <w:bCs/>
                <w:sz w:val="16"/>
                <w:szCs w:val="16"/>
              </w:rPr>
              <w:t>34.36</w:t>
            </w:r>
          </w:p>
        </w:tc>
        <w:tc>
          <w:tcPr>
            <w:tcW w:w="720" w:type="dxa"/>
            <w:vAlign w:val="bottom"/>
          </w:tcPr>
          <w:p w14:paraId="654BE490">
            <w:pPr>
              <w:jc w:val="both"/>
              <w:rPr>
                <w:rFonts w:ascii="Arial" w:hAnsi="Arial" w:cs="Arial"/>
                <w:bCs/>
                <w:sz w:val="16"/>
                <w:szCs w:val="16"/>
              </w:rPr>
            </w:pPr>
            <w:r>
              <w:rPr>
                <w:rFonts w:ascii="Arial" w:hAnsi="Arial" w:cs="Arial"/>
                <w:bCs/>
                <w:sz w:val="16"/>
                <w:szCs w:val="16"/>
              </w:rPr>
              <w:t>32.71</w:t>
            </w:r>
          </w:p>
        </w:tc>
        <w:tc>
          <w:tcPr>
            <w:tcW w:w="720" w:type="dxa"/>
            <w:vAlign w:val="bottom"/>
          </w:tcPr>
          <w:p w14:paraId="2B8C5AF4">
            <w:pPr>
              <w:jc w:val="both"/>
              <w:rPr>
                <w:rFonts w:ascii="Arial" w:hAnsi="Arial" w:cs="Arial"/>
                <w:bCs/>
                <w:sz w:val="16"/>
                <w:szCs w:val="16"/>
              </w:rPr>
            </w:pPr>
            <w:r>
              <w:rPr>
                <w:rFonts w:ascii="Arial" w:hAnsi="Arial" w:cs="Arial"/>
                <w:bCs/>
                <w:sz w:val="16"/>
                <w:szCs w:val="16"/>
              </w:rPr>
              <w:t>34.63</w:t>
            </w:r>
          </w:p>
        </w:tc>
        <w:tc>
          <w:tcPr>
            <w:tcW w:w="630" w:type="dxa"/>
            <w:vAlign w:val="bottom"/>
          </w:tcPr>
          <w:p w14:paraId="428A1908">
            <w:pPr>
              <w:jc w:val="both"/>
              <w:rPr>
                <w:rFonts w:ascii="Arial" w:hAnsi="Arial" w:cs="Arial"/>
                <w:bCs/>
                <w:sz w:val="16"/>
                <w:szCs w:val="16"/>
              </w:rPr>
            </w:pPr>
            <w:r>
              <w:rPr>
                <w:rFonts w:ascii="Arial" w:hAnsi="Arial" w:cs="Arial"/>
                <w:bCs/>
                <w:sz w:val="16"/>
                <w:szCs w:val="16"/>
              </w:rPr>
              <w:t>1.08</w:t>
            </w:r>
          </w:p>
        </w:tc>
        <w:tc>
          <w:tcPr>
            <w:tcW w:w="810" w:type="dxa"/>
            <w:vAlign w:val="bottom"/>
          </w:tcPr>
          <w:p w14:paraId="46EF324E">
            <w:pPr>
              <w:jc w:val="both"/>
              <w:rPr>
                <w:rFonts w:ascii="Arial" w:hAnsi="Arial" w:cs="Arial"/>
                <w:bCs/>
                <w:sz w:val="16"/>
                <w:szCs w:val="16"/>
              </w:rPr>
            </w:pPr>
            <w:r>
              <w:rPr>
                <w:rFonts w:ascii="Arial" w:hAnsi="Arial" w:cs="Arial"/>
                <w:bCs/>
                <w:sz w:val="16"/>
                <w:szCs w:val="16"/>
              </w:rPr>
              <w:t>0.4030</w:t>
            </w:r>
          </w:p>
        </w:tc>
        <w:tc>
          <w:tcPr>
            <w:tcW w:w="828" w:type="dxa"/>
            <w:vAlign w:val="bottom"/>
          </w:tcPr>
          <w:p w14:paraId="6169B17A">
            <w:pPr>
              <w:jc w:val="both"/>
              <w:rPr>
                <w:rFonts w:ascii="Arial" w:hAnsi="Arial" w:cs="Arial"/>
                <w:sz w:val="16"/>
                <w:szCs w:val="16"/>
              </w:rPr>
            </w:pPr>
            <w:r>
              <w:rPr>
                <w:rFonts w:ascii="Arial" w:hAnsi="Arial" w:cs="Arial"/>
                <w:sz w:val="16"/>
                <w:szCs w:val="16"/>
              </w:rPr>
              <w:t>0.0982</w:t>
            </w:r>
          </w:p>
        </w:tc>
      </w:tr>
      <w:tr w14:paraId="4F0B3AF2">
        <w:tblPrEx>
          <w:tblCellMar>
            <w:top w:w="0" w:type="dxa"/>
            <w:left w:w="108" w:type="dxa"/>
            <w:bottom w:w="0" w:type="dxa"/>
            <w:right w:w="108" w:type="dxa"/>
          </w:tblCellMar>
        </w:tblPrEx>
        <w:trPr>
          <w:cantSplit/>
          <w:trHeight w:val="360" w:hRule="atLeast"/>
          <w:tblHeader/>
        </w:trPr>
        <w:tc>
          <w:tcPr>
            <w:tcW w:w="1095" w:type="dxa"/>
            <w:shd w:val="clear" w:color="auto" w:fill="auto"/>
            <w:noWrap/>
            <w:vAlign w:val="bottom"/>
          </w:tcPr>
          <w:p w14:paraId="28845925">
            <w:pPr>
              <w:jc w:val="both"/>
              <w:rPr>
                <w:rFonts w:ascii="Arial" w:hAnsi="Arial" w:cs="Arial"/>
                <w:sz w:val="16"/>
                <w:szCs w:val="16"/>
              </w:rPr>
            </w:pPr>
            <w:r>
              <w:rPr>
                <w:rFonts w:ascii="Arial" w:hAnsi="Arial" w:cs="Arial"/>
                <w:sz w:val="16"/>
                <w:szCs w:val="16"/>
              </w:rPr>
              <w:t>Shear Force (N/kg)</w:t>
            </w:r>
          </w:p>
        </w:tc>
        <w:tc>
          <w:tcPr>
            <w:tcW w:w="702" w:type="dxa"/>
            <w:shd w:val="clear" w:color="auto" w:fill="auto"/>
            <w:noWrap/>
            <w:vAlign w:val="bottom"/>
          </w:tcPr>
          <w:p w14:paraId="785CA12D">
            <w:pPr>
              <w:jc w:val="both"/>
              <w:rPr>
                <w:rFonts w:ascii="Arial" w:hAnsi="Arial" w:cs="Arial"/>
                <w:sz w:val="16"/>
                <w:szCs w:val="16"/>
              </w:rPr>
            </w:pPr>
            <w:r>
              <w:rPr>
                <w:rFonts w:ascii="Arial" w:hAnsi="Arial" w:cs="Arial"/>
                <w:sz w:val="16"/>
                <w:szCs w:val="16"/>
              </w:rPr>
              <w:t>44.41</w:t>
            </w:r>
            <w:r>
              <w:rPr>
                <w:rFonts w:ascii="Arial" w:hAnsi="Arial" w:cs="Arial"/>
                <w:sz w:val="16"/>
                <w:szCs w:val="16"/>
                <w:vertAlign w:val="superscript"/>
              </w:rPr>
              <w:t>a</w:t>
            </w:r>
          </w:p>
        </w:tc>
        <w:tc>
          <w:tcPr>
            <w:tcW w:w="630" w:type="dxa"/>
            <w:shd w:val="clear" w:color="auto" w:fill="auto"/>
            <w:noWrap/>
            <w:vAlign w:val="bottom"/>
          </w:tcPr>
          <w:p w14:paraId="14A03928">
            <w:pPr>
              <w:jc w:val="both"/>
              <w:rPr>
                <w:rFonts w:ascii="Arial" w:hAnsi="Arial" w:cs="Arial"/>
                <w:sz w:val="16"/>
                <w:szCs w:val="16"/>
              </w:rPr>
            </w:pPr>
            <w:r>
              <w:rPr>
                <w:rFonts w:ascii="Arial" w:hAnsi="Arial" w:cs="Arial"/>
                <w:sz w:val="16"/>
                <w:szCs w:val="16"/>
              </w:rPr>
              <w:t>45.4</w:t>
            </w:r>
            <w:r>
              <w:rPr>
                <w:rFonts w:ascii="Arial" w:hAnsi="Arial" w:cs="Arial"/>
                <w:sz w:val="16"/>
                <w:szCs w:val="16"/>
                <w:vertAlign w:val="superscript"/>
              </w:rPr>
              <w:t>a</w:t>
            </w:r>
          </w:p>
        </w:tc>
        <w:tc>
          <w:tcPr>
            <w:tcW w:w="720" w:type="dxa"/>
            <w:shd w:val="clear" w:color="auto" w:fill="auto"/>
            <w:noWrap/>
            <w:vAlign w:val="bottom"/>
          </w:tcPr>
          <w:p w14:paraId="61BD661B">
            <w:pPr>
              <w:jc w:val="both"/>
              <w:rPr>
                <w:rFonts w:ascii="Arial" w:hAnsi="Arial" w:cs="Arial"/>
                <w:sz w:val="16"/>
                <w:szCs w:val="16"/>
              </w:rPr>
            </w:pPr>
            <w:r>
              <w:rPr>
                <w:rFonts w:ascii="Arial" w:hAnsi="Arial" w:cs="Arial"/>
                <w:sz w:val="16"/>
                <w:szCs w:val="16"/>
              </w:rPr>
              <w:t>41.71</w:t>
            </w:r>
            <w:r>
              <w:rPr>
                <w:rFonts w:ascii="Arial" w:hAnsi="Arial" w:cs="Arial"/>
                <w:sz w:val="16"/>
                <w:szCs w:val="16"/>
                <w:vertAlign w:val="superscript"/>
              </w:rPr>
              <w:t>b</w:t>
            </w:r>
          </w:p>
        </w:tc>
        <w:tc>
          <w:tcPr>
            <w:tcW w:w="630" w:type="dxa"/>
            <w:vAlign w:val="bottom"/>
          </w:tcPr>
          <w:p w14:paraId="3A030AF3">
            <w:pPr>
              <w:jc w:val="both"/>
              <w:rPr>
                <w:rFonts w:ascii="Arial" w:hAnsi="Arial" w:cs="Arial"/>
                <w:sz w:val="16"/>
                <w:szCs w:val="16"/>
              </w:rPr>
            </w:pPr>
            <w:r>
              <w:rPr>
                <w:rFonts w:ascii="Arial" w:hAnsi="Arial" w:cs="Arial"/>
                <w:sz w:val="16"/>
                <w:szCs w:val="16"/>
              </w:rPr>
              <w:t>1.55</w:t>
            </w:r>
          </w:p>
        </w:tc>
        <w:tc>
          <w:tcPr>
            <w:tcW w:w="882" w:type="dxa"/>
            <w:vAlign w:val="bottom"/>
          </w:tcPr>
          <w:p w14:paraId="21C7F0C2">
            <w:pPr>
              <w:jc w:val="both"/>
              <w:rPr>
                <w:rFonts w:ascii="Arial" w:hAnsi="Arial" w:cs="Arial"/>
                <w:sz w:val="16"/>
                <w:szCs w:val="16"/>
              </w:rPr>
            </w:pPr>
            <w:r>
              <w:rPr>
                <w:rFonts w:ascii="Arial" w:hAnsi="Arial" w:cs="Arial"/>
                <w:sz w:val="16"/>
                <w:szCs w:val="16"/>
              </w:rPr>
              <w:t>0.0039</w:t>
            </w:r>
          </w:p>
        </w:tc>
        <w:tc>
          <w:tcPr>
            <w:tcW w:w="738" w:type="dxa"/>
            <w:vAlign w:val="bottom"/>
          </w:tcPr>
          <w:p w14:paraId="0E6C0C36">
            <w:pPr>
              <w:jc w:val="both"/>
              <w:rPr>
                <w:rFonts w:ascii="Arial" w:hAnsi="Arial" w:cs="Arial"/>
                <w:bCs/>
                <w:sz w:val="16"/>
                <w:szCs w:val="16"/>
              </w:rPr>
            </w:pPr>
            <w:r>
              <w:rPr>
                <w:rFonts w:ascii="Arial" w:hAnsi="Arial" w:cs="Arial"/>
                <w:bCs/>
                <w:sz w:val="16"/>
                <w:szCs w:val="16"/>
              </w:rPr>
              <w:t>48.19</w:t>
            </w:r>
            <w:r>
              <w:rPr>
                <w:rFonts w:ascii="Arial" w:hAnsi="Arial" w:cs="Arial"/>
                <w:bCs/>
                <w:sz w:val="16"/>
                <w:szCs w:val="16"/>
                <w:vertAlign w:val="superscript"/>
              </w:rPr>
              <w:t>a</w:t>
            </w:r>
          </w:p>
        </w:tc>
        <w:tc>
          <w:tcPr>
            <w:tcW w:w="720" w:type="dxa"/>
            <w:vAlign w:val="bottom"/>
          </w:tcPr>
          <w:p w14:paraId="621D1CE7">
            <w:pPr>
              <w:jc w:val="both"/>
              <w:rPr>
                <w:rFonts w:ascii="Arial" w:hAnsi="Arial" w:cs="Arial"/>
                <w:bCs/>
                <w:sz w:val="16"/>
                <w:szCs w:val="16"/>
              </w:rPr>
            </w:pPr>
            <w:r>
              <w:rPr>
                <w:rFonts w:ascii="Arial" w:hAnsi="Arial" w:cs="Arial"/>
                <w:bCs/>
                <w:sz w:val="16"/>
                <w:szCs w:val="16"/>
              </w:rPr>
              <w:t>48.1</w:t>
            </w:r>
            <w:r>
              <w:rPr>
                <w:rFonts w:ascii="Arial" w:hAnsi="Arial" w:cs="Arial"/>
                <w:bCs/>
                <w:sz w:val="16"/>
                <w:szCs w:val="16"/>
                <w:vertAlign w:val="superscript"/>
              </w:rPr>
              <w:t>a</w:t>
            </w:r>
          </w:p>
        </w:tc>
        <w:tc>
          <w:tcPr>
            <w:tcW w:w="720" w:type="dxa"/>
            <w:vAlign w:val="bottom"/>
          </w:tcPr>
          <w:p w14:paraId="11EAA6FB">
            <w:pPr>
              <w:jc w:val="both"/>
              <w:rPr>
                <w:rFonts w:ascii="Arial" w:hAnsi="Arial" w:cs="Arial"/>
                <w:bCs/>
                <w:sz w:val="16"/>
                <w:szCs w:val="16"/>
              </w:rPr>
            </w:pPr>
            <w:r>
              <w:rPr>
                <w:rFonts w:ascii="Arial" w:hAnsi="Arial" w:cs="Arial"/>
                <w:bCs/>
                <w:sz w:val="16"/>
                <w:szCs w:val="16"/>
              </w:rPr>
              <w:t>35.21</w:t>
            </w:r>
            <w:r>
              <w:rPr>
                <w:rFonts w:ascii="Arial" w:hAnsi="Arial" w:cs="Arial"/>
                <w:bCs/>
                <w:sz w:val="16"/>
                <w:szCs w:val="16"/>
                <w:vertAlign w:val="superscript"/>
              </w:rPr>
              <w:t>b</w:t>
            </w:r>
          </w:p>
        </w:tc>
        <w:tc>
          <w:tcPr>
            <w:tcW w:w="630" w:type="dxa"/>
            <w:vAlign w:val="bottom"/>
          </w:tcPr>
          <w:p w14:paraId="7214B596">
            <w:pPr>
              <w:jc w:val="both"/>
              <w:rPr>
                <w:rFonts w:ascii="Arial" w:hAnsi="Arial" w:cs="Arial"/>
                <w:bCs/>
                <w:sz w:val="16"/>
                <w:szCs w:val="16"/>
              </w:rPr>
            </w:pPr>
            <w:r>
              <w:rPr>
                <w:rFonts w:ascii="Arial" w:hAnsi="Arial" w:cs="Arial"/>
                <w:bCs/>
                <w:sz w:val="16"/>
                <w:szCs w:val="16"/>
              </w:rPr>
              <w:t>1.55</w:t>
            </w:r>
          </w:p>
        </w:tc>
        <w:tc>
          <w:tcPr>
            <w:tcW w:w="810" w:type="dxa"/>
            <w:vAlign w:val="bottom"/>
          </w:tcPr>
          <w:p w14:paraId="1F87237F">
            <w:pPr>
              <w:jc w:val="both"/>
              <w:rPr>
                <w:rFonts w:ascii="Arial" w:hAnsi="Arial" w:cs="Arial"/>
                <w:bCs/>
                <w:sz w:val="16"/>
                <w:szCs w:val="16"/>
              </w:rPr>
            </w:pPr>
            <w:r>
              <w:rPr>
                <w:rFonts w:ascii="Arial" w:hAnsi="Arial" w:cs="Arial"/>
                <w:bCs/>
                <w:sz w:val="16"/>
                <w:szCs w:val="16"/>
              </w:rPr>
              <w:t>0.0001</w:t>
            </w:r>
          </w:p>
        </w:tc>
        <w:tc>
          <w:tcPr>
            <w:tcW w:w="828" w:type="dxa"/>
            <w:vAlign w:val="bottom"/>
          </w:tcPr>
          <w:p w14:paraId="1E69771C">
            <w:pPr>
              <w:jc w:val="both"/>
              <w:rPr>
                <w:rFonts w:ascii="Arial" w:hAnsi="Arial" w:cs="Arial"/>
                <w:sz w:val="16"/>
                <w:szCs w:val="16"/>
              </w:rPr>
            </w:pPr>
            <w:r>
              <w:rPr>
                <w:rFonts w:ascii="Arial" w:hAnsi="Arial" w:cs="Arial"/>
                <w:sz w:val="16"/>
                <w:szCs w:val="16"/>
              </w:rPr>
              <w:t>0.0002</w:t>
            </w:r>
          </w:p>
        </w:tc>
      </w:tr>
      <w:tr w14:paraId="31E6F61B">
        <w:tblPrEx>
          <w:tblCellMar>
            <w:top w:w="0" w:type="dxa"/>
            <w:left w:w="108" w:type="dxa"/>
            <w:bottom w:w="0" w:type="dxa"/>
            <w:right w:w="108" w:type="dxa"/>
          </w:tblCellMar>
        </w:tblPrEx>
        <w:trPr>
          <w:cantSplit/>
          <w:trHeight w:val="360" w:hRule="atLeast"/>
          <w:tblHeader/>
        </w:trPr>
        <w:tc>
          <w:tcPr>
            <w:tcW w:w="1095" w:type="dxa"/>
            <w:shd w:val="clear" w:color="auto" w:fill="auto"/>
            <w:noWrap/>
            <w:vAlign w:val="bottom"/>
          </w:tcPr>
          <w:p w14:paraId="7CE14494">
            <w:pPr>
              <w:jc w:val="both"/>
              <w:rPr>
                <w:rFonts w:ascii="Arial" w:hAnsi="Arial" w:cs="Arial"/>
                <w:sz w:val="16"/>
                <w:szCs w:val="16"/>
              </w:rPr>
            </w:pPr>
            <w:r>
              <w:rPr>
                <w:rFonts w:ascii="Arial" w:hAnsi="Arial" w:cs="Arial"/>
                <w:sz w:val="16"/>
                <w:szCs w:val="16"/>
              </w:rPr>
              <w:t>Lightness</w:t>
            </w:r>
          </w:p>
        </w:tc>
        <w:tc>
          <w:tcPr>
            <w:tcW w:w="702" w:type="dxa"/>
            <w:shd w:val="clear" w:color="auto" w:fill="auto"/>
            <w:noWrap/>
            <w:vAlign w:val="bottom"/>
          </w:tcPr>
          <w:p w14:paraId="6910ECD5">
            <w:pPr>
              <w:jc w:val="both"/>
              <w:rPr>
                <w:rFonts w:ascii="Arial" w:hAnsi="Arial" w:cs="Arial"/>
                <w:sz w:val="16"/>
                <w:szCs w:val="16"/>
              </w:rPr>
            </w:pPr>
            <w:r>
              <w:rPr>
                <w:rFonts w:ascii="Arial" w:hAnsi="Arial" w:cs="Arial"/>
                <w:sz w:val="16"/>
                <w:szCs w:val="16"/>
              </w:rPr>
              <w:t>44.15</w:t>
            </w:r>
          </w:p>
        </w:tc>
        <w:tc>
          <w:tcPr>
            <w:tcW w:w="630" w:type="dxa"/>
            <w:shd w:val="clear" w:color="auto" w:fill="auto"/>
            <w:noWrap/>
            <w:vAlign w:val="bottom"/>
          </w:tcPr>
          <w:p w14:paraId="495A8603">
            <w:pPr>
              <w:jc w:val="both"/>
              <w:rPr>
                <w:rFonts w:ascii="Arial" w:hAnsi="Arial" w:cs="Arial"/>
                <w:sz w:val="16"/>
                <w:szCs w:val="16"/>
              </w:rPr>
            </w:pPr>
            <w:r>
              <w:rPr>
                <w:rFonts w:ascii="Arial" w:hAnsi="Arial" w:cs="Arial"/>
                <w:sz w:val="16"/>
                <w:szCs w:val="16"/>
              </w:rPr>
              <w:t>42.73</w:t>
            </w:r>
          </w:p>
        </w:tc>
        <w:tc>
          <w:tcPr>
            <w:tcW w:w="720" w:type="dxa"/>
            <w:shd w:val="clear" w:color="auto" w:fill="auto"/>
            <w:noWrap/>
            <w:vAlign w:val="bottom"/>
          </w:tcPr>
          <w:p w14:paraId="30D40ABD">
            <w:pPr>
              <w:jc w:val="both"/>
              <w:rPr>
                <w:rFonts w:ascii="Arial" w:hAnsi="Arial" w:cs="Arial"/>
                <w:sz w:val="16"/>
                <w:szCs w:val="16"/>
              </w:rPr>
            </w:pPr>
            <w:r>
              <w:rPr>
                <w:rFonts w:ascii="Arial" w:hAnsi="Arial" w:cs="Arial"/>
                <w:sz w:val="16"/>
                <w:szCs w:val="16"/>
              </w:rPr>
              <w:t>42.43</w:t>
            </w:r>
          </w:p>
        </w:tc>
        <w:tc>
          <w:tcPr>
            <w:tcW w:w="630" w:type="dxa"/>
            <w:vAlign w:val="bottom"/>
          </w:tcPr>
          <w:p w14:paraId="51ACD2D8">
            <w:pPr>
              <w:jc w:val="both"/>
              <w:rPr>
                <w:rFonts w:ascii="Arial" w:hAnsi="Arial" w:cs="Arial"/>
                <w:sz w:val="16"/>
                <w:szCs w:val="16"/>
              </w:rPr>
            </w:pPr>
            <w:r>
              <w:rPr>
                <w:rFonts w:ascii="Arial" w:hAnsi="Arial" w:cs="Arial"/>
                <w:sz w:val="16"/>
                <w:szCs w:val="16"/>
              </w:rPr>
              <w:t>0.70</w:t>
            </w:r>
          </w:p>
        </w:tc>
        <w:tc>
          <w:tcPr>
            <w:tcW w:w="882" w:type="dxa"/>
            <w:vAlign w:val="bottom"/>
          </w:tcPr>
          <w:p w14:paraId="6E218EAB">
            <w:pPr>
              <w:jc w:val="both"/>
              <w:rPr>
                <w:rFonts w:ascii="Arial" w:hAnsi="Arial" w:cs="Arial"/>
                <w:sz w:val="16"/>
                <w:szCs w:val="16"/>
              </w:rPr>
            </w:pPr>
            <w:r>
              <w:rPr>
                <w:rFonts w:ascii="Arial" w:hAnsi="Arial" w:cs="Arial"/>
                <w:sz w:val="16"/>
                <w:szCs w:val="16"/>
              </w:rPr>
              <w:t>0.1824</w:t>
            </w:r>
          </w:p>
        </w:tc>
        <w:tc>
          <w:tcPr>
            <w:tcW w:w="738" w:type="dxa"/>
            <w:vAlign w:val="bottom"/>
          </w:tcPr>
          <w:p w14:paraId="186B2D09">
            <w:pPr>
              <w:jc w:val="both"/>
              <w:rPr>
                <w:rFonts w:ascii="Arial" w:hAnsi="Arial" w:cs="Arial"/>
                <w:bCs/>
                <w:sz w:val="16"/>
                <w:szCs w:val="16"/>
              </w:rPr>
            </w:pPr>
            <w:r>
              <w:rPr>
                <w:rFonts w:ascii="Arial" w:hAnsi="Arial" w:cs="Arial"/>
                <w:bCs/>
                <w:sz w:val="16"/>
                <w:szCs w:val="16"/>
              </w:rPr>
              <w:t>42.06</w:t>
            </w:r>
            <w:r>
              <w:rPr>
                <w:rFonts w:ascii="Arial" w:hAnsi="Arial" w:cs="Arial"/>
                <w:bCs/>
                <w:sz w:val="16"/>
                <w:szCs w:val="16"/>
                <w:vertAlign w:val="superscript"/>
              </w:rPr>
              <w:t>b</w:t>
            </w:r>
          </w:p>
        </w:tc>
        <w:tc>
          <w:tcPr>
            <w:tcW w:w="720" w:type="dxa"/>
            <w:vAlign w:val="bottom"/>
          </w:tcPr>
          <w:p w14:paraId="62AB6FEF">
            <w:pPr>
              <w:jc w:val="both"/>
              <w:rPr>
                <w:rFonts w:ascii="Arial" w:hAnsi="Arial" w:cs="Arial"/>
                <w:bCs/>
                <w:sz w:val="16"/>
                <w:szCs w:val="16"/>
              </w:rPr>
            </w:pPr>
            <w:r>
              <w:rPr>
                <w:rFonts w:ascii="Arial" w:hAnsi="Arial" w:cs="Arial"/>
                <w:bCs/>
                <w:sz w:val="16"/>
                <w:szCs w:val="16"/>
              </w:rPr>
              <w:t>41.29</w:t>
            </w:r>
            <w:r>
              <w:rPr>
                <w:rFonts w:ascii="Arial" w:hAnsi="Arial" w:cs="Arial"/>
                <w:bCs/>
                <w:sz w:val="16"/>
                <w:szCs w:val="16"/>
                <w:vertAlign w:val="superscript"/>
              </w:rPr>
              <w:t>b</w:t>
            </w:r>
          </w:p>
        </w:tc>
        <w:tc>
          <w:tcPr>
            <w:tcW w:w="720" w:type="dxa"/>
            <w:vAlign w:val="bottom"/>
          </w:tcPr>
          <w:p w14:paraId="65F21078">
            <w:pPr>
              <w:jc w:val="both"/>
              <w:rPr>
                <w:rFonts w:ascii="Arial" w:hAnsi="Arial" w:cs="Arial"/>
                <w:bCs/>
                <w:sz w:val="16"/>
                <w:szCs w:val="16"/>
              </w:rPr>
            </w:pPr>
            <w:r>
              <w:rPr>
                <w:rFonts w:ascii="Arial" w:hAnsi="Arial" w:cs="Arial"/>
                <w:bCs/>
                <w:sz w:val="16"/>
                <w:szCs w:val="16"/>
              </w:rPr>
              <w:t>45.96</w:t>
            </w:r>
            <w:r>
              <w:rPr>
                <w:rFonts w:ascii="Arial" w:hAnsi="Arial" w:cs="Arial"/>
                <w:bCs/>
                <w:sz w:val="16"/>
                <w:szCs w:val="16"/>
                <w:vertAlign w:val="superscript"/>
              </w:rPr>
              <w:t>a</w:t>
            </w:r>
          </w:p>
        </w:tc>
        <w:tc>
          <w:tcPr>
            <w:tcW w:w="630" w:type="dxa"/>
            <w:vAlign w:val="bottom"/>
          </w:tcPr>
          <w:p w14:paraId="126EB3F9">
            <w:pPr>
              <w:jc w:val="both"/>
              <w:rPr>
                <w:rFonts w:ascii="Arial" w:hAnsi="Arial" w:cs="Arial"/>
                <w:bCs/>
                <w:sz w:val="16"/>
                <w:szCs w:val="16"/>
              </w:rPr>
            </w:pPr>
            <w:r>
              <w:rPr>
                <w:rFonts w:ascii="Arial" w:hAnsi="Arial" w:cs="Arial"/>
                <w:bCs/>
                <w:sz w:val="16"/>
                <w:szCs w:val="16"/>
              </w:rPr>
              <w:t>0.70</w:t>
            </w:r>
          </w:p>
        </w:tc>
        <w:tc>
          <w:tcPr>
            <w:tcW w:w="810" w:type="dxa"/>
            <w:vAlign w:val="bottom"/>
          </w:tcPr>
          <w:p w14:paraId="3BFB0BE8">
            <w:pPr>
              <w:jc w:val="both"/>
              <w:rPr>
                <w:rFonts w:ascii="Arial" w:hAnsi="Arial" w:cs="Arial"/>
                <w:bCs/>
                <w:sz w:val="16"/>
                <w:szCs w:val="16"/>
              </w:rPr>
            </w:pPr>
            <w:r>
              <w:rPr>
                <w:rFonts w:ascii="Arial" w:hAnsi="Arial" w:cs="Arial"/>
                <w:bCs/>
                <w:sz w:val="16"/>
                <w:szCs w:val="16"/>
              </w:rPr>
              <w:t>0.0001</w:t>
            </w:r>
          </w:p>
        </w:tc>
        <w:tc>
          <w:tcPr>
            <w:tcW w:w="828" w:type="dxa"/>
            <w:vAlign w:val="bottom"/>
          </w:tcPr>
          <w:p w14:paraId="2904A2D1">
            <w:pPr>
              <w:jc w:val="both"/>
              <w:rPr>
                <w:rFonts w:ascii="Arial" w:hAnsi="Arial" w:cs="Arial"/>
                <w:sz w:val="16"/>
                <w:szCs w:val="16"/>
              </w:rPr>
            </w:pPr>
            <w:r>
              <w:rPr>
                <w:rFonts w:ascii="Arial" w:hAnsi="Arial" w:cs="Arial"/>
                <w:sz w:val="16"/>
                <w:szCs w:val="16"/>
              </w:rPr>
              <w:t>0.0944</w:t>
            </w:r>
          </w:p>
        </w:tc>
      </w:tr>
      <w:tr w14:paraId="0493DFAF">
        <w:tblPrEx>
          <w:tblCellMar>
            <w:top w:w="0" w:type="dxa"/>
            <w:left w:w="108" w:type="dxa"/>
            <w:bottom w:w="0" w:type="dxa"/>
            <w:right w:w="108" w:type="dxa"/>
          </w:tblCellMar>
        </w:tblPrEx>
        <w:trPr>
          <w:cantSplit/>
          <w:trHeight w:val="360" w:hRule="atLeast"/>
          <w:tblHeader/>
        </w:trPr>
        <w:tc>
          <w:tcPr>
            <w:tcW w:w="1095" w:type="dxa"/>
            <w:shd w:val="clear" w:color="auto" w:fill="auto"/>
            <w:noWrap/>
            <w:vAlign w:val="bottom"/>
          </w:tcPr>
          <w:p w14:paraId="047C3CE8">
            <w:pPr>
              <w:jc w:val="both"/>
              <w:rPr>
                <w:rFonts w:ascii="Arial" w:hAnsi="Arial" w:cs="Arial"/>
                <w:sz w:val="16"/>
                <w:szCs w:val="16"/>
              </w:rPr>
            </w:pPr>
            <w:r>
              <w:rPr>
                <w:rFonts w:ascii="Arial" w:hAnsi="Arial" w:cs="Arial"/>
                <w:sz w:val="16"/>
                <w:szCs w:val="16"/>
              </w:rPr>
              <w:t>Redness</w:t>
            </w:r>
          </w:p>
        </w:tc>
        <w:tc>
          <w:tcPr>
            <w:tcW w:w="702" w:type="dxa"/>
            <w:shd w:val="clear" w:color="auto" w:fill="auto"/>
            <w:noWrap/>
            <w:vAlign w:val="bottom"/>
          </w:tcPr>
          <w:p w14:paraId="2D39549E">
            <w:pPr>
              <w:jc w:val="both"/>
              <w:rPr>
                <w:rFonts w:ascii="Arial" w:hAnsi="Arial" w:cs="Arial"/>
                <w:sz w:val="16"/>
                <w:szCs w:val="16"/>
              </w:rPr>
            </w:pPr>
            <w:r>
              <w:rPr>
                <w:rFonts w:ascii="Arial" w:hAnsi="Arial" w:cs="Arial"/>
                <w:sz w:val="16"/>
                <w:szCs w:val="16"/>
              </w:rPr>
              <w:t>10.47</w:t>
            </w:r>
            <w:r>
              <w:rPr>
                <w:rFonts w:ascii="Arial" w:hAnsi="Arial" w:cs="Arial"/>
                <w:sz w:val="16"/>
                <w:szCs w:val="16"/>
                <w:vertAlign w:val="superscript"/>
              </w:rPr>
              <w:t>a</w:t>
            </w:r>
          </w:p>
        </w:tc>
        <w:tc>
          <w:tcPr>
            <w:tcW w:w="630" w:type="dxa"/>
            <w:shd w:val="clear" w:color="auto" w:fill="auto"/>
            <w:noWrap/>
            <w:vAlign w:val="bottom"/>
          </w:tcPr>
          <w:p w14:paraId="0B6FFE0E">
            <w:pPr>
              <w:jc w:val="both"/>
              <w:rPr>
                <w:rFonts w:ascii="Arial" w:hAnsi="Arial" w:cs="Arial"/>
                <w:sz w:val="16"/>
                <w:szCs w:val="16"/>
              </w:rPr>
            </w:pPr>
            <w:r>
              <w:rPr>
                <w:rFonts w:ascii="Arial" w:hAnsi="Arial" w:cs="Arial"/>
                <w:sz w:val="16"/>
                <w:szCs w:val="16"/>
              </w:rPr>
              <w:t>9.83</w:t>
            </w:r>
            <w:r>
              <w:rPr>
                <w:rFonts w:ascii="Arial" w:hAnsi="Arial" w:cs="Arial"/>
                <w:sz w:val="16"/>
                <w:szCs w:val="16"/>
                <w:vertAlign w:val="superscript"/>
              </w:rPr>
              <w:t>b</w:t>
            </w:r>
          </w:p>
        </w:tc>
        <w:tc>
          <w:tcPr>
            <w:tcW w:w="720" w:type="dxa"/>
            <w:shd w:val="clear" w:color="auto" w:fill="auto"/>
            <w:noWrap/>
            <w:vAlign w:val="bottom"/>
          </w:tcPr>
          <w:p w14:paraId="62720B97">
            <w:pPr>
              <w:jc w:val="both"/>
              <w:rPr>
                <w:rFonts w:ascii="Arial" w:hAnsi="Arial" w:cs="Arial"/>
                <w:sz w:val="16"/>
                <w:szCs w:val="16"/>
              </w:rPr>
            </w:pPr>
            <w:r>
              <w:rPr>
                <w:rFonts w:ascii="Arial" w:hAnsi="Arial" w:cs="Arial"/>
                <w:sz w:val="16"/>
                <w:szCs w:val="16"/>
              </w:rPr>
              <w:t>8.71</w:t>
            </w:r>
            <w:r>
              <w:rPr>
                <w:rFonts w:ascii="Arial" w:hAnsi="Arial" w:cs="Arial"/>
                <w:sz w:val="16"/>
                <w:szCs w:val="16"/>
                <w:vertAlign w:val="superscript"/>
              </w:rPr>
              <w:t>c</w:t>
            </w:r>
          </w:p>
        </w:tc>
        <w:tc>
          <w:tcPr>
            <w:tcW w:w="630" w:type="dxa"/>
            <w:vAlign w:val="bottom"/>
          </w:tcPr>
          <w:p w14:paraId="4C339C03">
            <w:pPr>
              <w:jc w:val="both"/>
              <w:rPr>
                <w:rFonts w:ascii="Arial" w:hAnsi="Arial" w:cs="Arial"/>
                <w:sz w:val="16"/>
                <w:szCs w:val="16"/>
              </w:rPr>
            </w:pPr>
            <w:r>
              <w:rPr>
                <w:rFonts w:ascii="Arial" w:hAnsi="Arial" w:cs="Arial"/>
                <w:sz w:val="16"/>
                <w:szCs w:val="16"/>
              </w:rPr>
              <w:t>0.36</w:t>
            </w:r>
          </w:p>
        </w:tc>
        <w:tc>
          <w:tcPr>
            <w:tcW w:w="882" w:type="dxa"/>
            <w:vAlign w:val="bottom"/>
          </w:tcPr>
          <w:p w14:paraId="72F4F81A">
            <w:pPr>
              <w:jc w:val="both"/>
              <w:rPr>
                <w:rFonts w:ascii="Arial" w:hAnsi="Arial" w:cs="Arial"/>
                <w:sz w:val="16"/>
                <w:szCs w:val="16"/>
              </w:rPr>
            </w:pPr>
            <w:r>
              <w:rPr>
                <w:rFonts w:ascii="Arial" w:hAnsi="Arial" w:cs="Arial"/>
                <w:sz w:val="16"/>
                <w:szCs w:val="16"/>
              </w:rPr>
              <w:t>0.0034</w:t>
            </w:r>
          </w:p>
        </w:tc>
        <w:tc>
          <w:tcPr>
            <w:tcW w:w="738" w:type="dxa"/>
            <w:vAlign w:val="bottom"/>
          </w:tcPr>
          <w:p w14:paraId="3ADEF58E">
            <w:pPr>
              <w:jc w:val="both"/>
              <w:rPr>
                <w:rFonts w:ascii="Arial" w:hAnsi="Arial" w:cs="Arial"/>
                <w:bCs/>
                <w:sz w:val="16"/>
                <w:szCs w:val="16"/>
              </w:rPr>
            </w:pPr>
            <w:r>
              <w:rPr>
                <w:rFonts w:ascii="Arial" w:hAnsi="Arial" w:cs="Arial"/>
                <w:bCs/>
                <w:sz w:val="16"/>
                <w:szCs w:val="16"/>
              </w:rPr>
              <w:t>10.09</w:t>
            </w:r>
          </w:p>
        </w:tc>
        <w:tc>
          <w:tcPr>
            <w:tcW w:w="720" w:type="dxa"/>
            <w:vAlign w:val="bottom"/>
          </w:tcPr>
          <w:p w14:paraId="167F2906">
            <w:pPr>
              <w:jc w:val="both"/>
              <w:rPr>
                <w:rFonts w:ascii="Arial" w:hAnsi="Arial" w:cs="Arial"/>
                <w:bCs/>
                <w:sz w:val="16"/>
                <w:szCs w:val="16"/>
              </w:rPr>
            </w:pPr>
            <w:r>
              <w:rPr>
                <w:rFonts w:ascii="Arial" w:hAnsi="Arial" w:cs="Arial"/>
                <w:bCs/>
                <w:sz w:val="16"/>
                <w:szCs w:val="16"/>
              </w:rPr>
              <w:t>9.65</w:t>
            </w:r>
          </w:p>
        </w:tc>
        <w:tc>
          <w:tcPr>
            <w:tcW w:w="720" w:type="dxa"/>
            <w:vAlign w:val="bottom"/>
          </w:tcPr>
          <w:p w14:paraId="275575E4">
            <w:pPr>
              <w:jc w:val="both"/>
              <w:rPr>
                <w:rFonts w:ascii="Arial" w:hAnsi="Arial" w:cs="Arial"/>
                <w:bCs/>
                <w:sz w:val="16"/>
                <w:szCs w:val="16"/>
              </w:rPr>
            </w:pPr>
            <w:r>
              <w:rPr>
                <w:rFonts w:ascii="Arial" w:hAnsi="Arial" w:cs="Arial"/>
                <w:bCs/>
                <w:sz w:val="16"/>
                <w:szCs w:val="16"/>
              </w:rPr>
              <w:t>9.27</w:t>
            </w:r>
          </w:p>
        </w:tc>
        <w:tc>
          <w:tcPr>
            <w:tcW w:w="630" w:type="dxa"/>
            <w:vAlign w:val="bottom"/>
          </w:tcPr>
          <w:p w14:paraId="149873D6">
            <w:pPr>
              <w:jc w:val="both"/>
              <w:rPr>
                <w:rFonts w:ascii="Arial" w:hAnsi="Arial" w:cs="Arial"/>
                <w:bCs/>
                <w:sz w:val="16"/>
                <w:szCs w:val="16"/>
              </w:rPr>
            </w:pPr>
            <w:r>
              <w:rPr>
                <w:rFonts w:ascii="Arial" w:hAnsi="Arial" w:cs="Arial"/>
                <w:bCs/>
                <w:sz w:val="16"/>
                <w:szCs w:val="16"/>
              </w:rPr>
              <w:t>0.36</w:t>
            </w:r>
          </w:p>
        </w:tc>
        <w:tc>
          <w:tcPr>
            <w:tcW w:w="810" w:type="dxa"/>
            <w:vAlign w:val="bottom"/>
          </w:tcPr>
          <w:p w14:paraId="37A0A193">
            <w:pPr>
              <w:jc w:val="both"/>
              <w:rPr>
                <w:rFonts w:ascii="Arial" w:hAnsi="Arial" w:cs="Arial"/>
                <w:bCs/>
                <w:sz w:val="16"/>
                <w:szCs w:val="16"/>
              </w:rPr>
            </w:pPr>
            <w:r>
              <w:rPr>
                <w:rFonts w:ascii="Arial" w:hAnsi="Arial" w:cs="Arial"/>
                <w:bCs/>
                <w:sz w:val="16"/>
                <w:szCs w:val="16"/>
              </w:rPr>
              <w:t>0.2827</w:t>
            </w:r>
          </w:p>
        </w:tc>
        <w:tc>
          <w:tcPr>
            <w:tcW w:w="828" w:type="dxa"/>
            <w:vAlign w:val="bottom"/>
          </w:tcPr>
          <w:p w14:paraId="28634D29">
            <w:pPr>
              <w:jc w:val="both"/>
              <w:rPr>
                <w:rFonts w:ascii="Arial" w:hAnsi="Arial" w:cs="Arial"/>
                <w:sz w:val="16"/>
                <w:szCs w:val="16"/>
              </w:rPr>
            </w:pPr>
            <w:r>
              <w:rPr>
                <w:rFonts w:ascii="Arial" w:hAnsi="Arial" w:cs="Arial"/>
                <w:sz w:val="16"/>
                <w:szCs w:val="16"/>
              </w:rPr>
              <w:t>0.0055</w:t>
            </w:r>
          </w:p>
        </w:tc>
      </w:tr>
      <w:tr w14:paraId="5565AC10">
        <w:tblPrEx>
          <w:tblCellMar>
            <w:top w:w="0" w:type="dxa"/>
            <w:left w:w="108" w:type="dxa"/>
            <w:bottom w:w="0" w:type="dxa"/>
            <w:right w:w="108" w:type="dxa"/>
          </w:tblCellMar>
        </w:tblPrEx>
        <w:trPr>
          <w:cantSplit/>
          <w:trHeight w:val="360" w:hRule="atLeast"/>
          <w:tblHeader/>
        </w:trPr>
        <w:tc>
          <w:tcPr>
            <w:tcW w:w="1095" w:type="dxa"/>
            <w:tcBorders>
              <w:bottom w:val="single" w:color="auto" w:sz="4" w:space="0"/>
            </w:tcBorders>
            <w:shd w:val="clear" w:color="auto" w:fill="auto"/>
            <w:noWrap/>
            <w:vAlign w:val="bottom"/>
          </w:tcPr>
          <w:p w14:paraId="37F9027C">
            <w:pPr>
              <w:jc w:val="both"/>
              <w:rPr>
                <w:rFonts w:ascii="Arial" w:hAnsi="Arial" w:cs="Arial"/>
                <w:sz w:val="16"/>
                <w:szCs w:val="16"/>
              </w:rPr>
            </w:pPr>
            <w:r>
              <w:rPr>
                <w:rFonts w:ascii="Arial" w:hAnsi="Arial" w:cs="Arial"/>
                <w:sz w:val="16"/>
                <w:szCs w:val="16"/>
              </w:rPr>
              <w:t>Yellowness</w:t>
            </w:r>
          </w:p>
        </w:tc>
        <w:tc>
          <w:tcPr>
            <w:tcW w:w="702" w:type="dxa"/>
            <w:tcBorders>
              <w:bottom w:val="single" w:color="auto" w:sz="4" w:space="0"/>
            </w:tcBorders>
            <w:shd w:val="clear" w:color="auto" w:fill="auto"/>
            <w:noWrap/>
            <w:vAlign w:val="bottom"/>
          </w:tcPr>
          <w:p w14:paraId="66E11494">
            <w:pPr>
              <w:jc w:val="both"/>
              <w:rPr>
                <w:rFonts w:ascii="Arial" w:hAnsi="Arial" w:cs="Arial"/>
                <w:sz w:val="16"/>
                <w:szCs w:val="16"/>
              </w:rPr>
            </w:pPr>
            <w:r>
              <w:rPr>
                <w:rFonts w:ascii="Arial" w:hAnsi="Arial" w:cs="Arial"/>
                <w:sz w:val="16"/>
                <w:szCs w:val="16"/>
              </w:rPr>
              <w:t>8.89</w:t>
            </w:r>
          </w:p>
        </w:tc>
        <w:tc>
          <w:tcPr>
            <w:tcW w:w="630" w:type="dxa"/>
            <w:tcBorders>
              <w:bottom w:val="single" w:color="auto" w:sz="4" w:space="0"/>
            </w:tcBorders>
            <w:shd w:val="clear" w:color="auto" w:fill="auto"/>
            <w:noWrap/>
            <w:vAlign w:val="bottom"/>
          </w:tcPr>
          <w:p w14:paraId="63DF612F">
            <w:pPr>
              <w:jc w:val="both"/>
              <w:rPr>
                <w:rFonts w:ascii="Arial" w:hAnsi="Arial" w:cs="Arial"/>
                <w:sz w:val="16"/>
                <w:szCs w:val="16"/>
              </w:rPr>
            </w:pPr>
            <w:r>
              <w:rPr>
                <w:rFonts w:ascii="Arial" w:hAnsi="Arial" w:cs="Arial"/>
                <w:sz w:val="16"/>
                <w:szCs w:val="16"/>
              </w:rPr>
              <w:t>9.00</w:t>
            </w:r>
          </w:p>
        </w:tc>
        <w:tc>
          <w:tcPr>
            <w:tcW w:w="720" w:type="dxa"/>
            <w:tcBorders>
              <w:bottom w:val="single" w:color="auto" w:sz="4" w:space="0"/>
            </w:tcBorders>
            <w:shd w:val="clear" w:color="auto" w:fill="auto"/>
            <w:noWrap/>
            <w:vAlign w:val="bottom"/>
          </w:tcPr>
          <w:p w14:paraId="0BA025BD">
            <w:pPr>
              <w:jc w:val="both"/>
              <w:rPr>
                <w:rFonts w:ascii="Arial" w:hAnsi="Arial" w:cs="Arial"/>
                <w:sz w:val="16"/>
                <w:szCs w:val="16"/>
              </w:rPr>
            </w:pPr>
            <w:r>
              <w:rPr>
                <w:rFonts w:ascii="Arial" w:hAnsi="Arial" w:cs="Arial"/>
                <w:sz w:val="16"/>
                <w:szCs w:val="16"/>
              </w:rPr>
              <w:t>7.80</w:t>
            </w:r>
          </w:p>
        </w:tc>
        <w:tc>
          <w:tcPr>
            <w:tcW w:w="630" w:type="dxa"/>
            <w:tcBorders>
              <w:bottom w:val="single" w:color="auto" w:sz="4" w:space="0"/>
            </w:tcBorders>
            <w:vAlign w:val="bottom"/>
          </w:tcPr>
          <w:p w14:paraId="19D47916">
            <w:pPr>
              <w:jc w:val="both"/>
              <w:rPr>
                <w:rFonts w:ascii="Arial" w:hAnsi="Arial" w:cs="Arial"/>
                <w:sz w:val="16"/>
                <w:szCs w:val="16"/>
              </w:rPr>
            </w:pPr>
            <w:r>
              <w:rPr>
                <w:rFonts w:ascii="Arial" w:hAnsi="Arial" w:cs="Arial"/>
                <w:sz w:val="16"/>
                <w:szCs w:val="16"/>
              </w:rPr>
              <w:t>0.27</w:t>
            </w:r>
          </w:p>
        </w:tc>
        <w:tc>
          <w:tcPr>
            <w:tcW w:w="882" w:type="dxa"/>
            <w:tcBorders>
              <w:bottom w:val="single" w:color="auto" w:sz="4" w:space="0"/>
            </w:tcBorders>
            <w:vAlign w:val="bottom"/>
          </w:tcPr>
          <w:p w14:paraId="07360807">
            <w:pPr>
              <w:jc w:val="both"/>
              <w:rPr>
                <w:rFonts w:ascii="Arial" w:hAnsi="Arial" w:cs="Arial"/>
                <w:sz w:val="16"/>
                <w:szCs w:val="16"/>
              </w:rPr>
            </w:pPr>
            <w:r>
              <w:rPr>
                <w:rFonts w:ascii="Arial" w:hAnsi="Arial" w:cs="Arial"/>
                <w:sz w:val="16"/>
                <w:szCs w:val="16"/>
              </w:rPr>
              <w:t>0.0038</w:t>
            </w:r>
          </w:p>
        </w:tc>
        <w:tc>
          <w:tcPr>
            <w:tcW w:w="738" w:type="dxa"/>
            <w:tcBorders>
              <w:bottom w:val="single" w:color="auto" w:sz="4" w:space="0"/>
            </w:tcBorders>
            <w:vAlign w:val="bottom"/>
          </w:tcPr>
          <w:p w14:paraId="3EDEAF83">
            <w:pPr>
              <w:jc w:val="both"/>
              <w:rPr>
                <w:rFonts w:ascii="Arial" w:hAnsi="Arial" w:cs="Arial"/>
                <w:bCs/>
                <w:sz w:val="16"/>
                <w:szCs w:val="16"/>
              </w:rPr>
            </w:pPr>
            <w:r>
              <w:rPr>
                <w:rFonts w:ascii="Arial" w:hAnsi="Arial" w:cs="Arial"/>
                <w:bCs/>
                <w:sz w:val="16"/>
                <w:szCs w:val="16"/>
              </w:rPr>
              <w:t>8.59</w:t>
            </w:r>
            <w:r>
              <w:rPr>
                <w:rFonts w:ascii="Arial" w:hAnsi="Arial" w:cs="Arial"/>
                <w:bCs/>
                <w:sz w:val="16"/>
                <w:szCs w:val="16"/>
                <w:vertAlign w:val="superscript"/>
              </w:rPr>
              <w:t>b</w:t>
            </w:r>
          </w:p>
        </w:tc>
        <w:tc>
          <w:tcPr>
            <w:tcW w:w="720" w:type="dxa"/>
            <w:tcBorders>
              <w:bottom w:val="single" w:color="auto" w:sz="4" w:space="0"/>
            </w:tcBorders>
            <w:vAlign w:val="bottom"/>
          </w:tcPr>
          <w:p w14:paraId="00000C8F">
            <w:pPr>
              <w:jc w:val="both"/>
              <w:rPr>
                <w:rFonts w:ascii="Arial" w:hAnsi="Arial" w:cs="Arial"/>
                <w:bCs/>
                <w:sz w:val="16"/>
                <w:szCs w:val="16"/>
              </w:rPr>
            </w:pPr>
            <w:r>
              <w:rPr>
                <w:rFonts w:ascii="Arial" w:hAnsi="Arial" w:cs="Arial"/>
                <w:bCs/>
                <w:sz w:val="16"/>
                <w:szCs w:val="16"/>
              </w:rPr>
              <w:t>8.04</w:t>
            </w:r>
            <w:r>
              <w:rPr>
                <w:rFonts w:ascii="Arial" w:hAnsi="Arial" w:cs="Arial"/>
                <w:bCs/>
                <w:sz w:val="16"/>
                <w:szCs w:val="16"/>
                <w:vertAlign w:val="superscript"/>
              </w:rPr>
              <w:t>b</w:t>
            </w:r>
          </w:p>
        </w:tc>
        <w:tc>
          <w:tcPr>
            <w:tcW w:w="720" w:type="dxa"/>
            <w:tcBorders>
              <w:bottom w:val="single" w:color="auto" w:sz="4" w:space="0"/>
            </w:tcBorders>
            <w:vAlign w:val="bottom"/>
          </w:tcPr>
          <w:p w14:paraId="1CEE86DE">
            <w:pPr>
              <w:jc w:val="both"/>
              <w:rPr>
                <w:rFonts w:ascii="Arial" w:hAnsi="Arial" w:cs="Arial"/>
                <w:bCs/>
                <w:sz w:val="16"/>
                <w:szCs w:val="16"/>
              </w:rPr>
            </w:pPr>
            <w:r>
              <w:rPr>
                <w:rFonts w:ascii="Arial" w:hAnsi="Arial" w:cs="Arial"/>
                <w:bCs/>
                <w:sz w:val="16"/>
                <w:szCs w:val="16"/>
              </w:rPr>
              <w:t>9.07</w:t>
            </w:r>
            <w:r>
              <w:rPr>
                <w:rFonts w:ascii="Arial" w:hAnsi="Arial" w:cs="Arial"/>
                <w:bCs/>
                <w:sz w:val="16"/>
                <w:szCs w:val="16"/>
                <w:vertAlign w:val="superscript"/>
              </w:rPr>
              <w:t>a</w:t>
            </w:r>
          </w:p>
        </w:tc>
        <w:tc>
          <w:tcPr>
            <w:tcW w:w="630" w:type="dxa"/>
            <w:tcBorders>
              <w:bottom w:val="single" w:color="auto" w:sz="4" w:space="0"/>
            </w:tcBorders>
            <w:vAlign w:val="bottom"/>
          </w:tcPr>
          <w:p w14:paraId="05B8BFFB">
            <w:pPr>
              <w:jc w:val="both"/>
              <w:rPr>
                <w:rFonts w:ascii="Arial" w:hAnsi="Arial" w:cs="Arial"/>
                <w:bCs/>
                <w:sz w:val="16"/>
                <w:szCs w:val="16"/>
              </w:rPr>
            </w:pPr>
            <w:r>
              <w:rPr>
                <w:rFonts w:ascii="Arial" w:hAnsi="Arial" w:cs="Arial"/>
                <w:bCs/>
                <w:sz w:val="16"/>
                <w:szCs w:val="16"/>
              </w:rPr>
              <w:t>0.27</w:t>
            </w:r>
          </w:p>
        </w:tc>
        <w:tc>
          <w:tcPr>
            <w:tcW w:w="810" w:type="dxa"/>
            <w:tcBorders>
              <w:bottom w:val="single" w:color="auto" w:sz="4" w:space="0"/>
            </w:tcBorders>
            <w:vAlign w:val="bottom"/>
          </w:tcPr>
          <w:p w14:paraId="1BA9AC78">
            <w:pPr>
              <w:jc w:val="both"/>
              <w:rPr>
                <w:rFonts w:ascii="Arial" w:hAnsi="Arial" w:cs="Arial"/>
                <w:bCs/>
                <w:sz w:val="16"/>
                <w:szCs w:val="16"/>
              </w:rPr>
            </w:pPr>
            <w:r>
              <w:rPr>
                <w:rFonts w:ascii="Arial" w:hAnsi="Arial" w:cs="Arial"/>
                <w:bCs/>
                <w:sz w:val="16"/>
                <w:szCs w:val="16"/>
              </w:rPr>
              <w:t>0.0298</w:t>
            </w:r>
          </w:p>
        </w:tc>
        <w:tc>
          <w:tcPr>
            <w:tcW w:w="828" w:type="dxa"/>
            <w:tcBorders>
              <w:bottom w:val="single" w:color="auto" w:sz="4" w:space="0"/>
            </w:tcBorders>
            <w:vAlign w:val="bottom"/>
          </w:tcPr>
          <w:p w14:paraId="574A387B">
            <w:pPr>
              <w:jc w:val="both"/>
              <w:rPr>
                <w:rFonts w:ascii="Arial" w:hAnsi="Arial" w:cs="Arial"/>
                <w:sz w:val="16"/>
                <w:szCs w:val="16"/>
              </w:rPr>
            </w:pPr>
            <w:r>
              <w:rPr>
                <w:rFonts w:ascii="Arial" w:hAnsi="Arial" w:cs="Arial"/>
                <w:sz w:val="16"/>
                <w:szCs w:val="16"/>
              </w:rPr>
              <w:t>0.0712</w:t>
            </w:r>
          </w:p>
        </w:tc>
      </w:tr>
    </w:tbl>
    <w:p w14:paraId="3886B270">
      <w:pPr>
        <w:spacing w:before="240"/>
        <w:jc w:val="both"/>
        <w:rPr>
          <w:rFonts w:ascii="Arial" w:hAnsi="Arial" w:cs="Arial"/>
        </w:rPr>
      </w:pPr>
      <w:r>
        <w:rPr>
          <w:rFonts w:ascii="Arial" w:hAnsi="Arial" w:cs="Arial"/>
          <w:i/>
          <w:sz w:val="22"/>
          <w:szCs w:val="22"/>
        </w:rPr>
        <w:t>a-b Means with different superscripts within a row differed significantly (P&lt;0.05), FP*SP- interaction effect between finishing practices and slaughter periods</w:t>
      </w:r>
      <w:r>
        <w:rPr>
          <w:rFonts w:ascii="Arial" w:hAnsi="Arial" w:cs="Arial"/>
          <w:i/>
        </w:rPr>
        <w:t xml:space="preserve"> </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97"/>
        <w:gridCol w:w="4427"/>
      </w:tblGrid>
      <w:tr w14:paraId="1C63D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303" w:type="dxa"/>
          </w:tcPr>
          <w:p w14:paraId="22783740">
            <w:pPr>
              <w:jc w:val="both"/>
              <w:rPr>
                <w:rFonts w:ascii="Arial" w:hAnsi="Arial" w:eastAsia="Calibri" w:cs="Arial"/>
                <w:sz w:val="22"/>
                <w:szCs w:val="22"/>
              </w:rPr>
            </w:pPr>
            <w:r>
              <w:rPr>
                <w:rFonts w:ascii="Arial" w:hAnsi="Arial" w:eastAsia="Calibri" w:cs="Arial"/>
                <w:sz w:val="22"/>
                <w:szCs w:val="22"/>
                <w:lang w:val="en-GB" w:eastAsia="en-GB"/>
              </w:rPr>
              <w:drawing>
                <wp:inline distT="0" distB="0" distL="0" distR="0">
                  <wp:extent cx="2508885" cy="2889250"/>
                  <wp:effectExtent l="0" t="0" r="5715" b="63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4463" w:type="dxa"/>
          </w:tcPr>
          <w:p w14:paraId="78EC4D71">
            <w:pPr>
              <w:jc w:val="both"/>
              <w:rPr>
                <w:rFonts w:ascii="Arial" w:hAnsi="Arial" w:eastAsia="Calibri" w:cs="Arial"/>
                <w:sz w:val="22"/>
                <w:szCs w:val="22"/>
              </w:rPr>
            </w:pPr>
            <w:r>
              <w:rPr>
                <w:rFonts w:ascii="Arial" w:hAnsi="Arial" w:eastAsia="Calibri" w:cs="Arial"/>
                <w:sz w:val="22"/>
                <w:szCs w:val="22"/>
                <w:lang w:val="en-GB" w:eastAsia="en-GB"/>
              </w:rPr>
              <w:drawing>
                <wp:inline distT="0" distB="0" distL="0" distR="0">
                  <wp:extent cx="2794000" cy="2889250"/>
                  <wp:effectExtent l="0" t="0" r="6350" b="63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14:paraId="4D490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66" w:type="dxa"/>
            <w:gridSpan w:val="2"/>
          </w:tcPr>
          <w:p w14:paraId="3CEC38BA">
            <w:pPr>
              <w:ind w:left="1080" w:hanging="1080"/>
              <w:jc w:val="both"/>
              <w:rPr>
                <w:rFonts w:ascii="Arial" w:hAnsi="Arial" w:eastAsia="Calibri" w:cs="Arial"/>
                <w:sz w:val="22"/>
                <w:szCs w:val="22"/>
              </w:rPr>
            </w:pPr>
            <w:r>
              <w:rPr>
                <w:rFonts w:ascii="Arial" w:hAnsi="Arial" w:eastAsia="Calibri" w:cs="Arial"/>
                <w:sz w:val="22"/>
                <w:szCs w:val="22"/>
              </w:rPr>
              <w:t>Figure 3. Trends of the mean values of shear force “a” and redness “b” of the meat from the bulls as influenced by finishing practices and slaughter periods</w:t>
            </w:r>
          </w:p>
        </w:tc>
      </w:tr>
    </w:tbl>
    <w:p w14:paraId="3E28A1D1">
      <w:pPr>
        <w:spacing w:before="240"/>
        <w:ind w:left="360" w:hanging="360"/>
        <w:jc w:val="both"/>
        <w:rPr>
          <w:rFonts w:ascii="Arial" w:hAnsi="Arial" w:cs="Arial"/>
          <w:b/>
          <w:sz w:val="22"/>
          <w:szCs w:val="22"/>
        </w:rPr>
      </w:pPr>
    </w:p>
    <w:p w14:paraId="06842273">
      <w:pPr>
        <w:spacing w:before="240"/>
        <w:ind w:left="360" w:hanging="360"/>
        <w:jc w:val="both"/>
        <w:rPr>
          <w:rFonts w:ascii="Arial" w:hAnsi="Arial" w:cs="Arial"/>
          <w:b/>
          <w:sz w:val="22"/>
          <w:szCs w:val="22"/>
        </w:rPr>
      </w:pPr>
      <w:r>
        <w:rPr>
          <w:rFonts w:ascii="Arial" w:hAnsi="Arial" w:cs="Arial"/>
          <w:b/>
          <w:sz w:val="22"/>
          <w:szCs w:val="22"/>
        </w:rPr>
        <w:t>3.4 Meat ageing and quality attributes</w:t>
      </w:r>
    </w:p>
    <w:p w14:paraId="00066945">
      <w:pPr>
        <w:spacing w:before="240"/>
        <w:jc w:val="both"/>
        <w:rPr>
          <w:rFonts w:ascii="Arial" w:hAnsi="Arial" w:cs="Arial"/>
          <w:color w:val="FF0000"/>
          <w:sz w:val="22"/>
          <w:szCs w:val="22"/>
        </w:rPr>
      </w:pPr>
      <w:r>
        <w:rPr>
          <w:rFonts w:ascii="Arial" w:hAnsi="Arial" w:cs="Arial"/>
          <w:sz w:val="22"/>
          <w:szCs w:val="22"/>
        </w:rPr>
        <w:t>The mean effects of the ageing of meat from the bulls under different finishing practices and slaughter periods on the mean values of cooking losses and shear force values are presented in Figures 4 (a and b). Bulls finished under P1 and slaughtered early (S1) had significantly higher cooking losses after 4-8 days of ageing compared to 12-16 days. This indicates a possible interaction between ageing time and initial meat quality, which is affected by finishing and slaughter timing. Cooking loss generally decreased with longer ageing, with 4- and 12-day aged meat having similar, slightly higher cooking loss and shear force values than 16-day aged meat. However, cooking loss increased from 8 to 12 days before levelling off at 16 days. At S3 (late finishing), 4- and 16-day aged meat had the lowest cooking loss, slightly lower than 8- and 12-day aged meat, resulting in lower shear force values.</w:t>
      </w:r>
      <w:r>
        <w:rPr>
          <w:rFonts w:ascii="Arial" w:hAnsi="Arial" w:cs="Arial"/>
          <w:sz w:val="22"/>
          <w:szCs w:val="22"/>
          <w:highlight w:val="yellow"/>
        </w:rPr>
        <w:t xml:space="preserve"> </w:t>
      </w:r>
    </w:p>
    <w:tbl>
      <w:tblPr>
        <w:tblStyle w:val="19"/>
        <w:tblW w:w="511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90"/>
        <w:gridCol w:w="4334"/>
      </w:tblGrid>
      <w:tr w14:paraId="13990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14" w:hRule="atLeast"/>
        </w:trPr>
        <w:tc>
          <w:tcPr>
            <w:tcW w:w="2487" w:type="pct"/>
          </w:tcPr>
          <w:p w14:paraId="22EB53D0">
            <w:pPr>
              <w:spacing w:before="240"/>
              <w:jc w:val="both"/>
              <w:rPr>
                <w:rFonts w:ascii="Arial" w:hAnsi="Arial" w:eastAsia="Calibri" w:cs="Arial"/>
                <w:sz w:val="22"/>
                <w:szCs w:val="22"/>
                <w:highlight w:val="yellow"/>
              </w:rPr>
            </w:pPr>
            <w:r>
              <w:rPr>
                <w:rFonts w:ascii="Arial" w:hAnsi="Arial" w:eastAsia="Calibri" w:cs="Arial"/>
                <w:sz w:val="22"/>
                <w:szCs w:val="22"/>
                <w:highlight w:val="yellow"/>
                <w:lang w:val="en-GB" w:eastAsia="en-GB"/>
              </w:rPr>
              <w:drawing>
                <wp:inline distT="0" distB="0" distL="0" distR="0">
                  <wp:extent cx="2457450" cy="2743200"/>
                  <wp:effectExtent l="0" t="0" r="0" b="0"/>
                  <wp:docPr id="6133908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2512" w:type="pct"/>
          </w:tcPr>
          <w:p w14:paraId="38FB1673">
            <w:pPr>
              <w:spacing w:before="240"/>
              <w:jc w:val="both"/>
              <w:rPr>
                <w:rFonts w:ascii="Arial" w:hAnsi="Arial" w:eastAsia="Calibri" w:cs="Arial"/>
                <w:sz w:val="22"/>
                <w:szCs w:val="22"/>
                <w:highlight w:val="yellow"/>
              </w:rPr>
            </w:pPr>
            <w:r>
              <w:rPr>
                <w:rFonts w:eastAsia="Calibri"/>
                <w:sz w:val="22"/>
                <w:szCs w:val="22"/>
                <w:highlight w:val="yellow"/>
                <w:lang w:val="en-GB" w:eastAsia="en-GB"/>
              </w:rPr>
              <w:drawing>
                <wp:inline distT="0" distB="0" distL="0" distR="0">
                  <wp:extent cx="2533650" cy="2752725"/>
                  <wp:effectExtent l="0" t="0" r="0" b="0"/>
                  <wp:docPr id="102723111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14:paraId="4B10B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5000" w:type="pct"/>
            <w:gridSpan w:val="2"/>
          </w:tcPr>
          <w:p w14:paraId="64812FB9">
            <w:pPr>
              <w:spacing w:before="240"/>
              <w:jc w:val="both"/>
              <w:rPr>
                <w:rFonts w:eastAsia="Calibri"/>
                <w:sz w:val="22"/>
                <w:szCs w:val="22"/>
                <w:highlight w:val="yellow"/>
              </w:rPr>
            </w:pPr>
            <w:r>
              <w:rPr>
                <w:rFonts w:ascii="Arial" w:hAnsi="Arial" w:eastAsia="Calibri" w:cs="Arial"/>
                <w:sz w:val="22"/>
                <w:szCs w:val="22"/>
              </w:rPr>
              <w:t xml:space="preserve">Figure 4. </w:t>
            </w:r>
            <w:r>
              <w:rPr>
                <w:rFonts w:eastAsia="Calibri"/>
                <w:sz w:val="22"/>
                <w:szCs w:val="22"/>
              </w:rPr>
              <w:t xml:space="preserve">Demonstrates the trends in mean cooking loss ‘a’ and shear force  ‘b’ of bull meat as </w:t>
            </w:r>
            <w:r>
              <w:rPr>
                <w:rFonts w:ascii="Arial" w:hAnsi="Arial" w:eastAsia="Calibri" w:cs="Arial"/>
                <w:sz w:val="22"/>
                <w:szCs w:val="22"/>
              </w:rPr>
              <w:t>influenced by finishing practices</w:t>
            </w:r>
          </w:p>
        </w:tc>
      </w:tr>
    </w:tbl>
    <w:p w14:paraId="22938C1F">
      <w:pPr>
        <w:spacing w:before="240"/>
        <w:jc w:val="both"/>
        <w:rPr>
          <w:rFonts w:ascii="Arial" w:hAnsi="Arial" w:cs="Arial"/>
          <w:b/>
          <w:sz w:val="22"/>
          <w:szCs w:val="22"/>
          <w:highlight w:val="yellow"/>
        </w:rPr>
      </w:pPr>
      <w:r>
        <w:rPr>
          <w:rFonts w:ascii="Arial" w:hAnsi="Arial" w:cs="Arial"/>
          <w:sz w:val="22"/>
          <w:szCs w:val="22"/>
        </w:rPr>
        <w:t>The effects of the various ageing times on the mean values of cooking losses and the shear force are presented in Figure 4 (c and d).  At the early finishing stage (S1), P1 and P2 bulls showed similar, slightly lower cooking losses for 4- and 8-day aged meat than 12- and 16-day aged meat, resulting in marginally lower shear force values (more tender meat). In the S2 finishing period, P2 bulls exhibited similar cooking loss for 4, 8, and 12-day aged meat, with a slight decrease for 16-day aged meat. Meat tenderness improved (lower shear force) as ageing time increased from 4 to 16 days, across both S1 and S2 finishing periods. P2 bulls slaughtered at S3 showed consistently low cooking loss across all ageing times (4, 8, 12, and 16 days) and progressively lower shear force values (increasing tenderness) with longer ageing. Finally, P3 (feedlot-finished) bulls showed slightly higher cooking loss for 4, 8, and 12-day aged meat at the early finishing stage (S1), with this loss increasing at later stages (S2 and S3). Interestingly, 4, 12, and 16-day-aged meat showed similar low shear force values, with the lowest value observed at 8 days of ageing in the S3 period.</w:t>
      </w:r>
    </w:p>
    <w:tbl>
      <w:tblPr>
        <w:tblStyle w:val="19"/>
        <w:tblW w:w="0" w:type="auto"/>
        <w:tblInd w:w="-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32"/>
        <w:gridCol w:w="3981"/>
      </w:tblGrid>
      <w:tr w14:paraId="7172F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dxa"/>
          </w:tcPr>
          <w:p w14:paraId="374A0846">
            <w:pPr>
              <w:spacing w:before="240"/>
              <w:jc w:val="both"/>
              <w:rPr>
                <w:rFonts w:ascii="Arial" w:hAnsi="Arial" w:eastAsia="Calibri" w:cs="Arial"/>
                <w:sz w:val="22"/>
                <w:szCs w:val="22"/>
                <w:highlight w:val="yellow"/>
              </w:rPr>
            </w:pPr>
            <w:r>
              <w:rPr>
                <w:rFonts w:eastAsia="Calibri"/>
                <w:sz w:val="22"/>
                <w:szCs w:val="22"/>
                <w:highlight w:val="yellow"/>
                <w:lang w:val="en-GB" w:eastAsia="en-GB"/>
              </w:rPr>
              <w:drawing>
                <wp:inline distT="0" distB="0" distL="0" distR="0">
                  <wp:extent cx="2743200" cy="2428875"/>
                  <wp:effectExtent l="0" t="0" r="0" b="0"/>
                  <wp:docPr id="8456996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3487" w:type="dxa"/>
          </w:tcPr>
          <w:p w14:paraId="2E2C3827">
            <w:pPr>
              <w:spacing w:before="240"/>
              <w:jc w:val="both"/>
              <w:rPr>
                <w:rFonts w:ascii="Arial" w:hAnsi="Arial" w:eastAsia="Calibri" w:cs="Arial"/>
                <w:sz w:val="22"/>
                <w:szCs w:val="22"/>
                <w:highlight w:val="yellow"/>
              </w:rPr>
            </w:pPr>
            <w:r>
              <w:rPr>
                <w:rFonts w:ascii="Arial" w:hAnsi="Arial" w:eastAsia="Calibri" w:cs="Arial"/>
                <w:sz w:val="22"/>
                <w:szCs w:val="22"/>
                <w:highlight w:val="yellow"/>
                <w:lang w:val="en-GB" w:eastAsia="en-GB"/>
              </w:rPr>
              <w:drawing>
                <wp:inline distT="0" distB="0" distL="0" distR="0">
                  <wp:extent cx="2390775" cy="2438400"/>
                  <wp:effectExtent l="0" t="0" r="0" b="0"/>
                  <wp:docPr id="57379366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14:paraId="2D5E8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87" w:type="dxa"/>
            <w:gridSpan w:val="2"/>
          </w:tcPr>
          <w:p w14:paraId="77059CD5">
            <w:pPr>
              <w:spacing w:before="240"/>
              <w:jc w:val="both"/>
              <w:rPr>
                <w:rFonts w:ascii="Arial" w:hAnsi="Arial" w:eastAsia="Calibri" w:cs="Arial"/>
                <w:sz w:val="22"/>
                <w:szCs w:val="22"/>
              </w:rPr>
            </w:pPr>
            <w:r>
              <w:rPr>
                <w:rFonts w:ascii="Arial" w:hAnsi="Arial" w:eastAsia="Calibri" w:cs="Arial"/>
                <w:sz w:val="22"/>
                <w:szCs w:val="22"/>
              </w:rPr>
              <w:t xml:space="preserve">Figure 4. Presents the trends in mean cooking loss ‘c’ and shear force ‘d’ for Boran crossbred bull meat as influenced by slaughter periods </w:t>
            </w:r>
          </w:p>
        </w:tc>
      </w:tr>
    </w:tbl>
    <w:p w14:paraId="71291EAF">
      <w:pPr>
        <w:jc w:val="both"/>
        <w:rPr>
          <w:rFonts w:ascii="Arial" w:hAnsi="Arial" w:cs="Arial"/>
          <w:sz w:val="22"/>
          <w:szCs w:val="22"/>
        </w:rPr>
      </w:pPr>
    </w:p>
    <w:p w14:paraId="5BCFD92F">
      <w:pPr>
        <w:jc w:val="both"/>
        <w:rPr>
          <w:rFonts w:ascii="Arial" w:hAnsi="Arial" w:cs="Arial"/>
          <w:b/>
          <w:sz w:val="22"/>
          <w:szCs w:val="22"/>
        </w:rPr>
      </w:pPr>
      <w:r>
        <w:rPr>
          <w:rFonts w:ascii="Arial" w:hAnsi="Arial" w:cs="Arial"/>
          <w:b/>
          <w:sz w:val="22"/>
          <w:szCs w:val="22"/>
        </w:rPr>
        <w:t>4. DISCUSSION</w:t>
      </w:r>
      <w:r>
        <w:commentReference w:id="3"/>
      </w:r>
    </w:p>
    <w:p w14:paraId="4FCBB4F8">
      <w:pPr>
        <w:jc w:val="both"/>
        <w:rPr>
          <w:rFonts w:ascii="Arial" w:hAnsi="Arial" w:cs="Arial"/>
          <w:sz w:val="22"/>
          <w:szCs w:val="22"/>
        </w:rPr>
      </w:pPr>
    </w:p>
    <w:p w14:paraId="4B765D07">
      <w:pPr>
        <w:jc w:val="both"/>
        <w:rPr>
          <w:rFonts w:ascii="Arial" w:hAnsi="Arial" w:cs="Arial"/>
          <w:sz w:val="22"/>
          <w:szCs w:val="22"/>
        </w:rPr>
      </w:pPr>
      <w:r>
        <w:rPr>
          <w:rFonts w:ascii="Arial" w:hAnsi="Arial" w:cs="Arial"/>
          <w:sz w:val="22"/>
          <w:szCs w:val="22"/>
        </w:rPr>
        <w:t>The enhanced non-carcass components (hide, internal fat depots, heart-lung-liver, four feet, tail, GIT full, GIT empty and GIT content), and carcass composition observed in bulls under feedlot finishing (P3) and supplemented grazing (P2) are directly attributable to the high-energy diet provided (13.53 MJ ME/kg DM and 147g CP kg/DM), exceeding the 12 MJ ME/kg DM and 140g CP kg/DM recommended in previous research [20]. This aligns with existing literature [21] demonstrating the positive impact of concentrate diets on non-carcass weight. The peak weights of the head, hide, internal fat, and heart-lung-liver at 60 days (S2) suggest that this may represent an optimal period for their development. The obtained findings regarding non-carcass components are consistent with previous studies [22-23]. The increased full and empty GIT weights in the P2 and P3 groups are likely due to the dietary composition [17], specifically the high crude fibre (CF) content of rice polishing and the high fermentable carbohydrates in cassava meal. This combination likely resulted in slower GIT passage rates and increased water consumption pre- and post-slaughter. This observation is supported by research [24] showing that high-energy diets in intensive systems increase the contents of the digestive tract and abdominal fat, consequently increasing both full and empty GIT weights.</w:t>
      </w:r>
    </w:p>
    <w:p w14:paraId="16DBBF59">
      <w:pPr>
        <w:jc w:val="both"/>
        <w:rPr>
          <w:rFonts w:ascii="Arial" w:hAnsi="Arial" w:cs="Arial"/>
          <w:sz w:val="22"/>
          <w:szCs w:val="22"/>
        </w:rPr>
      </w:pPr>
    </w:p>
    <w:p w14:paraId="07486FBC">
      <w:pPr>
        <w:jc w:val="both"/>
        <w:rPr>
          <w:rFonts w:ascii="Arial" w:hAnsi="Arial" w:cs="Arial"/>
          <w:sz w:val="22"/>
          <w:szCs w:val="22"/>
        </w:rPr>
      </w:pPr>
      <w:r>
        <w:rPr>
          <w:rFonts w:ascii="Arial" w:hAnsi="Arial" w:cs="Arial"/>
          <w:sz w:val="22"/>
          <w:szCs w:val="22"/>
        </w:rPr>
        <w:t>The observed significant interaction effect between finishing practice and slaughter period on carcass length and chest depth is directly linked to the impact of the high-energy diet. This interplay between diet and time highlights the importance of both nutritional management and slaughter timing in optimizing carcass characteristics. The obtained findings on the positive effects of finishing practices and high-energy diets on daily gain, final weight, slaughter weight, carcass yield, hot carcass weight, backfat thickness and meat quality attributes such as tenderness and meat colour aligned with previous research [25, 15]. While this study's results on the same parameters align with those reported in feedlot-finished cattle [26], however, there was a relatively higher fat thickness than previously reported [15] was observed. This discrepancy might be attributed to breed differences and variations in dietary nutrient composition, a factor also highlighted by [27]. Although some studies [28, 29] reported shorter carcass lengths in feedlot-finished Zebu and crossbred bulls and longer lengths in pasture-fed animals in contrast to the findings of the current study this difference could be explained by variations in the age of the bulls used in each study. Therefore, breed, age, and specific dietary components appear to be crucial factors influencing the final carcass measurements.</w:t>
      </w:r>
    </w:p>
    <w:p w14:paraId="00F32DD5">
      <w:pPr>
        <w:jc w:val="both"/>
        <w:rPr>
          <w:rFonts w:ascii="Arial" w:hAnsi="Arial" w:cs="Arial"/>
          <w:sz w:val="22"/>
          <w:szCs w:val="22"/>
        </w:rPr>
      </w:pPr>
    </w:p>
    <w:p w14:paraId="0C31F024">
      <w:pPr>
        <w:jc w:val="both"/>
        <w:rPr>
          <w:rFonts w:ascii="Arial" w:hAnsi="Arial" w:cs="Arial"/>
          <w:sz w:val="22"/>
          <w:szCs w:val="22"/>
        </w:rPr>
      </w:pPr>
      <w:r>
        <w:rPr>
          <w:rFonts w:ascii="Arial" w:hAnsi="Arial" w:cs="Arial"/>
          <w:sz w:val="22"/>
          <w:szCs w:val="22"/>
        </w:rPr>
        <w:t xml:space="preserve">The values of cooking losses (CL) observed in the present study (32-35%) aligned with values (33.8-35%) reported for Braford steers [30]. However, the values are slightly higher than the cooking losses ranging from 24.54-30.62% reported for Simmental cattle [31] for the meat aged for 1-7 days. Lower CL is economically and qualitatively advantageous due to higher water retention, minimizing yield loss and preserving nutritional value. The slightly elevated CL in the current study may be linked to the higher pH values recorded and potentially higher intramuscular fat content, although the latter was not directly measured. The observed high b* values (yellowness) in bulls across different slaughter periods hint at a possible higher intramuscular fat content, as supported by previous research [32] establishing the relationship between ultimate pH, intramuscular fat, and meat CL. Further investigation into intramuscular fat content would strengthen this interpretation. The lower cooking loss (CL) and shear force values observed in meat aged 12 and 16 days are consistent with the increased breakdown of myofibrillar proteins and reduced muscle contraction associated with longer ageing periods. This tenderization process is driven by the action of naturally occurring calpain enzymes, which break down proteins and connective tissues [33]. Ageing is a widely accepted method for improving meat quality, particularly tenderness and flavour, involving a post-slaughter resting period of at least twelve hours. Despite the emergence of numerous innovative tenderization techniques, ageing remains a globally preferred method. The enhancement of tenderness with increased ageing time reflects the intracellular proteolytic mechanisms gradually breaking down the muscle structure. The observed improvement in tenderness in bulls from finishing practices P2 and P3 as ageing time increases is a direct consequence of these sequential physical and enzymatic processes that enhance the sensory qualities of the meat. </w:t>
      </w:r>
    </w:p>
    <w:p w14:paraId="3A2860D9">
      <w:pPr>
        <w:jc w:val="both"/>
        <w:rPr>
          <w:rFonts w:ascii="Arial" w:hAnsi="Arial" w:cs="Arial"/>
          <w:sz w:val="22"/>
          <w:szCs w:val="22"/>
        </w:rPr>
      </w:pPr>
    </w:p>
    <w:p w14:paraId="72D64B8D">
      <w:pPr>
        <w:jc w:val="both"/>
        <w:rPr>
          <w:rFonts w:ascii="Arial" w:hAnsi="Arial" w:cs="Arial"/>
          <w:sz w:val="22"/>
          <w:szCs w:val="22"/>
        </w:rPr>
      </w:pPr>
      <w:r>
        <w:rPr>
          <w:rFonts w:ascii="Arial" w:hAnsi="Arial" w:cs="Arial"/>
          <w:sz w:val="22"/>
          <w:szCs w:val="22"/>
        </w:rPr>
        <w:t>The obtained findings on the effects of ageing time aligned with previous research [15] which observed similar trends in meat aged for 3, 6, 9, and 12 days. This consistency across studies underscores the established influence of ageing time on both cooking loss (CL) and shear force, as reported in the literature [30]. This current study investigated the effects of post-slaughter ageing (4, 8, 12, and 16 days) on meat quality, observing reduced cooking loss (CL) and shear force values. These improvements are attributed to biochemical and physical changes during meat conditioning, specifically the calpain enzyme-mediated breakdown of myofibrillar proteins [34]. This protein breakdown weakens muscle structure, enhancing tenderness and water retention, thus lowering CL. The study demonstrated that finishing practice, slaughter weight attainment period, and ageing duration independently influence meat quality. The high-energy diet fed to bulls on practices P2 and P3 could have impacted glycogen reserves, resulting in lower muscle pH and potentially increased intramuscular fat, which further contributed to tenderness [25, 35]. Tenderness is a critical quality attribute significantly influencing consumer purchasing decisions. The obtained results showed a reduction in shear force values of 44.41 N for pasture-only to 41.71 N for feedlot-finished bulls, and from 48.19 N to 35.21 N for bulls slaughtered at 45 and 75 days of finishing, respectively. These values fall within the acceptable tenderness range (&lt;55 N) established by [36]. The observed similarity in tenderness for grazing only, grazing plus supplementation and feedlot finished bulls might be related to the age of the animals, as young animals generally possess more tender meat than adults due to less developed collagen [37]. The high b* values (yellowness), suggesting higher intramuscular fat content, further influenced tenderness by affecting light reflection and dispersion [37]. Thus, the data reveals that optimal meat tenderness is achieved when bulls are slaughtered at 75 days of finishing (Figure 3(a)).</w:t>
      </w:r>
    </w:p>
    <w:p w14:paraId="221D4797">
      <w:pPr>
        <w:jc w:val="both"/>
        <w:rPr>
          <w:rFonts w:ascii="Arial" w:hAnsi="Arial" w:cs="Arial"/>
          <w:sz w:val="22"/>
          <w:szCs w:val="22"/>
        </w:rPr>
      </w:pPr>
    </w:p>
    <w:p w14:paraId="172727D8">
      <w:pPr>
        <w:jc w:val="both"/>
        <w:rPr>
          <w:rFonts w:ascii="Arial" w:hAnsi="Arial" w:cs="Arial"/>
          <w:sz w:val="22"/>
          <w:szCs w:val="22"/>
        </w:rPr>
      </w:pPr>
      <w:r>
        <w:rPr>
          <w:rFonts w:ascii="Arial" w:hAnsi="Arial" w:cs="Arial"/>
          <w:sz w:val="22"/>
          <w:szCs w:val="22"/>
        </w:rPr>
        <w:t>Additionally, meat colour significantly has an impact on consumer perception and purchasing decisions, primarily determined by myoglobin concentration. However, consumers generally prefer bright red meat. In the current study, the redness and yellowness values observed across different finishing practices aligned with those reported by [38]. Interestingly, the redness (a*) value was slightly higher in bulls finished on grazing (P1), suggesting higher myoglobin content. This aligns with findings in Begait lambs [39], where dietary treatments influenced redness values. Variations in myoglobin content and intramuscular fat colour are known to affect beef redness [40]. Bulls slaughtered at different times exhibited higher lightness (L*) and yellowness (b*) values, comparable to [38]. Higher L* values suggest brighter meat colour, possibly due to the red hue. The interaction between finishing practice and the slaughter period on redness colour revealed that bulls finished on practice P3 showed decreased redness in meat over time, while those on practice P1 and P2s exhibited increased meat redness. This is likely due to higher myoglobin oxygenation during exposure to oxygenated gases [41, 42]. The present results highlight the significant impact of dietary composition and finishing regimes on meat colour, with bulls finished on practice P3 exhibiting lesser red meat compared to the brighter red meat of those on practices P1 and P2.</w:t>
      </w:r>
    </w:p>
    <w:p w14:paraId="21875E05">
      <w:pPr>
        <w:jc w:val="both"/>
        <w:rPr>
          <w:rFonts w:ascii="Arial" w:hAnsi="Arial" w:cs="Arial"/>
          <w:sz w:val="22"/>
          <w:szCs w:val="22"/>
        </w:rPr>
      </w:pPr>
    </w:p>
    <w:p w14:paraId="3271C1CE">
      <w:pPr>
        <w:jc w:val="both"/>
        <w:rPr>
          <w:rFonts w:ascii="Arial" w:hAnsi="Arial" w:cs="Arial"/>
          <w:b/>
          <w:sz w:val="22"/>
          <w:szCs w:val="22"/>
        </w:rPr>
      </w:pPr>
      <w:r>
        <w:rPr>
          <w:rFonts w:ascii="Arial" w:hAnsi="Arial" w:cs="Arial"/>
          <w:b/>
          <w:sz w:val="22"/>
          <w:szCs w:val="22"/>
        </w:rPr>
        <w:t xml:space="preserve">Conclusions and recommendations </w:t>
      </w:r>
    </w:p>
    <w:p w14:paraId="5124BE72">
      <w:pPr>
        <w:jc w:val="both"/>
        <w:rPr>
          <w:rFonts w:ascii="Arial" w:hAnsi="Arial" w:cs="Arial"/>
          <w:sz w:val="22"/>
          <w:szCs w:val="22"/>
        </w:rPr>
      </w:pPr>
    </w:p>
    <w:p w14:paraId="68E85BF2">
      <w:pPr>
        <w:pStyle w:val="23"/>
        <w:rPr>
          <w:rFonts w:ascii="Arial" w:hAnsi="Arial" w:cs="Arial"/>
          <w:iCs/>
          <w:sz w:val="22"/>
          <w:szCs w:val="22"/>
        </w:rPr>
      </w:pPr>
      <w:r>
        <w:rPr>
          <w:rFonts w:ascii="Arial" w:hAnsi="Arial" w:cs="Arial"/>
          <w:iCs/>
          <w:sz w:val="22"/>
          <w:szCs w:val="22"/>
        </w:rPr>
        <w:t xml:space="preserve">It is concluded that a 75-day feedlot finishing strategy optimizes beef quality compared to other finishing practices and slaughter durations, representing a valuable approach for beef cattle producers. Furthermore, post-slaughter ageing of meat for 12 days is sufficient to optimize the meat quality attributes across the finishing practices and slaughter periods. Future research is recommended on the assessment of the effects of the tested finishing strategies on the meat fatty acid profiles and consumer health. </w:t>
      </w:r>
    </w:p>
    <w:p w14:paraId="744F174C">
      <w:pPr>
        <w:pStyle w:val="23"/>
        <w:spacing w:after="0"/>
        <w:rPr>
          <w:rFonts w:ascii="Arial" w:hAnsi="Arial" w:cs="Arial"/>
          <w:i/>
          <w:sz w:val="22"/>
          <w:szCs w:val="22"/>
        </w:rPr>
      </w:pPr>
    </w:p>
    <w:p w14:paraId="0A1A7D1F">
      <w:pPr>
        <w:jc w:val="both"/>
        <w:outlineLvl w:val="0"/>
        <w:rPr>
          <w:rFonts w:ascii="Arial" w:hAnsi="Arial" w:cs="Arial"/>
        </w:rPr>
      </w:pPr>
      <w:r>
        <w:rPr>
          <w:rFonts w:ascii="Arial" w:hAnsi="Arial" w:cs="Arial"/>
          <w:b/>
          <w:bCs/>
        </w:rPr>
        <w:t>COMPETING INTERESTS DISCLAIMER:</w:t>
      </w:r>
    </w:p>
    <w:p w14:paraId="353EBA3F">
      <w:r>
        <w:t>Authors have declared that they have no known competing financial interests OR non-financial interests OR personal relationships that could have appeared to influence the work reported in this paper.</w:t>
      </w:r>
    </w:p>
    <w:p w14:paraId="3D543318">
      <w:pPr>
        <w:pStyle w:val="23"/>
        <w:spacing w:after="0"/>
        <w:rPr>
          <w:rFonts w:ascii="Arial" w:hAnsi="Arial" w:cs="Arial"/>
          <w:sz w:val="22"/>
          <w:szCs w:val="22"/>
        </w:rPr>
      </w:pPr>
    </w:p>
    <w:p w14:paraId="61CFBAD4">
      <w:pPr>
        <w:pStyle w:val="30"/>
        <w:spacing w:after="0"/>
        <w:jc w:val="both"/>
        <w:rPr>
          <w:rFonts w:ascii="Arial" w:hAnsi="Arial" w:cs="Arial"/>
          <w:szCs w:val="22"/>
        </w:rPr>
      </w:pPr>
    </w:p>
    <w:p w14:paraId="793F3845">
      <w:pPr>
        <w:pStyle w:val="30"/>
        <w:spacing w:after="0"/>
        <w:jc w:val="both"/>
        <w:rPr>
          <w:rFonts w:ascii="Arial" w:hAnsi="Arial" w:cs="Arial"/>
          <w:szCs w:val="22"/>
        </w:rPr>
      </w:pPr>
      <w:r>
        <w:rPr>
          <w:rFonts w:ascii="Arial" w:hAnsi="Arial" w:cs="Arial"/>
          <w:szCs w:val="22"/>
        </w:rPr>
        <w:t>References</w:t>
      </w:r>
    </w:p>
    <w:p w14:paraId="095EA66E">
      <w:pPr>
        <w:pStyle w:val="30"/>
        <w:spacing w:after="0"/>
        <w:jc w:val="both"/>
        <w:rPr>
          <w:rFonts w:ascii="Arial" w:hAnsi="Arial" w:cs="Arial"/>
          <w:szCs w:val="22"/>
        </w:rPr>
      </w:pPr>
    </w:p>
    <w:p w14:paraId="0F238B14">
      <w:pPr>
        <w:pStyle w:val="65"/>
        <w:numPr>
          <w:ilvl w:val="0"/>
          <w:numId w:val="2"/>
        </w:numPr>
        <w:tabs>
          <w:tab w:val="left" w:pos="720"/>
        </w:tabs>
        <w:spacing w:after="0"/>
        <w:jc w:val="both"/>
        <w:rPr>
          <w:rFonts w:ascii="Arial" w:hAnsi="Arial" w:cs="Arial"/>
        </w:rPr>
      </w:pPr>
      <w:r>
        <w:rPr>
          <w:rFonts w:ascii="Arial" w:hAnsi="Arial" w:cs="Arial"/>
        </w:rPr>
        <w:t xml:space="preserve">UN (United Nations). World Population Prospects. Highlights; United Nations Department of Economic and Social Affairs. Available </w:t>
      </w:r>
      <w:r>
        <w:fldChar w:fldCharType="begin"/>
      </w:r>
      <w:r>
        <w:instrText xml:space="preserve"> HYPERLINK "https://www.un.org/development/desa/publications/world-population-prospects-2019-highlights" </w:instrText>
      </w:r>
      <w:r>
        <w:fldChar w:fldCharType="separate"/>
      </w:r>
      <w:r>
        <w:rPr>
          <w:rFonts w:ascii="Arial" w:hAnsi="Arial" w:cs="Arial"/>
        </w:rPr>
        <w:t>https://www.un.org/development/desa/publications/world-population-prospects-2019-highlights</w:t>
      </w:r>
      <w:r>
        <w:rPr>
          <w:rFonts w:ascii="Arial" w:hAnsi="Arial" w:cs="Arial"/>
        </w:rPr>
        <w:fldChar w:fldCharType="end"/>
      </w:r>
    </w:p>
    <w:p w14:paraId="619B2BD2">
      <w:pPr>
        <w:pStyle w:val="65"/>
        <w:numPr>
          <w:ilvl w:val="0"/>
          <w:numId w:val="2"/>
        </w:numPr>
        <w:spacing w:after="0"/>
        <w:jc w:val="both"/>
        <w:rPr>
          <w:rFonts w:ascii="Arial" w:hAnsi="Arial" w:cs="Arial"/>
        </w:rPr>
      </w:pPr>
      <w:r>
        <w:rPr>
          <w:rFonts w:ascii="Arial" w:hAnsi="Arial" w:cs="Arial"/>
        </w:rPr>
        <w:t xml:space="preserve">URT (United Republic of Tanzania). The Ministry of Livestock and Fisheries Hon. Abdallah Ulega (MP) Speech on the Expected Expenditure Financial year 2024/25 of the Ministry of Livestock and Fisheries. Dodoma, Tanzania 121pp 2024. Available </w:t>
      </w:r>
      <w:r>
        <w:fldChar w:fldCharType="begin"/>
      </w:r>
      <w:r>
        <w:instrText xml:space="preserve"> HYPERLINK "https://www.mifugouvuvi.go.tz/" </w:instrText>
      </w:r>
      <w:r>
        <w:fldChar w:fldCharType="separate"/>
      </w:r>
      <w:r>
        <w:rPr>
          <w:rStyle w:val="16"/>
          <w:rFonts w:ascii="Arial" w:hAnsi="Arial" w:cs="Arial"/>
          <w:color w:val="auto"/>
          <w:u w:val="none"/>
        </w:rPr>
        <w:t>https://www.mifugouvuvi.go.tz/</w:t>
      </w:r>
      <w:r>
        <w:rPr>
          <w:rStyle w:val="16"/>
          <w:rFonts w:ascii="Arial" w:hAnsi="Arial" w:cs="Arial"/>
          <w:color w:val="auto"/>
          <w:u w:val="none"/>
        </w:rPr>
        <w:fldChar w:fldCharType="end"/>
      </w:r>
    </w:p>
    <w:p w14:paraId="18ED01EA">
      <w:pPr>
        <w:pStyle w:val="65"/>
        <w:numPr>
          <w:ilvl w:val="0"/>
          <w:numId w:val="2"/>
        </w:numPr>
        <w:tabs>
          <w:tab w:val="left" w:pos="720"/>
        </w:tabs>
        <w:spacing w:after="0"/>
        <w:jc w:val="both"/>
        <w:rPr>
          <w:rFonts w:ascii="Arial" w:hAnsi="Arial" w:cs="Arial"/>
        </w:rPr>
      </w:pPr>
      <w:r>
        <w:rPr>
          <w:rFonts w:ascii="Arial" w:hAnsi="Arial" w:cs="Arial"/>
        </w:rPr>
        <w:t xml:space="preserve">URT (United Republic of Tanzania). Ministry of Livestock and Fisheries Development). Tanzania Livestock Modernisation Initiative 2015. 38pp Available </w:t>
      </w:r>
      <w:r>
        <w:fldChar w:fldCharType="begin"/>
      </w:r>
      <w:r>
        <w:instrText xml:space="preserve"> HYPERLINK "https://www.mifugouvuvi.go.tz/" </w:instrText>
      </w:r>
      <w:r>
        <w:fldChar w:fldCharType="separate"/>
      </w:r>
      <w:r>
        <w:rPr>
          <w:rStyle w:val="16"/>
          <w:rFonts w:ascii="Arial" w:hAnsi="Arial" w:cs="Arial"/>
          <w:color w:val="auto"/>
          <w:u w:val="none"/>
        </w:rPr>
        <w:t>https://www.mifugouvuvi.go.tz/</w:t>
      </w:r>
      <w:r>
        <w:rPr>
          <w:rStyle w:val="16"/>
          <w:rFonts w:ascii="Arial" w:hAnsi="Arial" w:cs="Arial"/>
          <w:color w:val="auto"/>
          <w:u w:val="none"/>
        </w:rPr>
        <w:fldChar w:fldCharType="end"/>
      </w:r>
      <w:r>
        <w:rPr>
          <w:rFonts w:ascii="Arial" w:hAnsi="Arial" w:cs="Arial"/>
        </w:rPr>
        <w:t xml:space="preserve"> </w:t>
      </w:r>
    </w:p>
    <w:p w14:paraId="576F33B1">
      <w:pPr>
        <w:pStyle w:val="65"/>
        <w:numPr>
          <w:ilvl w:val="0"/>
          <w:numId w:val="2"/>
        </w:numPr>
        <w:tabs>
          <w:tab w:val="left" w:pos="720"/>
        </w:tabs>
        <w:spacing w:after="0"/>
        <w:jc w:val="both"/>
        <w:rPr>
          <w:rFonts w:ascii="Arial" w:hAnsi="Arial" w:cs="Arial"/>
        </w:rPr>
      </w:pPr>
      <w:r>
        <w:rPr>
          <w:rFonts w:ascii="Arial" w:hAnsi="Arial" w:cs="Arial"/>
        </w:rPr>
        <w:t>Mwilawa AJ. Effects of Breed and Diet on Performance, Carcass Characteristics and Meat Quality of Beef Cattle. PhD. Dissertation 2012. Available Sokoine University of Agriculture Morogoro, Tanzania. 244-246pp.</w:t>
      </w:r>
    </w:p>
    <w:p w14:paraId="601EE44A">
      <w:pPr>
        <w:pStyle w:val="65"/>
        <w:numPr>
          <w:ilvl w:val="0"/>
          <w:numId w:val="2"/>
        </w:numPr>
        <w:tabs>
          <w:tab w:val="left" w:pos="720"/>
        </w:tabs>
        <w:spacing w:after="0"/>
        <w:jc w:val="both"/>
        <w:rPr>
          <w:rFonts w:ascii="Arial" w:hAnsi="Arial" w:cs="Arial"/>
        </w:rPr>
      </w:pPr>
      <w:r>
        <w:rPr>
          <w:rFonts w:ascii="Arial" w:hAnsi="Arial" w:cs="Arial"/>
        </w:rPr>
        <w:t>Mushi D.  Feedlot performance of Tanzanian Shorthorn Zebu finished on local feed resources. Tropical Animal Health and Production 2020. Available https://doi.org/10.1007/s11250-020-02346-y</w:t>
      </w:r>
    </w:p>
    <w:p w14:paraId="1C28E6AB">
      <w:pPr>
        <w:pStyle w:val="65"/>
        <w:numPr>
          <w:ilvl w:val="0"/>
          <w:numId w:val="2"/>
        </w:numPr>
        <w:tabs>
          <w:tab w:val="left" w:pos="720"/>
        </w:tabs>
        <w:spacing w:after="0"/>
        <w:jc w:val="both"/>
        <w:rPr>
          <w:rStyle w:val="16"/>
          <w:rFonts w:ascii="Arial" w:hAnsi="Arial" w:cs="Arial"/>
          <w:color w:val="auto"/>
          <w:u w:val="none"/>
        </w:rPr>
      </w:pPr>
      <w:r>
        <w:rPr>
          <w:rFonts w:ascii="Arial" w:hAnsi="Arial" w:cs="Arial"/>
        </w:rPr>
        <w:t xml:space="preserve">Felderhoff C. Lyford C, Malaga J, Polkinghorne R, Brooks C, Garmyn A, and Miller M. Beef quality preferences: Factors driving consumer satisfaction. Foods, 2020;9(3). Available </w:t>
      </w:r>
      <w:r>
        <w:fldChar w:fldCharType="begin"/>
      </w:r>
      <w:r>
        <w:instrText xml:space="preserve"> HYPERLINK "https://doi.org/10.3390/foods9030289" </w:instrText>
      </w:r>
      <w:r>
        <w:fldChar w:fldCharType="separate"/>
      </w:r>
      <w:r>
        <w:rPr>
          <w:rStyle w:val="16"/>
          <w:rFonts w:ascii="Arial" w:hAnsi="Arial" w:cs="Arial"/>
          <w:color w:val="auto"/>
          <w:u w:val="none"/>
        </w:rPr>
        <w:t>https://doi.org/10.3390/foods9030289</w:t>
      </w:r>
      <w:r>
        <w:rPr>
          <w:rStyle w:val="16"/>
          <w:rFonts w:ascii="Arial" w:hAnsi="Arial" w:cs="Arial"/>
          <w:color w:val="auto"/>
          <w:u w:val="none"/>
        </w:rPr>
        <w:fldChar w:fldCharType="end"/>
      </w:r>
    </w:p>
    <w:p w14:paraId="10B3F79A">
      <w:pPr>
        <w:pStyle w:val="65"/>
        <w:numPr>
          <w:ilvl w:val="0"/>
          <w:numId w:val="2"/>
        </w:numPr>
        <w:tabs>
          <w:tab w:val="left" w:pos="720"/>
        </w:tabs>
        <w:spacing w:after="0"/>
        <w:jc w:val="both"/>
        <w:rPr>
          <w:rStyle w:val="16"/>
          <w:rFonts w:ascii="Arial" w:hAnsi="Arial" w:cs="Arial"/>
          <w:color w:val="auto"/>
          <w:u w:val="none"/>
        </w:rPr>
      </w:pPr>
      <w:r>
        <w:rPr>
          <w:rFonts w:ascii="Arial" w:hAnsi="Arial" w:cs="Arial"/>
        </w:rPr>
        <w:t xml:space="preserve">Sinan K, Nurinisa E, Alper O, Muhlis M, Mete Y, Sadrettin Y, Abdulkadir O, and Necdet U. Effects of slaughter age and muscle type on meat quality characteristics of Eastern Anatolian Red bulls. Arch. Anim. Breed., 61, 497–504, 2018. Available </w:t>
      </w:r>
      <w:r>
        <w:fldChar w:fldCharType="begin"/>
      </w:r>
      <w:r>
        <w:instrText xml:space="preserve"> HYPERLINK "https://doi.org/10.5194/aab-61-497-2018" </w:instrText>
      </w:r>
      <w:r>
        <w:fldChar w:fldCharType="separate"/>
      </w:r>
      <w:r>
        <w:rPr>
          <w:rStyle w:val="16"/>
          <w:rFonts w:ascii="Arial" w:hAnsi="Arial" w:cs="Arial"/>
          <w:color w:val="auto"/>
          <w:u w:val="none"/>
        </w:rPr>
        <w:t>https://doi.org/10.5194/aab-61-497-2018</w:t>
      </w:r>
      <w:r>
        <w:rPr>
          <w:rStyle w:val="16"/>
          <w:rFonts w:ascii="Arial" w:hAnsi="Arial" w:cs="Arial"/>
          <w:color w:val="auto"/>
          <w:u w:val="none"/>
        </w:rPr>
        <w:fldChar w:fldCharType="end"/>
      </w:r>
    </w:p>
    <w:p w14:paraId="3EE406FE">
      <w:pPr>
        <w:pStyle w:val="65"/>
        <w:numPr>
          <w:ilvl w:val="0"/>
          <w:numId w:val="2"/>
        </w:numPr>
        <w:tabs>
          <w:tab w:val="left" w:pos="720"/>
        </w:tabs>
        <w:spacing w:after="0"/>
        <w:jc w:val="both"/>
        <w:rPr>
          <w:rFonts w:ascii="Arial" w:hAnsi="Arial" w:cs="Arial"/>
        </w:rPr>
      </w:pPr>
      <w:r>
        <w:rPr>
          <w:rFonts w:ascii="Arial" w:hAnsi="Arial" w:cs="Arial"/>
          <w:shd w:val="clear" w:color="auto" w:fill="FFFFFF"/>
        </w:rPr>
        <w:t xml:space="preserve">Wyrwisz J, Półtorak A, Zalewska M, Zaremba R, and Wierzbicka A. </w:t>
      </w:r>
      <w:r>
        <w:rPr>
          <w:rFonts w:ascii="Arial" w:hAnsi="Arial" w:cs="Arial"/>
          <w:iCs/>
          <w:shd w:val="clear" w:color="auto" w:fill="FFFFFF"/>
        </w:rPr>
        <w:t xml:space="preserve">Analysis of Relationship Between Basic Composition, pH, and Physical Properties of Selected Bovine Muscles. Bulletin of the Veterinary Institute in Pulawy, </w:t>
      </w:r>
      <w:r>
        <w:rPr>
          <w:rFonts w:ascii="Arial" w:hAnsi="Arial" w:cs="Arial"/>
          <w:shd w:val="clear" w:color="auto" w:fill="FFFFFF"/>
        </w:rPr>
        <w:t>2012;</w:t>
      </w:r>
      <w:r>
        <w:rPr>
          <w:rFonts w:ascii="Arial" w:hAnsi="Arial" w:cs="Arial"/>
          <w:iCs/>
          <w:shd w:val="clear" w:color="auto" w:fill="FFFFFF"/>
        </w:rPr>
        <w:t>56(3), 403–409</w:t>
      </w:r>
      <w:r>
        <w:rPr>
          <w:rFonts w:ascii="Arial" w:hAnsi="Arial" w:cs="Arial"/>
          <w:i/>
          <w:iCs/>
          <w:shd w:val="clear" w:color="auto" w:fill="FFFFFF"/>
        </w:rPr>
        <w:t>.</w:t>
      </w:r>
      <w:r>
        <w:rPr>
          <w:rFonts w:ascii="Arial" w:hAnsi="Arial" w:cs="Arial"/>
          <w:shd w:val="clear" w:color="auto" w:fill="FFFFFF"/>
        </w:rPr>
        <w:t> Available https://doi:10.2478/v10213-012-0071-8</w:t>
      </w:r>
    </w:p>
    <w:p w14:paraId="2803D56D">
      <w:pPr>
        <w:pStyle w:val="65"/>
        <w:numPr>
          <w:ilvl w:val="0"/>
          <w:numId w:val="2"/>
        </w:numPr>
        <w:tabs>
          <w:tab w:val="left" w:pos="720"/>
        </w:tabs>
        <w:spacing w:after="0"/>
        <w:jc w:val="both"/>
        <w:rPr>
          <w:rFonts w:ascii="Arial" w:hAnsi="Arial" w:cs="Arial"/>
        </w:rPr>
      </w:pPr>
      <w:r>
        <w:rPr>
          <w:rFonts w:ascii="Arial" w:hAnsi="Arial" w:cs="Arial"/>
        </w:rPr>
        <w:t xml:space="preserve">Agastin A, Naves M, Farant A, Godard X, Bocage B, Alexandre G, Boval M. Effects of feeding system and slaughter age on the growth and carcass characteristics of tropical-breed steers.J ANIM SCI 2013, 91:3997-4006. doi: 10.2527/jas.2012-5999. Available http://www.journalofanimalscience.org/content/91/8/3997 </w:t>
      </w:r>
    </w:p>
    <w:p w14:paraId="43180ED3">
      <w:pPr>
        <w:pStyle w:val="65"/>
        <w:numPr>
          <w:ilvl w:val="0"/>
          <w:numId w:val="2"/>
        </w:numPr>
        <w:tabs>
          <w:tab w:val="left" w:pos="720"/>
        </w:tabs>
        <w:spacing w:after="0"/>
        <w:jc w:val="both"/>
        <w:rPr>
          <w:rFonts w:ascii="Arial" w:hAnsi="Arial" w:cs="Arial"/>
        </w:rPr>
      </w:pPr>
      <w:r>
        <w:rPr>
          <w:rFonts w:ascii="Arial" w:hAnsi="Arial" w:cs="Arial"/>
          <w:lang w:val="it-IT"/>
        </w:rPr>
        <w:t>Savoia S, Brugiapaglia A, Pauciullo A, Di Stasio L, Schiavon S, Bittante G, Albera A.  </w:t>
      </w:r>
      <w:r>
        <w:rPr>
          <w:rFonts w:ascii="Arial" w:hAnsi="Arial" w:cs="Arial"/>
        </w:rPr>
        <w:t>Characterisation of beef production systems and their effects on carcass and meat quality traits of Piemontese young bulls. Meat Science</w:t>
      </w:r>
      <w:r>
        <w:rPr>
          <w:rFonts w:ascii="Arial" w:hAnsi="Arial" w:cs="Arial"/>
          <w:i/>
          <w:iCs/>
        </w:rPr>
        <w:t>.</w:t>
      </w:r>
      <w:r>
        <w:rPr>
          <w:rFonts w:ascii="Arial" w:hAnsi="Arial" w:cs="Arial"/>
        </w:rPr>
        <w:t> doi:10.1016/j.meatsci.2019.03.010</w:t>
      </w:r>
    </w:p>
    <w:p w14:paraId="75709215">
      <w:pPr>
        <w:pStyle w:val="65"/>
        <w:numPr>
          <w:ilvl w:val="0"/>
          <w:numId w:val="2"/>
        </w:numPr>
        <w:tabs>
          <w:tab w:val="left" w:pos="720"/>
        </w:tabs>
        <w:spacing w:after="0"/>
        <w:jc w:val="both"/>
        <w:rPr>
          <w:rFonts w:ascii="Arial" w:hAnsi="Arial" w:cs="Arial"/>
        </w:rPr>
      </w:pPr>
      <w:r>
        <w:rPr>
          <w:rFonts w:ascii="Arial" w:hAnsi="Arial" w:cs="Arial"/>
        </w:rPr>
        <w:t>Kemp CM, Sensky PL, Bardsley RG, Buttery PJ, Parr T. Tenderness - an enzymatic view.</w:t>
      </w:r>
      <w:r>
        <w:rPr>
          <w:rFonts w:ascii="Arial" w:hAnsi="Arial" w:cs="Arial"/>
        </w:rPr>
        <w:br w:type="textWrapping"/>
      </w:r>
      <w:r>
        <w:rPr>
          <w:rFonts w:ascii="Arial" w:hAnsi="Arial" w:cs="Arial"/>
        </w:rPr>
        <w:t xml:space="preserve">Meat Sci. 2010;84:248-56. https://doi.org/10.1016/j.meatsci.2009.06.008   </w:t>
      </w:r>
    </w:p>
    <w:p w14:paraId="0B0072E4">
      <w:pPr>
        <w:pStyle w:val="65"/>
        <w:numPr>
          <w:ilvl w:val="0"/>
          <w:numId w:val="2"/>
        </w:numPr>
        <w:tabs>
          <w:tab w:val="left" w:pos="720"/>
        </w:tabs>
        <w:spacing w:after="0"/>
        <w:jc w:val="both"/>
        <w:rPr>
          <w:rFonts w:ascii="Arial" w:hAnsi="Arial" w:cs="Arial"/>
        </w:rPr>
      </w:pPr>
      <w:r>
        <w:rPr>
          <w:rFonts w:ascii="Arial" w:hAnsi="Arial" w:cs="Arial"/>
        </w:rPr>
        <w:t>Shirima EJM, Mtenga LA, Kimambo AE, Laswai GH, Mgheni DM, Mushi DE, Shija DS, Safari JG and Hozza WA. Effects of days in feedlot on physico-chemical properties and meat tenderness from Tanzanian Long Fat-Tailed Sheep. J Anim Prod Adv 2013, 3(2): 40-48 available https://DOI: 10.5455/japa.20130219031450</w:t>
      </w:r>
      <w:r>
        <w:rPr>
          <w:rFonts w:ascii="Arial" w:hAnsi="Arial" w:cs="Arial"/>
          <w:shd w:val="clear" w:color="auto" w:fill="FFFFFF"/>
        </w:rPr>
        <w:t> </w:t>
      </w:r>
    </w:p>
    <w:p w14:paraId="2B4454E5">
      <w:pPr>
        <w:pStyle w:val="65"/>
        <w:numPr>
          <w:ilvl w:val="0"/>
          <w:numId w:val="2"/>
        </w:numPr>
        <w:tabs>
          <w:tab w:val="left" w:pos="720"/>
        </w:tabs>
        <w:spacing w:after="0"/>
        <w:jc w:val="both"/>
        <w:rPr>
          <w:rFonts w:ascii="Arial" w:hAnsi="Arial" w:cs="Arial"/>
        </w:rPr>
      </w:pPr>
      <w:r>
        <w:rPr>
          <w:rFonts w:ascii="Arial" w:hAnsi="Arial" w:cs="Arial"/>
        </w:rPr>
        <w:t>Neto ORM, Ladeira MM, Chizzotti ML, Jorge AM, Mendes de Oliveira D, de Calvalho JR, R. and do Sacramento Ribeiro J. Performance, carcass traits, meat quality and economic analysis of feedlot of young bulls fed oilseeds with and without supplementation of vitamin E. Revista Brasileira de Zootecnia, 2012;41 (7), 1756–1763. Available https://doi:10.1590/s1516-35982012000700027</w:t>
      </w:r>
    </w:p>
    <w:p w14:paraId="77799447">
      <w:pPr>
        <w:pStyle w:val="65"/>
        <w:numPr>
          <w:ilvl w:val="0"/>
          <w:numId w:val="2"/>
        </w:numPr>
        <w:tabs>
          <w:tab w:val="left" w:pos="720"/>
        </w:tabs>
        <w:spacing w:after="0"/>
        <w:jc w:val="both"/>
        <w:rPr>
          <w:rStyle w:val="16"/>
          <w:rFonts w:ascii="Arial" w:hAnsi="Arial" w:cs="Arial"/>
          <w:color w:val="auto"/>
          <w:u w:val="none"/>
        </w:rPr>
      </w:pPr>
      <w:r>
        <w:rPr>
          <w:rFonts w:ascii="Arial" w:hAnsi="Arial" w:cs="Arial"/>
        </w:rPr>
        <w:t xml:space="preserve">Asizua D, Mpairwe D, Kabi F, Mutetikka D, Hvelplund T, Weisbjerg MR, Madsen J. Effects of grazing and feedlot finishing duration on the performance of three beef cattle genotypes in Uganda. Livestock Science. 2017:199,25–30. Available; </w:t>
      </w:r>
      <w:r>
        <w:fldChar w:fldCharType="begin"/>
      </w:r>
      <w:r>
        <w:instrText xml:space="preserve"> HYPERLINK "http://doi:10.1016/j.livsci.2017.03.006" </w:instrText>
      </w:r>
      <w:r>
        <w:fldChar w:fldCharType="separate"/>
      </w:r>
      <w:r>
        <w:rPr>
          <w:rStyle w:val="16"/>
          <w:rFonts w:ascii="Arial" w:hAnsi="Arial" w:cs="Arial"/>
          <w:color w:val="auto"/>
          <w:u w:val="none"/>
        </w:rPr>
        <w:t>http://doi:10.1016/j.livsci.2017.03.006</w:t>
      </w:r>
      <w:r>
        <w:rPr>
          <w:rStyle w:val="16"/>
          <w:rFonts w:ascii="Arial" w:hAnsi="Arial" w:cs="Arial"/>
          <w:color w:val="auto"/>
          <w:u w:val="none"/>
        </w:rPr>
        <w:fldChar w:fldCharType="end"/>
      </w:r>
    </w:p>
    <w:p w14:paraId="0E3A65C0">
      <w:pPr>
        <w:pStyle w:val="65"/>
        <w:numPr>
          <w:ilvl w:val="0"/>
          <w:numId w:val="2"/>
        </w:numPr>
        <w:tabs>
          <w:tab w:val="left" w:pos="720"/>
        </w:tabs>
        <w:spacing w:after="0"/>
        <w:jc w:val="both"/>
        <w:rPr>
          <w:rFonts w:ascii="Arial" w:hAnsi="Arial" w:cs="Arial"/>
        </w:rPr>
      </w:pPr>
      <w:r>
        <w:rPr>
          <w:rFonts w:ascii="Arial" w:hAnsi="Arial" w:cs="Arial"/>
        </w:rPr>
        <w:t>Asimwe L, Kimambo AE, Laswai GH, Mtenga LA, Weisbjerg MR, Madsen J.  Effect of days in a feedlot on growth performance, carcass and meat quality attributes of Tanzania shorthorn zebu steers. Tropical Animal Health and Production 2015;47(5): 867- 876. Available https// doi:10.1007/s11250-015-0801-z</w:t>
      </w:r>
    </w:p>
    <w:p w14:paraId="715E3743">
      <w:pPr>
        <w:pStyle w:val="65"/>
        <w:numPr>
          <w:ilvl w:val="0"/>
          <w:numId w:val="2"/>
        </w:numPr>
        <w:spacing w:after="0" w:line="240" w:lineRule="auto"/>
        <w:jc w:val="both"/>
        <w:rPr>
          <w:rFonts w:ascii="Arial" w:hAnsi="Arial" w:cs="Arial"/>
        </w:rPr>
      </w:pPr>
      <w:r>
        <w:rPr>
          <w:rFonts w:ascii="Arial" w:hAnsi="Arial" w:cs="Arial"/>
        </w:rPr>
        <w:t>Asimwe L, Kimambo AE, Laswai GH, Mtenga LA, Weisbjerg MR, Madsen J. Economics of finishing Tanzania Shorthorn Zebu cattle in feedlot and optimum finishing period. </w:t>
      </w:r>
      <w:r>
        <w:rPr>
          <w:rFonts w:ascii="Arial" w:hAnsi="Arial" w:cs="Arial"/>
          <w:iCs/>
        </w:rPr>
        <w:t xml:space="preserve">Livestock Research for Rural Development 2016;28(201) Available </w:t>
      </w:r>
      <w:r>
        <w:fldChar w:fldCharType="begin"/>
      </w:r>
      <w:r>
        <w:instrText xml:space="preserve"> HYPERLINK "https://www.lrrd.org/lrrd28/11/asim28201.html" </w:instrText>
      </w:r>
      <w:r>
        <w:fldChar w:fldCharType="separate"/>
      </w:r>
      <w:r>
        <w:rPr>
          <w:rStyle w:val="16"/>
          <w:rFonts w:ascii="Arial" w:hAnsi="Arial" w:cs="Arial"/>
          <w:color w:val="auto"/>
          <w:u w:val="none"/>
        </w:rPr>
        <w:t>https://www.lrrd.org/lrrd28/11/asim28201.html</w:t>
      </w:r>
      <w:r>
        <w:rPr>
          <w:rStyle w:val="16"/>
          <w:rFonts w:ascii="Arial" w:hAnsi="Arial" w:cs="Arial"/>
          <w:color w:val="auto"/>
          <w:u w:val="none"/>
        </w:rPr>
        <w:fldChar w:fldCharType="end"/>
      </w:r>
    </w:p>
    <w:p w14:paraId="1178F2E2">
      <w:pPr>
        <w:pStyle w:val="65"/>
        <w:numPr>
          <w:ilvl w:val="0"/>
          <w:numId w:val="2"/>
        </w:numPr>
        <w:spacing w:after="0" w:line="240" w:lineRule="auto"/>
        <w:jc w:val="both"/>
        <w:rPr>
          <w:rFonts w:ascii="Arial" w:hAnsi="Arial" w:cs="Arial"/>
        </w:rPr>
      </w:pPr>
      <w:r>
        <w:rPr>
          <w:rFonts w:ascii="Arial" w:hAnsi="Arial" w:cs="Arial"/>
        </w:rPr>
        <w:t>Maro EP, Laswai GH, Sangeda AZ, Selemani IS, Shem MN. Effects of Finishing Strategies on</w:t>
      </w:r>
      <w:r>
        <w:rPr>
          <w:rFonts w:ascii="Arial" w:hAnsi="Arial" w:cs="Arial"/>
        </w:rPr>
        <w:br w:type="textWrapping"/>
      </w:r>
      <w:r>
        <w:rPr>
          <w:rFonts w:ascii="Arial" w:hAnsi="Arial" w:cs="Arial"/>
        </w:rPr>
        <w:t>the Performance and Profitability of Boran Crossbred Cattle. Asian Journal of Research in Animal and Veterinary Sciences 7</w:t>
      </w:r>
      <w:r>
        <w:rPr>
          <w:rFonts w:ascii="Arial" w:hAnsi="Arial" w:cs="Arial"/>
        </w:rPr>
        <w:br w:type="textWrapping"/>
      </w:r>
      <w:r>
        <w:rPr>
          <w:rFonts w:ascii="Arial" w:hAnsi="Arial" w:cs="Arial"/>
        </w:rPr>
        <w:t>(4):307-24. Available on https://www.journalajravs.com/index.php/AJRAVS/article/view/315.</w:t>
      </w:r>
    </w:p>
    <w:p w14:paraId="23E3CF84">
      <w:pPr>
        <w:pStyle w:val="65"/>
        <w:numPr>
          <w:ilvl w:val="0"/>
          <w:numId w:val="2"/>
        </w:numPr>
        <w:tabs>
          <w:tab w:val="left" w:pos="720"/>
        </w:tabs>
        <w:spacing w:after="0"/>
        <w:jc w:val="both"/>
        <w:rPr>
          <w:rFonts w:ascii="Arial" w:hAnsi="Arial" w:cs="Arial"/>
        </w:rPr>
      </w:pPr>
      <w:r>
        <w:rPr>
          <w:rFonts w:ascii="Arial" w:hAnsi="Arial" w:cs="Arial"/>
        </w:rPr>
        <w:t xml:space="preserve">Schanda J. CIE Colorimetry: Understanding the CIE system. New York, NY: John Wiley and Sons, 2007. Pg. 25-78. </w:t>
      </w:r>
    </w:p>
    <w:p w14:paraId="1B7EDE2A">
      <w:pPr>
        <w:pStyle w:val="65"/>
        <w:numPr>
          <w:ilvl w:val="0"/>
          <w:numId w:val="2"/>
        </w:numPr>
        <w:tabs>
          <w:tab w:val="left" w:pos="720"/>
        </w:tabs>
        <w:spacing w:after="0"/>
        <w:jc w:val="both"/>
        <w:rPr>
          <w:rFonts w:ascii="Arial" w:hAnsi="Arial" w:cs="Arial"/>
        </w:rPr>
      </w:pPr>
      <w:r>
        <w:rPr>
          <w:rFonts w:ascii="Arial" w:hAnsi="Arial" w:cs="Arial"/>
        </w:rPr>
        <w:t>SAS (Statistical Analysis System). User's guide, version 9.2. SAS Institute, Inc, Carry 2004.</w:t>
      </w:r>
    </w:p>
    <w:p w14:paraId="6D1DB690">
      <w:pPr>
        <w:pStyle w:val="65"/>
        <w:numPr>
          <w:ilvl w:val="0"/>
          <w:numId w:val="2"/>
        </w:numPr>
        <w:spacing w:after="0"/>
        <w:jc w:val="both"/>
        <w:rPr>
          <w:rFonts w:ascii="Arial" w:hAnsi="Arial" w:cs="Arial"/>
        </w:rPr>
      </w:pPr>
      <w:r>
        <w:rPr>
          <w:rFonts w:ascii="Arial" w:hAnsi="Arial" w:cs="Arial"/>
        </w:rPr>
        <w:t xml:space="preserve">NRC (National Research Council). Nutrient requirements of beef cattle: Seventh revised edition, 2000. Washington, DC: The National Academies Press. Available </w:t>
      </w:r>
      <w:r>
        <w:fldChar w:fldCharType="begin"/>
      </w:r>
      <w:r>
        <w:instrText xml:space="preserve"> HYPERLINK "https://doi.org/10.17226/9791" </w:instrText>
      </w:r>
      <w:r>
        <w:fldChar w:fldCharType="separate"/>
      </w:r>
      <w:r>
        <w:rPr>
          <w:rFonts w:ascii="Arial" w:hAnsi="Arial" w:cs="Arial"/>
        </w:rPr>
        <w:t>https://doi.org/10.17226/9791</w:t>
      </w:r>
      <w:r>
        <w:rPr>
          <w:rFonts w:ascii="Arial" w:hAnsi="Arial" w:cs="Arial"/>
        </w:rPr>
        <w:fldChar w:fldCharType="end"/>
      </w:r>
      <w:r>
        <w:rPr>
          <w:rFonts w:ascii="Arial" w:hAnsi="Arial" w:cs="Arial"/>
        </w:rPr>
        <w:t>.</w:t>
      </w:r>
    </w:p>
    <w:p w14:paraId="00DB2BBC">
      <w:pPr>
        <w:pStyle w:val="65"/>
        <w:numPr>
          <w:ilvl w:val="0"/>
          <w:numId w:val="2"/>
        </w:numPr>
        <w:tabs>
          <w:tab w:val="left" w:pos="720"/>
        </w:tabs>
        <w:spacing w:after="0"/>
        <w:jc w:val="both"/>
        <w:rPr>
          <w:rFonts w:ascii="Arial" w:hAnsi="Arial" w:cs="Arial"/>
        </w:rPr>
      </w:pPr>
      <w:r>
        <w:rPr>
          <w:rFonts w:ascii="Arial" w:hAnsi="Arial" w:cs="Arial"/>
        </w:rPr>
        <w:t>Özlütürk A, Esenbuğa N, Yanar M, Ünlü N, Macit M, and Kopuzlu S, "The Effect of Duration of Finishing Period on the Performance, Slaughter, Carcass, and Beef Quality Characteristics of Eastern Anatolian Red Bulls," Turk. J. Vet. Anim. Sci. 2008; 32(6): 441-448 Available https://www.researchgate.net/publication/289119630</w:t>
      </w:r>
    </w:p>
    <w:p w14:paraId="3599AF04">
      <w:pPr>
        <w:pStyle w:val="65"/>
        <w:numPr>
          <w:ilvl w:val="0"/>
          <w:numId w:val="2"/>
        </w:numPr>
        <w:shd w:val="clear" w:color="auto" w:fill="FFFFFF"/>
        <w:spacing w:after="0"/>
        <w:jc w:val="both"/>
        <w:rPr>
          <w:rFonts w:ascii="Arial" w:hAnsi="Arial" w:cs="Arial"/>
        </w:rPr>
      </w:pPr>
      <w:r>
        <w:rPr>
          <w:rFonts w:ascii="Arial" w:hAnsi="Arial" w:cs="Arial"/>
        </w:rPr>
        <w:t>Asizua D, Mpairwe D. Kabi F. Mutetikka D and Madsen J. Growth and slaughter characteristics of Ankole cattle and its Boran and Friesian crossbreds. S. Afr. j. anim. sci. 2009;(39) 5, 81-85. Available https://10.4314/sajas.v39i1.61161</w:t>
      </w:r>
    </w:p>
    <w:p w14:paraId="63DBEBFE">
      <w:pPr>
        <w:pStyle w:val="65"/>
        <w:numPr>
          <w:ilvl w:val="0"/>
          <w:numId w:val="2"/>
        </w:numPr>
        <w:spacing w:after="0"/>
        <w:jc w:val="both"/>
        <w:rPr>
          <w:rFonts w:ascii="Arial" w:hAnsi="Arial" w:cs="Arial"/>
        </w:rPr>
      </w:pPr>
      <w:r>
        <w:rPr>
          <w:rFonts w:ascii="Arial" w:hAnsi="Arial" w:cs="Arial"/>
        </w:rPr>
        <w:t>Mwilawa AJ, Kimambo AE, Mtenga LA, Laswai GH, Madsen J, Hvelplund T, Weisbjerg MR, Christensen M. and Mgheni DM. Carcass and meat quality characteristics of indigenous cattle in Tanzania. In: The 5</w:t>
      </w:r>
      <w:r>
        <w:rPr>
          <w:rFonts w:ascii="Arial" w:hAnsi="Arial" w:cs="Arial"/>
          <w:vertAlign w:val="superscript"/>
        </w:rPr>
        <w:t>th</w:t>
      </w:r>
      <w:r>
        <w:rPr>
          <w:rFonts w:ascii="Arial" w:hAnsi="Arial" w:cs="Arial"/>
        </w:rPr>
        <w:t xml:space="preserve"> Research Week and International Conference. 22 – 24 September 2010, Egerton University, Kenya.</w:t>
      </w:r>
    </w:p>
    <w:p w14:paraId="041971C5">
      <w:pPr>
        <w:pStyle w:val="65"/>
        <w:numPr>
          <w:ilvl w:val="0"/>
          <w:numId w:val="2"/>
        </w:numPr>
        <w:shd w:val="clear" w:color="auto" w:fill="FFFFFF"/>
        <w:tabs>
          <w:tab w:val="left" w:pos="720"/>
        </w:tabs>
        <w:spacing w:after="0"/>
        <w:jc w:val="both"/>
        <w:rPr>
          <w:rFonts w:ascii="Arial" w:hAnsi="Arial" w:cs="Arial"/>
        </w:rPr>
      </w:pPr>
      <w:r>
        <w:rPr>
          <w:rFonts w:ascii="Arial" w:hAnsi="Arial" w:cs="Arial"/>
        </w:rPr>
        <w:t xml:space="preserve">Janssen J. Cammack K. Legako J. Cox R. Grubbs J. Underwood K. Hansen J. Kruse C. Blair A. Influence of Grain and Grass-Finishing Systems on Carcass Characteristics, Meat Quality, Nutritional Composition, and Consumer Sensory Attributes of Bison. </w:t>
      </w:r>
      <w:r>
        <w:rPr>
          <w:rFonts w:ascii="Arial" w:hAnsi="Arial" w:cs="Arial"/>
          <w:iCs/>
          <w:shd w:val="clear" w:color="auto" w:fill="FFFFFF"/>
        </w:rPr>
        <w:t xml:space="preserve">Foods, </w:t>
      </w:r>
      <w:r>
        <w:rPr>
          <w:rFonts w:ascii="Arial" w:hAnsi="Arial" w:cs="Arial"/>
        </w:rPr>
        <w:t>2021;</w:t>
      </w:r>
      <w:r>
        <w:rPr>
          <w:rFonts w:ascii="Arial" w:hAnsi="Arial" w:cs="Arial"/>
          <w:iCs/>
          <w:shd w:val="clear" w:color="auto" w:fill="FFFFFF"/>
        </w:rPr>
        <w:t>10(5), 1060</w:t>
      </w:r>
      <w:r>
        <w:rPr>
          <w:rFonts w:ascii="Arial" w:hAnsi="Arial" w:cs="Arial"/>
        </w:rPr>
        <w:t>. Available https://</w:t>
      </w:r>
      <w:r>
        <w:rPr>
          <w:rFonts w:ascii="Arial" w:hAnsi="Arial" w:cs="Arial"/>
          <w:shd w:val="clear" w:color="auto" w:fill="FFFFFF"/>
        </w:rPr>
        <w:t xml:space="preserve">doi:10.3390/foods10051060  </w:t>
      </w:r>
    </w:p>
    <w:p w14:paraId="27F1B331">
      <w:pPr>
        <w:pStyle w:val="65"/>
        <w:numPr>
          <w:ilvl w:val="0"/>
          <w:numId w:val="2"/>
        </w:numPr>
        <w:shd w:val="clear" w:color="auto" w:fill="FFFFFF"/>
        <w:spacing w:after="0"/>
        <w:jc w:val="both"/>
        <w:rPr>
          <w:rFonts w:ascii="Arial" w:hAnsi="Arial" w:cs="Arial"/>
        </w:rPr>
      </w:pPr>
      <w:r>
        <w:rPr>
          <w:rFonts w:ascii="Arial" w:hAnsi="Arial" w:cs="Arial"/>
          <w:lang w:val="it-IT"/>
        </w:rPr>
        <w:t xml:space="preserve">Menezes LFG. de Restle J, Brondani IL, Silveira MF. da Freitas L da S, Pizzuti LÂD. </w:t>
      </w:r>
      <w:r>
        <w:rPr>
          <w:rFonts w:ascii="Arial" w:hAnsi="Arial" w:cs="Arial"/>
        </w:rPr>
        <w:t>Carcass and meat characteristics from young Devon steers finished in different feeding systems. Revista Brasileira de Zootecnia, 2010:39(3), 667–676. Available https://doi:10.1590/s1516-35982010000300028 </w:t>
      </w:r>
    </w:p>
    <w:p w14:paraId="7E742275">
      <w:pPr>
        <w:pStyle w:val="65"/>
        <w:numPr>
          <w:ilvl w:val="0"/>
          <w:numId w:val="2"/>
        </w:numPr>
        <w:tabs>
          <w:tab w:val="left" w:pos="720"/>
        </w:tabs>
        <w:spacing w:after="0"/>
        <w:jc w:val="both"/>
        <w:rPr>
          <w:rFonts w:ascii="Arial" w:hAnsi="Arial" w:cs="Arial"/>
        </w:rPr>
      </w:pPr>
      <w:r>
        <w:rPr>
          <w:rFonts w:ascii="Arial" w:hAnsi="Arial" w:cs="Arial"/>
        </w:rPr>
        <w:t>McGee M, Keane MG, Neilan R, Moloney AP, Caffrey PJ. Body and carcass measurements, carcass conformation and tissue distribution of high dairy genetic merit Holstein, standard dairy genetic merit Friesian and Charolais Holstein-Friesian male cattle. Irish Journal of Agricultural and Food Research 2007:46, 129e147. Available https://www.jstor.org/stable/25564564</w:t>
      </w:r>
    </w:p>
    <w:p w14:paraId="22633E09">
      <w:pPr>
        <w:pStyle w:val="65"/>
        <w:numPr>
          <w:ilvl w:val="0"/>
          <w:numId w:val="2"/>
        </w:numPr>
        <w:tabs>
          <w:tab w:val="left" w:pos="720"/>
        </w:tabs>
        <w:spacing w:after="0"/>
        <w:jc w:val="both"/>
        <w:rPr>
          <w:rFonts w:ascii="Arial" w:hAnsi="Arial" w:cs="Arial"/>
        </w:rPr>
      </w:pPr>
      <w:r>
        <w:rPr>
          <w:rFonts w:ascii="Arial" w:hAnsi="Arial" w:cs="Arial"/>
        </w:rPr>
        <w:t>Musa AA,</w:t>
      </w:r>
      <w:r>
        <w:rPr>
          <w:rFonts w:ascii="Arial" w:hAnsi="Arial" w:cs="Arial"/>
        </w:rPr>
        <w:br w:type="textWrapping"/>
      </w:r>
      <w:r>
        <w:rPr>
          <w:rFonts w:ascii="Arial" w:hAnsi="Arial" w:cs="Arial"/>
        </w:rPr>
        <w:t>Mummed YY, Kurtu MY, Temesgen</w:t>
      </w:r>
      <w:r>
        <w:rPr>
          <w:rFonts w:ascii="Arial" w:hAnsi="Arial" w:cs="Arial"/>
        </w:rPr>
        <w:br w:type="textWrapping"/>
      </w:r>
      <w:r>
        <w:rPr>
          <w:rFonts w:ascii="Arial" w:hAnsi="Arial" w:cs="Arial"/>
        </w:rPr>
        <w:t>M, O’Quinn TG. Carcass and</w:t>
      </w:r>
      <w:r>
        <w:rPr>
          <w:rFonts w:ascii="Arial" w:hAnsi="Arial" w:cs="Arial"/>
        </w:rPr>
        <w:br w:type="textWrapping"/>
      </w:r>
      <w:r>
        <w:rPr>
          <w:rFonts w:ascii="Arial" w:hAnsi="Arial" w:cs="Arial"/>
        </w:rPr>
        <w:t>Meat Characteristics of Bulls from Arsi,</w:t>
      </w:r>
      <w:r>
        <w:rPr>
          <w:rFonts w:ascii="Arial" w:hAnsi="Arial" w:cs="Arial"/>
        </w:rPr>
        <w:br w:type="textWrapping"/>
      </w:r>
      <w:r>
        <w:rPr>
          <w:rFonts w:ascii="Arial" w:hAnsi="Arial" w:cs="Arial"/>
        </w:rPr>
        <w:t>Boran, Harar and Holstein Frisian Crosses</w:t>
      </w:r>
      <w:r>
        <w:rPr>
          <w:rFonts w:ascii="Arial" w:hAnsi="Arial" w:cs="Arial"/>
        </w:rPr>
        <w:br w:type="textWrapping"/>
      </w:r>
      <w:r>
        <w:rPr>
          <w:rFonts w:ascii="Arial" w:hAnsi="Arial" w:cs="Arial"/>
        </w:rPr>
        <w:t>Cattle Breeds Finished under Similar Level</w:t>
      </w:r>
      <w:r>
        <w:rPr>
          <w:rFonts w:ascii="Arial" w:hAnsi="Arial" w:cs="Arial"/>
        </w:rPr>
        <w:br w:type="textWrapping"/>
      </w:r>
      <w:r>
        <w:rPr>
          <w:rFonts w:ascii="Arial" w:hAnsi="Arial" w:cs="Arial"/>
        </w:rPr>
        <w:t>of Concentrate Supplementation. Open</w:t>
      </w:r>
      <w:r>
        <w:rPr>
          <w:rFonts w:ascii="Arial" w:hAnsi="Arial" w:cs="Arial"/>
        </w:rPr>
        <w:br w:type="textWrapping"/>
      </w:r>
      <w:r>
        <w:rPr>
          <w:rFonts w:ascii="Arial" w:hAnsi="Arial" w:cs="Arial"/>
        </w:rPr>
        <w:t>Journal of Animal Sciences, 2021:11, 11-30.</w:t>
      </w:r>
      <w:r>
        <w:rPr>
          <w:rFonts w:ascii="Arial" w:hAnsi="Arial" w:cs="Arial"/>
        </w:rPr>
        <w:br w:type="textWrapping"/>
      </w:r>
      <w:r>
        <w:rPr>
          <w:rFonts w:ascii="Arial" w:hAnsi="Arial" w:cs="Arial"/>
        </w:rPr>
        <w:t>https://doi.org/10.4236/ojas.2021.111002</w:t>
      </w:r>
    </w:p>
    <w:p w14:paraId="485AE388">
      <w:pPr>
        <w:pStyle w:val="65"/>
        <w:numPr>
          <w:ilvl w:val="0"/>
          <w:numId w:val="2"/>
        </w:numPr>
        <w:tabs>
          <w:tab w:val="left" w:pos="720"/>
        </w:tabs>
        <w:spacing w:after="0"/>
        <w:jc w:val="both"/>
        <w:rPr>
          <w:rFonts w:ascii="Arial" w:hAnsi="Arial" w:cs="Arial"/>
        </w:rPr>
      </w:pPr>
      <w:r>
        <w:rPr>
          <w:rFonts w:ascii="Arial" w:hAnsi="Arial" w:cs="Arial"/>
          <w:shd w:val="clear" w:color="auto" w:fill="FFFFFF"/>
          <w:lang w:val="it-IT"/>
        </w:rPr>
        <w:t>Paula Neto JJ. de Alexandrino E, Costa Junior WS. da Rezende JM. de Silva AAM and Melo JC. </w:t>
      </w:r>
      <w:r>
        <w:rPr>
          <w:rFonts w:ascii="Arial" w:hAnsi="Arial" w:cs="Arial"/>
          <w:iCs/>
          <w:shd w:val="clear" w:color="auto" w:fill="FFFFFF"/>
        </w:rPr>
        <w:t xml:space="preserve">Performance and carcass characteristics of feedlot-finished Zebu cattle in different feeding systems. Semina: Ciências Agrárias, </w:t>
      </w:r>
      <w:r>
        <w:rPr>
          <w:rFonts w:ascii="Arial" w:hAnsi="Arial" w:cs="Arial"/>
          <w:shd w:val="clear" w:color="auto" w:fill="FFFFFF"/>
        </w:rPr>
        <w:t>2018;</w:t>
      </w:r>
      <w:r>
        <w:rPr>
          <w:rFonts w:ascii="Arial" w:hAnsi="Arial" w:cs="Arial"/>
          <w:iCs/>
          <w:shd w:val="clear" w:color="auto" w:fill="FFFFFF"/>
        </w:rPr>
        <w:t>39(4, 1725.</w:t>
      </w:r>
      <w:r>
        <w:rPr>
          <w:rFonts w:ascii="Arial" w:hAnsi="Arial" w:cs="Arial"/>
          <w:shd w:val="clear" w:color="auto" w:fill="FFFFFF"/>
        </w:rPr>
        <w:t xml:space="preserve"> Available </w:t>
      </w:r>
      <w:r>
        <w:rPr>
          <w:rFonts w:ascii="Arial" w:hAnsi="Arial" w:cs="Arial"/>
        </w:rPr>
        <w:t>https://</w:t>
      </w:r>
      <w:r>
        <w:rPr>
          <w:rFonts w:ascii="Arial" w:hAnsi="Arial" w:cs="Arial"/>
          <w:shd w:val="clear" w:color="auto" w:fill="FFFFFF"/>
        </w:rPr>
        <w:t>doi:10.5433/1679-0359.2018v39n4p1725 </w:t>
      </w:r>
      <w:r>
        <w:rPr>
          <w:rFonts w:ascii="Arial" w:hAnsi="Arial" w:cs="Arial"/>
        </w:rPr>
        <w:t xml:space="preserve"> </w:t>
      </w:r>
    </w:p>
    <w:p w14:paraId="61D7AA27">
      <w:pPr>
        <w:pStyle w:val="65"/>
        <w:numPr>
          <w:ilvl w:val="0"/>
          <w:numId w:val="2"/>
        </w:numPr>
        <w:tabs>
          <w:tab w:val="left" w:pos="720"/>
        </w:tabs>
        <w:spacing w:after="0"/>
        <w:jc w:val="both"/>
        <w:rPr>
          <w:rFonts w:ascii="Arial" w:hAnsi="Arial" w:cs="Arial"/>
        </w:rPr>
      </w:pPr>
      <w:r>
        <w:rPr>
          <w:rFonts w:ascii="Arial" w:hAnsi="Arial" w:cs="Arial"/>
          <w:lang w:val="it-IT"/>
        </w:rPr>
        <w:t xml:space="preserve">González-Salazar E, Duarte-Vargas JH, Díaz-Avila V, Castañeda-Serrano RD. </w:t>
      </w:r>
      <w:r>
        <w:rPr>
          <w:rFonts w:ascii="Arial" w:hAnsi="Arial" w:cs="Arial"/>
        </w:rPr>
        <w:t xml:space="preserve">Animal performance and meat quality in feedlot cattle feeding with different levels of agricultural by-products. Rev MVZ Cordoba. 2021; 26(2):e1950. Available </w:t>
      </w:r>
      <w:r>
        <w:fldChar w:fldCharType="begin"/>
      </w:r>
      <w:r>
        <w:instrText xml:space="preserve"> HYPERLINK "https://doi.org/10.21897/rmvz.1950" </w:instrText>
      </w:r>
      <w:r>
        <w:fldChar w:fldCharType="separate"/>
      </w:r>
      <w:r>
        <w:rPr>
          <w:rFonts w:ascii="Arial" w:hAnsi="Arial" w:cs="Arial"/>
        </w:rPr>
        <w:t>https://doi.org/10.21897/rmvz.1950</w:t>
      </w:r>
      <w:r>
        <w:rPr>
          <w:rFonts w:ascii="Arial" w:hAnsi="Arial" w:cs="Arial"/>
        </w:rPr>
        <w:fldChar w:fldCharType="end"/>
      </w:r>
    </w:p>
    <w:p w14:paraId="73A0036E">
      <w:pPr>
        <w:pStyle w:val="65"/>
        <w:numPr>
          <w:ilvl w:val="0"/>
          <w:numId w:val="2"/>
        </w:numPr>
        <w:spacing w:after="0" w:line="240" w:lineRule="auto"/>
        <w:jc w:val="both"/>
        <w:rPr>
          <w:rFonts w:ascii="Arial" w:hAnsi="Arial" w:cs="Arial"/>
          <w:iCs/>
          <w:shd w:val="clear" w:color="auto" w:fill="FFFFFF"/>
        </w:rPr>
      </w:pPr>
      <w:r>
        <w:rPr>
          <w:rFonts w:ascii="Arial" w:hAnsi="Arial" w:cs="Arial"/>
          <w:iCs/>
          <w:shd w:val="clear" w:color="auto" w:fill="FFFFFF"/>
        </w:rPr>
        <w:t xml:space="preserve">María SC, Dario P, Gabriela G, and Gustavo A P. Feeding strategies and ageing time alter calpain system proteins activities and meat quality of Braford steers. </w:t>
      </w:r>
      <w:r>
        <w:fldChar w:fldCharType="begin"/>
      </w:r>
      <w:r>
        <w:instrText xml:space="preserve"> HYPERLINK "https://www.ncbi.nlm.nih.gov/pmc/articles/PMC8738954/" </w:instrText>
      </w:r>
      <w:r>
        <w:fldChar w:fldCharType="separate"/>
      </w:r>
      <w:r>
        <w:rPr>
          <w:rStyle w:val="16"/>
          <w:rFonts w:ascii="Arial" w:hAnsi="Arial" w:cs="Arial"/>
          <w:color w:val="auto"/>
          <w:u w:val="none"/>
        </w:rPr>
        <w:t>Anim Biosci.</w:t>
      </w:r>
      <w:r>
        <w:rPr>
          <w:rStyle w:val="16"/>
          <w:rFonts w:ascii="Arial" w:hAnsi="Arial" w:cs="Arial"/>
          <w:color w:val="auto"/>
          <w:u w:val="none"/>
        </w:rPr>
        <w:fldChar w:fldCharType="end"/>
      </w:r>
      <w:r>
        <w:rPr>
          <w:rFonts w:ascii="Arial" w:hAnsi="Arial" w:cs="Arial"/>
          <w:shd w:val="clear" w:color="auto" w:fill="FFFFFF"/>
        </w:rPr>
        <w:t> 2022 Feb; 35(2): 272–280.</w:t>
      </w:r>
      <w:r>
        <w:rPr>
          <w:rFonts w:ascii="Arial" w:hAnsi="Arial" w:cs="Arial"/>
          <w:iCs/>
          <w:shd w:val="clear" w:color="auto" w:fill="FFFFFF"/>
        </w:rPr>
        <w:t xml:space="preserve">  Available </w:t>
      </w:r>
      <w:r>
        <w:fldChar w:fldCharType="begin"/>
      </w:r>
      <w:r>
        <w:instrText xml:space="preserve"> HYPERLINK "https://doi.org/10.5713/ab.21.0227" </w:instrText>
      </w:r>
      <w:r>
        <w:fldChar w:fldCharType="separate"/>
      </w:r>
      <w:r>
        <w:rPr>
          <w:rFonts w:ascii="Arial" w:hAnsi="Arial" w:cs="Arial"/>
          <w:iCs/>
          <w:shd w:val="clear" w:color="auto" w:fill="FFFFFF"/>
        </w:rPr>
        <w:t>https://</w:t>
      </w:r>
      <w:r>
        <w:rPr>
          <w:rFonts w:ascii="Arial" w:hAnsi="Arial" w:cs="Arial"/>
          <w:shd w:val="clear" w:color="auto" w:fill="FFFFFF"/>
        </w:rPr>
        <w:t xml:space="preserve"> doi: </w:t>
      </w:r>
      <w:r>
        <w:rPr>
          <w:rFonts w:ascii="Arial" w:hAnsi="Arial" w:cs="Arial"/>
          <w:iCs/>
          <w:shd w:val="clear" w:color="auto" w:fill="FFFFFF"/>
        </w:rPr>
        <w:t xml:space="preserve"> </w:t>
      </w:r>
      <w:r>
        <w:rPr>
          <w:rFonts w:ascii="Arial" w:hAnsi="Arial" w:cs="Arial"/>
          <w:iCs/>
          <w:shd w:val="clear" w:color="auto" w:fill="FFFFFF"/>
        </w:rPr>
        <w:fldChar w:fldCharType="end"/>
      </w:r>
    </w:p>
    <w:p w14:paraId="5CB08FB7">
      <w:pPr>
        <w:pStyle w:val="65"/>
        <w:numPr>
          <w:ilvl w:val="0"/>
          <w:numId w:val="2"/>
        </w:numPr>
        <w:shd w:val="clear" w:color="auto" w:fill="FFFFFF"/>
        <w:tabs>
          <w:tab w:val="left" w:pos="720"/>
        </w:tabs>
        <w:spacing w:after="0"/>
        <w:jc w:val="both"/>
        <w:rPr>
          <w:rFonts w:ascii="Arial" w:hAnsi="Arial" w:cs="Arial"/>
        </w:rPr>
      </w:pPr>
      <w:r>
        <w:rPr>
          <w:rFonts w:ascii="Arial" w:hAnsi="Arial" w:cs="Arial"/>
          <w:shd w:val="clear" w:color="auto" w:fill="FFFFFF"/>
        </w:rPr>
        <w:t xml:space="preserve">Fan Y, Han Z, Arbab AAI, Yang Y, and Yang Z. </w:t>
      </w:r>
      <w:r>
        <w:rPr>
          <w:rFonts w:ascii="Arial" w:hAnsi="Arial" w:cs="Arial"/>
          <w:iCs/>
          <w:shd w:val="clear" w:color="auto" w:fill="FFFFFF"/>
        </w:rPr>
        <w:t xml:space="preserve">Effect of Aging Time on Meat Quality of Longissimus Dorsi from Yunling Cattle: A New Hybrid Beef Cattle. Animals, </w:t>
      </w:r>
      <w:r>
        <w:rPr>
          <w:rFonts w:ascii="Arial" w:hAnsi="Arial" w:cs="Arial"/>
          <w:shd w:val="clear" w:color="auto" w:fill="FFFFFF"/>
        </w:rPr>
        <w:t>(2020):</w:t>
      </w:r>
      <w:r>
        <w:rPr>
          <w:rFonts w:ascii="Arial" w:hAnsi="Arial" w:cs="Arial"/>
          <w:iCs/>
          <w:shd w:val="clear" w:color="auto" w:fill="FFFFFF"/>
        </w:rPr>
        <w:t>10(10), 1897.</w:t>
      </w:r>
      <w:r>
        <w:rPr>
          <w:rFonts w:ascii="Arial" w:hAnsi="Arial" w:cs="Arial"/>
          <w:shd w:val="clear" w:color="auto" w:fill="FFFFFF"/>
        </w:rPr>
        <w:t> Available https://doi:10.3390/ani10101897 </w:t>
      </w:r>
    </w:p>
    <w:p w14:paraId="572C86B2">
      <w:pPr>
        <w:pStyle w:val="65"/>
        <w:numPr>
          <w:ilvl w:val="0"/>
          <w:numId w:val="2"/>
        </w:numPr>
        <w:tabs>
          <w:tab w:val="left" w:pos="720"/>
        </w:tabs>
        <w:spacing w:after="0"/>
        <w:jc w:val="both"/>
        <w:rPr>
          <w:rFonts w:ascii="Arial" w:hAnsi="Arial" w:cs="Arial"/>
        </w:rPr>
      </w:pPr>
      <w:r>
        <w:rPr>
          <w:rFonts w:ascii="Arial" w:hAnsi="Arial" w:cs="Arial"/>
          <w:lang w:val="it-IT"/>
        </w:rPr>
        <w:t xml:space="preserve">Mushi DE, Safari J, Mtenga LA, Kifaro GC and Eik LO. </w:t>
      </w:r>
      <w:r>
        <w:rPr>
          <w:rFonts w:ascii="Arial" w:hAnsi="Arial" w:cs="Arial"/>
        </w:rPr>
        <w:t>Effects of concentrate levels on fattening performance, carcass and meat quality attributes of Small East African</w:t>
      </w:r>
      <w:r>
        <w:rPr>
          <w:rFonts w:ascii="Arial" w:hAnsi="Arial" w:cs="Arial"/>
        </w:rPr>
        <w:sym w:font="Symbol" w:char="F0B4"/>
      </w:r>
      <w:r>
        <w:rPr>
          <w:rFonts w:ascii="Arial" w:hAnsi="Arial" w:cs="Arial"/>
        </w:rPr>
        <w:t xml:space="preserve"> Norwegian crossbred goats fed low-quality grass hay. Livest. Sci. 2009:124:148-155. Available </w:t>
      </w:r>
      <w:r>
        <w:fldChar w:fldCharType="begin"/>
      </w:r>
      <w:r>
        <w:instrText xml:space="preserve"> HYPERLINK "https://doi:10.1016/j.livsci.2009.01.012" </w:instrText>
      </w:r>
      <w:r>
        <w:fldChar w:fldCharType="separate"/>
      </w:r>
      <w:r>
        <w:rPr>
          <w:rStyle w:val="16"/>
          <w:rFonts w:ascii="Arial" w:hAnsi="Arial" w:cs="Arial"/>
          <w:color w:val="auto"/>
          <w:u w:val="none"/>
        </w:rPr>
        <w:t>https://doi:10.1016/j.livsci.2009.01.012</w:t>
      </w:r>
      <w:r>
        <w:rPr>
          <w:rStyle w:val="16"/>
          <w:rFonts w:ascii="Arial" w:hAnsi="Arial" w:cs="Arial"/>
          <w:color w:val="auto"/>
          <w:u w:val="none"/>
        </w:rPr>
        <w:fldChar w:fldCharType="end"/>
      </w:r>
      <w:r>
        <w:rPr>
          <w:rFonts w:ascii="Arial" w:hAnsi="Arial" w:cs="Arial"/>
        </w:rPr>
        <w:t xml:space="preserve"> </w:t>
      </w:r>
    </w:p>
    <w:p w14:paraId="4152B6EA">
      <w:pPr>
        <w:pStyle w:val="65"/>
        <w:numPr>
          <w:ilvl w:val="0"/>
          <w:numId w:val="2"/>
        </w:numPr>
        <w:tabs>
          <w:tab w:val="left" w:pos="720"/>
        </w:tabs>
        <w:spacing w:after="0"/>
        <w:jc w:val="both"/>
        <w:rPr>
          <w:rFonts w:ascii="Arial" w:hAnsi="Arial" w:cs="Arial"/>
        </w:rPr>
      </w:pPr>
      <w:bookmarkStart w:id="3" w:name="_Hlk181358481"/>
      <w:r>
        <w:rPr>
          <w:rFonts w:ascii="Arial" w:hAnsi="Arial" w:cs="Arial"/>
        </w:rPr>
        <w:t>Kim</w:t>
      </w:r>
      <w:bookmarkEnd w:id="3"/>
      <w:r>
        <w:rPr>
          <w:rFonts w:ascii="Arial" w:hAnsi="Arial" w:cs="Arial"/>
        </w:rPr>
        <w:t xml:space="preserve"> YHB, Ma D, Setyabrata D, Farouk MM, Lonergan SM, Huff-Lonergan E, et al. Understanding postmortem biochemical processes and post-harvest aging factors to develop novel smart-aging strategies. Meat Sci. 2018; 144:74-90. https://doi.org/10.1016/ j.meatsci.2018.04.031</w:t>
      </w:r>
    </w:p>
    <w:p w14:paraId="7C8649F3">
      <w:pPr>
        <w:pStyle w:val="65"/>
        <w:numPr>
          <w:ilvl w:val="0"/>
          <w:numId w:val="2"/>
        </w:numPr>
        <w:tabs>
          <w:tab w:val="left" w:pos="720"/>
        </w:tabs>
        <w:spacing w:after="0"/>
        <w:jc w:val="both"/>
        <w:rPr>
          <w:rFonts w:ascii="Arial" w:hAnsi="Arial" w:cs="Arial"/>
        </w:rPr>
      </w:pPr>
      <w:r>
        <w:rPr>
          <w:rFonts w:ascii="Arial" w:hAnsi="Arial" w:cs="Arial"/>
        </w:rPr>
        <w:t>Bhat ZF, Morton JD, Mason SL, and Bekhit AEDA. Role of Calpain System in Meat Tenderness: A Review. Food Science and Human</w:t>
      </w:r>
      <w:r>
        <w:rPr>
          <w:rFonts w:ascii="Arial" w:hAnsi="Arial" w:cs="Arial"/>
          <w:iCs/>
          <w:shd w:val="clear" w:color="auto" w:fill="FFFFFF"/>
        </w:rPr>
        <w:t xml:space="preserve"> Wellness </w:t>
      </w:r>
      <w:r>
        <w:rPr>
          <w:rFonts w:ascii="Arial" w:hAnsi="Arial" w:cs="Arial"/>
          <w:shd w:val="clear" w:color="auto" w:fill="FFFFFF"/>
        </w:rPr>
        <w:t>2018: 7 (3) 196-204</w:t>
      </w:r>
      <w:r>
        <w:rPr>
          <w:rFonts w:ascii="Arial" w:hAnsi="Arial" w:cs="Arial"/>
          <w:iCs/>
          <w:shd w:val="clear" w:color="auto" w:fill="FFFFFF"/>
        </w:rPr>
        <w:t>.</w:t>
      </w:r>
      <w:r>
        <w:rPr>
          <w:rFonts w:ascii="Arial" w:hAnsi="Arial" w:cs="Arial"/>
          <w:shd w:val="clear" w:color="auto" w:fill="FFFFFF"/>
        </w:rPr>
        <w:t> Available https://doi:10.1016/j.fshw.2018.08.002</w:t>
      </w:r>
    </w:p>
    <w:p w14:paraId="46CFF3C0">
      <w:pPr>
        <w:pStyle w:val="65"/>
        <w:numPr>
          <w:ilvl w:val="0"/>
          <w:numId w:val="2"/>
        </w:numPr>
        <w:tabs>
          <w:tab w:val="left" w:pos="720"/>
        </w:tabs>
        <w:spacing w:after="0"/>
        <w:jc w:val="both"/>
        <w:rPr>
          <w:rFonts w:ascii="Arial" w:hAnsi="Arial" w:cs="Arial"/>
        </w:rPr>
      </w:pPr>
      <w:r>
        <w:rPr>
          <w:rFonts w:ascii="Arial" w:hAnsi="Arial" w:cs="Arial"/>
        </w:rPr>
        <w:t xml:space="preserve">Christensen S, and Purslow PP. The role of matrix metalloproteinases in muscle and adipose tissue development and meat quality: a review. Meat Sci. 2016.119: 138–146. Available https://doi:10.1016/ j.meatsci.2016.04.025. </w:t>
      </w:r>
    </w:p>
    <w:p w14:paraId="32C6EBFC">
      <w:pPr>
        <w:pStyle w:val="65"/>
        <w:numPr>
          <w:ilvl w:val="0"/>
          <w:numId w:val="2"/>
        </w:numPr>
        <w:tabs>
          <w:tab w:val="left" w:pos="720"/>
        </w:tabs>
        <w:spacing w:after="0"/>
        <w:jc w:val="both"/>
        <w:rPr>
          <w:rStyle w:val="66"/>
          <w:rFonts w:ascii="Arial" w:hAnsi="Arial" w:cs="Arial"/>
        </w:rPr>
      </w:pPr>
      <w:r>
        <w:rPr>
          <w:rFonts w:ascii="Arial" w:hAnsi="Arial" w:cs="Arial"/>
        </w:rPr>
        <w:t xml:space="preserve">Robbins K, Jensen J, Ryan KJ, Homcoryan C, Mckeith FK. and Brewer, MS. Consumer attitudes towards beef and acceptability of enhanced beef. Meat Science, 2003:(65): 721–729. Available </w:t>
      </w:r>
      <w:r>
        <w:fldChar w:fldCharType="begin"/>
      </w:r>
      <w:r>
        <w:instrText xml:space="preserve"> HYPERLINK "https://doi.org/10.1016/S0309-1740(02)00274-7" \t "_blank" \o "Persistent link using digital object identifier" </w:instrText>
      </w:r>
      <w:r>
        <w:fldChar w:fldCharType="separate"/>
      </w:r>
      <w:r>
        <w:rPr>
          <w:rStyle w:val="66"/>
          <w:rFonts w:ascii="Arial" w:hAnsi="Arial" w:cs="Arial"/>
        </w:rPr>
        <w:t>https://doi.org/10.1016/S0309-1740(02)00274-7</w:t>
      </w:r>
      <w:r>
        <w:rPr>
          <w:rStyle w:val="66"/>
          <w:rFonts w:ascii="Arial" w:hAnsi="Arial" w:cs="Arial"/>
        </w:rPr>
        <w:fldChar w:fldCharType="end"/>
      </w:r>
    </w:p>
    <w:p w14:paraId="1457F738">
      <w:pPr>
        <w:pStyle w:val="65"/>
        <w:numPr>
          <w:ilvl w:val="0"/>
          <w:numId w:val="2"/>
        </w:numPr>
        <w:tabs>
          <w:tab w:val="left" w:pos="720"/>
        </w:tabs>
        <w:spacing w:after="0"/>
        <w:jc w:val="both"/>
        <w:rPr>
          <w:rFonts w:ascii="Arial" w:hAnsi="Arial" w:cs="Arial"/>
        </w:rPr>
      </w:pPr>
      <w:r>
        <w:rPr>
          <w:rFonts w:ascii="Arial" w:hAnsi="Arial" w:cs="Arial"/>
        </w:rPr>
        <w:t xml:space="preserve">Archile-Contreras AC, Mandell IB, Purslow PP.  Disparity of dietary effects on collagen characteristics and toughness between two beef muscles. </w:t>
      </w:r>
      <w:r>
        <w:rPr>
          <w:rFonts w:ascii="Arial" w:hAnsi="Arial" w:cs="Arial"/>
          <w:i/>
          <w:iCs/>
          <w:shd w:val="clear" w:color="auto" w:fill="FFFFFF"/>
        </w:rPr>
        <w:t>Meat Science, 86(2), 491–497.</w:t>
      </w:r>
      <w:r>
        <w:rPr>
          <w:rFonts w:ascii="Arial" w:hAnsi="Arial" w:cs="Arial"/>
          <w:shd w:val="clear" w:color="auto" w:fill="FFFFFF"/>
        </w:rPr>
        <w:t> Available https://doi:10.1016/j.meatsci.2010.05.041</w:t>
      </w:r>
    </w:p>
    <w:p w14:paraId="0DB3DC90">
      <w:pPr>
        <w:pStyle w:val="65"/>
        <w:numPr>
          <w:ilvl w:val="0"/>
          <w:numId w:val="2"/>
        </w:numPr>
        <w:tabs>
          <w:tab w:val="left" w:pos="720"/>
        </w:tabs>
        <w:spacing w:after="0" w:line="240" w:lineRule="auto"/>
        <w:jc w:val="both"/>
        <w:rPr>
          <w:rFonts w:ascii="Arial" w:hAnsi="Arial" w:cs="Arial"/>
        </w:rPr>
      </w:pPr>
      <w:r>
        <w:rPr>
          <w:rFonts w:ascii="Arial" w:hAnsi="Arial" w:cs="Arial"/>
        </w:rPr>
        <w:t xml:space="preserve">McGee M, Regan M, Moloney AP, O'Riordan EG, Lenehan C, Kelly AK, Crosson P. Grass-based finishing of early and late-maturing breed bulls within suckler beef systems: Performance, profitability, greenhouse gas emissions and feed-food competition, Livestock Science, 2024;(279)105392 Available </w:t>
      </w:r>
      <w:r>
        <w:fldChar w:fldCharType="begin"/>
      </w:r>
      <w:r>
        <w:instrText xml:space="preserve"> HYPERLINK "https://doi.org/10.1016/j.livsci.2023.105392" </w:instrText>
      </w:r>
      <w:r>
        <w:fldChar w:fldCharType="separate"/>
      </w:r>
      <w:r>
        <w:rPr>
          <w:rFonts w:ascii="Arial" w:hAnsi="Arial" w:cs="Arial"/>
        </w:rPr>
        <w:t>https://doi.org/10.1016/j.livsci.2023.105392</w:t>
      </w:r>
      <w:r>
        <w:rPr>
          <w:rFonts w:ascii="Arial" w:hAnsi="Arial" w:cs="Arial"/>
        </w:rPr>
        <w:fldChar w:fldCharType="end"/>
      </w:r>
      <w:r>
        <w:rPr>
          <w:rFonts w:ascii="Arial" w:hAnsi="Arial" w:cs="Arial"/>
        </w:rPr>
        <w:t>.</w:t>
      </w:r>
    </w:p>
    <w:p w14:paraId="48214326">
      <w:pPr>
        <w:pStyle w:val="65"/>
        <w:numPr>
          <w:ilvl w:val="0"/>
          <w:numId w:val="2"/>
        </w:numPr>
        <w:spacing w:after="0" w:line="240" w:lineRule="auto"/>
        <w:jc w:val="both"/>
        <w:rPr>
          <w:rFonts w:ascii="Arial" w:hAnsi="Arial" w:cs="Arial"/>
        </w:rPr>
      </w:pPr>
      <w:r>
        <w:rPr>
          <w:rFonts w:ascii="Arial" w:hAnsi="Arial" w:cs="Arial"/>
        </w:rPr>
        <w:t xml:space="preserve">Atsbha K, Gebremariam T, Aregawi T. Slaughter performance and meat quality of Begait breed lambs fattened under different diets. Heliyon 7 (2021) e06935. Available </w:t>
      </w:r>
      <w:r>
        <w:fldChar w:fldCharType="begin"/>
      </w:r>
      <w:r>
        <w:instrText xml:space="preserve"> HYPERLINK "https://doi.org/10.1016/j.heliyon.2021.e06935" </w:instrText>
      </w:r>
      <w:r>
        <w:fldChar w:fldCharType="separate"/>
      </w:r>
      <w:r>
        <w:rPr>
          <w:rStyle w:val="16"/>
          <w:rFonts w:ascii="Arial" w:hAnsi="Arial" w:cs="Arial"/>
          <w:color w:val="auto"/>
          <w:u w:val="none"/>
        </w:rPr>
        <w:t>https://doi.org/10.1016/j.heliyon.2021.e06935</w:t>
      </w:r>
      <w:r>
        <w:rPr>
          <w:rStyle w:val="16"/>
          <w:rFonts w:ascii="Arial" w:hAnsi="Arial" w:cs="Arial"/>
          <w:color w:val="auto"/>
          <w:u w:val="none"/>
        </w:rPr>
        <w:fldChar w:fldCharType="end"/>
      </w:r>
    </w:p>
    <w:p w14:paraId="3F19E38B">
      <w:pPr>
        <w:pStyle w:val="65"/>
        <w:numPr>
          <w:ilvl w:val="0"/>
          <w:numId w:val="2"/>
        </w:numPr>
        <w:shd w:val="clear" w:color="auto" w:fill="FFFFFF"/>
        <w:tabs>
          <w:tab w:val="left" w:pos="720"/>
        </w:tabs>
        <w:spacing w:after="0"/>
        <w:jc w:val="both"/>
        <w:rPr>
          <w:rFonts w:ascii="Arial" w:hAnsi="Arial" w:cs="Arial"/>
        </w:rPr>
      </w:pPr>
      <w:r>
        <w:rPr>
          <w:rFonts w:ascii="Arial" w:hAnsi="Arial" w:cs="Arial"/>
        </w:rPr>
        <w:t xml:space="preserve">Jakobsen M, Bertelson G. Colour stability and lipid oxidation of fresh beef. Development of a response surface model for predicting the effects of temperature, storage time, and modified atmosphere composition. Meat Sci 2000; 54, 49-57. Available </w:t>
      </w:r>
      <w:r>
        <w:fldChar w:fldCharType="begin"/>
      </w:r>
      <w:r>
        <w:instrText xml:space="preserve"> HYPERLINK "https://doi.org/10.1016/S0309-1740(99)00069-8" \t "_blank" \o "Persistent link using digital object identifier" </w:instrText>
      </w:r>
      <w:r>
        <w:fldChar w:fldCharType="separate"/>
      </w:r>
      <w:r>
        <w:rPr>
          <w:rStyle w:val="66"/>
          <w:rFonts w:ascii="Arial" w:hAnsi="Arial" w:cs="Arial"/>
        </w:rPr>
        <w:t>https://doi.org/10.1016/S0309-1740(99)00069-8</w:t>
      </w:r>
      <w:r>
        <w:rPr>
          <w:rStyle w:val="66"/>
          <w:rFonts w:ascii="Arial" w:hAnsi="Arial" w:cs="Arial"/>
        </w:rPr>
        <w:fldChar w:fldCharType="end"/>
      </w:r>
    </w:p>
    <w:p w14:paraId="5F3B240F">
      <w:pPr>
        <w:pStyle w:val="65"/>
        <w:numPr>
          <w:ilvl w:val="0"/>
          <w:numId w:val="2"/>
        </w:numPr>
        <w:tabs>
          <w:tab w:val="left" w:pos="720"/>
        </w:tabs>
        <w:spacing w:after="0"/>
        <w:jc w:val="both"/>
        <w:rPr>
          <w:rFonts w:ascii="Arial" w:hAnsi="Arial" w:cs="Arial"/>
        </w:rPr>
      </w:pPr>
      <w:r>
        <w:rPr>
          <w:rFonts w:ascii="Arial" w:hAnsi="Arial" w:cs="Arial"/>
        </w:rPr>
        <w:t>Gašperlin L, Žlender B, Abram V. Colour of normal and high pH beef heated to different temperatures as related to oxygenation. Meat Science, 2000: 54(4), 391–398. Available https://doi:10.1016/s0309-1740(99)00115-1 </w:t>
      </w:r>
    </w:p>
    <w:p w14:paraId="12B6A910">
      <w:pPr>
        <w:pStyle w:val="65"/>
        <w:numPr>
          <w:ilvl w:val="0"/>
          <w:numId w:val="2"/>
        </w:numPr>
        <w:tabs>
          <w:tab w:val="left" w:pos="720"/>
        </w:tabs>
        <w:spacing w:after="0"/>
        <w:jc w:val="both"/>
        <w:rPr>
          <w:rFonts w:ascii="Arial" w:hAnsi="Arial" w:cs="Arial"/>
        </w:rPr>
      </w:pPr>
      <w:r>
        <w:rPr>
          <w:rFonts w:ascii="Arial" w:hAnsi="Arial" w:cs="Arial"/>
          <w:lang w:val="it-IT"/>
        </w:rPr>
        <w:t xml:space="preserve">Torrecilhas JA, Neto ORM, Ornaghi MG, San Vito E, Lima LO, Simioni TA, Berchielli TT. 364. </w:t>
      </w:r>
      <w:r>
        <w:rPr>
          <w:rFonts w:ascii="Arial" w:hAnsi="Arial" w:cs="Arial"/>
        </w:rPr>
        <w:t xml:space="preserve">Effect of breed and finishing system on meat quality from beef cattle. Journal of Animal Science, 2017: 95(suppl_4), 180–180. Available </w:t>
      </w:r>
      <w:r>
        <w:fldChar w:fldCharType="begin"/>
      </w:r>
      <w:r>
        <w:instrText xml:space="preserve"> HYPERLINK "https://doi:10.2527/asasann.2017.364" </w:instrText>
      </w:r>
      <w:r>
        <w:fldChar w:fldCharType="separate"/>
      </w:r>
      <w:r>
        <w:rPr>
          <w:rStyle w:val="16"/>
          <w:rFonts w:ascii="Arial" w:hAnsi="Arial" w:cs="Arial"/>
          <w:color w:val="auto"/>
          <w:u w:val="none"/>
        </w:rPr>
        <w:t>https://doi:10.2527/asasann.2017.364</w:t>
      </w:r>
      <w:r>
        <w:rPr>
          <w:rStyle w:val="16"/>
          <w:rFonts w:ascii="Arial" w:hAnsi="Arial" w:cs="Arial"/>
          <w:color w:val="auto"/>
          <w:u w:val="none"/>
        </w:rPr>
        <w:fldChar w:fldCharType="end"/>
      </w:r>
    </w:p>
    <w:p w14:paraId="6DB655E0">
      <w:pPr>
        <w:tabs>
          <w:tab w:val="left" w:pos="720"/>
        </w:tabs>
        <w:jc w:val="both"/>
        <w:rPr>
          <w:rFonts w:ascii="Arial" w:hAnsi="Arial" w:cs="Arial"/>
        </w:rPr>
      </w:pPr>
    </w:p>
    <w:sectPr>
      <w:type w:val="continuous"/>
      <w:pgSz w:w="12240" w:h="15840"/>
      <w:pgMar w:top="1440" w:right="2016" w:bottom="2016" w:left="2016" w:header="720" w:footer="1123"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YAKOB LORATO" w:date="2025-02-24T17:37:54Z" w:initials="">
    <w:p w14:paraId="6514F637">
      <w:pPr>
        <w:keepNext w:val="0"/>
        <w:keepLines w:val="0"/>
        <w:widowControl/>
        <w:suppressLineNumbers w:val="0"/>
        <w:jc w:val="left"/>
      </w:pPr>
      <w:r>
        <w:rPr>
          <w:rFonts w:ascii="SimSun" w:hAnsi="SimSun" w:eastAsia="SimSun" w:cs="SimSun"/>
          <w:kern w:val="0"/>
          <w:sz w:val="24"/>
          <w:szCs w:val="24"/>
          <w:lang w:val="en-US" w:eastAsia="zh-CN" w:bidi="ar"/>
        </w:rPr>
        <w:t xml:space="preserve">The study's main components, such as its goals, methods, findings, and conclusions, are succinctly outlined in the abstract. </w:t>
      </w:r>
    </w:p>
    <w:p w14:paraId="1471BA1F">
      <w:pPr>
        <w:pStyle w:val="10"/>
      </w:pPr>
    </w:p>
  </w:comment>
  <w:comment w:id="1" w:author="YAKOB LORATO" w:date="2025-02-24T18:11:21Z" w:initials="">
    <w:p w14:paraId="00AF4B12">
      <w:pPr>
        <w:keepNext w:val="0"/>
        <w:keepLines w:val="0"/>
        <w:widowControl/>
        <w:suppressLineNumbers w:val="0"/>
        <w:jc w:val="left"/>
      </w:pPr>
      <w:r>
        <w:rPr>
          <w:rFonts w:ascii="SimSun" w:hAnsi="SimSun" w:eastAsia="SimSun" w:cs="SimSun"/>
          <w:kern w:val="0"/>
          <w:sz w:val="24"/>
          <w:szCs w:val="24"/>
          <w:lang w:val="en-US" w:eastAsia="zh-CN" w:bidi="ar"/>
        </w:rPr>
        <w:t>While the introduction gives a good overview of the significance of carcass composition and meat quality</w:t>
      </w:r>
      <w:r>
        <w:rPr>
          <w:rFonts w:hint="default" w:ascii="SimSun" w:hAnsi="SimSun" w:eastAsia="SimSun" w:cs="SimSun"/>
          <w:kern w:val="0"/>
          <w:sz w:val="24"/>
          <w:szCs w:val="24"/>
          <w:lang w:val="en-US" w:eastAsia="zh-CN" w:bidi="ar"/>
        </w:rPr>
        <w:t xml:space="preserve">, research gaps </w:t>
      </w:r>
      <w:r>
        <w:rPr>
          <w:rFonts w:ascii="SimSun" w:hAnsi="SimSun" w:eastAsia="SimSun" w:cs="SimSun"/>
          <w:kern w:val="0"/>
          <w:sz w:val="24"/>
          <w:szCs w:val="24"/>
          <w:lang w:val="en-US" w:eastAsia="zh-CN" w:bidi="ar"/>
        </w:rPr>
        <w:t xml:space="preserve"> in livestock production, it would be helpful to include more background information about the Boran breed, such as its </w:t>
      </w:r>
      <w:r>
        <w:rPr>
          <w:rFonts w:hint="default" w:ascii="SimSun" w:hAnsi="SimSun" w:eastAsia="SimSun" w:cs="SimSun"/>
          <w:kern w:val="0"/>
          <w:sz w:val="24"/>
          <w:szCs w:val="24"/>
          <w:lang w:val="en-US" w:eastAsia="zh-CN" w:bidi="ar"/>
        </w:rPr>
        <w:t>native traits, agro-ecological effect, and</w:t>
      </w:r>
      <w:r>
        <w:rPr>
          <w:rFonts w:ascii="SimSun" w:hAnsi="SimSun" w:eastAsia="SimSun" w:cs="SimSun"/>
          <w:kern w:val="0"/>
          <w:sz w:val="24"/>
          <w:szCs w:val="24"/>
          <w:lang w:val="en-US" w:eastAsia="zh-CN" w:bidi="ar"/>
        </w:rPr>
        <w:t xml:space="preserve"> earlier research</w:t>
      </w:r>
      <w:r>
        <w:rPr>
          <w:rFonts w:hint="default" w:ascii="SimSun" w:hAnsi="SimSun" w:eastAsia="SimSun" w:cs="SimSun"/>
          <w:kern w:val="0"/>
          <w:sz w:val="24"/>
          <w:szCs w:val="24"/>
          <w:lang w:val="en-US" w:eastAsia="zh-CN" w:bidi="ar"/>
        </w:rPr>
        <w:t xml:space="preserve"> finding</w:t>
      </w:r>
      <w:bookmarkStart w:id="4" w:name="_GoBack"/>
      <w:bookmarkEnd w:id="4"/>
      <w:r>
        <w:rPr>
          <w:rFonts w:ascii="SimSun" w:hAnsi="SimSun" w:eastAsia="SimSun" w:cs="SimSun"/>
          <w:kern w:val="0"/>
          <w:sz w:val="24"/>
          <w:szCs w:val="24"/>
          <w:lang w:val="en-US" w:eastAsia="zh-CN" w:bidi="ar"/>
        </w:rPr>
        <w:t xml:space="preserve"> on Boran crossbreds.</w:t>
      </w:r>
    </w:p>
    <w:p w14:paraId="16B7D072">
      <w:pPr>
        <w:pStyle w:val="10"/>
      </w:pPr>
    </w:p>
  </w:comment>
  <w:comment w:id="2" w:author="YAKOB LORATO" w:date="2025-02-24T18:04:20Z" w:initials="">
    <w:p w14:paraId="21A67066">
      <w:pPr>
        <w:keepNext w:val="0"/>
        <w:keepLines w:val="0"/>
        <w:widowControl/>
        <w:suppressLineNumbers w:val="0"/>
        <w:jc w:val="left"/>
      </w:pPr>
      <w:r>
        <w:rPr>
          <w:rFonts w:ascii="SimSun" w:hAnsi="SimSun" w:eastAsia="SimSun" w:cs="SimSun"/>
          <w:kern w:val="0"/>
          <w:sz w:val="24"/>
          <w:szCs w:val="24"/>
          <w:lang w:val="en-US" w:eastAsia="zh-CN" w:bidi="ar"/>
        </w:rPr>
        <w:t>the results are presented adequately overall, the text might benefit from a more thorough explanation of the data representation in the tables and figures</w:t>
      </w:r>
      <w:r>
        <w:rPr>
          <w:rFonts w:hint="default" w:ascii="SimSun" w:hAnsi="SimSun" w:eastAsia="SimSun" w:cs="SimSun"/>
          <w:kern w:val="0"/>
          <w:sz w:val="24"/>
          <w:szCs w:val="24"/>
          <w:lang w:val="en-US" w:eastAsia="zh-CN" w:bidi="ar"/>
        </w:rPr>
        <w:t xml:space="preserve"> with other articles</w:t>
      </w:r>
      <w:r>
        <w:rPr>
          <w:rFonts w:ascii="SimSun" w:hAnsi="SimSun" w:eastAsia="SimSun" w:cs="SimSun"/>
          <w:kern w:val="0"/>
          <w:sz w:val="24"/>
          <w:szCs w:val="24"/>
          <w:lang w:val="en-US" w:eastAsia="zh-CN" w:bidi="ar"/>
        </w:rPr>
        <w:t>.</w:t>
      </w:r>
    </w:p>
    <w:p w14:paraId="0758D5FF">
      <w:pPr>
        <w:pStyle w:val="10"/>
      </w:pPr>
    </w:p>
  </w:comment>
  <w:comment w:id="3" w:author="YAKOB LORATO" w:date="2025-02-24T18:05:21Z" w:initials="">
    <w:p w14:paraId="1C7D0C4E">
      <w:pPr>
        <w:pStyle w:val="10"/>
        <w:rPr>
          <w:rFonts w:hint="default" w:ascii="Times New Roman" w:hAnsi="Times New Roman" w:cs="Times New Roman"/>
          <w:b w:val="0"/>
          <w:bCs w:val="0"/>
          <w:sz w:val="22"/>
          <w:szCs w:val="22"/>
          <w:lang w:val="en-US"/>
        </w:rPr>
      </w:pPr>
      <w:r>
        <w:rPr>
          <w:rFonts w:hint="default" w:ascii="Times New Roman" w:hAnsi="Times New Roman" w:eastAsia="SimSun" w:cs="Times New Roman"/>
          <w:b w:val="0"/>
          <w:bCs w:val="0"/>
          <w:sz w:val="22"/>
          <w:szCs w:val="22"/>
        </w:rPr>
        <w:t xml:space="preserve">detailed </w:t>
      </w:r>
      <w:r>
        <w:rPr>
          <w:rFonts w:hint="default" w:ascii="Times New Roman" w:hAnsi="Times New Roman" w:eastAsia="SimSun" w:cs="Times New Roman"/>
          <w:b w:val="0"/>
          <w:bCs w:val="0"/>
          <w:sz w:val="22"/>
          <w:szCs w:val="22"/>
          <w:lang w:val="en-US"/>
        </w:rPr>
        <w:t xml:space="preserve">discussion and </w:t>
      </w:r>
      <w:r>
        <w:rPr>
          <w:rFonts w:hint="default" w:ascii="Times New Roman" w:hAnsi="Times New Roman" w:eastAsia="SimSun" w:cs="Times New Roman"/>
          <w:b w:val="0"/>
          <w:bCs w:val="0"/>
          <w:sz w:val="22"/>
          <w:szCs w:val="22"/>
        </w:rPr>
        <w:t>breakdown</w:t>
      </w:r>
      <w:r>
        <w:rPr>
          <w:rFonts w:hint="default" w:ascii="Times New Roman" w:hAnsi="Times New Roman" w:eastAsia="SimSun" w:cs="Times New Roman"/>
          <w:b w:val="0"/>
          <w:bCs w:val="0"/>
          <w:sz w:val="22"/>
          <w:szCs w:val="22"/>
          <w:lang w:val="en-US"/>
        </w:rPr>
        <w:t xml:space="preserve"> needed in the finding that</w:t>
      </w:r>
      <w:r>
        <w:rPr>
          <w:rFonts w:hint="default" w:ascii="Times New Roman" w:hAnsi="Times New Roman" w:eastAsia="SimSun" w:cs="Times New Roman"/>
          <w:b w:val="0"/>
          <w:bCs w:val="0"/>
          <w:sz w:val="22"/>
          <w:szCs w:val="22"/>
        </w:rPr>
        <w:t xml:space="preserve"> how each finishing strategy specifically affected </w:t>
      </w:r>
      <w:r>
        <w:rPr>
          <w:rFonts w:hint="default" w:ascii="Times New Roman" w:hAnsi="Times New Roman" w:eastAsia="SimSun" w:cs="Times New Roman"/>
          <w:b w:val="0"/>
          <w:bCs w:val="0"/>
          <w:sz w:val="22"/>
          <w:szCs w:val="22"/>
          <w:lang w:val="en-US"/>
        </w:rPr>
        <w:t>C</w:t>
      </w:r>
      <w:r>
        <w:rPr>
          <w:rFonts w:hint="default" w:ascii="Times New Roman" w:hAnsi="Times New Roman" w:cs="Times New Roman"/>
          <w:b w:val="0"/>
          <w:bCs w:val="0"/>
          <w:sz w:val="22"/>
          <w:szCs w:val="22"/>
          <w:lang w:val="en-GB"/>
        </w:rPr>
        <w:t>arcass composition and meat quality of Boran crossbred cattle under different finishing strategies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471BA1F" w15:done="0"/>
  <w15:commentEx w15:paraId="16B7D072" w15:done="0"/>
  <w15:commentEx w15:paraId="0758D5FF" w15:done="0"/>
  <w15:commentEx w15:paraId="1C7D0C4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90F3C">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C6535">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3F50C">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549B7">
    <w:pPr>
      <w:pStyle w:val="15"/>
    </w:pPr>
    <w:r>
      <w:pict>
        <v:shape id="PowerPlusWaterMarkObject958105205" o:spid="_x0000_s2051" o:spt="136" type="#_x0000_t136" style="position:absolute;left:0pt;height:57.85pt;width:520.6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6B741">
    <w:pPr>
      <w:pStyle w:val="15"/>
    </w:pPr>
    <w:r>
      <w:pict>
        <v:shape id="PowerPlusWaterMarkObject958105204" o:spid="_x0000_s2050" o:spt="136" type="#_x0000_t136" style="position:absolute;left:0pt;height:57.85pt;width:520.6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CDD68">
    <w:pPr>
      <w:ind w:left="2160"/>
      <w:jc w:val="center"/>
      <w:rPr>
        <w:rFonts w:ascii="Times New Roman" w:hAnsi="Times New Roman" w:eastAsia="Calibri"/>
        <w:i/>
        <w:sz w:val="18"/>
        <w:szCs w:val="22"/>
      </w:rPr>
    </w:pPr>
    <w:r>
      <w:pict>
        <v:shape id="PowerPlusWaterMarkObject958105203" o:spid="_x0000_s2049" o:spt="136" type="#_x0000_t136" style="position:absolute;left:0pt;height:57.85pt;width:520.6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Helvetica;font-size:1pt;v-text-align:center;"/>
        </v:shape>
      </w:pict>
    </w:r>
  </w:p>
  <w:p w14:paraId="7736E905">
    <w:pPr>
      <w:ind w:left="4320"/>
      <w:rPr>
        <w:rFonts w:ascii="Times New Roman" w:hAnsi="Times New Roman" w:eastAsia="Calibri"/>
        <w:i/>
        <w:sz w:val="18"/>
        <w:szCs w:val="22"/>
      </w:rPr>
    </w:pPr>
    <w:r>
      <w:rPr>
        <w:rFonts w:ascii="Times New Roman" w:hAnsi="Times New Roman" w:eastAsia="Calibri"/>
        <w:i/>
        <w:sz w:val="18"/>
        <w:szCs w:val="22"/>
      </w:rPr>
      <w:t xml:space="preserve">.     </w:t>
    </w:r>
  </w:p>
  <w:p w14:paraId="109669F8">
    <w:pPr>
      <w:jc w:val="center"/>
      <w:rPr>
        <w:rFonts w:ascii="Times New Roman" w:hAnsi="Times New Roman" w:eastAsia="Calibri"/>
        <w:i/>
        <w:sz w:val="18"/>
        <w:szCs w:val="22"/>
      </w:rPr>
    </w:pPr>
    <w:r>
      <w:rPr>
        <w:rFonts w:ascii="Times New Roman" w:hAnsi="Times New Roman" w:eastAsia="Calibri"/>
        <w:i/>
        <w:sz w:val="18"/>
        <w:szCs w:val="22"/>
      </w:rPr>
      <w:t>.</w:t>
    </w:r>
  </w:p>
  <w:p w14:paraId="756BFA06">
    <w:pPr>
      <w:spacing w:after="200"/>
      <w:jc w:val="center"/>
      <w:rPr>
        <w:rFonts w:ascii="Times New Roman" w:hAnsi="Times New Roman" w:eastAsia="Calibri"/>
        <w:b/>
        <w:i/>
        <w:sz w:val="32"/>
        <w:szCs w:val="22"/>
      </w:rPr>
    </w:pPr>
    <w:r>
      <w:rPr>
        <w:rFonts w:ascii="Times New Roman" w:hAnsi="Times New Roman" w:eastAsia="Calibri"/>
        <w:b/>
        <w:i/>
        <w:sz w:val="32"/>
        <w:szCs w:val="22"/>
      </w:rPr>
      <w:t xml:space="preserve">              . </w:t>
    </w:r>
  </w:p>
  <w:p w14:paraId="4A63BB74">
    <w:pPr>
      <w:jc w:val="center"/>
      <w:rPr>
        <w:rFonts w:ascii="Times New Roman" w:hAnsi="Times New Roman" w:eastAsia="Calibri"/>
        <w:i/>
        <w:sz w:val="18"/>
        <w:szCs w:val="22"/>
      </w:rPr>
    </w:pPr>
    <w:r>
      <w:rPr>
        <w:rFonts w:ascii="Times New Roman" w:hAnsi="Times New Roman" w:eastAsia="Calibri"/>
        <w:i/>
        <w:sz w:val="18"/>
        <w:szCs w:val="22"/>
      </w:rPr>
      <w:t xml:space="preserve">                     </w:t>
    </w:r>
  </w:p>
  <w:p w14:paraId="6F1B33F8">
    <w:pPr>
      <w:tabs>
        <w:tab w:val="left" w:pos="2145"/>
      </w:tabs>
      <w:rPr>
        <w:rFonts w:ascii="Times New Roman" w:hAnsi="Times New Roman" w:eastAsia="Calibri"/>
        <w:i/>
        <w:sz w:val="18"/>
        <w:szCs w:val="22"/>
      </w:rPr>
    </w:pPr>
    <w:r>
      <w:rPr>
        <w:rFonts w:ascii="Times New Roman" w:hAnsi="Times New Roman" w:eastAsia="Calibri"/>
        <w:i/>
        <w:sz w:val="18"/>
        <w:szCs w:val="22"/>
      </w:rPr>
      <w:tab/>
    </w:r>
    <w:r>
      <w:rPr>
        <w:rFonts w:ascii="Times New Roman" w:hAnsi="Times New Roman" w:eastAsia="Calibri"/>
        <w:i/>
        <w:sz w:val="18"/>
        <w:szCs w:val="22"/>
      </w:rPr>
      <w:t>.</w:t>
    </w:r>
  </w:p>
  <w:p w14:paraId="01A5A157">
    <w:pPr>
      <w:pStyle w:val="15"/>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3A7319"/>
    <w:multiLevelType w:val="multilevel"/>
    <w:tmpl w:val="3A3A731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1604DCD"/>
    <w:multiLevelType w:val="singleLevel"/>
    <w:tmpl w:val="71604DCD"/>
    <w:lvl w:ilvl="0" w:tentative="0">
      <w:start w:val="1"/>
      <w:numFmt w:val="decimal"/>
      <w:pStyle w:val="34"/>
      <w:lvlText w:val="%1."/>
      <w:lvlJc w:val="left"/>
      <w:pPr>
        <w:tabs>
          <w:tab w:val="left" w:pos="360"/>
        </w:tabs>
        <w:ind w:left="360" w:hanging="36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KOB LORATO">
    <w15:presenceInfo w15:providerId="WPS Office" w15:userId="33613973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oNotHyphenateCaps/>
  <w:drawingGridHorizontalSpacing w:val="100"/>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zQ2sDA3MjEzMjM0M7RU0lEKTi0uzszPAykwqgUAbyIjNiwAAAA="/>
  </w:docVars>
  <w:rsids>
    <w:rsidRoot w:val="00AA6219"/>
    <w:rsid w:val="00000F8F"/>
    <w:rsid w:val="000018C1"/>
    <w:rsid w:val="00002575"/>
    <w:rsid w:val="0000606B"/>
    <w:rsid w:val="000077FD"/>
    <w:rsid w:val="00010C76"/>
    <w:rsid w:val="000127EF"/>
    <w:rsid w:val="0001304C"/>
    <w:rsid w:val="00013841"/>
    <w:rsid w:val="00013A01"/>
    <w:rsid w:val="00022478"/>
    <w:rsid w:val="000235E7"/>
    <w:rsid w:val="00023C46"/>
    <w:rsid w:val="00024D28"/>
    <w:rsid w:val="00026A84"/>
    <w:rsid w:val="00030174"/>
    <w:rsid w:val="000304EE"/>
    <w:rsid w:val="00032158"/>
    <w:rsid w:val="000325DE"/>
    <w:rsid w:val="0003322C"/>
    <w:rsid w:val="00033B2A"/>
    <w:rsid w:val="00033B2D"/>
    <w:rsid w:val="000350B9"/>
    <w:rsid w:val="000363E8"/>
    <w:rsid w:val="00037A5A"/>
    <w:rsid w:val="0004136C"/>
    <w:rsid w:val="000435B5"/>
    <w:rsid w:val="00044458"/>
    <w:rsid w:val="00045087"/>
    <w:rsid w:val="0004579C"/>
    <w:rsid w:val="0005033C"/>
    <w:rsid w:val="00052505"/>
    <w:rsid w:val="00053994"/>
    <w:rsid w:val="00057867"/>
    <w:rsid w:val="00057D87"/>
    <w:rsid w:val="0006614D"/>
    <w:rsid w:val="00067159"/>
    <w:rsid w:val="00070D21"/>
    <w:rsid w:val="000756EE"/>
    <w:rsid w:val="000756F1"/>
    <w:rsid w:val="000777E0"/>
    <w:rsid w:val="00081AD3"/>
    <w:rsid w:val="00082F8C"/>
    <w:rsid w:val="000834DC"/>
    <w:rsid w:val="000868AC"/>
    <w:rsid w:val="00090C6E"/>
    <w:rsid w:val="00091C8B"/>
    <w:rsid w:val="00092A3C"/>
    <w:rsid w:val="0009535E"/>
    <w:rsid w:val="00096995"/>
    <w:rsid w:val="00096FEA"/>
    <w:rsid w:val="0009793E"/>
    <w:rsid w:val="000A1926"/>
    <w:rsid w:val="000A2086"/>
    <w:rsid w:val="000A2824"/>
    <w:rsid w:val="000A3C07"/>
    <w:rsid w:val="000A47FA"/>
    <w:rsid w:val="000A60E2"/>
    <w:rsid w:val="000A65D3"/>
    <w:rsid w:val="000A6794"/>
    <w:rsid w:val="000A6DFA"/>
    <w:rsid w:val="000B1E33"/>
    <w:rsid w:val="000B3C7A"/>
    <w:rsid w:val="000B459B"/>
    <w:rsid w:val="000C5B9B"/>
    <w:rsid w:val="000D249D"/>
    <w:rsid w:val="000D2A74"/>
    <w:rsid w:val="000D2FE0"/>
    <w:rsid w:val="000D689F"/>
    <w:rsid w:val="000D6984"/>
    <w:rsid w:val="000E0C44"/>
    <w:rsid w:val="000E154D"/>
    <w:rsid w:val="000E1B56"/>
    <w:rsid w:val="000E5EBF"/>
    <w:rsid w:val="000E7B7B"/>
    <w:rsid w:val="000E7D62"/>
    <w:rsid w:val="000F2926"/>
    <w:rsid w:val="00101089"/>
    <w:rsid w:val="00101D1F"/>
    <w:rsid w:val="00102412"/>
    <w:rsid w:val="00103357"/>
    <w:rsid w:val="00107940"/>
    <w:rsid w:val="0011288D"/>
    <w:rsid w:val="001159AB"/>
    <w:rsid w:val="0011766F"/>
    <w:rsid w:val="00117C8C"/>
    <w:rsid w:val="001210BF"/>
    <w:rsid w:val="001219AB"/>
    <w:rsid w:val="00123C9F"/>
    <w:rsid w:val="001246C5"/>
    <w:rsid w:val="0012561A"/>
    <w:rsid w:val="001256BE"/>
    <w:rsid w:val="00125F14"/>
    <w:rsid w:val="00126190"/>
    <w:rsid w:val="00130F17"/>
    <w:rsid w:val="001320BF"/>
    <w:rsid w:val="001351FE"/>
    <w:rsid w:val="00135AAA"/>
    <w:rsid w:val="00137C47"/>
    <w:rsid w:val="001418D4"/>
    <w:rsid w:val="00146A27"/>
    <w:rsid w:val="00151F68"/>
    <w:rsid w:val="001547C0"/>
    <w:rsid w:val="00157EC5"/>
    <w:rsid w:val="0016049F"/>
    <w:rsid w:val="001612EC"/>
    <w:rsid w:val="00162500"/>
    <w:rsid w:val="001633B0"/>
    <w:rsid w:val="00163637"/>
    <w:rsid w:val="00163BC4"/>
    <w:rsid w:val="00165736"/>
    <w:rsid w:val="001657C0"/>
    <w:rsid w:val="00166D14"/>
    <w:rsid w:val="0016796D"/>
    <w:rsid w:val="00172898"/>
    <w:rsid w:val="0017295D"/>
    <w:rsid w:val="001734E9"/>
    <w:rsid w:val="00174361"/>
    <w:rsid w:val="00180E00"/>
    <w:rsid w:val="001830D7"/>
    <w:rsid w:val="0018431E"/>
    <w:rsid w:val="0018645C"/>
    <w:rsid w:val="00187797"/>
    <w:rsid w:val="00191062"/>
    <w:rsid w:val="0019195F"/>
    <w:rsid w:val="00191DE8"/>
    <w:rsid w:val="00192B72"/>
    <w:rsid w:val="00193136"/>
    <w:rsid w:val="0019351B"/>
    <w:rsid w:val="00194B5B"/>
    <w:rsid w:val="00194F10"/>
    <w:rsid w:val="001965AD"/>
    <w:rsid w:val="00197BCA"/>
    <w:rsid w:val="001A127B"/>
    <w:rsid w:val="001A12AA"/>
    <w:rsid w:val="001A1555"/>
    <w:rsid w:val="001A29D8"/>
    <w:rsid w:val="001A2C50"/>
    <w:rsid w:val="001A39D0"/>
    <w:rsid w:val="001A5CAA"/>
    <w:rsid w:val="001A67F1"/>
    <w:rsid w:val="001B0427"/>
    <w:rsid w:val="001B04EE"/>
    <w:rsid w:val="001B26B2"/>
    <w:rsid w:val="001B38C2"/>
    <w:rsid w:val="001B3904"/>
    <w:rsid w:val="001B78B8"/>
    <w:rsid w:val="001B79C7"/>
    <w:rsid w:val="001C13D9"/>
    <w:rsid w:val="001C7147"/>
    <w:rsid w:val="001D2F76"/>
    <w:rsid w:val="001D3A51"/>
    <w:rsid w:val="001D4387"/>
    <w:rsid w:val="001D53AB"/>
    <w:rsid w:val="001E015A"/>
    <w:rsid w:val="001E10D2"/>
    <w:rsid w:val="001E22BC"/>
    <w:rsid w:val="001E2411"/>
    <w:rsid w:val="001E25B4"/>
    <w:rsid w:val="001E44FE"/>
    <w:rsid w:val="001F0042"/>
    <w:rsid w:val="001F2CCB"/>
    <w:rsid w:val="001F2D61"/>
    <w:rsid w:val="001F3B1D"/>
    <w:rsid w:val="001F5FB9"/>
    <w:rsid w:val="001F7598"/>
    <w:rsid w:val="00200595"/>
    <w:rsid w:val="00200CFD"/>
    <w:rsid w:val="0020105D"/>
    <w:rsid w:val="002016E1"/>
    <w:rsid w:val="002027E4"/>
    <w:rsid w:val="00204835"/>
    <w:rsid w:val="002052D0"/>
    <w:rsid w:val="00205A31"/>
    <w:rsid w:val="00211CD6"/>
    <w:rsid w:val="00213748"/>
    <w:rsid w:val="00220BDE"/>
    <w:rsid w:val="00220EA7"/>
    <w:rsid w:val="002230AF"/>
    <w:rsid w:val="0022551F"/>
    <w:rsid w:val="00231920"/>
    <w:rsid w:val="0023195C"/>
    <w:rsid w:val="002323D1"/>
    <w:rsid w:val="002324E8"/>
    <w:rsid w:val="00233BAE"/>
    <w:rsid w:val="00235035"/>
    <w:rsid w:val="002362F8"/>
    <w:rsid w:val="002363D9"/>
    <w:rsid w:val="002378C4"/>
    <w:rsid w:val="00237CA9"/>
    <w:rsid w:val="0024282C"/>
    <w:rsid w:val="002449B2"/>
    <w:rsid w:val="0024581A"/>
    <w:rsid w:val="00245FD3"/>
    <w:rsid w:val="002460DC"/>
    <w:rsid w:val="00247586"/>
    <w:rsid w:val="00250985"/>
    <w:rsid w:val="002519BD"/>
    <w:rsid w:val="00251D2F"/>
    <w:rsid w:val="00251E20"/>
    <w:rsid w:val="002556F6"/>
    <w:rsid w:val="00256946"/>
    <w:rsid w:val="00257517"/>
    <w:rsid w:val="00257E5B"/>
    <w:rsid w:val="00266639"/>
    <w:rsid w:val="00267F1D"/>
    <w:rsid w:val="00270703"/>
    <w:rsid w:val="00272179"/>
    <w:rsid w:val="00274B17"/>
    <w:rsid w:val="00275889"/>
    <w:rsid w:val="00281676"/>
    <w:rsid w:val="00283105"/>
    <w:rsid w:val="00283DA5"/>
    <w:rsid w:val="00284C4C"/>
    <w:rsid w:val="00290125"/>
    <w:rsid w:val="00291B7A"/>
    <w:rsid w:val="002946DE"/>
    <w:rsid w:val="00295BB8"/>
    <w:rsid w:val="00296529"/>
    <w:rsid w:val="00296EEA"/>
    <w:rsid w:val="00297A63"/>
    <w:rsid w:val="00297F37"/>
    <w:rsid w:val="002A1DE2"/>
    <w:rsid w:val="002B09C7"/>
    <w:rsid w:val="002B27FB"/>
    <w:rsid w:val="002B5489"/>
    <w:rsid w:val="002B685A"/>
    <w:rsid w:val="002B6BDA"/>
    <w:rsid w:val="002B78F6"/>
    <w:rsid w:val="002C5140"/>
    <w:rsid w:val="002C51CF"/>
    <w:rsid w:val="002C57D2"/>
    <w:rsid w:val="002D0FCF"/>
    <w:rsid w:val="002D17A8"/>
    <w:rsid w:val="002D39EA"/>
    <w:rsid w:val="002D3EEA"/>
    <w:rsid w:val="002D5094"/>
    <w:rsid w:val="002D7613"/>
    <w:rsid w:val="002E0D56"/>
    <w:rsid w:val="002E2A44"/>
    <w:rsid w:val="002E2B62"/>
    <w:rsid w:val="002E3DD0"/>
    <w:rsid w:val="002E58E1"/>
    <w:rsid w:val="002F1DB8"/>
    <w:rsid w:val="002F2865"/>
    <w:rsid w:val="002F2FBF"/>
    <w:rsid w:val="00300ED6"/>
    <w:rsid w:val="003034FF"/>
    <w:rsid w:val="00304CCE"/>
    <w:rsid w:val="00306782"/>
    <w:rsid w:val="00306BD5"/>
    <w:rsid w:val="00306DD7"/>
    <w:rsid w:val="00315186"/>
    <w:rsid w:val="00315B3F"/>
    <w:rsid w:val="003205E3"/>
    <w:rsid w:val="00321CE1"/>
    <w:rsid w:val="00322A2F"/>
    <w:rsid w:val="00322B5C"/>
    <w:rsid w:val="00323A9D"/>
    <w:rsid w:val="0032429B"/>
    <w:rsid w:val="00325BA9"/>
    <w:rsid w:val="00325D46"/>
    <w:rsid w:val="00326185"/>
    <w:rsid w:val="00327988"/>
    <w:rsid w:val="00330145"/>
    <w:rsid w:val="0033343E"/>
    <w:rsid w:val="003360CC"/>
    <w:rsid w:val="0034095E"/>
    <w:rsid w:val="00343987"/>
    <w:rsid w:val="00345913"/>
    <w:rsid w:val="00346416"/>
    <w:rsid w:val="003475BF"/>
    <w:rsid w:val="003512C2"/>
    <w:rsid w:val="0035370B"/>
    <w:rsid w:val="00353A45"/>
    <w:rsid w:val="00354CF6"/>
    <w:rsid w:val="00354E2A"/>
    <w:rsid w:val="00356C8E"/>
    <w:rsid w:val="003634B8"/>
    <w:rsid w:val="00363521"/>
    <w:rsid w:val="003638D0"/>
    <w:rsid w:val="00363B7A"/>
    <w:rsid w:val="00367739"/>
    <w:rsid w:val="00371E53"/>
    <w:rsid w:val="00371FB6"/>
    <w:rsid w:val="00372B8C"/>
    <w:rsid w:val="003763C1"/>
    <w:rsid w:val="00376BBE"/>
    <w:rsid w:val="00377065"/>
    <w:rsid w:val="003776FA"/>
    <w:rsid w:val="003820CD"/>
    <w:rsid w:val="00387778"/>
    <w:rsid w:val="0038778F"/>
    <w:rsid w:val="0039054F"/>
    <w:rsid w:val="003909C8"/>
    <w:rsid w:val="003915D9"/>
    <w:rsid w:val="0039224F"/>
    <w:rsid w:val="00396B09"/>
    <w:rsid w:val="003A0943"/>
    <w:rsid w:val="003A2690"/>
    <w:rsid w:val="003A2DB5"/>
    <w:rsid w:val="003A43A4"/>
    <w:rsid w:val="003A467F"/>
    <w:rsid w:val="003A6A51"/>
    <w:rsid w:val="003A7E18"/>
    <w:rsid w:val="003B126C"/>
    <w:rsid w:val="003B44CF"/>
    <w:rsid w:val="003B5BA2"/>
    <w:rsid w:val="003C31E1"/>
    <w:rsid w:val="003C3FFF"/>
    <w:rsid w:val="003C4013"/>
    <w:rsid w:val="003C4C86"/>
    <w:rsid w:val="003C6258"/>
    <w:rsid w:val="003D04DF"/>
    <w:rsid w:val="003D1BD6"/>
    <w:rsid w:val="003D2976"/>
    <w:rsid w:val="003D2ECB"/>
    <w:rsid w:val="003D3007"/>
    <w:rsid w:val="003D3BB2"/>
    <w:rsid w:val="003D3E0D"/>
    <w:rsid w:val="003D6672"/>
    <w:rsid w:val="003D6A8A"/>
    <w:rsid w:val="003D6EEB"/>
    <w:rsid w:val="003E2904"/>
    <w:rsid w:val="003E32A1"/>
    <w:rsid w:val="003E32AE"/>
    <w:rsid w:val="003E46DA"/>
    <w:rsid w:val="003F0993"/>
    <w:rsid w:val="003F1D52"/>
    <w:rsid w:val="003F3E4C"/>
    <w:rsid w:val="00400912"/>
    <w:rsid w:val="00401443"/>
    <w:rsid w:val="00401927"/>
    <w:rsid w:val="004063AD"/>
    <w:rsid w:val="004066AC"/>
    <w:rsid w:val="0041027F"/>
    <w:rsid w:val="00412475"/>
    <w:rsid w:val="00412AA5"/>
    <w:rsid w:val="004161A4"/>
    <w:rsid w:val="0041653B"/>
    <w:rsid w:val="00422954"/>
    <w:rsid w:val="00422BAE"/>
    <w:rsid w:val="00423789"/>
    <w:rsid w:val="00430813"/>
    <w:rsid w:val="004351DB"/>
    <w:rsid w:val="00440F43"/>
    <w:rsid w:val="00441B6F"/>
    <w:rsid w:val="00441DE7"/>
    <w:rsid w:val="00444368"/>
    <w:rsid w:val="00444FE0"/>
    <w:rsid w:val="00446068"/>
    <w:rsid w:val="00446221"/>
    <w:rsid w:val="00447099"/>
    <w:rsid w:val="00447A73"/>
    <w:rsid w:val="00450E62"/>
    <w:rsid w:val="004539DB"/>
    <w:rsid w:val="004573D5"/>
    <w:rsid w:val="00461BF8"/>
    <w:rsid w:val="00462B7C"/>
    <w:rsid w:val="00463AF1"/>
    <w:rsid w:val="00465BEA"/>
    <w:rsid w:val="00467605"/>
    <w:rsid w:val="00471A80"/>
    <w:rsid w:val="00471CFE"/>
    <w:rsid w:val="0047464F"/>
    <w:rsid w:val="00475972"/>
    <w:rsid w:val="004767B7"/>
    <w:rsid w:val="00483612"/>
    <w:rsid w:val="0049055A"/>
    <w:rsid w:val="004912F7"/>
    <w:rsid w:val="004935C2"/>
    <w:rsid w:val="0049476D"/>
    <w:rsid w:val="004A0D8D"/>
    <w:rsid w:val="004A22AE"/>
    <w:rsid w:val="004A5CAA"/>
    <w:rsid w:val="004A6F14"/>
    <w:rsid w:val="004B03F4"/>
    <w:rsid w:val="004B2CBB"/>
    <w:rsid w:val="004C0A39"/>
    <w:rsid w:val="004C3D2B"/>
    <w:rsid w:val="004C5036"/>
    <w:rsid w:val="004D2CD9"/>
    <w:rsid w:val="004D305E"/>
    <w:rsid w:val="004D4277"/>
    <w:rsid w:val="004E5BB9"/>
    <w:rsid w:val="004E7E6C"/>
    <w:rsid w:val="004F10F1"/>
    <w:rsid w:val="004F1A0E"/>
    <w:rsid w:val="004F2D56"/>
    <w:rsid w:val="004F7742"/>
    <w:rsid w:val="00502228"/>
    <w:rsid w:val="00502516"/>
    <w:rsid w:val="00503D4F"/>
    <w:rsid w:val="00504FEE"/>
    <w:rsid w:val="00505477"/>
    <w:rsid w:val="00505F06"/>
    <w:rsid w:val="00506828"/>
    <w:rsid w:val="005111FF"/>
    <w:rsid w:val="00521C6E"/>
    <w:rsid w:val="005222B6"/>
    <w:rsid w:val="005256B1"/>
    <w:rsid w:val="00527ED8"/>
    <w:rsid w:val="0053056E"/>
    <w:rsid w:val="00531AEE"/>
    <w:rsid w:val="00536E27"/>
    <w:rsid w:val="0053793A"/>
    <w:rsid w:val="00543774"/>
    <w:rsid w:val="005544D1"/>
    <w:rsid w:val="00554FDA"/>
    <w:rsid w:val="00555363"/>
    <w:rsid w:val="00555C80"/>
    <w:rsid w:val="0055735B"/>
    <w:rsid w:val="00561568"/>
    <w:rsid w:val="005633DB"/>
    <w:rsid w:val="00563F3B"/>
    <w:rsid w:val="005648B5"/>
    <w:rsid w:val="00564DB0"/>
    <w:rsid w:val="00566429"/>
    <w:rsid w:val="00567D16"/>
    <w:rsid w:val="00570CC7"/>
    <w:rsid w:val="0057175D"/>
    <w:rsid w:val="0057297D"/>
    <w:rsid w:val="005730B3"/>
    <w:rsid w:val="005731AC"/>
    <w:rsid w:val="005734EC"/>
    <w:rsid w:val="005741CE"/>
    <w:rsid w:val="00575817"/>
    <w:rsid w:val="00576D4E"/>
    <w:rsid w:val="00581FAF"/>
    <w:rsid w:val="00583713"/>
    <w:rsid w:val="00584E6B"/>
    <w:rsid w:val="005859BA"/>
    <w:rsid w:val="005865E0"/>
    <w:rsid w:val="005876FE"/>
    <w:rsid w:val="005903D5"/>
    <w:rsid w:val="00593E3F"/>
    <w:rsid w:val="005A07B2"/>
    <w:rsid w:val="005A2B48"/>
    <w:rsid w:val="005A2EC2"/>
    <w:rsid w:val="005B23D7"/>
    <w:rsid w:val="005B3C61"/>
    <w:rsid w:val="005B5D55"/>
    <w:rsid w:val="005B62FD"/>
    <w:rsid w:val="005B6C6A"/>
    <w:rsid w:val="005C2437"/>
    <w:rsid w:val="005C24C3"/>
    <w:rsid w:val="005C46CA"/>
    <w:rsid w:val="005C6479"/>
    <w:rsid w:val="005C784C"/>
    <w:rsid w:val="005C789B"/>
    <w:rsid w:val="005D17F6"/>
    <w:rsid w:val="005D3C25"/>
    <w:rsid w:val="005D42D4"/>
    <w:rsid w:val="005D5CEF"/>
    <w:rsid w:val="005D5D06"/>
    <w:rsid w:val="005D6CD0"/>
    <w:rsid w:val="005D6FC6"/>
    <w:rsid w:val="005E08FF"/>
    <w:rsid w:val="005E34B5"/>
    <w:rsid w:val="005E36A4"/>
    <w:rsid w:val="005E4C44"/>
    <w:rsid w:val="005E4FA2"/>
    <w:rsid w:val="005E5539"/>
    <w:rsid w:val="005E7A31"/>
    <w:rsid w:val="005E7D3A"/>
    <w:rsid w:val="005F01C7"/>
    <w:rsid w:val="005F020F"/>
    <w:rsid w:val="005F1415"/>
    <w:rsid w:val="005F144F"/>
    <w:rsid w:val="005F2D89"/>
    <w:rsid w:val="005F513D"/>
    <w:rsid w:val="005F6CCE"/>
    <w:rsid w:val="005F79AA"/>
    <w:rsid w:val="00602BF5"/>
    <w:rsid w:val="00604D95"/>
    <w:rsid w:val="00611229"/>
    <w:rsid w:val="006169A5"/>
    <w:rsid w:val="00617FDD"/>
    <w:rsid w:val="00623E40"/>
    <w:rsid w:val="00633614"/>
    <w:rsid w:val="00633779"/>
    <w:rsid w:val="00633F68"/>
    <w:rsid w:val="00633FC4"/>
    <w:rsid w:val="00635DB2"/>
    <w:rsid w:val="00636761"/>
    <w:rsid w:val="00636EB2"/>
    <w:rsid w:val="006375B8"/>
    <w:rsid w:val="006376D3"/>
    <w:rsid w:val="00637C3C"/>
    <w:rsid w:val="00641E0A"/>
    <w:rsid w:val="006436F8"/>
    <w:rsid w:val="00643F26"/>
    <w:rsid w:val="00646020"/>
    <w:rsid w:val="006463EB"/>
    <w:rsid w:val="00651188"/>
    <w:rsid w:val="00651704"/>
    <w:rsid w:val="006521E9"/>
    <w:rsid w:val="00653065"/>
    <w:rsid w:val="0065513E"/>
    <w:rsid w:val="0066033A"/>
    <w:rsid w:val="00660762"/>
    <w:rsid w:val="0066188D"/>
    <w:rsid w:val="0066510A"/>
    <w:rsid w:val="00672585"/>
    <w:rsid w:val="0067310D"/>
    <w:rsid w:val="006736AB"/>
    <w:rsid w:val="00673F9F"/>
    <w:rsid w:val="006751BA"/>
    <w:rsid w:val="00676E30"/>
    <w:rsid w:val="00680237"/>
    <w:rsid w:val="0068073D"/>
    <w:rsid w:val="006845F2"/>
    <w:rsid w:val="006857A3"/>
    <w:rsid w:val="00686953"/>
    <w:rsid w:val="00687025"/>
    <w:rsid w:val="00687DEA"/>
    <w:rsid w:val="00687E67"/>
    <w:rsid w:val="00690CE9"/>
    <w:rsid w:val="00690D6C"/>
    <w:rsid w:val="00691DF4"/>
    <w:rsid w:val="00694547"/>
    <w:rsid w:val="006967F7"/>
    <w:rsid w:val="006A250C"/>
    <w:rsid w:val="006A3D70"/>
    <w:rsid w:val="006B21D3"/>
    <w:rsid w:val="006B25B5"/>
    <w:rsid w:val="006B57D0"/>
    <w:rsid w:val="006C200B"/>
    <w:rsid w:val="006C3AA5"/>
    <w:rsid w:val="006C6BAC"/>
    <w:rsid w:val="006D230F"/>
    <w:rsid w:val="006D30FF"/>
    <w:rsid w:val="006D67A0"/>
    <w:rsid w:val="006D6940"/>
    <w:rsid w:val="006D762A"/>
    <w:rsid w:val="006F105C"/>
    <w:rsid w:val="006F11EC"/>
    <w:rsid w:val="006F18AF"/>
    <w:rsid w:val="006F3201"/>
    <w:rsid w:val="006F3257"/>
    <w:rsid w:val="006F354D"/>
    <w:rsid w:val="006F6EA3"/>
    <w:rsid w:val="0070082C"/>
    <w:rsid w:val="00700B0D"/>
    <w:rsid w:val="00701151"/>
    <w:rsid w:val="007055D4"/>
    <w:rsid w:val="00707FD3"/>
    <w:rsid w:val="00710CAF"/>
    <w:rsid w:val="00713883"/>
    <w:rsid w:val="00717755"/>
    <w:rsid w:val="007323FA"/>
    <w:rsid w:val="007369E6"/>
    <w:rsid w:val="00742F8C"/>
    <w:rsid w:val="0074587C"/>
    <w:rsid w:val="00746E59"/>
    <w:rsid w:val="00747AF5"/>
    <w:rsid w:val="00751956"/>
    <w:rsid w:val="00752BA4"/>
    <w:rsid w:val="007547E4"/>
    <w:rsid w:val="00754C9A"/>
    <w:rsid w:val="0075599A"/>
    <w:rsid w:val="00755F6C"/>
    <w:rsid w:val="00756925"/>
    <w:rsid w:val="00760CD8"/>
    <w:rsid w:val="00761CF6"/>
    <w:rsid w:val="00761D52"/>
    <w:rsid w:val="0076208F"/>
    <w:rsid w:val="007626DD"/>
    <w:rsid w:val="00762BD5"/>
    <w:rsid w:val="00762E4F"/>
    <w:rsid w:val="00763936"/>
    <w:rsid w:val="00764FEF"/>
    <w:rsid w:val="007711CF"/>
    <w:rsid w:val="00771FED"/>
    <w:rsid w:val="007759BF"/>
    <w:rsid w:val="00776B43"/>
    <w:rsid w:val="00776C7A"/>
    <w:rsid w:val="0077749E"/>
    <w:rsid w:val="00782D1F"/>
    <w:rsid w:val="00783257"/>
    <w:rsid w:val="007854EC"/>
    <w:rsid w:val="00785BCA"/>
    <w:rsid w:val="00790AB7"/>
    <w:rsid w:val="00790ADA"/>
    <w:rsid w:val="007921C0"/>
    <w:rsid w:val="00794EB7"/>
    <w:rsid w:val="007957BD"/>
    <w:rsid w:val="0079580E"/>
    <w:rsid w:val="00797C07"/>
    <w:rsid w:val="007A1831"/>
    <w:rsid w:val="007A3549"/>
    <w:rsid w:val="007B0407"/>
    <w:rsid w:val="007B3AD2"/>
    <w:rsid w:val="007B5315"/>
    <w:rsid w:val="007B54E2"/>
    <w:rsid w:val="007C002C"/>
    <w:rsid w:val="007C118A"/>
    <w:rsid w:val="007C4BFA"/>
    <w:rsid w:val="007D0A81"/>
    <w:rsid w:val="007D2288"/>
    <w:rsid w:val="007D6B55"/>
    <w:rsid w:val="007E088F"/>
    <w:rsid w:val="007E50AF"/>
    <w:rsid w:val="007F057A"/>
    <w:rsid w:val="007F2F01"/>
    <w:rsid w:val="007F2FA0"/>
    <w:rsid w:val="007F5124"/>
    <w:rsid w:val="007F7B32"/>
    <w:rsid w:val="00802CC7"/>
    <w:rsid w:val="00804BC2"/>
    <w:rsid w:val="00806E0A"/>
    <w:rsid w:val="00807B69"/>
    <w:rsid w:val="00811033"/>
    <w:rsid w:val="00812BE8"/>
    <w:rsid w:val="00814223"/>
    <w:rsid w:val="0081431A"/>
    <w:rsid w:val="00814947"/>
    <w:rsid w:val="00815726"/>
    <w:rsid w:val="0081796A"/>
    <w:rsid w:val="0082139F"/>
    <w:rsid w:val="008213A6"/>
    <w:rsid w:val="00821C1E"/>
    <w:rsid w:val="00824737"/>
    <w:rsid w:val="0083216F"/>
    <w:rsid w:val="00832850"/>
    <w:rsid w:val="00833AD5"/>
    <w:rsid w:val="00833F31"/>
    <w:rsid w:val="0084179A"/>
    <w:rsid w:val="00841881"/>
    <w:rsid w:val="00841FD4"/>
    <w:rsid w:val="00842C32"/>
    <w:rsid w:val="00843B4A"/>
    <w:rsid w:val="00843C86"/>
    <w:rsid w:val="00844130"/>
    <w:rsid w:val="00847CEF"/>
    <w:rsid w:val="00853245"/>
    <w:rsid w:val="00853B2D"/>
    <w:rsid w:val="00854441"/>
    <w:rsid w:val="008546A4"/>
    <w:rsid w:val="00860000"/>
    <w:rsid w:val="0086062A"/>
    <w:rsid w:val="0086259A"/>
    <w:rsid w:val="00862A85"/>
    <w:rsid w:val="00863BD3"/>
    <w:rsid w:val="008641AE"/>
    <w:rsid w:val="00866346"/>
    <w:rsid w:val="00866D66"/>
    <w:rsid w:val="008671C6"/>
    <w:rsid w:val="00867F62"/>
    <w:rsid w:val="008715A9"/>
    <w:rsid w:val="00871A0B"/>
    <w:rsid w:val="008722A0"/>
    <w:rsid w:val="00872A92"/>
    <w:rsid w:val="0087334E"/>
    <w:rsid w:val="008745EF"/>
    <w:rsid w:val="008749B2"/>
    <w:rsid w:val="00875803"/>
    <w:rsid w:val="00875B5B"/>
    <w:rsid w:val="00876225"/>
    <w:rsid w:val="008765CE"/>
    <w:rsid w:val="00877197"/>
    <w:rsid w:val="00882593"/>
    <w:rsid w:val="00883116"/>
    <w:rsid w:val="00884BAD"/>
    <w:rsid w:val="00885D17"/>
    <w:rsid w:val="008920B0"/>
    <w:rsid w:val="00893EF0"/>
    <w:rsid w:val="00894F0F"/>
    <w:rsid w:val="008951C2"/>
    <w:rsid w:val="0089709C"/>
    <w:rsid w:val="008A55DA"/>
    <w:rsid w:val="008A5D6E"/>
    <w:rsid w:val="008B0F19"/>
    <w:rsid w:val="008B3290"/>
    <w:rsid w:val="008B459E"/>
    <w:rsid w:val="008B7821"/>
    <w:rsid w:val="008C0B51"/>
    <w:rsid w:val="008C2A9C"/>
    <w:rsid w:val="008C52A6"/>
    <w:rsid w:val="008C6A2B"/>
    <w:rsid w:val="008C6DF2"/>
    <w:rsid w:val="008D00D2"/>
    <w:rsid w:val="008D3493"/>
    <w:rsid w:val="008D459D"/>
    <w:rsid w:val="008D54BB"/>
    <w:rsid w:val="008D6EDA"/>
    <w:rsid w:val="008E13AE"/>
    <w:rsid w:val="008E1506"/>
    <w:rsid w:val="008E1C16"/>
    <w:rsid w:val="008E4845"/>
    <w:rsid w:val="008E4D79"/>
    <w:rsid w:val="008E6EA7"/>
    <w:rsid w:val="008E710C"/>
    <w:rsid w:val="008F00C6"/>
    <w:rsid w:val="008F37A3"/>
    <w:rsid w:val="008F69D6"/>
    <w:rsid w:val="008F7B9F"/>
    <w:rsid w:val="00900D49"/>
    <w:rsid w:val="00901BC8"/>
    <w:rsid w:val="00902823"/>
    <w:rsid w:val="00902EB7"/>
    <w:rsid w:val="009117C6"/>
    <w:rsid w:val="00912A6F"/>
    <w:rsid w:val="00914481"/>
    <w:rsid w:val="0091534C"/>
    <w:rsid w:val="00915CA6"/>
    <w:rsid w:val="009214FA"/>
    <w:rsid w:val="0092174C"/>
    <w:rsid w:val="00921A14"/>
    <w:rsid w:val="00921D83"/>
    <w:rsid w:val="00921E7B"/>
    <w:rsid w:val="00921ED5"/>
    <w:rsid w:val="00927834"/>
    <w:rsid w:val="00931ED5"/>
    <w:rsid w:val="00932972"/>
    <w:rsid w:val="00936F11"/>
    <w:rsid w:val="00941041"/>
    <w:rsid w:val="009424C9"/>
    <w:rsid w:val="009437A5"/>
    <w:rsid w:val="00944E21"/>
    <w:rsid w:val="009500A6"/>
    <w:rsid w:val="009542A4"/>
    <w:rsid w:val="00956931"/>
    <w:rsid w:val="00957624"/>
    <w:rsid w:val="00957C18"/>
    <w:rsid w:val="00960438"/>
    <w:rsid w:val="00964692"/>
    <w:rsid w:val="009659BA"/>
    <w:rsid w:val="00970634"/>
    <w:rsid w:val="009720FB"/>
    <w:rsid w:val="0097279E"/>
    <w:rsid w:val="0097592E"/>
    <w:rsid w:val="00981DD0"/>
    <w:rsid w:val="00982345"/>
    <w:rsid w:val="00983040"/>
    <w:rsid w:val="0098485E"/>
    <w:rsid w:val="009901FB"/>
    <w:rsid w:val="00990D4A"/>
    <w:rsid w:val="00991B4A"/>
    <w:rsid w:val="00995F5B"/>
    <w:rsid w:val="00997537"/>
    <w:rsid w:val="009A1E8D"/>
    <w:rsid w:val="009A2AC1"/>
    <w:rsid w:val="009A32FC"/>
    <w:rsid w:val="009A469A"/>
    <w:rsid w:val="009B0D4A"/>
    <w:rsid w:val="009B3FB9"/>
    <w:rsid w:val="009B4DC1"/>
    <w:rsid w:val="009B58BB"/>
    <w:rsid w:val="009B7D25"/>
    <w:rsid w:val="009C2465"/>
    <w:rsid w:val="009C4E45"/>
    <w:rsid w:val="009D097E"/>
    <w:rsid w:val="009D27D3"/>
    <w:rsid w:val="009D35A0"/>
    <w:rsid w:val="009D50F2"/>
    <w:rsid w:val="009D6B9E"/>
    <w:rsid w:val="009D7EB7"/>
    <w:rsid w:val="009E048A"/>
    <w:rsid w:val="009E08E9"/>
    <w:rsid w:val="009E0F80"/>
    <w:rsid w:val="009E3C17"/>
    <w:rsid w:val="009E3DB9"/>
    <w:rsid w:val="009E4105"/>
    <w:rsid w:val="009E642D"/>
    <w:rsid w:val="009E67D2"/>
    <w:rsid w:val="009E6E35"/>
    <w:rsid w:val="009F0EDA"/>
    <w:rsid w:val="009F309A"/>
    <w:rsid w:val="009F389F"/>
    <w:rsid w:val="009F6A4B"/>
    <w:rsid w:val="009F704E"/>
    <w:rsid w:val="00A00F8B"/>
    <w:rsid w:val="00A01953"/>
    <w:rsid w:val="00A01AF1"/>
    <w:rsid w:val="00A03B96"/>
    <w:rsid w:val="00A05B19"/>
    <w:rsid w:val="00A07886"/>
    <w:rsid w:val="00A07E2B"/>
    <w:rsid w:val="00A1134E"/>
    <w:rsid w:val="00A12876"/>
    <w:rsid w:val="00A13618"/>
    <w:rsid w:val="00A1713B"/>
    <w:rsid w:val="00A20BF5"/>
    <w:rsid w:val="00A24E7E"/>
    <w:rsid w:val="00A25622"/>
    <w:rsid w:val="00A258C3"/>
    <w:rsid w:val="00A265EE"/>
    <w:rsid w:val="00A26750"/>
    <w:rsid w:val="00A30E9B"/>
    <w:rsid w:val="00A31422"/>
    <w:rsid w:val="00A33140"/>
    <w:rsid w:val="00A336E3"/>
    <w:rsid w:val="00A3462E"/>
    <w:rsid w:val="00A347C0"/>
    <w:rsid w:val="00A34D8B"/>
    <w:rsid w:val="00A40864"/>
    <w:rsid w:val="00A439C0"/>
    <w:rsid w:val="00A47F6B"/>
    <w:rsid w:val="00A51431"/>
    <w:rsid w:val="00A515F4"/>
    <w:rsid w:val="00A5194E"/>
    <w:rsid w:val="00A537E3"/>
    <w:rsid w:val="00A539AD"/>
    <w:rsid w:val="00A549E6"/>
    <w:rsid w:val="00A55C38"/>
    <w:rsid w:val="00A6211D"/>
    <w:rsid w:val="00A7237F"/>
    <w:rsid w:val="00A757A6"/>
    <w:rsid w:val="00A75A11"/>
    <w:rsid w:val="00A76D82"/>
    <w:rsid w:val="00A80179"/>
    <w:rsid w:val="00A83770"/>
    <w:rsid w:val="00A8386B"/>
    <w:rsid w:val="00A8459E"/>
    <w:rsid w:val="00A84766"/>
    <w:rsid w:val="00A86207"/>
    <w:rsid w:val="00A874FA"/>
    <w:rsid w:val="00A875FA"/>
    <w:rsid w:val="00A87F02"/>
    <w:rsid w:val="00A921F8"/>
    <w:rsid w:val="00A94063"/>
    <w:rsid w:val="00A9444A"/>
    <w:rsid w:val="00AA058C"/>
    <w:rsid w:val="00AA0E01"/>
    <w:rsid w:val="00AA46D3"/>
    <w:rsid w:val="00AA6219"/>
    <w:rsid w:val="00AA74E0"/>
    <w:rsid w:val="00AB6637"/>
    <w:rsid w:val="00AB703F"/>
    <w:rsid w:val="00AC07DA"/>
    <w:rsid w:val="00AC5989"/>
    <w:rsid w:val="00AC6B04"/>
    <w:rsid w:val="00AC6BB8"/>
    <w:rsid w:val="00AD0446"/>
    <w:rsid w:val="00AD09F6"/>
    <w:rsid w:val="00AD13CD"/>
    <w:rsid w:val="00AD15F4"/>
    <w:rsid w:val="00AD1F56"/>
    <w:rsid w:val="00AD28AF"/>
    <w:rsid w:val="00AE008F"/>
    <w:rsid w:val="00AE047C"/>
    <w:rsid w:val="00AE78A1"/>
    <w:rsid w:val="00AF075F"/>
    <w:rsid w:val="00AF1162"/>
    <w:rsid w:val="00AF1638"/>
    <w:rsid w:val="00B00704"/>
    <w:rsid w:val="00B00C93"/>
    <w:rsid w:val="00B01FCD"/>
    <w:rsid w:val="00B0216E"/>
    <w:rsid w:val="00B02B45"/>
    <w:rsid w:val="00B0383A"/>
    <w:rsid w:val="00B0471F"/>
    <w:rsid w:val="00B0593B"/>
    <w:rsid w:val="00B147E4"/>
    <w:rsid w:val="00B16FBA"/>
    <w:rsid w:val="00B1776C"/>
    <w:rsid w:val="00B2049C"/>
    <w:rsid w:val="00B22D1D"/>
    <w:rsid w:val="00B23BD2"/>
    <w:rsid w:val="00B23C05"/>
    <w:rsid w:val="00B23F0C"/>
    <w:rsid w:val="00B3058A"/>
    <w:rsid w:val="00B31A5A"/>
    <w:rsid w:val="00B3460D"/>
    <w:rsid w:val="00B3567E"/>
    <w:rsid w:val="00B42372"/>
    <w:rsid w:val="00B42477"/>
    <w:rsid w:val="00B444BE"/>
    <w:rsid w:val="00B45838"/>
    <w:rsid w:val="00B5083A"/>
    <w:rsid w:val="00B51E4B"/>
    <w:rsid w:val="00B524E1"/>
    <w:rsid w:val="00B52896"/>
    <w:rsid w:val="00B5565A"/>
    <w:rsid w:val="00B56520"/>
    <w:rsid w:val="00B575AD"/>
    <w:rsid w:val="00B603A4"/>
    <w:rsid w:val="00B60EC8"/>
    <w:rsid w:val="00B61704"/>
    <w:rsid w:val="00B678DD"/>
    <w:rsid w:val="00B71F6C"/>
    <w:rsid w:val="00B72F45"/>
    <w:rsid w:val="00B73457"/>
    <w:rsid w:val="00B808C1"/>
    <w:rsid w:val="00B84DCD"/>
    <w:rsid w:val="00B908E0"/>
    <w:rsid w:val="00B950EE"/>
    <w:rsid w:val="00B95236"/>
    <w:rsid w:val="00B96BD9"/>
    <w:rsid w:val="00BA10ED"/>
    <w:rsid w:val="00BA16B7"/>
    <w:rsid w:val="00BA1B01"/>
    <w:rsid w:val="00BA2641"/>
    <w:rsid w:val="00BA2E10"/>
    <w:rsid w:val="00BA4B83"/>
    <w:rsid w:val="00BA5E74"/>
    <w:rsid w:val="00BA66C6"/>
    <w:rsid w:val="00BB1B5C"/>
    <w:rsid w:val="00BB3782"/>
    <w:rsid w:val="00BB37AA"/>
    <w:rsid w:val="00BB3997"/>
    <w:rsid w:val="00BB403D"/>
    <w:rsid w:val="00BB4639"/>
    <w:rsid w:val="00BB5579"/>
    <w:rsid w:val="00BC3955"/>
    <w:rsid w:val="00BC53A0"/>
    <w:rsid w:val="00BD5879"/>
    <w:rsid w:val="00BD73C3"/>
    <w:rsid w:val="00BE4ED3"/>
    <w:rsid w:val="00BE62AD"/>
    <w:rsid w:val="00BF121F"/>
    <w:rsid w:val="00BF1F80"/>
    <w:rsid w:val="00BF21A5"/>
    <w:rsid w:val="00BF2F25"/>
    <w:rsid w:val="00BF30F8"/>
    <w:rsid w:val="00BF350C"/>
    <w:rsid w:val="00BF460B"/>
    <w:rsid w:val="00BF547A"/>
    <w:rsid w:val="00BF54B1"/>
    <w:rsid w:val="00C01110"/>
    <w:rsid w:val="00C04180"/>
    <w:rsid w:val="00C05C49"/>
    <w:rsid w:val="00C05F60"/>
    <w:rsid w:val="00C115F4"/>
    <w:rsid w:val="00C14411"/>
    <w:rsid w:val="00C166EF"/>
    <w:rsid w:val="00C17EB0"/>
    <w:rsid w:val="00C21103"/>
    <w:rsid w:val="00C22B97"/>
    <w:rsid w:val="00C25200"/>
    <w:rsid w:val="00C2690D"/>
    <w:rsid w:val="00C2746E"/>
    <w:rsid w:val="00C27515"/>
    <w:rsid w:val="00C27F5F"/>
    <w:rsid w:val="00C301C6"/>
    <w:rsid w:val="00C30A0F"/>
    <w:rsid w:val="00C3633A"/>
    <w:rsid w:val="00C36F4F"/>
    <w:rsid w:val="00C37E61"/>
    <w:rsid w:val="00C41A74"/>
    <w:rsid w:val="00C43D37"/>
    <w:rsid w:val="00C43FAB"/>
    <w:rsid w:val="00C46683"/>
    <w:rsid w:val="00C46F4A"/>
    <w:rsid w:val="00C47888"/>
    <w:rsid w:val="00C52E1B"/>
    <w:rsid w:val="00C55900"/>
    <w:rsid w:val="00C55F2B"/>
    <w:rsid w:val="00C610C1"/>
    <w:rsid w:val="00C63DDB"/>
    <w:rsid w:val="00C65C65"/>
    <w:rsid w:val="00C66B93"/>
    <w:rsid w:val="00C70938"/>
    <w:rsid w:val="00C70F1B"/>
    <w:rsid w:val="00C714B6"/>
    <w:rsid w:val="00C71A47"/>
    <w:rsid w:val="00C72D6C"/>
    <w:rsid w:val="00C74049"/>
    <w:rsid w:val="00C7464C"/>
    <w:rsid w:val="00C74D81"/>
    <w:rsid w:val="00C74DF1"/>
    <w:rsid w:val="00C77999"/>
    <w:rsid w:val="00C77DDB"/>
    <w:rsid w:val="00C81D94"/>
    <w:rsid w:val="00C833E4"/>
    <w:rsid w:val="00C85221"/>
    <w:rsid w:val="00C85588"/>
    <w:rsid w:val="00C85718"/>
    <w:rsid w:val="00C90B5E"/>
    <w:rsid w:val="00C92C37"/>
    <w:rsid w:val="00C938B8"/>
    <w:rsid w:val="00C95B31"/>
    <w:rsid w:val="00C95E10"/>
    <w:rsid w:val="00C965FC"/>
    <w:rsid w:val="00C976E7"/>
    <w:rsid w:val="00CA1DE9"/>
    <w:rsid w:val="00CA2775"/>
    <w:rsid w:val="00CA60D9"/>
    <w:rsid w:val="00CA6B33"/>
    <w:rsid w:val="00CB0FE2"/>
    <w:rsid w:val="00CB110A"/>
    <w:rsid w:val="00CB14D9"/>
    <w:rsid w:val="00CB64D9"/>
    <w:rsid w:val="00CC0944"/>
    <w:rsid w:val="00CC246C"/>
    <w:rsid w:val="00CC6B1C"/>
    <w:rsid w:val="00CD0A99"/>
    <w:rsid w:val="00CD0CBF"/>
    <w:rsid w:val="00CD1EE5"/>
    <w:rsid w:val="00CD6755"/>
    <w:rsid w:val="00CD6856"/>
    <w:rsid w:val="00CD6ED2"/>
    <w:rsid w:val="00CE0089"/>
    <w:rsid w:val="00CE27AC"/>
    <w:rsid w:val="00CE46E3"/>
    <w:rsid w:val="00CE69B4"/>
    <w:rsid w:val="00CE793C"/>
    <w:rsid w:val="00CF2BBC"/>
    <w:rsid w:val="00CF30C6"/>
    <w:rsid w:val="00CF4BB8"/>
    <w:rsid w:val="00CF7C3E"/>
    <w:rsid w:val="00D02153"/>
    <w:rsid w:val="00D0601E"/>
    <w:rsid w:val="00D066D1"/>
    <w:rsid w:val="00D069AF"/>
    <w:rsid w:val="00D124B3"/>
    <w:rsid w:val="00D1320B"/>
    <w:rsid w:val="00D1425C"/>
    <w:rsid w:val="00D14A57"/>
    <w:rsid w:val="00D15A88"/>
    <w:rsid w:val="00D173F1"/>
    <w:rsid w:val="00D20882"/>
    <w:rsid w:val="00D27C8C"/>
    <w:rsid w:val="00D342A8"/>
    <w:rsid w:val="00D3494F"/>
    <w:rsid w:val="00D35489"/>
    <w:rsid w:val="00D3672B"/>
    <w:rsid w:val="00D373CC"/>
    <w:rsid w:val="00D37904"/>
    <w:rsid w:val="00D41203"/>
    <w:rsid w:val="00D41CE1"/>
    <w:rsid w:val="00D434FC"/>
    <w:rsid w:val="00D4433F"/>
    <w:rsid w:val="00D45500"/>
    <w:rsid w:val="00D47AE7"/>
    <w:rsid w:val="00D51A32"/>
    <w:rsid w:val="00D53461"/>
    <w:rsid w:val="00D539D8"/>
    <w:rsid w:val="00D57155"/>
    <w:rsid w:val="00D61158"/>
    <w:rsid w:val="00D617AA"/>
    <w:rsid w:val="00D6587A"/>
    <w:rsid w:val="00D67255"/>
    <w:rsid w:val="00D673EC"/>
    <w:rsid w:val="00D7711B"/>
    <w:rsid w:val="00D811CD"/>
    <w:rsid w:val="00D8295D"/>
    <w:rsid w:val="00D830EA"/>
    <w:rsid w:val="00D905F7"/>
    <w:rsid w:val="00D90D5F"/>
    <w:rsid w:val="00D94091"/>
    <w:rsid w:val="00D94C28"/>
    <w:rsid w:val="00DA0C59"/>
    <w:rsid w:val="00DA4D68"/>
    <w:rsid w:val="00DA5069"/>
    <w:rsid w:val="00DA71F7"/>
    <w:rsid w:val="00DB1200"/>
    <w:rsid w:val="00DB1202"/>
    <w:rsid w:val="00DB2471"/>
    <w:rsid w:val="00DB2630"/>
    <w:rsid w:val="00DB32EC"/>
    <w:rsid w:val="00DB33F0"/>
    <w:rsid w:val="00DB6ABE"/>
    <w:rsid w:val="00DB73F9"/>
    <w:rsid w:val="00DC2A65"/>
    <w:rsid w:val="00DC34E6"/>
    <w:rsid w:val="00DC536A"/>
    <w:rsid w:val="00DD09F1"/>
    <w:rsid w:val="00DD0D2C"/>
    <w:rsid w:val="00DD0D49"/>
    <w:rsid w:val="00DD2930"/>
    <w:rsid w:val="00DD372D"/>
    <w:rsid w:val="00DE031D"/>
    <w:rsid w:val="00DE0441"/>
    <w:rsid w:val="00DE15F0"/>
    <w:rsid w:val="00DE2CA4"/>
    <w:rsid w:val="00DE31D8"/>
    <w:rsid w:val="00DE5663"/>
    <w:rsid w:val="00DE78AA"/>
    <w:rsid w:val="00DF1885"/>
    <w:rsid w:val="00DF61BB"/>
    <w:rsid w:val="00DF6D1D"/>
    <w:rsid w:val="00DF784C"/>
    <w:rsid w:val="00E00B80"/>
    <w:rsid w:val="00E01E6D"/>
    <w:rsid w:val="00E02838"/>
    <w:rsid w:val="00E02FE9"/>
    <w:rsid w:val="00E053D0"/>
    <w:rsid w:val="00E07E58"/>
    <w:rsid w:val="00E100BB"/>
    <w:rsid w:val="00E1035F"/>
    <w:rsid w:val="00E10A13"/>
    <w:rsid w:val="00E140AF"/>
    <w:rsid w:val="00E15994"/>
    <w:rsid w:val="00E16673"/>
    <w:rsid w:val="00E1671D"/>
    <w:rsid w:val="00E175CD"/>
    <w:rsid w:val="00E20504"/>
    <w:rsid w:val="00E209D4"/>
    <w:rsid w:val="00E20D42"/>
    <w:rsid w:val="00E25FF5"/>
    <w:rsid w:val="00E26B13"/>
    <w:rsid w:val="00E3114E"/>
    <w:rsid w:val="00E31A70"/>
    <w:rsid w:val="00E31D7D"/>
    <w:rsid w:val="00E31F82"/>
    <w:rsid w:val="00E3364C"/>
    <w:rsid w:val="00E34C72"/>
    <w:rsid w:val="00E35B02"/>
    <w:rsid w:val="00E3684C"/>
    <w:rsid w:val="00E37494"/>
    <w:rsid w:val="00E406BA"/>
    <w:rsid w:val="00E42E43"/>
    <w:rsid w:val="00E42FC3"/>
    <w:rsid w:val="00E44A74"/>
    <w:rsid w:val="00E44F38"/>
    <w:rsid w:val="00E4514B"/>
    <w:rsid w:val="00E45B0C"/>
    <w:rsid w:val="00E514FE"/>
    <w:rsid w:val="00E55E6C"/>
    <w:rsid w:val="00E60B5F"/>
    <w:rsid w:val="00E60E31"/>
    <w:rsid w:val="00E6337D"/>
    <w:rsid w:val="00E66496"/>
    <w:rsid w:val="00E66B35"/>
    <w:rsid w:val="00E66E10"/>
    <w:rsid w:val="00E70393"/>
    <w:rsid w:val="00E7582E"/>
    <w:rsid w:val="00E769F6"/>
    <w:rsid w:val="00E76B0C"/>
    <w:rsid w:val="00E771E9"/>
    <w:rsid w:val="00E80BC7"/>
    <w:rsid w:val="00E82F00"/>
    <w:rsid w:val="00E8407C"/>
    <w:rsid w:val="00E842ED"/>
    <w:rsid w:val="00E84E6B"/>
    <w:rsid w:val="00E84F3C"/>
    <w:rsid w:val="00E90629"/>
    <w:rsid w:val="00E920E0"/>
    <w:rsid w:val="00E9222E"/>
    <w:rsid w:val="00E925FB"/>
    <w:rsid w:val="00E928F6"/>
    <w:rsid w:val="00E965B7"/>
    <w:rsid w:val="00EA012C"/>
    <w:rsid w:val="00EA02A8"/>
    <w:rsid w:val="00EA2B8E"/>
    <w:rsid w:val="00EA3ADC"/>
    <w:rsid w:val="00EA5632"/>
    <w:rsid w:val="00EA7AA2"/>
    <w:rsid w:val="00EB38C6"/>
    <w:rsid w:val="00EB419C"/>
    <w:rsid w:val="00EB45EF"/>
    <w:rsid w:val="00EB4CEA"/>
    <w:rsid w:val="00EB5687"/>
    <w:rsid w:val="00EC0982"/>
    <w:rsid w:val="00EC0AE8"/>
    <w:rsid w:val="00EC1CA0"/>
    <w:rsid w:val="00EC3439"/>
    <w:rsid w:val="00EC3A55"/>
    <w:rsid w:val="00EC3C91"/>
    <w:rsid w:val="00EC748B"/>
    <w:rsid w:val="00EC7526"/>
    <w:rsid w:val="00ED0288"/>
    <w:rsid w:val="00ED0E24"/>
    <w:rsid w:val="00ED104B"/>
    <w:rsid w:val="00ED31C9"/>
    <w:rsid w:val="00ED3909"/>
    <w:rsid w:val="00ED4048"/>
    <w:rsid w:val="00ED509C"/>
    <w:rsid w:val="00EE1B39"/>
    <w:rsid w:val="00EE52CB"/>
    <w:rsid w:val="00EE6506"/>
    <w:rsid w:val="00EF3656"/>
    <w:rsid w:val="00EF581D"/>
    <w:rsid w:val="00EF79D2"/>
    <w:rsid w:val="00EF7FD8"/>
    <w:rsid w:val="00F03A18"/>
    <w:rsid w:val="00F06F59"/>
    <w:rsid w:val="00F11133"/>
    <w:rsid w:val="00F12473"/>
    <w:rsid w:val="00F173B3"/>
    <w:rsid w:val="00F17455"/>
    <w:rsid w:val="00F17988"/>
    <w:rsid w:val="00F32404"/>
    <w:rsid w:val="00F43968"/>
    <w:rsid w:val="00F44838"/>
    <w:rsid w:val="00F45963"/>
    <w:rsid w:val="00F45C8A"/>
    <w:rsid w:val="00F469F0"/>
    <w:rsid w:val="00F500FB"/>
    <w:rsid w:val="00F523BF"/>
    <w:rsid w:val="00F53273"/>
    <w:rsid w:val="00F565F7"/>
    <w:rsid w:val="00F56687"/>
    <w:rsid w:val="00F60F31"/>
    <w:rsid w:val="00F62FC1"/>
    <w:rsid w:val="00F63609"/>
    <w:rsid w:val="00F64D4F"/>
    <w:rsid w:val="00F700E7"/>
    <w:rsid w:val="00F71BC2"/>
    <w:rsid w:val="00F72055"/>
    <w:rsid w:val="00F73199"/>
    <w:rsid w:val="00F73B46"/>
    <w:rsid w:val="00F75086"/>
    <w:rsid w:val="00F755E4"/>
    <w:rsid w:val="00F77D02"/>
    <w:rsid w:val="00F8177D"/>
    <w:rsid w:val="00F83953"/>
    <w:rsid w:val="00F84D33"/>
    <w:rsid w:val="00F85F99"/>
    <w:rsid w:val="00F913AB"/>
    <w:rsid w:val="00F914E1"/>
    <w:rsid w:val="00F9352D"/>
    <w:rsid w:val="00F95F96"/>
    <w:rsid w:val="00F9612B"/>
    <w:rsid w:val="00F96DD5"/>
    <w:rsid w:val="00F96E7C"/>
    <w:rsid w:val="00F97EA1"/>
    <w:rsid w:val="00F97ED6"/>
    <w:rsid w:val="00F97F93"/>
    <w:rsid w:val="00FA6C5B"/>
    <w:rsid w:val="00FB1014"/>
    <w:rsid w:val="00FB111B"/>
    <w:rsid w:val="00FB3A86"/>
    <w:rsid w:val="00FB49F6"/>
    <w:rsid w:val="00FB4A17"/>
    <w:rsid w:val="00FC1568"/>
    <w:rsid w:val="00FC1F34"/>
    <w:rsid w:val="00FC20A1"/>
    <w:rsid w:val="00FC2C6A"/>
    <w:rsid w:val="00FC337A"/>
    <w:rsid w:val="00FC672F"/>
    <w:rsid w:val="00FC6D05"/>
    <w:rsid w:val="00FD1D90"/>
    <w:rsid w:val="00FD1F50"/>
    <w:rsid w:val="00FD2829"/>
    <w:rsid w:val="00FD36C8"/>
    <w:rsid w:val="00FD53CB"/>
    <w:rsid w:val="00FD733F"/>
    <w:rsid w:val="00FE467E"/>
    <w:rsid w:val="00FE4E74"/>
    <w:rsid w:val="00FF2D82"/>
    <w:rsid w:val="04FE336C"/>
    <w:rsid w:val="177A1543"/>
    <w:rsid w:val="1AED4F6D"/>
    <w:rsid w:val="1CE407F6"/>
    <w:rsid w:val="1EAF00E5"/>
    <w:rsid w:val="242D00CD"/>
    <w:rsid w:val="2F694FD6"/>
    <w:rsid w:val="2F8D36F1"/>
    <w:rsid w:val="33552041"/>
    <w:rsid w:val="35715760"/>
    <w:rsid w:val="38C522B1"/>
    <w:rsid w:val="44B83ECB"/>
    <w:rsid w:val="51CD68F5"/>
    <w:rsid w:val="59926664"/>
    <w:rsid w:val="5B3D7A74"/>
    <w:rsid w:val="5F935D39"/>
    <w:rsid w:val="63F7602E"/>
    <w:rsid w:val="6A7021B1"/>
    <w:rsid w:val="75B11178"/>
    <w:rsid w:val="79AC7120"/>
    <w:rsid w:val="7B163B18"/>
    <w:rsid w:val="7B4A3534"/>
    <w:rsid w:val="7C0A5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qFormat="1" w:unhideWhenUsed="0" w:uiPriority="0" w:semiHidden="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Helvetica" w:hAnsi="Helvetica" w:eastAsia="Times New Roman" w:cs="Times New Roman"/>
      <w:lang w:val="en-US" w:eastAsia="en-US" w:bidi="ar-SA"/>
    </w:rPr>
  </w:style>
  <w:style w:type="paragraph" w:styleId="2">
    <w:name w:val="heading 1"/>
    <w:basedOn w:val="1"/>
    <w:next w:val="1"/>
    <w:qFormat/>
    <w:uiPriority w:val="0"/>
    <w:pPr>
      <w:keepNext/>
      <w:spacing w:before="240" w:after="60"/>
      <w:outlineLvl w:val="0"/>
    </w:pPr>
    <w:rPr>
      <w:rFonts w:ascii="Arial" w:hAnsi="Arial"/>
      <w:b/>
      <w:kern w:val="28"/>
      <w:sz w:val="28"/>
    </w:rPr>
  </w:style>
  <w:style w:type="paragraph" w:styleId="3">
    <w:name w:val="heading 3"/>
    <w:basedOn w:val="1"/>
    <w:next w:val="1"/>
    <w:link w:val="64"/>
    <w:unhideWhenUsed/>
    <w:qFormat/>
    <w:uiPriority w:val="9"/>
    <w:pPr>
      <w:keepNext/>
      <w:keepLines/>
      <w:spacing w:before="200" w:line="276" w:lineRule="auto"/>
      <w:outlineLvl w:val="2"/>
    </w:pPr>
    <w:rPr>
      <w:rFonts w:asciiTheme="majorHAnsi" w:hAnsiTheme="majorHAnsi" w:eastAsiaTheme="majorEastAsia" w:cstheme="majorBidi"/>
      <w:b/>
      <w:bCs/>
      <w:color w:val="4F81BD" w:themeColor="accent1"/>
      <w:sz w:val="22"/>
      <w:szCs w:val="22"/>
      <w14:textFill>
        <w14:solidFill>
          <w14:schemeClr w14:val="accent1"/>
        </w14:solidFill>
      </w14:textFill>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62"/>
    <w:qFormat/>
    <w:uiPriority w:val="0"/>
    <w:rPr>
      <w:rFonts w:ascii="Tahoma" w:hAnsi="Tahoma" w:cs="Tahoma"/>
      <w:sz w:val="16"/>
      <w:szCs w:val="16"/>
    </w:rPr>
  </w:style>
  <w:style w:type="paragraph" w:styleId="7">
    <w:name w:val="Body Text 2"/>
    <w:basedOn w:val="1"/>
    <w:link w:val="60"/>
    <w:qFormat/>
    <w:uiPriority w:val="0"/>
    <w:pPr>
      <w:spacing w:after="120" w:line="480" w:lineRule="auto"/>
    </w:pPr>
  </w:style>
  <w:style w:type="paragraph" w:styleId="8">
    <w:name w:val="Body Text 3"/>
    <w:basedOn w:val="1"/>
    <w:link w:val="63"/>
    <w:qFormat/>
    <w:uiPriority w:val="0"/>
    <w:pPr>
      <w:spacing w:after="120"/>
    </w:pPr>
    <w:rPr>
      <w:sz w:val="16"/>
      <w:szCs w:val="16"/>
    </w:rPr>
  </w:style>
  <w:style w:type="character" w:styleId="9">
    <w:name w:val="annotation reference"/>
    <w:basedOn w:val="4"/>
    <w:unhideWhenUsed/>
    <w:qFormat/>
    <w:uiPriority w:val="99"/>
    <w:rPr>
      <w:sz w:val="16"/>
      <w:szCs w:val="16"/>
    </w:rPr>
  </w:style>
  <w:style w:type="paragraph" w:styleId="10">
    <w:name w:val="annotation text"/>
    <w:basedOn w:val="1"/>
    <w:link w:val="61"/>
    <w:unhideWhenUsed/>
    <w:qFormat/>
    <w:uiPriority w:val="99"/>
    <w:rPr>
      <w:rFonts w:ascii="Times New Roman" w:hAnsi="Times New Roman"/>
      <w:lang w:val="nb-NO" w:eastAsia="nb-NO"/>
    </w:rPr>
  </w:style>
  <w:style w:type="paragraph" w:styleId="11">
    <w:name w:val="annotation subject"/>
    <w:basedOn w:val="10"/>
    <w:next w:val="10"/>
    <w:link w:val="67"/>
    <w:semiHidden/>
    <w:unhideWhenUsed/>
    <w:qFormat/>
    <w:uiPriority w:val="0"/>
    <w:rPr>
      <w:rFonts w:ascii="Helvetica" w:hAnsi="Helvetica"/>
      <w:b/>
      <w:bCs/>
      <w:lang w:val="en-US" w:eastAsia="en-US"/>
    </w:rPr>
  </w:style>
  <w:style w:type="character" w:styleId="12">
    <w:name w:val="Emphasis"/>
    <w:basedOn w:val="4"/>
    <w:qFormat/>
    <w:uiPriority w:val="20"/>
    <w:rPr>
      <w:i/>
      <w:iCs/>
    </w:rPr>
  </w:style>
  <w:style w:type="character" w:styleId="13">
    <w:name w:val="FollowedHyperlink"/>
    <w:basedOn w:val="4"/>
    <w:qFormat/>
    <w:uiPriority w:val="0"/>
    <w:rPr>
      <w:color w:val="800080"/>
      <w:u w:val="single"/>
    </w:rPr>
  </w:style>
  <w:style w:type="paragraph" w:styleId="14">
    <w:name w:val="footer"/>
    <w:basedOn w:val="1"/>
    <w:qFormat/>
    <w:uiPriority w:val="0"/>
    <w:pPr>
      <w:tabs>
        <w:tab w:val="center" w:pos="4320"/>
        <w:tab w:val="right" w:pos="8640"/>
      </w:tabs>
    </w:pPr>
  </w:style>
  <w:style w:type="paragraph" w:styleId="15">
    <w:name w:val="header"/>
    <w:basedOn w:val="1"/>
    <w:qFormat/>
    <w:uiPriority w:val="0"/>
    <w:pPr>
      <w:tabs>
        <w:tab w:val="center" w:pos="4320"/>
        <w:tab w:val="right" w:pos="8640"/>
      </w:tabs>
    </w:pPr>
  </w:style>
  <w:style w:type="character" w:styleId="16">
    <w:name w:val="Hyperlink"/>
    <w:basedOn w:val="4"/>
    <w:qFormat/>
    <w:uiPriority w:val="0"/>
    <w:rPr>
      <w:color w:val="FF0080"/>
      <w:u w:val="single"/>
    </w:rPr>
  </w:style>
  <w:style w:type="character" w:styleId="17">
    <w:name w:val="line number"/>
    <w:basedOn w:val="4"/>
    <w:qFormat/>
    <w:uiPriority w:val="0"/>
  </w:style>
  <w:style w:type="paragraph" w:styleId="18">
    <w:name w:val="Signature"/>
    <w:basedOn w:val="1"/>
    <w:qFormat/>
    <w:uiPriority w:val="0"/>
    <w:pPr>
      <w:ind w:left="4320"/>
    </w:pPr>
  </w:style>
  <w:style w:type="table" w:styleId="19">
    <w:name w:val="Table Grid"/>
    <w:basedOn w:val="5"/>
    <w:qFormat/>
    <w:uiPriority w:val="59"/>
    <w:rPr>
      <w:rFonts w:ascii="Calibri" w:hAnsi="Calibri" w:eastAsia="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20">
    <w:name w:val="Title"/>
    <w:basedOn w:val="1"/>
    <w:qFormat/>
    <w:uiPriority w:val="0"/>
    <w:pPr>
      <w:spacing w:after="360"/>
      <w:jc w:val="right"/>
    </w:pPr>
    <w:rPr>
      <w:b/>
      <w:kern w:val="28"/>
      <w:sz w:val="36"/>
    </w:rPr>
  </w:style>
  <w:style w:type="paragraph" w:customStyle="1" w:styleId="21">
    <w:name w:val="Author"/>
    <w:basedOn w:val="1"/>
    <w:qFormat/>
    <w:uiPriority w:val="0"/>
    <w:pPr>
      <w:spacing w:line="280" w:lineRule="exact"/>
      <w:jc w:val="right"/>
    </w:pPr>
    <w:rPr>
      <w:b/>
      <w:sz w:val="24"/>
    </w:rPr>
  </w:style>
  <w:style w:type="paragraph" w:customStyle="1" w:styleId="22">
    <w:name w:val="Affiliation"/>
    <w:basedOn w:val="1"/>
    <w:qFormat/>
    <w:uiPriority w:val="0"/>
    <w:pPr>
      <w:spacing w:after="240" w:line="240" w:lineRule="exact"/>
      <w:jc w:val="right"/>
    </w:pPr>
  </w:style>
  <w:style w:type="paragraph" w:customStyle="1" w:styleId="23">
    <w:name w:val="Body"/>
    <w:basedOn w:val="1"/>
    <w:qFormat/>
    <w:uiPriority w:val="0"/>
    <w:pPr>
      <w:spacing w:after="240"/>
      <w:jc w:val="both"/>
    </w:pPr>
  </w:style>
  <w:style w:type="paragraph" w:customStyle="1" w:styleId="24">
    <w:name w:val="Abst Head"/>
    <w:basedOn w:val="25"/>
    <w:qFormat/>
    <w:uiPriority w:val="0"/>
    <w:rPr>
      <w:sz w:val="22"/>
    </w:rPr>
  </w:style>
  <w:style w:type="paragraph" w:customStyle="1" w:styleId="25">
    <w:name w:val="Main Head"/>
    <w:basedOn w:val="1"/>
    <w:qFormat/>
    <w:uiPriority w:val="0"/>
    <w:pPr>
      <w:keepNext/>
      <w:spacing w:after="240"/>
    </w:pPr>
    <w:rPr>
      <w:b/>
      <w:caps/>
    </w:rPr>
  </w:style>
  <w:style w:type="paragraph" w:customStyle="1" w:styleId="26">
    <w:name w:val="Intro Head"/>
    <w:basedOn w:val="25"/>
    <w:qFormat/>
    <w:uiPriority w:val="0"/>
    <w:rPr>
      <w:sz w:val="22"/>
    </w:rPr>
  </w:style>
  <w:style w:type="paragraph" w:customStyle="1" w:styleId="27">
    <w:name w:val="Paper Number"/>
    <w:basedOn w:val="1"/>
    <w:qFormat/>
    <w:uiPriority w:val="0"/>
    <w:pPr>
      <w:spacing w:after="280" w:line="280" w:lineRule="exact"/>
      <w:jc w:val="right"/>
    </w:pPr>
    <w:rPr>
      <w:b/>
      <w:sz w:val="28"/>
    </w:rPr>
  </w:style>
  <w:style w:type="paragraph" w:customStyle="1" w:styleId="28">
    <w:name w:val="Conc Head"/>
    <w:basedOn w:val="25"/>
    <w:uiPriority w:val="0"/>
    <w:rPr>
      <w:sz w:val="22"/>
    </w:rPr>
  </w:style>
  <w:style w:type="paragraph" w:customStyle="1" w:styleId="29">
    <w:name w:val="Ackn Head"/>
    <w:basedOn w:val="25"/>
    <w:uiPriority w:val="0"/>
    <w:rPr>
      <w:sz w:val="22"/>
    </w:rPr>
  </w:style>
  <w:style w:type="paragraph" w:customStyle="1" w:styleId="30">
    <w:name w:val="Refer Head"/>
    <w:basedOn w:val="25"/>
    <w:qFormat/>
    <w:uiPriority w:val="0"/>
    <w:rPr>
      <w:sz w:val="22"/>
    </w:rPr>
  </w:style>
  <w:style w:type="paragraph" w:customStyle="1" w:styleId="31">
    <w:name w:val="AddSrc Head"/>
    <w:basedOn w:val="25"/>
    <w:qFormat/>
    <w:uiPriority w:val="0"/>
    <w:rPr>
      <w:sz w:val="22"/>
    </w:rPr>
  </w:style>
  <w:style w:type="paragraph" w:customStyle="1" w:styleId="32">
    <w:name w:val="DefAcrHead"/>
    <w:basedOn w:val="25"/>
    <w:qFormat/>
    <w:uiPriority w:val="0"/>
    <w:rPr>
      <w:sz w:val="22"/>
    </w:rPr>
  </w:style>
  <w:style w:type="paragraph" w:customStyle="1" w:styleId="33">
    <w:name w:val="Copyright"/>
    <w:basedOn w:val="1"/>
    <w:qFormat/>
    <w:uiPriority w:val="0"/>
    <w:pPr>
      <w:spacing w:after="960" w:line="200" w:lineRule="exact"/>
    </w:pPr>
    <w:rPr>
      <w:sz w:val="16"/>
    </w:rPr>
  </w:style>
  <w:style w:type="paragraph" w:customStyle="1" w:styleId="34">
    <w:name w:val="Reference"/>
    <w:basedOn w:val="23"/>
    <w:qFormat/>
    <w:uiPriority w:val="0"/>
    <w:pPr>
      <w:numPr>
        <w:ilvl w:val="0"/>
        <w:numId w:val="1"/>
      </w:numPr>
      <w:spacing w:after="0" w:line="240" w:lineRule="exact"/>
    </w:pPr>
  </w:style>
  <w:style w:type="paragraph" w:customStyle="1" w:styleId="35">
    <w:name w:val="Head1"/>
    <w:basedOn w:val="25"/>
    <w:qFormat/>
    <w:uiPriority w:val="0"/>
    <w:rPr>
      <w:sz w:val="22"/>
    </w:rPr>
  </w:style>
  <w:style w:type="paragraph" w:customStyle="1" w:styleId="36">
    <w:name w:val="Contact Head"/>
    <w:basedOn w:val="25"/>
    <w:qFormat/>
    <w:uiPriority w:val="0"/>
    <w:rPr>
      <w:sz w:val="22"/>
    </w:rPr>
  </w:style>
  <w:style w:type="paragraph" w:customStyle="1" w:styleId="37">
    <w:name w:val="Head3"/>
    <w:basedOn w:val="38"/>
    <w:qFormat/>
    <w:uiPriority w:val="0"/>
    <w:rPr>
      <w:caps w:val="0"/>
      <w:u w:val="single"/>
    </w:rPr>
  </w:style>
  <w:style w:type="paragraph" w:customStyle="1" w:styleId="38">
    <w:name w:val="Head2"/>
    <w:basedOn w:val="1"/>
    <w:next w:val="23"/>
    <w:qFormat/>
    <w:uiPriority w:val="0"/>
    <w:pPr>
      <w:keepNext/>
      <w:spacing w:after="240"/>
    </w:pPr>
    <w:rPr>
      <w:caps/>
    </w:rPr>
  </w:style>
  <w:style w:type="paragraph" w:customStyle="1" w:styleId="39">
    <w:name w:val="Head4"/>
    <w:basedOn w:val="37"/>
    <w:qFormat/>
    <w:uiPriority w:val="0"/>
    <w:rPr>
      <w:u w:val="none"/>
    </w:rPr>
  </w:style>
  <w:style w:type="paragraph" w:customStyle="1" w:styleId="40">
    <w:name w:val="Unord List"/>
    <w:basedOn w:val="23"/>
    <w:qFormat/>
    <w:uiPriority w:val="0"/>
    <w:pPr>
      <w:spacing w:after="0"/>
      <w:ind w:left="360" w:hanging="360"/>
    </w:pPr>
  </w:style>
  <w:style w:type="paragraph" w:customStyle="1" w:styleId="41">
    <w:name w:val="Ord List"/>
    <w:basedOn w:val="40"/>
    <w:qFormat/>
    <w:uiPriority w:val="0"/>
    <w:pPr>
      <w:jc w:val="left"/>
    </w:pPr>
  </w:style>
  <w:style w:type="paragraph" w:customStyle="1" w:styleId="42">
    <w:name w:val="Appendix"/>
    <w:basedOn w:val="25"/>
    <w:qFormat/>
    <w:uiPriority w:val="0"/>
    <w:rPr>
      <w:sz w:val="22"/>
    </w:rPr>
  </w:style>
  <w:style w:type="paragraph" w:customStyle="1" w:styleId="43">
    <w:name w:val="Term"/>
    <w:basedOn w:val="23"/>
    <w:qFormat/>
    <w:uiPriority w:val="0"/>
    <w:pPr>
      <w:spacing w:after="0"/>
    </w:pPr>
    <w:rPr>
      <w:b/>
    </w:rPr>
  </w:style>
  <w:style w:type="paragraph" w:customStyle="1" w:styleId="44">
    <w:name w:val="Definition"/>
    <w:basedOn w:val="23"/>
    <w:qFormat/>
    <w:uiPriority w:val="0"/>
  </w:style>
  <w:style w:type="character" w:customStyle="1" w:styleId="45">
    <w:name w:val="Bold"/>
    <w:qFormat/>
    <w:uiPriority w:val="0"/>
    <w:rPr>
      <w:b/>
    </w:rPr>
  </w:style>
  <w:style w:type="character" w:customStyle="1" w:styleId="46">
    <w:name w:val="Italic"/>
    <w:qFormat/>
    <w:uiPriority w:val="0"/>
    <w:rPr>
      <w:i/>
    </w:rPr>
  </w:style>
  <w:style w:type="character" w:customStyle="1" w:styleId="47">
    <w:name w:val="Underline"/>
    <w:qFormat/>
    <w:uiPriority w:val="0"/>
    <w:rPr>
      <w:u w:val="single"/>
    </w:rPr>
  </w:style>
  <w:style w:type="paragraph" w:customStyle="1" w:styleId="48">
    <w:name w:val="Equation"/>
    <w:basedOn w:val="23"/>
    <w:qFormat/>
    <w:uiPriority w:val="0"/>
  </w:style>
  <w:style w:type="paragraph" w:customStyle="1" w:styleId="49">
    <w:name w:val="Figure"/>
    <w:basedOn w:val="33"/>
    <w:qFormat/>
    <w:uiPriority w:val="0"/>
    <w:pPr>
      <w:spacing w:after="240"/>
    </w:pPr>
    <w:rPr>
      <w:sz w:val="20"/>
    </w:rPr>
  </w:style>
  <w:style w:type="paragraph" w:customStyle="1" w:styleId="50">
    <w:name w:val="Head 4"/>
    <w:basedOn w:val="37"/>
    <w:qFormat/>
    <w:uiPriority w:val="0"/>
    <w:rPr>
      <w:u w:val="none"/>
    </w:rPr>
  </w:style>
  <w:style w:type="paragraph" w:customStyle="1" w:styleId="51">
    <w:name w:val="Paper"/>
    <w:basedOn w:val="1"/>
    <w:qFormat/>
    <w:uiPriority w:val="0"/>
    <w:pPr>
      <w:spacing w:after="360" w:line="440" w:lineRule="exact"/>
      <w:jc w:val="right"/>
    </w:pPr>
    <w:rPr>
      <w:b/>
      <w:sz w:val="36"/>
    </w:rPr>
  </w:style>
  <w:style w:type="character" w:customStyle="1" w:styleId="52">
    <w:name w:val="Subscript"/>
    <w:qFormat/>
    <w:uiPriority w:val="0"/>
    <w:rPr>
      <w:vertAlign w:val="subscript"/>
    </w:rPr>
  </w:style>
  <w:style w:type="character" w:customStyle="1" w:styleId="53">
    <w:name w:val="Superscript"/>
    <w:qFormat/>
    <w:uiPriority w:val="0"/>
    <w:rPr>
      <w:vertAlign w:val="superscript"/>
    </w:rPr>
  </w:style>
  <w:style w:type="character" w:customStyle="1" w:styleId="54">
    <w:name w:val="Symbol"/>
    <w:qFormat/>
    <w:uiPriority w:val="0"/>
    <w:rPr>
      <w:rFonts w:ascii="Symbol" w:hAnsi="Symbol"/>
    </w:rPr>
  </w:style>
  <w:style w:type="paragraph" w:customStyle="1" w:styleId="55">
    <w:name w:val="Symbol P"/>
    <w:basedOn w:val="23"/>
    <w:qFormat/>
    <w:uiPriority w:val="0"/>
    <w:pPr>
      <w:tabs>
        <w:tab w:val="left" w:pos="720"/>
        <w:tab w:val="left" w:pos="3780"/>
      </w:tabs>
      <w:spacing w:after="0"/>
    </w:pPr>
    <w:rPr>
      <w:sz w:val="24"/>
    </w:rPr>
  </w:style>
  <w:style w:type="character" w:customStyle="1" w:styleId="56">
    <w:name w:val="BoldItal"/>
    <w:basedOn w:val="4"/>
    <w:qFormat/>
    <w:uiPriority w:val="0"/>
    <w:rPr>
      <w:b/>
      <w:i/>
    </w:rPr>
  </w:style>
  <w:style w:type="character" w:customStyle="1" w:styleId="57">
    <w:name w:val="SubItal"/>
    <w:qFormat/>
    <w:uiPriority w:val="0"/>
    <w:rPr>
      <w:i/>
      <w:vertAlign w:val="subscript"/>
    </w:rPr>
  </w:style>
  <w:style w:type="character" w:customStyle="1" w:styleId="58">
    <w:name w:val="SuperItal"/>
    <w:qFormat/>
    <w:uiPriority w:val="0"/>
    <w:rPr>
      <w:i/>
      <w:vertAlign w:val="superscript"/>
    </w:rPr>
  </w:style>
  <w:style w:type="character" w:customStyle="1" w:styleId="59">
    <w:name w:val="SymItal"/>
    <w:qFormat/>
    <w:uiPriority w:val="0"/>
    <w:rPr>
      <w:rFonts w:ascii="Symbol" w:hAnsi="Symbol"/>
      <w:i/>
    </w:rPr>
  </w:style>
  <w:style w:type="character" w:customStyle="1" w:styleId="60">
    <w:name w:val="Body Text 2 Char"/>
    <w:basedOn w:val="4"/>
    <w:link w:val="7"/>
    <w:qFormat/>
    <w:uiPriority w:val="0"/>
    <w:rPr>
      <w:rFonts w:ascii="Helvetica" w:hAnsi="Helvetica"/>
    </w:rPr>
  </w:style>
  <w:style w:type="character" w:customStyle="1" w:styleId="61">
    <w:name w:val="Comment Text Char"/>
    <w:basedOn w:val="4"/>
    <w:link w:val="10"/>
    <w:qFormat/>
    <w:uiPriority w:val="99"/>
    <w:rPr>
      <w:lang w:val="nb-NO" w:eastAsia="nb-NO"/>
    </w:rPr>
  </w:style>
  <w:style w:type="character" w:customStyle="1" w:styleId="62">
    <w:name w:val="Balloon Text Char"/>
    <w:basedOn w:val="4"/>
    <w:link w:val="6"/>
    <w:qFormat/>
    <w:uiPriority w:val="0"/>
    <w:rPr>
      <w:rFonts w:ascii="Tahoma" w:hAnsi="Tahoma" w:cs="Tahoma"/>
      <w:sz w:val="16"/>
      <w:szCs w:val="16"/>
    </w:rPr>
  </w:style>
  <w:style w:type="character" w:customStyle="1" w:styleId="63">
    <w:name w:val="Body Text 3 Char"/>
    <w:basedOn w:val="4"/>
    <w:link w:val="8"/>
    <w:qFormat/>
    <w:uiPriority w:val="0"/>
    <w:rPr>
      <w:rFonts w:ascii="Helvetica" w:hAnsi="Helvetica"/>
      <w:sz w:val="16"/>
      <w:szCs w:val="16"/>
    </w:rPr>
  </w:style>
  <w:style w:type="character" w:customStyle="1" w:styleId="64">
    <w:name w:val="Heading 3 Char"/>
    <w:basedOn w:val="4"/>
    <w:link w:val="3"/>
    <w:qFormat/>
    <w:uiPriority w:val="9"/>
    <w:rPr>
      <w:rFonts w:asciiTheme="majorHAnsi" w:hAnsiTheme="majorHAnsi" w:eastAsiaTheme="majorEastAsia" w:cstheme="majorBidi"/>
      <w:b/>
      <w:bCs/>
      <w:color w:val="4F81BD" w:themeColor="accent1"/>
      <w:sz w:val="22"/>
      <w:szCs w:val="22"/>
      <w14:textFill>
        <w14:solidFill>
          <w14:schemeClr w14:val="accent1"/>
        </w14:solidFill>
      </w14:textFill>
    </w:rPr>
  </w:style>
  <w:style w:type="paragraph" w:styleId="65">
    <w:name w:val="List Paragraph"/>
    <w:basedOn w:val="1"/>
    <w:qFormat/>
    <w:uiPriority w:val="99"/>
    <w:pPr>
      <w:spacing w:after="200" w:line="276" w:lineRule="auto"/>
      <w:ind w:left="720"/>
      <w:contextualSpacing/>
    </w:pPr>
    <w:rPr>
      <w:rFonts w:asciiTheme="minorHAnsi" w:hAnsiTheme="minorHAnsi" w:eastAsiaTheme="minorHAnsi" w:cstheme="minorBidi"/>
      <w:sz w:val="22"/>
      <w:szCs w:val="22"/>
    </w:rPr>
  </w:style>
  <w:style w:type="character" w:customStyle="1" w:styleId="66">
    <w:name w:val="anchor-text"/>
    <w:basedOn w:val="4"/>
    <w:qFormat/>
    <w:uiPriority w:val="0"/>
  </w:style>
  <w:style w:type="character" w:customStyle="1" w:styleId="67">
    <w:name w:val="Comment Subject Char"/>
    <w:basedOn w:val="61"/>
    <w:link w:val="11"/>
    <w:semiHidden/>
    <w:qFormat/>
    <w:uiPriority w:val="0"/>
    <w:rPr>
      <w:rFonts w:ascii="Helvetica" w:hAnsi="Helvetica"/>
      <w:b/>
      <w:bCs/>
      <w:lang w:val="nb-NO" w:eastAsia="nb-NO"/>
    </w:rPr>
  </w:style>
  <w:style w:type="paragraph" w:customStyle="1" w:styleId="68">
    <w:name w:val="Revision"/>
    <w:hidden/>
    <w:semiHidden/>
    <w:qFormat/>
    <w:uiPriority w:val="99"/>
    <w:rPr>
      <w:rFonts w:ascii="Helvetica" w:hAnsi="Helvetica" w:eastAsia="Times New Roman" w:cs="Times New Roman"/>
      <w:lang w:val="en-US" w:eastAsia="en-US" w:bidi="ar-SA"/>
    </w:rPr>
  </w:style>
  <w:style w:type="character" w:customStyle="1" w:styleId="69">
    <w:name w:val="Unresolved Mention1"/>
    <w:basedOn w:val="4"/>
    <w:semiHidden/>
    <w:unhideWhenUsed/>
    <w:qFormat/>
    <w:uiPriority w:val="99"/>
    <w:rPr>
      <w:color w:val="605E5C"/>
      <w:shd w:val="clear" w:color="auto" w:fill="E1DFDD"/>
    </w:rPr>
  </w:style>
  <w:style w:type="character" w:customStyle="1" w:styleId="70">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6" Type="http://schemas.microsoft.com/office/2011/relationships/people" Target="people.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chart" Target="charts/chart10.xml"/><Relationship Id="rId20" Type="http://schemas.openxmlformats.org/officeDocument/2006/relationships/chart" Target="charts/chart9.xml"/><Relationship Id="rId2" Type="http://schemas.openxmlformats.org/officeDocument/2006/relationships/settings" Target="settings.xml"/><Relationship Id="rId19" Type="http://schemas.openxmlformats.org/officeDocument/2006/relationships/chart" Target="charts/chart8.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Workbook1.xlsx"/></Relationships>
</file>

<file path=word/charts/_rels/chart10.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hp\Desktop\PAPER%20TWO%20AUGUST\INTERACTIONS%20PAPER%202.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hp\Desktop\PAPER%20TWO%20AUGUST\INTERACTIONS%20PAPER%202.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hp\Desktop\PAPER%20TWO%20AUGUST\INTERACTIONS%20PAPER%202.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hp\Desktop\PAPER%20TWO%20AUGUST\INTERACTIONS%20PAPER%202.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Ezekiel\Desktop\DISSERTATION%20AND%20PAPER%202%20JANUARI\AGEING%20WITH%20PRACTICES%20AND%20SLAUGHTER%20PERIODS.xlsx" TargetMode="External"/></Relationships>
</file>

<file path=word/charts/_rels/chart8.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3.xml"/><Relationship Id="rId1" Type="http://schemas.openxmlformats.org/officeDocument/2006/relationships/package" Target="../embeddings/Workbook5.xlsx"/></Relationships>
</file>

<file path=word/charts/_rels/chart9.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2.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2094375970225"/>
          <c:y val="0.0495648200224972"/>
          <c:w val="0.4250303925786"/>
          <c:h val="0.703753515185602"/>
        </c:manualLayout>
      </c:layout>
      <c:lineChart>
        <c:grouping val="standard"/>
        <c:varyColors val="0"/>
        <c:ser>
          <c:idx val="0"/>
          <c:order val="0"/>
          <c:tx>
            <c:strRef>
              <c:f>'HIDES INTERACTION'!$E$16</c:f>
              <c:strCache>
                <c:ptCount val="1"/>
                <c:pt idx="0">
                  <c:v>Grazing only</c:v>
                </c:pt>
              </c:strCache>
            </c:strRef>
          </c:tx>
          <c:dLbls>
            <c:delete val="1"/>
          </c:dLbls>
          <c:cat>
            <c:numRef>
              <c:f>'HIDES INTERACTION'!$F$15:$H$15</c:f>
              <c:numCache>
                <c:formatCode>General</c:formatCode>
                <c:ptCount val="3"/>
                <c:pt idx="0">
                  <c:v>45</c:v>
                </c:pt>
                <c:pt idx="1">
                  <c:v>60</c:v>
                </c:pt>
                <c:pt idx="2">
                  <c:v>75</c:v>
                </c:pt>
              </c:numCache>
            </c:numRef>
          </c:cat>
          <c:val>
            <c:numRef>
              <c:f>'HIDES INTERACTION'!$F$16:$H$16</c:f>
              <c:numCache>
                <c:formatCode>General</c:formatCode>
                <c:ptCount val="3"/>
                <c:pt idx="0">
                  <c:v>21.75</c:v>
                </c:pt>
                <c:pt idx="1">
                  <c:v>22.11</c:v>
                </c:pt>
                <c:pt idx="2">
                  <c:v>16.79</c:v>
                </c:pt>
              </c:numCache>
            </c:numRef>
          </c:val>
          <c:smooth val="0"/>
        </c:ser>
        <c:ser>
          <c:idx val="1"/>
          <c:order val="1"/>
          <c:tx>
            <c:strRef>
              <c:f>'HIDES INTERACTION'!$E$17</c:f>
              <c:strCache>
                <c:ptCount val="1"/>
                <c:pt idx="0">
                  <c:v>Grazing with supplementation </c:v>
                </c:pt>
              </c:strCache>
            </c:strRef>
          </c:tx>
          <c:dLbls>
            <c:delete val="1"/>
          </c:dLbls>
          <c:cat>
            <c:numRef>
              <c:f>'HIDES INTERACTION'!$F$15:$H$15</c:f>
              <c:numCache>
                <c:formatCode>General</c:formatCode>
                <c:ptCount val="3"/>
                <c:pt idx="0">
                  <c:v>45</c:v>
                </c:pt>
                <c:pt idx="1">
                  <c:v>60</c:v>
                </c:pt>
                <c:pt idx="2">
                  <c:v>75</c:v>
                </c:pt>
              </c:numCache>
            </c:numRef>
          </c:cat>
          <c:val>
            <c:numRef>
              <c:f>'HIDES INTERACTION'!$F$17:$H$17</c:f>
              <c:numCache>
                <c:formatCode>General</c:formatCode>
                <c:ptCount val="3"/>
                <c:pt idx="0">
                  <c:v>12.39</c:v>
                </c:pt>
                <c:pt idx="1">
                  <c:v>23.84</c:v>
                </c:pt>
                <c:pt idx="2">
                  <c:v>20.62</c:v>
                </c:pt>
              </c:numCache>
            </c:numRef>
          </c:val>
          <c:smooth val="0"/>
        </c:ser>
        <c:ser>
          <c:idx val="2"/>
          <c:order val="2"/>
          <c:tx>
            <c:strRef>
              <c:f>'HIDES INTERACTION'!$E$18</c:f>
              <c:strCache>
                <c:ptCount val="1"/>
                <c:pt idx="0">
                  <c:v>Full feedlot</c:v>
                </c:pt>
              </c:strCache>
            </c:strRef>
          </c:tx>
          <c:dLbls>
            <c:delete val="1"/>
          </c:dLbls>
          <c:cat>
            <c:numRef>
              <c:f>'HIDES INTERACTION'!$F$15:$H$15</c:f>
              <c:numCache>
                <c:formatCode>General</c:formatCode>
                <c:ptCount val="3"/>
                <c:pt idx="0">
                  <c:v>45</c:v>
                </c:pt>
                <c:pt idx="1">
                  <c:v>60</c:v>
                </c:pt>
                <c:pt idx="2">
                  <c:v>75</c:v>
                </c:pt>
              </c:numCache>
            </c:numRef>
          </c:cat>
          <c:val>
            <c:numRef>
              <c:f>'HIDES INTERACTION'!$F$18:$H$18</c:f>
              <c:numCache>
                <c:formatCode>General</c:formatCode>
                <c:ptCount val="3"/>
                <c:pt idx="0">
                  <c:v>18.29</c:v>
                </c:pt>
                <c:pt idx="1">
                  <c:v>22.77</c:v>
                </c:pt>
                <c:pt idx="2">
                  <c:v>22.56</c:v>
                </c:pt>
              </c:numCache>
            </c:numRef>
          </c:val>
          <c:smooth val="0"/>
        </c:ser>
        <c:dLbls>
          <c:showLegendKey val="0"/>
          <c:showVal val="0"/>
          <c:showCatName val="0"/>
          <c:showSerName val="0"/>
          <c:showPercent val="0"/>
          <c:showBubbleSize val="0"/>
        </c:dLbls>
        <c:marker val="1"/>
        <c:smooth val="0"/>
        <c:axId val="889948576"/>
        <c:axId val="889942048"/>
      </c:lineChart>
      <c:catAx>
        <c:axId val="889948576"/>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latin typeface="Arial" panose="020B0604020202020204" pitchFamily="2" charset="0"/>
                    <a:cs typeface="Arial" panose="020B0604020202020204" pitchFamily="2" charset="0"/>
                  </a:rPr>
                  <a:t>Slaughter periods (days)</a:t>
                </a:r>
                <a:endParaRPr lang="en-US">
                  <a:latin typeface="Arial" panose="020B0604020202020204" pitchFamily="2" charset="0"/>
                  <a:cs typeface="Arial" panose="020B0604020202020204" pitchFamily="2" charset="0"/>
                </a:endParaRPr>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p>
        </c:txPr>
        <c:crossAx val="889942048"/>
        <c:crosses val="autoZero"/>
        <c:auto val="1"/>
        <c:lblAlgn val="ctr"/>
        <c:lblOffset val="100"/>
        <c:noMultiLvlLbl val="0"/>
      </c:catAx>
      <c:valAx>
        <c:axId val="889942048"/>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latin typeface="Arial" panose="020B0604020202020204" pitchFamily="2" charset="0"/>
                    <a:cs typeface="Arial" panose="020B0604020202020204" pitchFamily="2" charset="0"/>
                  </a:rPr>
                  <a:t>Hides</a:t>
                </a:r>
                <a:r>
                  <a:rPr lang="en-US" baseline="0">
                    <a:latin typeface="Arial" panose="020B0604020202020204" pitchFamily="2" charset="0"/>
                    <a:cs typeface="Arial" panose="020B0604020202020204" pitchFamily="2" charset="0"/>
                  </a:rPr>
                  <a:t> weight (kg)</a:t>
                </a:r>
                <a:endParaRPr lang="en-US">
                  <a:latin typeface="Arial" panose="020B0604020202020204" pitchFamily="2" charset="0"/>
                  <a:cs typeface="Arial" panose="020B0604020202020204" pitchFamily="2" charset="0"/>
                </a:endParaRPr>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p>
        </c:txPr>
        <c:crossAx val="889948576"/>
        <c:crosses val="autoZero"/>
        <c:crossBetween val="between"/>
      </c:valAx>
    </c:plotArea>
    <c:legend>
      <c:legendPos val="r"/>
      <c:layout>
        <c:manualLayout>
          <c:xMode val="edge"/>
          <c:yMode val="edge"/>
          <c:x val="0.534868236482316"/>
          <c:y val="0.13617196287964"/>
          <c:w val="0.460381169693456"/>
          <c:h val="0.499977502812148"/>
        </c:manualLayout>
      </c:layout>
      <c:overlay val="0"/>
      <c:txPr>
        <a:bodyPr rot="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p>
      </c:txPr>
    </c:legend>
    <c:plotVisOnly val="1"/>
    <c:dispBlanksAs val="gap"/>
    <c:showDLblsOverMax val="0"/>
    <c:extLst>
      <c:ext uri="{0b15fc19-7d7d-44ad-8c2d-2c3a37ce22c3}">
        <chartProps xmlns="https://web.wps.cn/et/2018/main" chartId="{65eec8b3-572f-45f3-bda4-dd7092bd3494}"/>
      </c:ext>
    </c:extLst>
  </c:chart>
  <c:spPr>
    <a:ln w="9525" cap="flat" cmpd="sng" algn="ctr">
      <a:noFill/>
      <a:prstDash val="solid"/>
      <a:round/>
    </a:ln>
  </c:spPr>
  <c:txPr>
    <a:bodyPr/>
    <a:lstStyle/>
    <a:p>
      <a:pPr>
        <a:defRPr lang="en-US"/>
      </a:pPr>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100" b="0" i="0" u="none" strike="noStrike" kern="1200" cap="all" spc="120" normalizeH="0" baseline="0">
                <a:solidFill>
                  <a:schemeClr val="tx1">
                    <a:lumMod val="65000"/>
                    <a:lumOff val="35000"/>
                  </a:schemeClr>
                </a:solidFill>
                <a:latin typeface="+mn-lt"/>
                <a:ea typeface="+mn-ea"/>
                <a:cs typeface="+mn-cs"/>
              </a:defRPr>
            </a:pPr>
            <a:r>
              <a:rPr lang="en-US" sz="1100" b="0" cap="none"/>
              <a:t>d</a:t>
            </a:r>
            <a:endParaRPr lang="en-US" sz="1100" b="0" cap="none"/>
          </a:p>
        </c:rich>
      </c:tx>
      <c:layout/>
      <c:overlay val="0"/>
      <c:spPr>
        <a:noFill/>
        <a:ln>
          <a:noFill/>
        </a:ln>
        <a:effectLst/>
      </c:spPr>
    </c:title>
    <c:autoTitleDeleted val="0"/>
    <c:plotArea>
      <c:layout>
        <c:manualLayout>
          <c:layoutTarget val="inner"/>
          <c:xMode val="edge"/>
          <c:yMode val="edge"/>
          <c:x val="0.145634365425437"/>
          <c:y val="0.132428810720268"/>
          <c:w val="0.530278675324947"/>
          <c:h val="0.729123043036706"/>
        </c:manualLayout>
      </c:layout>
      <c:lineChart>
        <c:grouping val="standard"/>
        <c:varyColors val="0"/>
        <c:ser>
          <c:idx val="0"/>
          <c:order val="0"/>
          <c:tx>
            <c:strRef>
              <c:f>'AGING SHEAR F'!$B$1</c:f>
              <c:strCache>
                <c:ptCount val="1"/>
                <c:pt idx="0">
                  <c:v>4-days</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delete val="1"/>
          </c:dLbls>
          <c:cat>
            <c:strRef>
              <c:f>'AGING SHEAR F'!$A$2:$A$10</c:f>
              <c:strCache>
                <c:ptCount val="9"/>
                <c:pt idx="0">
                  <c:v>S1</c:v>
                </c:pt>
                <c:pt idx="1">
                  <c:v>S2</c:v>
                </c:pt>
                <c:pt idx="2">
                  <c:v>S3</c:v>
                </c:pt>
                <c:pt idx="3">
                  <c:v>S1</c:v>
                </c:pt>
                <c:pt idx="4">
                  <c:v>S2</c:v>
                </c:pt>
                <c:pt idx="5">
                  <c:v>S3</c:v>
                </c:pt>
                <c:pt idx="6">
                  <c:v>S1</c:v>
                </c:pt>
                <c:pt idx="7">
                  <c:v>S2</c:v>
                </c:pt>
                <c:pt idx="8">
                  <c:v>S3</c:v>
                </c:pt>
              </c:strCache>
            </c:strRef>
          </c:cat>
          <c:val>
            <c:numRef>
              <c:f>'AGING SHEAR F'!$B$2:$B$10</c:f>
              <c:numCache>
                <c:formatCode>General</c:formatCode>
                <c:ptCount val="9"/>
                <c:pt idx="0">
                  <c:v>48.41</c:v>
                </c:pt>
                <c:pt idx="1">
                  <c:v>68.6</c:v>
                </c:pt>
                <c:pt idx="2">
                  <c:v>37.24</c:v>
                </c:pt>
                <c:pt idx="3">
                  <c:v>58.85</c:v>
                </c:pt>
                <c:pt idx="4">
                  <c:v>63.9</c:v>
                </c:pt>
                <c:pt idx="5">
                  <c:v>37.67</c:v>
                </c:pt>
                <c:pt idx="6">
                  <c:v>52.54</c:v>
                </c:pt>
                <c:pt idx="7">
                  <c:v>42.9</c:v>
                </c:pt>
                <c:pt idx="8">
                  <c:v>33.6</c:v>
                </c:pt>
              </c:numCache>
            </c:numRef>
          </c:val>
          <c:smooth val="0"/>
        </c:ser>
        <c:ser>
          <c:idx val="1"/>
          <c:order val="1"/>
          <c:tx>
            <c:strRef>
              <c:f>'AGING SHEAR F'!$C$1</c:f>
              <c:strCache>
                <c:ptCount val="1"/>
                <c:pt idx="0">
                  <c:v>8-days</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dLbls>
            <c:delete val="1"/>
          </c:dLbls>
          <c:cat>
            <c:strRef>
              <c:f>'AGING SHEAR F'!$A$2:$A$10</c:f>
              <c:strCache>
                <c:ptCount val="9"/>
                <c:pt idx="0">
                  <c:v>S1</c:v>
                </c:pt>
                <c:pt idx="1">
                  <c:v>S2</c:v>
                </c:pt>
                <c:pt idx="2">
                  <c:v>S3</c:v>
                </c:pt>
                <c:pt idx="3">
                  <c:v>S1</c:v>
                </c:pt>
                <c:pt idx="4">
                  <c:v>S2</c:v>
                </c:pt>
                <c:pt idx="5">
                  <c:v>S3</c:v>
                </c:pt>
                <c:pt idx="6">
                  <c:v>S1</c:v>
                </c:pt>
                <c:pt idx="7">
                  <c:v>S2</c:v>
                </c:pt>
                <c:pt idx="8">
                  <c:v>S3</c:v>
                </c:pt>
              </c:strCache>
            </c:strRef>
          </c:cat>
          <c:val>
            <c:numRef>
              <c:f>'AGING SHEAR F'!$C$2:$C$10</c:f>
              <c:numCache>
                <c:formatCode>General</c:formatCode>
                <c:ptCount val="9"/>
                <c:pt idx="0">
                  <c:v>50.86</c:v>
                </c:pt>
                <c:pt idx="1">
                  <c:v>47.75</c:v>
                </c:pt>
                <c:pt idx="2">
                  <c:v>28.85</c:v>
                </c:pt>
                <c:pt idx="3">
                  <c:v>51.2</c:v>
                </c:pt>
                <c:pt idx="4">
                  <c:v>46.96</c:v>
                </c:pt>
                <c:pt idx="5">
                  <c:v>28.42</c:v>
                </c:pt>
                <c:pt idx="6">
                  <c:v>46.5</c:v>
                </c:pt>
                <c:pt idx="7">
                  <c:v>43.53</c:v>
                </c:pt>
                <c:pt idx="8">
                  <c:v>26.22</c:v>
                </c:pt>
              </c:numCache>
            </c:numRef>
          </c:val>
          <c:smooth val="0"/>
        </c:ser>
        <c:ser>
          <c:idx val="2"/>
          <c:order val="2"/>
          <c:tx>
            <c:strRef>
              <c:f>'AGING SHEAR F'!$D$1</c:f>
              <c:strCache>
                <c:ptCount val="1"/>
                <c:pt idx="0">
                  <c:v>12-days</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dLbls>
            <c:delete val="1"/>
          </c:dLbls>
          <c:cat>
            <c:strRef>
              <c:f>'AGING SHEAR F'!$A$2:$A$10</c:f>
              <c:strCache>
                <c:ptCount val="9"/>
                <c:pt idx="0">
                  <c:v>S1</c:v>
                </c:pt>
                <c:pt idx="1">
                  <c:v>S2</c:v>
                </c:pt>
                <c:pt idx="2">
                  <c:v>S3</c:v>
                </c:pt>
                <c:pt idx="3">
                  <c:v>S1</c:v>
                </c:pt>
                <c:pt idx="4">
                  <c:v>S2</c:v>
                </c:pt>
                <c:pt idx="5">
                  <c:v>S3</c:v>
                </c:pt>
                <c:pt idx="6">
                  <c:v>S1</c:v>
                </c:pt>
                <c:pt idx="7">
                  <c:v>S2</c:v>
                </c:pt>
                <c:pt idx="8">
                  <c:v>S3</c:v>
                </c:pt>
              </c:strCache>
            </c:strRef>
          </c:cat>
          <c:val>
            <c:numRef>
              <c:f>'AGING SHEAR F'!$D$2:$D$10</c:f>
              <c:numCache>
                <c:formatCode>General</c:formatCode>
                <c:ptCount val="9"/>
                <c:pt idx="0">
                  <c:v>44.33</c:v>
                </c:pt>
                <c:pt idx="1">
                  <c:v>44.5</c:v>
                </c:pt>
                <c:pt idx="2">
                  <c:v>36.18</c:v>
                </c:pt>
                <c:pt idx="3">
                  <c:v>47.92</c:v>
                </c:pt>
                <c:pt idx="4">
                  <c:v>45.47</c:v>
                </c:pt>
                <c:pt idx="5">
                  <c:v>38.28</c:v>
                </c:pt>
                <c:pt idx="6">
                  <c:v>44.83</c:v>
                </c:pt>
                <c:pt idx="7">
                  <c:v>42.49</c:v>
                </c:pt>
                <c:pt idx="8">
                  <c:v>35.11</c:v>
                </c:pt>
              </c:numCache>
            </c:numRef>
          </c:val>
          <c:smooth val="0"/>
        </c:ser>
        <c:ser>
          <c:idx val="3"/>
          <c:order val="3"/>
          <c:tx>
            <c:strRef>
              <c:f>'AGING SHEAR F'!$E$1</c:f>
              <c:strCache>
                <c:ptCount val="1"/>
                <c:pt idx="0">
                  <c:v>16-days</c:v>
                </c:pt>
              </c:strCache>
            </c:strRef>
          </c:tx>
          <c:spPr>
            <a:ln w="22225" cap="rnd">
              <a:solidFill>
                <a:schemeClr val="accent4"/>
              </a:solidFill>
              <a:round/>
            </a:ln>
            <a:effectLst/>
          </c:spPr>
          <c:marker>
            <c:symbol val="x"/>
            <c:size val="6"/>
            <c:spPr>
              <a:noFill/>
              <a:ln w="9525">
                <a:solidFill>
                  <a:schemeClr val="accent4"/>
                </a:solidFill>
                <a:round/>
              </a:ln>
              <a:effectLst/>
            </c:spPr>
          </c:marker>
          <c:dLbls>
            <c:delete val="1"/>
          </c:dLbls>
          <c:cat>
            <c:strRef>
              <c:f>'AGING SHEAR F'!$A$2:$A$10</c:f>
              <c:strCache>
                <c:ptCount val="9"/>
                <c:pt idx="0">
                  <c:v>S1</c:v>
                </c:pt>
                <c:pt idx="1">
                  <c:v>S2</c:v>
                </c:pt>
                <c:pt idx="2">
                  <c:v>S3</c:v>
                </c:pt>
                <c:pt idx="3">
                  <c:v>S1</c:v>
                </c:pt>
                <c:pt idx="4">
                  <c:v>S2</c:v>
                </c:pt>
                <c:pt idx="5">
                  <c:v>S3</c:v>
                </c:pt>
                <c:pt idx="6">
                  <c:v>S1</c:v>
                </c:pt>
                <c:pt idx="7">
                  <c:v>S2</c:v>
                </c:pt>
                <c:pt idx="8">
                  <c:v>S3</c:v>
                </c:pt>
              </c:strCache>
            </c:strRef>
          </c:cat>
          <c:val>
            <c:numRef>
              <c:f>'AGING SHEAR F'!$E$2:$E$10</c:f>
              <c:numCache>
                <c:formatCode>General</c:formatCode>
                <c:ptCount val="9"/>
                <c:pt idx="0">
                  <c:v>33.15</c:v>
                </c:pt>
                <c:pt idx="1">
                  <c:v>48.29</c:v>
                </c:pt>
                <c:pt idx="2">
                  <c:v>18.05</c:v>
                </c:pt>
                <c:pt idx="3">
                  <c:v>39.03</c:v>
                </c:pt>
                <c:pt idx="4">
                  <c:v>37.25</c:v>
                </c:pt>
                <c:pt idx="5">
                  <c:v>19.32</c:v>
                </c:pt>
                <c:pt idx="6">
                  <c:v>28.11</c:v>
                </c:pt>
                <c:pt idx="7">
                  <c:v>32.88</c:v>
                </c:pt>
                <c:pt idx="8">
                  <c:v>30.29</c:v>
                </c:pt>
              </c:numCache>
            </c:numRef>
          </c:val>
          <c:smooth val="0"/>
        </c:ser>
        <c:dLbls>
          <c:showLegendKey val="0"/>
          <c:showVal val="0"/>
          <c:showCatName val="0"/>
          <c:showSerName val="0"/>
          <c:showPercent val="0"/>
          <c:showBubbleSize val="0"/>
        </c:dLbls>
        <c:marker val="1"/>
        <c:smooth val="0"/>
        <c:axId val="675485344"/>
        <c:axId val="621105760"/>
      </c:lineChart>
      <c:catAx>
        <c:axId val="675485344"/>
        <c:scaling>
          <c:orientation val="minMax"/>
        </c:scaling>
        <c:delete val="0"/>
        <c:axPos val="b"/>
        <c:title>
          <c:tx>
            <c:rich>
              <a:bodyPr rot="0" spcFirstLastPara="1" vertOverflow="ellipsis" vert="horz" wrap="square" anchor="ctr" anchorCtr="1"/>
              <a:lstStyle/>
              <a:p>
                <a:pPr>
                  <a:defRPr lang="en-US" sz="900" b="0" i="0" u="none" strike="noStrike" kern="1200" cap="none" baseline="0">
                    <a:solidFill>
                      <a:schemeClr val="tx1">
                        <a:lumMod val="65000"/>
                        <a:lumOff val="35000"/>
                      </a:schemeClr>
                    </a:solidFill>
                    <a:latin typeface="Arial" panose="020B0604020202020204" pitchFamily="2" charset="0"/>
                    <a:ea typeface="+mn-ea"/>
                    <a:cs typeface="Arial" panose="020B0604020202020204" pitchFamily="2" charset="0"/>
                  </a:defRPr>
                </a:pPr>
                <a:r>
                  <a:rPr lang="en-US" cap="none">
                    <a:latin typeface="Arial" panose="020B0604020202020204" pitchFamily="2" charset="0"/>
                    <a:cs typeface="Arial" panose="020B0604020202020204" pitchFamily="2" charset="0"/>
                  </a:rPr>
                  <a:t>Slaughter</a:t>
                </a:r>
                <a:r>
                  <a:rPr lang="en-US" cap="none" baseline="0">
                    <a:latin typeface="Arial" panose="020B0604020202020204" pitchFamily="2" charset="0"/>
                    <a:cs typeface="Arial" panose="020B0604020202020204" pitchFamily="2" charset="0"/>
                  </a:rPr>
                  <a:t> periods </a:t>
                </a:r>
                <a:endParaRPr lang="en-US" cap="none">
                  <a:latin typeface="Arial" panose="020B0604020202020204" pitchFamily="2" charset="0"/>
                  <a:cs typeface="Arial" panose="020B0604020202020204" pitchFamily="2"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Arial" panose="020B0604020202020204" pitchFamily="2" charset="0"/>
                <a:ea typeface="+mn-ea"/>
                <a:cs typeface="Arial" panose="020B0604020202020204" pitchFamily="2" charset="0"/>
              </a:defRPr>
            </a:pPr>
          </a:p>
        </c:txPr>
        <c:crossAx val="621105760"/>
        <c:crosses val="autoZero"/>
        <c:auto val="1"/>
        <c:lblAlgn val="ctr"/>
        <c:lblOffset val="100"/>
        <c:noMultiLvlLbl val="0"/>
      </c:catAx>
      <c:valAx>
        <c:axId val="621105760"/>
        <c:scaling>
          <c:orientation val="minMax"/>
        </c:scaling>
        <c:delete val="0"/>
        <c:axPos val="l"/>
        <c:title>
          <c:tx>
            <c:rich>
              <a:bodyPr rot="-5400000" spcFirstLastPara="1" vertOverflow="ellipsis" vert="horz" wrap="square" anchor="ctr" anchorCtr="1"/>
              <a:lstStyle/>
              <a:p>
                <a:pPr>
                  <a:defRPr lang="en-US" sz="900" b="0" i="0" u="none" strike="noStrike" kern="1200" cap="all" baseline="0">
                    <a:solidFill>
                      <a:schemeClr val="tx1">
                        <a:lumMod val="65000"/>
                        <a:lumOff val="35000"/>
                      </a:schemeClr>
                    </a:solidFill>
                    <a:latin typeface="+mn-lt"/>
                    <a:ea typeface="+mn-ea"/>
                    <a:cs typeface="+mn-cs"/>
                  </a:defRPr>
                </a:pPr>
                <a:r>
                  <a:rPr lang="en-US"/>
                  <a:t>S</a:t>
                </a:r>
                <a:r>
                  <a:rPr lang="en-US" cap="none"/>
                  <a:t>hear</a:t>
                </a:r>
                <a:r>
                  <a:rPr lang="en-US" cap="none" baseline="0"/>
                  <a:t> force</a:t>
                </a:r>
                <a:r>
                  <a:rPr lang="en-US" baseline="0"/>
                  <a:t> </a:t>
                </a:r>
                <a:r>
                  <a:rPr lang="en-US" cap="none" baseline="0"/>
                  <a:t>values</a:t>
                </a:r>
                <a:r>
                  <a:rPr lang="en-US" baseline="0"/>
                  <a:t> (N/</a:t>
                </a:r>
                <a:r>
                  <a:rPr lang="en-US" cap="none" baseline="0"/>
                  <a:t>kg</a:t>
                </a:r>
                <a:r>
                  <a:rPr lang="en-US" baseline="0"/>
                  <a:t>)</a:t>
                </a:r>
                <a:endParaRPr lang="en-US"/>
              </a:p>
            </c:rich>
          </c:tx>
          <c:layout/>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675485344"/>
        <c:crosses val="autoZero"/>
        <c:crossBetween val="between"/>
      </c:valAx>
      <c:spPr>
        <a:noFill/>
        <a:ln>
          <a:noFill/>
        </a:ln>
        <a:effectLst/>
      </c:spPr>
    </c:plotArea>
    <c:legend>
      <c:legendPos val="r"/>
      <c:layout>
        <c:manualLayout>
          <c:xMode val="edge"/>
          <c:yMode val="edge"/>
          <c:x val="0.655678467020891"/>
          <c:y val="0.116177001312336"/>
          <c:w val="0.309513262061755"/>
          <c:h val="0.544678067585302"/>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p>
      </c:txPr>
    </c:legend>
    <c:plotVisOnly val="1"/>
    <c:dispBlanksAs val="gap"/>
    <c:showDLblsOverMax val="0"/>
    <c:extLst>
      <c:ext uri="{0b15fc19-7d7d-44ad-8c2d-2c3a37ce22c3}">
        <chartProps xmlns="https://web.wps.cn/et/2018/main" chartId="{c986c7c8-5d13-43a8-9822-54a16bd0f2de}"/>
      </c:ext>
    </c:extLst>
  </c:chart>
  <c:spPr>
    <a:solidFill>
      <a:schemeClr val="lt1"/>
    </a:solidFill>
    <a:ln w="9525" cap="flat" cmpd="sng" algn="ctr">
      <a:noFill/>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477851998358"/>
          <c:y val="0.0398765063757475"/>
          <c:w val="0.427402321155353"/>
          <c:h val="0.721721737907762"/>
        </c:manualLayout>
      </c:layout>
      <c:lineChart>
        <c:grouping val="standard"/>
        <c:varyColors val="0"/>
        <c:ser>
          <c:idx val="0"/>
          <c:order val="0"/>
          <c:tx>
            <c:strRef>
              <c:f>'GIT EMPTY INTERACTION'!$C$16</c:f>
              <c:strCache>
                <c:ptCount val="1"/>
                <c:pt idx="0">
                  <c:v>Grazing only</c:v>
                </c:pt>
              </c:strCache>
            </c:strRef>
          </c:tx>
          <c:dLbls>
            <c:delete val="1"/>
          </c:dLbls>
          <c:cat>
            <c:numRef>
              <c:f>'GIT EMPTY INTERACTION'!$D$15:$F$15</c:f>
              <c:numCache>
                <c:formatCode>General</c:formatCode>
                <c:ptCount val="3"/>
                <c:pt idx="0">
                  <c:v>45</c:v>
                </c:pt>
                <c:pt idx="1">
                  <c:v>60</c:v>
                </c:pt>
                <c:pt idx="2">
                  <c:v>75</c:v>
                </c:pt>
              </c:numCache>
            </c:numRef>
          </c:cat>
          <c:val>
            <c:numRef>
              <c:f>'GIT EMPTY INTERACTION'!$D$16:$F$16</c:f>
              <c:numCache>
                <c:formatCode>General</c:formatCode>
                <c:ptCount val="3"/>
                <c:pt idx="0">
                  <c:v>18.02</c:v>
                </c:pt>
                <c:pt idx="1">
                  <c:v>16.55</c:v>
                </c:pt>
                <c:pt idx="2">
                  <c:v>15.51</c:v>
                </c:pt>
              </c:numCache>
            </c:numRef>
          </c:val>
          <c:smooth val="0"/>
        </c:ser>
        <c:ser>
          <c:idx val="1"/>
          <c:order val="1"/>
          <c:tx>
            <c:strRef>
              <c:f>'GIT EMPTY INTERACTION'!$C$17</c:f>
              <c:strCache>
                <c:ptCount val="1"/>
                <c:pt idx="0">
                  <c:v>Grazing with supplementation</c:v>
                </c:pt>
              </c:strCache>
            </c:strRef>
          </c:tx>
          <c:dLbls>
            <c:delete val="1"/>
          </c:dLbls>
          <c:cat>
            <c:numRef>
              <c:f>'GIT EMPTY INTERACTION'!$D$15:$F$15</c:f>
              <c:numCache>
                <c:formatCode>General</c:formatCode>
                <c:ptCount val="3"/>
                <c:pt idx="0">
                  <c:v>45</c:v>
                </c:pt>
                <c:pt idx="1">
                  <c:v>60</c:v>
                </c:pt>
                <c:pt idx="2">
                  <c:v>75</c:v>
                </c:pt>
              </c:numCache>
            </c:numRef>
          </c:cat>
          <c:val>
            <c:numRef>
              <c:f>'GIT EMPTY INTERACTION'!$D$17:$F$17</c:f>
              <c:numCache>
                <c:formatCode>General</c:formatCode>
                <c:ptCount val="3"/>
                <c:pt idx="0">
                  <c:v>20.01</c:v>
                </c:pt>
                <c:pt idx="1">
                  <c:v>17.89</c:v>
                </c:pt>
                <c:pt idx="2">
                  <c:v>20.05</c:v>
                </c:pt>
              </c:numCache>
            </c:numRef>
          </c:val>
          <c:smooth val="0"/>
        </c:ser>
        <c:ser>
          <c:idx val="2"/>
          <c:order val="2"/>
          <c:tx>
            <c:strRef>
              <c:f>'GIT EMPTY INTERACTION'!$C$18</c:f>
              <c:strCache>
                <c:ptCount val="1"/>
                <c:pt idx="0">
                  <c:v>Full feedlot</c:v>
                </c:pt>
              </c:strCache>
            </c:strRef>
          </c:tx>
          <c:dLbls>
            <c:delete val="1"/>
          </c:dLbls>
          <c:cat>
            <c:numRef>
              <c:f>'GIT EMPTY INTERACTION'!$D$15:$F$15</c:f>
              <c:numCache>
                <c:formatCode>General</c:formatCode>
                <c:ptCount val="3"/>
                <c:pt idx="0">
                  <c:v>45</c:v>
                </c:pt>
                <c:pt idx="1">
                  <c:v>60</c:v>
                </c:pt>
                <c:pt idx="2">
                  <c:v>75</c:v>
                </c:pt>
              </c:numCache>
            </c:numRef>
          </c:cat>
          <c:val>
            <c:numRef>
              <c:f>'GIT EMPTY INTERACTION'!$D$18:$F$18</c:f>
              <c:numCache>
                <c:formatCode>General</c:formatCode>
                <c:ptCount val="3"/>
                <c:pt idx="0">
                  <c:v>16.96</c:v>
                </c:pt>
                <c:pt idx="1">
                  <c:v>26.31</c:v>
                </c:pt>
                <c:pt idx="2">
                  <c:v>19.07</c:v>
                </c:pt>
              </c:numCache>
            </c:numRef>
          </c:val>
          <c:smooth val="0"/>
        </c:ser>
        <c:dLbls>
          <c:showLegendKey val="0"/>
          <c:showVal val="0"/>
          <c:showCatName val="0"/>
          <c:showSerName val="0"/>
          <c:showPercent val="0"/>
          <c:showBubbleSize val="0"/>
        </c:dLbls>
        <c:marker val="1"/>
        <c:smooth val="0"/>
        <c:axId val="889938240"/>
        <c:axId val="889943136"/>
      </c:lineChart>
      <c:catAx>
        <c:axId val="889938240"/>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latin typeface="Arial" panose="020B0604020202020204" pitchFamily="2" charset="0"/>
                    <a:cs typeface="Arial" panose="020B0604020202020204" pitchFamily="2" charset="0"/>
                  </a:rPr>
                  <a:t>Slaughter periods (days)</a:t>
                </a:r>
                <a:endParaRPr lang="en-US">
                  <a:latin typeface="Arial" panose="020B0604020202020204" pitchFamily="2" charset="0"/>
                  <a:cs typeface="Arial" panose="020B0604020202020204" pitchFamily="2" charset="0"/>
                </a:endParaRPr>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p>
        </c:txPr>
        <c:crossAx val="889943136"/>
        <c:crosses val="autoZero"/>
        <c:auto val="1"/>
        <c:lblAlgn val="ctr"/>
        <c:lblOffset val="100"/>
        <c:noMultiLvlLbl val="0"/>
      </c:catAx>
      <c:valAx>
        <c:axId val="889943136"/>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latin typeface="Arial" panose="020B0604020202020204" pitchFamily="2" charset="0"/>
                    <a:cs typeface="Arial" panose="020B0604020202020204" pitchFamily="2" charset="0"/>
                  </a:rPr>
                  <a:t>Gastrointestinal</a:t>
                </a:r>
                <a:r>
                  <a:rPr lang="en-US" baseline="0">
                    <a:latin typeface="Arial" panose="020B0604020202020204" pitchFamily="2" charset="0"/>
                    <a:cs typeface="Arial" panose="020B0604020202020204" pitchFamily="2" charset="0"/>
                  </a:rPr>
                  <a:t> tract empty (kg)</a:t>
                </a:r>
                <a:endParaRPr lang="en-US">
                  <a:latin typeface="Arial" panose="020B0604020202020204" pitchFamily="2" charset="0"/>
                  <a:cs typeface="Arial" panose="020B0604020202020204" pitchFamily="2" charset="0"/>
                </a:endParaRPr>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p>
        </c:txPr>
        <c:crossAx val="889938240"/>
        <c:crosses val="autoZero"/>
        <c:crossBetween val="between"/>
      </c:valAx>
    </c:plotArea>
    <c:legend>
      <c:legendPos val="r"/>
      <c:layout>
        <c:manualLayout>
          <c:xMode val="edge"/>
          <c:yMode val="edge"/>
          <c:x val="0.535970444452737"/>
          <c:y val="0.189743391451069"/>
          <c:w val="0.459290219054372"/>
          <c:h val="0.468727502812148"/>
        </c:manualLayout>
      </c:layout>
      <c:overlay val="0"/>
      <c:txPr>
        <a:bodyPr rot="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p>
      </c:txPr>
    </c:legend>
    <c:plotVisOnly val="1"/>
    <c:dispBlanksAs val="gap"/>
    <c:showDLblsOverMax val="0"/>
    <c:extLst>
      <c:ext uri="{0b15fc19-7d7d-44ad-8c2d-2c3a37ce22c3}">
        <chartProps xmlns="https://web.wps.cn/et/2018/main" chartId="{4b01e3fa-fe87-4510-b870-ec84ab5beeaf}"/>
      </c:ext>
    </c:extLst>
  </c:chart>
  <c:spPr>
    <a:ln w="9525" cap="flat" cmpd="sng" algn="ctr">
      <a:noFill/>
      <a:prstDash val="solid"/>
      <a:round/>
    </a:ln>
  </c:spPr>
  <c:txPr>
    <a:bodyPr/>
    <a:lstStyle/>
    <a:p>
      <a:pPr>
        <a:defRPr lang="en-US"/>
      </a:pP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9407642851983"/>
          <c:y val="0.0510460675174224"/>
          <c:w val="0.363039081124034"/>
          <c:h val="0.736279482306091"/>
        </c:manualLayout>
      </c:layout>
      <c:lineChart>
        <c:grouping val="standard"/>
        <c:varyColors val="0"/>
        <c:ser>
          <c:idx val="0"/>
          <c:order val="0"/>
          <c:tx>
            <c:strRef>
              <c:f>'CARCASS LENGTH INTERACTION'!$C$15</c:f>
              <c:strCache>
                <c:ptCount val="1"/>
                <c:pt idx="0">
                  <c:v>Grazing only</c:v>
                </c:pt>
              </c:strCache>
            </c:strRef>
          </c:tx>
          <c:dLbls>
            <c:delete val="1"/>
          </c:dLbls>
          <c:cat>
            <c:numRef>
              <c:f>'CARCASS LENGTH INTERACTION'!$D$14:$F$14</c:f>
              <c:numCache>
                <c:formatCode>General</c:formatCode>
                <c:ptCount val="3"/>
                <c:pt idx="0">
                  <c:v>45</c:v>
                </c:pt>
                <c:pt idx="1">
                  <c:v>60</c:v>
                </c:pt>
                <c:pt idx="2">
                  <c:v>75</c:v>
                </c:pt>
              </c:numCache>
            </c:numRef>
          </c:cat>
          <c:val>
            <c:numRef>
              <c:f>'CARCASS LENGTH INTERACTION'!$D$15:$F$15</c:f>
              <c:numCache>
                <c:formatCode>General</c:formatCode>
                <c:ptCount val="3"/>
                <c:pt idx="0">
                  <c:v>89.64</c:v>
                </c:pt>
                <c:pt idx="1">
                  <c:v>114.84</c:v>
                </c:pt>
                <c:pt idx="2">
                  <c:v>118.67</c:v>
                </c:pt>
              </c:numCache>
            </c:numRef>
          </c:val>
          <c:smooth val="0"/>
        </c:ser>
        <c:ser>
          <c:idx val="1"/>
          <c:order val="1"/>
          <c:tx>
            <c:strRef>
              <c:f>'CARCASS LENGTH INTERACTION'!$C$16</c:f>
              <c:strCache>
                <c:ptCount val="1"/>
                <c:pt idx="0">
                  <c:v>Grazing with concentrate supplementation </c:v>
                </c:pt>
              </c:strCache>
            </c:strRef>
          </c:tx>
          <c:dLbls>
            <c:delete val="1"/>
          </c:dLbls>
          <c:cat>
            <c:numRef>
              <c:f>'CARCASS LENGTH INTERACTION'!$D$14:$F$14</c:f>
              <c:numCache>
                <c:formatCode>General</c:formatCode>
                <c:ptCount val="3"/>
                <c:pt idx="0">
                  <c:v>45</c:v>
                </c:pt>
                <c:pt idx="1">
                  <c:v>60</c:v>
                </c:pt>
                <c:pt idx="2">
                  <c:v>75</c:v>
                </c:pt>
              </c:numCache>
            </c:numRef>
          </c:cat>
          <c:val>
            <c:numRef>
              <c:f>'CARCASS LENGTH INTERACTION'!$D$16:$F$16</c:f>
              <c:numCache>
                <c:formatCode>General</c:formatCode>
                <c:ptCount val="3"/>
                <c:pt idx="0">
                  <c:v>104.98</c:v>
                </c:pt>
                <c:pt idx="1">
                  <c:v>134.78</c:v>
                </c:pt>
                <c:pt idx="2">
                  <c:v>170.98</c:v>
                </c:pt>
              </c:numCache>
            </c:numRef>
          </c:val>
          <c:smooth val="0"/>
        </c:ser>
        <c:ser>
          <c:idx val="2"/>
          <c:order val="2"/>
          <c:tx>
            <c:strRef>
              <c:f>'CARCASS LENGTH INTERACTION'!$C$17</c:f>
              <c:strCache>
                <c:ptCount val="1"/>
                <c:pt idx="0">
                  <c:v>Full feedlot</c:v>
                </c:pt>
              </c:strCache>
            </c:strRef>
          </c:tx>
          <c:dLbls>
            <c:delete val="1"/>
          </c:dLbls>
          <c:cat>
            <c:numRef>
              <c:f>'CARCASS LENGTH INTERACTION'!$D$14:$F$14</c:f>
              <c:numCache>
                <c:formatCode>General</c:formatCode>
                <c:ptCount val="3"/>
                <c:pt idx="0">
                  <c:v>45</c:v>
                </c:pt>
                <c:pt idx="1">
                  <c:v>60</c:v>
                </c:pt>
                <c:pt idx="2">
                  <c:v>75</c:v>
                </c:pt>
              </c:numCache>
            </c:numRef>
          </c:cat>
          <c:val>
            <c:numRef>
              <c:f>'CARCASS LENGTH INTERACTION'!$D$17:$F$17</c:f>
              <c:numCache>
                <c:formatCode>General</c:formatCode>
                <c:ptCount val="3"/>
                <c:pt idx="0">
                  <c:v>101.6</c:v>
                </c:pt>
                <c:pt idx="1">
                  <c:v>139.36</c:v>
                </c:pt>
                <c:pt idx="2">
                  <c:v>181.08</c:v>
                </c:pt>
              </c:numCache>
            </c:numRef>
          </c:val>
          <c:smooth val="0"/>
        </c:ser>
        <c:dLbls>
          <c:showLegendKey val="0"/>
          <c:showVal val="0"/>
          <c:showCatName val="0"/>
          <c:showSerName val="0"/>
          <c:showPercent val="0"/>
          <c:showBubbleSize val="0"/>
        </c:dLbls>
        <c:marker val="1"/>
        <c:smooth val="0"/>
        <c:axId val="745621216"/>
        <c:axId val="745628832"/>
      </c:lineChart>
      <c:catAx>
        <c:axId val="745621216"/>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t>Slaughter periods (days)</a:t>
                </a:r>
                <a:endParaRPr 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p>
        </c:txPr>
        <c:crossAx val="745628832"/>
        <c:crosses val="autoZero"/>
        <c:auto val="1"/>
        <c:lblAlgn val="ctr"/>
        <c:lblOffset val="100"/>
        <c:noMultiLvlLbl val="0"/>
      </c:catAx>
      <c:valAx>
        <c:axId val="745628832"/>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t>Carcass length (cm)</a:t>
                </a:r>
                <a:endParaRPr 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p>
        </c:txPr>
        <c:crossAx val="745621216"/>
        <c:crosses val="autoZero"/>
        <c:crossBetween val="between"/>
      </c:valAx>
    </c:plotArea>
    <c:legend>
      <c:legendPos val="r"/>
      <c:layout>
        <c:manualLayout>
          <c:xMode val="edge"/>
          <c:yMode val="edge"/>
          <c:x val="0.538226540489778"/>
          <c:y val="0.0791311430898724"/>
          <c:w val="0.452599147583616"/>
          <c:h val="0.616449995474704"/>
        </c:manualLayout>
      </c:layout>
      <c:overlay val="0"/>
      <c:txPr>
        <a:bodyPr rot="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p>
      </c:txPr>
    </c:legend>
    <c:plotVisOnly val="1"/>
    <c:dispBlanksAs val="gap"/>
    <c:showDLblsOverMax val="0"/>
    <c:extLst>
      <c:ext uri="{0b15fc19-7d7d-44ad-8c2d-2c3a37ce22c3}">
        <chartProps xmlns="https://web.wps.cn/et/2018/main" chartId="{ba7346bc-b114-485a-8e06-15323aa08f0f}"/>
      </c:ext>
    </c:extLst>
  </c:chart>
  <c:spPr>
    <a:ln w="9525" cap="flat" cmpd="sng" algn="ctr">
      <a:noFill/>
      <a:prstDash val="solid"/>
      <a:round/>
    </a:ln>
  </c:spPr>
  <c:txPr>
    <a:bodyPr/>
    <a:lstStyle/>
    <a:p>
      <a:pPr>
        <a:defRPr lang="en-US">
          <a:latin typeface="Arial" panose="020B0604020202020204" pitchFamily="2" charset="0"/>
          <a:cs typeface="Arial" panose="020B0604020202020204" pitchFamily="2" charset="0"/>
        </a:defRPr>
      </a:pPr>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'CHESTDEPTH INTERACTION'!$C$15</c:f>
              <c:strCache>
                <c:ptCount val="1"/>
                <c:pt idx="0">
                  <c:v>Grazing only</c:v>
                </c:pt>
              </c:strCache>
            </c:strRef>
          </c:tx>
          <c:dLbls>
            <c:delete val="1"/>
          </c:dLbls>
          <c:cat>
            <c:numRef>
              <c:f>'CHESTDEPTH INTERACTION'!$D$14:$F$14</c:f>
              <c:numCache>
                <c:formatCode>General</c:formatCode>
                <c:ptCount val="3"/>
                <c:pt idx="0">
                  <c:v>45</c:v>
                </c:pt>
                <c:pt idx="1">
                  <c:v>60</c:v>
                </c:pt>
                <c:pt idx="2">
                  <c:v>75</c:v>
                </c:pt>
              </c:numCache>
            </c:numRef>
          </c:cat>
          <c:val>
            <c:numRef>
              <c:f>'CHESTDEPTH INTERACTION'!$D$15:$F$15</c:f>
              <c:numCache>
                <c:formatCode>General</c:formatCode>
                <c:ptCount val="3"/>
                <c:pt idx="0">
                  <c:v>29.19</c:v>
                </c:pt>
                <c:pt idx="1">
                  <c:v>36.91</c:v>
                </c:pt>
                <c:pt idx="2">
                  <c:v>40.04</c:v>
                </c:pt>
              </c:numCache>
            </c:numRef>
          </c:val>
          <c:smooth val="0"/>
        </c:ser>
        <c:ser>
          <c:idx val="1"/>
          <c:order val="1"/>
          <c:tx>
            <c:strRef>
              <c:f>'CHESTDEPTH INTERACTION'!$C$16</c:f>
              <c:strCache>
                <c:ptCount val="1"/>
                <c:pt idx="0">
                  <c:v>Grazing with supplementation</c:v>
                </c:pt>
              </c:strCache>
            </c:strRef>
          </c:tx>
          <c:dLbls>
            <c:delete val="1"/>
          </c:dLbls>
          <c:cat>
            <c:numRef>
              <c:f>'CHESTDEPTH INTERACTION'!$D$14:$F$14</c:f>
              <c:numCache>
                <c:formatCode>General</c:formatCode>
                <c:ptCount val="3"/>
                <c:pt idx="0">
                  <c:v>45</c:v>
                </c:pt>
                <c:pt idx="1">
                  <c:v>60</c:v>
                </c:pt>
                <c:pt idx="2">
                  <c:v>75</c:v>
                </c:pt>
              </c:numCache>
            </c:numRef>
          </c:cat>
          <c:val>
            <c:numRef>
              <c:f>'CHESTDEPTH INTERACTION'!$D$16:$F$16</c:f>
              <c:numCache>
                <c:formatCode>General</c:formatCode>
                <c:ptCount val="3"/>
                <c:pt idx="0">
                  <c:v>39.79</c:v>
                </c:pt>
                <c:pt idx="1">
                  <c:v>32.34</c:v>
                </c:pt>
                <c:pt idx="2">
                  <c:v>39.07</c:v>
                </c:pt>
              </c:numCache>
            </c:numRef>
          </c:val>
          <c:smooth val="0"/>
        </c:ser>
        <c:ser>
          <c:idx val="2"/>
          <c:order val="2"/>
          <c:tx>
            <c:strRef>
              <c:f>'CHESTDEPTH INTERACTION'!$C$17</c:f>
              <c:strCache>
                <c:ptCount val="1"/>
                <c:pt idx="0">
                  <c:v>Full feedlot</c:v>
                </c:pt>
              </c:strCache>
            </c:strRef>
          </c:tx>
          <c:dLbls>
            <c:delete val="1"/>
          </c:dLbls>
          <c:cat>
            <c:numRef>
              <c:f>'CHESTDEPTH INTERACTION'!$D$14:$F$14</c:f>
              <c:numCache>
                <c:formatCode>General</c:formatCode>
                <c:ptCount val="3"/>
                <c:pt idx="0">
                  <c:v>45</c:v>
                </c:pt>
                <c:pt idx="1">
                  <c:v>60</c:v>
                </c:pt>
                <c:pt idx="2">
                  <c:v>75</c:v>
                </c:pt>
              </c:numCache>
            </c:numRef>
          </c:cat>
          <c:val>
            <c:numRef>
              <c:f>'CHESTDEPTH INTERACTION'!$D$17:$F$17</c:f>
              <c:numCache>
                <c:formatCode>General</c:formatCode>
                <c:ptCount val="3"/>
                <c:pt idx="0">
                  <c:v>41.33</c:v>
                </c:pt>
                <c:pt idx="1">
                  <c:v>42.22</c:v>
                </c:pt>
                <c:pt idx="2">
                  <c:v>43.72</c:v>
                </c:pt>
              </c:numCache>
            </c:numRef>
          </c:val>
          <c:smooth val="0"/>
        </c:ser>
        <c:dLbls>
          <c:showLegendKey val="0"/>
          <c:showVal val="0"/>
          <c:showCatName val="0"/>
          <c:showSerName val="0"/>
          <c:showPercent val="0"/>
          <c:showBubbleSize val="0"/>
        </c:dLbls>
        <c:marker val="1"/>
        <c:smooth val="0"/>
        <c:axId val="745622848"/>
        <c:axId val="745617408"/>
      </c:lineChart>
      <c:catAx>
        <c:axId val="74562284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t>Slaughter periods (days)</a:t>
                </a:r>
                <a:endParaRPr 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p>
        </c:txPr>
        <c:crossAx val="745617408"/>
        <c:crosses val="autoZero"/>
        <c:auto val="1"/>
        <c:lblAlgn val="ctr"/>
        <c:lblOffset val="100"/>
        <c:noMultiLvlLbl val="0"/>
      </c:catAx>
      <c:valAx>
        <c:axId val="745617408"/>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t>Chest depth (cm)</a:t>
                </a:r>
                <a:endParaRPr 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p>
        </c:txPr>
        <c:crossAx val="745622848"/>
        <c:crosses val="autoZero"/>
        <c:crossBetween val="between"/>
      </c:valAx>
    </c:plotArea>
    <c:legend>
      <c:legendPos val="r"/>
      <c:layout>
        <c:manualLayout>
          <c:xMode val="edge"/>
          <c:yMode val="edge"/>
          <c:x val="0.554778554778555"/>
          <c:y val="0.132137931034483"/>
          <c:w val="0.417249417249417"/>
          <c:h val="0.579287175309983"/>
        </c:manualLayout>
      </c:layout>
      <c:overlay val="0"/>
      <c:txPr>
        <a:bodyPr rot="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p>
      </c:txPr>
    </c:legend>
    <c:plotVisOnly val="1"/>
    <c:dispBlanksAs val="gap"/>
    <c:showDLblsOverMax val="0"/>
    <c:extLst>
      <c:ext uri="{0b15fc19-7d7d-44ad-8c2d-2c3a37ce22c3}">
        <chartProps xmlns="https://web.wps.cn/et/2018/main" chartId="{d21391b9-16dd-4dd7-aa86-7bd25a3f8031}"/>
      </c:ext>
    </c:extLst>
  </c:chart>
  <c:spPr>
    <a:ln w="9525" cap="flat" cmpd="sng" algn="ctr">
      <a:noFill/>
      <a:prstDash val="solid"/>
      <a:round/>
    </a:ln>
  </c:spPr>
  <c:txPr>
    <a:bodyPr/>
    <a:lstStyle/>
    <a:p>
      <a:pPr>
        <a:defRPr lang="en-US">
          <a:latin typeface="Arial" panose="020B0604020202020204" pitchFamily="2" charset="0"/>
          <a:cs typeface="Arial" panose="020B0604020202020204" pitchFamily="2" charset="0"/>
        </a:defRPr>
      </a:pPr>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040978547515"/>
          <c:y val="0.0268242623518214"/>
          <c:w val="0.386950999512018"/>
          <c:h val="0.745746473998443"/>
        </c:manualLayout>
      </c:layout>
      <c:lineChart>
        <c:grouping val="standard"/>
        <c:varyColors val="0"/>
        <c:ser>
          <c:idx val="0"/>
          <c:order val="0"/>
          <c:tx>
            <c:strRef>
              <c:f>'WBSF '!$D$17</c:f>
              <c:strCache>
                <c:ptCount val="1"/>
                <c:pt idx="0">
                  <c:v>Grazing only</c:v>
                </c:pt>
              </c:strCache>
            </c:strRef>
          </c:tx>
          <c:dLbls>
            <c:delete val="1"/>
          </c:dLbls>
          <c:cat>
            <c:numRef>
              <c:f>'WBSF '!$E$16:$G$16</c:f>
              <c:numCache>
                <c:formatCode>General</c:formatCode>
                <c:ptCount val="3"/>
                <c:pt idx="0">
                  <c:v>45</c:v>
                </c:pt>
                <c:pt idx="1">
                  <c:v>60</c:v>
                </c:pt>
                <c:pt idx="2">
                  <c:v>75</c:v>
                </c:pt>
              </c:numCache>
            </c:numRef>
          </c:cat>
          <c:val>
            <c:numRef>
              <c:f>'WBSF '!$E$17:$G$17</c:f>
              <c:numCache>
                <c:formatCode>General</c:formatCode>
                <c:ptCount val="3"/>
                <c:pt idx="0">
                  <c:v>45.02</c:v>
                </c:pt>
                <c:pt idx="1">
                  <c:v>52.29</c:v>
                </c:pt>
                <c:pt idx="2">
                  <c:v>35.91</c:v>
                </c:pt>
              </c:numCache>
            </c:numRef>
          </c:val>
          <c:smooth val="0"/>
        </c:ser>
        <c:ser>
          <c:idx val="1"/>
          <c:order val="1"/>
          <c:tx>
            <c:strRef>
              <c:f>'WBSF '!$D$18</c:f>
              <c:strCache>
                <c:ptCount val="1"/>
                <c:pt idx="0">
                  <c:v>Grazing with supplementation</c:v>
                </c:pt>
              </c:strCache>
            </c:strRef>
          </c:tx>
          <c:dLbls>
            <c:delete val="1"/>
          </c:dLbls>
          <c:cat>
            <c:numRef>
              <c:f>'WBSF '!$E$16:$G$16</c:f>
              <c:numCache>
                <c:formatCode>General</c:formatCode>
                <c:ptCount val="3"/>
                <c:pt idx="0">
                  <c:v>45</c:v>
                </c:pt>
                <c:pt idx="1">
                  <c:v>60</c:v>
                </c:pt>
                <c:pt idx="2">
                  <c:v>75</c:v>
                </c:pt>
              </c:numCache>
            </c:numRef>
          </c:cat>
          <c:val>
            <c:numRef>
              <c:f>'WBSF '!$E$18:$G$18</c:f>
              <c:numCache>
                <c:formatCode>General</c:formatCode>
                <c:ptCount val="3"/>
                <c:pt idx="0">
                  <c:v>50.08</c:v>
                </c:pt>
                <c:pt idx="1">
                  <c:v>49.35</c:v>
                </c:pt>
                <c:pt idx="2">
                  <c:v>36.74</c:v>
                </c:pt>
              </c:numCache>
            </c:numRef>
          </c:val>
          <c:smooth val="0"/>
        </c:ser>
        <c:ser>
          <c:idx val="2"/>
          <c:order val="2"/>
          <c:tx>
            <c:strRef>
              <c:f>'WBSF '!$D$19</c:f>
              <c:strCache>
                <c:ptCount val="1"/>
                <c:pt idx="0">
                  <c:v>Full feedlot</c:v>
                </c:pt>
              </c:strCache>
            </c:strRef>
          </c:tx>
          <c:dLbls>
            <c:delete val="1"/>
          </c:dLbls>
          <c:cat>
            <c:numRef>
              <c:f>'WBSF '!$E$16:$G$16</c:f>
              <c:numCache>
                <c:formatCode>General</c:formatCode>
                <c:ptCount val="3"/>
                <c:pt idx="0">
                  <c:v>45</c:v>
                </c:pt>
                <c:pt idx="1">
                  <c:v>60</c:v>
                </c:pt>
                <c:pt idx="2">
                  <c:v>75</c:v>
                </c:pt>
              </c:numCache>
            </c:numRef>
          </c:cat>
          <c:val>
            <c:numRef>
              <c:f>'WBSF '!$E$19:$G$19</c:f>
              <c:numCache>
                <c:formatCode>General</c:formatCode>
                <c:ptCount val="3"/>
                <c:pt idx="0">
                  <c:v>49.48</c:v>
                </c:pt>
                <c:pt idx="1">
                  <c:v>42.66</c:v>
                </c:pt>
                <c:pt idx="2">
                  <c:v>32.98</c:v>
                </c:pt>
              </c:numCache>
            </c:numRef>
          </c:val>
          <c:smooth val="0"/>
        </c:ser>
        <c:dLbls>
          <c:showLegendKey val="0"/>
          <c:showVal val="0"/>
          <c:showCatName val="0"/>
          <c:showSerName val="0"/>
          <c:showPercent val="0"/>
          <c:showBubbleSize val="0"/>
        </c:dLbls>
        <c:marker val="1"/>
        <c:smooth val="0"/>
        <c:axId val="745620128"/>
        <c:axId val="745627744"/>
      </c:lineChart>
      <c:catAx>
        <c:axId val="74562012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latin typeface="Arial" panose="020B0604020202020204" pitchFamily="2" charset="0"/>
                    <a:cs typeface="Arial" panose="020B0604020202020204" pitchFamily="2" charset="0"/>
                  </a:rPr>
                  <a:t>Slaughter</a:t>
                </a:r>
                <a:r>
                  <a:rPr lang="en-US" baseline="0">
                    <a:latin typeface="Arial" panose="020B0604020202020204" pitchFamily="2" charset="0"/>
                    <a:cs typeface="Arial" panose="020B0604020202020204" pitchFamily="2" charset="0"/>
                  </a:rPr>
                  <a:t> periods (days)</a:t>
                </a:r>
                <a:endParaRPr lang="en-US">
                  <a:latin typeface="Arial" panose="020B0604020202020204" pitchFamily="2" charset="0"/>
                  <a:cs typeface="Arial" panose="020B0604020202020204" pitchFamily="2" charset="0"/>
                </a:endParaRPr>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p>
        </c:txPr>
        <c:crossAx val="745627744"/>
        <c:crosses val="autoZero"/>
        <c:auto val="1"/>
        <c:lblAlgn val="ctr"/>
        <c:lblOffset val="100"/>
        <c:noMultiLvlLbl val="0"/>
      </c:catAx>
      <c:valAx>
        <c:axId val="745627744"/>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latin typeface="Arial" panose="020B0604020202020204" pitchFamily="2" charset="0"/>
                    <a:cs typeface="Arial" panose="020B0604020202020204" pitchFamily="2" charset="0"/>
                  </a:rPr>
                  <a:t>Shear</a:t>
                </a:r>
                <a:r>
                  <a:rPr lang="en-US" baseline="0">
                    <a:latin typeface="Arial" panose="020B0604020202020204" pitchFamily="2" charset="0"/>
                    <a:cs typeface="Arial" panose="020B0604020202020204" pitchFamily="2" charset="0"/>
                  </a:rPr>
                  <a:t> Force Values (N/kg)</a:t>
                </a:r>
                <a:endParaRPr lang="en-US">
                  <a:latin typeface="Arial" panose="020B0604020202020204" pitchFamily="2" charset="0"/>
                  <a:cs typeface="Arial" panose="020B0604020202020204" pitchFamily="2" charset="0"/>
                </a:endParaRPr>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p>
        </c:txPr>
        <c:crossAx val="745620128"/>
        <c:crosses val="autoZero"/>
        <c:crossBetween val="between"/>
      </c:valAx>
    </c:plotArea>
    <c:legend>
      <c:legendPos val="r"/>
      <c:layout>
        <c:manualLayout>
          <c:xMode val="edge"/>
          <c:yMode val="edge"/>
          <c:x val="0.515462252313217"/>
          <c:y val="0.0670440425716016"/>
          <c:w val="0.464163445742202"/>
          <c:h val="0.615362464307346"/>
        </c:manualLayout>
      </c:layout>
      <c:overlay val="0"/>
      <c:txPr>
        <a:bodyPr rot="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p>
      </c:txPr>
    </c:legend>
    <c:plotVisOnly val="1"/>
    <c:dispBlanksAs val="gap"/>
    <c:showDLblsOverMax val="0"/>
    <c:extLst>
      <c:ext uri="{0b15fc19-7d7d-44ad-8c2d-2c3a37ce22c3}">
        <chartProps xmlns="https://web.wps.cn/et/2018/main" chartId="{3f032813-3423-4eb1-bea3-6e7353ddf7a7}"/>
      </c:ext>
    </c:extLst>
  </c:chart>
  <c:spPr>
    <a:ln w="9525" cap="flat" cmpd="sng" algn="ctr">
      <a:noFill/>
      <a:prstDash val="solid"/>
      <a:round/>
    </a:ln>
  </c:spPr>
  <c:txPr>
    <a:bodyPr/>
    <a:lstStyle/>
    <a:p>
      <a:pPr>
        <a:defRPr lang="en-US"/>
      </a:pPr>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709735146743"/>
          <c:y val="0.0488022843298434"/>
          <c:w val="0.364287794973243"/>
          <c:h val="0.747871592973955"/>
        </c:manualLayout>
      </c:layout>
      <c:lineChart>
        <c:grouping val="standard"/>
        <c:varyColors val="0"/>
        <c:ser>
          <c:idx val="0"/>
          <c:order val="0"/>
          <c:tx>
            <c:strRef>
              <c:f>'REDNESS INTERACTION'!$D$16</c:f>
              <c:strCache>
                <c:ptCount val="1"/>
                <c:pt idx="0">
                  <c:v>Grazing only</c:v>
                </c:pt>
              </c:strCache>
            </c:strRef>
          </c:tx>
          <c:dLbls>
            <c:delete val="1"/>
          </c:dLbls>
          <c:cat>
            <c:numRef>
              <c:f>'REDNESS INTERACTION'!$E$15:$G$15</c:f>
              <c:numCache>
                <c:formatCode>General</c:formatCode>
                <c:ptCount val="3"/>
                <c:pt idx="0">
                  <c:v>45</c:v>
                </c:pt>
                <c:pt idx="1">
                  <c:v>60</c:v>
                </c:pt>
                <c:pt idx="2">
                  <c:v>75</c:v>
                </c:pt>
              </c:numCache>
            </c:numRef>
          </c:cat>
          <c:val>
            <c:numRef>
              <c:f>'REDNESS INTERACTION'!$E$16:$G$16</c:f>
              <c:numCache>
                <c:formatCode>General</c:formatCode>
                <c:ptCount val="3"/>
                <c:pt idx="0">
                  <c:v>9.91</c:v>
                </c:pt>
                <c:pt idx="1">
                  <c:v>10.55</c:v>
                </c:pt>
                <c:pt idx="2">
                  <c:v>10.96</c:v>
                </c:pt>
              </c:numCache>
            </c:numRef>
          </c:val>
          <c:smooth val="0"/>
        </c:ser>
        <c:ser>
          <c:idx val="1"/>
          <c:order val="1"/>
          <c:tx>
            <c:strRef>
              <c:f>'REDNESS INTERACTION'!$D$17</c:f>
              <c:strCache>
                <c:ptCount val="1"/>
                <c:pt idx="0">
                  <c:v>Grazing with supplementation</c:v>
                </c:pt>
              </c:strCache>
            </c:strRef>
          </c:tx>
          <c:dLbls>
            <c:delete val="1"/>
          </c:dLbls>
          <c:cat>
            <c:numRef>
              <c:f>'REDNESS INTERACTION'!$E$15:$G$15</c:f>
              <c:numCache>
                <c:formatCode>General</c:formatCode>
                <c:ptCount val="3"/>
                <c:pt idx="0">
                  <c:v>45</c:v>
                </c:pt>
                <c:pt idx="1">
                  <c:v>60</c:v>
                </c:pt>
                <c:pt idx="2">
                  <c:v>75</c:v>
                </c:pt>
              </c:numCache>
            </c:numRef>
          </c:cat>
          <c:val>
            <c:numRef>
              <c:f>'REDNESS INTERACTION'!$E$17:$G$17</c:f>
              <c:numCache>
                <c:formatCode>General</c:formatCode>
                <c:ptCount val="3"/>
                <c:pt idx="0">
                  <c:v>10.02</c:v>
                </c:pt>
                <c:pt idx="1">
                  <c:v>9.4</c:v>
                </c:pt>
                <c:pt idx="2">
                  <c:v>10.06</c:v>
                </c:pt>
              </c:numCache>
            </c:numRef>
          </c:val>
          <c:smooth val="0"/>
        </c:ser>
        <c:ser>
          <c:idx val="2"/>
          <c:order val="2"/>
          <c:tx>
            <c:strRef>
              <c:f>'REDNESS INTERACTION'!$D$18</c:f>
              <c:strCache>
                <c:ptCount val="1"/>
                <c:pt idx="0">
                  <c:v>Full feedlot</c:v>
                </c:pt>
              </c:strCache>
            </c:strRef>
          </c:tx>
          <c:dLbls>
            <c:delete val="1"/>
          </c:dLbls>
          <c:cat>
            <c:numRef>
              <c:f>'REDNESS INTERACTION'!$E$15:$G$15</c:f>
              <c:numCache>
                <c:formatCode>General</c:formatCode>
                <c:ptCount val="3"/>
                <c:pt idx="0">
                  <c:v>45</c:v>
                </c:pt>
                <c:pt idx="1">
                  <c:v>60</c:v>
                </c:pt>
                <c:pt idx="2">
                  <c:v>75</c:v>
                </c:pt>
              </c:numCache>
            </c:numRef>
          </c:cat>
          <c:val>
            <c:numRef>
              <c:f>'REDNESS INTERACTION'!$E$18:$G$18</c:f>
              <c:numCache>
                <c:formatCode>General</c:formatCode>
                <c:ptCount val="3"/>
                <c:pt idx="0">
                  <c:v>10.33</c:v>
                </c:pt>
                <c:pt idx="1">
                  <c:v>8.99</c:v>
                </c:pt>
                <c:pt idx="2">
                  <c:v>6.79</c:v>
                </c:pt>
              </c:numCache>
            </c:numRef>
          </c:val>
          <c:smooth val="0"/>
        </c:ser>
        <c:dLbls>
          <c:showLegendKey val="0"/>
          <c:showVal val="0"/>
          <c:showCatName val="0"/>
          <c:showSerName val="0"/>
          <c:showPercent val="0"/>
          <c:showBubbleSize val="0"/>
        </c:dLbls>
        <c:marker val="1"/>
        <c:smooth val="0"/>
        <c:axId val="745616864"/>
        <c:axId val="745629920"/>
      </c:lineChart>
      <c:catAx>
        <c:axId val="745616864"/>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latin typeface="Arial" panose="020B0604020202020204" pitchFamily="2" charset="0"/>
                    <a:cs typeface="Arial" panose="020B0604020202020204" pitchFamily="2" charset="0"/>
                  </a:rPr>
                  <a:t>Slaughter</a:t>
                </a:r>
                <a:r>
                  <a:rPr lang="en-US" baseline="0">
                    <a:latin typeface="Arial" panose="020B0604020202020204" pitchFamily="2" charset="0"/>
                    <a:cs typeface="Arial" panose="020B0604020202020204" pitchFamily="2" charset="0"/>
                  </a:rPr>
                  <a:t> periods (days)</a:t>
                </a:r>
                <a:endParaRPr lang="en-US">
                  <a:latin typeface="Arial" panose="020B0604020202020204" pitchFamily="2" charset="0"/>
                  <a:cs typeface="Arial" panose="020B0604020202020204" pitchFamily="2" charset="0"/>
                </a:endParaRPr>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p>
        </c:txPr>
        <c:crossAx val="745629920"/>
        <c:crosses val="autoZero"/>
        <c:auto val="1"/>
        <c:lblAlgn val="ctr"/>
        <c:lblOffset val="100"/>
        <c:noMultiLvlLbl val="0"/>
      </c:catAx>
      <c:valAx>
        <c:axId val="745629920"/>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latin typeface="Arial" panose="020B0604020202020204" pitchFamily="2" charset="0"/>
                    <a:cs typeface="Arial" panose="020B0604020202020204" pitchFamily="2" charset="0"/>
                  </a:rPr>
                  <a:t>Redness</a:t>
                </a:r>
                <a:r>
                  <a:rPr lang="en-US" baseline="0">
                    <a:latin typeface="Arial" panose="020B0604020202020204" pitchFamily="2" charset="0"/>
                    <a:cs typeface="Arial" panose="020B0604020202020204" pitchFamily="2" charset="0"/>
                  </a:rPr>
                  <a:t> Colour</a:t>
                </a:r>
                <a:endParaRPr lang="en-US">
                  <a:latin typeface="Arial" panose="020B0604020202020204" pitchFamily="2" charset="0"/>
                  <a:cs typeface="Arial" panose="020B0604020202020204" pitchFamily="2" charset="0"/>
                </a:endParaRPr>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p>
        </c:txPr>
        <c:crossAx val="745616864"/>
        <c:crosses val="autoZero"/>
        <c:crossBetween val="between"/>
      </c:valAx>
    </c:plotArea>
    <c:legend>
      <c:legendPos val="r"/>
      <c:layout>
        <c:manualLayout>
          <c:xMode val="edge"/>
          <c:yMode val="edge"/>
          <c:x val="0.54020321230338"/>
          <c:y val="0.141769317296876"/>
          <c:w val="0.455112946947205"/>
          <c:h val="0.619758068702951"/>
        </c:manualLayout>
      </c:layout>
      <c:overlay val="0"/>
      <c:txPr>
        <a:bodyPr rot="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p>
      </c:txPr>
    </c:legend>
    <c:plotVisOnly val="1"/>
    <c:dispBlanksAs val="gap"/>
    <c:showDLblsOverMax val="0"/>
    <c:extLst>
      <c:ext uri="{0b15fc19-7d7d-44ad-8c2d-2c3a37ce22c3}">
        <chartProps xmlns="https://web.wps.cn/et/2018/main" chartId="{55cb5ce5-1ded-4ddb-852c-548f814971ff}"/>
      </c:ext>
    </c:extLst>
  </c:chart>
  <c:spPr>
    <a:ln w="9525" cap="flat" cmpd="sng" algn="ctr">
      <a:noFill/>
      <a:prstDash val="solid"/>
      <a:round/>
    </a:ln>
  </c:spPr>
  <c:txPr>
    <a:bodyPr/>
    <a:lstStyle/>
    <a:p>
      <a:pPr>
        <a:defRPr lang="en-US"/>
      </a:pPr>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100" b="0" i="0" u="none" strike="noStrike" kern="1200" cap="none" spc="120" normalizeH="0" baseline="0">
                <a:solidFill>
                  <a:schemeClr val="tx1">
                    <a:lumMod val="65000"/>
                    <a:lumOff val="35000"/>
                  </a:schemeClr>
                </a:solidFill>
                <a:latin typeface="Arial" panose="020B0604020202020204" pitchFamily="2" charset="0"/>
                <a:ea typeface="+mn-ea"/>
                <a:cs typeface="Arial" panose="020B0604020202020204" pitchFamily="2" charset="0"/>
              </a:defRPr>
            </a:pPr>
            <a:r>
              <a:rPr lang="en-US" sz="1100" b="0" cap="none"/>
              <a:t>a</a:t>
            </a:r>
            <a:endParaRPr lang="en-US" sz="1100" b="0" cap="none"/>
          </a:p>
        </c:rich>
      </c:tx>
      <c:layout/>
      <c:overlay val="0"/>
      <c:spPr>
        <a:noFill/>
        <a:ln>
          <a:noFill/>
        </a:ln>
        <a:effectLst/>
      </c:spPr>
    </c:title>
    <c:autoTitleDeleted val="0"/>
    <c:plotArea>
      <c:layout>
        <c:manualLayout>
          <c:layoutTarget val="inner"/>
          <c:xMode val="edge"/>
          <c:yMode val="edge"/>
          <c:x val="0.147102077356609"/>
          <c:y val="0.104861111111111"/>
          <c:w val="0.486252009196525"/>
          <c:h val="0.695964566929134"/>
        </c:manualLayout>
      </c:layout>
      <c:lineChart>
        <c:grouping val="standard"/>
        <c:varyColors val="0"/>
        <c:ser>
          <c:idx val="0"/>
          <c:order val="0"/>
          <c:tx>
            <c:strRef>
              <c:f>'COOKING LOSS'!$I$2</c:f>
              <c:strCache>
                <c:ptCount val="1"/>
                <c:pt idx="0">
                  <c:v>4-days</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delete val="1"/>
          </c:dLbls>
          <c:cat>
            <c:strRef>
              <c:f>'COOKING LOSS'!$H$3:$H$11</c:f>
              <c:strCache>
                <c:ptCount val="9"/>
                <c:pt idx="0">
                  <c:v>P1</c:v>
                </c:pt>
                <c:pt idx="1">
                  <c:v>P1</c:v>
                </c:pt>
                <c:pt idx="2">
                  <c:v>P1</c:v>
                </c:pt>
                <c:pt idx="3">
                  <c:v>P2</c:v>
                </c:pt>
                <c:pt idx="4">
                  <c:v>P2</c:v>
                </c:pt>
                <c:pt idx="5">
                  <c:v>P2</c:v>
                </c:pt>
                <c:pt idx="6">
                  <c:v>P3</c:v>
                </c:pt>
                <c:pt idx="7">
                  <c:v>P3</c:v>
                </c:pt>
                <c:pt idx="8">
                  <c:v>P3</c:v>
                </c:pt>
              </c:strCache>
            </c:strRef>
          </c:cat>
          <c:val>
            <c:numRef>
              <c:f>'COOKING LOSS'!$I$3:$I$11</c:f>
              <c:numCache>
                <c:formatCode>General</c:formatCode>
                <c:ptCount val="9"/>
                <c:pt idx="0">
                  <c:v>39.66</c:v>
                </c:pt>
                <c:pt idx="1">
                  <c:v>30.85</c:v>
                </c:pt>
                <c:pt idx="2">
                  <c:v>30.18</c:v>
                </c:pt>
                <c:pt idx="3">
                  <c:v>36.82</c:v>
                </c:pt>
                <c:pt idx="4">
                  <c:v>38.84</c:v>
                </c:pt>
                <c:pt idx="5">
                  <c:v>32.46</c:v>
                </c:pt>
                <c:pt idx="6">
                  <c:v>33.71</c:v>
                </c:pt>
                <c:pt idx="7">
                  <c:v>38.5</c:v>
                </c:pt>
                <c:pt idx="8">
                  <c:v>43.28</c:v>
                </c:pt>
              </c:numCache>
            </c:numRef>
          </c:val>
          <c:smooth val="0"/>
        </c:ser>
        <c:ser>
          <c:idx val="1"/>
          <c:order val="1"/>
          <c:tx>
            <c:strRef>
              <c:f>'COOKING LOSS'!$J$2</c:f>
              <c:strCache>
                <c:ptCount val="1"/>
                <c:pt idx="0">
                  <c:v>8-days</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dLbls>
            <c:delete val="1"/>
          </c:dLbls>
          <c:cat>
            <c:strRef>
              <c:f>'COOKING LOSS'!$H$3:$H$11</c:f>
              <c:strCache>
                <c:ptCount val="9"/>
                <c:pt idx="0">
                  <c:v>P1</c:v>
                </c:pt>
                <c:pt idx="1">
                  <c:v>P1</c:v>
                </c:pt>
                <c:pt idx="2">
                  <c:v>P1</c:v>
                </c:pt>
                <c:pt idx="3">
                  <c:v>P2</c:v>
                </c:pt>
                <c:pt idx="4">
                  <c:v>P2</c:v>
                </c:pt>
                <c:pt idx="5">
                  <c:v>P2</c:v>
                </c:pt>
                <c:pt idx="6">
                  <c:v>P3</c:v>
                </c:pt>
                <c:pt idx="7">
                  <c:v>P3</c:v>
                </c:pt>
                <c:pt idx="8">
                  <c:v>P3</c:v>
                </c:pt>
              </c:strCache>
            </c:strRef>
          </c:cat>
          <c:val>
            <c:numRef>
              <c:f>'COOKING LOSS'!$J$3:$J$11</c:f>
              <c:numCache>
                <c:formatCode>General</c:formatCode>
                <c:ptCount val="9"/>
                <c:pt idx="0">
                  <c:v>41.96</c:v>
                </c:pt>
                <c:pt idx="1">
                  <c:v>34.25</c:v>
                </c:pt>
                <c:pt idx="2">
                  <c:v>35.83</c:v>
                </c:pt>
                <c:pt idx="3">
                  <c:v>37.12</c:v>
                </c:pt>
                <c:pt idx="4">
                  <c:v>37.63</c:v>
                </c:pt>
                <c:pt idx="5">
                  <c:v>33.33</c:v>
                </c:pt>
                <c:pt idx="6">
                  <c:v>34.84</c:v>
                </c:pt>
                <c:pt idx="7">
                  <c:v>33.94</c:v>
                </c:pt>
                <c:pt idx="8">
                  <c:v>40.15</c:v>
                </c:pt>
              </c:numCache>
            </c:numRef>
          </c:val>
          <c:smooth val="0"/>
        </c:ser>
        <c:ser>
          <c:idx val="2"/>
          <c:order val="2"/>
          <c:tx>
            <c:strRef>
              <c:f>'COOKING LOSS'!$K$2</c:f>
              <c:strCache>
                <c:ptCount val="1"/>
                <c:pt idx="0">
                  <c:v>12-days</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dLbls>
            <c:delete val="1"/>
          </c:dLbls>
          <c:cat>
            <c:strRef>
              <c:f>'COOKING LOSS'!$H$3:$H$11</c:f>
              <c:strCache>
                <c:ptCount val="9"/>
                <c:pt idx="0">
                  <c:v>P1</c:v>
                </c:pt>
                <c:pt idx="1">
                  <c:v>P1</c:v>
                </c:pt>
                <c:pt idx="2">
                  <c:v>P1</c:v>
                </c:pt>
                <c:pt idx="3">
                  <c:v>P2</c:v>
                </c:pt>
                <c:pt idx="4">
                  <c:v>P2</c:v>
                </c:pt>
                <c:pt idx="5">
                  <c:v>P2</c:v>
                </c:pt>
                <c:pt idx="6">
                  <c:v>P3</c:v>
                </c:pt>
                <c:pt idx="7">
                  <c:v>P3</c:v>
                </c:pt>
                <c:pt idx="8">
                  <c:v>P3</c:v>
                </c:pt>
              </c:strCache>
            </c:strRef>
          </c:cat>
          <c:val>
            <c:numRef>
              <c:f>'COOKING LOSS'!$K$3:$K$11</c:f>
              <c:numCache>
                <c:formatCode>General</c:formatCode>
                <c:ptCount val="9"/>
                <c:pt idx="0">
                  <c:v>32.83</c:v>
                </c:pt>
                <c:pt idx="1">
                  <c:v>31.21</c:v>
                </c:pt>
                <c:pt idx="2">
                  <c:v>34.64</c:v>
                </c:pt>
                <c:pt idx="3">
                  <c:v>33.53</c:v>
                </c:pt>
                <c:pt idx="4">
                  <c:v>36.31</c:v>
                </c:pt>
                <c:pt idx="5">
                  <c:v>35.29</c:v>
                </c:pt>
                <c:pt idx="6">
                  <c:v>34.56</c:v>
                </c:pt>
                <c:pt idx="7">
                  <c:v>30.69</c:v>
                </c:pt>
                <c:pt idx="8">
                  <c:v>33.86</c:v>
                </c:pt>
              </c:numCache>
            </c:numRef>
          </c:val>
          <c:smooth val="0"/>
        </c:ser>
        <c:ser>
          <c:idx val="3"/>
          <c:order val="3"/>
          <c:tx>
            <c:strRef>
              <c:f>'COOKING LOSS'!$L$2</c:f>
              <c:strCache>
                <c:ptCount val="1"/>
                <c:pt idx="0">
                  <c:v>16-days</c:v>
                </c:pt>
              </c:strCache>
            </c:strRef>
          </c:tx>
          <c:spPr>
            <a:ln w="22225" cap="rnd">
              <a:solidFill>
                <a:schemeClr val="accent4"/>
              </a:solidFill>
              <a:round/>
            </a:ln>
            <a:effectLst/>
          </c:spPr>
          <c:marker>
            <c:symbol val="x"/>
            <c:size val="6"/>
            <c:spPr>
              <a:noFill/>
              <a:ln w="9525">
                <a:solidFill>
                  <a:schemeClr val="accent4"/>
                </a:solidFill>
                <a:round/>
              </a:ln>
              <a:effectLst/>
            </c:spPr>
          </c:marker>
          <c:dLbls>
            <c:delete val="1"/>
          </c:dLbls>
          <c:cat>
            <c:strRef>
              <c:f>'COOKING LOSS'!$H$3:$H$11</c:f>
              <c:strCache>
                <c:ptCount val="9"/>
                <c:pt idx="0">
                  <c:v>P1</c:v>
                </c:pt>
                <c:pt idx="1">
                  <c:v>P1</c:v>
                </c:pt>
                <c:pt idx="2">
                  <c:v>P1</c:v>
                </c:pt>
                <c:pt idx="3">
                  <c:v>P2</c:v>
                </c:pt>
                <c:pt idx="4">
                  <c:v>P2</c:v>
                </c:pt>
                <c:pt idx="5">
                  <c:v>P2</c:v>
                </c:pt>
                <c:pt idx="6">
                  <c:v>P3</c:v>
                </c:pt>
                <c:pt idx="7">
                  <c:v>P3</c:v>
                </c:pt>
                <c:pt idx="8">
                  <c:v>P3</c:v>
                </c:pt>
              </c:strCache>
            </c:strRef>
          </c:cat>
          <c:val>
            <c:numRef>
              <c:f>'COOKING LOSS'!$L$3:$L$11</c:f>
              <c:numCache>
                <c:formatCode>General</c:formatCode>
                <c:ptCount val="9"/>
                <c:pt idx="0">
                  <c:v>31.26</c:v>
                </c:pt>
                <c:pt idx="1">
                  <c:v>26.78</c:v>
                </c:pt>
                <c:pt idx="2">
                  <c:v>30.22</c:v>
                </c:pt>
                <c:pt idx="3">
                  <c:v>30.44</c:v>
                </c:pt>
                <c:pt idx="4">
                  <c:v>24.24</c:v>
                </c:pt>
                <c:pt idx="5">
                  <c:v>32.53</c:v>
                </c:pt>
                <c:pt idx="6">
                  <c:v>25.6</c:v>
                </c:pt>
                <c:pt idx="7">
                  <c:v>29.3</c:v>
                </c:pt>
                <c:pt idx="8">
                  <c:v>33.83</c:v>
                </c:pt>
              </c:numCache>
            </c:numRef>
          </c:val>
          <c:smooth val="0"/>
        </c:ser>
        <c:dLbls>
          <c:showLegendKey val="0"/>
          <c:showVal val="0"/>
          <c:showCatName val="0"/>
          <c:showSerName val="0"/>
          <c:showPercent val="0"/>
          <c:showBubbleSize val="0"/>
        </c:dLbls>
        <c:marker val="1"/>
        <c:smooth val="0"/>
        <c:axId val="745619584"/>
        <c:axId val="745621760"/>
      </c:lineChart>
      <c:catAx>
        <c:axId val="745619584"/>
        <c:scaling>
          <c:orientation val="minMax"/>
        </c:scaling>
        <c:delete val="0"/>
        <c:axPos val="b"/>
        <c:title>
          <c:tx>
            <c:rich>
              <a:bodyPr rot="0" spcFirstLastPara="1" vertOverflow="ellipsis" vert="horz" wrap="square" anchor="ctr" anchorCtr="1"/>
              <a:lstStyle/>
              <a:p>
                <a:pPr>
                  <a:defRPr lang="en-US" sz="1000" b="0" i="0" u="none" strike="noStrike" kern="1200" cap="none" baseline="0">
                    <a:solidFill>
                      <a:schemeClr val="tx1">
                        <a:lumMod val="65000"/>
                        <a:lumOff val="35000"/>
                      </a:schemeClr>
                    </a:solidFill>
                    <a:latin typeface="Arial" panose="020B0604020202020204" pitchFamily="2" charset="0"/>
                    <a:ea typeface="+mn-ea"/>
                    <a:cs typeface="Arial" panose="020B0604020202020204" pitchFamily="2" charset="0"/>
                  </a:defRPr>
                </a:pPr>
                <a:r>
                  <a:rPr lang="en-US" sz="1000" cap="none"/>
                  <a:t>Finishing practice</a:t>
                </a:r>
                <a:endParaRPr lang="en-US" sz="1000" cap="none"/>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Arial" panose="020B0604020202020204" pitchFamily="2" charset="0"/>
                <a:ea typeface="+mn-ea"/>
                <a:cs typeface="Arial" panose="020B0604020202020204" pitchFamily="2" charset="0"/>
              </a:defRPr>
            </a:pPr>
          </a:p>
        </c:txPr>
        <c:crossAx val="745621760"/>
        <c:crosses val="autoZero"/>
        <c:auto val="1"/>
        <c:lblAlgn val="ctr"/>
        <c:lblOffset val="100"/>
        <c:noMultiLvlLbl val="0"/>
      </c:catAx>
      <c:valAx>
        <c:axId val="745621760"/>
        <c:scaling>
          <c:orientation val="minMax"/>
        </c:scaling>
        <c:delete val="0"/>
        <c:axPos val="l"/>
        <c:title>
          <c:tx>
            <c:rich>
              <a:bodyPr rot="-5400000" spcFirstLastPara="1" vertOverflow="ellipsis" vert="horz" wrap="square" anchor="ctr" anchorCtr="1"/>
              <a:lstStyle/>
              <a:p>
                <a:pPr>
                  <a:defRPr lang="en-US" sz="1000" b="0" i="0" u="none" strike="noStrike" kern="1200" cap="none" baseline="0">
                    <a:solidFill>
                      <a:schemeClr val="tx1">
                        <a:lumMod val="65000"/>
                        <a:lumOff val="35000"/>
                      </a:schemeClr>
                    </a:solidFill>
                    <a:latin typeface="Arial" panose="020B0604020202020204" pitchFamily="2" charset="0"/>
                    <a:ea typeface="+mn-ea"/>
                    <a:cs typeface="Arial" panose="020B0604020202020204" pitchFamily="2" charset="0"/>
                  </a:defRPr>
                </a:pPr>
                <a:r>
                  <a:rPr lang="en-US" sz="1000" cap="none"/>
                  <a:t>Cooking loss (%)</a:t>
                </a:r>
                <a:endParaRPr lang="en-US" sz="1000" cap="none"/>
              </a:p>
            </c:rich>
          </c:tx>
          <c:layout/>
          <c:overlay val="0"/>
          <c:spPr>
            <a:noFill/>
            <a:ln>
              <a:noFill/>
            </a:ln>
            <a:effectLst/>
          </c:spPr>
        </c:title>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p>
        </c:txPr>
        <c:crossAx val="745619584"/>
        <c:crosses val="autoZero"/>
        <c:crossBetween val="between"/>
      </c:valAx>
      <c:spPr>
        <a:noFill/>
        <a:ln>
          <a:noFill/>
        </a:ln>
        <a:effectLst/>
      </c:spPr>
    </c:plotArea>
    <c:legend>
      <c:legendPos val="r"/>
      <c:layout>
        <c:manualLayout>
          <c:xMode val="edge"/>
          <c:yMode val="edge"/>
          <c:x val="0.637750460296941"/>
          <c:y val="0.157064377369495"/>
          <c:w val="0.347686829843944"/>
          <c:h val="0.540731991834354"/>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p>
      </c:txPr>
    </c:legend>
    <c:plotVisOnly val="1"/>
    <c:dispBlanksAs val="gap"/>
    <c:showDLblsOverMax val="0"/>
    <c:extLst>
      <c:ext uri="{0b15fc19-7d7d-44ad-8c2d-2c3a37ce22c3}">
        <chartProps xmlns="https://web.wps.cn/et/2018/main" chartId="{013a29a2-362e-462b-aeef-6d2effd11881}"/>
      </c:ext>
    </c:extLst>
  </c:chart>
  <c:spPr>
    <a:solidFill>
      <a:schemeClr val="lt1"/>
    </a:solidFill>
    <a:ln w="9525" cap="flat" cmpd="sng" algn="ctr">
      <a:noFill/>
      <a:round/>
    </a:ln>
    <a:effectLst/>
  </c:spPr>
  <c:txPr>
    <a:bodyPr/>
    <a:lstStyle/>
    <a:p>
      <a:pPr>
        <a:defRPr lang="en-US">
          <a:latin typeface="Arial" panose="020B0604020202020204" pitchFamily="2" charset="0"/>
          <a:cs typeface="Arial" panose="020B0604020202020204" pitchFamily="2" charset="0"/>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100" b="0" i="0" u="none" strike="noStrike" kern="1200" cap="none" spc="120" normalizeH="0" baseline="0">
                <a:solidFill>
                  <a:schemeClr val="tx1">
                    <a:lumMod val="65000"/>
                    <a:lumOff val="35000"/>
                  </a:schemeClr>
                </a:solidFill>
                <a:latin typeface="Arial" panose="020B0604020202020204" pitchFamily="2" charset="0"/>
                <a:ea typeface="+mn-ea"/>
                <a:cs typeface="Arial" panose="020B0604020202020204" pitchFamily="2" charset="0"/>
              </a:defRPr>
            </a:pPr>
            <a:r>
              <a:rPr lang="en-US" sz="1100" b="0" cap="none"/>
              <a:t>b</a:t>
            </a:r>
            <a:endParaRPr lang="en-US" sz="1100" b="0" cap="none"/>
          </a:p>
        </c:rich>
      </c:tx>
      <c:layout/>
      <c:overlay val="0"/>
      <c:spPr>
        <a:noFill/>
        <a:ln>
          <a:noFill/>
        </a:ln>
        <a:effectLst/>
      </c:spPr>
    </c:title>
    <c:autoTitleDeleted val="0"/>
    <c:plotArea>
      <c:layout>
        <c:manualLayout>
          <c:layoutTarget val="inner"/>
          <c:xMode val="edge"/>
          <c:yMode val="edge"/>
          <c:x val="0.206295040934453"/>
          <c:y val="0.122952710495963"/>
          <c:w val="0.524419316006552"/>
          <c:h val="0.671572351033975"/>
        </c:manualLayout>
      </c:layout>
      <c:lineChart>
        <c:grouping val="standard"/>
        <c:varyColors val="0"/>
        <c:ser>
          <c:idx val="0"/>
          <c:order val="0"/>
          <c:tx>
            <c:strRef>
              <c:f>'SHEAR FORCE'!$W$2</c:f>
              <c:strCache>
                <c:ptCount val="1"/>
                <c:pt idx="0">
                  <c:v>4-days</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delete val="1"/>
          </c:dLbls>
          <c:cat>
            <c:strRef>
              <c:f>'SHEAR FORCE'!$V$3:$V$11</c:f>
              <c:strCache>
                <c:ptCount val="9"/>
                <c:pt idx="0">
                  <c:v>P1</c:v>
                </c:pt>
                <c:pt idx="1">
                  <c:v>P1</c:v>
                </c:pt>
                <c:pt idx="2">
                  <c:v>P1</c:v>
                </c:pt>
                <c:pt idx="3">
                  <c:v>P2</c:v>
                </c:pt>
                <c:pt idx="4">
                  <c:v>P2</c:v>
                </c:pt>
                <c:pt idx="5">
                  <c:v>P2</c:v>
                </c:pt>
                <c:pt idx="6">
                  <c:v>P3</c:v>
                </c:pt>
                <c:pt idx="7">
                  <c:v>P3</c:v>
                </c:pt>
                <c:pt idx="8">
                  <c:v>P3</c:v>
                </c:pt>
              </c:strCache>
            </c:strRef>
          </c:cat>
          <c:val>
            <c:numRef>
              <c:f>'SHEAR FORCE'!$W$3:$W$11</c:f>
              <c:numCache>
                <c:formatCode>General</c:formatCode>
                <c:ptCount val="9"/>
                <c:pt idx="0">
                  <c:v>48.41</c:v>
                </c:pt>
                <c:pt idx="1">
                  <c:v>68.6</c:v>
                </c:pt>
                <c:pt idx="2">
                  <c:v>37.24</c:v>
                </c:pt>
                <c:pt idx="3">
                  <c:v>58.85</c:v>
                </c:pt>
                <c:pt idx="4">
                  <c:v>63.9</c:v>
                </c:pt>
                <c:pt idx="5">
                  <c:v>37.67</c:v>
                </c:pt>
                <c:pt idx="6">
                  <c:v>52.54</c:v>
                </c:pt>
                <c:pt idx="7">
                  <c:v>42.9</c:v>
                </c:pt>
                <c:pt idx="8">
                  <c:v>33.6</c:v>
                </c:pt>
              </c:numCache>
            </c:numRef>
          </c:val>
          <c:smooth val="0"/>
        </c:ser>
        <c:ser>
          <c:idx val="1"/>
          <c:order val="1"/>
          <c:tx>
            <c:strRef>
              <c:f>'SHEAR FORCE'!$X$2</c:f>
              <c:strCache>
                <c:ptCount val="1"/>
                <c:pt idx="0">
                  <c:v>8-days</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dLbls>
            <c:delete val="1"/>
          </c:dLbls>
          <c:cat>
            <c:strRef>
              <c:f>'SHEAR FORCE'!$V$3:$V$11</c:f>
              <c:strCache>
                <c:ptCount val="9"/>
                <c:pt idx="0">
                  <c:v>P1</c:v>
                </c:pt>
                <c:pt idx="1">
                  <c:v>P1</c:v>
                </c:pt>
                <c:pt idx="2">
                  <c:v>P1</c:v>
                </c:pt>
                <c:pt idx="3">
                  <c:v>P2</c:v>
                </c:pt>
                <c:pt idx="4">
                  <c:v>P2</c:v>
                </c:pt>
                <c:pt idx="5">
                  <c:v>P2</c:v>
                </c:pt>
                <c:pt idx="6">
                  <c:v>P3</c:v>
                </c:pt>
                <c:pt idx="7">
                  <c:v>P3</c:v>
                </c:pt>
                <c:pt idx="8">
                  <c:v>P3</c:v>
                </c:pt>
              </c:strCache>
            </c:strRef>
          </c:cat>
          <c:val>
            <c:numRef>
              <c:f>'SHEAR FORCE'!$X$3:$X$11</c:f>
              <c:numCache>
                <c:formatCode>General</c:formatCode>
                <c:ptCount val="9"/>
                <c:pt idx="0">
                  <c:v>50.86</c:v>
                </c:pt>
                <c:pt idx="1">
                  <c:v>47.75</c:v>
                </c:pt>
                <c:pt idx="2">
                  <c:v>28.85</c:v>
                </c:pt>
                <c:pt idx="3">
                  <c:v>51.2</c:v>
                </c:pt>
                <c:pt idx="4">
                  <c:v>46.96</c:v>
                </c:pt>
                <c:pt idx="5">
                  <c:v>28.42</c:v>
                </c:pt>
                <c:pt idx="6">
                  <c:v>46.5</c:v>
                </c:pt>
                <c:pt idx="7">
                  <c:v>43.53</c:v>
                </c:pt>
                <c:pt idx="8">
                  <c:v>26.22</c:v>
                </c:pt>
              </c:numCache>
            </c:numRef>
          </c:val>
          <c:smooth val="0"/>
        </c:ser>
        <c:ser>
          <c:idx val="2"/>
          <c:order val="2"/>
          <c:tx>
            <c:strRef>
              <c:f>'SHEAR FORCE'!$Y$2</c:f>
              <c:strCache>
                <c:ptCount val="1"/>
                <c:pt idx="0">
                  <c:v>12-days</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dLbls>
            <c:delete val="1"/>
          </c:dLbls>
          <c:cat>
            <c:strRef>
              <c:f>'SHEAR FORCE'!$V$3:$V$11</c:f>
              <c:strCache>
                <c:ptCount val="9"/>
                <c:pt idx="0">
                  <c:v>P1</c:v>
                </c:pt>
                <c:pt idx="1">
                  <c:v>P1</c:v>
                </c:pt>
                <c:pt idx="2">
                  <c:v>P1</c:v>
                </c:pt>
                <c:pt idx="3">
                  <c:v>P2</c:v>
                </c:pt>
                <c:pt idx="4">
                  <c:v>P2</c:v>
                </c:pt>
                <c:pt idx="5">
                  <c:v>P2</c:v>
                </c:pt>
                <c:pt idx="6">
                  <c:v>P3</c:v>
                </c:pt>
                <c:pt idx="7">
                  <c:v>P3</c:v>
                </c:pt>
                <c:pt idx="8">
                  <c:v>P3</c:v>
                </c:pt>
              </c:strCache>
            </c:strRef>
          </c:cat>
          <c:val>
            <c:numRef>
              <c:f>'SHEAR FORCE'!$Y$3:$Y$11</c:f>
              <c:numCache>
                <c:formatCode>General</c:formatCode>
                <c:ptCount val="9"/>
                <c:pt idx="0">
                  <c:v>44.33</c:v>
                </c:pt>
                <c:pt idx="1">
                  <c:v>44.5</c:v>
                </c:pt>
                <c:pt idx="2">
                  <c:v>36.18</c:v>
                </c:pt>
                <c:pt idx="3">
                  <c:v>47.92</c:v>
                </c:pt>
                <c:pt idx="4">
                  <c:v>45.47</c:v>
                </c:pt>
                <c:pt idx="5">
                  <c:v>38.28</c:v>
                </c:pt>
                <c:pt idx="6">
                  <c:v>44.83</c:v>
                </c:pt>
                <c:pt idx="7">
                  <c:v>42.49</c:v>
                </c:pt>
                <c:pt idx="8">
                  <c:v>35.11</c:v>
                </c:pt>
              </c:numCache>
            </c:numRef>
          </c:val>
          <c:smooth val="0"/>
        </c:ser>
        <c:ser>
          <c:idx val="3"/>
          <c:order val="3"/>
          <c:tx>
            <c:strRef>
              <c:f>'SHEAR FORCE'!$Z$2</c:f>
              <c:strCache>
                <c:ptCount val="1"/>
                <c:pt idx="0">
                  <c:v>16-days</c:v>
                </c:pt>
              </c:strCache>
            </c:strRef>
          </c:tx>
          <c:spPr>
            <a:ln w="22225" cap="rnd">
              <a:solidFill>
                <a:schemeClr val="accent4"/>
              </a:solidFill>
              <a:round/>
            </a:ln>
            <a:effectLst/>
          </c:spPr>
          <c:marker>
            <c:symbol val="x"/>
            <c:size val="6"/>
            <c:spPr>
              <a:noFill/>
              <a:ln w="9525">
                <a:solidFill>
                  <a:schemeClr val="accent4"/>
                </a:solidFill>
                <a:round/>
              </a:ln>
              <a:effectLst/>
            </c:spPr>
          </c:marker>
          <c:dLbls>
            <c:delete val="1"/>
          </c:dLbls>
          <c:cat>
            <c:strRef>
              <c:f>'SHEAR FORCE'!$V$3:$V$11</c:f>
              <c:strCache>
                <c:ptCount val="9"/>
                <c:pt idx="0">
                  <c:v>P1</c:v>
                </c:pt>
                <c:pt idx="1">
                  <c:v>P1</c:v>
                </c:pt>
                <c:pt idx="2">
                  <c:v>P1</c:v>
                </c:pt>
                <c:pt idx="3">
                  <c:v>P2</c:v>
                </c:pt>
                <c:pt idx="4">
                  <c:v>P2</c:v>
                </c:pt>
                <c:pt idx="5">
                  <c:v>P2</c:v>
                </c:pt>
                <c:pt idx="6">
                  <c:v>P3</c:v>
                </c:pt>
                <c:pt idx="7">
                  <c:v>P3</c:v>
                </c:pt>
                <c:pt idx="8">
                  <c:v>P3</c:v>
                </c:pt>
              </c:strCache>
            </c:strRef>
          </c:cat>
          <c:val>
            <c:numRef>
              <c:f>'SHEAR FORCE'!$Z$3:$Z$11</c:f>
              <c:numCache>
                <c:formatCode>General</c:formatCode>
                <c:ptCount val="9"/>
                <c:pt idx="0">
                  <c:v>33.15</c:v>
                </c:pt>
                <c:pt idx="1">
                  <c:v>48.29</c:v>
                </c:pt>
                <c:pt idx="2">
                  <c:v>18.05</c:v>
                </c:pt>
                <c:pt idx="3">
                  <c:v>39.03</c:v>
                </c:pt>
                <c:pt idx="4">
                  <c:v>37.25</c:v>
                </c:pt>
                <c:pt idx="5">
                  <c:v>19.32</c:v>
                </c:pt>
                <c:pt idx="6">
                  <c:v>28.11</c:v>
                </c:pt>
                <c:pt idx="7">
                  <c:v>32.88</c:v>
                </c:pt>
                <c:pt idx="8">
                  <c:v>30.29</c:v>
                </c:pt>
              </c:numCache>
            </c:numRef>
          </c:val>
          <c:smooth val="0"/>
        </c:ser>
        <c:dLbls>
          <c:showLegendKey val="0"/>
          <c:showVal val="0"/>
          <c:showCatName val="0"/>
          <c:showSerName val="0"/>
          <c:showPercent val="0"/>
          <c:showBubbleSize val="0"/>
        </c:dLbls>
        <c:marker val="1"/>
        <c:smooth val="0"/>
        <c:axId val="745624480"/>
        <c:axId val="745625568"/>
      </c:lineChart>
      <c:catAx>
        <c:axId val="745624480"/>
        <c:scaling>
          <c:orientation val="minMax"/>
        </c:scaling>
        <c:delete val="0"/>
        <c:axPos val="b"/>
        <c:title>
          <c:tx>
            <c:rich>
              <a:bodyPr rot="0" spcFirstLastPara="1" vertOverflow="ellipsis" vert="horz" wrap="square" anchor="ctr" anchorCtr="1"/>
              <a:lstStyle/>
              <a:p>
                <a:pPr>
                  <a:defRPr lang="en-US" sz="1000" b="0" i="0" u="none" strike="noStrike" kern="1200" cap="none" baseline="0">
                    <a:solidFill>
                      <a:schemeClr val="tx1">
                        <a:lumMod val="65000"/>
                        <a:lumOff val="35000"/>
                      </a:schemeClr>
                    </a:solidFill>
                    <a:latin typeface="Arial" panose="020B0604020202020204" pitchFamily="2" charset="0"/>
                    <a:ea typeface="+mn-ea"/>
                    <a:cs typeface="Arial" panose="020B0604020202020204" pitchFamily="2" charset="0"/>
                  </a:defRPr>
                </a:pPr>
                <a:r>
                  <a:rPr lang="en-US" cap="none"/>
                  <a:t>Finishing practice</a:t>
                </a:r>
                <a:endParaRPr lang="en-US" cap="none"/>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cap="all" spc="120" normalizeH="0" baseline="0">
                <a:solidFill>
                  <a:schemeClr val="tx1">
                    <a:lumMod val="65000"/>
                    <a:lumOff val="35000"/>
                  </a:schemeClr>
                </a:solidFill>
                <a:latin typeface="Arial" panose="020B0604020202020204" pitchFamily="2" charset="0"/>
                <a:ea typeface="+mn-ea"/>
                <a:cs typeface="Arial" panose="020B0604020202020204" pitchFamily="2" charset="0"/>
              </a:defRPr>
            </a:pPr>
          </a:p>
        </c:txPr>
        <c:crossAx val="745625568"/>
        <c:crosses val="autoZero"/>
        <c:auto val="1"/>
        <c:lblAlgn val="ctr"/>
        <c:lblOffset val="100"/>
        <c:noMultiLvlLbl val="0"/>
      </c:catAx>
      <c:valAx>
        <c:axId val="745625568"/>
        <c:scaling>
          <c:orientation val="minMax"/>
        </c:scaling>
        <c:delete val="0"/>
        <c:axPos val="l"/>
        <c:title>
          <c:tx>
            <c:rich>
              <a:bodyPr rot="-5400000" spcFirstLastPara="1" vertOverflow="ellipsis" vert="horz" wrap="square" anchor="ctr" anchorCtr="1"/>
              <a:lstStyle/>
              <a:p>
                <a:pPr>
                  <a:defRPr lang="en-US" sz="1000" b="0" i="0" u="none" strike="noStrike" kern="1200" cap="none" baseline="0">
                    <a:solidFill>
                      <a:schemeClr val="tx1">
                        <a:lumMod val="65000"/>
                        <a:lumOff val="35000"/>
                      </a:schemeClr>
                    </a:solidFill>
                    <a:latin typeface="Arial" panose="020B0604020202020204" pitchFamily="2" charset="0"/>
                    <a:ea typeface="+mn-ea"/>
                    <a:cs typeface="Arial" panose="020B0604020202020204" pitchFamily="2" charset="0"/>
                  </a:defRPr>
                </a:pPr>
                <a:r>
                  <a:rPr lang="en-US" cap="none"/>
                  <a:t>Shear force values (N/kg)</a:t>
                </a:r>
                <a:endParaRPr lang="en-US" cap="none"/>
              </a:p>
            </c:rich>
          </c:tx>
          <c:layout/>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p>
        </c:txPr>
        <c:crossAx val="745624480"/>
        <c:crosses val="autoZero"/>
        <c:crossBetween val="between"/>
      </c:valAx>
      <c:spPr>
        <a:noFill/>
        <a:ln>
          <a:noFill/>
        </a:ln>
        <a:effectLst/>
      </c:spPr>
    </c:plotArea>
    <c:legend>
      <c:legendPos val="r"/>
      <c:layout>
        <c:manualLayout>
          <c:xMode val="edge"/>
          <c:yMode val="edge"/>
          <c:x val="0.722969265938532"/>
          <c:y val="0.157202045246074"/>
          <c:w val="0.277030734061468"/>
          <c:h val="0.550186451607044"/>
        </c:manualLayout>
      </c:layout>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p>
      </c:txPr>
    </c:legend>
    <c:plotVisOnly val="1"/>
    <c:dispBlanksAs val="gap"/>
    <c:showDLblsOverMax val="0"/>
    <c:extLst>
      <c:ext uri="{0b15fc19-7d7d-44ad-8c2d-2c3a37ce22c3}">
        <chartProps xmlns="https://web.wps.cn/et/2018/main" chartId="{58dbdf49-1865-48ab-8366-69bd6be40cc9}"/>
      </c:ext>
    </c:extLst>
  </c:chart>
  <c:spPr>
    <a:solidFill>
      <a:schemeClr val="lt1"/>
    </a:solidFill>
    <a:ln w="9525" cap="flat" cmpd="sng" algn="ctr">
      <a:noFill/>
      <a:round/>
    </a:ln>
    <a:effectLst/>
  </c:spPr>
  <c:txPr>
    <a:bodyPr/>
    <a:lstStyle/>
    <a:p>
      <a:pPr>
        <a:defRPr lang="en-US" sz="1000">
          <a:latin typeface="Arial" panose="020B0604020202020204" pitchFamily="2" charset="0"/>
          <a:cs typeface="Arial" panose="020B0604020202020204" pitchFamily="2" charset="0"/>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100" b="0" i="0" u="none" strike="noStrike" kern="1200" cap="none" spc="120" normalizeH="0" baseline="0">
                <a:solidFill>
                  <a:schemeClr val="tx1">
                    <a:lumMod val="65000"/>
                    <a:lumOff val="35000"/>
                  </a:schemeClr>
                </a:solidFill>
                <a:latin typeface="+mn-lt"/>
                <a:ea typeface="+mn-ea"/>
                <a:cs typeface="+mn-cs"/>
              </a:defRPr>
            </a:pPr>
            <a:r>
              <a:rPr lang="en-US" sz="1100" b="0" cap="none"/>
              <a:t>c</a:t>
            </a:r>
            <a:endParaRPr lang="en-US" sz="1100" b="0" cap="none"/>
          </a:p>
        </c:rich>
      </c:tx>
      <c:layout/>
      <c:overlay val="0"/>
      <c:spPr>
        <a:noFill/>
        <a:ln>
          <a:noFill/>
        </a:ln>
        <a:effectLst/>
      </c:spPr>
    </c:title>
    <c:autoTitleDeleted val="0"/>
    <c:plotArea>
      <c:layout>
        <c:manualLayout>
          <c:layoutTarget val="inner"/>
          <c:xMode val="edge"/>
          <c:yMode val="edge"/>
          <c:x val="0.131140638670166"/>
          <c:y val="0.144401826484018"/>
          <c:w val="0.48200860309128"/>
          <c:h val="0.704632797612627"/>
        </c:manualLayout>
      </c:layout>
      <c:lineChart>
        <c:grouping val="standard"/>
        <c:varyColors val="0"/>
        <c:ser>
          <c:idx val="0"/>
          <c:order val="0"/>
          <c:tx>
            <c:strRef>
              <c:f>'AGING COOKING LOSS'!$I$2</c:f>
              <c:strCache>
                <c:ptCount val="1"/>
                <c:pt idx="0">
                  <c:v>4-days</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delete val="1"/>
          </c:dLbls>
          <c:cat>
            <c:strRef>
              <c:f>'AGING COOKING LOSS'!$H$3:$H$11</c:f>
              <c:strCache>
                <c:ptCount val="9"/>
                <c:pt idx="0">
                  <c:v>S1</c:v>
                </c:pt>
                <c:pt idx="1">
                  <c:v>S2</c:v>
                </c:pt>
                <c:pt idx="2">
                  <c:v>S3</c:v>
                </c:pt>
                <c:pt idx="3">
                  <c:v>S1</c:v>
                </c:pt>
                <c:pt idx="4">
                  <c:v>S2</c:v>
                </c:pt>
                <c:pt idx="5">
                  <c:v>S3</c:v>
                </c:pt>
                <c:pt idx="6">
                  <c:v>S1</c:v>
                </c:pt>
                <c:pt idx="7">
                  <c:v>S2</c:v>
                </c:pt>
                <c:pt idx="8">
                  <c:v>S3</c:v>
                </c:pt>
              </c:strCache>
            </c:strRef>
          </c:cat>
          <c:val>
            <c:numRef>
              <c:f>'AGING COOKING LOSS'!$I$3:$I$11</c:f>
              <c:numCache>
                <c:formatCode>General</c:formatCode>
                <c:ptCount val="9"/>
                <c:pt idx="0">
                  <c:v>39.66</c:v>
                </c:pt>
                <c:pt idx="1">
                  <c:v>30.85</c:v>
                </c:pt>
                <c:pt idx="2">
                  <c:v>30.18</c:v>
                </c:pt>
                <c:pt idx="3">
                  <c:v>36.82</c:v>
                </c:pt>
                <c:pt idx="4">
                  <c:v>38.84</c:v>
                </c:pt>
                <c:pt idx="5">
                  <c:v>32.46</c:v>
                </c:pt>
                <c:pt idx="6">
                  <c:v>33.71</c:v>
                </c:pt>
                <c:pt idx="7">
                  <c:v>38.5</c:v>
                </c:pt>
                <c:pt idx="8">
                  <c:v>43.28</c:v>
                </c:pt>
              </c:numCache>
            </c:numRef>
          </c:val>
          <c:smooth val="0"/>
        </c:ser>
        <c:ser>
          <c:idx val="1"/>
          <c:order val="1"/>
          <c:tx>
            <c:strRef>
              <c:f>'AGING COOKING LOSS'!$J$2</c:f>
              <c:strCache>
                <c:ptCount val="1"/>
                <c:pt idx="0">
                  <c:v>8-days</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dLbls>
            <c:delete val="1"/>
          </c:dLbls>
          <c:cat>
            <c:strRef>
              <c:f>'AGING COOKING LOSS'!$H$3:$H$11</c:f>
              <c:strCache>
                <c:ptCount val="9"/>
                <c:pt idx="0">
                  <c:v>S1</c:v>
                </c:pt>
                <c:pt idx="1">
                  <c:v>S2</c:v>
                </c:pt>
                <c:pt idx="2">
                  <c:v>S3</c:v>
                </c:pt>
                <c:pt idx="3">
                  <c:v>S1</c:v>
                </c:pt>
                <c:pt idx="4">
                  <c:v>S2</c:v>
                </c:pt>
                <c:pt idx="5">
                  <c:v>S3</c:v>
                </c:pt>
                <c:pt idx="6">
                  <c:v>S1</c:v>
                </c:pt>
                <c:pt idx="7">
                  <c:v>S2</c:v>
                </c:pt>
                <c:pt idx="8">
                  <c:v>S3</c:v>
                </c:pt>
              </c:strCache>
            </c:strRef>
          </c:cat>
          <c:val>
            <c:numRef>
              <c:f>'AGING COOKING LOSS'!$J$3:$J$11</c:f>
              <c:numCache>
                <c:formatCode>General</c:formatCode>
                <c:ptCount val="9"/>
                <c:pt idx="0">
                  <c:v>41.96</c:v>
                </c:pt>
                <c:pt idx="1">
                  <c:v>34.25</c:v>
                </c:pt>
                <c:pt idx="2">
                  <c:v>35.83</c:v>
                </c:pt>
                <c:pt idx="3">
                  <c:v>37.12</c:v>
                </c:pt>
                <c:pt idx="4">
                  <c:v>37.63</c:v>
                </c:pt>
                <c:pt idx="5">
                  <c:v>33.33</c:v>
                </c:pt>
                <c:pt idx="6">
                  <c:v>34.84</c:v>
                </c:pt>
                <c:pt idx="7">
                  <c:v>33.94</c:v>
                </c:pt>
                <c:pt idx="8">
                  <c:v>40.15</c:v>
                </c:pt>
              </c:numCache>
            </c:numRef>
          </c:val>
          <c:smooth val="0"/>
        </c:ser>
        <c:ser>
          <c:idx val="2"/>
          <c:order val="2"/>
          <c:tx>
            <c:strRef>
              <c:f>'AGING COOKING LOSS'!$K$2</c:f>
              <c:strCache>
                <c:ptCount val="1"/>
                <c:pt idx="0">
                  <c:v>12-days</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dLbls>
            <c:delete val="1"/>
          </c:dLbls>
          <c:cat>
            <c:strRef>
              <c:f>'AGING COOKING LOSS'!$H$3:$H$11</c:f>
              <c:strCache>
                <c:ptCount val="9"/>
                <c:pt idx="0">
                  <c:v>S1</c:v>
                </c:pt>
                <c:pt idx="1">
                  <c:v>S2</c:v>
                </c:pt>
                <c:pt idx="2">
                  <c:v>S3</c:v>
                </c:pt>
                <c:pt idx="3">
                  <c:v>S1</c:v>
                </c:pt>
                <c:pt idx="4">
                  <c:v>S2</c:v>
                </c:pt>
                <c:pt idx="5">
                  <c:v>S3</c:v>
                </c:pt>
                <c:pt idx="6">
                  <c:v>S1</c:v>
                </c:pt>
                <c:pt idx="7">
                  <c:v>S2</c:v>
                </c:pt>
                <c:pt idx="8">
                  <c:v>S3</c:v>
                </c:pt>
              </c:strCache>
            </c:strRef>
          </c:cat>
          <c:val>
            <c:numRef>
              <c:f>'AGING COOKING LOSS'!$K$3:$K$11</c:f>
              <c:numCache>
                <c:formatCode>General</c:formatCode>
                <c:ptCount val="9"/>
                <c:pt idx="0">
                  <c:v>32.83</c:v>
                </c:pt>
                <c:pt idx="1">
                  <c:v>31.21</c:v>
                </c:pt>
                <c:pt idx="2">
                  <c:v>34.64</c:v>
                </c:pt>
                <c:pt idx="3">
                  <c:v>33.53</c:v>
                </c:pt>
                <c:pt idx="4">
                  <c:v>36.31</c:v>
                </c:pt>
                <c:pt idx="5">
                  <c:v>35.29</c:v>
                </c:pt>
                <c:pt idx="6">
                  <c:v>34.56</c:v>
                </c:pt>
                <c:pt idx="7">
                  <c:v>30.69</c:v>
                </c:pt>
                <c:pt idx="8">
                  <c:v>33.86</c:v>
                </c:pt>
              </c:numCache>
            </c:numRef>
          </c:val>
          <c:smooth val="0"/>
        </c:ser>
        <c:ser>
          <c:idx val="3"/>
          <c:order val="3"/>
          <c:tx>
            <c:strRef>
              <c:f>'AGING COOKING LOSS'!$L$2</c:f>
              <c:strCache>
                <c:ptCount val="1"/>
                <c:pt idx="0">
                  <c:v>16-days</c:v>
                </c:pt>
              </c:strCache>
            </c:strRef>
          </c:tx>
          <c:spPr>
            <a:ln w="22225" cap="rnd">
              <a:solidFill>
                <a:schemeClr val="accent4"/>
              </a:solidFill>
              <a:round/>
            </a:ln>
            <a:effectLst/>
          </c:spPr>
          <c:marker>
            <c:symbol val="x"/>
            <c:size val="6"/>
            <c:spPr>
              <a:noFill/>
              <a:ln w="9525">
                <a:solidFill>
                  <a:schemeClr val="accent4"/>
                </a:solidFill>
                <a:round/>
              </a:ln>
              <a:effectLst/>
            </c:spPr>
          </c:marker>
          <c:dLbls>
            <c:delete val="1"/>
          </c:dLbls>
          <c:cat>
            <c:strRef>
              <c:f>'AGING COOKING LOSS'!$H$3:$H$11</c:f>
              <c:strCache>
                <c:ptCount val="9"/>
                <c:pt idx="0">
                  <c:v>S1</c:v>
                </c:pt>
                <c:pt idx="1">
                  <c:v>S2</c:v>
                </c:pt>
                <c:pt idx="2">
                  <c:v>S3</c:v>
                </c:pt>
                <c:pt idx="3">
                  <c:v>S1</c:v>
                </c:pt>
                <c:pt idx="4">
                  <c:v>S2</c:v>
                </c:pt>
                <c:pt idx="5">
                  <c:v>S3</c:v>
                </c:pt>
                <c:pt idx="6">
                  <c:v>S1</c:v>
                </c:pt>
                <c:pt idx="7">
                  <c:v>S2</c:v>
                </c:pt>
                <c:pt idx="8">
                  <c:v>S3</c:v>
                </c:pt>
              </c:strCache>
            </c:strRef>
          </c:cat>
          <c:val>
            <c:numRef>
              <c:f>'AGING COOKING LOSS'!$L$3:$L$11</c:f>
              <c:numCache>
                <c:formatCode>General</c:formatCode>
                <c:ptCount val="9"/>
                <c:pt idx="0">
                  <c:v>31.26</c:v>
                </c:pt>
                <c:pt idx="1">
                  <c:v>26.78</c:v>
                </c:pt>
                <c:pt idx="2">
                  <c:v>30.22</c:v>
                </c:pt>
                <c:pt idx="3">
                  <c:v>30.44</c:v>
                </c:pt>
                <c:pt idx="4">
                  <c:v>24.24</c:v>
                </c:pt>
                <c:pt idx="5">
                  <c:v>32.53</c:v>
                </c:pt>
                <c:pt idx="6">
                  <c:v>25.6</c:v>
                </c:pt>
                <c:pt idx="7">
                  <c:v>29.3</c:v>
                </c:pt>
                <c:pt idx="8">
                  <c:v>33.83</c:v>
                </c:pt>
              </c:numCache>
            </c:numRef>
          </c:val>
          <c:smooth val="0"/>
        </c:ser>
        <c:dLbls>
          <c:showLegendKey val="0"/>
          <c:showVal val="0"/>
          <c:showCatName val="0"/>
          <c:showSerName val="0"/>
          <c:showPercent val="0"/>
          <c:showBubbleSize val="0"/>
        </c:dLbls>
        <c:marker val="1"/>
        <c:smooth val="0"/>
        <c:axId val="675491328"/>
        <c:axId val="675495680"/>
      </c:lineChart>
      <c:catAx>
        <c:axId val="675491328"/>
        <c:scaling>
          <c:orientation val="minMax"/>
        </c:scaling>
        <c:delete val="0"/>
        <c:axPos val="b"/>
        <c:title>
          <c:tx>
            <c:rich>
              <a:bodyPr rot="0" spcFirstLastPara="1" vertOverflow="ellipsis" vert="horz" wrap="square" anchor="ctr" anchorCtr="1"/>
              <a:lstStyle/>
              <a:p>
                <a:pPr>
                  <a:defRPr lang="en-US" sz="900" b="0" i="0" u="none" strike="noStrike" kern="1200" cap="none" baseline="0">
                    <a:solidFill>
                      <a:schemeClr val="tx1">
                        <a:lumMod val="65000"/>
                        <a:lumOff val="35000"/>
                      </a:schemeClr>
                    </a:solidFill>
                    <a:latin typeface="Arial" panose="020B0604020202020204" pitchFamily="2" charset="0"/>
                    <a:ea typeface="+mn-ea"/>
                    <a:cs typeface="Arial" panose="020B0604020202020204" pitchFamily="2" charset="0"/>
                  </a:defRPr>
                </a:pPr>
                <a:r>
                  <a:rPr lang="en-US" cap="none">
                    <a:latin typeface="Arial" panose="020B0604020202020204" pitchFamily="2" charset="0"/>
                    <a:cs typeface="Arial" panose="020B0604020202020204" pitchFamily="2" charset="0"/>
                  </a:rPr>
                  <a:t>Slaughter</a:t>
                </a:r>
                <a:r>
                  <a:rPr lang="en-US" cap="none" baseline="0">
                    <a:latin typeface="Arial" panose="020B0604020202020204" pitchFamily="2" charset="0"/>
                    <a:cs typeface="Arial" panose="020B0604020202020204" pitchFamily="2" charset="0"/>
                  </a:rPr>
                  <a:t> periods</a:t>
                </a:r>
                <a:endParaRPr lang="en-US" cap="none">
                  <a:latin typeface="Arial" panose="020B0604020202020204" pitchFamily="2" charset="0"/>
                  <a:cs typeface="Arial" panose="020B0604020202020204" pitchFamily="2"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Arial" panose="020B0604020202020204" pitchFamily="2" charset="0"/>
                <a:ea typeface="+mn-ea"/>
                <a:cs typeface="Arial" panose="020B0604020202020204" pitchFamily="2" charset="0"/>
              </a:defRPr>
            </a:pPr>
          </a:p>
        </c:txPr>
        <c:crossAx val="675495680"/>
        <c:crosses val="autoZero"/>
        <c:auto val="1"/>
        <c:lblAlgn val="ctr"/>
        <c:lblOffset val="100"/>
        <c:noMultiLvlLbl val="0"/>
      </c:catAx>
      <c:valAx>
        <c:axId val="675495680"/>
        <c:scaling>
          <c:orientation val="minMax"/>
        </c:scaling>
        <c:delete val="0"/>
        <c:axPos val="l"/>
        <c:title>
          <c:tx>
            <c:rich>
              <a:bodyPr rot="-5400000" spcFirstLastPara="1" vertOverflow="ellipsis" vert="horz" wrap="square" anchor="ctr" anchorCtr="1"/>
              <a:lstStyle/>
              <a:p>
                <a:pPr>
                  <a:defRPr lang="en-US" sz="900" b="0" i="0" u="none" strike="noStrike" kern="1200" cap="none" baseline="0">
                    <a:solidFill>
                      <a:schemeClr val="tx1">
                        <a:lumMod val="65000"/>
                        <a:lumOff val="35000"/>
                      </a:schemeClr>
                    </a:solidFill>
                    <a:latin typeface="+mn-lt"/>
                    <a:ea typeface="+mn-ea"/>
                    <a:cs typeface="+mn-cs"/>
                  </a:defRPr>
                </a:pPr>
                <a:r>
                  <a:rPr lang="en-US" cap="none"/>
                  <a:t>Cooking loss (%)</a:t>
                </a:r>
                <a:endParaRPr lang="en-US" cap="none"/>
              </a:p>
            </c:rich>
          </c:tx>
          <c:layout/>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675491328"/>
        <c:crosses val="autoZero"/>
        <c:crossBetween val="between"/>
      </c:valAx>
      <c:spPr>
        <a:noFill/>
        <a:ln>
          <a:noFill/>
        </a:ln>
        <a:effectLst/>
      </c:spPr>
    </c:plotArea>
    <c:legend>
      <c:legendPos val="r"/>
      <c:layout>
        <c:manualLayout>
          <c:xMode val="edge"/>
          <c:yMode val="edge"/>
          <c:x val="0.635288349372995"/>
          <c:y val="0.10965199938243"/>
          <c:w val="0.277880941965588"/>
          <c:h val="0.565746281714786"/>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p>
      </c:txPr>
    </c:legend>
    <c:plotVisOnly val="1"/>
    <c:dispBlanksAs val="gap"/>
    <c:showDLblsOverMax val="0"/>
    <c:extLst>
      <c:ext uri="{0b15fc19-7d7d-44ad-8c2d-2c3a37ce22c3}">
        <chartProps xmlns="https://web.wps.cn/et/2018/main" chartId="{b4e4ff54-1282-428e-b3df-1f9a7a018c6a}"/>
      </c:ext>
    </c:extLst>
  </c:chart>
  <c:spPr>
    <a:solidFill>
      <a:schemeClr val="lt1"/>
    </a:solidFill>
    <a:ln w="9525" cap="flat" cmpd="sng" algn="ctr">
      <a:no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0.39903</cdr:x>
      <cdr:y>0.01319</cdr:y>
    </cdr:from>
    <cdr:to>
      <cdr:x>0.49148</cdr:x>
      <cdr:y>0.07912</cdr:y>
    </cdr:to>
    <cdr:sp>
      <cdr:nvSpPr>
        <cdr:cNvPr id="2" name="Rectangles 1"/>
        <cdr:cNvSpPr/>
      </cdr:nvSpPr>
      <cdr:spPr xmlns:a="http://schemas.openxmlformats.org/drawingml/2006/main">
        <a:xfrm xmlns:a="http://schemas.openxmlformats.org/drawingml/2006/main">
          <a:off x="1041400" y="38100"/>
          <a:ext cx="241300" cy="190500"/>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en-US" sz="1100"/>
            <a:t>a</a:t>
          </a:r>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0.27869</cdr:x>
      <cdr:y>0.01978</cdr:y>
    </cdr:from>
    <cdr:to>
      <cdr:x>0.38407</cdr:x>
      <cdr:y>0.0967</cdr:y>
    </cdr:to>
    <cdr:sp>
      <cdr:nvSpPr>
        <cdr:cNvPr id="2" name="Rectangles 1"/>
        <cdr:cNvSpPr/>
      </cdr:nvSpPr>
      <cdr:spPr xmlns:a="http://schemas.openxmlformats.org/drawingml/2006/main">
        <a:xfrm xmlns:a="http://schemas.openxmlformats.org/drawingml/2006/main">
          <a:off x="755650" y="57150"/>
          <a:ext cx="285750" cy="222250"/>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en-US" sz="1100"/>
            <a:t>b</a:t>
          </a:r>
          <a:endParaRPr lang="en-US" sz="1100"/>
        </a:p>
      </cdr:txBody>
    </cdr:sp>
  </cdr:relSizeAnchor>
</c:userShapes>
</file>

<file path=word/drawings/drawing3.xml><?xml version="1.0" encoding="utf-8"?>
<c:userShapes xmlns:c="http://schemas.openxmlformats.org/drawingml/2006/chart">
  <cdr:relSizeAnchor xmlns:cdr="http://schemas.openxmlformats.org/drawingml/2006/chartDrawing">
    <cdr:from>
      <cdr:x>0.29078</cdr:x>
      <cdr:y>0</cdr:y>
    </cdr:from>
    <cdr:to>
      <cdr:x>0.36643</cdr:x>
      <cdr:y>0.07143</cdr:y>
    </cdr:to>
    <cdr:sp>
      <cdr:nvSpPr>
        <cdr:cNvPr id="2" name="Rectangles 1"/>
        <cdr:cNvSpPr/>
      </cdr:nvSpPr>
      <cdr:spPr xmlns:a="http://schemas.openxmlformats.org/drawingml/2006/main">
        <a:xfrm xmlns:a="http://schemas.openxmlformats.org/drawingml/2006/main">
          <a:off x="781050" y="0"/>
          <a:ext cx="203200" cy="203200"/>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en-US" sz="1100"/>
            <a:t>a</a:t>
          </a:r>
          <a:endParaRPr lang="en-US" sz="1100"/>
        </a:p>
      </cdr:txBody>
    </cdr:sp>
  </cdr:relSizeAnchor>
</c:userShapes>
</file>

<file path=word/drawings/drawing4.xml><?xml version="1.0" encoding="utf-8"?>
<c:userShapes xmlns:c="http://schemas.openxmlformats.org/drawingml/2006/chart">
  <cdr:relSizeAnchor xmlns:cdr="http://schemas.openxmlformats.org/drawingml/2006/chartDrawing">
    <cdr:from>
      <cdr:x>0.31469</cdr:x>
      <cdr:y>0</cdr:y>
    </cdr:from>
    <cdr:to>
      <cdr:x>0.40793</cdr:x>
      <cdr:y>0.08506</cdr:y>
    </cdr:to>
    <cdr:sp>
      <cdr:nvSpPr>
        <cdr:cNvPr id="2" name="Rectangles 1"/>
        <cdr:cNvSpPr/>
      </cdr:nvSpPr>
      <cdr:spPr xmlns:a="http://schemas.openxmlformats.org/drawingml/2006/main">
        <a:xfrm xmlns:a="http://schemas.openxmlformats.org/drawingml/2006/main">
          <a:off x="857250" y="0"/>
          <a:ext cx="254000" cy="234950"/>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en-US" sz="1100"/>
            <a:t>b</a:t>
          </a:r>
          <a:endParaRPr lang="en-US" sz="1100"/>
        </a:p>
      </cdr:txBody>
    </cdr:sp>
  </cdr:relSizeAnchor>
</c:userShapes>
</file>

<file path=word/drawings/drawing5.xml><?xml version="1.0" encoding="utf-8"?>
<c:userShapes xmlns:c="http://schemas.openxmlformats.org/drawingml/2006/chart">
  <cdr:relSizeAnchor xmlns:cdr="http://schemas.openxmlformats.org/drawingml/2006/chartDrawing">
    <cdr:from>
      <cdr:x>0.2963</cdr:x>
      <cdr:y>0.01116</cdr:y>
    </cdr:from>
    <cdr:to>
      <cdr:x>0.37037</cdr:x>
      <cdr:y>0.07366</cdr:y>
    </cdr:to>
    <cdr:sp>
      <cdr:nvSpPr>
        <cdr:cNvPr id="2" name="Rectangles 1"/>
        <cdr:cNvSpPr/>
      </cdr:nvSpPr>
      <cdr:spPr xmlns:a="http://schemas.openxmlformats.org/drawingml/2006/main">
        <a:xfrm xmlns:a="http://schemas.openxmlformats.org/drawingml/2006/main">
          <a:off x="812800" y="31750"/>
          <a:ext cx="203200" cy="177800"/>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en-US" sz="1100"/>
            <a:t>b</a:t>
          </a:r>
          <a:endParaRPr lang="en-US" sz="1100"/>
        </a:p>
      </cdr:txBody>
    </cdr:sp>
  </cdr:relSizeAnchor>
</c:userShapes>
</file>

<file path=word/drawings/drawing6.xml><?xml version="1.0" encoding="utf-8"?>
<c:userShapes xmlns:c="http://schemas.openxmlformats.org/drawingml/2006/chart">
  <cdr:relSizeAnchor xmlns:cdr="http://schemas.openxmlformats.org/drawingml/2006/chartDrawing">
    <cdr:from>
      <cdr:x>0.3455</cdr:x>
      <cdr:y>0</cdr:y>
    </cdr:from>
    <cdr:to>
      <cdr:x>0.42336</cdr:x>
      <cdr:y>0.08506</cdr:y>
    </cdr:to>
    <cdr:sp>
      <cdr:nvSpPr>
        <cdr:cNvPr id="2" name="Rectangles 1"/>
        <cdr:cNvSpPr/>
      </cdr:nvSpPr>
      <cdr:spPr xmlns:a="http://schemas.openxmlformats.org/drawingml/2006/main">
        <a:xfrm xmlns:a="http://schemas.openxmlformats.org/drawingml/2006/main">
          <a:off x="901700" y="0"/>
          <a:ext cx="203200" cy="234950"/>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en-US" sz="1100"/>
            <a:t>a</a:t>
          </a:r>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081D8D-5BCD-4D36-A27A-F459BD203F65}">
  <ds:schemaRefs/>
</ds:datastoreItem>
</file>

<file path=docProps/app.xml><?xml version="1.0" encoding="utf-8"?>
<Properties xmlns="http://schemas.openxmlformats.org/officeDocument/2006/extended-properties" xmlns:vt="http://schemas.openxmlformats.org/officeDocument/2006/docPropsVTypes">
  <Template>2007 paper template</Template>
  <Company>aaaa</Company>
  <Pages>19</Pages>
  <Words>7312</Words>
  <Characters>41685</Characters>
  <Lines>347</Lines>
  <Paragraphs>97</Paragraphs>
  <TotalTime>3</TotalTime>
  <ScaleCrop>false</ScaleCrop>
  <LinksUpToDate>false</LinksUpToDate>
  <CharactersWithSpaces>48900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2025-02-20T06:01:00Z</dcterms:created>
  <dc:creator>Ezekiel</dc:creator>
  <cp:lastModifiedBy>YAKOB LORATO</cp:lastModifiedBy>
  <cp:lastPrinted>2024-11-06T04:51:00Z</cp:lastPrinted>
  <dcterms:modified xsi:type="dcterms:W3CDTF">2025-02-24T15:13:04Z</dcterms:modified>
  <dc:title>Paper Template</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B808C18C6190434886CE69261F855DDD_13</vt:lpwstr>
  </property>
  <property fmtid="{D5CDD505-2E9C-101B-9397-08002B2CF9AE}" pid="4" name="GrammarlyDocumentId">
    <vt:lpwstr>ab735516aa4ede597391e81c03939b4efeacddf960320d8ee0c9f7d8b14ebb90</vt:lpwstr>
  </property>
</Properties>
</file>