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61D8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7" w:type="dxa"/>
        <w:tblInd w:w="0" w:type="dxa"/>
        <w:tblCellMar>
          <w:top w:w="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15771"/>
      </w:tblGrid>
      <w:tr w:rsidR="009611D0" w:rsidRPr="00C011D9" w14:paraId="5463DC92" w14:textId="77777777">
        <w:trPr>
          <w:trHeight w:val="29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CD6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C0C3" w14:textId="77777777" w:rsidR="009611D0" w:rsidRPr="00C011D9" w:rsidRDefault="003406C7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C011D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Journal of Probability and Statistics</w:t>
              </w:r>
            </w:hyperlink>
            <w:hyperlink r:id="rId7">
              <w:r w:rsidRPr="00C011D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Pr="00C011D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1D0" w:rsidRPr="00C011D9" w14:paraId="797BA3C3" w14:textId="77777777">
        <w:trPr>
          <w:trHeight w:val="30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9DD1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70F" w14:textId="77777777" w:rsidR="009611D0" w:rsidRPr="00C011D9" w:rsidRDefault="003406C7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Ms_AJPAS_131786 </w:t>
            </w:r>
          </w:p>
        </w:tc>
      </w:tr>
      <w:tr w:rsidR="009611D0" w:rsidRPr="00C011D9" w14:paraId="17DBEF80" w14:textId="77777777">
        <w:trPr>
          <w:trHeight w:val="6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5D76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47D2" w14:textId="77777777" w:rsidR="009611D0" w:rsidRPr="00C011D9" w:rsidRDefault="003406C7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b/>
                <w:sz w:val="20"/>
                <w:szCs w:val="20"/>
              </w:rPr>
              <w:t xml:space="preserve">STUDY ON EXPONENTIAL POISSON LINDLEY DISTRIBUTION; ITS PROPERTIES, SIMULATIONS AND ITS APPLICATION TO ENGINEERING </w:t>
            </w:r>
          </w:p>
        </w:tc>
      </w:tr>
      <w:tr w:rsidR="009611D0" w:rsidRPr="00C011D9" w14:paraId="7B9D05F1" w14:textId="77777777">
        <w:trPr>
          <w:trHeight w:val="34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B6B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CE0" w14:textId="77777777" w:rsidR="009611D0" w:rsidRPr="00C011D9" w:rsidRDefault="003406C7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1F9F412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FA39A47" w14:textId="6A005D78" w:rsidR="009611D0" w:rsidRPr="00C011D9" w:rsidRDefault="009611D0">
      <w:pPr>
        <w:spacing w:after="0"/>
        <w:rPr>
          <w:rFonts w:ascii="Arial" w:hAnsi="Arial" w:cs="Arial"/>
          <w:sz w:val="20"/>
          <w:szCs w:val="20"/>
        </w:rPr>
      </w:pPr>
    </w:p>
    <w:p w14:paraId="526276D3" w14:textId="77777777" w:rsidR="009611D0" w:rsidRPr="00C011D9" w:rsidRDefault="003406C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C011D9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26755F1C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8" w:type="dxa"/>
        <w:tblInd w:w="-110" w:type="dxa"/>
        <w:tblCellMar>
          <w:top w:w="3" w:type="dxa"/>
          <w:right w:w="131" w:type="dxa"/>
        </w:tblCellMar>
        <w:tblLook w:val="04A0" w:firstRow="1" w:lastRow="0" w:firstColumn="1" w:lastColumn="0" w:noHBand="0" w:noVBand="1"/>
      </w:tblPr>
      <w:tblGrid>
        <w:gridCol w:w="5354"/>
        <w:gridCol w:w="830"/>
        <w:gridCol w:w="8531"/>
        <w:gridCol w:w="6443"/>
      </w:tblGrid>
      <w:tr w:rsidR="009611D0" w:rsidRPr="00C011D9" w14:paraId="24238085" w14:textId="77777777">
        <w:trPr>
          <w:trHeight w:val="9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292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D3B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9" w:type="dxa"/>
              <w:tblInd w:w="11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900"/>
            </w:tblGrid>
            <w:tr w:rsidR="009611D0" w:rsidRPr="00C011D9" w14:paraId="14ED5D01" w14:textId="77777777">
              <w:trPr>
                <w:trHeight w:val="230"/>
              </w:trPr>
              <w:tc>
                <w:tcPr>
                  <w:tcW w:w="85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F2C6360" w14:textId="77777777" w:rsidR="009611D0" w:rsidRPr="00C011D9" w:rsidRDefault="003406C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1D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611D0" w:rsidRPr="00C011D9" w14:paraId="38D8A9D5" w14:textId="77777777">
              <w:trPr>
                <w:trHeight w:val="23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1159E0A" w14:textId="77777777" w:rsidR="009611D0" w:rsidRPr="00C011D9" w:rsidRDefault="003406C7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1D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CEC0D" w14:textId="77777777" w:rsidR="009611D0" w:rsidRPr="00C011D9" w:rsidRDefault="003406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1D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AF81490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BD64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11D9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56BEC457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23F8" w14:textId="77777777" w:rsidR="009611D0" w:rsidRPr="00C011D9" w:rsidRDefault="003406C7">
            <w:pPr>
              <w:spacing w:line="237" w:lineRule="auto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639E96AA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F317" w14:textId="77777777" w:rsidR="009611D0" w:rsidRPr="00C011D9" w:rsidRDefault="003406C7">
            <w:pPr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manuscript is important keeping into consideration the fact that it is compared with the existing distributions on the basis </w:t>
            </w:r>
            <w:proofErr w:type="gramStart"/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>of  applications</w:t>
            </w:r>
            <w:proofErr w:type="gramEnd"/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data set and it showed that it is better fit in comparison. 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9DE8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0685009C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F7E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7D4DF892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3345E65C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1DD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7FA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2F844C4A" w14:textId="77777777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B88" w14:textId="77777777" w:rsidR="009611D0" w:rsidRPr="00C011D9" w:rsidRDefault="003406C7">
            <w:pPr>
              <w:spacing w:line="237" w:lineRule="auto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2048365A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B49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Comprehensive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4906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41275113" w14:textId="77777777">
        <w:trPr>
          <w:trHeight w:val="7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75F3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8E32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E05D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15495B7F" w14:textId="77777777">
        <w:trPr>
          <w:trHeight w:val="10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E1CBF" w14:textId="77777777" w:rsidR="009611D0" w:rsidRPr="00C011D9" w:rsidRDefault="003406C7">
            <w:pPr>
              <w:ind w:left="470" w:right="2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192DE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References are not sufficient and recent. </w:t>
            </w:r>
          </w:p>
          <w:p w14:paraId="42EC336D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Add more references related to the articles of the years 2024 and 2025. </w:t>
            </w:r>
          </w:p>
          <w:p w14:paraId="7A7DC232" w14:textId="77777777" w:rsidR="009611D0" w:rsidRPr="00C011D9" w:rsidRDefault="003406C7">
            <w:pPr>
              <w:spacing w:after="2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Also add these citations </w:t>
            </w:r>
            <w:proofErr w:type="gramStart"/>
            <w:r w:rsidRPr="00C011D9">
              <w:rPr>
                <w:rFonts w:ascii="Arial" w:eastAsia="Times New Roman" w:hAnsi="Arial" w:cs="Arial"/>
                <w:sz w:val="20"/>
                <w:szCs w:val="20"/>
              </w:rPr>
              <w:t>in  the</w:t>
            </w:r>
            <w:proofErr w:type="gramEnd"/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manuscript  based on the generalization techniques </w:t>
            </w:r>
          </w:p>
          <w:p w14:paraId="4590040E" w14:textId="77777777" w:rsidR="009611D0" w:rsidRPr="00C011D9" w:rsidRDefault="003406C7">
            <w:pPr>
              <w:ind w:left="830" w:right="6" w:hanging="36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Rasool, Shamshad Ur, and S. P. Ahmad. "Power Length biased weighted </w:t>
            </w:r>
            <w:proofErr w:type="spellStart"/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>lomax</w:t>
            </w:r>
            <w:proofErr w:type="spellEnd"/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distribution." </w:t>
            </w:r>
            <w:r w:rsidRPr="00C011D9">
              <w:rPr>
                <w:rFonts w:ascii="Arial" w:eastAsia="Arial" w:hAnsi="Arial" w:cs="Arial"/>
                <w:i/>
                <w:color w:val="222222"/>
                <w:sz w:val="20"/>
                <w:szCs w:val="20"/>
              </w:rPr>
              <w:t>Reliability: Theory &amp; Applications</w:t>
            </w: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17.4 (71) (2022): 543-558.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86BB8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72098F25" w14:textId="77777777">
        <w:trPr>
          <w:trHeight w:val="394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7CEF5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DB7334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F88CD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Rasool, Shamshad Ur, and S. P. Ahmad. "Ratio transformation Lomax distribution with applications." </w:t>
            </w:r>
            <w:r w:rsidRPr="00C011D9">
              <w:rPr>
                <w:rFonts w:ascii="Arial" w:eastAsia="Arial" w:hAnsi="Arial" w:cs="Arial"/>
                <w:i/>
                <w:color w:val="222222"/>
                <w:sz w:val="20"/>
                <w:szCs w:val="20"/>
              </w:rPr>
              <w:t>Reliability: Theory &amp; Applications</w:t>
            </w: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18.1 (72) (2023): 282-300.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00481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D0" w:rsidRPr="00C011D9" w14:paraId="6F6F2907" w14:textId="77777777">
        <w:trPr>
          <w:trHeight w:val="389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566D0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063AD0" w14:textId="77777777" w:rsidR="009611D0" w:rsidRPr="00C011D9" w:rsidRDefault="003406C7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C011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B2424" w14:textId="77777777" w:rsidR="009611D0" w:rsidRPr="00C011D9" w:rsidRDefault="00340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Rasool, Shamshad Ur, and P. Ahmad. "Exponentiated Power Inverse Lomax Distribution with Applications." </w:t>
            </w:r>
            <w:r w:rsidRPr="00C011D9">
              <w:rPr>
                <w:rFonts w:ascii="Arial" w:eastAsia="Arial" w:hAnsi="Arial" w:cs="Arial"/>
                <w:i/>
                <w:color w:val="222222"/>
                <w:sz w:val="20"/>
                <w:szCs w:val="20"/>
              </w:rPr>
              <w:t>Punjab University Journal of Mathematics</w:t>
            </w:r>
            <w:r w:rsidRPr="00C011D9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56 (2024).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6462E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D0" w:rsidRPr="00C011D9" w14:paraId="795BC723" w14:textId="77777777">
        <w:trPr>
          <w:trHeight w:val="401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D4FA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82FCC" w14:textId="77777777" w:rsidR="009611D0" w:rsidRPr="00C011D9" w:rsidRDefault="009611D0" w:rsidP="00315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E68B3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485D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D0" w:rsidRPr="00C011D9" w14:paraId="2DEAE0AA" w14:textId="77777777">
        <w:trPr>
          <w:trHeight w:val="6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220" w14:textId="77777777" w:rsidR="009611D0" w:rsidRPr="00C011D9" w:rsidRDefault="003406C7">
            <w:pPr>
              <w:spacing w:line="237" w:lineRule="auto"/>
              <w:ind w:lef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28D3DB92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B30A0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8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559FD" w14:textId="77777777" w:rsidR="009611D0" w:rsidRPr="00C011D9" w:rsidRDefault="00961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661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53F8910F" w14:textId="77777777">
        <w:trPr>
          <w:trHeight w:val="119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30A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3AB082D6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B2B" w14:textId="77777777" w:rsidR="009611D0" w:rsidRPr="00C011D9" w:rsidRDefault="003406C7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08C8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42B15C0E" w14:textId="625B07E0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92561EC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</w:rPr>
        <w:lastRenderedPageBreak/>
        <w:t xml:space="preserve"> </w:t>
      </w:r>
    </w:p>
    <w:p w14:paraId="1A2A7699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A149995" w14:textId="77777777" w:rsidR="009611D0" w:rsidRPr="00C011D9" w:rsidRDefault="003406C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t>PART  2:</w:t>
      </w:r>
      <w:r w:rsidRPr="00C011D9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3354C657" w14:textId="77777777" w:rsidR="009611D0" w:rsidRPr="00C011D9" w:rsidRDefault="003406C7">
      <w:pPr>
        <w:spacing w:after="0"/>
        <w:rPr>
          <w:rFonts w:ascii="Arial" w:hAnsi="Arial" w:cs="Arial"/>
          <w:sz w:val="20"/>
          <w:szCs w:val="20"/>
        </w:rPr>
      </w:pPr>
      <w:r w:rsidRPr="00C011D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21158" w:type="dxa"/>
        <w:tblInd w:w="-110" w:type="dxa"/>
        <w:tblCellMar>
          <w:top w:w="3" w:type="dxa"/>
          <w:left w:w="5" w:type="dxa"/>
          <w:right w:w="90" w:type="dxa"/>
        </w:tblCellMar>
        <w:tblLook w:val="04A0" w:firstRow="1" w:lastRow="0" w:firstColumn="1" w:lastColumn="0" w:noHBand="0" w:noVBand="1"/>
      </w:tblPr>
      <w:tblGrid>
        <w:gridCol w:w="6837"/>
        <w:gridCol w:w="8642"/>
        <w:gridCol w:w="5679"/>
      </w:tblGrid>
      <w:tr w:rsidR="009611D0" w:rsidRPr="00C011D9" w14:paraId="683F1EC5" w14:textId="77777777" w:rsidTr="003E6C06">
        <w:trPr>
          <w:trHeight w:val="946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CFF2" w14:textId="77777777" w:rsidR="009611D0" w:rsidRPr="00C011D9" w:rsidRDefault="003406C7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6AC" w14:textId="77777777" w:rsidR="009611D0" w:rsidRPr="00C011D9" w:rsidRDefault="003406C7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391" w14:textId="77777777" w:rsidR="009611D0" w:rsidRPr="00C011D9" w:rsidRDefault="003406C7">
            <w:pPr>
              <w:ind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>Author’s comment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11D9">
              <w:rPr>
                <w:rFonts w:ascii="Arial" w:eastAsia="Times New Roman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1D0" w:rsidRPr="00C011D9" w14:paraId="09119A50" w14:textId="77777777" w:rsidTr="003E6C06">
        <w:trPr>
          <w:trHeight w:val="931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63" w14:textId="77777777" w:rsidR="009611D0" w:rsidRPr="00C011D9" w:rsidRDefault="003406C7">
            <w:pPr>
              <w:ind w:left="106" w:right="2860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 </w:t>
            </w: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596B" w14:textId="77777777" w:rsidR="009611D0" w:rsidRPr="00C011D9" w:rsidRDefault="003406C7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C011D9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C011D9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please write down the ethical issues here in detail)</w:t>
            </w:r>
            <w:r w:rsidRPr="00C011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1DD0194B" w14:textId="77777777" w:rsidR="009611D0" w:rsidRPr="00C011D9" w:rsidRDefault="003406C7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367074B" w14:textId="77777777" w:rsidR="009611D0" w:rsidRPr="00C011D9" w:rsidRDefault="003406C7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92A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EBF4FD5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C667479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18F147C" w14:textId="77777777" w:rsidR="009611D0" w:rsidRPr="00C011D9" w:rsidRDefault="003406C7">
            <w:pPr>
              <w:rPr>
                <w:rFonts w:ascii="Arial" w:hAnsi="Arial" w:cs="Arial"/>
                <w:sz w:val="20"/>
                <w:szCs w:val="20"/>
              </w:rPr>
            </w:pPr>
            <w:r w:rsidRPr="00C011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359AA8F" w14:textId="77777777" w:rsidR="009611D0" w:rsidRPr="00C011D9" w:rsidRDefault="003406C7">
      <w:pPr>
        <w:spacing w:after="0"/>
        <w:rPr>
          <w:rFonts w:ascii="Arial" w:eastAsia="Arial" w:hAnsi="Arial" w:cs="Arial"/>
          <w:sz w:val="20"/>
          <w:szCs w:val="20"/>
        </w:rPr>
      </w:pPr>
      <w:r w:rsidRPr="00C011D9">
        <w:rPr>
          <w:rFonts w:ascii="Arial" w:eastAsia="Arial" w:hAnsi="Arial" w:cs="Arial"/>
          <w:sz w:val="20"/>
          <w:szCs w:val="20"/>
        </w:rPr>
        <w:t xml:space="preserve"> </w:t>
      </w:r>
    </w:p>
    <w:p w14:paraId="4ED6AC23" w14:textId="77777777" w:rsidR="002D0B9B" w:rsidRPr="00C011D9" w:rsidRDefault="002D0B9B">
      <w:pPr>
        <w:spacing w:after="0"/>
        <w:rPr>
          <w:rFonts w:ascii="Arial" w:eastAsia="Arial" w:hAnsi="Arial" w:cs="Arial"/>
          <w:sz w:val="20"/>
          <w:szCs w:val="20"/>
        </w:rPr>
      </w:pPr>
    </w:p>
    <w:p w14:paraId="095DC8A5" w14:textId="77777777" w:rsidR="002D0B9B" w:rsidRPr="00C011D9" w:rsidRDefault="002D0B9B" w:rsidP="002D0B9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115466"/>
      <w:r w:rsidRPr="00C011D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5A3DA131" w14:textId="77777777" w:rsidR="002D0B9B" w:rsidRPr="00C011D9" w:rsidRDefault="002D0B9B">
      <w:pPr>
        <w:spacing w:after="0"/>
        <w:rPr>
          <w:rFonts w:ascii="Arial" w:hAnsi="Arial" w:cs="Arial"/>
          <w:sz w:val="20"/>
          <w:szCs w:val="20"/>
        </w:rPr>
      </w:pPr>
    </w:p>
    <w:p w14:paraId="7997CBA0" w14:textId="3AAF4AEA" w:rsidR="002D0B9B" w:rsidRPr="00C011D9" w:rsidRDefault="002D0B9B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1" w:name="_Hlk191482724"/>
      <w:r w:rsidRPr="00C011D9">
        <w:rPr>
          <w:rFonts w:ascii="Arial" w:hAnsi="Arial" w:cs="Arial"/>
          <w:b/>
          <w:bCs/>
          <w:sz w:val="20"/>
          <w:szCs w:val="20"/>
        </w:rPr>
        <w:t>Shamshad Ur Rasool</w:t>
      </w:r>
      <w:r w:rsidRPr="00C011D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011D9">
        <w:rPr>
          <w:rFonts w:ascii="Arial" w:hAnsi="Arial" w:cs="Arial"/>
          <w:b/>
          <w:bCs/>
          <w:sz w:val="20"/>
          <w:szCs w:val="20"/>
        </w:rPr>
        <w:t>Panjab University Chandigarh,</w:t>
      </w:r>
      <w:r w:rsidRPr="00C011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11D9">
        <w:rPr>
          <w:rFonts w:ascii="Arial" w:hAnsi="Arial" w:cs="Arial"/>
          <w:b/>
          <w:bCs/>
          <w:sz w:val="20"/>
          <w:szCs w:val="20"/>
        </w:rPr>
        <w:t>India</w:t>
      </w:r>
      <w:bookmarkEnd w:id="1"/>
    </w:p>
    <w:sectPr w:rsidR="002D0B9B" w:rsidRPr="00C0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2" w:right="7301" w:bottom="1657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ED5A" w14:textId="77777777" w:rsidR="00C037FA" w:rsidRDefault="00C037FA">
      <w:pPr>
        <w:spacing w:after="0" w:line="240" w:lineRule="auto"/>
      </w:pPr>
      <w:r>
        <w:separator/>
      </w:r>
    </w:p>
  </w:endnote>
  <w:endnote w:type="continuationSeparator" w:id="0">
    <w:p w14:paraId="0659A672" w14:textId="77777777" w:rsidR="00C037FA" w:rsidRDefault="00C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100D" w14:textId="77777777" w:rsidR="009611D0" w:rsidRDefault="003406C7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5FCE" w14:textId="77777777" w:rsidR="009611D0" w:rsidRDefault="003406C7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DE71" w14:textId="77777777" w:rsidR="009611D0" w:rsidRDefault="003406C7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5115" w14:textId="77777777" w:rsidR="00C037FA" w:rsidRDefault="00C037FA">
      <w:pPr>
        <w:spacing w:after="0" w:line="240" w:lineRule="auto"/>
      </w:pPr>
      <w:r>
        <w:separator/>
      </w:r>
    </w:p>
  </w:footnote>
  <w:footnote w:type="continuationSeparator" w:id="0">
    <w:p w14:paraId="172CBB81" w14:textId="77777777" w:rsidR="00C037FA" w:rsidRDefault="00C0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2718" w14:textId="77777777" w:rsidR="009611D0" w:rsidRDefault="003406C7">
    <w:pPr>
      <w:spacing w:after="259"/>
      <w:ind w:left="5928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8E6AC3E" w14:textId="77777777" w:rsidR="009611D0" w:rsidRDefault="003406C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E7B9" w14:textId="77777777" w:rsidR="009611D0" w:rsidRDefault="003406C7">
    <w:pPr>
      <w:spacing w:after="259"/>
      <w:ind w:left="5928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5106F22" w14:textId="77777777" w:rsidR="009611D0" w:rsidRDefault="003406C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5929" w14:textId="77777777" w:rsidR="009611D0" w:rsidRDefault="003406C7">
    <w:pPr>
      <w:spacing w:after="259"/>
      <w:ind w:left="5928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1455B4E" w14:textId="77777777" w:rsidR="009611D0" w:rsidRDefault="003406C7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0"/>
    <w:rsid w:val="002D0B9B"/>
    <w:rsid w:val="0031532F"/>
    <w:rsid w:val="0032182C"/>
    <w:rsid w:val="003406C7"/>
    <w:rsid w:val="003E6C06"/>
    <w:rsid w:val="004D6497"/>
    <w:rsid w:val="009611D0"/>
    <w:rsid w:val="00C011D9"/>
    <w:rsid w:val="00C037FA"/>
    <w:rsid w:val="00D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C535"/>
  <w15:docId w15:val="{C26E92FA-9F51-4F98-85DD-8C85F75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5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jpas.com/index.php/AJPA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pas.com/index.php/AJPA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6</cp:revision>
  <dcterms:created xsi:type="dcterms:W3CDTF">2025-02-20T04:53:00Z</dcterms:created>
  <dcterms:modified xsi:type="dcterms:W3CDTF">2025-02-26T11:48:00Z</dcterms:modified>
</cp:coreProperties>
</file>