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5C2D" w:rsidRDefault="00A60C06">
      <w:pPr>
        <w:widowControl w:val="0"/>
        <w:pBdr>
          <w:top w:val="nil"/>
          <w:left w:val="nil"/>
          <w:bottom w:val="nil"/>
          <w:right w:val="nil"/>
          <w:between w:val="nil"/>
        </w:pBdr>
        <w:spacing w:line="276" w:lineRule="auto"/>
      </w:pPr>
      <w:r>
        <w:pict w14:anchorId="7B3E0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0pt;height:50pt;z-index:251659776;visibility:hidden">
            <o:lock v:ext="edit" selection="t"/>
          </v:shape>
        </w:pict>
      </w:r>
      <w:r>
        <w:pict w14:anchorId="15F5EE5D">
          <v:shape id="_x0000_s1034" type="#_x0000_t136" style="position:absolute;margin-left:0;margin-top:0;width:50pt;height:50pt;z-index:251660800;visibility:hidden">
            <o:lock v:ext="edit" selection="t"/>
          </v:shape>
        </w:pict>
      </w:r>
      <w:r>
        <w:pict w14:anchorId="49EEE390">
          <v:shape id="_x0000_s1033" type="#_x0000_t136" style="position:absolute;margin-left:0;margin-top:0;width:50pt;height:50pt;z-index:251661824;visibility:hidden">
            <o:lock v:ext="edit" selection="t"/>
          </v:shape>
        </w:pict>
      </w:r>
      <w:r>
        <w:pict w14:anchorId="5901A6FF">
          <v:shape id="_x0000_s1032" type="#_x0000_t136" style="position:absolute;margin-left:0;margin-top:0;width:50pt;height:50pt;z-index:251662848;visibility:hidden">
            <o:lock v:ext="edit" selection="t"/>
          </v:shape>
        </w:pict>
      </w:r>
      <w:r>
        <w:pict w14:anchorId="0563BA4E">
          <v:shape id="_x0000_s1031" type="#_x0000_t136" style="position:absolute;margin-left:0;margin-top:0;width:50pt;height:50pt;z-index:251663872;visibility:hidden">
            <o:lock v:ext="edit" selection="t"/>
          </v:shape>
        </w:pict>
      </w:r>
      <w:r>
        <w:pict w14:anchorId="34DA2CE8">
          <v:shape id="_x0000_s1030" type="#_x0000_t136" style="position:absolute;margin-left:0;margin-top:0;width:50pt;height:50pt;z-index:251664896;visibility:hidden">
            <o:lock v:ext="edit" selection="t"/>
          </v:shape>
        </w:pict>
      </w:r>
      <w:r>
        <w:pict w14:anchorId="704483D5">
          <v:shape id="_x0000_s1029" type="#_x0000_t136" style="position:absolute;margin-left:0;margin-top:0;width:50pt;height:50pt;z-index:251665920;visibility:hidden">
            <o:lock v:ext="edit" selection="t"/>
          </v:shape>
        </w:pict>
      </w:r>
      <w:r>
        <w:pict w14:anchorId="19014C1C">
          <v:shape id="_x0000_s1028" type="#_x0000_t136" style="position:absolute;margin-left:0;margin-top:0;width:50pt;height:50pt;z-index:251666944;visibility:hidden">
            <o:lock v:ext="edit" selection="t"/>
          </v:shape>
        </w:pict>
      </w:r>
      <w:r>
        <w:pict w14:anchorId="3CE0750E">
          <v:shape id="_x0000_s1027" type="#_x0000_t136" style="position:absolute;margin-left:0;margin-top:0;width:50pt;height:50pt;z-index:251667968;visibility:hidden">
            <o:lock v:ext="edit" selection="t"/>
          </v:shape>
        </w:pict>
      </w:r>
      <w:r>
        <w:pict w14:anchorId="755DBA4F">
          <v:shape id="_x0000_s1026" type="#_x0000_t136" style="position:absolute;margin-left:0;margin-top:0;width:50pt;height:50pt;z-index:251668992;visibility:hidden">
            <o:lock v:ext="edit" selection="t"/>
          </v:shape>
        </w:pict>
      </w:r>
    </w:p>
    <w:p w14:paraId="00000002" w14:textId="77777777" w:rsidR="00955C2D" w:rsidRDefault="00A60C06">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46464"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25" name="Freeform 166142102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47488"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26" name="Freeform 1661421026"/>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48512"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33" name="Freeform 1661421033"/>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33"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49536"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22" name="Freeform 166142102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2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0560"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32" name="Freeform 166142103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3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1584"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30" name="Freeform 1661421030"/>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3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2608"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34" name="Freeform 1661421034"/>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3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3632"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27" name="Freeform 1661421027"/>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Pr>
          <w:noProof/>
        </w:rPr>
        <mc:AlternateContent>
          <mc:Choice Requires="wpg">
            <w:drawing>
              <wp:anchor distT="0" distB="0" distL="114300" distR="114300" simplePos="0" relativeHeight="251654656" behindDoc="0" locked="0" layoutInCell="1" hidden="0" allowOverlap="1">
                <wp:simplePos x="0" y="0"/>
                <wp:positionH relativeFrom="column">
                  <wp:posOffset>114300</wp:posOffset>
                </wp:positionH>
                <wp:positionV relativeFrom="paragraph">
                  <wp:posOffset>0</wp:posOffset>
                </wp:positionV>
                <wp:extent cx="647700" cy="647700"/>
                <wp:effectExtent l="0" t="0" r="0" b="0"/>
                <wp:wrapNone/>
                <wp:docPr id="1661421035" name="Freeform 166142103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66142103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p>
    <w:p w14:paraId="00000003" w14:textId="77777777" w:rsidR="00955C2D" w:rsidRDefault="00955C2D">
      <w:pPr>
        <w:pStyle w:val="Title"/>
        <w:spacing w:after="0"/>
        <w:jc w:val="both"/>
        <w:rPr>
          <w:rFonts w:ascii="Arial" w:eastAsia="Arial" w:hAnsi="Arial" w:cs="Arial"/>
        </w:rPr>
      </w:pPr>
    </w:p>
    <w:p w14:paraId="00000004" w14:textId="77777777" w:rsidR="00955C2D" w:rsidRDefault="00A60C06">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 xml:space="preserve">Toxicological Bioassay of Paracetamol Using </w:t>
      </w:r>
      <w:r>
        <w:rPr>
          <w:rFonts w:ascii="Arial" w:eastAsia="Arial" w:hAnsi="Arial" w:cs="Arial"/>
          <w:b/>
          <w:i/>
          <w:color w:val="000000"/>
          <w:sz w:val="36"/>
          <w:szCs w:val="36"/>
        </w:rPr>
        <w:t xml:space="preserve">Allium </w:t>
      </w:r>
      <w:proofErr w:type="spellStart"/>
      <w:r>
        <w:rPr>
          <w:rFonts w:ascii="Arial" w:eastAsia="Arial" w:hAnsi="Arial" w:cs="Arial"/>
          <w:b/>
          <w:i/>
          <w:color w:val="000000"/>
          <w:sz w:val="36"/>
          <w:szCs w:val="36"/>
        </w:rPr>
        <w:t>cepa</w:t>
      </w:r>
      <w:proofErr w:type="spellEnd"/>
      <w:r>
        <w:rPr>
          <w:rFonts w:ascii="Arial" w:eastAsia="Arial" w:hAnsi="Arial" w:cs="Arial"/>
          <w:b/>
          <w:color w:val="000000"/>
          <w:sz w:val="36"/>
          <w:szCs w:val="36"/>
        </w:rPr>
        <w:t xml:space="preserve"> as a </w:t>
      </w:r>
      <w:proofErr w:type="spellStart"/>
      <w:r>
        <w:rPr>
          <w:rFonts w:ascii="Arial" w:eastAsia="Arial" w:hAnsi="Arial" w:cs="Arial"/>
          <w:b/>
          <w:color w:val="000000"/>
          <w:sz w:val="36"/>
          <w:szCs w:val="36"/>
        </w:rPr>
        <w:t>Bioindicator</w:t>
      </w:r>
      <w:proofErr w:type="spellEnd"/>
      <w:r>
        <w:rPr>
          <w:rFonts w:ascii="Arial" w:eastAsia="Arial" w:hAnsi="Arial" w:cs="Arial"/>
          <w:b/>
          <w:color w:val="000000"/>
          <w:sz w:val="36"/>
          <w:szCs w:val="36"/>
        </w:rPr>
        <w:t xml:space="preserve"> </w:t>
      </w:r>
    </w:p>
    <w:p w14:paraId="00000005" w14:textId="77777777" w:rsidR="00955C2D" w:rsidRDefault="00955C2D">
      <w:pPr>
        <w:pBdr>
          <w:top w:val="nil"/>
          <w:left w:val="nil"/>
          <w:bottom w:val="nil"/>
          <w:right w:val="nil"/>
          <w:between w:val="nil"/>
        </w:pBdr>
        <w:jc w:val="both"/>
        <w:rPr>
          <w:rFonts w:ascii="Arial" w:eastAsia="Arial" w:hAnsi="Arial" w:cs="Arial"/>
          <w:b/>
          <w:color w:val="000000"/>
          <w:sz w:val="36"/>
          <w:szCs w:val="36"/>
        </w:rPr>
      </w:pPr>
    </w:p>
    <w:p w14:paraId="00000006" w14:textId="77777777" w:rsidR="00955C2D" w:rsidRDefault="00955C2D">
      <w:pPr>
        <w:pBdr>
          <w:top w:val="nil"/>
          <w:left w:val="nil"/>
          <w:bottom w:val="nil"/>
          <w:right w:val="nil"/>
          <w:between w:val="nil"/>
        </w:pBdr>
        <w:jc w:val="both"/>
        <w:rPr>
          <w:rFonts w:ascii="Arial" w:eastAsia="Arial" w:hAnsi="Arial" w:cs="Arial"/>
          <w:color w:val="000000"/>
        </w:rPr>
      </w:pPr>
    </w:p>
    <w:p w14:paraId="00000007" w14:textId="77777777" w:rsidR="00955C2D" w:rsidRDefault="00955C2D">
      <w:pPr>
        <w:pBdr>
          <w:top w:val="nil"/>
          <w:left w:val="nil"/>
          <w:bottom w:val="nil"/>
          <w:right w:val="nil"/>
          <w:between w:val="nil"/>
        </w:pBdr>
        <w:jc w:val="both"/>
        <w:rPr>
          <w:rFonts w:ascii="Arial" w:eastAsia="Arial" w:hAnsi="Arial" w:cs="Arial"/>
          <w:color w:val="000000"/>
        </w:rPr>
      </w:pPr>
    </w:p>
    <w:p w14:paraId="00000008" w14:textId="77777777" w:rsidR="00955C2D" w:rsidRDefault="00A60C06">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inline distT="0" distB="0" distL="0" distR="0">
                <wp:extent cx="635" cy="19050"/>
                <wp:effectExtent l="0" t="0" r="0" b="0"/>
                <wp:docPr id="1661421031" name="Straight Arrow Connector 166142103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5" cy="19050"/>
                <wp:effectExtent b="0" l="0" r="0" t="0"/>
                <wp:docPr id="166142103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35" cy="19050"/>
                        </a:xfrm>
                        <a:prstGeom prst="rect"/>
                        <a:ln/>
                      </pic:spPr>
                    </pic:pic>
                  </a:graphicData>
                </a:graphic>
              </wp:inline>
            </w:drawing>
          </mc:Fallback>
        </mc:AlternateContent>
      </w:r>
    </w:p>
    <w:p w14:paraId="00000009" w14:textId="77777777" w:rsidR="00955C2D" w:rsidRDefault="00A60C06">
      <w:pPr>
        <w:pBdr>
          <w:top w:val="nil"/>
          <w:left w:val="nil"/>
          <w:bottom w:val="nil"/>
          <w:right w:val="nil"/>
          <w:between w:val="nil"/>
        </w:pBdr>
        <w:jc w:val="both"/>
        <w:rPr>
          <w:rFonts w:ascii="Arial" w:eastAsia="Arial" w:hAnsi="Arial" w:cs="Arial"/>
          <w:color w:val="000000"/>
          <w:sz w:val="16"/>
          <w:szCs w:val="16"/>
        </w:rPr>
      </w:pPr>
      <w:r>
        <w:rPr>
          <w:noProof/>
        </w:rPr>
        <mc:AlternateContent>
          <mc:Choice Requires="wpg">
            <w:drawing>
              <wp:anchor distT="0" distB="0" distL="0" distR="0" simplePos="0" relativeHeight="251655680" behindDoc="1" locked="0" layoutInCell="1" hidden="0" allowOverlap="1">
                <wp:simplePos x="0" y="0"/>
                <wp:positionH relativeFrom="column">
                  <wp:posOffset>-63499</wp:posOffset>
                </wp:positionH>
                <wp:positionV relativeFrom="paragraph">
                  <wp:posOffset>127000</wp:posOffset>
                </wp:positionV>
                <wp:extent cx="5392908" cy="3521906"/>
                <wp:effectExtent l="0" t="0" r="0" b="0"/>
                <wp:wrapNone/>
                <wp:docPr id="1661421029" name="Rectangle 1661421029"/>
                <wp:cNvGraphicFramePr/>
                <a:graphic xmlns:a="http://schemas.openxmlformats.org/drawingml/2006/main">
                  <a:graphicData uri="http://schemas.microsoft.com/office/word/2010/wordprocessingShape">
                    <wps:wsp>
                      <wps:cNvSpPr/>
                      <wps:spPr>
                        <a:xfrm>
                          <a:off x="2659071" y="2028572"/>
                          <a:ext cx="5373858" cy="3502856"/>
                        </a:xfrm>
                        <a:prstGeom prst="rect">
                          <a:avLst/>
                        </a:prstGeom>
                        <a:solidFill>
                          <a:srgbClr val="F2F2F2"/>
                        </a:solidFill>
                        <a:ln w="9525" cap="flat" cmpd="sng">
                          <a:solidFill>
                            <a:srgbClr val="000000"/>
                          </a:solidFill>
                          <a:prstDash val="solid"/>
                          <a:round/>
                          <a:headEnd type="none" w="sm" len="sm"/>
                          <a:tailEnd type="none" w="sm" len="sm"/>
                        </a:ln>
                      </wps:spPr>
                      <wps:txbx>
                        <w:txbxContent>
                          <w:p w14:paraId="6BD92D66" w14:textId="77777777" w:rsidR="00955C2D" w:rsidRDefault="00955C2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wp:posOffset>
                </wp:positionH>
                <wp:positionV relativeFrom="paragraph">
                  <wp:posOffset>127000</wp:posOffset>
                </wp:positionV>
                <wp:extent cx="5392908" cy="3521906"/>
                <wp:effectExtent b="0" l="0" r="0" t="0"/>
                <wp:wrapNone/>
                <wp:docPr id="166142102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392908" cy="3521906"/>
                        </a:xfrm>
                        <a:prstGeom prst="rect"/>
                        <a:ln/>
                      </pic:spPr>
                    </pic:pic>
                  </a:graphicData>
                </a:graphic>
              </wp:anchor>
            </w:drawing>
          </mc:Fallback>
        </mc:AlternateContent>
      </w:r>
    </w:p>
    <w:p w14:paraId="0000000A" w14:textId="77777777" w:rsidR="00955C2D" w:rsidRDefault="00955C2D">
      <w:pPr>
        <w:pBdr>
          <w:top w:val="nil"/>
          <w:left w:val="nil"/>
          <w:bottom w:val="nil"/>
          <w:right w:val="nil"/>
          <w:between w:val="nil"/>
        </w:pBdr>
        <w:jc w:val="both"/>
        <w:rPr>
          <w:rFonts w:ascii="Arial" w:eastAsia="Arial" w:hAnsi="Arial" w:cs="Arial"/>
          <w:b/>
          <w:color w:val="000000"/>
          <w:sz w:val="22"/>
          <w:szCs w:val="22"/>
        </w:rPr>
      </w:pPr>
    </w:p>
    <w:p w14:paraId="0000000B" w14:textId="77777777" w:rsidR="00955C2D" w:rsidRDefault="00A60C06">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ABSTRACT</w:t>
      </w:r>
    </w:p>
    <w:p w14:paraId="0000000C" w14:textId="77777777" w:rsidR="00955C2D" w:rsidRDefault="00955C2D">
      <w:pPr>
        <w:pBdr>
          <w:top w:val="nil"/>
          <w:left w:val="nil"/>
          <w:bottom w:val="nil"/>
          <w:right w:val="nil"/>
          <w:between w:val="nil"/>
        </w:pBdr>
        <w:jc w:val="both"/>
        <w:rPr>
          <w:rFonts w:ascii="Arial" w:eastAsia="Arial" w:hAnsi="Arial" w:cs="Arial"/>
          <w:color w:val="000000"/>
        </w:rPr>
      </w:pPr>
    </w:p>
    <w:p w14:paraId="0000000D" w14:textId="77777777" w:rsidR="00955C2D" w:rsidRDefault="00A60C06">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 xml:space="preserve">Aims: </w:t>
      </w:r>
      <w:r>
        <w:rPr>
          <w:rFonts w:ascii="Times New Roman" w:eastAsia="Times New Roman" w:hAnsi="Times New Roman" w:cs="Times New Roman"/>
          <w:color w:val="000000"/>
        </w:rPr>
        <w:t xml:space="preserve">This study aimed to evaluate the cytotoxic effects of Paracetamol on onion root tip cells. </w:t>
      </w:r>
    </w:p>
    <w:p w14:paraId="0000000E" w14:textId="77777777" w:rsidR="00955C2D" w:rsidRDefault="00955C2D">
      <w:pPr>
        <w:pBdr>
          <w:top w:val="nil"/>
          <w:left w:val="nil"/>
          <w:bottom w:val="nil"/>
          <w:right w:val="nil"/>
          <w:between w:val="nil"/>
        </w:pBdr>
        <w:jc w:val="both"/>
        <w:rPr>
          <w:rFonts w:ascii="Times New Roman" w:eastAsia="Times New Roman" w:hAnsi="Times New Roman" w:cs="Times New Roman"/>
          <w:color w:val="000000"/>
        </w:rPr>
      </w:pPr>
    </w:p>
    <w:p w14:paraId="0000000F" w14:textId="77777777" w:rsidR="00955C2D" w:rsidRDefault="00A60C06">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Three experimental treatments were conducted using Paracetamol concentrations of 500, 250, and 125 mg/L, along with a control (distilled water). After 96 hours of exposure, root growth, mitotic index, and the frequency of chromosomal abnormalities in *All</w:t>
      </w:r>
      <w:r>
        <w:rPr>
          <w:rFonts w:ascii="Arial" w:eastAsia="Arial" w:hAnsi="Arial" w:cs="Arial"/>
          <w:color w:val="000000"/>
        </w:rPr>
        <w:t xml:space="preserve">ium </w:t>
      </w:r>
      <w:proofErr w:type="spellStart"/>
      <w:r>
        <w:rPr>
          <w:rFonts w:ascii="Arial" w:eastAsia="Arial" w:hAnsi="Arial" w:cs="Arial"/>
          <w:color w:val="000000"/>
        </w:rPr>
        <w:t>cepa</w:t>
      </w:r>
      <w:proofErr w:type="spellEnd"/>
      <w:r>
        <w:rPr>
          <w:rFonts w:ascii="Arial" w:eastAsia="Arial" w:hAnsi="Arial" w:cs="Arial"/>
          <w:color w:val="000000"/>
        </w:rPr>
        <w:t>* were assessed.</w:t>
      </w:r>
    </w:p>
    <w:p w14:paraId="00000010" w14:textId="77777777" w:rsidR="00955C2D" w:rsidRDefault="00955C2D">
      <w:pPr>
        <w:pBdr>
          <w:top w:val="nil"/>
          <w:left w:val="nil"/>
          <w:bottom w:val="nil"/>
          <w:right w:val="nil"/>
          <w:between w:val="nil"/>
        </w:pBdr>
        <w:jc w:val="both"/>
        <w:rPr>
          <w:rFonts w:ascii="Arial" w:eastAsia="Arial" w:hAnsi="Arial" w:cs="Arial"/>
          <w:color w:val="000000"/>
        </w:rPr>
      </w:pPr>
    </w:p>
    <w:p w14:paraId="00000011" w14:textId="77777777" w:rsidR="00955C2D" w:rsidRDefault="00A60C06">
      <w:pPr>
        <w:pBdr>
          <w:top w:val="nil"/>
          <w:left w:val="nil"/>
          <w:bottom w:val="nil"/>
          <w:right w:val="nil"/>
          <w:between w:val="nil"/>
        </w:pBdr>
        <w:jc w:val="both"/>
        <w:rPr>
          <w:rFonts w:ascii="Helvetica Neue" w:hAnsi="Helvetica Neue"/>
          <w:color w:val="000000"/>
        </w:rPr>
      </w:pPr>
      <w:r>
        <w:rPr>
          <w:rFonts w:ascii="Arial" w:eastAsia="Arial" w:hAnsi="Arial" w:cs="Arial"/>
          <w:b/>
          <w:color w:val="000000"/>
        </w:rPr>
        <w:t>Results:</w:t>
      </w:r>
      <w:r>
        <w:rPr>
          <w:rFonts w:ascii="Arial" w:eastAsia="Arial" w:hAnsi="Arial" w:cs="Arial"/>
          <w:color w:val="000000"/>
        </w:rPr>
        <w:t xml:space="preserve"> The relative growth of the roots of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 xml:space="preserve"> was influenced in each treatment, showing a significant decrease from </w:t>
      </w:r>
      <w:r>
        <w:rPr>
          <w:rFonts w:ascii="Helvetica Neue" w:hAnsi="Helvetica Neue"/>
          <w:color w:val="000000"/>
        </w:rPr>
        <w:t xml:space="preserve">5.74 </w:t>
      </w:r>
      <m:oMath>
        <m:r>
          <w:rPr>
            <w:rFonts w:ascii="Cambria Math" w:hAnsi="Cambria Math"/>
          </w:rPr>
          <m:t>±</m:t>
        </m:r>
      </m:oMath>
      <w:r>
        <w:rPr>
          <w:rFonts w:ascii="Helvetica Neue" w:hAnsi="Helvetica Neue"/>
          <w:color w:val="000000"/>
        </w:rPr>
        <w:t xml:space="preserve"> 0.27 to 1.58 </w:t>
      </w:r>
      <m:oMath>
        <m:r>
          <w:rPr>
            <w:rFonts w:ascii="Cambria Math" w:hAnsi="Cambria Math"/>
          </w:rPr>
          <m:t>±</m:t>
        </m:r>
      </m:oMath>
      <w:r>
        <w:rPr>
          <w:rFonts w:ascii="Helvetica Neue" w:hAnsi="Helvetica Neue"/>
          <w:color w:val="000000"/>
        </w:rPr>
        <w:t xml:space="preserve"> 0.13. Microscopic analysis revealed a substantial reduction in the mitotic index, wit</w:t>
      </w:r>
      <w:r>
        <w:rPr>
          <w:rFonts w:ascii="Helvetica Neue" w:hAnsi="Helvetica Neue"/>
          <w:color w:val="000000"/>
        </w:rPr>
        <w:t xml:space="preserve">h a recorded value of 8.76 ± 0.7 at the </w:t>
      </w:r>
      <w:r>
        <w:rPr>
          <w:rFonts w:ascii="Helvetica Neue" w:hAnsi="Helvetica Neue"/>
          <w:i/>
          <w:color w:val="000000"/>
        </w:rPr>
        <w:t xml:space="preserve">A. </w:t>
      </w:r>
      <w:proofErr w:type="spellStart"/>
      <w:r>
        <w:rPr>
          <w:rFonts w:ascii="Helvetica Neue" w:hAnsi="Helvetica Neue"/>
          <w:i/>
          <w:color w:val="000000"/>
        </w:rPr>
        <w:t>cepa</w:t>
      </w:r>
      <w:proofErr w:type="spellEnd"/>
      <w:r>
        <w:rPr>
          <w:rFonts w:ascii="Helvetica Neue" w:hAnsi="Helvetica Neue"/>
          <w:color w:val="000000"/>
        </w:rPr>
        <w:t xml:space="preserve"> 500 mg/L treatment. Furthermore, a total of 10 distinct chromosomal abnormalities were identified, indicating a significant structural impact on chromosomes induced by Paracetamol exposure.</w:t>
      </w:r>
    </w:p>
    <w:p w14:paraId="00000012" w14:textId="77777777" w:rsidR="00955C2D" w:rsidRDefault="00955C2D">
      <w:pPr>
        <w:pBdr>
          <w:top w:val="nil"/>
          <w:left w:val="nil"/>
          <w:bottom w:val="nil"/>
          <w:right w:val="nil"/>
          <w:between w:val="nil"/>
        </w:pBdr>
        <w:jc w:val="both"/>
        <w:rPr>
          <w:rFonts w:ascii="Arial" w:eastAsia="Arial" w:hAnsi="Arial" w:cs="Arial"/>
          <w:color w:val="000000"/>
        </w:rPr>
      </w:pPr>
    </w:p>
    <w:p w14:paraId="00000013" w14:textId="77777777" w:rsidR="00955C2D" w:rsidRDefault="00A60C06">
      <w:pPr>
        <w:pBdr>
          <w:top w:val="nil"/>
          <w:left w:val="nil"/>
          <w:bottom w:val="nil"/>
          <w:right w:val="nil"/>
          <w:between w:val="nil"/>
        </w:pBdr>
        <w:jc w:val="both"/>
        <w:rPr>
          <w:rFonts w:ascii="Arial" w:eastAsia="Arial" w:hAnsi="Arial" w:cs="Arial"/>
          <w:color w:val="FF0000"/>
        </w:rPr>
      </w:pPr>
      <w:r>
        <w:rPr>
          <w:rFonts w:ascii="Arial" w:eastAsia="Arial" w:hAnsi="Arial" w:cs="Arial"/>
          <w:b/>
          <w:color w:val="000000"/>
        </w:rPr>
        <w:t>Conclusion:</w:t>
      </w:r>
      <w:r>
        <w:rPr>
          <w:rFonts w:ascii="Arial" w:eastAsia="Arial" w:hAnsi="Arial" w:cs="Arial"/>
          <w:color w:val="000000"/>
        </w:rPr>
        <w:t xml:space="preserve"> The r</w:t>
      </w:r>
      <w:r>
        <w:rPr>
          <w:rFonts w:ascii="Arial" w:eastAsia="Arial" w:hAnsi="Arial" w:cs="Arial"/>
          <w:color w:val="000000"/>
        </w:rPr>
        <w:t xml:space="preserve">esults demonstrate that </w:t>
      </w:r>
      <w:r>
        <w:rPr>
          <w:rFonts w:ascii="Arial" w:eastAsia="Arial" w:hAnsi="Arial" w:cs="Arial"/>
          <w:i/>
          <w:color w:val="000000"/>
        </w:rPr>
        <w:t xml:space="preserve">Allium </w:t>
      </w:r>
      <w:proofErr w:type="spellStart"/>
      <w:r>
        <w:rPr>
          <w:rFonts w:ascii="Arial" w:eastAsia="Arial" w:hAnsi="Arial" w:cs="Arial"/>
          <w:i/>
          <w:color w:val="000000"/>
        </w:rPr>
        <w:t>cepa</w:t>
      </w:r>
      <w:proofErr w:type="spellEnd"/>
      <w:r>
        <w:rPr>
          <w:rFonts w:ascii="Arial" w:eastAsia="Arial" w:hAnsi="Arial" w:cs="Arial"/>
          <w:color w:val="000000"/>
        </w:rPr>
        <w:t xml:space="preserve"> serves as an effective model for toxicological assessments, as all tested concentrations exhibited significant effects. These </w:t>
      </w:r>
      <w:proofErr w:type="gramStart"/>
      <w:r>
        <w:rPr>
          <w:rFonts w:ascii="Arial" w:eastAsia="Arial" w:hAnsi="Arial" w:cs="Arial"/>
          <w:color w:val="000000"/>
        </w:rPr>
        <w:t>findings</w:t>
      </w:r>
      <w:proofErr w:type="gramEnd"/>
      <w:r>
        <w:rPr>
          <w:rFonts w:ascii="Arial" w:eastAsia="Arial" w:hAnsi="Arial" w:cs="Arial"/>
          <w:color w:val="000000"/>
        </w:rPr>
        <w:t xml:space="preserve"> suggest that prolonged exposure to high Paracetamol concentrations may irreversibly i</w:t>
      </w:r>
      <w:r>
        <w:rPr>
          <w:rFonts w:ascii="Arial" w:eastAsia="Arial" w:hAnsi="Arial" w:cs="Arial"/>
          <w:color w:val="000000"/>
        </w:rPr>
        <w:t>mpact genome integrity, posing ecological risks. Further analytical validation and metabolite characterization are essential.</w:t>
      </w:r>
    </w:p>
    <w:p w14:paraId="00000014" w14:textId="77777777" w:rsidR="00955C2D" w:rsidRDefault="00955C2D">
      <w:pPr>
        <w:pBdr>
          <w:top w:val="nil"/>
          <w:left w:val="nil"/>
          <w:bottom w:val="nil"/>
          <w:right w:val="nil"/>
          <w:between w:val="nil"/>
        </w:pBdr>
        <w:jc w:val="both"/>
        <w:rPr>
          <w:rFonts w:ascii="Arial" w:eastAsia="Arial" w:hAnsi="Arial" w:cs="Arial"/>
          <w:color w:val="FF0000"/>
          <w:sz w:val="16"/>
          <w:szCs w:val="16"/>
        </w:rPr>
      </w:pPr>
    </w:p>
    <w:p w14:paraId="00000015" w14:textId="77777777" w:rsidR="00955C2D" w:rsidRDefault="00955C2D">
      <w:pPr>
        <w:pBdr>
          <w:top w:val="nil"/>
          <w:left w:val="nil"/>
          <w:bottom w:val="nil"/>
          <w:right w:val="nil"/>
          <w:between w:val="nil"/>
        </w:pBdr>
        <w:jc w:val="both"/>
        <w:rPr>
          <w:rFonts w:ascii="Arial" w:eastAsia="Arial" w:hAnsi="Arial" w:cs="Arial"/>
          <w:color w:val="FF0000"/>
          <w:sz w:val="16"/>
          <w:szCs w:val="16"/>
        </w:rPr>
      </w:pPr>
    </w:p>
    <w:p w14:paraId="00000016" w14:textId="77777777" w:rsidR="00955C2D" w:rsidRDefault="00955C2D">
      <w:pPr>
        <w:pBdr>
          <w:top w:val="nil"/>
          <w:left w:val="nil"/>
          <w:bottom w:val="nil"/>
          <w:right w:val="nil"/>
          <w:between w:val="nil"/>
        </w:pBdr>
        <w:jc w:val="both"/>
        <w:rPr>
          <w:rFonts w:ascii="Arial" w:eastAsia="Arial" w:hAnsi="Arial" w:cs="Arial"/>
          <w:color w:val="FF0000"/>
          <w:sz w:val="16"/>
          <w:szCs w:val="16"/>
        </w:rPr>
      </w:pPr>
    </w:p>
    <w:p w14:paraId="00000017" w14:textId="77777777" w:rsidR="00955C2D" w:rsidRDefault="00955C2D">
      <w:pPr>
        <w:pBdr>
          <w:top w:val="nil"/>
          <w:left w:val="nil"/>
          <w:bottom w:val="nil"/>
          <w:right w:val="nil"/>
          <w:between w:val="nil"/>
        </w:pBdr>
        <w:jc w:val="both"/>
        <w:rPr>
          <w:rFonts w:ascii="Arial" w:eastAsia="Arial" w:hAnsi="Arial" w:cs="Arial"/>
          <w:color w:val="FF0000"/>
          <w:sz w:val="16"/>
          <w:szCs w:val="16"/>
        </w:rPr>
      </w:pPr>
    </w:p>
    <w:p w14:paraId="00000018" w14:textId="77777777" w:rsidR="00955C2D" w:rsidRDefault="00955C2D">
      <w:pPr>
        <w:pBdr>
          <w:top w:val="nil"/>
          <w:left w:val="nil"/>
          <w:bottom w:val="nil"/>
          <w:right w:val="nil"/>
          <w:between w:val="nil"/>
        </w:pBdr>
        <w:jc w:val="both"/>
        <w:rPr>
          <w:rFonts w:ascii="Arial" w:eastAsia="Arial" w:hAnsi="Arial" w:cs="Arial"/>
          <w:color w:val="FF0000"/>
          <w:sz w:val="16"/>
          <w:szCs w:val="16"/>
        </w:rPr>
      </w:pPr>
    </w:p>
    <w:p w14:paraId="00000019" w14:textId="77777777" w:rsidR="00955C2D" w:rsidRDefault="00A60C06">
      <w:pPr>
        <w:pBdr>
          <w:top w:val="nil"/>
          <w:left w:val="nil"/>
          <w:bottom w:val="nil"/>
          <w:right w:val="nil"/>
          <w:between w:val="nil"/>
        </w:pBdr>
        <w:spacing w:after="240"/>
        <w:jc w:val="both"/>
        <w:rPr>
          <w:rFonts w:ascii="Arial" w:eastAsia="Arial" w:hAnsi="Arial" w:cs="Arial"/>
          <w:i/>
          <w:color w:val="000000"/>
        </w:rPr>
        <w:sectPr w:rsidR="00955C2D">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1296" w:gutter="0"/>
          <w:pgNumType w:start="1"/>
          <w:cols w:space="720"/>
        </w:sectPr>
      </w:pPr>
      <w:r>
        <w:rPr>
          <w:rFonts w:ascii="Arial" w:eastAsia="Arial" w:hAnsi="Arial" w:cs="Arial"/>
          <w:i/>
          <w:color w:val="000000"/>
        </w:rPr>
        <w:t xml:space="preserve">Keywords: Paracetamol, Allium </w:t>
      </w:r>
      <w:proofErr w:type="spellStart"/>
      <w:r>
        <w:rPr>
          <w:rFonts w:ascii="Arial" w:eastAsia="Arial" w:hAnsi="Arial" w:cs="Arial"/>
          <w:i/>
          <w:color w:val="000000"/>
        </w:rPr>
        <w:t>cepa</w:t>
      </w:r>
      <w:proofErr w:type="spellEnd"/>
      <w:r>
        <w:rPr>
          <w:rFonts w:ascii="Arial" w:eastAsia="Arial" w:hAnsi="Arial" w:cs="Arial"/>
          <w:i/>
          <w:color w:val="000000"/>
        </w:rPr>
        <w:t>, Cytotoxicity, Self-medication</w:t>
      </w:r>
    </w:p>
    <w:p w14:paraId="0000001A" w14:textId="77777777" w:rsidR="00955C2D" w:rsidRDefault="00A60C0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0000001B" w14:textId="77777777" w:rsidR="00955C2D" w:rsidRDefault="00955C2D">
      <w:pPr>
        <w:keepNext/>
        <w:pBdr>
          <w:top w:val="nil"/>
          <w:left w:val="nil"/>
          <w:bottom w:val="nil"/>
          <w:right w:val="nil"/>
          <w:between w:val="nil"/>
        </w:pBdr>
        <w:jc w:val="both"/>
        <w:rPr>
          <w:rFonts w:ascii="Arial" w:eastAsia="Arial" w:hAnsi="Arial" w:cs="Arial"/>
          <w:b/>
          <w:smallCaps/>
          <w:color w:val="000000"/>
          <w:sz w:val="22"/>
          <w:szCs w:val="22"/>
        </w:rPr>
      </w:pPr>
    </w:p>
    <w:p w14:paraId="0000001C" w14:textId="77777777" w:rsidR="00955C2D" w:rsidRDefault="00A60C06">
      <w:pPr>
        <w:pBdr>
          <w:top w:val="nil"/>
          <w:left w:val="nil"/>
          <w:bottom w:val="nil"/>
          <w:right w:val="nil"/>
          <w:between w:val="nil"/>
        </w:pBdr>
        <w:spacing w:after="240"/>
        <w:jc w:val="both"/>
        <w:rPr>
          <w:rFonts w:ascii="Arial" w:eastAsia="Arial" w:hAnsi="Arial" w:cs="Arial"/>
          <w:color w:val="000000"/>
        </w:rPr>
      </w:pPr>
      <w:sdt>
        <w:sdtPr>
          <w:tag w:val="goog_rdk_0"/>
          <w:id w:val="-1053625461"/>
        </w:sdtPr>
        <w:sdtEndPr/>
        <w:sdtContent>
          <w:commentRangeStart w:id="1"/>
        </w:sdtContent>
      </w:sdt>
      <w:r>
        <w:rPr>
          <w:rFonts w:ascii="Arial" w:eastAsia="Arial" w:hAnsi="Arial" w:cs="Arial"/>
          <w:color w:val="000000"/>
        </w:rPr>
        <w:t xml:space="preserve">All of sudden, the entire world has come to recognize that in our fast paced and hectic lives, </w:t>
      </w:r>
      <w:proofErr w:type="spellStart"/>
      <w:proofErr w:type="gramStart"/>
      <w:r>
        <w:rPr>
          <w:rFonts w:ascii="Arial" w:eastAsia="Arial" w:hAnsi="Arial" w:cs="Arial"/>
          <w:color w:val="000000"/>
        </w:rPr>
        <w:t>its</w:t>
      </w:r>
      <w:proofErr w:type="spellEnd"/>
      <w:proofErr w:type="gramEnd"/>
      <w:r>
        <w:rPr>
          <w:rFonts w:ascii="Arial" w:eastAsia="Arial" w:hAnsi="Arial" w:cs="Arial"/>
          <w:color w:val="000000"/>
        </w:rPr>
        <w:t xml:space="preserve"> essential to focus on our health</w:t>
      </w:r>
      <w:commentRangeEnd w:id="1"/>
      <w:r>
        <w:commentReference w:id="1"/>
      </w:r>
      <w:r>
        <w:rPr>
          <w:rFonts w:ascii="Arial" w:eastAsia="Arial" w:hAnsi="Arial" w:cs="Arial"/>
          <w:color w:val="000000"/>
        </w:rPr>
        <w:t xml:space="preserve">. </w:t>
      </w:r>
      <w:sdt>
        <w:sdtPr>
          <w:tag w:val="goog_rdk_1"/>
          <w:id w:val="-436831619"/>
        </w:sdtPr>
        <w:sdtEndPr/>
        <w:sdtContent>
          <w:commentRangeStart w:id="2"/>
        </w:sdtContent>
      </w:sdt>
      <w:r>
        <w:t xml:space="preserve">     </w:t>
      </w:r>
      <w:r>
        <w:rPr>
          <w:rFonts w:ascii="Arial" w:eastAsia="Arial" w:hAnsi="Arial" w:cs="Arial"/>
          <w:color w:val="000000"/>
        </w:rPr>
        <w:t>With the rapid advancement of medical sciences, the situation has shifted, leading to an increased reliance on medications for immediate relief from health issues</w:t>
      </w:r>
      <w:commentRangeEnd w:id="2"/>
      <w:r>
        <w:commentReference w:id="2"/>
      </w:r>
      <w:r>
        <w:rPr>
          <w:rFonts w:ascii="Arial" w:eastAsia="Arial" w:hAnsi="Arial" w:cs="Arial"/>
          <w:color w:val="000000"/>
        </w:rPr>
        <w:t>. Many people have turned to self-medication for minor ailments, opting for over- the- coun</w:t>
      </w:r>
      <w:r>
        <w:rPr>
          <w:rFonts w:ascii="Arial" w:eastAsia="Arial" w:hAnsi="Arial" w:cs="Arial"/>
          <w:color w:val="000000"/>
        </w:rPr>
        <w:t xml:space="preserve">ter (OTC) drugs to treat their health problems. Self-medication has been defined as “the taking of drugs, herbs or home remedies on one's ow initiative, or on the advice of another person, without consulting a doctor” </w:t>
      </w:r>
      <w:r>
        <w:rPr>
          <w:rFonts w:ascii="Arial" w:eastAsia="Arial" w:hAnsi="Arial" w:cs="Arial"/>
          <w:b/>
          <w:color w:val="000000"/>
        </w:rPr>
        <w:t>(Hernandez-</w:t>
      </w:r>
      <w:proofErr w:type="spellStart"/>
      <w:r>
        <w:rPr>
          <w:rFonts w:ascii="Arial" w:eastAsia="Arial" w:hAnsi="Arial" w:cs="Arial"/>
          <w:b/>
          <w:color w:val="000000"/>
        </w:rPr>
        <w:t>Juyol</w:t>
      </w:r>
      <w:proofErr w:type="spellEnd"/>
      <w:r>
        <w:rPr>
          <w:rFonts w:ascii="Arial" w:eastAsia="Arial" w:hAnsi="Arial" w:cs="Arial"/>
          <w:b/>
          <w:color w:val="000000"/>
        </w:rPr>
        <w:t xml:space="preserve"> and Job-Quesada, 2002</w:t>
      </w:r>
      <w:r>
        <w:rPr>
          <w:rFonts w:ascii="Arial" w:eastAsia="Arial" w:hAnsi="Arial" w:cs="Arial"/>
          <w:b/>
          <w:color w:val="000000"/>
        </w:rPr>
        <w:t>)</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Commonly used medication includes analgesics, cough syrups, laxatives, antibiotics, antihistamines, vitamins and antacids, as they are easily accessible, without a prescription.</w:t>
      </w:r>
    </w:p>
    <w:p w14:paraId="0000001D"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 xml:space="preserve">Paracetamol also known as acetaminophen or N-acetyl </w:t>
      </w:r>
      <w:r>
        <w:rPr>
          <w:rFonts w:ascii="Noto Sans Symbols" w:eastAsia="Noto Sans Symbols" w:hAnsi="Noto Sans Symbols" w:cs="Noto Sans Symbols"/>
          <w:color w:val="000000"/>
        </w:rPr>
        <w:t>β</w:t>
      </w:r>
      <w:r>
        <w:rPr>
          <w:rFonts w:ascii="Arial" w:eastAsia="Arial" w:hAnsi="Arial" w:cs="Arial"/>
          <w:color w:val="000000"/>
        </w:rPr>
        <w:t>-aminophenol, is one o</w:t>
      </w:r>
      <w:r>
        <w:rPr>
          <w:rFonts w:ascii="Arial" w:eastAsia="Arial" w:hAnsi="Arial" w:cs="Arial"/>
          <w:color w:val="000000"/>
        </w:rPr>
        <w:t xml:space="preserve">f the mild analgesics &amp; antipyretic easily available at all pharmacies and are considered as an OTC drugs. Its effectiveness in providing quick pain relief and its strong safety profile have led many people to trust it blindly. </w:t>
      </w:r>
      <w:sdt>
        <w:sdtPr>
          <w:tag w:val="goog_rdk_2"/>
          <w:id w:val="-1506972332"/>
        </w:sdtPr>
        <w:sdtEndPr/>
        <w:sdtContent>
          <w:commentRangeStart w:id="3"/>
        </w:sdtContent>
      </w:sdt>
      <w:r>
        <w:rPr>
          <w:rFonts w:ascii="Arial" w:eastAsia="Arial" w:hAnsi="Arial" w:cs="Arial"/>
          <w:color w:val="000000"/>
        </w:rPr>
        <w:t>During the COVID-19 pandem</w:t>
      </w:r>
      <w:r>
        <w:rPr>
          <w:rFonts w:ascii="Arial" w:eastAsia="Arial" w:hAnsi="Arial" w:cs="Arial"/>
          <w:color w:val="000000"/>
        </w:rPr>
        <w:t>ic, the paracetamol</w:t>
      </w:r>
      <w:sdt>
        <w:sdtPr>
          <w:tag w:val="goog_rdk_3"/>
          <w:id w:val="2086722723"/>
        </w:sdtPr>
        <w:sdtEndPr/>
        <w:sdtContent>
          <w:commentRangeStart w:id="4"/>
        </w:sdtContent>
      </w:sdt>
      <w:r>
        <w:t xml:space="preserve"> </w:t>
      </w:r>
      <w:r>
        <w:rPr>
          <w:rFonts w:ascii="Arial" w:eastAsia="Arial" w:hAnsi="Arial" w:cs="Arial"/>
          <w:color w:val="000000"/>
        </w:rPr>
        <w:t xml:space="preserve">become </w:t>
      </w:r>
      <w:commentRangeEnd w:id="4"/>
      <w:r>
        <w:commentReference w:id="4"/>
      </w:r>
      <w:r>
        <w:rPr>
          <w:rFonts w:ascii="Arial" w:eastAsia="Arial" w:hAnsi="Arial" w:cs="Arial"/>
          <w:color w:val="000000"/>
        </w:rPr>
        <w:t xml:space="preserve">one of the most commonly used treatments for </w:t>
      </w:r>
      <w:sdt>
        <w:sdtPr>
          <w:tag w:val="goog_rdk_4"/>
          <w:id w:val="-1556997386"/>
        </w:sdtPr>
        <w:sdtEndPr/>
        <w:sdtContent>
          <w:commentRangeStart w:id="5"/>
        </w:sdtContent>
      </w:sdt>
      <w:r>
        <w:t xml:space="preserve">     </w:t>
      </w:r>
      <w:r>
        <w:rPr>
          <w:rFonts w:ascii="Arial" w:eastAsia="Arial" w:hAnsi="Arial" w:cs="Arial"/>
          <w:color w:val="000000"/>
        </w:rPr>
        <w:t xml:space="preserve">symptoms </w:t>
      </w:r>
      <w:commentRangeEnd w:id="5"/>
      <w:r>
        <w:commentReference w:id="5"/>
      </w:r>
      <w:r>
        <w:rPr>
          <w:rFonts w:ascii="Arial" w:eastAsia="Arial" w:hAnsi="Arial" w:cs="Arial"/>
          <w:color w:val="000000"/>
        </w:rPr>
        <w:t>relief, as prescribed by health professionals</w:t>
      </w:r>
      <w:r>
        <w:rPr>
          <w:rFonts w:ascii="Arial" w:eastAsia="Arial" w:hAnsi="Arial" w:cs="Arial"/>
          <w:b/>
          <w:color w:val="000000"/>
        </w:rPr>
        <w:t xml:space="preserve"> (Mostafa et al., 2022; </w:t>
      </w:r>
      <w:proofErr w:type="spellStart"/>
      <w:r>
        <w:rPr>
          <w:rFonts w:ascii="Arial" w:eastAsia="Arial" w:hAnsi="Arial" w:cs="Arial"/>
          <w:b/>
          <w:color w:val="000000"/>
        </w:rPr>
        <w:t>Pandolfi</w:t>
      </w:r>
      <w:proofErr w:type="spellEnd"/>
      <w:r>
        <w:rPr>
          <w:rFonts w:ascii="Arial" w:eastAsia="Arial" w:hAnsi="Arial" w:cs="Arial"/>
          <w:b/>
          <w:color w:val="000000"/>
        </w:rPr>
        <w:t xml:space="preserve"> et al., 2022)</w:t>
      </w:r>
      <w:r>
        <w:rPr>
          <w:rFonts w:ascii="Arial" w:eastAsia="Arial" w:hAnsi="Arial" w:cs="Arial"/>
          <w:color w:val="000000"/>
        </w:rPr>
        <w:t xml:space="preserve"> and was also frequently used for self-medication during the quaranti</w:t>
      </w:r>
      <w:r>
        <w:rPr>
          <w:rFonts w:ascii="Arial" w:eastAsia="Arial" w:hAnsi="Arial" w:cs="Arial"/>
          <w:color w:val="000000"/>
        </w:rPr>
        <w:t xml:space="preserve">ne period </w:t>
      </w:r>
      <w:r>
        <w:rPr>
          <w:rFonts w:ascii="Arial" w:eastAsia="Arial" w:hAnsi="Arial" w:cs="Arial"/>
          <w:b/>
          <w:color w:val="000000"/>
        </w:rPr>
        <w:t>(</w:t>
      </w:r>
      <w:proofErr w:type="spellStart"/>
      <w:r>
        <w:rPr>
          <w:rFonts w:ascii="Arial" w:eastAsia="Arial" w:hAnsi="Arial" w:cs="Arial"/>
          <w:b/>
          <w:color w:val="000000"/>
        </w:rPr>
        <w:t>Faqihi</w:t>
      </w:r>
      <w:proofErr w:type="spellEnd"/>
      <w:r>
        <w:rPr>
          <w:rFonts w:ascii="Arial" w:eastAsia="Arial" w:hAnsi="Arial" w:cs="Arial"/>
          <w:b/>
          <w:color w:val="000000"/>
        </w:rPr>
        <w:t xml:space="preserve"> and Sayed, 2021)</w:t>
      </w:r>
      <w:r>
        <w:rPr>
          <w:rFonts w:ascii="Arial" w:eastAsia="Arial" w:hAnsi="Arial" w:cs="Arial"/>
          <w:color w:val="000000"/>
        </w:rPr>
        <w:t xml:space="preserve">, generating an increase in </w:t>
      </w:r>
      <w:sdt>
        <w:sdtPr>
          <w:tag w:val="goog_rdk_5"/>
          <w:id w:val="1757097100"/>
        </w:sdtPr>
        <w:sdtEndPr/>
        <w:sdtContent>
          <w:commentRangeStart w:id="6"/>
        </w:sdtContent>
      </w:sdt>
      <w:r>
        <w:rPr>
          <w:rFonts w:ascii="Arial" w:eastAsia="Arial" w:hAnsi="Arial" w:cs="Arial"/>
          <w:color w:val="000000"/>
        </w:rPr>
        <w:t>PCT</w:t>
      </w:r>
      <w:commentRangeEnd w:id="6"/>
      <w:r>
        <w:commentReference w:id="6"/>
      </w:r>
      <w:r>
        <w:rPr>
          <w:rFonts w:ascii="Arial" w:eastAsia="Arial" w:hAnsi="Arial" w:cs="Arial"/>
          <w:color w:val="000000"/>
        </w:rPr>
        <w:t xml:space="preserve"> consumption, which results in a shortage of this drug </w:t>
      </w:r>
      <w:r>
        <w:rPr>
          <w:rFonts w:ascii="Arial" w:eastAsia="Arial" w:hAnsi="Arial" w:cs="Arial"/>
          <w:b/>
          <w:color w:val="000000"/>
        </w:rPr>
        <w:t>(Romano et al., 2021)</w:t>
      </w:r>
      <w:r>
        <w:rPr>
          <w:rFonts w:ascii="Arial" w:eastAsia="Arial" w:hAnsi="Arial" w:cs="Arial"/>
          <w:color w:val="000000"/>
        </w:rPr>
        <w:t>.</w:t>
      </w:r>
      <w:commentRangeEnd w:id="3"/>
      <w:r>
        <w:commentReference w:id="3"/>
      </w:r>
      <w:sdt>
        <w:sdtPr>
          <w:tag w:val="goog_rdk_6"/>
          <w:id w:val="-599023330"/>
        </w:sdtPr>
        <w:sdtEndPr/>
        <w:sdtContent>
          <w:commentRangeStart w:id="7"/>
        </w:sdtContent>
      </w:sdt>
      <w:r>
        <w:rPr>
          <w:rFonts w:ascii="Arial" w:eastAsia="Arial" w:hAnsi="Arial" w:cs="Arial"/>
          <w:color w:val="000000"/>
        </w:rPr>
        <w:t>It</w:t>
      </w:r>
      <w:commentRangeEnd w:id="7"/>
      <w:r>
        <w:commentReference w:id="7"/>
      </w:r>
      <w:r>
        <w:rPr>
          <w:rFonts w:ascii="Arial" w:eastAsia="Arial" w:hAnsi="Arial" w:cs="Arial"/>
          <w:color w:val="000000"/>
        </w:rPr>
        <w:t xml:space="preserve"> is used for its characteristics to relieve pain &amp; inflammation at the </w:t>
      </w:r>
      <w:sdt>
        <w:sdtPr>
          <w:tag w:val="goog_rdk_7"/>
          <w:id w:val="-2081897153"/>
        </w:sdtPr>
        <w:sdtEndPr/>
        <w:sdtContent>
          <w:commentRangeStart w:id="8"/>
        </w:sdtContent>
      </w:sdt>
      <w:r>
        <w:t xml:space="preserve">     </w:t>
      </w:r>
      <w:r>
        <w:rPr>
          <w:rFonts w:ascii="Arial" w:eastAsia="Arial" w:hAnsi="Arial" w:cs="Arial"/>
          <w:color w:val="000000"/>
        </w:rPr>
        <w:t xml:space="preserve">same time paracetamol poisoning can occur at recommended therapeutic doses and multiple therapeutic or supra therapeutic doses </w:t>
      </w:r>
      <w:commentRangeEnd w:id="8"/>
      <w:r>
        <w:commentReference w:id="8"/>
      </w:r>
      <w:r>
        <w:rPr>
          <w:rFonts w:ascii="Arial" w:eastAsia="Arial" w:hAnsi="Arial" w:cs="Arial"/>
          <w:b/>
          <w:color w:val="000000"/>
        </w:rPr>
        <w:t>(</w:t>
      </w:r>
      <w:proofErr w:type="spellStart"/>
      <w:r>
        <w:rPr>
          <w:rFonts w:ascii="Arial" w:eastAsia="Arial" w:hAnsi="Arial" w:cs="Arial"/>
          <w:b/>
          <w:color w:val="000000"/>
        </w:rPr>
        <w:t>Lubel</w:t>
      </w:r>
      <w:proofErr w:type="spellEnd"/>
      <w:r>
        <w:rPr>
          <w:rFonts w:ascii="Arial" w:eastAsia="Arial" w:hAnsi="Arial" w:cs="Arial"/>
          <w:b/>
          <w:color w:val="000000"/>
        </w:rPr>
        <w:t xml:space="preserve"> et al., 2007; </w:t>
      </w:r>
      <w:proofErr w:type="spellStart"/>
      <w:r>
        <w:rPr>
          <w:rFonts w:ascii="Arial" w:eastAsia="Arial" w:hAnsi="Arial" w:cs="Arial"/>
          <w:b/>
          <w:color w:val="000000"/>
        </w:rPr>
        <w:t>Chidiac</w:t>
      </w:r>
      <w:proofErr w:type="spellEnd"/>
      <w:r>
        <w:rPr>
          <w:rFonts w:ascii="Arial" w:eastAsia="Arial" w:hAnsi="Arial" w:cs="Arial"/>
          <w:b/>
          <w:color w:val="000000"/>
        </w:rPr>
        <w:t xml:space="preserve"> et al., 2023)</w:t>
      </w:r>
      <w:r>
        <w:rPr>
          <w:rFonts w:ascii="Arial" w:eastAsia="Arial" w:hAnsi="Arial" w:cs="Arial"/>
          <w:color w:val="000000"/>
        </w:rPr>
        <w:t>.</w:t>
      </w:r>
    </w:p>
    <w:p w14:paraId="0000001E"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Paracetamol is rapidly absorbed in the duodenum </w:t>
      </w:r>
      <w:r>
        <w:rPr>
          <w:rFonts w:ascii="Arial" w:eastAsia="Arial" w:hAnsi="Arial" w:cs="Arial"/>
          <w:b/>
          <w:color w:val="000000"/>
        </w:rPr>
        <w:t>(</w:t>
      </w:r>
      <w:proofErr w:type="spellStart"/>
      <w:r>
        <w:rPr>
          <w:rFonts w:ascii="Arial" w:eastAsia="Arial" w:hAnsi="Arial" w:cs="Arial"/>
          <w:b/>
          <w:color w:val="000000"/>
        </w:rPr>
        <w:t>Bartholom</w:t>
      </w:r>
      <w:proofErr w:type="spellEnd"/>
      <w:r>
        <w:rPr>
          <w:rFonts w:ascii="Arial" w:eastAsia="Arial" w:hAnsi="Arial" w:cs="Arial"/>
          <w:b/>
          <w:color w:val="000000"/>
        </w:rPr>
        <w:t xml:space="preserve"> </w:t>
      </w:r>
      <w:proofErr w:type="spellStart"/>
      <w:r>
        <w:rPr>
          <w:rFonts w:ascii="Arial" w:eastAsia="Arial" w:hAnsi="Arial" w:cs="Arial"/>
          <w:b/>
          <w:color w:val="000000"/>
        </w:rPr>
        <w:t>ét</w:t>
      </w:r>
      <w:proofErr w:type="spellEnd"/>
      <w:r>
        <w:rPr>
          <w:rFonts w:ascii="Arial" w:eastAsia="Arial" w:hAnsi="Arial" w:cs="Arial"/>
          <w:b/>
          <w:color w:val="000000"/>
        </w:rPr>
        <w:t xml:space="preserve"> al., 2015),</w:t>
      </w:r>
      <w:r>
        <w:rPr>
          <w:rFonts w:ascii="Arial" w:eastAsia="Arial" w:hAnsi="Arial" w:cs="Arial"/>
          <w:color w:val="000000"/>
        </w:rPr>
        <w:t xml:space="preserve"> crosses </w:t>
      </w:r>
      <w:r>
        <w:rPr>
          <w:rFonts w:ascii="Arial" w:eastAsia="Arial" w:hAnsi="Arial" w:cs="Arial"/>
          <w:color w:val="000000"/>
        </w:rPr>
        <w:t xml:space="preserve">the blood- brain barrier and is uniformly distributed throughout the central nervous system </w:t>
      </w:r>
      <w:r>
        <w:rPr>
          <w:rFonts w:ascii="Arial" w:eastAsia="Arial" w:hAnsi="Arial" w:cs="Arial"/>
          <w:b/>
          <w:color w:val="000000"/>
        </w:rPr>
        <w:t xml:space="preserve">(Klotz, 2012; </w:t>
      </w:r>
      <w:proofErr w:type="spellStart"/>
      <w:r>
        <w:rPr>
          <w:rFonts w:ascii="Arial" w:eastAsia="Arial" w:hAnsi="Arial" w:cs="Arial"/>
          <w:b/>
          <w:color w:val="000000"/>
        </w:rPr>
        <w:t>Shazma</w:t>
      </w:r>
      <w:proofErr w:type="spellEnd"/>
      <w:r>
        <w:rPr>
          <w:rFonts w:ascii="Arial" w:eastAsia="Arial" w:hAnsi="Arial" w:cs="Arial"/>
          <w:b/>
          <w:color w:val="000000"/>
        </w:rPr>
        <w:t>, 2018)</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Its metabolic pathway involves three key organs: the liver, intestine and kidneys.</w:t>
      </w:r>
    </w:p>
    <w:p w14:paraId="0000001F"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At therapeutic doses, Paracetamol is typically metab</w:t>
      </w:r>
      <w:r>
        <w:rPr>
          <w:rFonts w:ascii="Arial" w:eastAsia="Arial" w:hAnsi="Arial" w:cs="Arial"/>
          <w:color w:val="000000"/>
        </w:rPr>
        <w:t xml:space="preserve">olized by the cytochrome P450 system, resulting in the formation of </w:t>
      </w:r>
      <w:sdt>
        <w:sdtPr>
          <w:tag w:val="goog_rdk_8"/>
          <w:id w:val="1170681048"/>
        </w:sdtPr>
        <w:sdtEndPr/>
        <w:sdtContent>
          <w:commentRangeStart w:id="9"/>
        </w:sdtContent>
      </w:sdt>
      <w:r>
        <w:rPr>
          <w:rFonts w:ascii="Arial" w:eastAsia="Arial" w:hAnsi="Arial" w:cs="Arial"/>
          <w:color w:val="000000"/>
        </w:rPr>
        <w:t>NAPQI</w:t>
      </w:r>
      <w:commentRangeEnd w:id="9"/>
      <w:r>
        <w:commentReference w:id="9"/>
      </w:r>
      <w:r>
        <w:rPr>
          <w:rFonts w:ascii="Arial" w:eastAsia="Arial" w:hAnsi="Arial" w:cs="Arial"/>
          <w:color w:val="000000"/>
        </w:rPr>
        <w:t xml:space="preserve"> </w:t>
      </w:r>
      <w:r>
        <w:rPr>
          <w:rFonts w:ascii="Arial" w:eastAsia="Arial" w:hAnsi="Arial" w:cs="Arial"/>
          <w:b/>
          <w:color w:val="000000"/>
        </w:rPr>
        <w:t xml:space="preserve">(Fig 1: Adapted from Moyer et al., 2011). </w:t>
      </w:r>
      <w:r>
        <w:rPr>
          <w:rFonts w:ascii="Arial" w:eastAsia="Arial" w:hAnsi="Arial" w:cs="Arial"/>
          <w:color w:val="000000"/>
        </w:rPr>
        <w:t>However, in cases of overdose, this process depletes cellular glutathione levels in the liver, as NAPQI quickly reacts with glutathione</w:t>
      </w:r>
      <w:r>
        <w:rPr>
          <w:rFonts w:ascii="Arial" w:eastAsia="Arial" w:hAnsi="Arial" w:cs="Arial"/>
          <w:color w:val="000000"/>
        </w:rPr>
        <w:t xml:space="preserve">. This reaction leads to oxidative stress, causing cellular damage &amp; death. Paracetamol is a dose dependent fatal </w:t>
      </w:r>
      <w:proofErr w:type="spellStart"/>
      <w:r>
        <w:rPr>
          <w:rFonts w:ascii="Arial" w:eastAsia="Arial" w:hAnsi="Arial" w:cs="Arial"/>
          <w:color w:val="000000"/>
        </w:rPr>
        <w:t>hepatoxic</w:t>
      </w:r>
      <w:proofErr w:type="spellEnd"/>
      <w:r>
        <w:rPr>
          <w:rFonts w:ascii="Arial" w:eastAsia="Arial" w:hAnsi="Arial" w:cs="Arial"/>
          <w:color w:val="000000"/>
        </w:rPr>
        <w:t xml:space="preserve"> agent and can cause acute hepatocellular injury leading to </w:t>
      </w:r>
      <w:proofErr w:type="spellStart"/>
      <w:r>
        <w:rPr>
          <w:rFonts w:ascii="Arial" w:eastAsia="Arial" w:hAnsi="Arial" w:cs="Arial"/>
          <w:color w:val="000000"/>
        </w:rPr>
        <w:t>centrilobular</w:t>
      </w:r>
      <w:proofErr w:type="spellEnd"/>
      <w:r>
        <w:rPr>
          <w:rFonts w:ascii="Arial" w:eastAsia="Arial" w:hAnsi="Arial" w:cs="Arial"/>
          <w:color w:val="000000"/>
        </w:rPr>
        <w:t xml:space="preserve"> necrosis </w:t>
      </w:r>
      <w:r>
        <w:rPr>
          <w:rFonts w:ascii="Arial" w:eastAsia="Arial" w:hAnsi="Arial" w:cs="Arial"/>
          <w:b/>
          <w:color w:val="000000"/>
        </w:rPr>
        <w:t>(Hinson et al., 2010)</w:t>
      </w:r>
      <w:r>
        <w:rPr>
          <w:rFonts w:ascii="Arial" w:eastAsia="Arial" w:hAnsi="Arial" w:cs="Arial"/>
          <w:color w:val="000000"/>
        </w:rPr>
        <w:t xml:space="preserve">, this injury to </w:t>
      </w:r>
      <w:proofErr w:type="spellStart"/>
      <w:r>
        <w:rPr>
          <w:rFonts w:ascii="Arial" w:eastAsia="Arial" w:hAnsi="Arial" w:cs="Arial"/>
          <w:color w:val="000000"/>
        </w:rPr>
        <w:t>centrilobula</w:t>
      </w:r>
      <w:r>
        <w:rPr>
          <w:rFonts w:ascii="Arial" w:eastAsia="Arial" w:hAnsi="Arial" w:cs="Arial"/>
          <w:color w:val="000000"/>
        </w:rPr>
        <w:t>r</w:t>
      </w:r>
      <w:proofErr w:type="spellEnd"/>
      <w:r>
        <w:rPr>
          <w:rFonts w:ascii="Arial" w:eastAsia="Arial" w:hAnsi="Arial" w:cs="Arial"/>
          <w:color w:val="000000"/>
        </w:rPr>
        <w:t xml:space="preserve"> necrosis is due to elevated level of NAPQI </w:t>
      </w:r>
      <w:r>
        <w:rPr>
          <w:rFonts w:ascii="Arial" w:eastAsia="Arial" w:hAnsi="Arial" w:cs="Arial"/>
          <w:b/>
          <w:color w:val="000000"/>
        </w:rPr>
        <w:t xml:space="preserve">(Shan et al., 2019; </w:t>
      </w:r>
      <w:proofErr w:type="spellStart"/>
      <w:r>
        <w:rPr>
          <w:rFonts w:ascii="Arial" w:eastAsia="Arial" w:hAnsi="Arial" w:cs="Arial"/>
          <w:b/>
          <w:color w:val="000000"/>
        </w:rPr>
        <w:t>Guengerich</w:t>
      </w:r>
      <w:proofErr w:type="spellEnd"/>
      <w:r>
        <w:rPr>
          <w:rFonts w:ascii="Arial" w:eastAsia="Arial" w:hAnsi="Arial" w:cs="Arial"/>
          <w:b/>
          <w:color w:val="000000"/>
        </w:rPr>
        <w:t>, 2021)</w:t>
      </w:r>
      <w:r>
        <w:rPr>
          <w:rFonts w:ascii="Arial" w:eastAsia="Arial" w:hAnsi="Arial" w:cs="Arial"/>
          <w:color w:val="000000"/>
        </w:rPr>
        <w:t xml:space="preserve">. Its overdose can also cause renal failure &amp; depletion of glutathione </w:t>
      </w:r>
      <w:r>
        <w:rPr>
          <w:rFonts w:ascii="Arial" w:eastAsia="Arial" w:hAnsi="Arial" w:cs="Arial"/>
          <w:b/>
          <w:color w:val="000000"/>
        </w:rPr>
        <w:t>(Abraham, 2005)</w:t>
      </w:r>
      <w:r>
        <w:rPr>
          <w:rFonts w:ascii="Arial" w:eastAsia="Arial" w:hAnsi="Arial" w:cs="Arial"/>
          <w:color w:val="000000"/>
        </w:rPr>
        <w:t>. Paracetamol has emerged as the leading cause of acute liver failure (ALF), a serious c</w:t>
      </w:r>
      <w:r>
        <w:rPr>
          <w:rFonts w:ascii="Arial" w:eastAsia="Arial" w:hAnsi="Arial" w:cs="Arial"/>
          <w:color w:val="000000"/>
        </w:rPr>
        <w:t xml:space="preserve">ondition characterized by elevated plasma, aminotransferase levels, specifically ALT and AST </w:t>
      </w:r>
      <w:r>
        <w:rPr>
          <w:rFonts w:ascii="Arial" w:eastAsia="Arial" w:hAnsi="Arial" w:cs="Arial"/>
          <w:b/>
          <w:color w:val="000000"/>
        </w:rPr>
        <w:t>(Hinson et al., 2010)</w:t>
      </w:r>
      <w:r>
        <w:rPr>
          <w:rFonts w:ascii="Arial" w:eastAsia="Arial" w:hAnsi="Arial" w:cs="Arial"/>
          <w:color w:val="000000"/>
        </w:rPr>
        <w:t>.</w:t>
      </w:r>
    </w:p>
    <w:p w14:paraId="00000020"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It was reported that paracetamol metabolic protein adduct seems to cause disruption of </w:t>
      </w:r>
      <w:sdt>
        <w:sdtPr>
          <w:tag w:val="goog_rdk_9"/>
          <w:id w:val="230737214"/>
        </w:sdtPr>
        <w:sdtEndPr/>
        <w:sdtContent>
          <w:commentRangeStart w:id="10"/>
        </w:sdtContent>
      </w:sdt>
      <w:r>
        <w:t xml:space="preserve">     </w:t>
      </w:r>
      <w:r>
        <w:rPr>
          <w:rFonts w:ascii="Arial" w:eastAsia="Arial" w:hAnsi="Arial" w:cs="Arial"/>
          <w:color w:val="000000"/>
        </w:rPr>
        <w:t xml:space="preserve">ETC and thus formation of ROS </w:t>
      </w:r>
      <w:commentRangeEnd w:id="10"/>
      <w:r>
        <w:commentReference w:id="10"/>
      </w:r>
      <w:r>
        <w:rPr>
          <w:rFonts w:ascii="Arial" w:eastAsia="Arial" w:hAnsi="Arial" w:cs="Arial"/>
          <w:color w:val="000000"/>
        </w:rPr>
        <w:t>in mitochondr</w:t>
      </w:r>
      <w:r>
        <w:rPr>
          <w:rFonts w:ascii="Arial" w:eastAsia="Arial" w:hAnsi="Arial" w:cs="Arial"/>
          <w:color w:val="000000"/>
        </w:rPr>
        <w:t xml:space="preserve">ia </w:t>
      </w:r>
      <w:r>
        <w:rPr>
          <w:rFonts w:ascii="Arial" w:eastAsia="Arial" w:hAnsi="Arial" w:cs="Arial"/>
          <w:b/>
          <w:color w:val="000000"/>
        </w:rPr>
        <w:t>(</w:t>
      </w:r>
      <w:proofErr w:type="spellStart"/>
      <w:r>
        <w:rPr>
          <w:rFonts w:ascii="Arial" w:eastAsia="Arial" w:hAnsi="Arial" w:cs="Arial"/>
          <w:b/>
          <w:color w:val="000000"/>
        </w:rPr>
        <w:t>Jaeschke</w:t>
      </w:r>
      <w:proofErr w:type="spellEnd"/>
      <w:r>
        <w:rPr>
          <w:rFonts w:ascii="Arial" w:eastAsia="Arial" w:hAnsi="Arial" w:cs="Arial"/>
          <w:b/>
          <w:color w:val="000000"/>
        </w:rPr>
        <w:t xml:space="preserve"> et al., 2012; </w:t>
      </w:r>
      <w:proofErr w:type="spellStart"/>
      <w:r>
        <w:rPr>
          <w:rFonts w:ascii="Arial" w:eastAsia="Arial" w:hAnsi="Arial" w:cs="Arial"/>
          <w:b/>
          <w:color w:val="000000"/>
        </w:rPr>
        <w:t>Jaeschke</w:t>
      </w:r>
      <w:proofErr w:type="spellEnd"/>
      <w:r>
        <w:rPr>
          <w:rFonts w:ascii="Arial" w:eastAsia="Arial" w:hAnsi="Arial" w:cs="Arial"/>
          <w:b/>
          <w:color w:val="000000"/>
        </w:rPr>
        <w:t xml:space="preserve"> and Ramachandran, 2024)</w:t>
      </w:r>
      <w:r>
        <w:rPr>
          <w:rFonts w:ascii="Arial" w:eastAsia="Arial" w:hAnsi="Arial" w:cs="Arial"/>
          <w:color w:val="000000"/>
        </w:rPr>
        <w:t xml:space="preserve">. </w:t>
      </w:r>
      <w:sdt>
        <w:sdtPr>
          <w:tag w:val="goog_rdk_10"/>
          <w:id w:val="466016146"/>
        </w:sdtPr>
        <w:sdtEndPr/>
        <w:sdtContent>
          <w:commentRangeStart w:id="11"/>
        </w:sdtContent>
      </w:sdt>
      <w:r>
        <w:rPr>
          <w:rFonts w:ascii="Arial" w:eastAsia="Arial" w:hAnsi="Arial" w:cs="Arial"/>
          <w:color w:val="000000"/>
        </w:rPr>
        <w:t xml:space="preserve">The various outcome of paracetamol disposal is well documented; its chemical compounds or metabolites enter ecosystems through wastewater treatment plants </w:t>
      </w:r>
      <w:r>
        <w:rPr>
          <w:rFonts w:ascii="Arial" w:eastAsia="Arial" w:hAnsi="Arial" w:cs="Arial"/>
          <w:b/>
          <w:color w:val="000000"/>
        </w:rPr>
        <w:t>(</w:t>
      </w:r>
      <w:proofErr w:type="spellStart"/>
      <w:r>
        <w:rPr>
          <w:rFonts w:ascii="Arial" w:eastAsia="Arial" w:hAnsi="Arial" w:cs="Arial"/>
          <w:b/>
          <w:color w:val="000000"/>
        </w:rPr>
        <w:t>Reinstadler</w:t>
      </w:r>
      <w:proofErr w:type="spellEnd"/>
      <w:r>
        <w:rPr>
          <w:rFonts w:ascii="Arial" w:eastAsia="Arial" w:hAnsi="Arial" w:cs="Arial"/>
          <w:b/>
          <w:color w:val="000000"/>
        </w:rPr>
        <w:t xml:space="preserve"> et al., 2021)</w:t>
      </w:r>
      <w:r>
        <w:rPr>
          <w:rFonts w:ascii="Arial" w:eastAsia="Arial" w:hAnsi="Arial" w:cs="Arial"/>
          <w:color w:val="000000"/>
        </w:rPr>
        <w:t>.</w:t>
      </w:r>
      <w:commentRangeEnd w:id="11"/>
      <w:r>
        <w:commentReference w:id="11"/>
      </w:r>
    </w:p>
    <w:p w14:paraId="00000021"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It was found that the toxicity of p-aminophenol and p-benzoquinone (by products of paracetamol synthesis) is significantly greater than that of the drug itself, the potential environmental risks could increase during the formation of higher molecular weigh</w:t>
      </w:r>
      <w:r>
        <w:rPr>
          <w:rFonts w:ascii="Arial" w:eastAsia="Arial" w:hAnsi="Arial" w:cs="Arial"/>
          <w:color w:val="000000"/>
        </w:rPr>
        <w:t xml:space="preserve">t intermediates. These metabolites may accumulate and reach elevated concentrations </w:t>
      </w:r>
      <w:r>
        <w:rPr>
          <w:rFonts w:ascii="Arial" w:eastAsia="Arial" w:hAnsi="Arial" w:cs="Arial"/>
          <w:b/>
          <w:color w:val="000000"/>
        </w:rPr>
        <w:t>(</w:t>
      </w:r>
      <w:proofErr w:type="spellStart"/>
      <w:r>
        <w:rPr>
          <w:rFonts w:ascii="Arial" w:eastAsia="Arial" w:hAnsi="Arial" w:cs="Arial"/>
          <w:b/>
          <w:color w:val="000000"/>
        </w:rPr>
        <w:t>Chuanzhou</w:t>
      </w:r>
      <w:proofErr w:type="spellEnd"/>
      <w:r>
        <w:rPr>
          <w:rFonts w:ascii="Arial" w:eastAsia="Arial" w:hAnsi="Arial" w:cs="Arial"/>
          <w:b/>
          <w:color w:val="000000"/>
        </w:rPr>
        <w:t xml:space="preserve"> et al., 2016; </w:t>
      </w:r>
      <w:proofErr w:type="spellStart"/>
      <w:r>
        <w:rPr>
          <w:rFonts w:ascii="Arial" w:eastAsia="Arial" w:hAnsi="Arial" w:cs="Arial"/>
          <w:b/>
          <w:color w:val="000000"/>
        </w:rPr>
        <w:t>Chacón</w:t>
      </w:r>
      <w:proofErr w:type="spellEnd"/>
      <w:r>
        <w:rPr>
          <w:rFonts w:ascii="Arial" w:eastAsia="Arial" w:hAnsi="Arial" w:cs="Arial"/>
          <w:b/>
          <w:color w:val="000000"/>
        </w:rPr>
        <w:t xml:space="preserve"> et al., 2022)</w:t>
      </w:r>
      <w:r>
        <w:rPr>
          <w:rFonts w:ascii="Arial" w:eastAsia="Arial" w:hAnsi="Arial" w:cs="Arial"/>
          <w:color w:val="000000"/>
        </w:rPr>
        <w:t>.</w:t>
      </w:r>
    </w:p>
    <w:p w14:paraId="00000022" w14:textId="77777777" w:rsidR="00955C2D" w:rsidRDefault="00A60C06">
      <w:pPr>
        <w:pBdr>
          <w:top w:val="nil"/>
          <w:left w:val="nil"/>
          <w:bottom w:val="nil"/>
          <w:right w:val="nil"/>
          <w:between w:val="nil"/>
        </w:pBdr>
        <w:spacing w:after="240"/>
        <w:jc w:val="both"/>
        <w:rPr>
          <w:rFonts w:ascii="Arial" w:eastAsia="Arial" w:hAnsi="Arial" w:cs="Arial"/>
          <w:b/>
          <w:color w:val="000000"/>
        </w:rPr>
      </w:pPr>
      <w:sdt>
        <w:sdtPr>
          <w:tag w:val="goog_rdk_11"/>
          <w:id w:val="733289474"/>
        </w:sdtPr>
        <w:sdtEndPr/>
        <w:sdtContent>
          <w:commentRangeStart w:id="12"/>
        </w:sdtContent>
      </w:sdt>
      <w:r>
        <w:rPr>
          <w:rFonts w:ascii="Arial" w:eastAsia="Arial" w:hAnsi="Arial" w:cs="Arial"/>
          <w:color w:val="000000"/>
        </w:rPr>
        <w:t xml:space="preserve">Over the years, using </w:t>
      </w:r>
      <w:proofErr w:type="spellStart"/>
      <w:r>
        <w:rPr>
          <w:rFonts w:ascii="Arial" w:eastAsia="Arial" w:hAnsi="Arial" w:cs="Arial"/>
          <w:color w:val="000000"/>
        </w:rPr>
        <w:t>bioindicators</w:t>
      </w:r>
      <w:proofErr w:type="spellEnd"/>
      <w:r>
        <w:rPr>
          <w:rFonts w:ascii="Arial" w:eastAsia="Arial" w:hAnsi="Arial" w:cs="Arial"/>
          <w:color w:val="000000"/>
        </w:rPr>
        <w:t xml:space="preserve"> with </w:t>
      </w:r>
      <w:r>
        <w:rPr>
          <w:rFonts w:ascii="Arial" w:eastAsia="Arial" w:hAnsi="Arial" w:cs="Arial"/>
        </w:rPr>
        <w:t>plant</w:t>
      </w:r>
      <w:r>
        <w:rPr>
          <w:rFonts w:ascii="Arial" w:eastAsia="Arial" w:hAnsi="Arial" w:cs="Arial"/>
          <w:color w:val="000000"/>
        </w:rPr>
        <w:t xml:space="preserve"> seeds has been recognized as an effective scientific technique for assessing cytotoxicity, demonstrating high sensitivity and ease of cost. </w:t>
      </w:r>
      <w:commentRangeEnd w:id="12"/>
      <w:r>
        <w:commentReference w:id="12"/>
      </w:r>
      <w:r>
        <w:rPr>
          <w:rFonts w:ascii="Arial" w:eastAsia="Arial" w:hAnsi="Arial" w:cs="Arial"/>
          <w:color w:val="000000"/>
        </w:rPr>
        <w:t xml:space="preserve">This study evaluates the possible cytotoxic effects of Paracetamol using </w:t>
      </w:r>
      <w:r>
        <w:rPr>
          <w:rFonts w:ascii="Arial" w:eastAsia="Arial" w:hAnsi="Arial" w:cs="Arial"/>
          <w:i/>
          <w:color w:val="000000"/>
        </w:rPr>
        <w:t xml:space="preserve">Allium </w:t>
      </w:r>
      <w:proofErr w:type="spellStart"/>
      <w:r>
        <w:rPr>
          <w:rFonts w:ascii="Arial" w:eastAsia="Arial" w:hAnsi="Arial" w:cs="Arial"/>
          <w:i/>
          <w:color w:val="000000"/>
        </w:rPr>
        <w:t>cepa</w:t>
      </w:r>
      <w:proofErr w:type="spellEnd"/>
      <w:r>
        <w:rPr>
          <w:rFonts w:ascii="Arial" w:eastAsia="Arial" w:hAnsi="Arial" w:cs="Arial"/>
          <w:i/>
          <w:color w:val="000000"/>
        </w:rPr>
        <w:t xml:space="preserve"> </w:t>
      </w:r>
      <w:r>
        <w:rPr>
          <w:rFonts w:ascii="Arial" w:eastAsia="Arial" w:hAnsi="Arial" w:cs="Arial"/>
          <w:b/>
          <w:color w:val="000000"/>
        </w:rPr>
        <w:t>(</w:t>
      </w:r>
      <w:proofErr w:type="spellStart"/>
      <w:r>
        <w:rPr>
          <w:rFonts w:ascii="Arial" w:eastAsia="Arial" w:hAnsi="Arial" w:cs="Arial"/>
          <w:b/>
          <w:color w:val="000000"/>
        </w:rPr>
        <w:t>Javed</w:t>
      </w:r>
      <w:proofErr w:type="spellEnd"/>
      <w:r>
        <w:rPr>
          <w:rFonts w:ascii="Arial" w:eastAsia="Arial" w:hAnsi="Arial" w:cs="Arial"/>
          <w:b/>
          <w:color w:val="000000"/>
        </w:rPr>
        <w:t xml:space="preserve"> et al., 2011; </w:t>
      </w:r>
      <w:proofErr w:type="spellStart"/>
      <w:r>
        <w:rPr>
          <w:rFonts w:ascii="Arial" w:eastAsia="Arial" w:hAnsi="Arial" w:cs="Arial"/>
          <w:b/>
          <w:color w:val="000000"/>
        </w:rPr>
        <w:t>Leston</w:t>
      </w:r>
      <w:proofErr w:type="spellEnd"/>
      <w:r>
        <w:rPr>
          <w:rFonts w:ascii="Arial" w:eastAsia="Arial" w:hAnsi="Arial" w:cs="Arial"/>
          <w:b/>
          <w:color w:val="000000"/>
        </w:rPr>
        <w:t xml:space="preserve">, et al., 2013; </w:t>
      </w:r>
      <w:proofErr w:type="spellStart"/>
      <w:r>
        <w:rPr>
          <w:rFonts w:ascii="Arial" w:eastAsia="Arial" w:hAnsi="Arial" w:cs="Arial"/>
          <w:b/>
          <w:color w:val="000000"/>
        </w:rPr>
        <w:t>Özlem</w:t>
      </w:r>
      <w:proofErr w:type="spellEnd"/>
      <w:r>
        <w:rPr>
          <w:rFonts w:ascii="Arial" w:eastAsia="Arial" w:hAnsi="Arial" w:cs="Arial"/>
          <w:b/>
          <w:color w:val="000000"/>
        </w:rPr>
        <w:t xml:space="preserve">, 2017; </w:t>
      </w:r>
      <w:proofErr w:type="spellStart"/>
      <w:r>
        <w:rPr>
          <w:rFonts w:ascii="Arial" w:eastAsia="Arial" w:hAnsi="Arial" w:cs="Arial"/>
          <w:b/>
          <w:color w:val="000000"/>
        </w:rPr>
        <w:t>Azzazy</w:t>
      </w:r>
      <w:proofErr w:type="spellEnd"/>
      <w:r>
        <w:rPr>
          <w:rFonts w:ascii="Arial" w:eastAsia="Arial" w:hAnsi="Arial" w:cs="Arial"/>
          <w:b/>
          <w:color w:val="000000"/>
        </w:rPr>
        <w:t>, 2020; Sandra et al., 2020; Mercado et al., 2020).</w:t>
      </w:r>
    </w:p>
    <w:p w14:paraId="00000023" w14:textId="77777777" w:rsidR="00955C2D" w:rsidRDefault="00955C2D">
      <w:pPr>
        <w:pBdr>
          <w:top w:val="nil"/>
          <w:left w:val="nil"/>
          <w:bottom w:val="nil"/>
          <w:right w:val="nil"/>
          <w:between w:val="nil"/>
        </w:pBdr>
        <w:spacing w:after="240"/>
        <w:jc w:val="both"/>
        <w:rPr>
          <w:rFonts w:ascii="Arial" w:eastAsia="Arial" w:hAnsi="Arial" w:cs="Arial"/>
          <w:color w:val="000000"/>
        </w:rPr>
      </w:pPr>
    </w:p>
    <w:p w14:paraId="00000024" w14:textId="77777777" w:rsidR="00955C2D" w:rsidRDefault="00A60C06">
      <w:pPr>
        <w:pBdr>
          <w:top w:val="nil"/>
          <w:left w:val="nil"/>
          <w:bottom w:val="nil"/>
          <w:right w:val="nil"/>
          <w:between w:val="nil"/>
        </w:pBdr>
        <w:spacing w:after="240"/>
        <w:jc w:val="center"/>
        <w:rPr>
          <w:rFonts w:ascii="Arial" w:eastAsia="Arial" w:hAnsi="Arial" w:cs="Arial"/>
          <w:color w:val="000000"/>
        </w:rPr>
      </w:pPr>
      <w:r>
        <w:rPr>
          <w:rFonts w:ascii="Arial" w:eastAsia="Arial" w:hAnsi="Arial" w:cs="Arial"/>
          <w:noProof/>
          <w:color w:val="000000"/>
        </w:rPr>
        <w:lastRenderedPageBreak/>
        <w:drawing>
          <wp:inline distT="0" distB="0" distL="0" distR="0">
            <wp:extent cx="4205626" cy="2852315"/>
            <wp:effectExtent l="0" t="0" r="0" b="0"/>
            <wp:docPr id="166142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l="30035" t="13766" r="24205" b="16161"/>
                    <a:stretch>
                      <a:fillRect/>
                    </a:stretch>
                  </pic:blipFill>
                  <pic:spPr>
                    <a:xfrm>
                      <a:off x="0" y="0"/>
                      <a:ext cx="4205626" cy="2852315"/>
                    </a:xfrm>
                    <a:prstGeom prst="rect">
                      <a:avLst/>
                    </a:prstGeom>
                    <a:ln/>
                  </pic:spPr>
                </pic:pic>
              </a:graphicData>
            </a:graphic>
          </wp:inline>
        </w:drawing>
      </w:r>
    </w:p>
    <w:p w14:paraId="00000025" w14:textId="77777777" w:rsidR="00955C2D" w:rsidRDefault="00955C2D">
      <w:pPr>
        <w:pBdr>
          <w:top w:val="nil"/>
          <w:left w:val="nil"/>
          <w:bottom w:val="nil"/>
          <w:right w:val="nil"/>
          <w:between w:val="nil"/>
        </w:pBdr>
        <w:jc w:val="both"/>
        <w:rPr>
          <w:rFonts w:ascii="Arial" w:eastAsia="Arial" w:hAnsi="Arial" w:cs="Arial"/>
          <w:color w:val="000000"/>
        </w:rPr>
      </w:pPr>
    </w:p>
    <w:p w14:paraId="00000026" w14:textId="77777777" w:rsidR="00955C2D" w:rsidRDefault="00A60C0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14:paraId="00000027" w14:textId="77777777" w:rsidR="00955C2D" w:rsidRDefault="00955C2D">
      <w:pPr>
        <w:keepNext/>
        <w:pBdr>
          <w:top w:val="nil"/>
          <w:left w:val="nil"/>
          <w:bottom w:val="nil"/>
          <w:right w:val="nil"/>
          <w:between w:val="nil"/>
        </w:pBdr>
        <w:jc w:val="both"/>
        <w:rPr>
          <w:rFonts w:ascii="Arial" w:eastAsia="Arial" w:hAnsi="Arial" w:cs="Arial"/>
          <w:b/>
          <w:smallCaps/>
          <w:color w:val="000000"/>
          <w:sz w:val="22"/>
          <w:szCs w:val="22"/>
        </w:rPr>
      </w:pPr>
    </w:p>
    <w:p w14:paraId="00000028"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2.1. Collection of Plant Material:</w:t>
      </w:r>
    </w:p>
    <w:p w14:paraId="00000029"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onion bulbs were used as </w:t>
      </w:r>
      <w:proofErr w:type="spellStart"/>
      <w:r>
        <w:rPr>
          <w:rFonts w:ascii="Arial" w:eastAsia="Arial" w:hAnsi="Arial" w:cs="Arial"/>
          <w:color w:val="000000"/>
        </w:rPr>
        <w:t>bioindicators</w:t>
      </w:r>
      <w:proofErr w:type="spellEnd"/>
      <w:r>
        <w:rPr>
          <w:rFonts w:ascii="Arial" w:eastAsia="Arial" w:hAnsi="Arial" w:cs="Arial"/>
          <w:color w:val="000000"/>
        </w:rPr>
        <w:t xml:space="preserve"> to identify cytological changes. They were purchased from local market and were exposed to hydration to stimulate the cell growth so that root meristematic cells would elongate then they </w:t>
      </w:r>
      <w:sdt>
        <w:sdtPr>
          <w:tag w:val="goog_rdk_12"/>
          <w:id w:val="2079162580"/>
        </w:sdtPr>
        <w:sdtEndPr/>
        <w:sdtContent>
          <w:commentRangeStart w:id="13"/>
        </w:sdtContent>
      </w:sdt>
      <w:r>
        <w:rPr>
          <w:rFonts w:ascii="Arial" w:eastAsia="Arial" w:hAnsi="Arial" w:cs="Arial"/>
          <w:color w:val="000000"/>
        </w:rPr>
        <w:t>are subjected to the tre</w:t>
      </w:r>
      <w:r>
        <w:rPr>
          <w:rFonts w:ascii="Arial" w:eastAsia="Arial" w:hAnsi="Arial" w:cs="Arial"/>
          <w:color w:val="000000"/>
        </w:rPr>
        <w:t>atment</w:t>
      </w:r>
      <w:commentRangeEnd w:id="13"/>
      <w:r>
        <w:commentReference w:id="13"/>
      </w:r>
      <w:r>
        <w:rPr>
          <w:rFonts w:ascii="Arial" w:eastAsia="Arial" w:hAnsi="Arial" w:cs="Arial"/>
          <w:color w:val="000000"/>
        </w:rPr>
        <w:t>. Three treatments were carried out with the following Paracetamol concentration (500, 250, 125mgL</w:t>
      </w:r>
      <w:r>
        <w:rPr>
          <w:rFonts w:ascii="Arial" w:eastAsia="Arial" w:hAnsi="Arial" w:cs="Arial"/>
          <w:color w:val="000000"/>
          <w:vertAlign w:val="superscript"/>
        </w:rPr>
        <w:t>-1</w:t>
      </w:r>
      <w:r>
        <w:rPr>
          <w:rFonts w:ascii="Arial" w:eastAsia="Arial" w:hAnsi="Arial" w:cs="Arial"/>
          <w:color w:val="000000"/>
        </w:rPr>
        <w:t>) and a control (distilled water).</w:t>
      </w:r>
    </w:p>
    <w:p w14:paraId="0000002A"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2.2. Root Growth</w:t>
      </w:r>
    </w:p>
    <w:p w14:paraId="0000002B"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color w:val="000000"/>
        </w:rPr>
        <w:t xml:space="preserve">After 96hrs of exposure to each concentration, the root growth of </w:t>
      </w:r>
      <w:r>
        <w:rPr>
          <w:rFonts w:ascii="Arial" w:eastAsia="Arial" w:hAnsi="Arial" w:cs="Arial"/>
          <w:i/>
          <w:color w:val="000000"/>
        </w:rPr>
        <w:t xml:space="preserve">Allium </w:t>
      </w:r>
      <w:proofErr w:type="spellStart"/>
      <w:r>
        <w:rPr>
          <w:rFonts w:ascii="Arial" w:eastAsia="Arial" w:hAnsi="Arial" w:cs="Arial"/>
          <w:i/>
          <w:color w:val="000000"/>
        </w:rPr>
        <w:t>cepa</w:t>
      </w:r>
      <w:proofErr w:type="spellEnd"/>
      <w:r>
        <w:rPr>
          <w:rFonts w:ascii="Arial" w:eastAsia="Arial" w:hAnsi="Arial" w:cs="Arial"/>
          <w:color w:val="000000"/>
        </w:rPr>
        <w:t xml:space="preserve"> was evaluated. The bulb achieving a root length greater than 1mm were taken into account (modified procedure by </w:t>
      </w:r>
      <w:r>
        <w:rPr>
          <w:rFonts w:ascii="Arial" w:eastAsia="Arial" w:hAnsi="Arial" w:cs="Arial"/>
          <w:b/>
          <w:color w:val="000000"/>
        </w:rPr>
        <w:t>Salazar et al., 2020</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The relative root growth percentage, following formula was applied: </w:t>
      </w:r>
      <w:r>
        <w:rPr>
          <w:rFonts w:ascii="Arial" w:eastAsia="Arial" w:hAnsi="Arial" w:cs="Arial"/>
          <w:b/>
          <w:color w:val="000000"/>
        </w:rPr>
        <w:t>(Thijs, et al., 2019)</w:t>
      </w:r>
      <w:r>
        <w:rPr>
          <w:noProof/>
        </w:rPr>
        <mc:AlternateContent>
          <mc:Choice Requires="wpg">
            <w:drawing>
              <wp:anchor distT="0" distB="0" distL="0" distR="0" simplePos="0" relativeHeight="251656704" behindDoc="1" locked="0" layoutInCell="1" hidden="0" allowOverlap="1">
                <wp:simplePos x="0" y="0"/>
                <wp:positionH relativeFrom="column">
                  <wp:posOffset>368300</wp:posOffset>
                </wp:positionH>
                <wp:positionV relativeFrom="paragraph">
                  <wp:posOffset>444500</wp:posOffset>
                </wp:positionV>
                <wp:extent cx="5263417" cy="679664"/>
                <wp:effectExtent l="0" t="0" r="0" b="0"/>
                <wp:wrapNone/>
                <wp:docPr id="1661421028" name="Rectangle 1661421028"/>
                <wp:cNvGraphicFramePr/>
                <a:graphic xmlns:a="http://schemas.openxmlformats.org/drawingml/2006/main">
                  <a:graphicData uri="http://schemas.microsoft.com/office/word/2010/wordprocessingShape">
                    <wps:wsp>
                      <wps:cNvSpPr/>
                      <wps:spPr>
                        <a:xfrm>
                          <a:off x="2552000" y="3429163"/>
                          <a:ext cx="5588000" cy="701675"/>
                        </a:xfrm>
                        <a:prstGeom prst="rect">
                          <a:avLst/>
                        </a:prstGeom>
                        <a:solidFill>
                          <a:schemeClr val="lt1"/>
                        </a:solidFill>
                        <a:ln>
                          <a:noFill/>
                        </a:ln>
                      </wps:spPr>
                      <wps:txbx>
                        <w:txbxContent>
                          <w:p w14:paraId="143CE14D" w14:textId="77777777" w:rsidR="00955C2D" w:rsidRDefault="00955C2D">
                            <w:pPr>
                              <w:jc w:val="center"/>
                              <w:textDirection w:val="btLr"/>
                            </w:pPr>
                          </w:p>
                          <w:p w14:paraId="7E9BF919" w14:textId="77777777" w:rsidR="00955C2D" w:rsidRDefault="00A60C06">
                            <w:pPr>
                              <w:jc w:val="center"/>
                              <w:textDirection w:val="btLr"/>
                            </w:pPr>
                            <w:r>
                              <w:rPr>
                                <w:rFonts w:ascii="Arial" w:eastAsia="Arial" w:hAnsi="Arial" w:cs="Arial"/>
                                <w:b/>
                                <w:color w:val="000000"/>
                              </w:rPr>
                              <w:t xml:space="preserve">RRG% =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368300</wp:posOffset>
                </wp:positionH>
                <wp:positionV relativeFrom="paragraph">
                  <wp:posOffset>444500</wp:posOffset>
                </wp:positionV>
                <wp:extent cx="5263417" cy="679664"/>
                <wp:effectExtent b="0" l="0" r="0" t="0"/>
                <wp:wrapNone/>
                <wp:docPr id="166142102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263417" cy="679664"/>
                        </a:xfrm>
                        <a:prstGeom prst="rect"/>
                        <a:ln/>
                      </pic:spPr>
                    </pic:pic>
                  </a:graphicData>
                </a:graphic>
              </wp:anchor>
            </w:drawing>
          </mc:Fallback>
        </mc:AlternateContent>
      </w:r>
    </w:p>
    <w:p w14:paraId="0000002C" w14:textId="77777777" w:rsidR="00955C2D" w:rsidRDefault="00955C2D">
      <w:pPr>
        <w:pBdr>
          <w:top w:val="nil"/>
          <w:left w:val="nil"/>
          <w:bottom w:val="nil"/>
          <w:right w:val="nil"/>
          <w:between w:val="nil"/>
        </w:pBdr>
        <w:spacing w:after="240"/>
        <w:jc w:val="both"/>
        <w:rPr>
          <w:rFonts w:ascii="Arial" w:eastAsia="Arial" w:hAnsi="Arial" w:cs="Arial"/>
          <w:color w:val="000000"/>
        </w:rPr>
      </w:pPr>
    </w:p>
    <w:p w14:paraId="0000002D"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2E"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2.3. Mitotic ind</w:t>
      </w:r>
      <w:r>
        <w:rPr>
          <w:rFonts w:ascii="Arial" w:eastAsia="Arial" w:hAnsi="Arial" w:cs="Arial"/>
          <w:b/>
          <w:color w:val="000000"/>
        </w:rPr>
        <w:t>ex</w:t>
      </w:r>
    </w:p>
    <w:p w14:paraId="0000002F"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After treatment period (after 96hrs), slides were prepared by </w:t>
      </w:r>
      <w:proofErr w:type="spellStart"/>
      <w:r>
        <w:rPr>
          <w:rFonts w:ascii="Arial" w:eastAsia="Arial" w:hAnsi="Arial" w:cs="Arial"/>
          <w:color w:val="000000"/>
        </w:rPr>
        <w:t>Acetocarmine</w:t>
      </w:r>
      <w:proofErr w:type="spellEnd"/>
      <w:r>
        <w:rPr>
          <w:rFonts w:ascii="Arial" w:eastAsia="Arial" w:hAnsi="Arial" w:cs="Arial"/>
          <w:color w:val="000000"/>
        </w:rPr>
        <w:t xml:space="preserve"> squash preparation. Approximately 4000 cells were randomly analyzed in both control and treated group of onion bulbs. The mitotic index (MI) was determined to </w:t>
      </w:r>
      <w:sdt>
        <w:sdtPr>
          <w:tag w:val="goog_rdk_13"/>
          <w:id w:val="-2124447720"/>
        </w:sdtPr>
        <w:sdtEndPr/>
        <w:sdtContent>
          <w:commentRangeStart w:id="14"/>
        </w:sdtContent>
      </w:sdt>
      <w:r>
        <w:rPr>
          <w:rFonts w:ascii="Arial" w:eastAsia="Arial" w:hAnsi="Arial" w:cs="Arial"/>
          <w:color w:val="000000"/>
        </w:rPr>
        <w:t>assess the presen</w:t>
      </w:r>
      <w:r>
        <w:rPr>
          <w:rFonts w:ascii="Arial" w:eastAsia="Arial" w:hAnsi="Arial" w:cs="Arial"/>
          <w:color w:val="000000"/>
        </w:rPr>
        <w:t>ce or inhibition of cell division</w:t>
      </w:r>
      <w:commentRangeEnd w:id="14"/>
      <w:r>
        <w:commentReference w:id="14"/>
      </w:r>
      <w:r>
        <w:rPr>
          <w:rFonts w:ascii="Arial" w:eastAsia="Arial" w:hAnsi="Arial" w:cs="Arial"/>
          <w:color w:val="000000"/>
        </w:rPr>
        <w:t xml:space="preserve">. It is defined as the ratio of the no. of cells undergoing mitosis to the total no. of cells </w:t>
      </w:r>
      <w:r>
        <w:rPr>
          <w:rFonts w:ascii="Arial" w:eastAsia="Arial" w:hAnsi="Arial" w:cs="Arial"/>
          <w:b/>
          <w:color w:val="000000"/>
        </w:rPr>
        <w:t>(</w:t>
      </w:r>
      <w:proofErr w:type="spellStart"/>
      <w:r>
        <w:rPr>
          <w:rFonts w:ascii="Arial" w:eastAsia="Arial" w:hAnsi="Arial" w:cs="Arial"/>
          <w:b/>
          <w:color w:val="000000"/>
        </w:rPr>
        <w:t>Datta</w:t>
      </w:r>
      <w:proofErr w:type="spellEnd"/>
      <w:r>
        <w:rPr>
          <w:rFonts w:ascii="Arial" w:eastAsia="Arial" w:hAnsi="Arial" w:cs="Arial"/>
          <w:b/>
          <w:color w:val="000000"/>
        </w:rPr>
        <w:t xml:space="preserve"> et al., 2018)</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The following formula was used for the calculation:</w:t>
      </w:r>
    </w:p>
    <w:p w14:paraId="00000030"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w:t>
      </w:r>
      <w:r>
        <w:rPr>
          <w:noProof/>
        </w:rPr>
        <mc:AlternateContent>
          <mc:Choice Requires="wpg">
            <w:drawing>
              <wp:anchor distT="0" distB="0" distL="0" distR="0" simplePos="0" relativeHeight="251657728" behindDoc="1" locked="0" layoutInCell="1" hidden="0" allowOverlap="1">
                <wp:simplePos x="0" y="0"/>
                <wp:positionH relativeFrom="column">
                  <wp:posOffset>330200</wp:posOffset>
                </wp:positionH>
                <wp:positionV relativeFrom="paragraph">
                  <wp:posOffset>38100</wp:posOffset>
                </wp:positionV>
                <wp:extent cx="5361289" cy="466725"/>
                <wp:effectExtent l="0" t="0" r="0" b="0"/>
                <wp:wrapNone/>
                <wp:docPr id="1661421023" name="Rectangle 1661421023"/>
                <wp:cNvGraphicFramePr/>
                <a:graphic xmlns:a="http://schemas.openxmlformats.org/drawingml/2006/main">
                  <a:graphicData uri="http://schemas.microsoft.com/office/word/2010/wordprocessingShape">
                    <wps:wsp>
                      <wps:cNvSpPr/>
                      <wps:spPr>
                        <a:xfrm>
                          <a:off x="2670118" y="3551400"/>
                          <a:ext cx="5351764" cy="457200"/>
                        </a:xfrm>
                        <a:prstGeom prst="rect">
                          <a:avLst/>
                        </a:prstGeom>
                        <a:solidFill>
                          <a:schemeClr val="lt1"/>
                        </a:solidFill>
                        <a:ln>
                          <a:noFill/>
                        </a:ln>
                      </wps:spPr>
                      <wps:txbx>
                        <w:txbxContent>
                          <w:p w14:paraId="5ED56AB2" w14:textId="77777777" w:rsidR="00955C2D" w:rsidRDefault="00A60C06">
                            <w:pPr>
                              <w:jc w:val="center"/>
                              <w:textDirection w:val="btLr"/>
                            </w:pPr>
                            <w:r>
                              <w:rPr>
                                <w:rFonts w:ascii="Arial" w:eastAsia="Arial" w:hAnsi="Arial" w:cs="Arial"/>
                                <w:b/>
                                <w:color w:val="000000"/>
                              </w:rPr>
                              <w:t xml:space="preserve">Mitotic index (%) =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330200</wp:posOffset>
                </wp:positionH>
                <wp:positionV relativeFrom="paragraph">
                  <wp:posOffset>38100</wp:posOffset>
                </wp:positionV>
                <wp:extent cx="5361289" cy="466725"/>
                <wp:effectExtent b="0" l="0" r="0" t="0"/>
                <wp:wrapNone/>
                <wp:docPr id="16614210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61289" cy="466725"/>
                        </a:xfrm>
                        <a:prstGeom prst="rect"/>
                        <a:ln/>
                      </pic:spPr>
                    </pic:pic>
                  </a:graphicData>
                </a:graphic>
              </wp:anchor>
            </w:drawing>
          </mc:Fallback>
        </mc:AlternateContent>
      </w:r>
    </w:p>
    <w:p w14:paraId="00000031"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32"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2.4. Cell Abnormalities:</w:t>
      </w:r>
    </w:p>
    <w:p w14:paraId="00000033" w14:textId="77777777" w:rsidR="00955C2D" w:rsidRDefault="00A60C06">
      <w:pPr>
        <w:pBdr>
          <w:top w:val="nil"/>
          <w:left w:val="nil"/>
          <w:bottom w:val="nil"/>
          <w:right w:val="nil"/>
          <w:between w:val="nil"/>
        </w:pBdr>
        <w:spacing w:after="240"/>
        <w:jc w:val="both"/>
        <w:rPr>
          <w:rFonts w:ascii="Arial" w:eastAsia="Arial" w:hAnsi="Arial" w:cs="Arial"/>
          <w:b/>
          <w:color w:val="000000"/>
        </w:rPr>
      </w:pPr>
      <w:sdt>
        <w:sdtPr>
          <w:tag w:val="goog_rdk_14"/>
          <w:id w:val="2027283411"/>
        </w:sdtPr>
        <w:sdtEndPr/>
        <w:sdtContent>
          <w:commentRangeStart w:id="16"/>
        </w:sdtContent>
      </w:sdt>
      <w:r>
        <w:rPr>
          <w:rFonts w:ascii="Arial" w:eastAsia="Arial" w:hAnsi="Arial" w:cs="Arial"/>
          <w:color w:val="000000"/>
        </w:rPr>
        <w:t xml:space="preserve">Tests with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i/>
          <w:color w:val="000000"/>
        </w:rPr>
        <w:t xml:space="preserve"> </w:t>
      </w:r>
      <w:commentRangeEnd w:id="16"/>
      <w:r>
        <w:commentReference w:id="16"/>
      </w:r>
      <w:r>
        <w:rPr>
          <w:rFonts w:ascii="Arial" w:eastAsia="Arial" w:hAnsi="Arial" w:cs="Arial"/>
          <w:color w:val="000000"/>
        </w:rPr>
        <w:t xml:space="preserve">was conducted to assess the rate of abnormalities. The following formula applied in methodology outlined by Salazar &amp; Maldonado </w:t>
      </w:r>
      <w:proofErr w:type="spellStart"/>
      <w:r>
        <w:rPr>
          <w:rFonts w:ascii="Arial" w:eastAsia="Arial" w:hAnsi="Arial" w:cs="Arial"/>
          <w:color w:val="000000"/>
        </w:rPr>
        <w:t>Bayona</w:t>
      </w:r>
      <w:proofErr w:type="spellEnd"/>
      <w:r>
        <w:rPr>
          <w:rFonts w:ascii="Arial" w:eastAsia="Arial" w:hAnsi="Arial" w:cs="Arial"/>
          <w:color w:val="000000"/>
        </w:rPr>
        <w:t xml:space="preserve"> (2020)</w:t>
      </w:r>
      <w:r>
        <w:rPr>
          <w:rFonts w:ascii="Arial" w:eastAsia="Arial" w:hAnsi="Arial" w:cs="Arial"/>
          <w:b/>
          <w:color w:val="000000"/>
        </w:rPr>
        <w:t xml:space="preserve"> </w:t>
      </w:r>
      <w:r>
        <w:rPr>
          <w:rFonts w:ascii="Arial" w:eastAsia="Arial" w:hAnsi="Arial" w:cs="Arial"/>
          <w:color w:val="000000"/>
        </w:rPr>
        <w:t xml:space="preserve">was used: </w:t>
      </w:r>
      <w:r>
        <w:rPr>
          <w:rFonts w:ascii="Arial" w:eastAsia="Arial" w:hAnsi="Arial" w:cs="Arial"/>
          <w:b/>
          <w:color w:val="000000"/>
        </w:rPr>
        <w:t>(Salazar et al., 2020)</w:t>
      </w:r>
      <w:r>
        <w:rPr>
          <w:noProof/>
        </w:rPr>
        <mc:AlternateContent>
          <mc:Choice Requires="wpg">
            <w:drawing>
              <wp:anchor distT="0" distB="0" distL="0" distR="0" simplePos="0" relativeHeight="251658752" behindDoc="1" locked="0" layoutInCell="1" hidden="0" allowOverlap="1">
                <wp:simplePos x="0" y="0"/>
                <wp:positionH relativeFrom="column">
                  <wp:posOffset>495300</wp:posOffset>
                </wp:positionH>
                <wp:positionV relativeFrom="paragraph">
                  <wp:posOffset>330200</wp:posOffset>
                </wp:positionV>
                <wp:extent cx="4973320" cy="486410"/>
                <wp:effectExtent l="0" t="0" r="0" b="0"/>
                <wp:wrapNone/>
                <wp:docPr id="1661421024" name="Rectangle 1661421024"/>
                <wp:cNvGraphicFramePr/>
                <a:graphic xmlns:a="http://schemas.openxmlformats.org/drawingml/2006/main">
                  <a:graphicData uri="http://schemas.microsoft.com/office/word/2010/wordprocessingShape">
                    <wps:wsp>
                      <wps:cNvSpPr/>
                      <wps:spPr>
                        <a:xfrm>
                          <a:off x="2868865" y="3546320"/>
                          <a:ext cx="4954270" cy="467360"/>
                        </a:xfrm>
                        <a:prstGeom prst="rect">
                          <a:avLst/>
                        </a:prstGeom>
                        <a:noFill/>
                        <a:ln>
                          <a:noFill/>
                        </a:ln>
                      </wps:spPr>
                      <wps:txbx>
                        <w:txbxContent>
                          <w:p w14:paraId="7736B455" w14:textId="77777777" w:rsidR="00955C2D" w:rsidRDefault="00A60C06">
                            <w:pPr>
                              <w:spacing w:after="240"/>
                              <w:jc w:val="center"/>
                              <w:textDirection w:val="btLr"/>
                            </w:pPr>
                            <w:r>
                              <w:rPr>
                                <w:rFonts w:ascii="Arial" w:eastAsia="Arial" w:hAnsi="Arial" w:cs="Arial"/>
                                <w:b/>
                                <w:color w:val="000000"/>
                                <w:sz w:val="28"/>
                              </w:rPr>
                              <w:t xml:space="preserve">Relative Abnormality rate (%) =  </w:t>
                            </w:r>
                          </w:p>
                          <w:p w14:paraId="08B106EF" w14:textId="77777777" w:rsidR="00955C2D" w:rsidRDefault="00955C2D">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495300</wp:posOffset>
                </wp:positionH>
                <wp:positionV relativeFrom="paragraph">
                  <wp:posOffset>330200</wp:posOffset>
                </wp:positionV>
                <wp:extent cx="4973320" cy="486410"/>
                <wp:effectExtent b="0" l="0" r="0" t="0"/>
                <wp:wrapNone/>
                <wp:docPr id="16614210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973320" cy="486410"/>
                        </a:xfrm>
                        <a:prstGeom prst="rect"/>
                        <a:ln/>
                      </pic:spPr>
                    </pic:pic>
                  </a:graphicData>
                </a:graphic>
              </wp:anchor>
            </w:drawing>
          </mc:Fallback>
        </mc:AlternateContent>
      </w:r>
    </w:p>
    <w:p w14:paraId="00000034"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35"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2.5. Statistical Analysis:</w:t>
      </w:r>
    </w:p>
    <w:p w14:paraId="00000036" w14:textId="77777777" w:rsidR="00955C2D" w:rsidRDefault="00A60C0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data are expressed as mean S.E. and statistical analysis was performed by using t- test.</w:t>
      </w:r>
    </w:p>
    <w:p w14:paraId="00000037" w14:textId="77777777" w:rsidR="00955C2D" w:rsidRDefault="00955C2D">
      <w:pPr>
        <w:pBdr>
          <w:top w:val="nil"/>
          <w:left w:val="nil"/>
          <w:bottom w:val="nil"/>
          <w:right w:val="nil"/>
          <w:between w:val="nil"/>
        </w:pBdr>
        <w:jc w:val="both"/>
        <w:rPr>
          <w:rFonts w:ascii="Arial" w:eastAsia="Arial" w:hAnsi="Arial" w:cs="Arial"/>
          <w:color w:val="000000"/>
        </w:rPr>
      </w:pPr>
    </w:p>
    <w:p w14:paraId="00000038" w14:textId="77777777" w:rsidR="00955C2D" w:rsidRDefault="00A60C0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00000039" w14:textId="77777777" w:rsidR="00955C2D" w:rsidRDefault="00955C2D">
      <w:pPr>
        <w:keepNext/>
        <w:pBdr>
          <w:top w:val="nil"/>
          <w:left w:val="nil"/>
          <w:bottom w:val="nil"/>
          <w:right w:val="nil"/>
          <w:between w:val="nil"/>
        </w:pBdr>
        <w:jc w:val="both"/>
        <w:rPr>
          <w:rFonts w:ascii="Arial" w:eastAsia="Arial" w:hAnsi="Arial" w:cs="Arial"/>
          <w:b/>
          <w:smallCaps/>
          <w:color w:val="000000"/>
          <w:sz w:val="22"/>
          <w:szCs w:val="22"/>
        </w:rPr>
      </w:pPr>
    </w:p>
    <w:p w14:paraId="0000003A"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3.1. Root Growth:</w:t>
      </w:r>
    </w:p>
    <w:p w14:paraId="0000003B"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As mentioned above, that the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 xml:space="preserve"> bulbs were firstly exposed to hydration than they were subjected to </w:t>
      </w:r>
      <w:sdt>
        <w:sdtPr>
          <w:tag w:val="goog_rdk_15"/>
          <w:id w:val="348610572"/>
        </w:sdtPr>
        <w:sdtEndPr/>
        <w:sdtContent>
          <w:commentRangeStart w:id="17"/>
        </w:sdtContent>
      </w:sdt>
      <w:r>
        <w:rPr>
          <w:rFonts w:ascii="Arial" w:eastAsia="Arial" w:hAnsi="Arial" w:cs="Arial"/>
          <w:color w:val="000000"/>
        </w:rPr>
        <w:t>chemicals</w:t>
      </w:r>
      <w:commentRangeEnd w:id="17"/>
      <w:r>
        <w:commentReference w:id="17"/>
      </w:r>
      <w:r>
        <w:rPr>
          <w:rFonts w:ascii="Arial" w:eastAsia="Arial" w:hAnsi="Arial" w:cs="Arial"/>
          <w:color w:val="000000"/>
        </w:rPr>
        <w:t xml:space="preserve">, so some variations are possible. Consequently, the extent of impact will depend on the chemicals involved &amp; the duration of exposure </w:t>
      </w:r>
      <w:r>
        <w:rPr>
          <w:rFonts w:ascii="Arial" w:eastAsia="Arial" w:hAnsi="Arial" w:cs="Arial"/>
          <w:b/>
          <w:color w:val="000000"/>
        </w:rPr>
        <w:t>(Salazar et al., 2019)</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The relative growth of the roots of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 xml:space="preserve"> was influenced in each treatment, showing a significant decrease </w:t>
      </w:r>
      <w:r>
        <w:rPr>
          <w:rFonts w:ascii="Arial" w:eastAsia="Arial" w:hAnsi="Arial" w:cs="Arial"/>
          <w:b/>
          <w:color w:val="000000"/>
        </w:rPr>
        <w:t>(Table 1).</w:t>
      </w:r>
      <w:r>
        <w:rPr>
          <w:rFonts w:ascii="Arial" w:eastAsia="Arial" w:hAnsi="Arial" w:cs="Arial"/>
          <w:color w:val="000000"/>
        </w:rPr>
        <w:t xml:space="preserve"> This is because the roots are typically the first tissue exposed, where the toxicants inhibit their elongation &amp; proliferation, ultimate</w:t>
      </w:r>
      <w:r>
        <w:rPr>
          <w:rFonts w:ascii="Arial" w:eastAsia="Arial" w:hAnsi="Arial" w:cs="Arial"/>
          <w:color w:val="000000"/>
        </w:rPr>
        <w:t xml:space="preserve">ly comprising the plant’s growth &amp; reproductive potential </w:t>
      </w:r>
      <w:r>
        <w:rPr>
          <w:rFonts w:ascii="Arial" w:eastAsia="Arial" w:hAnsi="Arial" w:cs="Arial"/>
          <w:b/>
          <w:color w:val="000000"/>
        </w:rPr>
        <w:t>(</w:t>
      </w:r>
      <w:proofErr w:type="spellStart"/>
      <w:r>
        <w:rPr>
          <w:rFonts w:ascii="Arial" w:eastAsia="Arial" w:hAnsi="Arial" w:cs="Arial"/>
          <w:b/>
          <w:color w:val="000000"/>
        </w:rPr>
        <w:t>Talukdar</w:t>
      </w:r>
      <w:proofErr w:type="spellEnd"/>
      <w:r>
        <w:rPr>
          <w:rFonts w:ascii="Arial" w:eastAsia="Arial" w:hAnsi="Arial" w:cs="Arial"/>
          <w:b/>
          <w:color w:val="000000"/>
        </w:rPr>
        <w:t xml:space="preserve"> and </w:t>
      </w:r>
      <w:proofErr w:type="spellStart"/>
      <w:r>
        <w:rPr>
          <w:rFonts w:ascii="Arial" w:eastAsia="Arial" w:hAnsi="Arial" w:cs="Arial"/>
          <w:b/>
          <w:color w:val="000000"/>
        </w:rPr>
        <w:t>Talukdar</w:t>
      </w:r>
      <w:proofErr w:type="spellEnd"/>
      <w:r>
        <w:rPr>
          <w:rFonts w:ascii="Arial" w:eastAsia="Arial" w:hAnsi="Arial" w:cs="Arial"/>
          <w:b/>
          <w:color w:val="000000"/>
        </w:rPr>
        <w:t>, 2014)</w:t>
      </w:r>
      <w:r>
        <w:rPr>
          <w:rFonts w:ascii="Arial" w:eastAsia="Arial" w:hAnsi="Arial" w:cs="Arial"/>
          <w:color w:val="000000"/>
        </w:rPr>
        <w:t>.</w:t>
      </w:r>
    </w:p>
    <w:tbl>
      <w:tblPr>
        <w:tblStyle w:val="a3"/>
        <w:tblW w:w="901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005"/>
        <w:gridCol w:w="3005"/>
        <w:gridCol w:w="3006"/>
      </w:tblGrid>
      <w:tr w:rsidR="00955C2D" w14:paraId="1FB2C878" w14:textId="77777777" w:rsidTr="00955C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0000003C"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Paracetamol Concentration (mgL</w:t>
            </w:r>
            <w:r>
              <w:rPr>
                <w:rFonts w:ascii="Arial" w:eastAsia="Arial" w:hAnsi="Arial" w:cs="Arial"/>
                <w:b w:val="0"/>
                <w:color w:val="000000"/>
                <w:sz w:val="20"/>
                <w:szCs w:val="20"/>
                <w:vertAlign w:val="superscript"/>
              </w:rPr>
              <w:t>-1</w:t>
            </w:r>
            <w:r>
              <w:rPr>
                <w:rFonts w:ascii="Arial" w:eastAsia="Arial" w:hAnsi="Arial" w:cs="Arial"/>
                <w:b w:val="0"/>
                <w:color w:val="000000"/>
                <w:sz w:val="20"/>
                <w:szCs w:val="20"/>
              </w:rPr>
              <w:t>)</w:t>
            </w:r>
          </w:p>
        </w:tc>
        <w:tc>
          <w:tcPr>
            <w:tcW w:w="3005" w:type="dxa"/>
          </w:tcPr>
          <w:p w14:paraId="0000003D"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Root Length (cm)</w:t>
            </w:r>
          </w:p>
          <w:p w14:paraId="0000003E"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i/>
                <w:color w:val="000000"/>
                <w:sz w:val="20"/>
                <w:szCs w:val="20"/>
              </w:rPr>
              <w:t xml:space="preserve">A. </w:t>
            </w:r>
            <w:proofErr w:type="spellStart"/>
            <w:r>
              <w:rPr>
                <w:rFonts w:ascii="Arial" w:eastAsia="Arial" w:hAnsi="Arial" w:cs="Arial"/>
                <w:b w:val="0"/>
                <w:i/>
                <w:color w:val="000000"/>
                <w:sz w:val="20"/>
                <w:szCs w:val="20"/>
              </w:rPr>
              <w:t>cepa</w:t>
            </w:r>
            <w:proofErr w:type="spellEnd"/>
          </w:p>
        </w:tc>
        <w:tc>
          <w:tcPr>
            <w:tcW w:w="3006" w:type="dxa"/>
          </w:tcPr>
          <w:p w14:paraId="0000003F"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Relative Root Growth Percentage (RRG)</w:t>
            </w:r>
          </w:p>
          <w:p w14:paraId="00000040"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color w:val="000000"/>
                <w:sz w:val="20"/>
                <w:szCs w:val="20"/>
              </w:rPr>
            </w:pPr>
            <w:r>
              <w:rPr>
                <w:rFonts w:ascii="Arial" w:eastAsia="Arial" w:hAnsi="Arial" w:cs="Arial"/>
                <w:b w:val="0"/>
                <w:i/>
                <w:color w:val="000000"/>
                <w:sz w:val="20"/>
                <w:szCs w:val="20"/>
              </w:rPr>
              <w:t xml:space="preserve">A. </w:t>
            </w:r>
            <w:proofErr w:type="spellStart"/>
            <w:r>
              <w:rPr>
                <w:rFonts w:ascii="Arial" w:eastAsia="Arial" w:hAnsi="Arial" w:cs="Arial"/>
                <w:b w:val="0"/>
                <w:i/>
                <w:color w:val="000000"/>
                <w:sz w:val="20"/>
                <w:szCs w:val="20"/>
              </w:rPr>
              <w:t>cepa</w:t>
            </w:r>
            <w:proofErr w:type="spellEnd"/>
          </w:p>
        </w:tc>
      </w:tr>
      <w:tr w:rsidR="00955C2D" w14:paraId="28C179D7" w14:textId="77777777" w:rsidTr="00955C2D">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00000041"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Control</w:t>
            </w:r>
          </w:p>
        </w:tc>
        <w:tc>
          <w:tcPr>
            <w:tcW w:w="3005" w:type="dxa"/>
          </w:tcPr>
          <w:p w14:paraId="00000042"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5.74 </w:t>
            </w:r>
            <m:oMath>
              <m:r>
                <w:rPr>
                  <w:rFonts w:ascii="Cambria Math" w:hAnsi="Cambria Math"/>
                </w:rPr>
                <m:t>±</m:t>
              </m:r>
            </m:oMath>
            <w:r>
              <w:rPr>
                <w:rFonts w:ascii="Arial" w:eastAsia="Arial" w:hAnsi="Arial" w:cs="Arial"/>
                <w:color w:val="000000"/>
                <w:sz w:val="20"/>
                <w:szCs w:val="20"/>
              </w:rPr>
              <w:t xml:space="preserve"> 0.27</w:t>
            </w:r>
          </w:p>
        </w:tc>
        <w:tc>
          <w:tcPr>
            <w:tcW w:w="3006" w:type="dxa"/>
          </w:tcPr>
          <w:p w14:paraId="00000043"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w:t>
            </w:r>
          </w:p>
        </w:tc>
      </w:tr>
      <w:tr w:rsidR="00955C2D" w14:paraId="216BEEB5" w14:textId="77777777" w:rsidTr="00955C2D">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00000044"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125mgL</w:t>
            </w:r>
            <w:r>
              <w:rPr>
                <w:rFonts w:ascii="Arial" w:eastAsia="Arial" w:hAnsi="Arial" w:cs="Arial"/>
                <w:b w:val="0"/>
                <w:color w:val="000000"/>
                <w:sz w:val="20"/>
                <w:szCs w:val="20"/>
                <w:vertAlign w:val="superscript"/>
              </w:rPr>
              <w:t>-1</w:t>
            </w:r>
          </w:p>
        </w:tc>
        <w:tc>
          <w:tcPr>
            <w:tcW w:w="3005" w:type="dxa"/>
          </w:tcPr>
          <w:p w14:paraId="00000045"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3.88 </w:t>
            </w:r>
            <m:oMath>
              <m:r>
                <w:rPr>
                  <w:rFonts w:ascii="Cambria Math" w:hAnsi="Cambria Math"/>
                </w:rPr>
                <m:t>±</m:t>
              </m:r>
            </m:oMath>
            <w:r>
              <w:rPr>
                <w:rFonts w:ascii="Arial" w:eastAsia="Arial" w:hAnsi="Arial" w:cs="Arial"/>
                <w:color w:val="000000"/>
                <w:sz w:val="20"/>
                <w:szCs w:val="20"/>
              </w:rPr>
              <w:t xml:space="preserve"> 0.2</w:t>
            </w:r>
          </w:p>
        </w:tc>
        <w:tc>
          <w:tcPr>
            <w:tcW w:w="3006" w:type="dxa"/>
          </w:tcPr>
          <w:p w14:paraId="00000046"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67.59</w:t>
            </w:r>
          </w:p>
        </w:tc>
      </w:tr>
      <w:tr w:rsidR="00955C2D" w14:paraId="44B15D6C" w14:textId="77777777" w:rsidTr="00955C2D">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00000047"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250mgL</w:t>
            </w:r>
            <w:r>
              <w:rPr>
                <w:rFonts w:ascii="Arial" w:eastAsia="Arial" w:hAnsi="Arial" w:cs="Arial"/>
                <w:b w:val="0"/>
                <w:color w:val="000000"/>
                <w:sz w:val="20"/>
                <w:szCs w:val="20"/>
                <w:vertAlign w:val="superscript"/>
              </w:rPr>
              <w:t>-1</w:t>
            </w:r>
          </w:p>
        </w:tc>
        <w:tc>
          <w:tcPr>
            <w:tcW w:w="3005" w:type="dxa"/>
          </w:tcPr>
          <w:p w14:paraId="00000048"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2.47 </w:t>
            </w:r>
            <m:oMath>
              <m:r>
                <w:rPr>
                  <w:rFonts w:ascii="Cambria Math" w:hAnsi="Cambria Math"/>
                </w:rPr>
                <m:t>±</m:t>
              </m:r>
            </m:oMath>
            <w:r>
              <w:rPr>
                <w:rFonts w:ascii="Arial" w:eastAsia="Arial" w:hAnsi="Arial" w:cs="Arial"/>
                <w:color w:val="000000"/>
                <w:sz w:val="20"/>
                <w:szCs w:val="20"/>
              </w:rPr>
              <w:t xml:space="preserve"> 0.21</w:t>
            </w:r>
          </w:p>
        </w:tc>
        <w:tc>
          <w:tcPr>
            <w:tcW w:w="3006" w:type="dxa"/>
          </w:tcPr>
          <w:p w14:paraId="00000049"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43.03</w:t>
            </w:r>
          </w:p>
        </w:tc>
      </w:tr>
      <w:tr w:rsidR="00955C2D" w14:paraId="6359DB40" w14:textId="77777777" w:rsidTr="00955C2D">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0000004A"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500mgL</w:t>
            </w:r>
            <w:r>
              <w:rPr>
                <w:rFonts w:ascii="Arial" w:eastAsia="Arial" w:hAnsi="Arial" w:cs="Arial"/>
                <w:b w:val="0"/>
                <w:color w:val="000000"/>
                <w:sz w:val="20"/>
                <w:szCs w:val="20"/>
                <w:vertAlign w:val="superscript"/>
              </w:rPr>
              <w:t>-1</w:t>
            </w:r>
          </w:p>
        </w:tc>
        <w:tc>
          <w:tcPr>
            <w:tcW w:w="3005" w:type="dxa"/>
          </w:tcPr>
          <w:p w14:paraId="0000004B"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1.58 </w:t>
            </w:r>
            <m:oMath>
              <m:r>
                <w:rPr>
                  <w:rFonts w:ascii="Cambria Math" w:hAnsi="Cambria Math"/>
                </w:rPr>
                <m:t>±</m:t>
              </m:r>
            </m:oMath>
            <w:r>
              <w:rPr>
                <w:rFonts w:ascii="Arial" w:eastAsia="Arial" w:hAnsi="Arial" w:cs="Arial"/>
                <w:color w:val="000000"/>
                <w:sz w:val="20"/>
                <w:szCs w:val="20"/>
              </w:rPr>
              <w:t xml:space="preserve"> 0.13</w:t>
            </w:r>
          </w:p>
        </w:tc>
        <w:tc>
          <w:tcPr>
            <w:tcW w:w="3006" w:type="dxa"/>
          </w:tcPr>
          <w:p w14:paraId="0000004C"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27.52</w:t>
            </w:r>
          </w:p>
        </w:tc>
      </w:tr>
    </w:tbl>
    <w:p w14:paraId="0000004D" w14:textId="77777777" w:rsidR="00955C2D" w:rsidRDefault="00A60C0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Table 1: Root Growth &amp; Relative Growth Percentage of Allium </w:t>
      </w:r>
      <w:proofErr w:type="spellStart"/>
      <w:r>
        <w:rPr>
          <w:rFonts w:ascii="Arial" w:eastAsia="Arial" w:hAnsi="Arial" w:cs="Arial"/>
          <w:b/>
          <w:color w:val="000000"/>
        </w:rPr>
        <w:t>cepa</w:t>
      </w:r>
      <w:proofErr w:type="spellEnd"/>
    </w:p>
    <w:p w14:paraId="0000004E" w14:textId="77777777" w:rsidR="00955C2D" w:rsidRDefault="00955C2D">
      <w:pPr>
        <w:pBdr>
          <w:top w:val="nil"/>
          <w:left w:val="nil"/>
          <w:bottom w:val="nil"/>
          <w:right w:val="nil"/>
          <w:between w:val="nil"/>
        </w:pBdr>
        <w:jc w:val="both"/>
        <w:rPr>
          <w:rFonts w:ascii="Arial" w:eastAsia="Arial" w:hAnsi="Arial" w:cs="Arial"/>
          <w:color w:val="000000"/>
        </w:rPr>
      </w:pPr>
    </w:p>
    <w:p w14:paraId="0000004F" w14:textId="77777777" w:rsidR="00955C2D" w:rsidRDefault="00A60C06">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Other studies have shown similar statistically significant findings in radicle elongation, demonstrating that the degree of root inhibition is directly proportional to paracetamol concentration.</w:t>
      </w:r>
    </w:p>
    <w:p w14:paraId="00000050"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51"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 xml:space="preserve">3.2. Mitotic index &amp; Mitotic inhibition: </w:t>
      </w:r>
    </w:p>
    <w:p w14:paraId="00000052"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mitotic index (MI) is a quantitative measure used to evaluate cell division in an organism </w:t>
      </w:r>
      <w:r>
        <w:rPr>
          <w:rFonts w:ascii="Arial" w:eastAsia="Arial" w:hAnsi="Arial" w:cs="Arial"/>
          <w:b/>
          <w:color w:val="000000"/>
        </w:rPr>
        <w:t>(Kato and Haskins, 2022)</w:t>
      </w:r>
      <w:r>
        <w:rPr>
          <w:rFonts w:ascii="Arial" w:eastAsia="Arial" w:hAnsi="Arial" w:cs="Arial"/>
          <w:color w:val="000000"/>
        </w:rPr>
        <w:t xml:space="preserve">. Thus, if the MI is lower than that of the control treatment, it indicates that the drug is impacting mitosis. </w:t>
      </w:r>
    </w:p>
    <w:tbl>
      <w:tblPr>
        <w:tblStyle w:val="a4"/>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005"/>
        <w:gridCol w:w="3005"/>
        <w:gridCol w:w="3006"/>
      </w:tblGrid>
      <w:tr w:rsidR="00955C2D" w14:paraId="093D14B3" w14:textId="77777777" w:rsidTr="00955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0000053"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Paracetamol Concentratio</w:t>
            </w:r>
            <w:r>
              <w:rPr>
                <w:rFonts w:ascii="Arial" w:eastAsia="Arial" w:hAnsi="Arial" w:cs="Arial"/>
                <w:b w:val="0"/>
                <w:color w:val="000000"/>
                <w:sz w:val="20"/>
                <w:szCs w:val="20"/>
              </w:rPr>
              <w:t>n (mgL</w:t>
            </w:r>
            <w:r>
              <w:rPr>
                <w:rFonts w:ascii="Arial" w:eastAsia="Arial" w:hAnsi="Arial" w:cs="Arial"/>
                <w:b w:val="0"/>
                <w:color w:val="000000"/>
                <w:sz w:val="20"/>
                <w:szCs w:val="20"/>
                <w:vertAlign w:val="superscript"/>
              </w:rPr>
              <w:t>-1</w:t>
            </w:r>
            <w:r>
              <w:rPr>
                <w:rFonts w:ascii="Arial" w:eastAsia="Arial" w:hAnsi="Arial" w:cs="Arial"/>
                <w:b w:val="0"/>
                <w:color w:val="000000"/>
                <w:sz w:val="20"/>
                <w:szCs w:val="20"/>
              </w:rPr>
              <w:t>)</w:t>
            </w:r>
          </w:p>
        </w:tc>
        <w:tc>
          <w:tcPr>
            <w:tcW w:w="3005" w:type="dxa"/>
          </w:tcPr>
          <w:p w14:paraId="00000054"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Mitotic index (MI)</w:t>
            </w:r>
          </w:p>
          <w:p w14:paraId="00000055"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i/>
                <w:color w:val="000000"/>
                <w:sz w:val="20"/>
                <w:szCs w:val="20"/>
              </w:rPr>
              <w:t xml:space="preserve">A. </w:t>
            </w:r>
            <w:proofErr w:type="spellStart"/>
            <w:r>
              <w:rPr>
                <w:rFonts w:ascii="Arial" w:eastAsia="Arial" w:hAnsi="Arial" w:cs="Arial"/>
                <w:b w:val="0"/>
                <w:i/>
                <w:color w:val="000000"/>
                <w:sz w:val="20"/>
                <w:szCs w:val="20"/>
              </w:rPr>
              <w:t>cepa</w:t>
            </w:r>
            <w:proofErr w:type="spellEnd"/>
          </w:p>
        </w:tc>
        <w:tc>
          <w:tcPr>
            <w:tcW w:w="3006" w:type="dxa"/>
          </w:tcPr>
          <w:p w14:paraId="00000056"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 xml:space="preserve">Mitosis inhibition </w:t>
            </w:r>
            <w:r>
              <w:rPr>
                <w:rFonts w:ascii="Arial" w:eastAsia="Arial" w:hAnsi="Arial" w:cs="Arial"/>
                <w:b w:val="0"/>
                <w:color w:val="000000"/>
                <w:sz w:val="20"/>
                <w:szCs w:val="20"/>
              </w:rPr>
              <w:br/>
              <w:t>(%)</w:t>
            </w:r>
          </w:p>
          <w:p w14:paraId="00000057"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color w:val="000000"/>
                <w:sz w:val="20"/>
                <w:szCs w:val="20"/>
              </w:rPr>
            </w:pPr>
            <w:r>
              <w:rPr>
                <w:rFonts w:ascii="Arial" w:eastAsia="Arial" w:hAnsi="Arial" w:cs="Arial"/>
                <w:b w:val="0"/>
                <w:i/>
                <w:color w:val="000000"/>
                <w:sz w:val="20"/>
                <w:szCs w:val="20"/>
              </w:rPr>
              <w:t xml:space="preserve">A. </w:t>
            </w:r>
            <w:proofErr w:type="spellStart"/>
            <w:r>
              <w:rPr>
                <w:rFonts w:ascii="Arial" w:eastAsia="Arial" w:hAnsi="Arial" w:cs="Arial"/>
                <w:b w:val="0"/>
                <w:i/>
                <w:color w:val="000000"/>
                <w:sz w:val="20"/>
                <w:szCs w:val="20"/>
              </w:rPr>
              <w:t>cepa</w:t>
            </w:r>
            <w:proofErr w:type="spellEnd"/>
          </w:p>
        </w:tc>
      </w:tr>
      <w:tr w:rsidR="00955C2D" w14:paraId="074FC077" w14:textId="77777777" w:rsidTr="00955C2D">
        <w:tc>
          <w:tcPr>
            <w:cnfStyle w:val="001000000000" w:firstRow="0" w:lastRow="0" w:firstColumn="1" w:lastColumn="0" w:oddVBand="0" w:evenVBand="0" w:oddHBand="0" w:evenHBand="0" w:firstRowFirstColumn="0" w:firstRowLastColumn="0" w:lastRowFirstColumn="0" w:lastRowLastColumn="0"/>
            <w:tcW w:w="3005" w:type="dxa"/>
          </w:tcPr>
          <w:p w14:paraId="00000058"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Control</w:t>
            </w:r>
          </w:p>
        </w:tc>
        <w:tc>
          <w:tcPr>
            <w:tcW w:w="3005" w:type="dxa"/>
          </w:tcPr>
          <w:p w14:paraId="00000059"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16.46 </w:t>
            </w:r>
            <m:oMath>
              <m:r>
                <w:rPr>
                  <w:rFonts w:ascii="Cambria Math" w:hAnsi="Cambria Math"/>
                </w:rPr>
                <m:t>±</m:t>
              </m:r>
            </m:oMath>
            <w:r>
              <w:rPr>
                <w:rFonts w:ascii="Arial" w:eastAsia="Arial" w:hAnsi="Arial" w:cs="Arial"/>
                <w:color w:val="000000"/>
                <w:sz w:val="20"/>
                <w:szCs w:val="20"/>
              </w:rPr>
              <w:t xml:space="preserve"> 0.81</w:t>
            </w:r>
          </w:p>
        </w:tc>
        <w:tc>
          <w:tcPr>
            <w:tcW w:w="3006" w:type="dxa"/>
          </w:tcPr>
          <w:p w14:paraId="0000005A"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w:t>
            </w:r>
          </w:p>
        </w:tc>
      </w:tr>
      <w:tr w:rsidR="00955C2D" w14:paraId="199759DE" w14:textId="77777777" w:rsidTr="00955C2D">
        <w:tc>
          <w:tcPr>
            <w:cnfStyle w:val="001000000000" w:firstRow="0" w:lastRow="0" w:firstColumn="1" w:lastColumn="0" w:oddVBand="0" w:evenVBand="0" w:oddHBand="0" w:evenHBand="0" w:firstRowFirstColumn="0" w:firstRowLastColumn="0" w:lastRowFirstColumn="0" w:lastRowLastColumn="0"/>
            <w:tcW w:w="3005" w:type="dxa"/>
          </w:tcPr>
          <w:p w14:paraId="0000005B"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lastRenderedPageBreak/>
              <w:t>125mgL</w:t>
            </w:r>
            <w:r>
              <w:rPr>
                <w:rFonts w:ascii="Arial" w:eastAsia="Arial" w:hAnsi="Arial" w:cs="Arial"/>
                <w:b w:val="0"/>
                <w:color w:val="000000"/>
                <w:sz w:val="20"/>
                <w:szCs w:val="20"/>
                <w:vertAlign w:val="superscript"/>
              </w:rPr>
              <w:t>-1</w:t>
            </w:r>
          </w:p>
        </w:tc>
        <w:tc>
          <w:tcPr>
            <w:tcW w:w="3005" w:type="dxa"/>
          </w:tcPr>
          <w:p w14:paraId="0000005C"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11.57 </w:t>
            </w:r>
            <m:oMath>
              <m:r>
                <w:rPr>
                  <w:rFonts w:ascii="Cambria Math" w:hAnsi="Cambria Math"/>
                </w:rPr>
                <m:t>±</m:t>
              </m:r>
            </m:oMath>
            <w:r>
              <w:rPr>
                <w:rFonts w:ascii="Arial" w:eastAsia="Arial" w:hAnsi="Arial" w:cs="Arial"/>
                <w:color w:val="000000"/>
                <w:sz w:val="20"/>
                <w:szCs w:val="20"/>
              </w:rPr>
              <w:t xml:space="preserve"> 0.7</w:t>
            </w:r>
          </w:p>
        </w:tc>
        <w:tc>
          <w:tcPr>
            <w:tcW w:w="3006" w:type="dxa"/>
          </w:tcPr>
          <w:p w14:paraId="0000005D"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29.70</w:t>
            </w:r>
          </w:p>
        </w:tc>
      </w:tr>
      <w:tr w:rsidR="00955C2D" w14:paraId="5E5F5BCF" w14:textId="77777777" w:rsidTr="00955C2D">
        <w:tc>
          <w:tcPr>
            <w:cnfStyle w:val="001000000000" w:firstRow="0" w:lastRow="0" w:firstColumn="1" w:lastColumn="0" w:oddVBand="0" w:evenVBand="0" w:oddHBand="0" w:evenHBand="0" w:firstRowFirstColumn="0" w:firstRowLastColumn="0" w:lastRowFirstColumn="0" w:lastRowLastColumn="0"/>
            <w:tcW w:w="3005" w:type="dxa"/>
          </w:tcPr>
          <w:p w14:paraId="0000005E"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250mgL</w:t>
            </w:r>
            <w:r>
              <w:rPr>
                <w:rFonts w:ascii="Arial" w:eastAsia="Arial" w:hAnsi="Arial" w:cs="Arial"/>
                <w:b w:val="0"/>
                <w:color w:val="000000"/>
                <w:sz w:val="20"/>
                <w:szCs w:val="20"/>
                <w:vertAlign w:val="superscript"/>
              </w:rPr>
              <w:t>-1</w:t>
            </w:r>
          </w:p>
        </w:tc>
        <w:tc>
          <w:tcPr>
            <w:tcW w:w="3005" w:type="dxa"/>
          </w:tcPr>
          <w:p w14:paraId="0000005F"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10.82 </w:t>
            </w:r>
            <m:oMath>
              <m:r>
                <w:rPr>
                  <w:rFonts w:ascii="Cambria Math" w:hAnsi="Cambria Math"/>
                </w:rPr>
                <m:t>±</m:t>
              </m:r>
            </m:oMath>
            <w:r>
              <w:rPr>
                <w:rFonts w:ascii="Arial" w:eastAsia="Arial" w:hAnsi="Arial" w:cs="Arial"/>
                <w:color w:val="000000"/>
                <w:sz w:val="20"/>
                <w:szCs w:val="20"/>
              </w:rPr>
              <w:t xml:space="preserve"> 0.63</w:t>
            </w:r>
          </w:p>
        </w:tc>
        <w:tc>
          <w:tcPr>
            <w:tcW w:w="3006" w:type="dxa"/>
          </w:tcPr>
          <w:p w14:paraId="00000060"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34.26</w:t>
            </w:r>
          </w:p>
        </w:tc>
      </w:tr>
      <w:tr w:rsidR="00955C2D" w14:paraId="0B51FCF4" w14:textId="77777777" w:rsidTr="00955C2D">
        <w:tc>
          <w:tcPr>
            <w:cnfStyle w:val="001000000000" w:firstRow="0" w:lastRow="0" w:firstColumn="1" w:lastColumn="0" w:oddVBand="0" w:evenVBand="0" w:oddHBand="0" w:evenHBand="0" w:firstRowFirstColumn="0" w:firstRowLastColumn="0" w:lastRowFirstColumn="0" w:lastRowLastColumn="0"/>
            <w:tcW w:w="3005" w:type="dxa"/>
          </w:tcPr>
          <w:p w14:paraId="00000061"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500mgL</w:t>
            </w:r>
            <w:r>
              <w:rPr>
                <w:rFonts w:ascii="Arial" w:eastAsia="Arial" w:hAnsi="Arial" w:cs="Arial"/>
                <w:b w:val="0"/>
                <w:color w:val="000000"/>
                <w:sz w:val="20"/>
                <w:szCs w:val="20"/>
                <w:vertAlign w:val="superscript"/>
              </w:rPr>
              <w:t>-1</w:t>
            </w:r>
          </w:p>
        </w:tc>
        <w:tc>
          <w:tcPr>
            <w:tcW w:w="3005" w:type="dxa"/>
          </w:tcPr>
          <w:p w14:paraId="00000062"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8.76</w:t>
            </w:r>
            <m:oMath>
              <m:r>
                <w:rPr>
                  <w:rFonts w:ascii="Cambria Math" w:hAnsi="Cambria Math"/>
                </w:rPr>
                <m:t>±</m:t>
              </m:r>
            </m:oMath>
            <w:r>
              <w:rPr>
                <w:rFonts w:ascii="Arial" w:eastAsia="Arial" w:hAnsi="Arial" w:cs="Arial"/>
                <w:color w:val="000000"/>
                <w:sz w:val="20"/>
                <w:szCs w:val="20"/>
              </w:rPr>
              <w:t xml:space="preserve"> 0.7</w:t>
            </w:r>
          </w:p>
        </w:tc>
        <w:tc>
          <w:tcPr>
            <w:tcW w:w="3006" w:type="dxa"/>
          </w:tcPr>
          <w:p w14:paraId="00000063"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46.78</w:t>
            </w:r>
          </w:p>
        </w:tc>
      </w:tr>
    </w:tbl>
    <w:p w14:paraId="00000064" w14:textId="77777777" w:rsidR="00955C2D" w:rsidRDefault="00A60C0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Table 2: Mitotic index (MI) &amp; Mitosis inhibition Percentage of Allium </w:t>
      </w:r>
      <w:proofErr w:type="spellStart"/>
      <w:r>
        <w:rPr>
          <w:rFonts w:ascii="Arial" w:eastAsia="Arial" w:hAnsi="Arial" w:cs="Arial"/>
          <w:b/>
          <w:color w:val="000000"/>
        </w:rPr>
        <w:t>cepa</w:t>
      </w:r>
      <w:proofErr w:type="spellEnd"/>
    </w:p>
    <w:p w14:paraId="00000065" w14:textId="77777777" w:rsidR="00955C2D" w:rsidRDefault="00955C2D">
      <w:pPr>
        <w:pBdr>
          <w:top w:val="nil"/>
          <w:left w:val="nil"/>
          <w:bottom w:val="nil"/>
          <w:right w:val="nil"/>
          <w:between w:val="nil"/>
        </w:pBdr>
        <w:spacing w:after="240"/>
        <w:jc w:val="both"/>
        <w:rPr>
          <w:rFonts w:ascii="Arial" w:eastAsia="Arial" w:hAnsi="Arial" w:cs="Arial"/>
          <w:color w:val="000000"/>
        </w:rPr>
      </w:pPr>
    </w:p>
    <w:p w14:paraId="00000066"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In this instance, microscopic analysis of the cells shows a significant decrease in the mitotic index, with values of 8.76 </w:t>
      </w:r>
      <m:oMath>
        <m:r>
          <w:rPr>
            <w:rFonts w:ascii="Cambria Math" w:hAnsi="Cambria Math"/>
          </w:rPr>
          <m:t>±</m:t>
        </m:r>
      </m:oMath>
      <w:r>
        <w:rPr>
          <w:rFonts w:ascii="Arial" w:eastAsia="Arial" w:hAnsi="Arial" w:cs="Arial"/>
          <w:color w:val="000000"/>
        </w:rPr>
        <w:t xml:space="preserve"> 0.7 at the 500mgL</w:t>
      </w:r>
      <w:r>
        <w:rPr>
          <w:rFonts w:ascii="Arial" w:eastAsia="Arial" w:hAnsi="Arial" w:cs="Arial"/>
          <w:color w:val="000000"/>
          <w:vertAlign w:val="superscript"/>
        </w:rPr>
        <w:t>-1</w:t>
      </w:r>
      <w:r>
        <w:rPr>
          <w:rFonts w:ascii="Arial" w:eastAsia="Arial" w:hAnsi="Arial" w:cs="Arial"/>
          <w:color w:val="000000"/>
        </w:rPr>
        <w:t xml:space="preserve"> treatment of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w:t>
      </w:r>
    </w:p>
    <w:p w14:paraId="00000067"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Measuring mitosis inhibition offers important insights into the relationship between damage and the concentrations applied. The mitotic inhibition reached 46.78% in </w:t>
      </w:r>
      <w:proofErr w:type="spellStart"/>
      <w:r>
        <w:rPr>
          <w:rFonts w:ascii="Arial" w:eastAsia="Arial" w:hAnsi="Arial" w:cs="Arial"/>
          <w:i/>
          <w:color w:val="000000"/>
        </w:rPr>
        <w:t>A.cepa</w:t>
      </w:r>
      <w:proofErr w:type="spellEnd"/>
      <w:r>
        <w:rPr>
          <w:rFonts w:ascii="Arial" w:eastAsia="Arial" w:hAnsi="Arial" w:cs="Arial"/>
          <w:color w:val="000000"/>
        </w:rPr>
        <w:t>, indicating a concerning decline of nearly 50% compared to the control treatment, as</w:t>
      </w:r>
      <w:r>
        <w:rPr>
          <w:rFonts w:ascii="Arial" w:eastAsia="Arial" w:hAnsi="Arial" w:cs="Arial"/>
          <w:color w:val="000000"/>
        </w:rPr>
        <w:t xml:space="preserve"> the control did not induce any inhibition in the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w:t>
      </w:r>
    </w:p>
    <w:p w14:paraId="00000068"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After 96hours of exposure, at paracetamol concentrations of 250 mg L</w:t>
      </w:r>
      <w:r>
        <w:rPr>
          <w:rFonts w:ascii="Cambria Math" w:eastAsia="Cambria Math" w:hAnsi="Cambria Math" w:cs="Cambria Math"/>
          <w:color w:val="000000"/>
        </w:rPr>
        <w:t>⁻</w:t>
      </w:r>
      <w:r>
        <w:rPr>
          <w:rFonts w:ascii="Arial" w:eastAsia="Arial" w:hAnsi="Arial" w:cs="Arial"/>
          <w:color w:val="000000"/>
        </w:rPr>
        <w:t>¹ and 500 mg L</w:t>
      </w:r>
      <w:r>
        <w:rPr>
          <w:rFonts w:ascii="Cambria Math" w:eastAsia="Cambria Math" w:hAnsi="Cambria Math" w:cs="Cambria Math"/>
          <w:color w:val="000000"/>
        </w:rPr>
        <w:t>⁻</w:t>
      </w:r>
      <w:r>
        <w:rPr>
          <w:rFonts w:ascii="Arial" w:eastAsia="Arial" w:hAnsi="Arial" w:cs="Arial"/>
          <w:color w:val="000000"/>
        </w:rPr>
        <w:t xml:space="preserve">¹, mitotic inhibition reaches </w:t>
      </w:r>
      <w:r>
        <w:rPr>
          <w:rFonts w:ascii="Arial" w:eastAsia="Arial" w:hAnsi="Arial" w:cs="Arial"/>
          <w:b/>
          <w:color w:val="000000"/>
        </w:rPr>
        <w:t>(Jing, et al., 2009)</w:t>
      </w:r>
      <w:r>
        <w:rPr>
          <w:rFonts w:ascii="Arial" w:eastAsia="Arial" w:hAnsi="Arial" w:cs="Arial"/>
          <w:color w:val="000000"/>
        </w:rPr>
        <w:t xml:space="preserve"> 26% and 46.78% respectively, in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i/>
          <w:color w:val="000000"/>
        </w:rPr>
        <w:t xml:space="preserve"> </w:t>
      </w:r>
      <w:r>
        <w:rPr>
          <w:rFonts w:ascii="Arial" w:eastAsia="Arial" w:hAnsi="Arial" w:cs="Arial"/>
          <w:b/>
          <w:color w:val="000000"/>
        </w:rPr>
        <w:t>(Table 2)</w:t>
      </w:r>
      <w:r>
        <w:rPr>
          <w:rFonts w:ascii="Arial" w:eastAsia="Arial" w:hAnsi="Arial" w:cs="Arial"/>
          <w:color w:val="000000"/>
        </w:rPr>
        <w:t>, which is ne</w:t>
      </w:r>
      <w:r>
        <w:rPr>
          <w:rFonts w:ascii="Arial" w:eastAsia="Arial" w:hAnsi="Arial" w:cs="Arial"/>
          <w:color w:val="000000"/>
        </w:rPr>
        <w:t>arly 50% relative to the control treatment—an indication of significant inhibition. Measuring mitotic inhibition provides crucial insight into the correlation between cellular damage and the concentrations applied. No mitotic inhibition was observed in the</w:t>
      </w:r>
      <w:r>
        <w:rPr>
          <w:rFonts w:ascii="Arial" w:eastAsia="Arial" w:hAnsi="Arial" w:cs="Arial"/>
          <w:color w:val="000000"/>
        </w:rPr>
        <w:t xml:space="preserve"> control group, suggesting that increased paracetamol concentration intensifies the disruption of the cell cycle. </w:t>
      </w:r>
    </w:p>
    <w:p w14:paraId="00000069"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 xml:space="preserve">3.3. Cell Abnormality Index: </w:t>
      </w:r>
    </w:p>
    <w:p w14:paraId="0000006A"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 total of 10 types of chromosomal abnormalities were observed, indicating a significant structural impact on c</w:t>
      </w:r>
      <w:r>
        <w:rPr>
          <w:rFonts w:ascii="Arial" w:eastAsia="Arial" w:hAnsi="Arial" w:cs="Arial"/>
          <w:color w:val="000000"/>
        </w:rPr>
        <w:t xml:space="preserve">hromosomes induced by paracetamol exposure </w:t>
      </w:r>
      <w:r>
        <w:rPr>
          <w:rFonts w:ascii="Arial" w:eastAsia="Arial" w:hAnsi="Arial" w:cs="Arial"/>
          <w:b/>
          <w:color w:val="000000"/>
        </w:rPr>
        <w:t>(Table 3, Fig. 2)</w:t>
      </w:r>
      <w:r>
        <w:rPr>
          <w:rFonts w:ascii="Arial" w:eastAsia="Arial" w:hAnsi="Arial" w:cs="Arial"/>
          <w:color w:val="000000"/>
        </w:rPr>
        <w:t xml:space="preserve">. In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 all detected abnormalities appeared at paracetamol concentrations of 125, 250 and 500 mg L</w:t>
      </w:r>
      <w:r>
        <w:rPr>
          <w:rFonts w:ascii="Cambria Math" w:eastAsia="Cambria Math" w:hAnsi="Cambria Math" w:cs="Cambria Math"/>
          <w:color w:val="000000"/>
        </w:rPr>
        <w:t>⁻</w:t>
      </w:r>
      <w:r>
        <w:rPr>
          <w:rFonts w:ascii="Arial" w:eastAsia="Arial" w:hAnsi="Arial" w:cs="Arial"/>
          <w:color w:val="000000"/>
        </w:rPr>
        <w:t>¹. These root anomalies are likely due to two primary factors: first, paracetamol is absorb</w:t>
      </w:r>
      <w:r>
        <w:rPr>
          <w:rFonts w:ascii="Arial" w:eastAsia="Arial" w:hAnsi="Arial" w:cs="Arial"/>
          <w:color w:val="000000"/>
        </w:rPr>
        <w:t xml:space="preserve">ed by </w:t>
      </w:r>
      <w:proofErr w:type="spellStart"/>
      <w:r>
        <w:rPr>
          <w:rFonts w:ascii="Arial" w:eastAsia="Arial" w:hAnsi="Arial" w:cs="Arial"/>
          <w:color w:val="000000"/>
        </w:rPr>
        <w:t>bioindicators</w:t>
      </w:r>
      <w:proofErr w:type="spellEnd"/>
      <w:r>
        <w:rPr>
          <w:rFonts w:ascii="Arial" w:eastAsia="Arial" w:hAnsi="Arial" w:cs="Arial"/>
          <w:color w:val="000000"/>
        </w:rPr>
        <w:t xml:space="preserve"> and once internalized, it disrupts normal cell division </w:t>
      </w:r>
      <w:r>
        <w:rPr>
          <w:rFonts w:ascii="Arial" w:eastAsia="Arial" w:hAnsi="Arial" w:cs="Arial"/>
          <w:b/>
          <w:color w:val="000000"/>
        </w:rPr>
        <w:t>(Fig 2.)</w:t>
      </w:r>
      <w:r>
        <w:rPr>
          <w:rFonts w:ascii="Arial" w:eastAsia="Arial" w:hAnsi="Arial" w:cs="Arial"/>
          <w:color w:val="000000"/>
        </w:rPr>
        <w:t xml:space="preserve"> and induce cytotoxic effects; second, as a low molecular weight compound, paracetamol exhibits a strong affinity for root tissues, enhancing uptake and accumulation predom</w:t>
      </w:r>
      <w:r>
        <w:rPr>
          <w:rFonts w:ascii="Arial" w:eastAsia="Arial" w:hAnsi="Arial" w:cs="Arial"/>
          <w:color w:val="000000"/>
        </w:rPr>
        <w:t>inantly in roots.</w:t>
      </w:r>
    </w:p>
    <w:p w14:paraId="0000006B"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Nuclear abnormalities, often characterized by structural changes in interphase nuclei, are increasingly studied as indicators of environmental chemical toxicity </w:t>
      </w:r>
      <w:r>
        <w:rPr>
          <w:rFonts w:ascii="Arial" w:eastAsia="Arial" w:hAnsi="Arial" w:cs="Arial"/>
          <w:b/>
          <w:color w:val="000000"/>
        </w:rPr>
        <w:t>(</w:t>
      </w:r>
      <w:proofErr w:type="spellStart"/>
      <w:r>
        <w:rPr>
          <w:rFonts w:ascii="Arial" w:eastAsia="Arial" w:hAnsi="Arial" w:cs="Arial"/>
          <w:b/>
          <w:color w:val="000000"/>
        </w:rPr>
        <w:t>Leme</w:t>
      </w:r>
      <w:proofErr w:type="spellEnd"/>
      <w:r>
        <w:rPr>
          <w:rFonts w:ascii="Arial" w:eastAsia="Arial" w:hAnsi="Arial" w:cs="Arial"/>
          <w:b/>
          <w:color w:val="000000"/>
        </w:rPr>
        <w:t xml:space="preserve"> et al., 2009)</w:t>
      </w:r>
      <w:r>
        <w:rPr>
          <w:rFonts w:ascii="Arial" w:eastAsia="Arial" w:hAnsi="Arial" w:cs="Arial"/>
          <w:color w:val="000000"/>
        </w:rPr>
        <w:t>. This study observed a pronounced increase in nuclear abn</w:t>
      </w:r>
      <w:r>
        <w:rPr>
          <w:rFonts w:ascii="Arial" w:eastAsia="Arial" w:hAnsi="Arial" w:cs="Arial"/>
          <w:color w:val="000000"/>
        </w:rPr>
        <w:t>ormalities in root tip cells exposed to Paracetamol. Root tip cells exposed to Paracetamol displayed prominently condensed nuclei with smaller or faint nucleoli and cytoplasm disintegration.</w:t>
      </w:r>
    </w:p>
    <w:p w14:paraId="0000006C"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Chromosomal aberrations, defined by structural changes or changes</w:t>
      </w:r>
      <w:r>
        <w:rPr>
          <w:rFonts w:ascii="Arial" w:eastAsia="Arial" w:hAnsi="Arial" w:cs="Arial"/>
          <w:color w:val="000000"/>
        </w:rPr>
        <w:t xml:space="preserve"> in chromosome number, can arise either spontaneously or due to chemical or physical exposure </w:t>
      </w:r>
      <w:r>
        <w:rPr>
          <w:rFonts w:ascii="Arial" w:eastAsia="Arial" w:hAnsi="Arial" w:cs="Arial"/>
          <w:b/>
          <w:color w:val="000000"/>
        </w:rPr>
        <w:t xml:space="preserve">(Russel, 2002; </w:t>
      </w:r>
      <w:proofErr w:type="spellStart"/>
      <w:r>
        <w:rPr>
          <w:rFonts w:ascii="Arial" w:eastAsia="Arial" w:hAnsi="Arial" w:cs="Arial"/>
          <w:b/>
          <w:color w:val="000000"/>
        </w:rPr>
        <w:t>Obe</w:t>
      </w:r>
      <w:proofErr w:type="spellEnd"/>
      <w:r>
        <w:rPr>
          <w:rFonts w:ascii="Arial" w:eastAsia="Arial" w:hAnsi="Arial" w:cs="Arial"/>
          <w:b/>
          <w:color w:val="000000"/>
        </w:rPr>
        <w:t xml:space="preserve"> et al., 2002)</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Indicators of </w:t>
      </w:r>
      <w:proofErr w:type="spellStart"/>
      <w:r>
        <w:rPr>
          <w:rFonts w:ascii="Arial" w:eastAsia="Arial" w:hAnsi="Arial" w:cs="Arial"/>
          <w:color w:val="000000"/>
        </w:rPr>
        <w:t>aneugenic</w:t>
      </w:r>
      <w:proofErr w:type="spellEnd"/>
      <w:r>
        <w:rPr>
          <w:rFonts w:ascii="Arial" w:eastAsia="Arial" w:hAnsi="Arial" w:cs="Arial"/>
          <w:color w:val="000000"/>
        </w:rPr>
        <w:t xml:space="preserve"> action include chromosome adherence, chromosomal loss/delay, </w:t>
      </w:r>
      <w:proofErr w:type="spellStart"/>
      <w:r>
        <w:rPr>
          <w:rFonts w:ascii="Arial" w:eastAsia="Arial" w:hAnsi="Arial" w:cs="Arial"/>
          <w:color w:val="000000"/>
        </w:rPr>
        <w:t>multipolarity</w:t>
      </w:r>
      <w:proofErr w:type="spellEnd"/>
      <w:r>
        <w:rPr>
          <w:rFonts w:ascii="Arial" w:eastAsia="Arial" w:hAnsi="Arial" w:cs="Arial"/>
          <w:color w:val="000000"/>
        </w:rPr>
        <w:t xml:space="preserve"> and disrupted anaphase due to</w:t>
      </w:r>
      <w:r>
        <w:rPr>
          <w:rFonts w:ascii="Arial" w:eastAsia="Arial" w:hAnsi="Arial" w:cs="Arial"/>
          <w:color w:val="000000"/>
        </w:rPr>
        <w:t xml:space="preserve"> mitotic spindle disruptions, whereas chromosomal bridges and breaks in anaphase and telophase suggest </w:t>
      </w:r>
      <w:proofErr w:type="spellStart"/>
      <w:r>
        <w:rPr>
          <w:rFonts w:ascii="Arial" w:eastAsia="Arial" w:hAnsi="Arial" w:cs="Arial"/>
          <w:color w:val="000000"/>
        </w:rPr>
        <w:t>clastogenic</w:t>
      </w:r>
      <w:proofErr w:type="spellEnd"/>
      <w:r>
        <w:rPr>
          <w:rFonts w:ascii="Arial" w:eastAsia="Arial" w:hAnsi="Arial" w:cs="Arial"/>
          <w:color w:val="000000"/>
        </w:rPr>
        <w:t xml:space="preserve"> effects </w:t>
      </w:r>
      <w:r>
        <w:rPr>
          <w:rFonts w:ascii="Arial" w:eastAsia="Arial" w:hAnsi="Arial" w:cs="Arial"/>
          <w:b/>
          <w:color w:val="000000"/>
        </w:rPr>
        <w:t xml:space="preserve">(Sandra et al., 2010; </w:t>
      </w:r>
      <w:proofErr w:type="spellStart"/>
      <w:r>
        <w:rPr>
          <w:rFonts w:ascii="Arial" w:eastAsia="Arial" w:hAnsi="Arial" w:cs="Arial"/>
          <w:b/>
          <w:color w:val="000000"/>
        </w:rPr>
        <w:t>Farhana</w:t>
      </w:r>
      <w:proofErr w:type="spellEnd"/>
      <w:r>
        <w:rPr>
          <w:rFonts w:ascii="Arial" w:eastAsia="Arial" w:hAnsi="Arial" w:cs="Arial"/>
          <w:b/>
          <w:color w:val="000000"/>
        </w:rPr>
        <w:t xml:space="preserve"> and Malik, 2013)</w:t>
      </w:r>
      <w:r>
        <w:rPr>
          <w:rFonts w:ascii="Arial" w:eastAsia="Arial" w:hAnsi="Arial" w:cs="Arial"/>
          <w:color w:val="000000"/>
        </w:rPr>
        <w:t>.</w:t>
      </w:r>
    </w:p>
    <w:p w14:paraId="0000006D" w14:textId="77777777" w:rsidR="00955C2D" w:rsidRDefault="00A60C06">
      <w:pPr>
        <w:pBdr>
          <w:top w:val="nil"/>
          <w:left w:val="nil"/>
          <w:bottom w:val="nil"/>
          <w:right w:val="nil"/>
          <w:between w:val="nil"/>
        </w:pBdr>
        <w:spacing w:after="240"/>
        <w:jc w:val="both"/>
        <w:rPr>
          <w:rFonts w:ascii="Arial" w:eastAsia="Arial" w:hAnsi="Arial" w:cs="Arial"/>
          <w:color w:val="000000"/>
        </w:rPr>
        <w:sectPr w:rsidR="00955C2D">
          <w:headerReference w:type="even" r:id="rId19"/>
          <w:headerReference w:type="default" r:id="rId20"/>
          <w:footerReference w:type="even" r:id="rId21"/>
          <w:footerReference w:type="default" r:id="rId22"/>
          <w:headerReference w:type="first" r:id="rId23"/>
          <w:type w:val="continuous"/>
          <w:pgSz w:w="12240" w:h="15840"/>
          <w:pgMar w:top="1440" w:right="1440" w:bottom="1440" w:left="1440" w:header="708" w:footer="708" w:gutter="0"/>
          <w:pgNumType w:start="1"/>
          <w:cols w:space="720"/>
        </w:sectPr>
      </w:pPr>
      <w:r>
        <w:rPr>
          <w:rFonts w:ascii="Arial" w:eastAsia="Arial" w:hAnsi="Arial" w:cs="Arial"/>
          <w:color w:val="000000"/>
        </w:rPr>
        <w:t xml:space="preserve">The most common abnormality in this bioassay was the presence of micronucleus </w:t>
      </w:r>
      <w:r>
        <w:rPr>
          <w:rFonts w:ascii="Arial" w:eastAsia="Arial" w:hAnsi="Arial" w:cs="Arial"/>
          <w:b/>
          <w:color w:val="000000"/>
        </w:rPr>
        <w:t>(Fig. 3, Table 3)</w:t>
      </w:r>
      <w:r>
        <w:rPr>
          <w:rFonts w:ascii="Arial" w:eastAsia="Arial" w:hAnsi="Arial" w:cs="Arial"/>
          <w:color w:val="000000"/>
        </w:rPr>
        <w:t>. Overall, treatment with 500 mg L</w:t>
      </w:r>
      <w:r>
        <w:rPr>
          <w:rFonts w:ascii="Cambria Math" w:eastAsia="Cambria Math" w:hAnsi="Cambria Math" w:cs="Cambria Math"/>
          <w:color w:val="000000"/>
        </w:rPr>
        <w:t>⁻</w:t>
      </w:r>
      <w:r>
        <w:rPr>
          <w:rFonts w:ascii="Arial" w:eastAsia="Arial" w:hAnsi="Arial" w:cs="Arial"/>
          <w:color w:val="000000"/>
        </w:rPr>
        <w:t xml:space="preserve"> resulted in the highest frequency of abnormalities. The relative abnormality rate, which considers both the micronucleus inde</w:t>
      </w:r>
      <w:r>
        <w:rPr>
          <w:rFonts w:ascii="Arial" w:eastAsia="Arial" w:hAnsi="Arial" w:cs="Arial"/>
          <w:color w:val="000000"/>
        </w:rPr>
        <w:t xml:space="preserve">x and abnormality percentage </w:t>
      </w:r>
      <w:r>
        <w:rPr>
          <w:rFonts w:ascii="Arial" w:eastAsia="Arial" w:hAnsi="Arial" w:cs="Arial"/>
          <w:b/>
          <w:color w:val="000000"/>
        </w:rPr>
        <w:t xml:space="preserve">(Table 4), </w:t>
      </w:r>
      <w:r>
        <w:rPr>
          <w:rFonts w:ascii="Arial" w:eastAsia="Arial" w:hAnsi="Arial" w:cs="Arial"/>
          <w:color w:val="000000"/>
        </w:rPr>
        <w:t>indicating that paracetamol induces irreversible DNA damage. This DNA and chromosomal damage likely relate to cellular death mechanisms and carcinogenesis pathway.</w:t>
      </w:r>
    </w:p>
    <w:p w14:paraId="0000006E" w14:textId="77777777" w:rsidR="00955C2D" w:rsidRDefault="00955C2D">
      <w:pPr>
        <w:pBdr>
          <w:top w:val="nil"/>
          <w:left w:val="nil"/>
          <w:bottom w:val="nil"/>
          <w:right w:val="nil"/>
          <w:between w:val="nil"/>
        </w:pBdr>
        <w:spacing w:after="240"/>
        <w:jc w:val="both"/>
        <w:rPr>
          <w:rFonts w:ascii="Arial" w:eastAsia="Arial" w:hAnsi="Arial" w:cs="Arial"/>
          <w:color w:val="000000"/>
        </w:rPr>
      </w:pPr>
    </w:p>
    <w:p w14:paraId="0000006F"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70" w14:textId="77777777" w:rsidR="00955C2D" w:rsidRDefault="00955C2D">
      <w:pPr>
        <w:pBdr>
          <w:top w:val="nil"/>
          <w:left w:val="nil"/>
          <w:bottom w:val="nil"/>
          <w:right w:val="nil"/>
          <w:between w:val="nil"/>
        </w:pBdr>
        <w:spacing w:after="240"/>
        <w:jc w:val="both"/>
        <w:rPr>
          <w:rFonts w:ascii="Arial" w:eastAsia="Arial" w:hAnsi="Arial" w:cs="Arial"/>
          <w:b/>
          <w:color w:val="000000"/>
        </w:rPr>
      </w:pPr>
    </w:p>
    <w:p w14:paraId="00000071" w14:textId="77777777" w:rsidR="00955C2D" w:rsidRDefault="00A60C06">
      <w:pPr>
        <w:pBdr>
          <w:top w:val="nil"/>
          <w:left w:val="nil"/>
          <w:bottom w:val="nil"/>
          <w:right w:val="nil"/>
          <w:between w:val="nil"/>
        </w:pBdr>
        <w:spacing w:after="240"/>
        <w:jc w:val="center"/>
        <w:rPr>
          <w:rFonts w:ascii="Arial" w:eastAsia="Arial" w:hAnsi="Arial" w:cs="Arial"/>
          <w:b/>
          <w:color w:val="000000"/>
        </w:rPr>
      </w:pPr>
      <w:sdt>
        <w:sdtPr>
          <w:tag w:val="goog_rdk_16"/>
          <w:id w:val="-1426494569"/>
        </w:sdtPr>
        <w:sdtEndPr/>
        <w:sdtContent>
          <w:commentRangeStart w:id="18"/>
        </w:sdtContent>
      </w:sdt>
      <w:r>
        <w:rPr>
          <w:rFonts w:ascii="Arial" w:eastAsia="Arial" w:hAnsi="Arial" w:cs="Arial"/>
          <w:b/>
          <w:color w:val="000000"/>
        </w:rPr>
        <w:t xml:space="preserve">Table 3. Chromosomal abnormalities in </w:t>
      </w:r>
      <w:commentRangeEnd w:id="18"/>
      <w:r>
        <w:commentReference w:id="18"/>
      </w:r>
      <w:r>
        <w:rPr>
          <w:rFonts w:ascii="Arial" w:eastAsia="Arial" w:hAnsi="Arial" w:cs="Arial"/>
          <w:b/>
          <w:i/>
          <w:color w:val="000000"/>
        </w:rPr>
        <w:t xml:space="preserve">A. </w:t>
      </w:r>
      <w:proofErr w:type="spellStart"/>
      <w:r>
        <w:rPr>
          <w:rFonts w:ascii="Arial" w:eastAsia="Arial" w:hAnsi="Arial" w:cs="Arial"/>
          <w:b/>
          <w:i/>
          <w:color w:val="000000"/>
        </w:rPr>
        <w:t>cep</w:t>
      </w:r>
      <w:r>
        <w:rPr>
          <w:rFonts w:ascii="Arial" w:eastAsia="Arial" w:hAnsi="Arial" w:cs="Arial"/>
          <w:b/>
          <w:i/>
          <w:color w:val="000000"/>
        </w:rPr>
        <w:t>a</w:t>
      </w:r>
      <w:proofErr w:type="spellEnd"/>
    </w:p>
    <w:tbl>
      <w:tblPr>
        <w:tblStyle w:val="a5"/>
        <w:tblW w:w="1616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22"/>
        <w:gridCol w:w="1308"/>
        <w:gridCol w:w="1418"/>
        <w:gridCol w:w="1417"/>
        <w:gridCol w:w="1418"/>
        <w:gridCol w:w="1559"/>
        <w:gridCol w:w="1418"/>
        <w:gridCol w:w="1559"/>
        <w:gridCol w:w="1559"/>
        <w:gridCol w:w="1418"/>
        <w:gridCol w:w="1568"/>
      </w:tblGrid>
      <w:tr w:rsidR="00955C2D" w14:paraId="2873DF17" w14:textId="77777777" w:rsidTr="00955C2D">
        <w:trPr>
          <w:cnfStyle w:val="100000000000" w:firstRow="1" w:lastRow="0" w:firstColumn="0" w:lastColumn="0" w:oddVBand="0" w:evenVBand="0" w:oddHBand="0" w:evenHBand="0" w:firstRowFirstColumn="0" w:firstRowLastColumn="0" w:lastRowFirstColumn="0" w:lastRowLastColumn="0"/>
          <w:trHeight w:val="1484"/>
          <w:jc w:val="center"/>
        </w:trPr>
        <w:tc>
          <w:tcPr>
            <w:cnfStyle w:val="001000000000" w:firstRow="0" w:lastRow="0" w:firstColumn="1" w:lastColumn="0" w:oddVBand="0" w:evenVBand="0" w:oddHBand="0" w:evenHBand="0" w:firstRowFirstColumn="0" w:firstRowLastColumn="0" w:lastRowFirstColumn="0" w:lastRowLastColumn="0"/>
            <w:tcW w:w="1522" w:type="dxa"/>
          </w:tcPr>
          <w:p w14:paraId="00000072" w14:textId="77777777" w:rsidR="00955C2D" w:rsidRDefault="00955C2D">
            <w:pPr>
              <w:pBdr>
                <w:top w:val="nil"/>
                <w:left w:val="nil"/>
                <w:bottom w:val="nil"/>
                <w:right w:val="nil"/>
                <w:between w:val="nil"/>
              </w:pBdr>
              <w:spacing w:after="240"/>
              <w:jc w:val="both"/>
              <w:rPr>
                <w:rFonts w:ascii="Arial" w:eastAsia="Arial" w:hAnsi="Arial" w:cs="Arial"/>
                <w:color w:val="000000"/>
                <w:sz w:val="20"/>
                <w:szCs w:val="20"/>
              </w:rPr>
            </w:pPr>
          </w:p>
          <w:p w14:paraId="00000073" w14:textId="77777777" w:rsidR="00955C2D" w:rsidRDefault="00A60C06">
            <w:p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b w:val="0"/>
                <w:color w:val="000000"/>
                <w:sz w:val="20"/>
                <w:szCs w:val="20"/>
              </w:rPr>
              <w:t>Paracetamol Concentration (mgL</w:t>
            </w:r>
            <w:r>
              <w:rPr>
                <w:rFonts w:ascii="Arial" w:eastAsia="Arial" w:hAnsi="Arial" w:cs="Arial"/>
                <w:b w:val="0"/>
                <w:color w:val="000000"/>
                <w:sz w:val="20"/>
                <w:szCs w:val="20"/>
                <w:vertAlign w:val="superscript"/>
              </w:rPr>
              <w:t>-1</w:t>
            </w:r>
            <w:r>
              <w:rPr>
                <w:rFonts w:ascii="Arial" w:eastAsia="Arial" w:hAnsi="Arial" w:cs="Arial"/>
                <w:b w:val="0"/>
                <w:color w:val="000000"/>
                <w:sz w:val="20"/>
                <w:szCs w:val="20"/>
              </w:rPr>
              <w:t>)</w:t>
            </w:r>
          </w:p>
        </w:tc>
        <w:tc>
          <w:tcPr>
            <w:tcW w:w="1308" w:type="dxa"/>
          </w:tcPr>
          <w:p w14:paraId="00000074"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5"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Multipolar</w:t>
            </w:r>
          </w:p>
        </w:tc>
        <w:tc>
          <w:tcPr>
            <w:tcW w:w="1418" w:type="dxa"/>
          </w:tcPr>
          <w:p w14:paraId="00000076"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7"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Micronuclei</w:t>
            </w:r>
          </w:p>
        </w:tc>
        <w:tc>
          <w:tcPr>
            <w:tcW w:w="1417" w:type="dxa"/>
          </w:tcPr>
          <w:p w14:paraId="00000078"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9"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roofErr w:type="spellStart"/>
            <w:r>
              <w:rPr>
                <w:rFonts w:ascii="Arial" w:eastAsia="Arial" w:hAnsi="Arial" w:cs="Arial"/>
                <w:b w:val="0"/>
                <w:color w:val="000000"/>
                <w:sz w:val="20"/>
                <w:szCs w:val="20"/>
              </w:rPr>
              <w:t>Hyperchromasia</w:t>
            </w:r>
            <w:proofErr w:type="spellEnd"/>
            <w:r>
              <w:rPr>
                <w:rFonts w:ascii="Arial" w:eastAsia="Arial" w:hAnsi="Arial" w:cs="Arial"/>
                <w:b w:val="0"/>
                <w:color w:val="000000"/>
                <w:sz w:val="20"/>
                <w:szCs w:val="20"/>
              </w:rPr>
              <w:t xml:space="preserve"> </w:t>
            </w:r>
          </w:p>
          <w:p w14:paraId="0000007A"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i/>
                <w:color w:val="000000"/>
                <w:sz w:val="20"/>
                <w:szCs w:val="20"/>
              </w:rPr>
            </w:pPr>
          </w:p>
        </w:tc>
        <w:tc>
          <w:tcPr>
            <w:tcW w:w="1418" w:type="dxa"/>
          </w:tcPr>
          <w:p w14:paraId="0000007B"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C"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 xml:space="preserve">Sticky metaphase </w:t>
            </w:r>
          </w:p>
          <w:p w14:paraId="0000007D"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559" w:type="dxa"/>
          </w:tcPr>
          <w:p w14:paraId="0000007E"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F"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 xml:space="preserve">Split chromosome </w:t>
            </w:r>
          </w:p>
          <w:p w14:paraId="00000080"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81"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2"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roofErr w:type="spellStart"/>
            <w:r>
              <w:rPr>
                <w:rFonts w:ascii="Arial" w:eastAsia="Arial" w:hAnsi="Arial" w:cs="Arial"/>
                <w:b w:val="0"/>
                <w:color w:val="000000"/>
                <w:sz w:val="20"/>
                <w:szCs w:val="20"/>
              </w:rPr>
              <w:t>Binucleated</w:t>
            </w:r>
            <w:proofErr w:type="spellEnd"/>
            <w:r>
              <w:rPr>
                <w:rFonts w:ascii="Arial" w:eastAsia="Arial" w:hAnsi="Arial" w:cs="Arial"/>
                <w:b w:val="0"/>
                <w:color w:val="000000"/>
                <w:sz w:val="20"/>
                <w:szCs w:val="20"/>
              </w:rPr>
              <w:t xml:space="preserve"> cell</w:t>
            </w:r>
          </w:p>
        </w:tc>
        <w:tc>
          <w:tcPr>
            <w:tcW w:w="1559" w:type="dxa"/>
          </w:tcPr>
          <w:p w14:paraId="00000083"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4"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Irregular</w:t>
            </w:r>
          </w:p>
          <w:p w14:paraId="00000085"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Anaphase</w:t>
            </w:r>
          </w:p>
        </w:tc>
        <w:tc>
          <w:tcPr>
            <w:tcW w:w="1559" w:type="dxa"/>
          </w:tcPr>
          <w:p w14:paraId="00000086"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7"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 xml:space="preserve">Anaphase </w:t>
            </w:r>
          </w:p>
          <w:p w14:paraId="00000088"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Bridge</w:t>
            </w:r>
          </w:p>
        </w:tc>
        <w:tc>
          <w:tcPr>
            <w:tcW w:w="1418" w:type="dxa"/>
          </w:tcPr>
          <w:p w14:paraId="00000089"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A"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Polar Slip</w:t>
            </w:r>
          </w:p>
        </w:tc>
        <w:tc>
          <w:tcPr>
            <w:tcW w:w="1568" w:type="dxa"/>
          </w:tcPr>
          <w:p w14:paraId="0000008B" w14:textId="77777777" w:rsidR="00955C2D" w:rsidRDefault="00955C2D">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C" w14:textId="77777777" w:rsidR="00955C2D" w:rsidRDefault="00A60C06">
            <w:pPr>
              <w:pBdr>
                <w:top w:val="nil"/>
                <w:left w:val="nil"/>
                <w:bottom w:val="nil"/>
                <w:right w:val="nil"/>
                <w:between w:val="nil"/>
              </w:pBdr>
              <w:spacing w:after="24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Cells without a nucleus</w:t>
            </w:r>
          </w:p>
        </w:tc>
      </w:tr>
      <w:tr w:rsidR="00955C2D" w14:paraId="00422AA2" w14:textId="77777777" w:rsidTr="00955C2D">
        <w:trPr>
          <w:trHeight w:val="1385"/>
          <w:jc w:val="center"/>
        </w:trPr>
        <w:tc>
          <w:tcPr>
            <w:cnfStyle w:val="001000000000" w:firstRow="0" w:lastRow="0" w:firstColumn="1" w:lastColumn="0" w:oddVBand="0" w:evenVBand="0" w:oddHBand="0" w:evenHBand="0" w:firstRowFirstColumn="0" w:firstRowLastColumn="0" w:lastRowFirstColumn="0" w:lastRowLastColumn="0"/>
            <w:tcW w:w="1522" w:type="dxa"/>
          </w:tcPr>
          <w:p w14:paraId="0000008D" w14:textId="77777777" w:rsidR="00955C2D" w:rsidRDefault="00955C2D">
            <w:pPr>
              <w:pBdr>
                <w:top w:val="nil"/>
                <w:left w:val="nil"/>
                <w:bottom w:val="nil"/>
                <w:right w:val="nil"/>
                <w:between w:val="nil"/>
              </w:pBdr>
              <w:spacing w:after="240"/>
              <w:jc w:val="both"/>
              <w:rPr>
                <w:rFonts w:ascii="Arial" w:eastAsia="Arial" w:hAnsi="Arial" w:cs="Arial"/>
                <w:color w:val="000000"/>
                <w:sz w:val="20"/>
                <w:szCs w:val="20"/>
              </w:rPr>
            </w:pPr>
          </w:p>
          <w:p w14:paraId="0000008E" w14:textId="77777777" w:rsidR="00955C2D" w:rsidRDefault="00A60C06">
            <w:p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b w:val="0"/>
                <w:color w:val="000000"/>
                <w:sz w:val="20"/>
                <w:szCs w:val="20"/>
              </w:rPr>
              <w:t>Control</w:t>
            </w:r>
          </w:p>
        </w:tc>
        <w:tc>
          <w:tcPr>
            <w:tcW w:w="1308" w:type="dxa"/>
          </w:tcPr>
          <w:p w14:paraId="0000008F"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0"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1.4 ± 0.5</w:t>
            </w:r>
          </w:p>
        </w:tc>
        <w:tc>
          <w:tcPr>
            <w:tcW w:w="1418" w:type="dxa"/>
          </w:tcPr>
          <w:p w14:paraId="00000091"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2"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417" w:type="dxa"/>
          </w:tcPr>
          <w:p w14:paraId="00000093"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4"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418" w:type="dxa"/>
          </w:tcPr>
          <w:p w14:paraId="00000095"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6"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559" w:type="dxa"/>
          </w:tcPr>
          <w:p w14:paraId="00000097"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8"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0.8 ± 0.01</w:t>
            </w:r>
          </w:p>
          <w:p w14:paraId="00000099"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9A"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B"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559" w:type="dxa"/>
          </w:tcPr>
          <w:p w14:paraId="0000009C"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D"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1.6 ± 1.2</w:t>
            </w:r>
          </w:p>
        </w:tc>
        <w:tc>
          <w:tcPr>
            <w:tcW w:w="1559" w:type="dxa"/>
          </w:tcPr>
          <w:p w14:paraId="0000009E"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F"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1.6 ± 0.6</w:t>
            </w:r>
          </w:p>
        </w:tc>
        <w:tc>
          <w:tcPr>
            <w:tcW w:w="1418" w:type="dxa"/>
          </w:tcPr>
          <w:p w14:paraId="000000A0"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1"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568" w:type="dxa"/>
          </w:tcPr>
          <w:p w14:paraId="000000A2"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3"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2.4 ± 0.5</w:t>
            </w:r>
          </w:p>
        </w:tc>
      </w:tr>
      <w:tr w:rsidR="00955C2D" w14:paraId="056A41F3" w14:textId="77777777" w:rsidTr="00955C2D">
        <w:trPr>
          <w:trHeight w:val="1423"/>
          <w:jc w:val="center"/>
        </w:trPr>
        <w:tc>
          <w:tcPr>
            <w:cnfStyle w:val="001000000000" w:firstRow="0" w:lastRow="0" w:firstColumn="1" w:lastColumn="0" w:oddVBand="0" w:evenVBand="0" w:oddHBand="0" w:evenHBand="0" w:firstRowFirstColumn="0" w:firstRowLastColumn="0" w:lastRowFirstColumn="0" w:lastRowLastColumn="0"/>
            <w:tcW w:w="1522" w:type="dxa"/>
          </w:tcPr>
          <w:p w14:paraId="000000A4" w14:textId="77777777" w:rsidR="00955C2D" w:rsidRDefault="00955C2D">
            <w:pPr>
              <w:pBdr>
                <w:top w:val="nil"/>
                <w:left w:val="nil"/>
                <w:bottom w:val="nil"/>
                <w:right w:val="nil"/>
                <w:between w:val="nil"/>
              </w:pBdr>
              <w:spacing w:after="240"/>
              <w:jc w:val="both"/>
              <w:rPr>
                <w:rFonts w:ascii="Arial" w:eastAsia="Arial" w:hAnsi="Arial" w:cs="Arial"/>
                <w:color w:val="000000"/>
                <w:sz w:val="20"/>
                <w:szCs w:val="20"/>
              </w:rPr>
            </w:pPr>
          </w:p>
          <w:p w14:paraId="000000A5" w14:textId="77777777" w:rsidR="00955C2D" w:rsidRDefault="00A60C06">
            <w:p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b w:val="0"/>
                <w:color w:val="000000"/>
                <w:sz w:val="20"/>
                <w:szCs w:val="20"/>
              </w:rPr>
              <w:t>125mgL</w:t>
            </w:r>
            <w:r>
              <w:rPr>
                <w:rFonts w:ascii="Arial" w:eastAsia="Arial" w:hAnsi="Arial" w:cs="Arial"/>
                <w:b w:val="0"/>
                <w:color w:val="000000"/>
                <w:sz w:val="20"/>
                <w:szCs w:val="20"/>
                <w:vertAlign w:val="superscript"/>
              </w:rPr>
              <w:t>-1</w:t>
            </w:r>
          </w:p>
        </w:tc>
        <w:tc>
          <w:tcPr>
            <w:tcW w:w="1308" w:type="dxa"/>
          </w:tcPr>
          <w:p w14:paraId="000000A6"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7"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10.4 ± 0.8a</w:t>
            </w:r>
          </w:p>
        </w:tc>
        <w:tc>
          <w:tcPr>
            <w:tcW w:w="1418" w:type="dxa"/>
          </w:tcPr>
          <w:p w14:paraId="000000A8"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9"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9.6 ± 1.2a</w:t>
            </w:r>
          </w:p>
        </w:tc>
        <w:tc>
          <w:tcPr>
            <w:tcW w:w="1417" w:type="dxa"/>
          </w:tcPr>
          <w:p w14:paraId="000000AA"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B"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31.2 ± 0.8a</w:t>
            </w:r>
          </w:p>
          <w:p w14:paraId="000000AC"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AD"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AE"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5 ± 1a</w:t>
            </w:r>
          </w:p>
        </w:tc>
        <w:tc>
          <w:tcPr>
            <w:tcW w:w="1559" w:type="dxa"/>
          </w:tcPr>
          <w:p w14:paraId="000000AF"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0"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5.4± 1.2a</w:t>
            </w:r>
          </w:p>
          <w:p w14:paraId="000000B1"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B2"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3"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1559" w:type="dxa"/>
          </w:tcPr>
          <w:p w14:paraId="000000B4"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5"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2.8 ± 0.5</w:t>
            </w:r>
          </w:p>
        </w:tc>
        <w:tc>
          <w:tcPr>
            <w:tcW w:w="1559" w:type="dxa"/>
          </w:tcPr>
          <w:p w14:paraId="000000B6"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7"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7.2 ± 1a</w:t>
            </w:r>
          </w:p>
        </w:tc>
        <w:tc>
          <w:tcPr>
            <w:tcW w:w="1418" w:type="dxa"/>
          </w:tcPr>
          <w:p w14:paraId="000000B8"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9"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0.8 ± 0.2</w:t>
            </w:r>
          </w:p>
        </w:tc>
        <w:tc>
          <w:tcPr>
            <w:tcW w:w="1568" w:type="dxa"/>
          </w:tcPr>
          <w:p w14:paraId="000000BA"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B"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11.6 ± 1.2a</w:t>
            </w:r>
          </w:p>
        </w:tc>
      </w:tr>
      <w:tr w:rsidR="00955C2D" w14:paraId="5870CA7D" w14:textId="77777777" w:rsidTr="00955C2D">
        <w:trPr>
          <w:trHeight w:val="1403"/>
          <w:jc w:val="center"/>
        </w:trPr>
        <w:tc>
          <w:tcPr>
            <w:cnfStyle w:val="001000000000" w:firstRow="0" w:lastRow="0" w:firstColumn="1" w:lastColumn="0" w:oddVBand="0" w:evenVBand="0" w:oddHBand="0" w:evenHBand="0" w:firstRowFirstColumn="0" w:firstRowLastColumn="0" w:lastRowFirstColumn="0" w:lastRowLastColumn="0"/>
            <w:tcW w:w="1522" w:type="dxa"/>
          </w:tcPr>
          <w:p w14:paraId="000000BC" w14:textId="77777777" w:rsidR="00955C2D" w:rsidRDefault="00955C2D">
            <w:pPr>
              <w:pBdr>
                <w:top w:val="nil"/>
                <w:left w:val="nil"/>
                <w:bottom w:val="nil"/>
                <w:right w:val="nil"/>
                <w:between w:val="nil"/>
              </w:pBdr>
              <w:spacing w:after="240"/>
              <w:jc w:val="both"/>
              <w:rPr>
                <w:rFonts w:ascii="Arial" w:eastAsia="Arial" w:hAnsi="Arial" w:cs="Arial"/>
                <w:color w:val="000000"/>
                <w:sz w:val="20"/>
                <w:szCs w:val="20"/>
              </w:rPr>
            </w:pPr>
          </w:p>
          <w:p w14:paraId="000000BD" w14:textId="77777777" w:rsidR="00955C2D" w:rsidRDefault="00A60C06">
            <w:p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b w:val="0"/>
                <w:color w:val="000000"/>
                <w:sz w:val="20"/>
                <w:szCs w:val="20"/>
              </w:rPr>
              <w:t>250mgL</w:t>
            </w:r>
            <w:r>
              <w:rPr>
                <w:rFonts w:ascii="Arial" w:eastAsia="Arial" w:hAnsi="Arial" w:cs="Arial"/>
                <w:b w:val="0"/>
                <w:color w:val="000000"/>
                <w:sz w:val="20"/>
                <w:szCs w:val="20"/>
                <w:vertAlign w:val="superscript"/>
              </w:rPr>
              <w:t>-1</w:t>
            </w:r>
          </w:p>
        </w:tc>
        <w:tc>
          <w:tcPr>
            <w:tcW w:w="1308" w:type="dxa"/>
          </w:tcPr>
          <w:p w14:paraId="000000BE"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F"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12.8 ± 1.2a</w:t>
            </w:r>
          </w:p>
          <w:p w14:paraId="000000C0"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C1"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2"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12 ± 1ab</w:t>
            </w:r>
          </w:p>
        </w:tc>
        <w:tc>
          <w:tcPr>
            <w:tcW w:w="1417" w:type="dxa"/>
          </w:tcPr>
          <w:p w14:paraId="000000C3"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4"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34.2 ± 1.8a</w:t>
            </w:r>
          </w:p>
          <w:p w14:paraId="000000C5"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C6"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7"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8.4 ± 0.6a</w:t>
            </w:r>
          </w:p>
        </w:tc>
        <w:tc>
          <w:tcPr>
            <w:tcW w:w="1559" w:type="dxa"/>
          </w:tcPr>
          <w:p w14:paraId="000000C8"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9"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5.8 ± 0.6a</w:t>
            </w:r>
          </w:p>
          <w:p w14:paraId="000000CA"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CB"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C"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4 ± 0.7a</w:t>
            </w:r>
          </w:p>
        </w:tc>
        <w:tc>
          <w:tcPr>
            <w:tcW w:w="1559" w:type="dxa"/>
          </w:tcPr>
          <w:p w14:paraId="000000CD"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E"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3.2 ± 0.7a</w:t>
            </w:r>
          </w:p>
        </w:tc>
        <w:tc>
          <w:tcPr>
            <w:tcW w:w="1559" w:type="dxa"/>
          </w:tcPr>
          <w:p w14:paraId="000000CF"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0"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12.6 ±1.2a</w:t>
            </w:r>
          </w:p>
        </w:tc>
        <w:tc>
          <w:tcPr>
            <w:tcW w:w="1418" w:type="dxa"/>
          </w:tcPr>
          <w:p w14:paraId="000000D1"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2"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2.2 ± 0.2a</w:t>
            </w:r>
          </w:p>
        </w:tc>
        <w:tc>
          <w:tcPr>
            <w:tcW w:w="1568" w:type="dxa"/>
          </w:tcPr>
          <w:p w14:paraId="000000D3"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4"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13.8 ± 1.8a</w:t>
            </w:r>
          </w:p>
        </w:tc>
      </w:tr>
      <w:tr w:rsidR="00955C2D" w14:paraId="7A1502FF" w14:textId="77777777" w:rsidTr="00955C2D">
        <w:trPr>
          <w:trHeight w:val="1557"/>
          <w:jc w:val="center"/>
        </w:trPr>
        <w:tc>
          <w:tcPr>
            <w:cnfStyle w:val="001000000000" w:firstRow="0" w:lastRow="0" w:firstColumn="1" w:lastColumn="0" w:oddVBand="0" w:evenVBand="0" w:oddHBand="0" w:evenHBand="0" w:firstRowFirstColumn="0" w:firstRowLastColumn="0" w:lastRowFirstColumn="0" w:lastRowLastColumn="0"/>
            <w:tcW w:w="1522" w:type="dxa"/>
          </w:tcPr>
          <w:p w14:paraId="000000D5" w14:textId="77777777" w:rsidR="00955C2D" w:rsidRDefault="00955C2D">
            <w:pPr>
              <w:pBdr>
                <w:top w:val="nil"/>
                <w:left w:val="nil"/>
                <w:bottom w:val="nil"/>
                <w:right w:val="nil"/>
                <w:between w:val="nil"/>
              </w:pBdr>
              <w:spacing w:after="240"/>
              <w:jc w:val="both"/>
              <w:rPr>
                <w:rFonts w:ascii="Arial" w:eastAsia="Arial" w:hAnsi="Arial" w:cs="Arial"/>
                <w:color w:val="000000"/>
                <w:sz w:val="20"/>
                <w:szCs w:val="20"/>
              </w:rPr>
            </w:pPr>
          </w:p>
          <w:p w14:paraId="000000D6" w14:textId="77777777" w:rsidR="00955C2D" w:rsidRDefault="00A60C06">
            <w:p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b w:val="0"/>
                <w:color w:val="000000"/>
                <w:sz w:val="20"/>
                <w:szCs w:val="20"/>
              </w:rPr>
              <w:t>500mgL</w:t>
            </w:r>
            <w:r>
              <w:rPr>
                <w:rFonts w:ascii="Arial" w:eastAsia="Arial" w:hAnsi="Arial" w:cs="Arial"/>
                <w:b w:val="0"/>
                <w:color w:val="000000"/>
                <w:sz w:val="20"/>
                <w:szCs w:val="20"/>
                <w:vertAlign w:val="superscript"/>
              </w:rPr>
              <w:t>-1</w:t>
            </w:r>
          </w:p>
        </w:tc>
        <w:tc>
          <w:tcPr>
            <w:tcW w:w="1308" w:type="dxa"/>
          </w:tcPr>
          <w:p w14:paraId="000000D7"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8"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15.2 ± 1.6ab</w:t>
            </w:r>
          </w:p>
        </w:tc>
        <w:tc>
          <w:tcPr>
            <w:tcW w:w="1418" w:type="dxa"/>
          </w:tcPr>
          <w:p w14:paraId="000000D9"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A"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18  ± 0.5 </w:t>
            </w:r>
            <w:proofErr w:type="spellStart"/>
            <w:r>
              <w:rPr>
                <w:rFonts w:ascii="Arial" w:eastAsia="Arial" w:hAnsi="Arial" w:cs="Arial"/>
                <w:color w:val="000000"/>
                <w:sz w:val="20"/>
                <w:szCs w:val="20"/>
              </w:rPr>
              <w:t>abc</w:t>
            </w:r>
            <w:proofErr w:type="spellEnd"/>
          </w:p>
          <w:p w14:paraId="000000DB"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7" w:type="dxa"/>
          </w:tcPr>
          <w:p w14:paraId="000000DC"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DD"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41.2 ± 2.4abc</w:t>
            </w:r>
          </w:p>
          <w:p w14:paraId="000000DE"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DF"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0"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10.4 ± 0.5ab</w:t>
            </w:r>
          </w:p>
          <w:p w14:paraId="000000E1"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559" w:type="dxa"/>
          </w:tcPr>
          <w:p w14:paraId="000000E2"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3"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6.6 ± 0.8a</w:t>
            </w:r>
          </w:p>
          <w:p w14:paraId="000000E4"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418" w:type="dxa"/>
          </w:tcPr>
          <w:p w14:paraId="000000E5"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6"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14.8 ± 1.1ac</w:t>
            </w:r>
          </w:p>
        </w:tc>
        <w:tc>
          <w:tcPr>
            <w:tcW w:w="1559" w:type="dxa"/>
          </w:tcPr>
          <w:p w14:paraId="000000E7"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8"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6.8 ± 1ab</w:t>
            </w:r>
          </w:p>
        </w:tc>
        <w:tc>
          <w:tcPr>
            <w:tcW w:w="1559" w:type="dxa"/>
          </w:tcPr>
          <w:p w14:paraId="000000E9"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A"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14.8 ± 1ab</w:t>
            </w:r>
          </w:p>
        </w:tc>
        <w:tc>
          <w:tcPr>
            <w:tcW w:w="1418" w:type="dxa"/>
          </w:tcPr>
          <w:p w14:paraId="000000EB"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C"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7.4 ± 0.6ab</w:t>
            </w:r>
          </w:p>
        </w:tc>
        <w:tc>
          <w:tcPr>
            <w:tcW w:w="1568" w:type="dxa"/>
          </w:tcPr>
          <w:p w14:paraId="000000ED" w14:textId="77777777" w:rsidR="00955C2D" w:rsidRDefault="00955C2D">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EE" w14:textId="77777777" w:rsidR="00955C2D" w:rsidRDefault="00A60C06">
            <w:pPr>
              <w:pBdr>
                <w:top w:val="nil"/>
                <w:left w:val="nil"/>
                <w:bottom w:val="nil"/>
                <w:right w:val="nil"/>
                <w:between w:val="nil"/>
              </w:pBdr>
              <w:spacing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19.8 ± 2.4ab</w:t>
            </w:r>
          </w:p>
        </w:tc>
      </w:tr>
    </w:tbl>
    <w:p w14:paraId="000000EF" w14:textId="77777777" w:rsidR="00955C2D" w:rsidRDefault="00A60C06">
      <w:pPr>
        <w:pBdr>
          <w:top w:val="nil"/>
          <w:left w:val="nil"/>
          <w:bottom w:val="nil"/>
          <w:right w:val="nil"/>
          <w:between w:val="nil"/>
        </w:pBdr>
        <w:spacing w:after="240"/>
        <w:jc w:val="both"/>
        <w:rPr>
          <w:rFonts w:ascii="Arial" w:eastAsia="Arial" w:hAnsi="Arial" w:cs="Arial"/>
          <w:b/>
          <w:color w:val="000000"/>
        </w:rPr>
        <w:sectPr w:rsidR="00955C2D">
          <w:pgSz w:w="15840" w:h="12240" w:orient="landscape"/>
          <w:pgMar w:top="1440" w:right="1440" w:bottom="1440" w:left="1440" w:header="708" w:footer="708" w:gutter="0"/>
          <w:cols w:space="720"/>
        </w:sectPr>
      </w:pPr>
      <w:r>
        <w:rPr>
          <w:rFonts w:ascii="Arial" w:eastAsia="Arial" w:hAnsi="Arial" w:cs="Arial"/>
          <w:b/>
          <w:color w:val="000000"/>
        </w:rPr>
        <w:t xml:space="preserve">Means with different letters show significant differences according </w:t>
      </w:r>
      <w:proofErr w:type="gramStart"/>
      <w:r>
        <w:rPr>
          <w:rFonts w:ascii="Arial" w:eastAsia="Arial" w:hAnsi="Arial" w:cs="Arial"/>
          <w:b/>
          <w:color w:val="000000"/>
        </w:rPr>
        <w:t>to  t</w:t>
      </w:r>
      <w:proofErr w:type="gramEnd"/>
      <w:r>
        <w:rPr>
          <w:rFonts w:ascii="Arial" w:eastAsia="Arial" w:hAnsi="Arial" w:cs="Arial"/>
          <w:b/>
          <w:color w:val="000000"/>
        </w:rPr>
        <w:t>-test  (</w:t>
      </w:r>
      <w:r>
        <w:rPr>
          <w:rFonts w:ascii="Arial" w:eastAsia="Arial" w:hAnsi="Arial" w:cs="Arial"/>
          <w:b/>
          <w:i/>
          <w:color w:val="000000"/>
        </w:rPr>
        <w:t xml:space="preserve">P </w:t>
      </w:r>
      <w:sdt>
        <w:sdtPr>
          <w:tag w:val="goog_rdk_17"/>
          <w:id w:val="641851438"/>
        </w:sdtPr>
        <w:sdtEndPr/>
        <w:sdtContent>
          <w:r>
            <w:rPr>
              <w:rFonts w:ascii="Arial Unicode MS" w:eastAsia="Arial Unicode MS" w:hAnsi="Arial Unicode MS" w:cs="Arial Unicode MS"/>
              <w:b/>
              <w:color w:val="000000"/>
            </w:rPr>
            <w:t>≤ 0.05) .</w:t>
          </w:r>
        </w:sdtContent>
      </w:sdt>
    </w:p>
    <w:p w14:paraId="000000F0" w14:textId="77777777" w:rsidR="00955C2D" w:rsidRDefault="00955C2D">
      <w:pPr>
        <w:widowControl w:val="0"/>
        <w:pBdr>
          <w:top w:val="nil"/>
          <w:left w:val="nil"/>
          <w:bottom w:val="nil"/>
          <w:right w:val="nil"/>
          <w:between w:val="nil"/>
        </w:pBdr>
        <w:spacing w:line="276" w:lineRule="auto"/>
        <w:rPr>
          <w:rFonts w:ascii="Arial" w:eastAsia="Arial" w:hAnsi="Arial" w:cs="Arial"/>
          <w:b/>
          <w:color w:val="000000"/>
        </w:rPr>
      </w:pPr>
    </w:p>
    <w:tbl>
      <w:tblPr>
        <w:tblStyle w:val="a6"/>
        <w:tblW w:w="81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758"/>
        <w:gridCol w:w="2715"/>
        <w:gridCol w:w="2725"/>
      </w:tblGrid>
      <w:tr w:rsidR="00955C2D" w14:paraId="60F37EB7" w14:textId="77777777" w:rsidTr="00955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8" w:type="dxa"/>
          </w:tcPr>
          <w:p w14:paraId="000000F1"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Paracetamol Concentration (mgL</w:t>
            </w:r>
            <w:r>
              <w:rPr>
                <w:rFonts w:ascii="Arial" w:eastAsia="Arial" w:hAnsi="Arial" w:cs="Arial"/>
                <w:b w:val="0"/>
                <w:color w:val="000000"/>
                <w:sz w:val="20"/>
                <w:szCs w:val="20"/>
                <w:vertAlign w:val="superscript"/>
              </w:rPr>
              <w:t>-1</w:t>
            </w:r>
            <w:r>
              <w:rPr>
                <w:rFonts w:ascii="Arial" w:eastAsia="Arial" w:hAnsi="Arial" w:cs="Arial"/>
                <w:b w:val="0"/>
                <w:color w:val="000000"/>
                <w:sz w:val="20"/>
                <w:szCs w:val="20"/>
              </w:rPr>
              <w:t>)</w:t>
            </w:r>
          </w:p>
        </w:tc>
        <w:tc>
          <w:tcPr>
            <w:tcW w:w="2715" w:type="dxa"/>
          </w:tcPr>
          <w:p w14:paraId="000000F2"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Micronuclei Index (%)</w:t>
            </w:r>
          </w:p>
          <w:p w14:paraId="000000F3" w14:textId="77777777" w:rsidR="00955C2D" w:rsidRDefault="00955C2D">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2725" w:type="dxa"/>
          </w:tcPr>
          <w:p w14:paraId="000000F4" w14:textId="77777777" w:rsidR="00955C2D" w:rsidRDefault="00A60C06">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Relative Rate of Abnormality (%)</w:t>
            </w:r>
          </w:p>
          <w:p w14:paraId="000000F5" w14:textId="77777777" w:rsidR="00955C2D" w:rsidRDefault="00955C2D">
            <w:pPr>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color w:val="000000"/>
                <w:sz w:val="20"/>
                <w:szCs w:val="20"/>
              </w:rPr>
            </w:pPr>
          </w:p>
        </w:tc>
      </w:tr>
      <w:tr w:rsidR="00955C2D" w14:paraId="78510D84" w14:textId="77777777" w:rsidTr="00955C2D">
        <w:tc>
          <w:tcPr>
            <w:cnfStyle w:val="001000000000" w:firstRow="0" w:lastRow="0" w:firstColumn="1" w:lastColumn="0" w:oddVBand="0" w:evenVBand="0" w:oddHBand="0" w:evenHBand="0" w:firstRowFirstColumn="0" w:firstRowLastColumn="0" w:lastRowFirstColumn="0" w:lastRowLastColumn="0"/>
            <w:tcW w:w="2758" w:type="dxa"/>
          </w:tcPr>
          <w:p w14:paraId="000000F6"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Control</w:t>
            </w:r>
          </w:p>
        </w:tc>
        <w:tc>
          <w:tcPr>
            <w:tcW w:w="2715" w:type="dxa"/>
          </w:tcPr>
          <w:p w14:paraId="000000F7"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w:t>
            </w:r>
          </w:p>
        </w:tc>
        <w:tc>
          <w:tcPr>
            <w:tcW w:w="2725" w:type="dxa"/>
          </w:tcPr>
          <w:p w14:paraId="000000F8"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0.8</w:t>
            </w:r>
          </w:p>
        </w:tc>
      </w:tr>
      <w:tr w:rsidR="00955C2D" w14:paraId="58807564" w14:textId="77777777" w:rsidTr="00955C2D">
        <w:tc>
          <w:tcPr>
            <w:cnfStyle w:val="001000000000" w:firstRow="0" w:lastRow="0" w:firstColumn="1" w:lastColumn="0" w:oddVBand="0" w:evenVBand="0" w:oddHBand="0" w:evenHBand="0" w:firstRowFirstColumn="0" w:firstRowLastColumn="0" w:lastRowFirstColumn="0" w:lastRowLastColumn="0"/>
            <w:tcW w:w="2758" w:type="dxa"/>
          </w:tcPr>
          <w:p w14:paraId="000000F9"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125mgL</w:t>
            </w:r>
            <w:r>
              <w:rPr>
                <w:rFonts w:ascii="Arial" w:eastAsia="Arial" w:hAnsi="Arial" w:cs="Arial"/>
                <w:b w:val="0"/>
                <w:color w:val="000000"/>
                <w:sz w:val="20"/>
                <w:szCs w:val="20"/>
                <w:vertAlign w:val="superscript"/>
              </w:rPr>
              <w:t>-1</w:t>
            </w:r>
          </w:p>
        </w:tc>
        <w:tc>
          <w:tcPr>
            <w:tcW w:w="2715" w:type="dxa"/>
          </w:tcPr>
          <w:p w14:paraId="000000FA"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0.96 </w:t>
            </w:r>
            <m:oMath>
              <m:r>
                <w:rPr>
                  <w:rFonts w:ascii="Cambria Math" w:hAnsi="Cambria Math"/>
                </w:rPr>
                <m:t>±</m:t>
              </m:r>
            </m:oMath>
            <w:r>
              <w:rPr>
                <w:rFonts w:ascii="Arial" w:eastAsia="Arial" w:hAnsi="Arial" w:cs="Arial"/>
                <w:color w:val="000000"/>
                <w:sz w:val="20"/>
                <w:szCs w:val="20"/>
              </w:rPr>
              <w:t xml:space="preserve"> 0.2</w:t>
            </w:r>
          </w:p>
        </w:tc>
        <w:tc>
          <w:tcPr>
            <w:tcW w:w="2725" w:type="dxa"/>
          </w:tcPr>
          <w:p w14:paraId="000000FB"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8.6</w:t>
            </w:r>
          </w:p>
        </w:tc>
      </w:tr>
      <w:tr w:rsidR="00955C2D" w14:paraId="532461A8" w14:textId="77777777" w:rsidTr="00955C2D">
        <w:tc>
          <w:tcPr>
            <w:cnfStyle w:val="001000000000" w:firstRow="0" w:lastRow="0" w:firstColumn="1" w:lastColumn="0" w:oddVBand="0" w:evenVBand="0" w:oddHBand="0" w:evenHBand="0" w:firstRowFirstColumn="0" w:firstRowLastColumn="0" w:lastRowFirstColumn="0" w:lastRowLastColumn="0"/>
            <w:tcW w:w="2758" w:type="dxa"/>
          </w:tcPr>
          <w:p w14:paraId="000000FC"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250mgL</w:t>
            </w:r>
            <w:r>
              <w:rPr>
                <w:rFonts w:ascii="Arial" w:eastAsia="Arial" w:hAnsi="Arial" w:cs="Arial"/>
                <w:b w:val="0"/>
                <w:color w:val="000000"/>
                <w:sz w:val="20"/>
                <w:szCs w:val="20"/>
                <w:vertAlign w:val="superscript"/>
              </w:rPr>
              <w:t>-1</w:t>
            </w:r>
          </w:p>
        </w:tc>
        <w:tc>
          <w:tcPr>
            <w:tcW w:w="2715" w:type="dxa"/>
          </w:tcPr>
          <w:p w14:paraId="000000FD"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1.2 </w:t>
            </w:r>
            <m:oMath>
              <m:r>
                <w:rPr>
                  <w:rFonts w:ascii="Cambria Math" w:hAnsi="Cambria Math"/>
                </w:rPr>
                <m:t>±</m:t>
              </m:r>
            </m:oMath>
            <w:r>
              <w:rPr>
                <w:rFonts w:ascii="Arial" w:eastAsia="Arial" w:hAnsi="Arial" w:cs="Arial"/>
                <w:color w:val="000000"/>
                <w:sz w:val="20"/>
                <w:szCs w:val="20"/>
              </w:rPr>
              <w:t xml:space="preserve"> 0.5</w:t>
            </w:r>
          </w:p>
        </w:tc>
        <w:tc>
          <w:tcPr>
            <w:tcW w:w="2725" w:type="dxa"/>
          </w:tcPr>
          <w:p w14:paraId="000000FE"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10.9</w:t>
            </w:r>
          </w:p>
        </w:tc>
      </w:tr>
      <w:tr w:rsidR="00955C2D" w14:paraId="35C34C30" w14:textId="77777777" w:rsidTr="00955C2D">
        <w:tc>
          <w:tcPr>
            <w:cnfStyle w:val="001000000000" w:firstRow="0" w:lastRow="0" w:firstColumn="1" w:lastColumn="0" w:oddVBand="0" w:evenVBand="0" w:oddHBand="0" w:evenHBand="0" w:firstRowFirstColumn="0" w:firstRowLastColumn="0" w:lastRowFirstColumn="0" w:lastRowLastColumn="0"/>
            <w:tcW w:w="2758" w:type="dxa"/>
          </w:tcPr>
          <w:p w14:paraId="000000FF" w14:textId="77777777" w:rsidR="00955C2D" w:rsidRDefault="00A60C06">
            <w:pPr>
              <w:pBdr>
                <w:top w:val="nil"/>
                <w:left w:val="nil"/>
                <w:bottom w:val="nil"/>
                <w:right w:val="nil"/>
                <w:between w:val="nil"/>
              </w:pBdr>
              <w:spacing w:after="240"/>
              <w:jc w:val="center"/>
              <w:rPr>
                <w:rFonts w:ascii="Arial" w:eastAsia="Arial" w:hAnsi="Arial" w:cs="Arial"/>
                <w:color w:val="000000"/>
                <w:sz w:val="20"/>
                <w:szCs w:val="20"/>
              </w:rPr>
            </w:pPr>
            <w:r>
              <w:rPr>
                <w:rFonts w:ascii="Arial" w:eastAsia="Arial" w:hAnsi="Arial" w:cs="Arial"/>
                <w:b w:val="0"/>
                <w:color w:val="000000"/>
                <w:sz w:val="20"/>
                <w:szCs w:val="20"/>
              </w:rPr>
              <w:t>500mgL</w:t>
            </w:r>
            <w:r>
              <w:rPr>
                <w:rFonts w:ascii="Arial" w:eastAsia="Arial" w:hAnsi="Arial" w:cs="Arial"/>
                <w:b w:val="0"/>
                <w:color w:val="000000"/>
                <w:sz w:val="20"/>
                <w:szCs w:val="20"/>
                <w:vertAlign w:val="superscript"/>
              </w:rPr>
              <w:t>-1</w:t>
            </w:r>
          </w:p>
        </w:tc>
        <w:tc>
          <w:tcPr>
            <w:tcW w:w="2715" w:type="dxa"/>
          </w:tcPr>
          <w:p w14:paraId="00000100"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1.8 </w:t>
            </w:r>
            <m:oMath>
              <m:r>
                <w:rPr>
                  <w:rFonts w:ascii="Cambria Math" w:hAnsi="Cambria Math"/>
                </w:rPr>
                <m:t>±</m:t>
              </m:r>
            </m:oMath>
            <w:r>
              <w:rPr>
                <w:rFonts w:ascii="Arial" w:eastAsia="Arial" w:hAnsi="Arial" w:cs="Arial"/>
                <w:color w:val="000000"/>
                <w:sz w:val="20"/>
                <w:szCs w:val="20"/>
              </w:rPr>
              <w:t xml:space="preserve"> 0.72</w:t>
            </w:r>
          </w:p>
        </w:tc>
        <w:tc>
          <w:tcPr>
            <w:tcW w:w="2725" w:type="dxa"/>
          </w:tcPr>
          <w:p w14:paraId="00000101" w14:textId="77777777" w:rsidR="00955C2D" w:rsidRDefault="00A60C06">
            <w:pPr>
              <w:pBdr>
                <w:top w:val="nil"/>
                <w:left w:val="nil"/>
                <w:bottom w:val="nil"/>
                <w:right w:val="nil"/>
                <w:between w:val="nil"/>
              </w:pBdr>
              <w:spacing w:after="2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15.5</w:t>
            </w:r>
          </w:p>
        </w:tc>
      </w:tr>
    </w:tbl>
    <w:p w14:paraId="00000102" w14:textId="77777777" w:rsidR="00955C2D" w:rsidRDefault="00A60C06">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 xml:space="preserve">Table 4: Micronuclei index (%) &amp; Relative Rate of Abnormality (%) of Allium </w:t>
      </w:r>
      <w:proofErr w:type="spellStart"/>
      <w:r>
        <w:rPr>
          <w:rFonts w:ascii="Arial" w:eastAsia="Arial" w:hAnsi="Arial" w:cs="Arial"/>
          <w:b/>
          <w:color w:val="000000"/>
        </w:rPr>
        <w:t>cepa</w:t>
      </w:r>
      <w:proofErr w:type="spellEnd"/>
    </w:p>
    <w:p w14:paraId="00000103" w14:textId="77777777" w:rsidR="00955C2D" w:rsidRDefault="00955C2D">
      <w:pPr>
        <w:pBdr>
          <w:top w:val="nil"/>
          <w:left w:val="nil"/>
          <w:bottom w:val="nil"/>
          <w:right w:val="nil"/>
          <w:between w:val="nil"/>
        </w:pBdr>
        <w:jc w:val="both"/>
        <w:rPr>
          <w:rFonts w:ascii="Arial" w:eastAsia="Arial" w:hAnsi="Arial" w:cs="Arial"/>
          <w:color w:val="000000"/>
        </w:rPr>
      </w:pPr>
    </w:p>
    <w:p w14:paraId="00000104" w14:textId="77777777" w:rsidR="00955C2D" w:rsidRDefault="00A60C0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00000105" w14:textId="77777777" w:rsidR="00955C2D" w:rsidRDefault="00955C2D">
      <w:pPr>
        <w:keepNext/>
        <w:pBdr>
          <w:top w:val="nil"/>
          <w:left w:val="nil"/>
          <w:bottom w:val="nil"/>
          <w:right w:val="nil"/>
          <w:between w:val="nil"/>
        </w:pBdr>
        <w:jc w:val="both"/>
        <w:rPr>
          <w:rFonts w:ascii="Arial" w:eastAsia="Arial" w:hAnsi="Arial" w:cs="Arial"/>
          <w:b/>
          <w:smallCaps/>
          <w:color w:val="000000"/>
          <w:sz w:val="22"/>
          <w:szCs w:val="22"/>
        </w:rPr>
      </w:pPr>
    </w:p>
    <w:p w14:paraId="00000106" w14:textId="77777777" w:rsidR="00955C2D" w:rsidRDefault="00A60C06">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present study aimed to evaluate the cytotoxic effects of Paracetamol using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color w:val="000000"/>
        </w:rPr>
        <w:t xml:space="preserve">. The findings indicate that </w:t>
      </w:r>
      <w:r>
        <w:rPr>
          <w:rFonts w:ascii="Arial" w:eastAsia="Arial" w:hAnsi="Arial" w:cs="Arial"/>
          <w:i/>
          <w:color w:val="000000"/>
        </w:rPr>
        <w:t xml:space="preserve">A. </w:t>
      </w:r>
      <w:proofErr w:type="spellStart"/>
      <w:r>
        <w:rPr>
          <w:rFonts w:ascii="Arial" w:eastAsia="Arial" w:hAnsi="Arial" w:cs="Arial"/>
          <w:i/>
          <w:color w:val="000000"/>
        </w:rPr>
        <w:t>cepa</w:t>
      </w:r>
      <w:proofErr w:type="spellEnd"/>
      <w:r>
        <w:rPr>
          <w:rFonts w:ascii="Arial" w:eastAsia="Arial" w:hAnsi="Arial" w:cs="Arial"/>
          <w:i/>
          <w:color w:val="000000"/>
        </w:rPr>
        <w:t xml:space="preserve"> </w:t>
      </w:r>
      <w:r>
        <w:rPr>
          <w:rFonts w:ascii="Arial" w:eastAsia="Arial" w:hAnsi="Arial" w:cs="Arial"/>
          <w:color w:val="000000"/>
        </w:rPr>
        <w:t xml:space="preserve">is </w:t>
      </w:r>
      <w:sdt>
        <w:sdtPr>
          <w:tag w:val="goog_rdk_18"/>
          <w:id w:val="1084033106"/>
        </w:sdtPr>
        <w:sdtEndPr/>
        <w:sdtContent>
          <w:commentRangeStart w:id="19"/>
        </w:sdtContent>
      </w:sdt>
      <w:r>
        <w:rPr>
          <w:rFonts w:ascii="Arial" w:eastAsia="Arial" w:hAnsi="Arial" w:cs="Arial"/>
          <w:color w:val="000000"/>
        </w:rPr>
        <w:t xml:space="preserve">a suitable model </w:t>
      </w:r>
      <w:commentRangeEnd w:id="19"/>
      <w:r>
        <w:commentReference w:id="19"/>
      </w:r>
      <w:r>
        <w:rPr>
          <w:rFonts w:ascii="Arial" w:eastAsia="Arial" w:hAnsi="Arial" w:cs="Arial"/>
          <w:color w:val="000000"/>
        </w:rPr>
        <w:t>for conducting the toxicological assays, as the tested concentrations yielded positive results. Observations included inhibited root growth, abnormalities in the mitotic process, and a concerning micronucleus index across all tested con</w:t>
      </w:r>
      <w:r>
        <w:rPr>
          <w:rFonts w:ascii="Arial" w:eastAsia="Arial" w:hAnsi="Arial" w:cs="Arial"/>
          <w:color w:val="000000"/>
        </w:rPr>
        <w:t>centrations. These results highlight the potential for constant exposure to Paracetamol, particularly at higher concentrations, to cause irreversible ecological damage by compromising genome integrity. However, despite testing a wide range of Paracetamol c</w:t>
      </w:r>
      <w:r>
        <w:rPr>
          <w:rFonts w:ascii="Arial" w:eastAsia="Arial" w:hAnsi="Arial" w:cs="Arial"/>
          <w:color w:val="000000"/>
        </w:rPr>
        <w:t>oncentrations, it remains essential to analytically validate these concentrations and characterize the active metabolites of the pharmaceutical compound.</w:t>
      </w:r>
    </w:p>
    <w:p w14:paraId="00000107" w14:textId="77777777" w:rsidR="00955C2D" w:rsidRDefault="00955C2D">
      <w:pPr>
        <w:keepNext/>
        <w:pBdr>
          <w:top w:val="nil"/>
          <w:left w:val="nil"/>
          <w:bottom w:val="nil"/>
          <w:right w:val="nil"/>
          <w:between w:val="nil"/>
        </w:pBdr>
        <w:jc w:val="both"/>
        <w:rPr>
          <w:rFonts w:ascii="Arial" w:eastAsia="Arial" w:hAnsi="Arial" w:cs="Arial"/>
          <w:color w:val="000000"/>
          <w:sz w:val="22"/>
          <w:szCs w:val="22"/>
        </w:rPr>
      </w:pPr>
    </w:p>
    <w:p w14:paraId="00000108" w14:textId="77777777" w:rsidR="00955C2D" w:rsidRDefault="00A60C06">
      <w:pPr>
        <w:jc w:val="both"/>
        <w:rPr>
          <w:rFonts w:ascii="Arial" w:eastAsia="Arial" w:hAnsi="Arial" w:cs="Arial"/>
        </w:rPr>
      </w:pPr>
      <w:r>
        <w:rPr>
          <w:rFonts w:ascii="Arial" w:eastAsia="Arial" w:hAnsi="Arial" w:cs="Arial"/>
          <w:b/>
        </w:rPr>
        <w:t>COMPETING INTERESTS DISCLAIMER:</w:t>
      </w:r>
    </w:p>
    <w:p w14:paraId="00000109" w14:textId="77777777" w:rsidR="00955C2D" w:rsidRDefault="00A60C06">
      <w:r>
        <w:t>Authors have declared that they have no known competing financial int</w:t>
      </w:r>
      <w:r>
        <w:t>erests OR non-financial interests OR personal relationships that could have appeared to influence the work reported in this paper.</w:t>
      </w:r>
    </w:p>
    <w:p w14:paraId="0000010A" w14:textId="77777777" w:rsidR="00955C2D" w:rsidRDefault="00955C2D">
      <w:pPr>
        <w:keepNext/>
        <w:pBdr>
          <w:top w:val="nil"/>
          <w:left w:val="nil"/>
          <w:bottom w:val="nil"/>
          <w:right w:val="nil"/>
          <w:between w:val="nil"/>
        </w:pBdr>
        <w:jc w:val="both"/>
        <w:rPr>
          <w:rFonts w:ascii="Arial" w:eastAsia="Arial" w:hAnsi="Arial" w:cs="Arial"/>
          <w:smallCaps/>
          <w:color w:val="000000"/>
          <w:sz w:val="22"/>
          <w:szCs w:val="22"/>
        </w:rPr>
      </w:pPr>
    </w:p>
    <w:p w14:paraId="0000010B" w14:textId="77777777" w:rsidR="00955C2D" w:rsidRDefault="00955C2D">
      <w:pPr>
        <w:keepNext/>
        <w:pBdr>
          <w:top w:val="nil"/>
          <w:left w:val="nil"/>
          <w:bottom w:val="nil"/>
          <w:right w:val="nil"/>
          <w:between w:val="nil"/>
        </w:pBdr>
        <w:jc w:val="both"/>
        <w:rPr>
          <w:rFonts w:ascii="Arial" w:eastAsia="Arial" w:hAnsi="Arial" w:cs="Arial"/>
          <w:color w:val="000000"/>
        </w:rPr>
      </w:pPr>
    </w:p>
    <w:p w14:paraId="0000010C" w14:textId="77777777" w:rsidR="00955C2D" w:rsidRDefault="00955C2D">
      <w:pPr>
        <w:keepNext/>
        <w:pBdr>
          <w:top w:val="nil"/>
          <w:left w:val="nil"/>
          <w:bottom w:val="nil"/>
          <w:right w:val="nil"/>
          <w:between w:val="nil"/>
        </w:pBdr>
        <w:jc w:val="both"/>
        <w:rPr>
          <w:rFonts w:ascii="Arial" w:eastAsia="Arial" w:hAnsi="Arial" w:cs="Arial"/>
          <w:color w:val="000000"/>
        </w:rPr>
      </w:pPr>
    </w:p>
    <w:p w14:paraId="0000010D" w14:textId="77777777" w:rsidR="00955C2D" w:rsidRDefault="00A60C0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0000010E" w14:textId="77777777" w:rsidR="00955C2D" w:rsidRDefault="00955C2D">
      <w:pPr>
        <w:keepNext/>
        <w:pBdr>
          <w:top w:val="nil"/>
          <w:left w:val="nil"/>
          <w:bottom w:val="nil"/>
          <w:right w:val="nil"/>
          <w:between w:val="nil"/>
        </w:pBdr>
        <w:jc w:val="both"/>
        <w:rPr>
          <w:rFonts w:ascii="Arial" w:eastAsia="Arial" w:hAnsi="Arial" w:cs="Arial"/>
          <w:b/>
          <w:smallCaps/>
          <w:color w:val="000000"/>
          <w:sz w:val="22"/>
          <w:szCs w:val="22"/>
        </w:rPr>
      </w:pPr>
    </w:p>
    <w:p w14:paraId="0000010F"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Abraham, P. (2005). Oxidative stress in paracetamol-induced </w:t>
      </w:r>
      <w:proofErr w:type="gramStart"/>
      <w:r>
        <w:rPr>
          <w:rFonts w:ascii="Helvetica Neue" w:hAnsi="Helvetica Neue"/>
          <w:color w:val="000000"/>
        </w:rPr>
        <w:t>pathogenesis:</w:t>
      </w:r>
      <w:proofErr w:type="gramEnd"/>
      <w:r>
        <w:rPr>
          <w:rFonts w:ascii="Helvetica Neue" w:hAnsi="Helvetica Neue"/>
          <w:color w:val="000000"/>
        </w:rPr>
        <w:t>(I) Renal damage.</w:t>
      </w:r>
    </w:p>
    <w:p w14:paraId="00000110"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Aksoy</w:t>
      </w:r>
      <w:proofErr w:type="spellEnd"/>
      <w:r>
        <w:rPr>
          <w:rFonts w:ascii="Helvetica Neue" w:hAnsi="Helvetica Neue"/>
          <w:color w:val="000000"/>
        </w:rPr>
        <w:t>, Ö. (2017). Detection of environmental mutagens through plant bioassays. </w:t>
      </w:r>
      <w:r>
        <w:rPr>
          <w:rFonts w:ascii="Helvetica Neue" w:hAnsi="Helvetica Neue"/>
          <w:i/>
          <w:color w:val="000000"/>
        </w:rPr>
        <w:t xml:space="preserve">Plant Ecology-Traditional Approaches to Recent Trends. </w:t>
      </w:r>
      <w:proofErr w:type="spellStart"/>
      <w:r>
        <w:rPr>
          <w:rFonts w:ascii="Helvetica Neue" w:hAnsi="Helvetica Neue"/>
          <w:i/>
          <w:color w:val="000000"/>
        </w:rPr>
        <w:t>InTech</w:t>
      </w:r>
      <w:proofErr w:type="spellEnd"/>
      <w:r>
        <w:rPr>
          <w:rFonts w:ascii="Helvetica Neue" w:hAnsi="Helvetica Neue"/>
          <w:i/>
          <w:color w:val="000000"/>
        </w:rPr>
        <w:t xml:space="preserve"> Open</w:t>
      </w:r>
      <w:r>
        <w:rPr>
          <w:rFonts w:ascii="Helvetica Neue" w:hAnsi="Helvetica Neue"/>
          <w:color w:val="000000"/>
        </w:rPr>
        <w:t>, 9-23.</w:t>
      </w:r>
    </w:p>
    <w:p w14:paraId="00000111"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An, J., Zhou, Q., Sun, F., &amp; Zhang, L. (2009). </w:t>
      </w:r>
      <w:proofErr w:type="spellStart"/>
      <w:r>
        <w:rPr>
          <w:rFonts w:ascii="Helvetica Neue" w:hAnsi="Helvetica Neue"/>
          <w:color w:val="000000"/>
        </w:rPr>
        <w:t>Ecotoxicological</w:t>
      </w:r>
      <w:proofErr w:type="spellEnd"/>
      <w:r>
        <w:rPr>
          <w:rFonts w:ascii="Helvetica Neue" w:hAnsi="Helvetica Neue"/>
          <w:color w:val="000000"/>
        </w:rPr>
        <w:t xml:space="preserve"> effects of paracetamol on seed germinat</w:t>
      </w:r>
      <w:r>
        <w:rPr>
          <w:rFonts w:ascii="Helvetica Neue" w:hAnsi="Helvetica Neue"/>
          <w:color w:val="000000"/>
        </w:rPr>
        <w:t>ion and seedling development of wheat (</w:t>
      </w:r>
      <w:proofErr w:type="spellStart"/>
      <w:r>
        <w:rPr>
          <w:rFonts w:ascii="Helvetica Neue" w:hAnsi="Helvetica Neue"/>
          <w:color w:val="000000"/>
        </w:rPr>
        <w:t>Triticum</w:t>
      </w:r>
      <w:proofErr w:type="spellEnd"/>
      <w:r>
        <w:rPr>
          <w:rFonts w:ascii="Helvetica Neue" w:hAnsi="Helvetica Neue"/>
          <w:color w:val="000000"/>
        </w:rPr>
        <w:t xml:space="preserve"> </w:t>
      </w:r>
      <w:proofErr w:type="spellStart"/>
      <w:r>
        <w:rPr>
          <w:rFonts w:ascii="Helvetica Neue" w:hAnsi="Helvetica Neue"/>
          <w:color w:val="000000"/>
        </w:rPr>
        <w:t>aestivum</w:t>
      </w:r>
      <w:proofErr w:type="spellEnd"/>
      <w:r>
        <w:rPr>
          <w:rFonts w:ascii="Helvetica Neue" w:hAnsi="Helvetica Neue"/>
          <w:color w:val="000000"/>
        </w:rPr>
        <w:t xml:space="preserve"> L.). </w:t>
      </w:r>
      <w:r>
        <w:rPr>
          <w:rFonts w:ascii="Helvetica Neue" w:hAnsi="Helvetica Neue"/>
          <w:i/>
          <w:color w:val="000000"/>
        </w:rPr>
        <w:t>Journal of Hazardous materials</w:t>
      </w:r>
      <w:r>
        <w:rPr>
          <w:rFonts w:ascii="Helvetica Neue" w:hAnsi="Helvetica Neue"/>
          <w:color w:val="000000"/>
        </w:rPr>
        <w:t>, </w:t>
      </w:r>
      <w:r>
        <w:rPr>
          <w:rFonts w:ascii="Helvetica Neue" w:hAnsi="Helvetica Neue"/>
          <w:i/>
          <w:color w:val="000000"/>
        </w:rPr>
        <w:t>169</w:t>
      </w:r>
      <w:r>
        <w:rPr>
          <w:rFonts w:ascii="Helvetica Neue" w:hAnsi="Helvetica Neue"/>
          <w:color w:val="000000"/>
        </w:rPr>
        <w:t>(1-3), 751-757.</w:t>
      </w:r>
      <w:hyperlink r:id="rId24">
        <w:r>
          <w:rPr>
            <w:rFonts w:ascii="Helvetica Neue" w:hAnsi="Helvetica Neue"/>
            <w:color w:val="FF0080"/>
            <w:u w:val="single"/>
          </w:rPr>
          <w:t>https://doi.org/10.1016/j.jhazmat.2009.04.011</w:t>
        </w:r>
      </w:hyperlink>
      <w:r>
        <w:rPr>
          <w:rFonts w:ascii="Helvetica Neue" w:hAnsi="Helvetica Neue"/>
          <w:color w:val="000000"/>
        </w:rPr>
        <w:t xml:space="preserve"> </w:t>
      </w:r>
    </w:p>
    <w:p w14:paraId="00000112"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Azzazy</w:t>
      </w:r>
      <w:proofErr w:type="spellEnd"/>
      <w:r>
        <w:rPr>
          <w:rFonts w:ascii="Helvetica Neue" w:hAnsi="Helvetica Neue"/>
          <w:color w:val="000000"/>
        </w:rPr>
        <w:t xml:space="preserve">, M. F. (2020). Plant </w:t>
      </w:r>
      <w:proofErr w:type="spellStart"/>
      <w:r>
        <w:rPr>
          <w:rFonts w:ascii="Helvetica Neue" w:hAnsi="Helvetica Neue"/>
          <w:color w:val="000000"/>
        </w:rPr>
        <w:t>bioi</w:t>
      </w:r>
      <w:r>
        <w:rPr>
          <w:rFonts w:ascii="Helvetica Neue" w:hAnsi="Helvetica Neue"/>
          <w:color w:val="000000"/>
        </w:rPr>
        <w:t>ndicators</w:t>
      </w:r>
      <w:proofErr w:type="spellEnd"/>
      <w:r>
        <w:rPr>
          <w:rFonts w:ascii="Helvetica Neue" w:hAnsi="Helvetica Neue"/>
          <w:color w:val="000000"/>
        </w:rPr>
        <w:t xml:space="preserve"> of pollution in Sadat city, Western </w:t>
      </w:r>
      <w:proofErr w:type="spellStart"/>
      <w:proofErr w:type="gramStart"/>
      <w:r>
        <w:rPr>
          <w:rFonts w:ascii="Helvetica Neue" w:hAnsi="Helvetica Neue"/>
          <w:color w:val="000000"/>
        </w:rPr>
        <w:t>nile</w:t>
      </w:r>
      <w:proofErr w:type="spellEnd"/>
      <w:proofErr w:type="gramEnd"/>
      <w:r>
        <w:rPr>
          <w:rFonts w:ascii="Helvetica Neue" w:hAnsi="Helvetica Neue"/>
          <w:color w:val="000000"/>
        </w:rPr>
        <w:t xml:space="preserve"> Delta, Egypt. </w:t>
      </w:r>
      <w:proofErr w:type="spellStart"/>
      <w:r>
        <w:rPr>
          <w:rFonts w:ascii="Helvetica Neue" w:hAnsi="Helvetica Neue"/>
          <w:i/>
          <w:color w:val="000000"/>
        </w:rPr>
        <w:t>PLoS</w:t>
      </w:r>
      <w:proofErr w:type="spellEnd"/>
      <w:r>
        <w:rPr>
          <w:rFonts w:ascii="Helvetica Neue" w:hAnsi="Helvetica Neue"/>
          <w:i/>
          <w:color w:val="000000"/>
        </w:rPr>
        <w:t xml:space="preserve"> One</w:t>
      </w:r>
      <w:r>
        <w:rPr>
          <w:rFonts w:ascii="Helvetica Neue" w:hAnsi="Helvetica Neue"/>
          <w:color w:val="000000"/>
        </w:rPr>
        <w:t>, </w:t>
      </w:r>
      <w:r>
        <w:rPr>
          <w:rFonts w:ascii="Helvetica Neue" w:hAnsi="Helvetica Neue"/>
          <w:i/>
          <w:color w:val="000000"/>
        </w:rPr>
        <w:t>15</w:t>
      </w:r>
      <w:r>
        <w:rPr>
          <w:rFonts w:ascii="Helvetica Neue" w:hAnsi="Helvetica Neue"/>
          <w:color w:val="000000"/>
        </w:rPr>
        <w:t xml:space="preserve">(3), e0226315. </w:t>
      </w:r>
      <w:hyperlink r:id="rId25">
        <w:r>
          <w:rPr>
            <w:rFonts w:ascii="Helvetica Neue" w:hAnsi="Helvetica Neue"/>
            <w:color w:val="FF0080"/>
            <w:u w:val="single"/>
          </w:rPr>
          <w:t>https://doi.org/10.1371/journal.pone.0226315</w:t>
        </w:r>
      </w:hyperlink>
    </w:p>
    <w:p w14:paraId="00000113"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lastRenderedPageBreak/>
        <w:t>Bartholomé</w:t>
      </w:r>
      <w:proofErr w:type="spellEnd"/>
      <w:r>
        <w:rPr>
          <w:rFonts w:ascii="Helvetica Neue" w:hAnsi="Helvetica Neue"/>
          <w:color w:val="000000"/>
        </w:rPr>
        <w:t xml:space="preserve">, R., </w:t>
      </w:r>
      <w:proofErr w:type="spellStart"/>
      <w:r>
        <w:rPr>
          <w:rFonts w:ascii="Helvetica Neue" w:hAnsi="Helvetica Neue"/>
          <w:color w:val="000000"/>
        </w:rPr>
        <w:t>Salden</w:t>
      </w:r>
      <w:proofErr w:type="spellEnd"/>
      <w:r>
        <w:rPr>
          <w:rFonts w:ascii="Helvetica Neue" w:hAnsi="Helvetica Neue"/>
          <w:color w:val="000000"/>
        </w:rPr>
        <w:t xml:space="preserve">, B., </w:t>
      </w:r>
      <w:proofErr w:type="spellStart"/>
      <w:r>
        <w:rPr>
          <w:rFonts w:ascii="Helvetica Neue" w:hAnsi="Helvetica Neue"/>
          <w:color w:val="000000"/>
        </w:rPr>
        <w:t>Vrolijk</w:t>
      </w:r>
      <w:proofErr w:type="spellEnd"/>
      <w:r>
        <w:rPr>
          <w:rFonts w:ascii="Helvetica Neue" w:hAnsi="Helvetica Neue"/>
          <w:color w:val="000000"/>
        </w:rPr>
        <w:t xml:space="preserve">, M. F., </w:t>
      </w:r>
      <w:proofErr w:type="spellStart"/>
      <w:r>
        <w:rPr>
          <w:rFonts w:ascii="Helvetica Neue" w:hAnsi="Helvetica Neue"/>
          <w:color w:val="000000"/>
        </w:rPr>
        <w:t>Troost</w:t>
      </w:r>
      <w:proofErr w:type="spellEnd"/>
      <w:r>
        <w:rPr>
          <w:rFonts w:ascii="Helvetica Neue" w:hAnsi="Helvetica Neue"/>
          <w:color w:val="000000"/>
        </w:rPr>
        <w:t xml:space="preserve">, F. </w:t>
      </w:r>
      <w:r>
        <w:rPr>
          <w:rFonts w:ascii="Helvetica Neue" w:hAnsi="Helvetica Neue"/>
          <w:color w:val="000000"/>
        </w:rPr>
        <w:t xml:space="preserve">J., </w:t>
      </w:r>
      <w:proofErr w:type="spellStart"/>
      <w:r>
        <w:rPr>
          <w:rFonts w:ascii="Helvetica Neue" w:hAnsi="Helvetica Neue"/>
          <w:color w:val="000000"/>
        </w:rPr>
        <w:t>Masclee</w:t>
      </w:r>
      <w:proofErr w:type="spellEnd"/>
      <w:r>
        <w:rPr>
          <w:rFonts w:ascii="Helvetica Neue" w:hAnsi="Helvetica Neue"/>
          <w:color w:val="000000"/>
        </w:rPr>
        <w:t xml:space="preserve">, A., </w:t>
      </w:r>
      <w:proofErr w:type="spellStart"/>
      <w:r>
        <w:rPr>
          <w:rFonts w:ascii="Helvetica Neue" w:hAnsi="Helvetica Neue"/>
          <w:color w:val="000000"/>
        </w:rPr>
        <w:t>Bast</w:t>
      </w:r>
      <w:proofErr w:type="spellEnd"/>
      <w:r>
        <w:rPr>
          <w:rFonts w:ascii="Helvetica Neue" w:hAnsi="Helvetica Neue"/>
          <w:color w:val="000000"/>
        </w:rPr>
        <w:t xml:space="preserve">, A., &amp; </w:t>
      </w:r>
      <w:proofErr w:type="spellStart"/>
      <w:r>
        <w:rPr>
          <w:rFonts w:ascii="Helvetica Neue" w:hAnsi="Helvetica Neue"/>
          <w:color w:val="000000"/>
        </w:rPr>
        <w:t>Haenen</w:t>
      </w:r>
      <w:proofErr w:type="spellEnd"/>
      <w:r>
        <w:rPr>
          <w:rFonts w:ascii="Helvetica Neue" w:hAnsi="Helvetica Neue"/>
          <w:color w:val="000000"/>
        </w:rPr>
        <w:t>, G. R. (2015). Paracetamol as a post prandial marker for gastric emptying, a food-drug interaction on absorption. </w:t>
      </w:r>
      <w:proofErr w:type="spellStart"/>
      <w:r>
        <w:rPr>
          <w:rFonts w:ascii="Helvetica Neue" w:hAnsi="Helvetica Neue"/>
          <w:i/>
          <w:color w:val="000000"/>
        </w:rPr>
        <w:t>PloS</w:t>
      </w:r>
      <w:proofErr w:type="spellEnd"/>
      <w:r>
        <w:rPr>
          <w:rFonts w:ascii="Helvetica Neue" w:hAnsi="Helvetica Neue"/>
          <w:i/>
          <w:color w:val="000000"/>
        </w:rPr>
        <w:t xml:space="preserve"> one</w:t>
      </w:r>
      <w:r>
        <w:rPr>
          <w:rFonts w:ascii="Helvetica Neue" w:hAnsi="Helvetica Neue"/>
          <w:color w:val="000000"/>
        </w:rPr>
        <w:t>, </w:t>
      </w:r>
      <w:r>
        <w:rPr>
          <w:rFonts w:ascii="Helvetica Neue" w:hAnsi="Helvetica Neue"/>
          <w:i/>
          <w:color w:val="000000"/>
        </w:rPr>
        <w:t>10</w:t>
      </w:r>
      <w:r>
        <w:rPr>
          <w:rFonts w:ascii="Helvetica Neue" w:hAnsi="Helvetica Neue"/>
          <w:color w:val="000000"/>
        </w:rPr>
        <w:t xml:space="preserve">(9), e0136618. </w:t>
      </w:r>
      <w:hyperlink r:id="rId26">
        <w:r>
          <w:rPr>
            <w:rFonts w:ascii="Helvetica Neue" w:hAnsi="Helvetica Neue"/>
            <w:color w:val="FF0080"/>
            <w:u w:val="single"/>
          </w:rPr>
          <w:t>https://doi.org</w:t>
        </w:r>
        <w:r>
          <w:rPr>
            <w:rFonts w:ascii="Helvetica Neue" w:hAnsi="Helvetica Neue"/>
            <w:color w:val="FF0080"/>
            <w:u w:val="single"/>
          </w:rPr>
          <w:t>/10.1371/journal.pone.0136618</w:t>
        </w:r>
      </w:hyperlink>
    </w:p>
    <w:p w14:paraId="00000114"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Bashir, S. (2018). </w:t>
      </w:r>
      <w:r>
        <w:rPr>
          <w:rFonts w:ascii="Helvetica Neue" w:hAnsi="Helvetica Neue"/>
          <w:i/>
          <w:color w:val="000000"/>
        </w:rPr>
        <w:t>Mechanism of Paracetamol (Acetaminophen) induced Hypothermia</w:t>
      </w:r>
      <w:r>
        <w:rPr>
          <w:rFonts w:ascii="Helvetica Neue" w:hAnsi="Helvetica Neue"/>
          <w:color w:val="000000"/>
        </w:rPr>
        <w:t xml:space="preserve"> (Doctoral dissertation, University of East London). </w:t>
      </w:r>
      <w:hyperlink r:id="rId27">
        <w:r>
          <w:rPr>
            <w:rFonts w:ascii="Helvetica Neue" w:hAnsi="Helvetica Neue"/>
            <w:color w:val="FF0080"/>
            <w:u w:val="single"/>
          </w:rPr>
          <w:t>https://doi.org/10.15123/PUB.7308</w:t>
        </w:r>
      </w:hyperlink>
      <w:r>
        <w:rPr>
          <w:rFonts w:ascii="Helvetica Neue" w:hAnsi="Helvetica Neue"/>
          <w:color w:val="000000"/>
        </w:rPr>
        <w:t xml:space="preserve">  </w:t>
      </w:r>
    </w:p>
    <w:p w14:paraId="00000115"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Boske</w:t>
      </w:r>
      <w:r>
        <w:rPr>
          <w:rFonts w:ascii="Helvetica Neue" w:hAnsi="Helvetica Neue"/>
          <w:color w:val="000000"/>
        </w:rPr>
        <w:t>r</w:t>
      </w:r>
      <w:proofErr w:type="spellEnd"/>
      <w:r>
        <w:rPr>
          <w:rFonts w:ascii="Helvetica Neue" w:hAnsi="Helvetica Neue"/>
          <w:color w:val="000000"/>
        </w:rPr>
        <w:t xml:space="preserve">, T., </w:t>
      </w:r>
      <w:proofErr w:type="spellStart"/>
      <w:r>
        <w:rPr>
          <w:rFonts w:ascii="Helvetica Neue" w:hAnsi="Helvetica Neue"/>
          <w:color w:val="000000"/>
        </w:rPr>
        <w:t>Bouwman</w:t>
      </w:r>
      <w:proofErr w:type="spellEnd"/>
      <w:r>
        <w:rPr>
          <w:rFonts w:ascii="Helvetica Neue" w:hAnsi="Helvetica Neue"/>
          <w:color w:val="000000"/>
        </w:rPr>
        <w:t xml:space="preserve">, L. J., </w:t>
      </w:r>
      <w:proofErr w:type="spellStart"/>
      <w:r>
        <w:rPr>
          <w:rFonts w:ascii="Helvetica Neue" w:hAnsi="Helvetica Neue"/>
          <w:color w:val="000000"/>
        </w:rPr>
        <w:t>Brun</w:t>
      </w:r>
      <w:proofErr w:type="spellEnd"/>
      <w:r>
        <w:rPr>
          <w:rFonts w:ascii="Helvetica Neue" w:hAnsi="Helvetica Neue"/>
          <w:color w:val="000000"/>
        </w:rPr>
        <w:t xml:space="preserve">, N. R., Behrens, P., &amp; </w:t>
      </w:r>
      <w:proofErr w:type="spellStart"/>
      <w:r>
        <w:rPr>
          <w:rFonts w:ascii="Helvetica Neue" w:hAnsi="Helvetica Neue"/>
          <w:color w:val="000000"/>
        </w:rPr>
        <w:t>Vijver</w:t>
      </w:r>
      <w:proofErr w:type="spellEnd"/>
      <w:r>
        <w:rPr>
          <w:rFonts w:ascii="Helvetica Neue" w:hAnsi="Helvetica Neue"/>
          <w:color w:val="000000"/>
        </w:rPr>
        <w:t xml:space="preserve">, M. G. (2019). </w:t>
      </w:r>
      <w:proofErr w:type="spellStart"/>
      <w:r>
        <w:rPr>
          <w:rFonts w:ascii="Helvetica Neue" w:hAnsi="Helvetica Neue"/>
          <w:color w:val="000000"/>
        </w:rPr>
        <w:t>Microplastics</w:t>
      </w:r>
      <w:proofErr w:type="spellEnd"/>
      <w:r>
        <w:rPr>
          <w:rFonts w:ascii="Helvetica Neue" w:hAnsi="Helvetica Neue"/>
          <w:color w:val="000000"/>
        </w:rPr>
        <w:t xml:space="preserve"> accumulate on pores in seed capsule and delay germination and root growth of the terrestrial vascular plant </w:t>
      </w:r>
      <w:proofErr w:type="spellStart"/>
      <w:r>
        <w:rPr>
          <w:rFonts w:ascii="Helvetica Neue" w:hAnsi="Helvetica Neue"/>
          <w:color w:val="000000"/>
        </w:rPr>
        <w:t>Lepidium</w:t>
      </w:r>
      <w:proofErr w:type="spellEnd"/>
      <w:r>
        <w:rPr>
          <w:rFonts w:ascii="Helvetica Neue" w:hAnsi="Helvetica Neue"/>
          <w:color w:val="000000"/>
        </w:rPr>
        <w:t xml:space="preserve"> </w:t>
      </w:r>
      <w:proofErr w:type="spellStart"/>
      <w:r>
        <w:rPr>
          <w:rFonts w:ascii="Helvetica Neue" w:hAnsi="Helvetica Neue"/>
          <w:color w:val="000000"/>
        </w:rPr>
        <w:t>sativum</w:t>
      </w:r>
      <w:proofErr w:type="spellEnd"/>
      <w:r>
        <w:rPr>
          <w:rFonts w:ascii="Helvetica Neue" w:hAnsi="Helvetica Neue"/>
          <w:color w:val="000000"/>
        </w:rPr>
        <w:t>. </w:t>
      </w:r>
      <w:r>
        <w:rPr>
          <w:rFonts w:ascii="Helvetica Neue" w:hAnsi="Helvetica Neue"/>
          <w:i/>
          <w:color w:val="000000"/>
        </w:rPr>
        <w:t>Chemosphere</w:t>
      </w:r>
      <w:r>
        <w:rPr>
          <w:rFonts w:ascii="Helvetica Neue" w:hAnsi="Helvetica Neue"/>
          <w:color w:val="000000"/>
        </w:rPr>
        <w:t>, </w:t>
      </w:r>
      <w:r>
        <w:rPr>
          <w:rFonts w:ascii="Helvetica Neue" w:hAnsi="Helvetica Neue"/>
          <w:i/>
          <w:color w:val="000000"/>
        </w:rPr>
        <w:t>226</w:t>
      </w:r>
      <w:r>
        <w:rPr>
          <w:rFonts w:ascii="Helvetica Neue" w:hAnsi="Helvetica Neue"/>
          <w:color w:val="000000"/>
        </w:rPr>
        <w:t xml:space="preserve">, 774-781. </w:t>
      </w:r>
      <w:hyperlink r:id="rId28">
        <w:r>
          <w:rPr>
            <w:rFonts w:ascii="Helvetica Neue" w:hAnsi="Helvetica Neue"/>
            <w:color w:val="FF0080"/>
            <w:u w:val="single"/>
          </w:rPr>
          <w:t>https://doi.org/10.1016/j.chemosphere.2019.03.163</w:t>
        </w:r>
      </w:hyperlink>
      <w:r>
        <w:rPr>
          <w:rFonts w:ascii="Helvetica Neue" w:hAnsi="Helvetica Neue"/>
          <w:color w:val="000000"/>
        </w:rPr>
        <w:t xml:space="preserve"> </w:t>
      </w:r>
    </w:p>
    <w:p w14:paraId="00000116"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Chacón</w:t>
      </w:r>
      <w:proofErr w:type="spellEnd"/>
      <w:r>
        <w:rPr>
          <w:rFonts w:ascii="Helvetica Neue" w:hAnsi="Helvetica Neue"/>
          <w:color w:val="000000"/>
        </w:rPr>
        <w:t xml:space="preserve">, F. J., </w:t>
      </w:r>
      <w:proofErr w:type="spellStart"/>
      <w:r>
        <w:rPr>
          <w:rFonts w:ascii="Helvetica Neue" w:hAnsi="Helvetica Neue"/>
          <w:color w:val="000000"/>
        </w:rPr>
        <w:t>Cayuela</w:t>
      </w:r>
      <w:proofErr w:type="spellEnd"/>
      <w:r>
        <w:rPr>
          <w:rFonts w:ascii="Helvetica Neue" w:hAnsi="Helvetica Neue"/>
          <w:color w:val="000000"/>
        </w:rPr>
        <w:t>, M. L., &amp; Sánchez-</w:t>
      </w:r>
      <w:proofErr w:type="spellStart"/>
      <w:r>
        <w:rPr>
          <w:rFonts w:ascii="Helvetica Neue" w:hAnsi="Helvetica Neue"/>
          <w:color w:val="000000"/>
        </w:rPr>
        <w:t>Monedero</w:t>
      </w:r>
      <w:proofErr w:type="spellEnd"/>
      <w:r>
        <w:rPr>
          <w:rFonts w:ascii="Helvetica Neue" w:hAnsi="Helvetica Neue"/>
          <w:color w:val="000000"/>
        </w:rPr>
        <w:t xml:space="preserve">, M. A. (2022). Paracetamol degradation pathways in soil after </w:t>
      </w:r>
      <w:proofErr w:type="spellStart"/>
      <w:r>
        <w:rPr>
          <w:rFonts w:ascii="Helvetica Neue" w:hAnsi="Helvetica Neue"/>
          <w:color w:val="000000"/>
        </w:rPr>
        <w:t>biochar</w:t>
      </w:r>
      <w:proofErr w:type="spellEnd"/>
      <w:r>
        <w:rPr>
          <w:rFonts w:ascii="Helvetica Neue" w:hAnsi="Helvetica Neue"/>
          <w:color w:val="000000"/>
        </w:rPr>
        <w:t xml:space="preserve"> addition. </w:t>
      </w:r>
      <w:r>
        <w:rPr>
          <w:rFonts w:ascii="Helvetica Neue" w:hAnsi="Helvetica Neue"/>
          <w:i/>
          <w:color w:val="000000"/>
        </w:rPr>
        <w:t>Environmental Pollutio</w:t>
      </w:r>
      <w:r>
        <w:rPr>
          <w:rFonts w:ascii="Helvetica Neue" w:hAnsi="Helvetica Neue"/>
          <w:i/>
          <w:color w:val="000000"/>
        </w:rPr>
        <w:t>n</w:t>
      </w:r>
      <w:r>
        <w:rPr>
          <w:rFonts w:ascii="Helvetica Neue" w:hAnsi="Helvetica Neue"/>
          <w:color w:val="000000"/>
        </w:rPr>
        <w:t>, </w:t>
      </w:r>
      <w:r>
        <w:rPr>
          <w:rFonts w:ascii="Helvetica Neue" w:hAnsi="Helvetica Neue"/>
          <w:i/>
          <w:color w:val="000000"/>
        </w:rPr>
        <w:t>307</w:t>
      </w:r>
      <w:r>
        <w:rPr>
          <w:rFonts w:ascii="Helvetica Neue" w:hAnsi="Helvetica Neue"/>
          <w:color w:val="000000"/>
        </w:rPr>
        <w:t>, 119546.</w:t>
      </w:r>
      <w:hyperlink r:id="rId29">
        <w:r>
          <w:rPr>
            <w:rFonts w:ascii="Helvetica Neue" w:hAnsi="Helvetica Neue"/>
            <w:color w:val="FF0080"/>
            <w:u w:val="single"/>
          </w:rPr>
          <w:t>https://doi.org/10.1016/j.envpol.2022.119546</w:t>
        </w:r>
      </w:hyperlink>
      <w:r>
        <w:rPr>
          <w:rFonts w:ascii="Helvetica Neue" w:hAnsi="Helvetica Neue"/>
          <w:color w:val="000000"/>
        </w:rPr>
        <w:t xml:space="preserve"> </w:t>
      </w:r>
    </w:p>
    <w:p w14:paraId="00000117"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Chidiac</w:t>
      </w:r>
      <w:proofErr w:type="spellEnd"/>
      <w:r>
        <w:rPr>
          <w:rFonts w:ascii="Helvetica Neue" w:hAnsi="Helvetica Neue"/>
          <w:color w:val="000000"/>
        </w:rPr>
        <w:t xml:space="preserve">, A. S., Buckley, N. A., </w:t>
      </w:r>
      <w:proofErr w:type="spellStart"/>
      <w:r>
        <w:rPr>
          <w:rFonts w:ascii="Helvetica Neue" w:hAnsi="Helvetica Neue"/>
          <w:color w:val="000000"/>
        </w:rPr>
        <w:t>Noghrehchi</w:t>
      </w:r>
      <w:proofErr w:type="spellEnd"/>
      <w:r>
        <w:rPr>
          <w:rFonts w:ascii="Helvetica Neue" w:hAnsi="Helvetica Neue"/>
          <w:color w:val="000000"/>
        </w:rPr>
        <w:t>, F., &amp; Cairns, R. (2023). Paracetamol (acetaminophen) overdose and hepatotoxicity: mecha</w:t>
      </w:r>
      <w:r>
        <w:rPr>
          <w:rFonts w:ascii="Helvetica Neue" w:hAnsi="Helvetica Neue"/>
          <w:color w:val="000000"/>
        </w:rPr>
        <w:t>nism, treatment, prevention measures, and estimates of burden of disease. </w:t>
      </w:r>
      <w:r>
        <w:rPr>
          <w:rFonts w:ascii="Helvetica Neue" w:hAnsi="Helvetica Neue"/>
          <w:i/>
          <w:color w:val="000000"/>
        </w:rPr>
        <w:t>Expert Opinion on Drug Metabolism &amp; Toxicology</w:t>
      </w:r>
      <w:r>
        <w:rPr>
          <w:rFonts w:ascii="Helvetica Neue" w:hAnsi="Helvetica Neue"/>
          <w:color w:val="000000"/>
        </w:rPr>
        <w:t>, </w:t>
      </w:r>
      <w:r>
        <w:rPr>
          <w:rFonts w:ascii="Helvetica Neue" w:hAnsi="Helvetica Neue"/>
          <w:i/>
          <w:color w:val="000000"/>
        </w:rPr>
        <w:t>19</w:t>
      </w:r>
      <w:r>
        <w:rPr>
          <w:rFonts w:ascii="Helvetica Neue" w:hAnsi="Helvetica Neue"/>
          <w:color w:val="000000"/>
        </w:rPr>
        <w:t xml:space="preserve">(5), 297-317. </w:t>
      </w:r>
      <w:hyperlink r:id="rId30">
        <w:r>
          <w:rPr>
            <w:rFonts w:ascii="Helvetica Neue" w:hAnsi="Helvetica Neue"/>
            <w:color w:val="FF0080"/>
            <w:u w:val="single"/>
          </w:rPr>
          <w:t>https://doi.org/10.1080/17425255.2023.2223959</w:t>
        </w:r>
      </w:hyperlink>
      <w:r>
        <w:rPr>
          <w:rFonts w:ascii="Helvetica Neue" w:hAnsi="Helvetica Neue"/>
          <w:color w:val="000000"/>
        </w:rPr>
        <w:t xml:space="preserve"> </w:t>
      </w:r>
    </w:p>
    <w:p w14:paraId="00000118"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Datta</w:t>
      </w:r>
      <w:proofErr w:type="spellEnd"/>
      <w:r>
        <w:rPr>
          <w:rFonts w:ascii="Helvetica Neue" w:hAnsi="Helvetica Neue"/>
          <w:color w:val="000000"/>
        </w:rPr>
        <w:t xml:space="preserve">, S., Singh, J., Singh, J., Singh, S., &amp; Singh, S. (2018). Assessment of genotoxic effects of pesticide and </w:t>
      </w:r>
      <w:proofErr w:type="spellStart"/>
      <w:r>
        <w:rPr>
          <w:rFonts w:ascii="Helvetica Neue" w:hAnsi="Helvetica Neue"/>
          <w:color w:val="000000"/>
        </w:rPr>
        <w:t>vermicompost</w:t>
      </w:r>
      <w:proofErr w:type="spellEnd"/>
      <w:r>
        <w:rPr>
          <w:rFonts w:ascii="Helvetica Neue" w:hAnsi="Helvetica Neue"/>
          <w:color w:val="000000"/>
        </w:rPr>
        <w:t xml:space="preserve"> treated soil with Allium </w:t>
      </w:r>
      <w:proofErr w:type="spellStart"/>
      <w:r>
        <w:rPr>
          <w:rFonts w:ascii="Helvetica Neue" w:hAnsi="Helvetica Neue"/>
          <w:color w:val="000000"/>
        </w:rPr>
        <w:t>cepa</w:t>
      </w:r>
      <w:proofErr w:type="spellEnd"/>
      <w:r>
        <w:rPr>
          <w:rFonts w:ascii="Helvetica Neue" w:hAnsi="Helvetica Neue"/>
          <w:color w:val="000000"/>
        </w:rPr>
        <w:t xml:space="preserve"> test. </w:t>
      </w:r>
      <w:r>
        <w:rPr>
          <w:rFonts w:ascii="Helvetica Neue" w:hAnsi="Helvetica Neue"/>
          <w:i/>
          <w:color w:val="000000"/>
        </w:rPr>
        <w:t>Sustainable Environment Research</w:t>
      </w:r>
      <w:r>
        <w:rPr>
          <w:rFonts w:ascii="Helvetica Neue" w:hAnsi="Helvetica Neue"/>
          <w:color w:val="000000"/>
        </w:rPr>
        <w:t>, </w:t>
      </w:r>
      <w:r>
        <w:rPr>
          <w:rFonts w:ascii="Helvetica Neue" w:hAnsi="Helvetica Neue"/>
          <w:i/>
          <w:color w:val="000000"/>
        </w:rPr>
        <w:t>28</w:t>
      </w:r>
      <w:r>
        <w:rPr>
          <w:rFonts w:ascii="Helvetica Neue" w:hAnsi="Helvetica Neue"/>
          <w:color w:val="000000"/>
        </w:rPr>
        <w:t>(4), 171-178.</w:t>
      </w:r>
      <w:hyperlink r:id="rId31">
        <w:r>
          <w:rPr>
            <w:rFonts w:ascii="Helvetica Neue" w:hAnsi="Helvetica Neue"/>
            <w:color w:val="FF0080"/>
            <w:u w:val="single"/>
          </w:rPr>
          <w:t>https://doi.org/10.1016/j.serj.2018.01.005</w:t>
        </w:r>
      </w:hyperlink>
      <w:r>
        <w:rPr>
          <w:rFonts w:ascii="Helvetica Neue" w:hAnsi="Helvetica Neue"/>
          <w:color w:val="000000"/>
        </w:rPr>
        <w:t xml:space="preserve"> </w:t>
      </w:r>
    </w:p>
    <w:p w14:paraId="00000119" w14:textId="77777777" w:rsidR="00955C2D" w:rsidRDefault="00A60C06">
      <w:pPr>
        <w:pBdr>
          <w:top w:val="nil"/>
          <w:left w:val="nil"/>
          <w:bottom w:val="nil"/>
          <w:right w:val="nil"/>
          <w:between w:val="nil"/>
        </w:pBdr>
        <w:spacing w:after="240"/>
        <w:jc w:val="both"/>
        <w:rPr>
          <w:rFonts w:ascii="Helvetica Neue" w:hAnsi="Helvetica Neue"/>
          <w:color w:val="000000"/>
          <w:u w:val="single"/>
        </w:rPr>
      </w:pPr>
      <w:proofErr w:type="spellStart"/>
      <w:r>
        <w:rPr>
          <w:rFonts w:ascii="Helvetica Neue" w:hAnsi="Helvetica Neue"/>
          <w:color w:val="000000"/>
        </w:rPr>
        <w:t>Faqihi</w:t>
      </w:r>
      <w:proofErr w:type="spellEnd"/>
      <w:r>
        <w:rPr>
          <w:rFonts w:ascii="Helvetica Neue" w:hAnsi="Helvetica Neue"/>
          <w:color w:val="000000"/>
        </w:rPr>
        <w:t xml:space="preserve">, A. H. M. A., &amp; Sayed, S. F. (2021). Self-medication practice with analgesics (NSAIDs and acetaminophen), and antibiotics among nursing undergraduates in University College </w:t>
      </w:r>
      <w:proofErr w:type="spellStart"/>
      <w:r>
        <w:rPr>
          <w:rFonts w:ascii="Helvetica Neue" w:hAnsi="Helvetica Neue"/>
          <w:color w:val="000000"/>
        </w:rPr>
        <w:t>Farasan</w:t>
      </w:r>
      <w:proofErr w:type="spellEnd"/>
      <w:r>
        <w:rPr>
          <w:rFonts w:ascii="Helvetica Neue" w:hAnsi="Helvetica Neue"/>
          <w:color w:val="000000"/>
        </w:rPr>
        <w:t xml:space="preserve"> Campus,</w:t>
      </w:r>
      <w:r>
        <w:rPr>
          <w:rFonts w:ascii="Helvetica Neue" w:hAnsi="Helvetica Neue"/>
          <w:color w:val="000000"/>
        </w:rPr>
        <w:t xml:space="preserve"> </w:t>
      </w:r>
      <w:proofErr w:type="spellStart"/>
      <w:r>
        <w:rPr>
          <w:rFonts w:ascii="Helvetica Neue" w:hAnsi="Helvetica Neue"/>
          <w:color w:val="000000"/>
        </w:rPr>
        <w:t>Jazan</w:t>
      </w:r>
      <w:proofErr w:type="spellEnd"/>
      <w:r>
        <w:rPr>
          <w:rFonts w:ascii="Helvetica Neue" w:hAnsi="Helvetica Neue"/>
          <w:color w:val="000000"/>
        </w:rPr>
        <w:t xml:space="preserve"> University, KSA. In </w:t>
      </w:r>
      <w:proofErr w:type="spellStart"/>
      <w:r>
        <w:rPr>
          <w:rFonts w:ascii="Helvetica Neue" w:hAnsi="Helvetica Neue"/>
          <w:i/>
          <w:color w:val="000000"/>
        </w:rPr>
        <w:t>Annales</w:t>
      </w:r>
      <w:proofErr w:type="spellEnd"/>
      <w:r>
        <w:rPr>
          <w:rFonts w:ascii="Helvetica Neue" w:hAnsi="Helvetica Neue"/>
          <w:i/>
          <w:color w:val="000000"/>
        </w:rPr>
        <w:t xml:space="preserve"> </w:t>
      </w:r>
      <w:proofErr w:type="spellStart"/>
      <w:r>
        <w:rPr>
          <w:rFonts w:ascii="Helvetica Neue" w:hAnsi="Helvetica Neue"/>
          <w:i/>
          <w:color w:val="000000"/>
        </w:rPr>
        <w:t>pharmaceutiques</w:t>
      </w:r>
      <w:proofErr w:type="spellEnd"/>
      <w:r>
        <w:rPr>
          <w:rFonts w:ascii="Helvetica Neue" w:hAnsi="Helvetica Neue"/>
          <w:i/>
          <w:color w:val="000000"/>
        </w:rPr>
        <w:t xml:space="preserve"> </w:t>
      </w:r>
      <w:proofErr w:type="spellStart"/>
      <w:r>
        <w:rPr>
          <w:rFonts w:ascii="Helvetica Neue" w:hAnsi="Helvetica Neue"/>
          <w:i/>
          <w:color w:val="000000"/>
        </w:rPr>
        <w:t>francaises</w:t>
      </w:r>
      <w:proofErr w:type="spellEnd"/>
      <w:r>
        <w:rPr>
          <w:rFonts w:ascii="Helvetica Neue" w:hAnsi="Helvetica Neue"/>
          <w:color w:val="000000"/>
        </w:rPr>
        <w:t xml:space="preserve"> (Vol. 79, No. 3, pp. 275-285). Elsevier Masson. </w:t>
      </w:r>
      <w:hyperlink r:id="rId32">
        <w:r>
          <w:rPr>
            <w:rFonts w:ascii="Helvetica Neue" w:hAnsi="Helvetica Neue"/>
            <w:color w:val="FF0080"/>
            <w:u w:val="single"/>
          </w:rPr>
          <w:t>https://doi.org/10.1016/j.pharma.2020.10.012</w:t>
        </w:r>
      </w:hyperlink>
    </w:p>
    <w:p w14:paraId="0000011A"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García</w:t>
      </w:r>
      <w:proofErr w:type="spellEnd"/>
      <w:r>
        <w:rPr>
          <w:rFonts w:ascii="Helvetica Neue" w:hAnsi="Helvetica Neue"/>
          <w:color w:val="000000"/>
        </w:rPr>
        <w:t xml:space="preserve">-Medina, S., </w:t>
      </w:r>
      <w:proofErr w:type="spellStart"/>
      <w:r>
        <w:rPr>
          <w:rFonts w:ascii="Helvetica Neue" w:hAnsi="Helvetica Neue"/>
          <w:color w:val="000000"/>
        </w:rPr>
        <w:t>Galar-Martínez</w:t>
      </w:r>
      <w:proofErr w:type="spellEnd"/>
      <w:r>
        <w:rPr>
          <w:rFonts w:ascii="Helvetica Neue" w:hAnsi="Helvetica Neue"/>
          <w:color w:val="000000"/>
        </w:rPr>
        <w:t>, M.</w:t>
      </w:r>
      <w:r>
        <w:rPr>
          <w:rFonts w:ascii="Helvetica Neue" w:hAnsi="Helvetica Neue"/>
          <w:color w:val="000000"/>
        </w:rPr>
        <w:t>, Gómez-</w:t>
      </w:r>
      <w:proofErr w:type="spellStart"/>
      <w:r>
        <w:rPr>
          <w:rFonts w:ascii="Helvetica Neue" w:hAnsi="Helvetica Neue"/>
          <w:color w:val="000000"/>
        </w:rPr>
        <w:t>Oliván</w:t>
      </w:r>
      <w:proofErr w:type="spellEnd"/>
      <w:r>
        <w:rPr>
          <w:rFonts w:ascii="Helvetica Neue" w:hAnsi="Helvetica Neue"/>
          <w:color w:val="000000"/>
        </w:rPr>
        <w:t xml:space="preserve">, L. M., </w:t>
      </w:r>
      <w:proofErr w:type="gramStart"/>
      <w:r>
        <w:rPr>
          <w:rFonts w:ascii="Helvetica Neue" w:hAnsi="Helvetica Neue"/>
          <w:color w:val="000000"/>
        </w:rPr>
        <w:t>del</w:t>
      </w:r>
      <w:proofErr w:type="gramEnd"/>
      <w:r>
        <w:rPr>
          <w:rFonts w:ascii="Helvetica Neue" w:hAnsi="Helvetica Neue"/>
          <w:color w:val="000000"/>
        </w:rPr>
        <w:t xml:space="preserve"> Consuelo Torres-</w:t>
      </w:r>
      <w:proofErr w:type="spellStart"/>
      <w:r>
        <w:rPr>
          <w:rFonts w:ascii="Helvetica Neue" w:hAnsi="Helvetica Neue"/>
          <w:color w:val="000000"/>
        </w:rPr>
        <w:t>Bezaury</w:t>
      </w:r>
      <w:proofErr w:type="spellEnd"/>
      <w:r>
        <w:rPr>
          <w:rFonts w:ascii="Helvetica Neue" w:hAnsi="Helvetica Neue"/>
          <w:color w:val="000000"/>
        </w:rPr>
        <w:t xml:space="preserve">, R. M., Islas-Flores, H., &amp; </w:t>
      </w:r>
      <w:proofErr w:type="spellStart"/>
      <w:r>
        <w:rPr>
          <w:rFonts w:ascii="Helvetica Neue" w:hAnsi="Helvetica Neue"/>
          <w:color w:val="000000"/>
        </w:rPr>
        <w:t>Gasca</w:t>
      </w:r>
      <w:proofErr w:type="spellEnd"/>
      <w:r>
        <w:rPr>
          <w:rFonts w:ascii="Helvetica Neue" w:hAnsi="Helvetica Neue"/>
          <w:color w:val="000000"/>
        </w:rPr>
        <w:t xml:space="preserve">-Pérez, E. (2020). The relationship between </w:t>
      </w:r>
      <w:proofErr w:type="spellStart"/>
      <w:r>
        <w:rPr>
          <w:rFonts w:ascii="Helvetica Neue" w:hAnsi="Helvetica Neue"/>
          <w:color w:val="000000"/>
        </w:rPr>
        <w:t>cyto</w:t>
      </w:r>
      <w:proofErr w:type="spellEnd"/>
      <w:r>
        <w:rPr>
          <w:rFonts w:ascii="Helvetica Neue" w:hAnsi="Helvetica Neue"/>
          <w:color w:val="000000"/>
        </w:rPr>
        <w:t xml:space="preserve">-genotoxic damage and oxidative stress produced by emerging pollutants on a </w:t>
      </w:r>
      <w:proofErr w:type="spellStart"/>
      <w:r>
        <w:rPr>
          <w:rFonts w:ascii="Helvetica Neue" w:hAnsi="Helvetica Neue"/>
          <w:color w:val="000000"/>
        </w:rPr>
        <w:t>bioindicator</w:t>
      </w:r>
      <w:proofErr w:type="spellEnd"/>
      <w:r>
        <w:rPr>
          <w:rFonts w:ascii="Helvetica Neue" w:hAnsi="Helvetica Neue"/>
          <w:color w:val="000000"/>
        </w:rPr>
        <w:t xml:space="preserve"> organism (Allium </w:t>
      </w:r>
      <w:proofErr w:type="spellStart"/>
      <w:r>
        <w:rPr>
          <w:rFonts w:ascii="Helvetica Neue" w:hAnsi="Helvetica Neue"/>
          <w:color w:val="000000"/>
        </w:rPr>
        <w:t>cepa</w:t>
      </w:r>
      <w:proofErr w:type="spellEnd"/>
      <w:r>
        <w:rPr>
          <w:rFonts w:ascii="Helvetica Neue" w:hAnsi="Helvetica Neue"/>
          <w:color w:val="000000"/>
        </w:rPr>
        <w:t>): the carbama</w:t>
      </w:r>
      <w:r>
        <w:rPr>
          <w:rFonts w:ascii="Helvetica Neue" w:hAnsi="Helvetica Neue"/>
          <w:color w:val="000000"/>
        </w:rPr>
        <w:t>zepine case. </w:t>
      </w:r>
      <w:r>
        <w:rPr>
          <w:rFonts w:ascii="Helvetica Neue" w:hAnsi="Helvetica Neue"/>
          <w:i/>
          <w:color w:val="000000"/>
        </w:rPr>
        <w:t>Chemosphere</w:t>
      </w:r>
      <w:r>
        <w:rPr>
          <w:rFonts w:ascii="Helvetica Neue" w:hAnsi="Helvetica Neue"/>
          <w:color w:val="000000"/>
        </w:rPr>
        <w:t>, </w:t>
      </w:r>
      <w:r>
        <w:rPr>
          <w:rFonts w:ascii="Helvetica Neue" w:hAnsi="Helvetica Neue"/>
          <w:i/>
          <w:color w:val="000000"/>
        </w:rPr>
        <w:t>253</w:t>
      </w:r>
      <w:r>
        <w:rPr>
          <w:rFonts w:ascii="Helvetica Neue" w:hAnsi="Helvetica Neue"/>
          <w:color w:val="000000"/>
        </w:rPr>
        <w:t>, 126675.</w:t>
      </w:r>
      <w:hyperlink r:id="rId33">
        <w:r>
          <w:rPr>
            <w:rFonts w:ascii="Helvetica Neue" w:hAnsi="Helvetica Neue"/>
            <w:color w:val="FF0080"/>
            <w:u w:val="single"/>
          </w:rPr>
          <w:t>https://doi.org/10.1016/j.chemosphere.2020.126675</w:t>
        </w:r>
      </w:hyperlink>
      <w:r>
        <w:rPr>
          <w:rFonts w:ascii="Helvetica Neue" w:hAnsi="Helvetica Neue"/>
          <w:color w:val="000000"/>
        </w:rPr>
        <w:t xml:space="preserve"> </w:t>
      </w:r>
    </w:p>
    <w:p w14:paraId="0000011B"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Guengerich</w:t>
      </w:r>
      <w:proofErr w:type="spellEnd"/>
      <w:r>
        <w:rPr>
          <w:rFonts w:ascii="Helvetica Neue" w:hAnsi="Helvetica Neue"/>
          <w:color w:val="000000"/>
        </w:rPr>
        <w:t>, F. P. (2021). A history of the roles of cytochrome P450 enzymes in the toxicity of dru</w:t>
      </w:r>
      <w:r>
        <w:rPr>
          <w:rFonts w:ascii="Helvetica Neue" w:hAnsi="Helvetica Neue"/>
          <w:color w:val="000000"/>
        </w:rPr>
        <w:t>gs. </w:t>
      </w:r>
      <w:r>
        <w:rPr>
          <w:rFonts w:ascii="Helvetica Neue" w:hAnsi="Helvetica Neue"/>
          <w:i/>
          <w:color w:val="000000"/>
        </w:rPr>
        <w:t>Toxicological research</w:t>
      </w:r>
      <w:r>
        <w:rPr>
          <w:rFonts w:ascii="Helvetica Neue" w:hAnsi="Helvetica Neue"/>
          <w:color w:val="000000"/>
        </w:rPr>
        <w:t>, </w:t>
      </w:r>
      <w:r>
        <w:rPr>
          <w:rFonts w:ascii="Helvetica Neue" w:hAnsi="Helvetica Neue"/>
          <w:i/>
          <w:color w:val="000000"/>
        </w:rPr>
        <w:t>37</w:t>
      </w:r>
      <w:r>
        <w:rPr>
          <w:rFonts w:ascii="Helvetica Neue" w:hAnsi="Helvetica Neue"/>
          <w:color w:val="000000"/>
        </w:rPr>
        <w:t>(1), 1-23.</w:t>
      </w:r>
      <w:hyperlink r:id="rId34">
        <w:r>
          <w:rPr>
            <w:rFonts w:ascii="Helvetica Neue" w:hAnsi="Helvetica Neue"/>
            <w:color w:val="FF0080"/>
            <w:u w:val="single"/>
          </w:rPr>
          <w:t>https://doi.org/10.1007/s43188-020-00056-z</w:t>
        </w:r>
      </w:hyperlink>
    </w:p>
    <w:p w14:paraId="0000011C"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Hernandez-</w:t>
      </w:r>
      <w:proofErr w:type="spellStart"/>
      <w:r>
        <w:rPr>
          <w:rFonts w:ascii="Helvetica Neue" w:hAnsi="Helvetica Neue"/>
          <w:color w:val="000000"/>
        </w:rPr>
        <w:t>Juyol</w:t>
      </w:r>
      <w:proofErr w:type="spellEnd"/>
      <w:r>
        <w:rPr>
          <w:rFonts w:ascii="Helvetica Neue" w:hAnsi="Helvetica Neue"/>
          <w:color w:val="000000"/>
        </w:rPr>
        <w:t>, M., &amp; Job-Quesada, J. R. (2002). Dentistry and self-medication: a current challenge. </w:t>
      </w:r>
      <w:proofErr w:type="spellStart"/>
      <w:r>
        <w:rPr>
          <w:rFonts w:ascii="Helvetica Neue" w:hAnsi="Helvetica Neue"/>
          <w:i/>
          <w:color w:val="000000"/>
        </w:rPr>
        <w:t>Medicina</w:t>
      </w:r>
      <w:proofErr w:type="spellEnd"/>
      <w:r>
        <w:rPr>
          <w:rFonts w:ascii="Helvetica Neue" w:hAnsi="Helvetica Neue"/>
          <w:i/>
          <w:color w:val="000000"/>
        </w:rPr>
        <w:t xml:space="preserve"> </w:t>
      </w:r>
      <w:r>
        <w:rPr>
          <w:rFonts w:ascii="Helvetica Neue" w:hAnsi="Helvetica Neue"/>
          <w:i/>
          <w:color w:val="000000"/>
        </w:rPr>
        <w:t xml:space="preserve">oral: </w:t>
      </w:r>
      <w:proofErr w:type="spellStart"/>
      <w:r>
        <w:rPr>
          <w:rFonts w:ascii="Helvetica Neue" w:hAnsi="Helvetica Neue"/>
          <w:i/>
          <w:color w:val="000000"/>
        </w:rPr>
        <w:t>organo</w:t>
      </w:r>
      <w:proofErr w:type="spellEnd"/>
      <w:r>
        <w:rPr>
          <w:rFonts w:ascii="Helvetica Neue" w:hAnsi="Helvetica Neue"/>
          <w:i/>
          <w:color w:val="000000"/>
        </w:rPr>
        <w:t xml:space="preserve"> </w:t>
      </w:r>
      <w:proofErr w:type="spellStart"/>
      <w:r>
        <w:rPr>
          <w:rFonts w:ascii="Helvetica Neue" w:hAnsi="Helvetica Neue"/>
          <w:i/>
          <w:color w:val="000000"/>
        </w:rPr>
        <w:t>oficial</w:t>
      </w:r>
      <w:proofErr w:type="spellEnd"/>
      <w:r>
        <w:rPr>
          <w:rFonts w:ascii="Helvetica Neue" w:hAnsi="Helvetica Neue"/>
          <w:i/>
          <w:color w:val="000000"/>
        </w:rPr>
        <w:t xml:space="preserve"> de la </w:t>
      </w:r>
      <w:proofErr w:type="spellStart"/>
      <w:r>
        <w:rPr>
          <w:rFonts w:ascii="Helvetica Neue" w:hAnsi="Helvetica Neue"/>
          <w:i/>
          <w:color w:val="000000"/>
        </w:rPr>
        <w:t>Sociedad</w:t>
      </w:r>
      <w:proofErr w:type="spellEnd"/>
      <w:r>
        <w:rPr>
          <w:rFonts w:ascii="Helvetica Neue" w:hAnsi="Helvetica Neue"/>
          <w:i/>
          <w:color w:val="000000"/>
        </w:rPr>
        <w:t xml:space="preserve"> Espanola de </w:t>
      </w:r>
      <w:proofErr w:type="spellStart"/>
      <w:r>
        <w:rPr>
          <w:rFonts w:ascii="Helvetica Neue" w:hAnsi="Helvetica Neue"/>
          <w:i/>
          <w:color w:val="000000"/>
        </w:rPr>
        <w:t>Medicina</w:t>
      </w:r>
      <w:proofErr w:type="spellEnd"/>
      <w:r>
        <w:rPr>
          <w:rFonts w:ascii="Helvetica Neue" w:hAnsi="Helvetica Neue"/>
          <w:i/>
          <w:color w:val="000000"/>
        </w:rPr>
        <w:t xml:space="preserve"> Oral y de la Academia </w:t>
      </w:r>
      <w:proofErr w:type="spellStart"/>
      <w:r>
        <w:rPr>
          <w:rFonts w:ascii="Helvetica Neue" w:hAnsi="Helvetica Neue"/>
          <w:i/>
          <w:color w:val="000000"/>
        </w:rPr>
        <w:t>Iberoamericana</w:t>
      </w:r>
      <w:proofErr w:type="spellEnd"/>
      <w:r>
        <w:rPr>
          <w:rFonts w:ascii="Helvetica Neue" w:hAnsi="Helvetica Neue"/>
          <w:i/>
          <w:color w:val="000000"/>
        </w:rPr>
        <w:t xml:space="preserve"> de </w:t>
      </w:r>
      <w:proofErr w:type="spellStart"/>
      <w:r>
        <w:rPr>
          <w:rFonts w:ascii="Helvetica Neue" w:hAnsi="Helvetica Neue"/>
          <w:i/>
          <w:color w:val="000000"/>
        </w:rPr>
        <w:t>Patologia</w:t>
      </w:r>
      <w:proofErr w:type="spellEnd"/>
      <w:r>
        <w:rPr>
          <w:rFonts w:ascii="Helvetica Neue" w:hAnsi="Helvetica Neue"/>
          <w:i/>
          <w:color w:val="000000"/>
        </w:rPr>
        <w:t xml:space="preserve"> y </w:t>
      </w:r>
      <w:proofErr w:type="spellStart"/>
      <w:r>
        <w:rPr>
          <w:rFonts w:ascii="Helvetica Neue" w:hAnsi="Helvetica Neue"/>
          <w:i/>
          <w:color w:val="000000"/>
        </w:rPr>
        <w:t>Medicina</w:t>
      </w:r>
      <w:proofErr w:type="spellEnd"/>
      <w:r>
        <w:rPr>
          <w:rFonts w:ascii="Helvetica Neue" w:hAnsi="Helvetica Neue"/>
          <w:i/>
          <w:color w:val="000000"/>
        </w:rPr>
        <w:t xml:space="preserve"> </w:t>
      </w:r>
      <w:proofErr w:type="spellStart"/>
      <w:r>
        <w:rPr>
          <w:rFonts w:ascii="Helvetica Neue" w:hAnsi="Helvetica Neue"/>
          <w:i/>
          <w:color w:val="000000"/>
        </w:rPr>
        <w:t>Bucal</w:t>
      </w:r>
      <w:proofErr w:type="spellEnd"/>
      <w:r>
        <w:rPr>
          <w:rFonts w:ascii="Helvetica Neue" w:hAnsi="Helvetica Neue"/>
          <w:color w:val="000000"/>
        </w:rPr>
        <w:t>, </w:t>
      </w:r>
      <w:r>
        <w:rPr>
          <w:rFonts w:ascii="Helvetica Neue" w:hAnsi="Helvetica Neue"/>
          <w:i/>
          <w:color w:val="000000"/>
        </w:rPr>
        <w:t>7</w:t>
      </w:r>
      <w:r>
        <w:rPr>
          <w:rFonts w:ascii="Helvetica Neue" w:hAnsi="Helvetica Neue"/>
          <w:color w:val="000000"/>
        </w:rPr>
        <w:t>(5), 344-347.</w:t>
      </w:r>
    </w:p>
    <w:p w14:paraId="0000011D"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Hinson, J. A., Roberts, D. W., &amp; James, L. P. (2010). Mechanisms of acetaminophen-induced liver necrosis. </w:t>
      </w:r>
      <w:r>
        <w:rPr>
          <w:rFonts w:ascii="Helvetica Neue" w:hAnsi="Helvetica Neue"/>
          <w:i/>
          <w:color w:val="000000"/>
        </w:rPr>
        <w:t>Adverse dr</w:t>
      </w:r>
      <w:r>
        <w:rPr>
          <w:rFonts w:ascii="Helvetica Neue" w:hAnsi="Helvetica Neue"/>
          <w:i/>
          <w:color w:val="000000"/>
        </w:rPr>
        <w:t>ug reactions</w:t>
      </w:r>
      <w:r>
        <w:rPr>
          <w:rFonts w:ascii="Helvetica Neue" w:hAnsi="Helvetica Neue"/>
          <w:color w:val="000000"/>
        </w:rPr>
        <w:t>, 369-405.</w:t>
      </w:r>
      <w:hyperlink r:id="rId35">
        <w:r>
          <w:rPr>
            <w:rFonts w:ascii="Helvetica Neue" w:hAnsi="Helvetica Neue"/>
            <w:color w:val="FF0080"/>
            <w:u w:val="single"/>
          </w:rPr>
          <w:t>https://doi.org/10.1007/978-3-642-00663-0_12</w:t>
        </w:r>
      </w:hyperlink>
      <w:r>
        <w:rPr>
          <w:rFonts w:ascii="Helvetica Neue" w:hAnsi="Helvetica Neue"/>
          <w:color w:val="000000"/>
        </w:rPr>
        <w:t xml:space="preserve"> </w:t>
      </w:r>
    </w:p>
    <w:p w14:paraId="0000011E"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lastRenderedPageBreak/>
        <w:t>Jaeschke</w:t>
      </w:r>
      <w:proofErr w:type="spellEnd"/>
      <w:r>
        <w:rPr>
          <w:rFonts w:ascii="Helvetica Neue" w:hAnsi="Helvetica Neue"/>
          <w:color w:val="000000"/>
        </w:rPr>
        <w:t>, H., McGill, M. R., &amp; Ramachandran, A. (2012). Oxidant stress, mitochondria, and cell death mechanisms in drug-indu</w:t>
      </w:r>
      <w:r>
        <w:rPr>
          <w:rFonts w:ascii="Helvetica Neue" w:hAnsi="Helvetica Neue"/>
          <w:color w:val="000000"/>
        </w:rPr>
        <w:t>ced liver injury: lessons learned from acetaminophen hepatotoxicity. </w:t>
      </w:r>
      <w:r>
        <w:rPr>
          <w:rFonts w:ascii="Helvetica Neue" w:hAnsi="Helvetica Neue"/>
          <w:i/>
          <w:color w:val="000000"/>
        </w:rPr>
        <w:t>Drug metabolism reviews</w:t>
      </w:r>
      <w:r>
        <w:rPr>
          <w:rFonts w:ascii="Helvetica Neue" w:hAnsi="Helvetica Neue"/>
          <w:color w:val="000000"/>
        </w:rPr>
        <w:t>, </w:t>
      </w:r>
      <w:r>
        <w:rPr>
          <w:rFonts w:ascii="Helvetica Neue" w:hAnsi="Helvetica Neue"/>
          <w:i/>
          <w:color w:val="000000"/>
        </w:rPr>
        <w:t>44</w:t>
      </w:r>
      <w:r>
        <w:rPr>
          <w:rFonts w:ascii="Helvetica Neue" w:hAnsi="Helvetica Neue"/>
          <w:color w:val="000000"/>
        </w:rPr>
        <w:t xml:space="preserve">(1), 88-106. </w:t>
      </w:r>
      <w:hyperlink r:id="rId36">
        <w:r>
          <w:rPr>
            <w:rFonts w:ascii="Helvetica Neue" w:hAnsi="Helvetica Neue"/>
            <w:color w:val="FF0080"/>
            <w:u w:val="single"/>
          </w:rPr>
          <w:t>https://doi.org/10.3109/03602532.2011.602688</w:t>
        </w:r>
      </w:hyperlink>
      <w:r>
        <w:rPr>
          <w:rFonts w:ascii="Helvetica Neue" w:hAnsi="Helvetica Neue"/>
          <w:color w:val="000000"/>
        </w:rPr>
        <w:t xml:space="preserve"> </w:t>
      </w:r>
    </w:p>
    <w:p w14:paraId="0000011F"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Jaeschke</w:t>
      </w:r>
      <w:proofErr w:type="spellEnd"/>
      <w:r>
        <w:rPr>
          <w:rFonts w:ascii="Helvetica Neue" w:hAnsi="Helvetica Neue"/>
          <w:color w:val="000000"/>
        </w:rPr>
        <w:t>, H., &amp; Ramachandran, A. (2024). Central mechanisms of acetaminophen hepatotoxicity: Mitochondrial dysfunction by protein adducts and oxidant stress. </w:t>
      </w:r>
      <w:r>
        <w:rPr>
          <w:rFonts w:ascii="Helvetica Neue" w:hAnsi="Helvetica Neue"/>
          <w:i/>
          <w:color w:val="000000"/>
        </w:rPr>
        <w:t>Drug Metabolism and Disposition</w:t>
      </w:r>
      <w:r>
        <w:rPr>
          <w:rFonts w:ascii="Helvetica Neue" w:hAnsi="Helvetica Neue"/>
          <w:color w:val="000000"/>
        </w:rPr>
        <w:t>, </w:t>
      </w:r>
      <w:r>
        <w:rPr>
          <w:rFonts w:ascii="Helvetica Neue" w:hAnsi="Helvetica Neue"/>
          <w:i/>
          <w:color w:val="000000"/>
        </w:rPr>
        <w:t>52</w:t>
      </w:r>
      <w:r>
        <w:rPr>
          <w:rFonts w:ascii="Helvetica Neue" w:hAnsi="Helvetica Neue"/>
          <w:color w:val="000000"/>
        </w:rPr>
        <w:t xml:space="preserve">(8), 712-721. </w:t>
      </w:r>
      <w:hyperlink r:id="rId37">
        <w:r>
          <w:rPr>
            <w:rFonts w:ascii="Helvetica Neue" w:hAnsi="Helvetica Neue"/>
            <w:color w:val="FF0080"/>
            <w:u w:val="single"/>
          </w:rPr>
          <w:t>https://doi.org/10.1124/dmd.123.001279</w:t>
        </w:r>
      </w:hyperlink>
      <w:r>
        <w:rPr>
          <w:rFonts w:ascii="Helvetica Neue" w:hAnsi="Helvetica Neue"/>
          <w:color w:val="000000"/>
        </w:rPr>
        <w:t xml:space="preserve"> </w:t>
      </w:r>
    </w:p>
    <w:p w14:paraId="00000120"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Kato, T. A., &amp; Haskins, J. S. (2022). Mitotic index analysis. In </w:t>
      </w:r>
      <w:r>
        <w:rPr>
          <w:rFonts w:ascii="Helvetica Neue" w:hAnsi="Helvetica Neue"/>
          <w:i/>
          <w:color w:val="000000"/>
        </w:rPr>
        <w:t>Chromosome Analysis: Methods and Protocols</w:t>
      </w:r>
      <w:r>
        <w:rPr>
          <w:rFonts w:ascii="Helvetica Neue" w:hAnsi="Helvetica Neue"/>
          <w:color w:val="000000"/>
        </w:rPr>
        <w:t xml:space="preserve"> (pp. 17-26). New York, NY: Springer US. </w:t>
      </w:r>
      <w:hyperlink r:id="rId38">
        <w:r>
          <w:rPr>
            <w:rFonts w:ascii="Helvetica Neue" w:hAnsi="Helvetica Neue"/>
            <w:color w:val="FF0080"/>
            <w:u w:val="single"/>
          </w:rPr>
          <w:t>https://doi.org/10.1007/978-1-0716-2433-3_3</w:t>
        </w:r>
      </w:hyperlink>
      <w:r>
        <w:rPr>
          <w:rFonts w:ascii="Helvetica Neue" w:hAnsi="Helvetica Neue"/>
          <w:color w:val="000000"/>
        </w:rPr>
        <w:t xml:space="preserve"> </w:t>
      </w:r>
    </w:p>
    <w:p w14:paraId="00000121"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Klotz, U. (2012). Paracetamol (acetaminophen)–a popular and widely used </w:t>
      </w:r>
      <w:proofErr w:type="spellStart"/>
      <w:r>
        <w:rPr>
          <w:rFonts w:ascii="Helvetica Neue" w:hAnsi="Helvetica Neue"/>
          <w:color w:val="000000"/>
        </w:rPr>
        <w:t>nonopioid</w:t>
      </w:r>
      <w:proofErr w:type="spellEnd"/>
      <w:r>
        <w:rPr>
          <w:rFonts w:ascii="Helvetica Neue" w:hAnsi="Helvetica Neue"/>
          <w:color w:val="000000"/>
        </w:rPr>
        <w:t xml:space="preserve"> analgesic. </w:t>
      </w:r>
      <w:proofErr w:type="spellStart"/>
      <w:r>
        <w:rPr>
          <w:rFonts w:ascii="Helvetica Neue" w:hAnsi="Helvetica Neue"/>
          <w:i/>
          <w:color w:val="000000"/>
        </w:rPr>
        <w:t>Arzneimittelforschung</w:t>
      </w:r>
      <w:proofErr w:type="spellEnd"/>
      <w:r>
        <w:rPr>
          <w:rFonts w:ascii="Helvetica Neue" w:hAnsi="Helvetica Neue"/>
          <w:color w:val="000000"/>
        </w:rPr>
        <w:t>, </w:t>
      </w:r>
      <w:r>
        <w:rPr>
          <w:rFonts w:ascii="Helvetica Neue" w:hAnsi="Helvetica Neue"/>
          <w:i/>
          <w:color w:val="000000"/>
        </w:rPr>
        <w:t>62</w:t>
      </w:r>
      <w:r>
        <w:rPr>
          <w:rFonts w:ascii="Helvetica Neue" w:hAnsi="Helvetica Neue"/>
          <w:color w:val="000000"/>
        </w:rPr>
        <w:t xml:space="preserve">(08), 355-359.  </w:t>
      </w:r>
      <w:hyperlink r:id="rId39">
        <w:r>
          <w:rPr>
            <w:rFonts w:ascii="Helvetica Neue" w:hAnsi="Helvetica Neue"/>
            <w:color w:val="FF0080"/>
            <w:u w:val="single"/>
          </w:rPr>
          <w:t>https://doi.org</w:t>
        </w:r>
        <w:r>
          <w:rPr>
            <w:rFonts w:ascii="Helvetica Neue" w:hAnsi="Helvetica Neue"/>
            <w:color w:val="FF0080"/>
            <w:u w:val="single"/>
          </w:rPr>
          <w:t>/10.1055/s-0032-1321785</w:t>
        </w:r>
      </w:hyperlink>
      <w:r>
        <w:rPr>
          <w:rFonts w:ascii="Helvetica Neue" w:hAnsi="Helvetica Neue"/>
          <w:color w:val="000000"/>
        </w:rPr>
        <w:t xml:space="preserve"> </w:t>
      </w:r>
    </w:p>
    <w:p w14:paraId="00000122"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Leme</w:t>
      </w:r>
      <w:proofErr w:type="spellEnd"/>
      <w:r>
        <w:rPr>
          <w:rFonts w:ascii="Helvetica Neue" w:hAnsi="Helvetica Neue"/>
          <w:color w:val="000000"/>
        </w:rPr>
        <w:t xml:space="preserve">, D. M., &amp; Marin-Morales, M. A. (2009). Allium </w:t>
      </w:r>
      <w:proofErr w:type="spellStart"/>
      <w:r>
        <w:rPr>
          <w:rFonts w:ascii="Helvetica Neue" w:hAnsi="Helvetica Neue"/>
          <w:color w:val="000000"/>
        </w:rPr>
        <w:t>cepa</w:t>
      </w:r>
      <w:proofErr w:type="spellEnd"/>
      <w:r>
        <w:rPr>
          <w:rFonts w:ascii="Helvetica Neue" w:hAnsi="Helvetica Neue"/>
          <w:color w:val="000000"/>
        </w:rPr>
        <w:t xml:space="preserve"> test in environmental monitoring: a review on its application. </w:t>
      </w:r>
      <w:r>
        <w:rPr>
          <w:rFonts w:ascii="Helvetica Neue" w:hAnsi="Helvetica Neue"/>
          <w:i/>
          <w:color w:val="000000"/>
        </w:rPr>
        <w:t>Mutation research/reviews in mutation research</w:t>
      </w:r>
      <w:r>
        <w:rPr>
          <w:rFonts w:ascii="Helvetica Neue" w:hAnsi="Helvetica Neue"/>
          <w:color w:val="000000"/>
        </w:rPr>
        <w:t>, </w:t>
      </w:r>
      <w:r>
        <w:rPr>
          <w:rFonts w:ascii="Helvetica Neue" w:hAnsi="Helvetica Neue"/>
          <w:i/>
          <w:color w:val="000000"/>
        </w:rPr>
        <w:t>682</w:t>
      </w:r>
      <w:r>
        <w:rPr>
          <w:rFonts w:ascii="Helvetica Neue" w:hAnsi="Helvetica Neue"/>
          <w:color w:val="000000"/>
        </w:rPr>
        <w:t xml:space="preserve">(1), 71-81. </w:t>
      </w:r>
      <w:hyperlink r:id="rId40">
        <w:r>
          <w:rPr>
            <w:rFonts w:ascii="Helvetica Neue" w:hAnsi="Helvetica Neue"/>
            <w:color w:val="FF0080"/>
            <w:u w:val="single"/>
          </w:rPr>
          <w:t>https://doi.org/10.1016/j.mrrev.2009.06.002</w:t>
        </w:r>
      </w:hyperlink>
      <w:r>
        <w:rPr>
          <w:rFonts w:ascii="Helvetica Neue" w:hAnsi="Helvetica Neue"/>
          <w:color w:val="000000"/>
        </w:rPr>
        <w:t xml:space="preserve"> </w:t>
      </w:r>
    </w:p>
    <w:p w14:paraId="00000123"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Leston</w:t>
      </w:r>
      <w:proofErr w:type="spellEnd"/>
      <w:r>
        <w:rPr>
          <w:rFonts w:ascii="Helvetica Neue" w:hAnsi="Helvetica Neue"/>
          <w:color w:val="000000"/>
        </w:rPr>
        <w:t xml:space="preserve">, S., </w:t>
      </w:r>
      <w:proofErr w:type="spellStart"/>
      <w:r>
        <w:rPr>
          <w:rFonts w:ascii="Helvetica Neue" w:hAnsi="Helvetica Neue"/>
          <w:color w:val="000000"/>
        </w:rPr>
        <w:t>Nunes</w:t>
      </w:r>
      <w:proofErr w:type="spellEnd"/>
      <w:r>
        <w:rPr>
          <w:rFonts w:ascii="Helvetica Neue" w:hAnsi="Helvetica Neue"/>
          <w:color w:val="000000"/>
        </w:rPr>
        <w:t xml:space="preserve">, M., </w:t>
      </w:r>
      <w:proofErr w:type="spellStart"/>
      <w:r>
        <w:rPr>
          <w:rFonts w:ascii="Helvetica Neue" w:hAnsi="Helvetica Neue"/>
          <w:color w:val="000000"/>
        </w:rPr>
        <w:t>Viegas</w:t>
      </w:r>
      <w:proofErr w:type="spellEnd"/>
      <w:r>
        <w:rPr>
          <w:rFonts w:ascii="Helvetica Neue" w:hAnsi="Helvetica Neue"/>
          <w:color w:val="000000"/>
        </w:rPr>
        <w:t xml:space="preserve">, I., Ramos, F., &amp; </w:t>
      </w:r>
      <w:proofErr w:type="spellStart"/>
      <w:r>
        <w:rPr>
          <w:rFonts w:ascii="Helvetica Neue" w:hAnsi="Helvetica Neue"/>
          <w:color w:val="000000"/>
        </w:rPr>
        <w:t>Pardal</w:t>
      </w:r>
      <w:proofErr w:type="spellEnd"/>
      <w:r>
        <w:rPr>
          <w:rFonts w:ascii="Helvetica Neue" w:hAnsi="Helvetica Neue"/>
          <w:color w:val="000000"/>
        </w:rPr>
        <w:t xml:space="preserve">, M. Â. (2013). The effects of chloramphenicol on Ulva </w:t>
      </w:r>
      <w:proofErr w:type="spellStart"/>
      <w:r>
        <w:rPr>
          <w:rFonts w:ascii="Helvetica Neue" w:hAnsi="Helvetica Neue"/>
          <w:color w:val="000000"/>
        </w:rPr>
        <w:t>lactuca</w:t>
      </w:r>
      <w:proofErr w:type="spellEnd"/>
      <w:r>
        <w:rPr>
          <w:rFonts w:ascii="Helvetica Neue" w:hAnsi="Helvetica Neue"/>
          <w:color w:val="000000"/>
        </w:rPr>
        <w:t>. </w:t>
      </w:r>
      <w:r>
        <w:rPr>
          <w:rFonts w:ascii="Helvetica Neue" w:hAnsi="Helvetica Neue"/>
          <w:i/>
          <w:color w:val="000000"/>
        </w:rPr>
        <w:t>Chemosphere</w:t>
      </w:r>
      <w:r>
        <w:rPr>
          <w:rFonts w:ascii="Helvetica Neue" w:hAnsi="Helvetica Neue"/>
          <w:color w:val="000000"/>
        </w:rPr>
        <w:t>, </w:t>
      </w:r>
      <w:r>
        <w:rPr>
          <w:rFonts w:ascii="Helvetica Neue" w:hAnsi="Helvetica Neue"/>
          <w:i/>
          <w:color w:val="000000"/>
        </w:rPr>
        <w:t>91</w:t>
      </w:r>
      <w:r>
        <w:rPr>
          <w:rFonts w:ascii="Helvetica Neue" w:hAnsi="Helvetica Neue"/>
          <w:color w:val="000000"/>
        </w:rPr>
        <w:t xml:space="preserve">(4), 552-557. </w:t>
      </w:r>
      <w:hyperlink r:id="rId41">
        <w:r>
          <w:rPr>
            <w:rFonts w:ascii="Helvetica Neue" w:hAnsi="Helvetica Neue"/>
            <w:color w:val="FF0080"/>
            <w:u w:val="single"/>
          </w:rPr>
          <w:t>https://doi.org/10.1016/j.chemosphere.2012.12.061</w:t>
        </w:r>
      </w:hyperlink>
      <w:r>
        <w:rPr>
          <w:rFonts w:ascii="Helvetica Neue" w:hAnsi="Helvetica Neue"/>
          <w:color w:val="000000"/>
        </w:rPr>
        <w:t xml:space="preserve"> </w:t>
      </w:r>
    </w:p>
    <w:p w14:paraId="00000124"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Liang, C., </w:t>
      </w:r>
      <w:proofErr w:type="gramStart"/>
      <w:r>
        <w:rPr>
          <w:rFonts w:ascii="Helvetica Neue" w:hAnsi="Helvetica Neue"/>
          <w:color w:val="000000"/>
        </w:rPr>
        <w:t>Lan</w:t>
      </w:r>
      <w:proofErr w:type="gramEnd"/>
      <w:r>
        <w:rPr>
          <w:rFonts w:ascii="Helvetica Neue" w:hAnsi="Helvetica Neue"/>
          <w:color w:val="000000"/>
        </w:rPr>
        <w:t>, Z., Zhang, X., &amp; Liu, Y. (2016). Mechanism for the primary transformation of acetaminophen in a soil/water system. </w:t>
      </w:r>
      <w:r>
        <w:rPr>
          <w:rFonts w:ascii="Helvetica Neue" w:hAnsi="Helvetica Neue"/>
          <w:i/>
          <w:color w:val="000000"/>
        </w:rPr>
        <w:t>Water research</w:t>
      </w:r>
      <w:r>
        <w:rPr>
          <w:rFonts w:ascii="Helvetica Neue" w:hAnsi="Helvetica Neue"/>
          <w:color w:val="000000"/>
        </w:rPr>
        <w:t>, </w:t>
      </w:r>
      <w:r>
        <w:rPr>
          <w:rFonts w:ascii="Helvetica Neue" w:hAnsi="Helvetica Neue"/>
          <w:i/>
          <w:color w:val="000000"/>
        </w:rPr>
        <w:t>98</w:t>
      </w:r>
      <w:r>
        <w:rPr>
          <w:rFonts w:ascii="Helvetica Neue" w:hAnsi="Helvetica Neue"/>
          <w:color w:val="000000"/>
        </w:rPr>
        <w:t xml:space="preserve">, 215-224. </w:t>
      </w:r>
      <w:hyperlink r:id="rId42">
        <w:r>
          <w:rPr>
            <w:rFonts w:ascii="Helvetica Neue" w:hAnsi="Helvetica Neue"/>
            <w:color w:val="FF0080"/>
            <w:u w:val="single"/>
          </w:rPr>
          <w:t>https://doi.org/10.1016/j.watres.2016.04.027</w:t>
        </w:r>
      </w:hyperlink>
      <w:r>
        <w:rPr>
          <w:rFonts w:ascii="Helvetica Neue" w:hAnsi="Helvetica Neue"/>
          <w:color w:val="000000"/>
        </w:rPr>
        <w:t xml:space="preserve"> </w:t>
      </w:r>
    </w:p>
    <w:p w14:paraId="00000125"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Lubel</w:t>
      </w:r>
      <w:proofErr w:type="spellEnd"/>
      <w:r>
        <w:rPr>
          <w:rFonts w:ascii="Helvetica Neue" w:hAnsi="Helvetica Neue"/>
          <w:color w:val="000000"/>
        </w:rPr>
        <w:t xml:space="preserve">, J. S., Angus, P. W., &amp; </w:t>
      </w:r>
      <w:proofErr w:type="spellStart"/>
      <w:r>
        <w:rPr>
          <w:rFonts w:ascii="Helvetica Neue" w:hAnsi="Helvetica Neue"/>
          <w:color w:val="000000"/>
        </w:rPr>
        <w:t>Gow</w:t>
      </w:r>
      <w:proofErr w:type="spellEnd"/>
      <w:r>
        <w:rPr>
          <w:rFonts w:ascii="Helvetica Neue" w:hAnsi="Helvetica Neue"/>
          <w:color w:val="000000"/>
        </w:rPr>
        <w:t>, P. J. (2007). Accidental paracetamol poisoning. </w:t>
      </w:r>
      <w:r>
        <w:rPr>
          <w:rFonts w:ascii="Helvetica Neue" w:hAnsi="Helvetica Neue"/>
          <w:i/>
          <w:color w:val="000000"/>
        </w:rPr>
        <w:t>Medical journal of Australia</w:t>
      </w:r>
      <w:r>
        <w:rPr>
          <w:rFonts w:ascii="Helvetica Neue" w:hAnsi="Helvetica Neue"/>
          <w:color w:val="000000"/>
        </w:rPr>
        <w:t>, </w:t>
      </w:r>
      <w:r>
        <w:rPr>
          <w:rFonts w:ascii="Helvetica Neue" w:hAnsi="Helvetica Neue"/>
          <w:i/>
          <w:color w:val="000000"/>
        </w:rPr>
        <w:t>186</w:t>
      </w:r>
      <w:r>
        <w:rPr>
          <w:rFonts w:ascii="Helvetica Neue" w:hAnsi="Helvetica Neue"/>
          <w:color w:val="000000"/>
        </w:rPr>
        <w:t>(7), 371.</w:t>
      </w:r>
    </w:p>
    <w:p w14:paraId="00000126"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Masood, F., &amp; Malik, A. (2013). Cytotoxic and </w:t>
      </w:r>
      <w:r>
        <w:rPr>
          <w:rFonts w:ascii="Helvetica Neue" w:hAnsi="Helvetica Neue"/>
          <w:color w:val="000000"/>
        </w:rPr>
        <w:t>genotoxic potential of tannery waste contaminated soils. </w:t>
      </w:r>
      <w:r>
        <w:rPr>
          <w:rFonts w:ascii="Helvetica Neue" w:hAnsi="Helvetica Neue"/>
          <w:i/>
          <w:color w:val="000000"/>
        </w:rPr>
        <w:t>Science of the total environment</w:t>
      </w:r>
      <w:r>
        <w:rPr>
          <w:rFonts w:ascii="Helvetica Neue" w:hAnsi="Helvetica Neue"/>
          <w:color w:val="000000"/>
        </w:rPr>
        <w:t>, </w:t>
      </w:r>
      <w:r>
        <w:rPr>
          <w:rFonts w:ascii="Helvetica Neue" w:hAnsi="Helvetica Neue"/>
          <w:i/>
          <w:color w:val="000000"/>
        </w:rPr>
        <w:t>444</w:t>
      </w:r>
      <w:r>
        <w:rPr>
          <w:rFonts w:ascii="Helvetica Neue" w:hAnsi="Helvetica Neue"/>
          <w:color w:val="000000"/>
        </w:rPr>
        <w:t>, 153-160.</w:t>
      </w:r>
      <w:hyperlink r:id="rId43">
        <w:r>
          <w:rPr>
            <w:rFonts w:ascii="Helvetica Neue" w:hAnsi="Helvetica Neue"/>
            <w:color w:val="FF0080"/>
            <w:u w:val="single"/>
          </w:rPr>
          <w:t>https://doi.org/10.1016/j.scitotenv.2012.11.049</w:t>
        </w:r>
      </w:hyperlink>
      <w:r>
        <w:rPr>
          <w:rFonts w:ascii="Helvetica Neue" w:hAnsi="Helvetica Neue"/>
          <w:color w:val="000000"/>
        </w:rPr>
        <w:t xml:space="preserve"> </w:t>
      </w:r>
    </w:p>
    <w:p w14:paraId="00000127"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Mercado, S. A. S., &amp; </w:t>
      </w:r>
      <w:proofErr w:type="spellStart"/>
      <w:r>
        <w:rPr>
          <w:rFonts w:ascii="Helvetica Neue" w:hAnsi="Helvetica Neue"/>
          <w:color w:val="000000"/>
        </w:rPr>
        <w:t>Bayona</w:t>
      </w:r>
      <w:proofErr w:type="spellEnd"/>
      <w:r>
        <w:rPr>
          <w:rFonts w:ascii="Helvetica Neue" w:hAnsi="Helvetica Neue"/>
          <w:color w:val="000000"/>
        </w:rPr>
        <w:t xml:space="preserve">, H. A. M. (2020). Evaluation of the cytotoxic potential of sodium hypochlorite using meristematic root cells of Lens </w:t>
      </w:r>
      <w:proofErr w:type="spellStart"/>
      <w:r>
        <w:rPr>
          <w:rFonts w:ascii="Helvetica Neue" w:hAnsi="Helvetica Neue"/>
          <w:color w:val="000000"/>
        </w:rPr>
        <w:t>culinaris</w:t>
      </w:r>
      <w:proofErr w:type="spellEnd"/>
      <w:r>
        <w:rPr>
          <w:rFonts w:ascii="Helvetica Neue" w:hAnsi="Helvetica Neue"/>
          <w:color w:val="000000"/>
        </w:rPr>
        <w:t xml:space="preserve"> Med. </w:t>
      </w:r>
      <w:r>
        <w:rPr>
          <w:rFonts w:ascii="Helvetica Neue" w:hAnsi="Helvetica Neue"/>
          <w:i/>
          <w:color w:val="000000"/>
        </w:rPr>
        <w:t>Science of the Total Environment</w:t>
      </w:r>
      <w:r>
        <w:rPr>
          <w:rFonts w:ascii="Helvetica Neue" w:hAnsi="Helvetica Neue"/>
          <w:color w:val="000000"/>
        </w:rPr>
        <w:t>, </w:t>
      </w:r>
      <w:r>
        <w:rPr>
          <w:rFonts w:ascii="Helvetica Neue" w:hAnsi="Helvetica Neue"/>
          <w:i/>
          <w:color w:val="000000"/>
        </w:rPr>
        <w:t>701</w:t>
      </w:r>
      <w:r>
        <w:rPr>
          <w:rFonts w:ascii="Helvetica Neue" w:hAnsi="Helvetica Neue"/>
          <w:color w:val="000000"/>
        </w:rPr>
        <w:t xml:space="preserve">, 134992. </w:t>
      </w:r>
      <w:hyperlink r:id="rId44">
        <w:r>
          <w:rPr>
            <w:rFonts w:ascii="Helvetica Neue" w:hAnsi="Helvetica Neue"/>
            <w:color w:val="FF0080"/>
            <w:u w:val="single"/>
          </w:rPr>
          <w:t>https://doi.org/10.1016/j.scitotenv.2019.134992</w:t>
        </w:r>
      </w:hyperlink>
      <w:r>
        <w:rPr>
          <w:rFonts w:ascii="Helvetica Neue" w:hAnsi="Helvetica Neue"/>
          <w:color w:val="000000"/>
        </w:rPr>
        <w:t xml:space="preserve"> </w:t>
      </w:r>
    </w:p>
    <w:p w14:paraId="00000128"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Mercado, S. A. S., </w:t>
      </w:r>
      <w:proofErr w:type="spellStart"/>
      <w:r>
        <w:rPr>
          <w:rFonts w:ascii="Helvetica Neue" w:hAnsi="Helvetica Neue"/>
          <w:color w:val="000000"/>
        </w:rPr>
        <w:t>Caleño</w:t>
      </w:r>
      <w:proofErr w:type="spellEnd"/>
      <w:r>
        <w:rPr>
          <w:rFonts w:ascii="Helvetica Neue" w:hAnsi="Helvetica Neue"/>
          <w:color w:val="000000"/>
        </w:rPr>
        <w:t xml:space="preserve">, J. D. Q., &amp; Suárez, J. P. R. (2020). </w:t>
      </w:r>
      <w:proofErr w:type="spellStart"/>
      <w:r>
        <w:rPr>
          <w:rFonts w:ascii="Helvetica Neue" w:hAnsi="Helvetica Neue"/>
          <w:color w:val="000000"/>
        </w:rPr>
        <w:t>Cytogenotoxic</w:t>
      </w:r>
      <w:proofErr w:type="spellEnd"/>
      <w:r>
        <w:rPr>
          <w:rFonts w:ascii="Helvetica Neue" w:hAnsi="Helvetica Neue"/>
          <w:color w:val="000000"/>
        </w:rPr>
        <w:t xml:space="preserve"> effect of </w:t>
      </w:r>
      <w:proofErr w:type="spellStart"/>
      <w:r>
        <w:rPr>
          <w:rFonts w:ascii="Helvetica Neue" w:hAnsi="Helvetica Neue"/>
          <w:color w:val="000000"/>
        </w:rPr>
        <w:t>propanil</w:t>
      </w:r>
      <w:proofErr w:type="spellEnd"/>
      <w:r>
        <w:rPr>
          <w:rFonts w:ascii="Helvetica Neue" w:hAnsi="Helvetica Neue"/>
          <w:color w:val="000000"/>
        </w:rPr>
        <w:t xml:space="preserve"> using the Lens </w:t>
      </w:r>
      <w:proofErr w:type="spellStart"/>
      <w:r>
        <w:rPr>
          <w:rFonts w:ascii="Helvetica Neue" w:hAnsi="Helvetica Neue"/>
          <w:color w:val="000000"/>
        </w:rPr>
        <w:t>culinaris</w:t>
      </w:r>
      <w:proofErr w:type="spellEnd"/>
      <w:r>
        <w:rPr>
          <w:rFonts w:ascii="Helvetica Neue" w:hAnsi="Helvetica Neue"/>
          <w:color w:val="000000"/>
        </w:rPr>
        <w:t xml:space="preserve"> Med and Allium </w:t>
      </w:r>
      <w:proofErr w:type="spellStart"/>
      <w:r>
        <w:rPr>
          <w:rFonts w:ascii="Helvetica Neue" w:hAnsi="Helvetica Neue"/>
          <w:color w:val="000000"/>
        </w:rPr>
        <w:t>cepa</w:t>
      </w:r>
      <w:proofErr w:type="spellEnd"/>
      <w:r>
        <w:rPr>
          <w:rFonts w:ascii="Helvetica Neue" w:hAnsi="Helvetica Neue"/>
          <w:color w:val="000000"/>
        </w:rPr>
        <w:t xml:space="preserve"> L test. </w:t>
      </w:r>
      <w:r>
        <w:rPr>
          <w:rFonts w:ascii="Helvetica Neue" w:hAnsi="Helvetica Neue"/>
          <w:i/>
          <w:color w:val="000000"/>
        </w:rPr>
        <w:t>Chemosphere</w:t>
      </w:r>
      <w:r>
        <w:rPr>
          <w:rFonts w:ascii="Helvetica Neue" w:hAnsi="Helvetica Neue"/>
          <w:color w:val="000000"/>
        </w:rPr>
        <w:t>, </w:t>
      </w:r>
      <w:r>
        <w:rPr>
          <w:rFonts w:ascii="Helvetica Neue" w:hAnsi="Helvetica Neue"/>
          <w:i/>
          <w:color w:val="000000"/>
        </w:rPr>
        <w:t>249</w:t>
      </w:r>
      <w:r>
        <w:rPr>
          <w:rFonts w:ascii="Helvetica Neue" w:hAnsi="Helvetica Neue"/>
          <w:color w:val="000000"/>
        </w:rPr>
        <w:t>, 126193.</w:t>
      </w:r>
      <w:hyperlink r:id="rId45">
        <w:r>
          <w:rPr>
            <w:rFonts w:ascii="Helvetica Neue" w:hAnsi="Helvetica Neue"/>
            <w:color w:val="FF0080"/>
            <w:u w:val="single"/>
          </w:rPr>
          <w:t>https://doi.org/10.1016/j.chemosphere.2020.126193</w:t>
        </w:r>
      </w:hyperlink>
      <w:r>
        <w:rPr>
          <w:rFonts w:ascii="Helvetica Neue" w:hAnsi="Helvetica Neue"/>
          <w:color w:val="000000"/>
        </w:rPr>
        <w:t xml:space="preserve"> </w:t>
      </w:r>
    </w:p>
    <w:p w14:paraId="00000129" w14:textId="77777777" w:rsidR="00955C2D" w:rsidRDefault="00A60C06">
      <w:pPr>
        <w:pBdr>
          <w:top w:val="nil"/>
          <w:left w:val="nil"/>
          <w:bottom w:val="nil"/>
          <w:right w:val="nil"/>
          <w:between w:val="nil"/>
        </w:pBdr>
        <w:spacing w:after="240"/>
        <w:jc w:val="both"/>
        <w:rPr>
          <w:rFonts w:ascii="Helvetica Neue" w:hAnsi="Helvetica Neue"/>
          <w:color w:val="000000"/>
        </w:rPr>
      </w:pPr>
      <w:bookmarkStart w:id="20" w:name="bookmark=id.gjdgxs" w:colFirst="0" w:colLast="0"/>
      <w:bookmarkEnd w:id="20"/>
      <w:r>
        <w:rPr>
          <w:rFonts w:ascii="Helvetica Neue" w:hAnsi="Helvetica Neue"/>
          <w:color w:val="000000"/>
        </w:rPr>
        <w:t xml:space="preserve">Mostafa, E. M., </w:t>
      </w:r>
      <w:proofErr w:type="spellStart"/>
      <w:r>
        <w:rPr>
          <w:rFonts w:ascii="Helvetica Neue" w:hAnsi="Helvetica Neue"/>
          <w:color w:val="000000"/>
        </w:rPr>
        <w:t>Tawfik</w:t>
      </w:r>
      <w:proofErr w:type="spellEnd"/>
      <w:r>
        <w:rPr>
          <w:rFonts w:ascii="Helvetica Neue" w:hAnsi="Helvetica Neue"/>
          <w:color w:val="000000"/>
        </w:rPr>
        <w:t xml:space="preserve">, A. M., &amp; </w:t>
      </w:r>
      <w:proofErr w:type="spellStart"/>
      <w:r>
        <w:rPr>
          <w:rFonts w:ascii="Helvetica Neue" w:hAnsi="Helvetica Neue"/>
          <w:color w:val="000000"/>
        </w:rPr>
        <w:t>Abd-Elrahman</w:t>
      </w:r>
      <w:proofErr w:type="spellEnd"/>
      <w:r>
        <w:rPr>
          <w:rFonts w:ascii="Helvetica Neue" w:hAnsi="Helvetica Neue"/>
          <w:color w:val="000000"/>
        </w:rPr>
        <w:t xml:space="preserve">, K. M. (2022). Egyptian perspectives on potential risk of paracetamol/acetaminophen-induced toxicities: </w:t>
      </w:r>
      <w:r>
        <w:rPr>
          <w:rFonts w:ascii="Helvetica Neue" w:hAnsi="Helvetica Neue"/>
          <w:color w:val="000000"/>
        </w:rPr>
        <w:t>Lessons learnt during COVID-19 pandemic. </w:t>
      </w:r>
      <w:r>
        <w:rPr>
          <w:rFonts w:ascii="Helvetica Neue" w:hAnsi="Helvetica Neue"/>
          <w:i/>
          <w:color w:val="000000"/>
        </w:rPr>
        <w:t>Toxicology Reports</w:t>
      </w:r>
      <w:r>
        <w:rPr>
          <w:rFonts w:ascii="Helvetica Neue" w:hAnsi="Helvetica Neue"/>
          <w:color w:val="000000"/>
        </w:rPr>
        <w:t>, </w:t>
      </w:r>
      <w:r>
        <w:rPr>
          <w:rFonts w:ascii="Helvetica Neue" w:hAnsi="Helvetica Neue"/>
          <w:i/>
          <w:color w:val="000000"/>
        </w:rPr>
        <w:t>9</w:t>
      </w:r>
      <w:r>
        <w:rPr>
          <w:rFonts w:ascii="Helvetica Neue" w:hAnsi="Helvetica Neue"/>
          <w:color w:val="000000"/>
        </w:rPr>
        <w:t>, 541-548.</w:t>
      </w:r>
      <w:hyperlink r:id="rId46">
        <w:r>
          <w:rPr>
            <w:rFonts w:ascii="Helvetica Neue" w:hAnsi="Helvetica Neue"/>
            <w:color w:val="FF0080"/>
            <w:u w:val="single"/>
          </w:rPr>
          <w:t>https://doi.org/10.1016/j.toxrep.2022.03.035</w:t>
        </w:r>
      </w:hyperlink>
      <w:r>
        <w:rPr>
          <w:rFonts w:ascii="Helvetica Neue" w:hAnsi="Helvetica Neue"/>
          <w:color w:val="000000"/>
        </w:rPr>
        <w:t xml:space="preserve"> </w:t>
      </w:r>
    </w:p>
    <w:p w14:paraId="0000012A"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lastRenderedPageBreak/>
        <w:t xml:space="preserve">Moyer, A. M., Fridley, B. L., Jenkins, G. D., </w:t>
      </w:r>
      <w:proofErr w:type="spellStart"/>
      <w:r>
        <w:rPr>
          <w:rFonts w:ascii="Helvetica Neue" w:hAnsi="Helvetica Neue"/>
          <w:color w:val="000000"/>
        </w:rPr>
        <w:t>Batzler</w:t>
      </w:r>
      <w:proofErr w:type="spellEnd"/>
      <w:r>
        <w:rPr>
          <w:rFonts w:ascii="Helvetica Neue" w:hAnsi="Helvetica Neue"/>
          <w:color w:val="000000"/>
        </w:rPr>
        <w:t xml:space="preserve">, A. J., </w:t>
      </w:r>
      <w:proofErr w:type="spellStart"/>
      <w:r>
        <w:rPr>
          <w:rFonts w:ascii="Helvetica Neue" w:hAnsi="Helvetica Neue"/>
          <w:color w:val="000000"/>
        </w:rPr>
        <w:t>Pelleymounte</w:t>
      </w:r>
      <w:r>
        <w:rPr>
          <w:rFonts w:ascii="Helvetica Neue" w:hAnsi="Helvetica Neue"/>
          <w:color w:val="000000"/>
        </w:rPr>
        <w:t>r</w:t>
      </w:r>
      <w:proofErr w:type="spellEnd"/>
      <w:r>
        <w:rPr>
          <w:rFonts w:ascii="Helvetica Neue" w:hAnsi="Helvetica Neue"/>
          <w:color w:val="000000"/>
        </w:rPr>
        <w:t xml:space="preserve">, L. L., </w:t>
      </w:r>
      <w:proofErr w:type="spellStart"/>
      <w:r>
        <w:rPr>
          <w:rFonts w:ascii="Helvetica Neue" w:hAnsi="Helvetica Neue"/>
          <w:color w:val="000000"/>
        </w:rPr>
        <w:t>Kalari</w:t>
      </w:r>
      <w:proofErr w:type="spellEnd"/>
      <w:r>
        <w:rPr>
          <w:rFonts w:ascii="Helvetica Neue" w:hAnsi="Helvetica Neue"/>
          <w:color w:val="000000"/>
        </w:rPr>
        <w:t xml:space="preserve">, K. R., ... &amp; </w:t>
      </w:r>
      <w:proofErr w:type="spellStart"/>
      <w:r>
        <w:rPr>
          <w:rFonts w:ascii="Helvetica Neue" w:hAnsi="Helvetica Neue"/>
          <w:color w:val="000000"/>
        </w:rPr>
        <w:t>Weinshilboum</w:t>
      </w:r>
      <w:proofErr w:type="spellEnd"/>
      <w:r>
        <w:rPr>
          <w:rFonts w:ascii="Helvetica Neue" w:hAnsi="Helvetica Neue"/>
          <w:color w:val="000000"/>
        </w:rPr>
        <w:t>, R. M. (2011). Acetaminophen-NAPQI hepatotoxicity: a cell line model system genome-wide association study. </w:t>
      </w:r>
      <w:r>
        <w:rPr>
          <w:rFonts w:ascii="Helvetica Neue" w:hAnsi="Helvetica Neue"/>
          <w:i/>
          <w:color w:val="000000"/>
        </w:rPr>
        <w:t>Toxicological Sciences</w:t>
      </w:r>
      <w:r>
        <w:rPr>
          <w:rFonts w:ascii="Helvetica Neue" w:hAnsi="Helvetica Neue"/>
          <w:color w:val="000000"/>
        </w:rPr>
        <w:t>, </w:t>
      </w:r>
      <w:r>
        <w:rPr>
          <w:rFonts w:ascii="Helvetica Neue" w:hAnsi="Helvetica Neue"/>
          <w:i/>
          <w:color w:val="000000"/>
        </w:rPr>
        <w:t>120</w:t>
      </w:r>
      <w:r>
        <w:rPr>
          <w:rFonts w:ascii="Helvetica Neue" w:hAnsi="Helvetica Neue"/>
          <w:color w:val="000000"/>
        </w:rPr>
        <w:t>(1), 33-41.</w:t>
      </w:r>
      <w:hyperlink r:id="rId47">
        <w:r>
          <w:rPr>
            <w:rFonts w:ascii="Helvetica Neue" w:hAnsi="Helvetica Neue"/>
            <w:color w:val="FF0080"/>
            <w:u w:val="single"/>
          </w:rPr>
          <w:t>https://do</w:t>
        </w:r>
        <w:r>
          <w:rPr>
            <w:rFonts w:ascii="Helvetica Neue" w:hAnsi="Helvetica Neue"/>
            <w:color w:val="FF0080"/>
            <w:u w:val="single"/>
          </w:rPr>
          <w:t>i.org/10.1093/toxsci/kfq375</w:t>
        </w:r>
      </w:hyperlink>
      <w:r>
        <w:rPr>
          <w:rFonts w:ascii="Helvetica Neue" w:hAnsi="Helvetica Neue"/>
          <w:color w:val="000000"/>
        </w:rPr>
        <w:t xml:space="preserve"> </w:t>
      </w:r>
    </w:p>
    <w:p w14:paraId="0000012B"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Musarrat</w:t>
      </w:r>
      <w:proofErr w:type="spellEnd"/>
      <w:r>
        <w:rPr>
          <w:rFonts w:ascii="Helvetica Neue" w:hAnsi="Helvetica Neue"/>
          <w:color w:val="000000"/>
        </w:rPr>
        <w:t>, J., Zaidi, A., Khan, M. S., Siddiqui, M. A., &amp; Al-</w:t>
      </w:r>
      <w:proofErr w:type="spellStart"/>
      <w:r>
        <w:rPr>
          <w:rFonts w:ascii="Helvetica Neue" w:hAnsi="Helvetica Neue"/>
          <w:color w:val="000000"/>
        </w:rPr>
        <w:t>Khedhairy</w:t>
      </w:r>
      <w:proofErr w:type="spellEnd"/>
      <w:r>
        <w:rPr>
          <w:rFonts w:ascii="Helvetica Neue" w:hAnsi="Helvetica Neue"/>
          <w:color w:val="000000"/>
        </w:rPr>
        <w:t xml:space="preserve">, A. A. (2011). </w:t>
      </w:r>
      <w:proofErr w:type="spellStart"/>
      <w:r>
        <w:rPr>
          <w:rFonts w:ascii="Helvetica Neue" w:hAnsi="Helvetica Neue"/>
          <w:color w:val="000000"/>
        </w:rPr>
        <w:t>Genotoxicity</w:t>
      </w:r>
      <w:proofErr w:type="spellEnd"/>
      <w:r>
        <w:rPr>
          <w:rFonts w:ascii="Helvetica Neue" w:hAnsi="Helvetica Neue"/>
          <w:color w:val="000000"/>
        </w:rPr>
        <w:t xml:space="preserve"> assessment of heavy metal–contaminated soils. </w:t>
      </w:r>
      <w:proofErr w:type="spellStart"/>
      <w:r>
        <w:rPr>
          <w:rFonts w:ascii="Helvetica Neue" w:hAnsi="Helvetica Neue"/>
          <w:i/>
          <w:color w:val="000000"/>
        </w:rPr>
        <w:t>Biomanagement</w:t>
      </w:r>
      <w:proofErr w:type="spellEnd"/>
      <w:r>
        <w:rPr>
          <w:rFonts w:ascii="Helvetica Neue" w:hAnsi="Helvetica Neue"/>
          <w:i/>
          <w:color w:val="000000"/>
        </w:rPr>
        <w:t xml:space="preserve"> of metal-contaminated soils</w:t>
      </w:r>
      <w:r>
        <w:rPr>
          <w:rFonts w:ascii="Helvetica Neue" w:hAnsi="Helvetica Neue"/>
          <w:color w:val="000000"/>
        </w:rPr>
        <w:t>, 323-342.</w:t>
      </w:r>
    </w:p>
    <w:p w14:paraId="0000012C"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Obe</w:t>
      </w:r>
      <w:proofErr w:type="spellEnd"/>
      <w:r>
        <w:rPr>
          <w:rFonts w:ascii="Helvetica Neue" w:hAnsi="Helvetica Neue"/>
          <w:color w:val="000000"/>
        </w:rPr>
        <w:t xml:space="preserve">, G., Pfeiffer, P., Savage, </w:t>
      </w:r>
      <w:r>
        <w:rPr>
          <w:rFonts w:ascii="Helvetica Neue" w:hAnsi="Helvetica Neue"/>
          <w:color w:val="000000"/>
        </w:rPr>
        <w:t xml:space="preserve">J. R. K., Johannes, C., </w:t>
      </w:r>
      <w:proofErr w:type="spellStart"/>
      <w:r>
        <w:rPr>
          <w:rFonts w:ascii="Helvetica Neue" w:hAnsi="Helvetica Neue"/>
          <w:color w:val="000000"/>
        </w:rPr>
        <w:t>Goedecke</w:t>
      </w:r>
      <w:proofErr w:type="spellEnd"/>
      <w:r>
        <w:rPr>
          <w:rFonts w:ascii="Helvetica Neue" w:hAnsi="Helvetica Neue"/>
          <w:color w:val="000000"/>
        </w:rPr>
        <w:t xml:space="preserve">, W., </w:t>
      </w:r>
      <w:proofErr w:type="spellStart"/>
      <w:r>
        <w:rPr>
          <w:rFonts w:ascii="Helvetica Neue" w:hAnsi="Helvetica Neue"/>
          <w:color w:val="000000"/>
        </w:rPr>
        <w:t>Jeppesen</w:t>
      </w:r>
      <w:proofErr w:type="spellEnd"/>
      <w:r>
        <w:rPr>
          <w:rFonts w:ascii="Helvetica Neue" w:hAnsi="Helvetica Neue"/>
          <w:color w:val="000000"/>
        </w:rPr>
        <w:t>, P</w:t>
      </w:r>
      <w:proofErr w:type="gramStart"/>
      <w:r>
        <w:rPr>
          <w:rFonts w:ascii="Helvetica Neue" w:hAnsi="Helvetica Neue"/>
          <w:color w:val="000000"/>
        </w:rPr>
        <w:t>., ...</w:t>
      </w:r>
      <w:proofErr w:type="gramEnd"/>
      <w:r>
        <w:rPr>
          <w:rFonts w:ascii="Helvetica Neue" w:hAnsi="Helvetica Neue"/>
          <w:color w:val="000000"/>
        </w:rPr>
        <w:t xml:space="preserve"> &amp; </w:t>
      </w:r>
      <w:proofErr w:type="spellStart"/>
      <w:r>
        <w:rPr>
          <w:rFonts w:ascii="Helvetica Neue" w:hAnsi="Helvetica Neue"/>
          <w:color w:val="000000"/>
        </w:rPr>
        <w:t>Drets</w:t>
      </w:r>
      <w:proofErr w:type="spellEnd"/>
      <w:r>
        <w:rPr>
          <w:rFonts w:ascii="Helvetica Neue" w:hAnsi="Helvetica Neue"/>
          <w:color w:val="000000"/>
        </w:rPr>
        <w:t>, M. E. (2002). Chromosomal aberrations: formation, identification and distribution. </w:t>
      </w:r>
      <w:r>
        <w:rPr>
          <w:rFonts w:ascii="Helvetica Neue" w:hAnsi="Helvetica Neue"/>
          <w:i/>
          <w:color w:val="000000"/>
        </w:rPr>
        <w:t>Mutation Research/Fundamental and Molecular Mechanisms of Mutagenesis</w:t>
      </w:r>
      <w:r>
        <w:rPr>
          <w:rFonts w:ascii="Helvetica Neue" w:hAnsi="Helvetica Neue"/>
          <w:color w:val="000000"/>
        </w:rPr>
        <w:t>, </w:t>
      </w:r>
      <w:r>
        <w:rPr>
          <w:rFonts w:ascii="Helvetica Neue" w:hAnsi="Helvetica Neue"/>
          <w:i/>
          <w:color w:val="000000"/>
        </w:rPr>
        <w:t>504</w:t>
      </w:r>
      <w:r>
        <w:rPr>
          <w:rFonts w:ascii="Helvetica Neue" w:hAnsi="Helvetica Neue"/>
          <w:color w:val="000000"/>
        </w:rPr>
        <w:t xml:space="preserve">(1-2), 17-36. </w:t>
      </w:r>
      <w:hyperlink r:id="rId48">
        <w:r>
          <w:rPr>
            <w:rFonts w:ascii="Helvetica Neue" w:hAnsi="Helvetica Neue"/>
            <w:color w:val="FF0080"/>
            <w:u w:val="single"/>
          </w:rPr>
          <w:t>https://doi.org/10.1016/S0027-5107(02)00076-3</w:t>
        </w:r>
      </w:hyperlink>
      <w:r>
        <w:rPr>
          <w:rFonts w:ascii="Helvetica Neue" w:hAnsi="Helvetica Neue"/>
          <w:color w:val="000000"/>
        </w:rPr>
        <w:t xml:space="preserve"> </w:t>
      </w:r>
    </w:p>
    <w:p w14:paraId="0000012D"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Pandolfi</w:t>
      </w:r>
      <w:proofErr w:type="spellEnd"/>
      <w:r>
        <w:rPr>
          <w:rFonts w:ascii="Helvetica Neue" w:hAnsi="Helvetica Neue"/>
          <w:color w:val="000000"/>
        </w:rPr>
        <w:t xml:space="preserve">, S., </w:t>
      </w:r>
      <w:proofErr w:type="spellStart"/>
      <w:r>
        <w:rPr>
          <w:rFonts w:ascii="Helvetica Neue" w:hAnsi="Helvetica Neue"/>
          <w:color w:val="000000"/>
        </w:rPr>
        <w:t>Valdenassi</w:t>
      </w:r>
      <w:proofErr w:type="spellEnd"/>
      <w:r>
        <w:rPr>
          <w:rFonts w:ascii="Helvetica Neue" w:hAnsi="Helvetica Neue"/>
          <w:color w:val="000000"/>
        </w:rPr>
        <w:t xml:space="preserve">, L., </w:t>
      </w:r>
      <w:proofErr w:type="spellStart"/>
      <w:r>
        <w:rPr>
          <w:rFonts w:ascii="Helvetica Neue" w:hAnsi="Helvetica Neue"/>
          <w:color w:val="000000"/>
        </w:rPr>
        <w:t>Bjørklund</w:t>
      </w:r>
      <w:proofErr w:type="spellEnd"/>
      <w:r>
        <w:rPr>
          <w:rFonts w:ascii="Helvetica Neue" w:hAnsi="Helvetica Neue"/>
          <w:color w:val="000000"/>
        </w:rPr>
        <w:t xml:space="preserve">, G., Chirumbolo, S., </w:t>
      </w:r>
      <w:proofErr w:type="spellStart"/>
      <w:r>
        <w:rPr>
          <w:rFonts w:ascii="Helvetica Neue" w:hAnsi="Helvetica Neue"/>
          <w:color w:val="000000"/>
        </w:rPr>
        <w:t>Lysiuk</w:t>
      </w:r>
      <w:proofErr w:type="spellEnd"/>
      <w:r>
        <w:rPr>
          <w:rFonts w:ascii="Helvetica Neue" w:hAnsi="Helvetica Neue"/>
          <w:color w:val="000000"/>
        </w:rPr>
        <w:t xml:space="preserve">, R., </w:t>
      </w:r>
      <w:proofErr w:type="spellStart"/>
      <w:r>
        <w:rPr>
          <w:rFonts w:ascii="Helvetica Neue" w:hAnsi="Helvetica Neue"/>
          <w:color w:val="000000"/>
        </w:rPr>
        <w:t>Lenchyk</w:t>
      </w:r>
      <w:proofErr w:type="spellEnd"/>
      <w:r>
        <w:rPr>
          <w:rFonts w:ascii="Helvetica Neue" w:hAnsi="Helvetica Neue"/>
          <w:color w:val="000000"/>
        </w:rPr>
        <w:t>, L</w:t>
      </w:r>
      <w:proofErr w:type="gramStart"/>
      <w:r>
        <w:rPr>
          <w:rFonts w:ascii="Helvetica Neue" w:hAnsi="Helvetica Neue"/>
          <w:color w:val="000000"/>
        </w:rPr>
        <w:t>., ...</w:t>
      </w:r>
      <w:proofErr w:type="gramEnd"/>
      <w:r>
        <w:rPr>
          <w:rFonts w:ascii="Helvetica Neue" w:hAnsi="Helvetica Neue"/>
          <w:color w:val="000000"/>
        </w:rPr>
        <w:t xml:space="preserve"> &amp; Fazio, S. (2022). COVID-19 medical and pharmacological management in the</w:t>
      </w:r>
      <w:r>
        <w:rPr>
          <w:rFonts w:ascii="Helvetica Neue" w:hAnsi="Helvetica Neue"/>
          <w:color w:val="000000"/>
        </w:rPr>
        <w:t xml:space="preserve"> European countries compared to Italy: an overview. </w:t>
      </w:r>
      <w:r>
        <w:rPr>
          <w:rFonts w:ascii="Helvetica Neue" w:hAnsi="Helvetica Neue"/>
          <w:i/>
          <w:color w:val="000000"/>
        </w:rPr>
        <w:t>International Journal of Environmental Research and Public Health</w:t>
      </w:r>
      <w:r>
        <w:rPr>
          <w:rFonts w:ascii="Helvetica Neue" w:hAnsi="Helvetica Neue"/>
          <w:color w:val="000000"/>
        </w:rPr>
        <w:t>, </w:t>
      </w:r>
      <w:r>
        <w:rPr>
          <w:rFonts w:ascii="Helvetica Neue" w:hAnsi="Helvetica Neue"/>
          <w:i/>
          <w:color w:val="000000"/>
        </w:rPr>
        <w:t>19</w:t>
      </w:r>
      <w:r>
        <w:rPr>
          <w:rFonts w:ascii="Helvetica Neue" w:hAnsi="Helvetica Neue"/>
          <w:color w:val="000000"/>
        </w:rPr>
        <w:t xml:space="preserve">(7), 4262. </w:t>
      </w:r>
      <w:hyperlink r:id="rId49">
        <w:r>
          <w:rPr>
            <w:rFonts w:ascii="Helvetica Neue" w:hAnsi="Helvetica Neue"/>
            <w:color w:val="FF0080"/>
            <w:u w:val="single"/>
          </w:rPr>
          <w:t>https://doi.org/10.3390/ijerph19074262</w:t>
        </w:r>
      </w:hyperlink>
      <w:r>
        <w:rPr>
          <w:rFonts w:ascii="Helvetica Neue" w:hAnsi="Helvetica Neue"/>
          <w:color w:val="000000"/>
        </w:rPr>
        <w:t xml:space="preserve">  </w:t>
      </w:r>
    </w:p>
    <w:p w14:paraId="0000012E"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Radić</w:t>
      </w:r>
      <w:proofErr w:type="spellEnd"/>
      <w:r>
        <w:rPr>
          <w:rFonts w:ascii="Helvetica Neue" w:hAnsi="Helvetica Neue"/>
          <w:color w:val="000000"/>
        </w:rPr>
        <w:t xml:space="preserve">, S., </w:t>
      </w:r>
      <w:proofErr w:type="spellStart"/>
      <w:r>
        <w:rPr>
          <w:rFonts w:ascii="Helvetica Neue" w:hAnsi="Helvetica Neue"/>
          <w:color w:val="000000"/>
        </w:rPr>
        <w:t>Stipaničev</w:t>
      </w:r>
      <w:proofErr w:type="spellEnd"/>
      <w:r>
        <w:rPr>
          <w:rFonts w:ascii="Helvetica Neue" w:hAnsi="Helvetica Neue"/>
          <w:color w:val="000000"/>
        </w:rPr>
        <w:t xml:space="preserve">, D., </w:t>
      </w:r>
      <w:proofErr w:type="spellStart"/>
      <w:r>
        <w:rPr>
          <w:rFonts w:ascii="Helvetica Neue" w:hAnsi="Helvetica Neue"/>
          <w:color w:val="000000"/>
        </w:rPr>
        <w:t>Vujčić</w:t>
      </w:r>
      <w:proofErr w:type="spellEnd"/>
      <w:r>
        <w:rPr>
          <w:rFonts w:ascii="Helvetica Neue" w:hAnsi="Helvetica Neue"/>
          <w:color w:val="000000"/>
        </w:rPr>
        <w:t xml:space="preserve">, V., </w:t>
      </w:r>
      <w:proofErr w:type="spellStart"/>
      <w:r>
        <w:rPr>
          <w:rFonts w:ascii="Helvetica Neue" w:hAnsi="Helvetica Neue"/>
          <w:color w:val="000000"/>
        </w:rPr>
        <w:t>Rajčić</w:t>
      </w:r>
      <w:proofErr w:type="spellEnd"/>
      <w:r>
        <w:rPr>
          <w:rFonts w:ascii="Helvetica Neue" w:hAnsi="Helvetica Neue"/>
          <w:color w:val="000000"/>
        </w:rPr>
        <w:t xml:space="preserve">, M. M., </w:t>
      </w:r>
      <w:proofErr w:type="spellStart"/>
      <w:r>
        <w:rPr>
          <w:rFonts w:ascii="Helvetica Neue" w:hAnsi="Helvetica Neue"/>
          <w:color w:val="000000"/>
        </w:rPr>
        <w:t>Širac</w:t>
      </w:r>
      <w:proofErr w:type="spellEnd"/>
      <w:r>
        <w:rPr>
          <w:rFonts w:ascii="Helvetica Neue" w:hAnsi="Helvetica Neue"/>
          <w:color w:val="000000"/>
        </w:rPr>
        <w:t xml:space="preserve">, S., &amp; </w:t>
      </w:r>
      <w:proofErr w:type="spellStart"/>
      <w:r>
        <w:rPr>
          <w:rFonts w:ascii="Helvetica Neue" w:hAnsi="Helvetica Neue"/>
          <w:color w:val="000000"/>
        </w:rPr>
        <w:t>Pevalek-Kozlina</w:t>
      </w:r>
      <w:proofErr w:type="spellEnd"/>
      <w:r>
        <w:rPr>
          <w:rFonts w:ascii="Helvetica Neue" w:hAnsi="Helvetica Neue"/>
          <w:color w:val="000000"/>
        </w:rPr>
        <w:t xml:space="preserve">, B. (2010). The evaluation of surface and wastewater </w:t>
      </w:r>
      <w:proofErr w:type="spellStart"/>
      <w:r>
        <w:rPr>
          <w:rFonts w:ascii="Helvetica Neue" w:hAnsi="Helvetica Neue"/>
          <w:color w:val="000000"/>
        </w:rPr>
        <w:t>genotoxicity</w:t>
      </w:r>
      <w:proofErr w:type="spellEnd"/>
      <w:r>
        <w:rPr>
          <w:rFonts w:ascii="Helvetica Neue" w:hAnsi="Helvetica Neue"/>
          <w:color w:val="000000"/>
        </w:rPr>
        <w:t xml:space="preserve"> using the Allium </w:t>
      </w:r>
      <w:proofErr w:type="spellStart"/>
      <w:r>
        <w:rPr>
          <w:rFonts w:ascii="Helvetica Neue" w:hAnsi="Helvetica Neue"/>
          <w:color w:val="000000"/>
        </w:rPr>
        <w:t>cepa</w:t>
      </w:r>
      <w:proofErr w:type="spellEnd"/>
      <w:r>
        <w:rPr>
          <w:rFonts w:ascii="Helvetica Neue" w:hAnsi="Helvetica Neue"/>
          <w:color w:val="000000"/>
        </w:rPr>
        <w:t xml:space="preserve"> test. </w:t>
      </w:r>
      <w:r>
        <w:rPr>
          <w:rFonts w:ascii="Helvetica Neue" w:hAnsi="Helvetica Neue"/>
          <w:i/>
          <w:color w:val="000000"/>
        </w:rPr>
        <w:t>Science of the Total Environment</w:t>
      </w:r>
      <w:r>
        <w:rPr>
          <w:rFonts w:ascii="Helvetica Neue" w:hAnsi="Helvetica Neue"/>
          <w:color w:val="000000"/>
        </w:rPr>
        <w:t>, </w:t>
      </w:r>
      <w:r>
        <w:rPr>
          <w:rFonts w:ascii="Helvetica Neue" w:hAnsi="Helvetica Neue"/>
          <w:i/>
          <w:color w:val="000000"/>
        </w:rPr>
        <w:t>408</w:t>
      </w:r>
      <w:r>
        <w:rPr>
          <w:rFonts w:ascii="Helvetica Neue" w:hAnsi="Helvetica Neue"/>
          <w:color w:val="000000"/>
        </w:rPr>
        <w:t xml:space="preserve">(5), 1228-1233. </w:t>
      </w:r>
      <w:hyperlink r:id="rId50">
        <w:r>
          <w:rPr>
            <w:rFonts w:ascii="Helvetica Neue" w:hAnsi="Helvetica Neue"/>
            <w:color w:val="FF0080"/>
            <w:u w:val="single"/>
          </w:rPr>
          <w:t>https://doi.org/10.1016/j.scitotenv.2009.11.055</w:t>
        </w:r>
      </w:hyperlink>
      <w:r>
        <w:rPr>
          <w:rFonts w:ascii="Helvetica Neue" w:hAnsi="Helvetica Neue"/>
          <w:color w:val="000000"/>
        </w:rPr>
        <w:t xml:space="preserve"> </w:t>
      </w:r>
    </w:p>
    <w:p w14:paraId="0000012F"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Reinstadler</w:t>
      </w:r>
      <w:proofErr w:type="spellEnd"/>
      <w:r>
        <w:rPr>
          <w:rFonts w:ascii="Helvetica Neue" w:hAnsi="Helvetica Neue"/>
          <w:color w:val="000000"/>
        </w:rPr>
        <w:t xml:space="preserve">, V., </w:t>
      </w:r>
      <w:proofErr w:type="spellStart"/>
      <w:r>
        <w:rPr>
          <w:rFonts w:ascii="Helvetica Neue" w:hAnsi="Helvetica Neue"/>
          <w:color w:val="000000"/>
        </w:rPr>
        <w:t>Ausweger</w:t>
      </w:r>
      <w:proofErr w:type="spellEnd"/>
      <w:r>
        <w:rPr>
          <w:rFonts w:ascii="Helvetica Neue" w:hAnsi="Helvetica Neue"/>
          <w:color w:val="000000"/>
        </w:rPr>
        <w:t xml:space="preserve">, V., </w:t>
      </w:r>
      <w:proofErr w:type="spellStart"/>
      <w:r>
        <w:rPr>
          <w:rFonts w:ascii="Helvetica Neue" w:hAnsi="Helvetica Neue"/>
          <w:color w:val="000000"/>
        </w:rPr>
        <w:t>Grabher</w:t>
      </w:r>
      <w:proofErr w:type="spellEnd"/>
      <w:r>
        <w:rPr>
          <w:rFonts w:ascii="Helvetica Neue" w:hAnsi="Helvetica Neue"/>
          <w:color w:val="000000"/>
        </w:rPr>
        <w:t xml:space="preserve">, A. L., </w:t>
      </w:r>
      <w:proofErr w:type="spellStart"/>
      <w:r>
        <w:rPr>
          <w:rFonts w:ascii="Helvetica Neue" w:hAnsi="Helvetica Neue"/>
          <w:color w:val="000000"/>
        </w:rPr>
        <w:t>Kreidl</w:t>
      </w:r>
      <w:proofErr w:type="spellEnd"/>
      <w:r>
        <w:rPr>
          <w:rFonts w:ascii="Helvetica Neue" w:hAnsi="Helvetica Neue"/>
          <w:color w:val="000000"/>
        </w:rPr>
        <w:t>, M., Huber, S., Grander, J</w:t>
      </w:r>
      <w:proofErr w:type="gramStart"/>
      <w:r>
        <w:rPr>
          <w:rFonts w:ascii="Helvetica Neue" w:hAnsi="Helvetica Neue"/>
          <w:color w:val="000000"/>
        </w:rPr>
        <w:t>., ...</w:t>
      </w:r>
      <w:proofErr w:type="gramEnd"/>
      <w:r>
        <w:rPr>
          <w:rFonts w:ascii="Helvetica Neue" w:hAnsi="Helvetica Neue"/>
          <w:color w:val="000000"/>
        </w:rPr>
        <w:t xml:space="preserve"> &amp; </w:t>
      </w:r>
      <w:proofErr w:type="spellStart"/>
      <w:r>
        <w:rPr>
          <w:rFonts w:ascii="Helvetica Neue" w:hAnsi="Helvetica Neue"/>
          <w:color w:val="000000"/>
        </w:rPr>
        <w:t>Oberacher</w:t>
      </w:r>
      <w:proofErr w:type="spellEnd"/>
      <w:r>
        <w:rPr>
          <w:rFonts w:ascii="Helvetica Neue" w:hAnsi="Helvetica Neue"/>
          <w:color w:val="000000"/>
        </w:rPr>
        <w:t>, H. (2021). Monitoring drug consumption in Innsbruck during coronav</w:t>
      </w:r>
      <w:r>
        <w:rPr>
          <w:rFonts w:ascii="Helvetica Neue" w:hAnsi="Helvetica Neue"/>
          <w:color w:val="000000"/>
        </w:rPr>
        <w:t>irus disease 2019 (COVID-19) lockdown by wastewater analysis. </w:t>
      </w:r>
      <w:r>
        <w:rPr>
          <w:rFonts w:ascii="Helvetica Neue" w:hAnsi="Helvetica Neue"/>
          <w:i/>
          <w:color w:val="000000"/>
        </w:rPr>
        <w:t>Science of the Total Environment</w:t>
      </w:r>
      <w:r>
        <w:rPr>
          <w:rFonts w:ascii="Helvetica Neue" w:hAnsi="Helvetica Neue"/>
          <w:color w:val="000000"/>
        </w:rPr>
        <w:t>, </w:t>
      </w:r>
      <w:r>
        <w:rPr>
          <w:rFonts w:ascii="Helvetica Neue" w:hAnsi="Helvetica Neue"/>
          <w:i/>
          <w:color w:val="000000"/>
        </w:rPr>
        <w:t>757</w:t>
      </w:r>
      <w:r>
        <w:rPr>
          <w:rFonts w:ascii="Helvetica Neue" w:hAnsi="Helvetica Neue"/>
          <w:color w:val="000000"/>
        </w:rPr>
        <w:t xml:space="preserve">, 144006. </w:t>
      </w:r>
      <w:hyperlink r:id="rId51">
        <w:r>
          <w:rPr>
            <w:rFonts w:ascii="Helvetica Neue" w:hAnsi="Helvetica Neue"/>
            <w:color w:val="FF0080"/>
            <w:u w:val="single"/>
          </w:rPr>
          <w:t>https://doi.org/10.1016/j.scitotenv.2020.144006</w:t>
        </w:r>
      </w:hyperlink>
      <w:r>
        <w:rPr>
          <w:rFonts w:ascii="Helvetica Neue" w:hAnsi="Helvetica Neue"/>
          <w:color w:val="000000"/>
        </w:rPr>
        <w:t xml:space="preserve"> </w:t>
      </w:r>
    </w:p>
    <w:p w14:paraId="00000130"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Romano, S., </w:t>
      </w:r>
      <w:proofErr w:type="spellStart"/>
      <w:r>
        <w:rPr>
          <w:rFonts w:ascii="Helvetica Neue" w:hAnsi="Helvetica Neue"/>
          <w:color w:val="000000"/>
        </w:rPr>
        <w:t>Galante</w:t>
      </w:r>
      <w:proofErr w:type="spellEnd"/>
      <w:r>
        <w:rPr>
          <w:rFonts w:ascii="Helvetica Neue" w:hAnsi="Helvetica Neue"/>
          <w:color w:val="000000"/>
        </w:rPr>
        <w:t xml:space="preserve">, H., </w:t>
      </w:r>
      <w:proofErr w:type="spellStart"/>
      <w:r>
        <w:rPr>
          <w:rFonts w:ascii="Helvetica Neue" w:hAnsi="Helvetica Neue"/>
          <w:color w:val="000000"/>
        </w:rPr>
        <w:t>Figuei</w:t>
      </w:r>
      <w:r>
        <w:rPr>
          <w:rFonts w:ascii="Helvetica Neue" w:hAnsi="Helvetica Neue"/>
          <w:color w:val="000000"/>
        </w:rPr>
        <w:t>ra</w:t>
      </w:r>
      <w:proofErr w:type="spellEnd"/>
      <w:r>
        <w:rPr>
          <w:rFonts w:ascii="Helvetica Neue" w:hAnsi="Helvetica Neue"/>
          <w:color w:val="000000"/>
        </w:rPr>
        <w:t>, D., Mendes, Z., &amp; Rodrigues, A. T. (2021). Time-trend analysis of medicine sales and shortages during COVID-19 outbreak: Data from community pharmacies. </w:t>
      </w:r>
      <w:r>
        <w:rPr>
          <w:rFonts w:ascii="Helvetica Neue" w:hAnsi="Helvetica Neue"/>
          <w:i/>
          <w:color w:val="000000"/>
        </w:rPr>
        <w:t>Research in Social and Administrative Pharmacy</w:t>
      </w:r>
      <w:r>
        <w:rPr>
          <w:rFonts w:ascii="Helvetica Neue" w:hAnsi="Helvetica Neue"/>
          <w:color w:val="000000"/>
        </w:rPr>
        <w:t>, </w:t>
      </w:r>
      <w:r>
        <w:rPr>
          <w:rFonts w:ascii="Helvetica Neue" w:hAnsi="Helvetica Neue"/>
          <w:i/>
          <w:color w:val="000000"/>
        </w:rPr>
        <w:t>17</w:t>
      </w:r>
      <w:r>
        <w:rPr>
          <w:rFonts w:ascii="Helvetica Neue" w:hAnsi="Helvetica Neue"/>
          <w:color w:val="000000"/>
        </w:rPr>
        <w:t xml:space="preserve">(1), 1876-1881. </w:t>
      </w:r>
      <w:hyperlink r:id="rId52">
        <w:r>
          <w:rPr>
            <w:rFonts w:ascii="Helvetica Neue" w:hAnsi="Helvetica Neue"/>
            <w:color w:val="FF0080"/>
            <w:u w:val="single"/>
          </w:rPr>
          <w:t>https://doi.org/10.1016/j.sapharm.2020.05.024</w:t>
        </w:r>
      </w:hyperlink>
      <w:r>
        <w:rPr>
          <w:rFonts w:ascii="Helvetica Neue" w:hAnsi="Helvetica Neue"/>
          <w:color w:val="000000"/>
        </w:rPr>
        <w:t xml:space="preserve"> </w:t>
      </w:r>
    </w:p>
    <w:p w14:paraId="00000131"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Russel, P. J. (2002). Chromosomal mutation. </w:t>
      </w:r>
      <w:r>
        <w:rPr>
          <w:rFonts w:ascii="Helvetica Neue" w:hAnsi="Helvetica Neue"/>
          <w:i/>
          <w:color w:val="000000"/>
        </w:rPr>
        <w:t>Genetics</w:t>
      </w:r>
      <w:r>
        <w:rPr>
          <w:rFonts w:ascii="Helvetica Neue" w:hAnsi="Helvetica Neue"/>
          <w:color w:val="000000"/>
        </w:rPr>
        <w:t>, 595-621.</w:t>
      </w:r>
    </w:p>
    <w:p w14:paraId="00000132" w14:textId="77777777" w:rsidR="00955C2D" w:rsidRDefault="00A60C06">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Salazar-Mercado, S. A., Torres-León, C. A., &amp; Rojas-Suárez, J. P. (2019). Cytotoxic evaluation of sodium hypochlor</w:t>
      </w:r>
      <w:r>
        <w:rPr>
          <w:rFonts w:ascii="Helvetica Neue" w:hAnsi="Helvetica Neue"/>
          <w:color w:val="000000"/>
        </w:rPr>
        <w:t xml:space="preserve">ite, using </w:t>
      </w:r>
      <w:proofErr w:type="spellStart"/>
      <w:r>
        <w:rPr>
          <w:rFonts w:ascii="Helvetica Neue" w:hAnsi="Helvetica Neue"/>
          <w:color w:val="000000"/>
        </w:rPr>
        <w:t>Pisum</w:t>
      </w:r>
      <w:proofErr w:type="spellEnd"/>
      <w:r>
        <w:rPr>
          <w:rFonts w:ascii="Helvetica Neue" w:hAnsi="Helvetica Neue"/>
          <w:color w:val="000000"/>
        </w:rPr>
        <w:t xml:space="preserve"> </w:t>
      </w:r>
      <w:proofErr w:type="spellStart"/>
      <w:r>
        <w:rPr>
          <w:rFonts w:ascii="Helvetica Neue" w:hAnsi="Helvetica Neue"/>
          <w:color w:val="000000"/>
        </w:rPr>
        <w:t>sativum</w:t>
      </w:r>
      <w:proofErr w:type="spellEnd"/>
      <w:r>
        <w:rPr>
          <w:rFonts w:ascii="Helvetica Neue" w:hAnsi="Helvetica Neue"/>
          <w:color w:val="000000"/>
        </w:rPr>
        <w:t xml:space="preserve"> L as effective </w:t>
      </w:r>
      <w:proofErr w:type="spellStart"/>
      <w:r>
        <w:rPr>
          <w:rFonts w:ascii="Helvetica Neue" w:hAnsi="Helvetica Neue"/>
          <w:color w:val="000000"/>
        </w:rPr>
        <w:t>bioindicator</w:t>
      </w:r>
      <w:proofErr w:type="spellEnd"/>
      <w:r>
        <w:rPr>
          <w:rFonts w:ascii="Helvetica Neue" w:hAnsi="Helvetica Neue"/>
          <w:color w:val="000000"/>
        </w:rPr>
        <w:t>. </w:t>
      </w:r>
      <w:r>
        <w:rPr>
          <w:rFonts w:ascii="Helvetica Neue" w:hAnsi="Helvetica Neue"/>
          <w:i/>
          <w:color w:val="000000"/>
        </w:rPr>
        <w:t>Ecotoxicology and environmental safety</w:t>
      </w:r>
      <w:r>
        <w:rPr>
          <w:rFonts w:ascii="Helvetica Neue" w:hAnsi="Helvetica Neue"/>
          <w:color w:val="000000"/>
        </w:rPr>
        <w:t>, </w:t>
      </w:r>
      <w:r>
        <w:rPr>
          <w:rFonts w:ascii="Helvetica Neue" w:hAnsi="Helvetica Neue"/>
          <w:i/>
          <w:color w:val="000000"/>
        </w:rPr>
        <w:t>173</w:t>
      </w:r>
      <w:r>
        <w:rPr>
          <w:rFonts w:ascii="Helvetica Neue" w:hAnsi="Helvetica Neue"/>
          <w:color w:val="000000"/>
        </w:rPr>
        <w:t xml:space="preserve">, 71-76. </w:t>
      </w:r>
      <w:hyperlink r:id="rId53">
        <w:r>
          <w:rPr>
            <w:rFonts w:ascii="Helvetica Neue" w:hAnsi="Helvetica Neue"/>
            <w:color w:val="FF0080"/>
            <w:u w:val="single"/>
          </w:rPr>
          <w:t>https://doi.org/10.1016/j.ecoenv.2019.02.027</w:t>
        </w:r>
      </w:hyperlink>
      <w:r>
        <w:rPr>
          <w:rFonts w:ascii="Helvetica Neue" w:hAnsi="Helvetica Neue"/>
          <w:color w:val="000000"/>
        </w:rPr>
        <w:t xml:space="preserve"> </w:t>
      </w:r>
    </w:p>
    <w:p w14:paraId="00000133" w14:textId="77777777" w:rsidR="00955C2D" w:rsidRDefault="00A60C06">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Talukdar</w:t>
      </w:r>
      <w:proofErr w:type="spellEnd"/>
      <w:r>
        <w:rPr>
          <w:rFonts w:ascii="Helvetica Neue" w:hAnsi="Helvetica Neue"/>
          <w:color w:val="000000"/>
        </w:rPr>
        <w:t xml:space="preserve">, D., &amp; </w:t>
      </w:r>
      <w:proofErr w:type="spellStart"/>
      <w:r>
        <w:rPr>
          <w:rFonts w:ascii="Helvetica Neue" w:hAnsi="Helvetica Neue"/>
          <w:color w:val="000000"/>
        </w:rPr>
        <w:t>Talukdar</w:t>
      </w:r>
      <w:proofErr w:type="spellEnd"/>
      <w:r>
        <w:rPr>
          <w:rFonts w:ascii="Helvetica Neue" w:hAnsi="Helvetica Neue"/>
          <w:color w:val="000000"/>
        </w:rPr>
        <w:t>, T. (2014). RET</w:t>
      </w:r>
      <w:r>
        <w:rPr>
          <w:rFonts w:ascii="Helvetica Neue" w:hAnsi="Helvetica Neue"/>
          <w:color w:val="000000"/>
        </w:rPr>
        <w:t xml:space="preserve">RACTED ARTICLE: Coordinated response of sulfate transport, cysteine biosynthesis, and glutathione-mediated antioxidant defense in lentil (Lens </w:t>
      </w:r>
      <w:proofErr w:type="spellStart"/>
      <w:r>
        <w:rPr>
          <w:rFonts w:ascii="Helvetica Neue" w:hAnsi="Helvetica Neue"/>
          <w:color w:val="000000"/>
        </w:rPr>
        <w:t>culinaris</w:t>
      </w:r>
      <w:proofErr w:type="spellEnd"/>
      <w:r>
        <w:rPr>
          <w:rFonts w:ascii="Helvetica Neue" w:hAnsi="Helvetica Neue"/>
          <w:color w:val="000000"/>
        </w:rPr>
        <w:t xml:space="preserve"> </w:t>
      </w:r>
      <w:proofErr w:type="spellStart"/>
      <w:r>
        <w:rPr>
          <w:rFonts w:ascii="Helvetica Neue" w:hAnsi="Helvetica Neue"/>
          <w:color w:val="000000"/>
        </w:rPr>
        <w:t>Medik</w:t>
      </w:r>
      <w:proofErr w:type="spellEnd"/>
      <w:r>
        <w:rPr>
          <w:rFonts w:ascii="Helvetica Neue" w:hAnsi="Helvetica Neue"/>
          <w:color w:val="000000"/>
        </w:rPr>
        <w:t>.) genotypes exposed to arsenic. </w:t>
      </w:r>
      <w:proofErr w:type="spellStart"/>
      <w:r>
        <w:rPr>
          <w:rFonts w:ascii="Helvetica Neue" w:hAnsi="Helvetica Neue"/>
          <w:i/>
          <w:color w:val="000000"/>
        </w:rPr>
        <w:t>Protoplasma</w:t>
      </w:r>
      <w:proofErr w:type="spellEnd"/>
      <w:r>
        <w:rPr>
          <w:rFonts w:ascii="Helvetica Neue" w:hAnsi="Helvetica Neue"/>
          <w:color w:val="000000"/>
        </w:rPr>
        <w:t>, </w:t>
      </w:r>
      <w:r>
        <w:rPr>
          <w:rFonts w:ascii="Helvetica Neue" w:hAnsi="Helvetica Neue"/>
          <w:i/>
          <w:color w:val="000000"/>
        </w:rPr>
        <w:t>251</w:t>
      </w:r>
      <w:r>
        <w:rPr>
          <w:rFonts w:ascii="Helvetica Neue" w:hAnsi="Helvetica Neue"/>
          <w:color w:val="000000"/>
        </w:rPr>
        <w:t>, 839-855.</w:t>
      </w:r>
    </w:p>
    <w:p w14:paraId="00000134" w14:textId="77777777" w:rsidR="00955C2D" w:rsidRDefault="00A60C06">
      <w:pPr>
        <w:pBdr>
          <w:top w:val="nil"/>
          <w:left w:val="nil"/>
          <w:bottom w:val="nil"/>
          <w:right w:val="nil"/>
          <w:between w:val="nil"/>
        </w:pBdr>
        <w:spacing w:after="240"/>
        <w:jc w:val="both"/>
        <w:rPr>
          <w:rFonts w:ascii="Helvetica Neue" w:hAnsi="Helvetica Neue"/>
          <w:color w:val="FF0080"/>
          <w:u w:val="single"/>
        </w:rPr>
      </w:pPr>
      <w:r>
        <w:fldChar w:fldCharType="begin"/>
      </w:r>
      <w:r>
        <w:instrText xml:space="preserve"> HYPERLINK "https://doi.org/10.1007/s0</w:instrText>
      </w:r>
      <w:r>
        <w:instrText xml:space="preserve">0709-013-0586-8%2033." </w:instrText>
      </w:r>
      <w:r>
        <w:fldChar w:fldCharType="separate"/>
      </w:r>
      <w:r>
        <w:rPr>
          <w:rFonts w:ascii="Helvetica Neue" w:hAnsi="Helvetica Neue"/>
          <w:color w:val="FF0080"/>
          <w:u w:val="single"/>
        </w:rPr>
        <w:t xml:space="preserve">https://doi.org/10.1007/s00709-013-0586-8 </w:t>
      </w:r>
    </w:p>
    <w:p w14:paraId="00000135" w14:textId="77777777" w:rsidR="00955C2D" w:rsidRDefault="00A60C06">
      <w:pPr>
        <w:pBdr>
          <w:top w:val="nil"/>
          <w:left w:val="nil"/>
          <w:bottom w:val="nil"/>
          <w:right w:val="nil"/>
          <w:between w:val="nil"/>
        </w:pBdr>
        <w:spacing w:after="240"/>
        <w:jc w:val="both"/>
        <w:rPr>
          <w:rFonts w:ascii="Helvetica Neue" w:hAnsi="Helvetica Neue"/>
          <w:color w:val="000000"/>
        </w:rPr>
      </w:pPr>
      <w:r>
        <w:fldChar w:fldCharType="end"/>
      </w:r>
      <w:r>
        <w:rPr>
          <w:rFonts w:ascii="Arial" w:eastAsia="Arial" w:hAnsi="Arial" w:cs="Arial"/>
          <w:color w:val="222222"/>
          <w:highlight w:val="white"/>
        </w:rPr>
        <w:t xml:space="preserve"> </w:t>
      </w:r>
      <w:r>
        <w:rPr>
          <w:rFonts w:ascii="Helvetica Neue" w:hAnsi="Helvetica Neue"/>
          <w:color w:val="000000"/>
        </w:rPr>
        <w:t>Wang, S., Tian, Y., Lu, S., Wang, R., Shang, H., Zhang, X</w:t>
      </w:r>
      <w:proofErr w:type="gramStart"/>
      <w:r>
        <w:rPr>
          <w:rFonts w:ascii="Helvetica Neue" w:hAnsi="Helvetica Neue"/>
          <w:color w:val="000000"/>
        </w:rPr>
        <w:t>., ...</w:t>
      </w:r>
      <w:proofErr w:type="gramEnd"/>
      <w:r>
        <w:rPr>
          <w:rFonts w:ascii="Helvetica Neue" w:hAnsi="Helvetica Neue"/>
          <w:color w:val="000000"/>
        </w:rPr>
        <w:t xml:space="preserve"> &amp; Sun, X. (2019). Design and synthesis of acetaminophen probe APAP-P1 for identification of the toxicity targets </w:t>
      </w:r>
      <w:proofErr w:type="spellStart"/>
      <w:r>
        <w:rPr>
          <w:rFonts w:ascii="Helvetica Neue" w:hAnsi="Helvetica Neue"/>
          <w:color w:val="000000"/>
        </w:rPr>
        <w:t>thioredox</w:t>
      </w:r>
      <w:r>
        <w:rPr>
          <w:rFonts w:ascii="Helvetica Neue" w:hAnsi="Helvetica Neue"/>
          <w:color w:val="000000"/>
        </w:rPr>
        <w:t>in</w:t>
      </w:r>
      <w:proofErr w:type="spellEnd"/>
      <w:r>
        <w:rPr>
          <w:rFonts w:ascii="Helvetica Neue" w:hAnsi="Helvetica Neue"/>
          <w:color w:val="000000"/>
        </w:rPr>
        <w:t xml:space="preserve"> reductase-1 in </w:t>
      </w:r>
      <w:proofErr w:type="spellStart"/>
      <w:r>
        <w:rPr>
          <w:rFonts w:ascii="Helvetica Neue" w:hAnsi="Helvetica Neue"/>
          <w:color w:val="000000"/>
        </w:rPr>
        <w:t>HepaRG</w:t>
      </w:r>
      <w:proofErr w:type="spellEnd"/>
      <w:r>
        <w:rPr>
          <w:rFonts w:ascii="Helvetica Neue" w:hAnsi="Helvetica Neue"/>
          <w:color w:val="000000"/>
        </w:rPr>
        <w:t xml:space="preserve"> cells. </w:t>
      </w:r>
      <w:r>
        <w:rPr>
          <w:rFonts w:ascii="Helvetica Neue" w:hAnsi="Helvetica Neue"/>
          <w:i/>
          <w:color w:val="000000"/>
        </w:rPr>
        <w:t>RSC advances</w:t>
      </w:r>
      <w:r>
        <w:rPr>
          <w:rFonts w:ascii="Helvetica Neue" w:hAnsi="Helvetica Neue"/>
          <w:color w:val="000000"/>
        </w:rPr>
        <w:t>, </w:t>
      </w:r>
      <w:r>
        <w:rPr>
          <w:rFonts w:ascii="Helvetica Neue" w:hAnsi="Helvetica Neue"/>
          <w:i/>
          <w:color w:val="000000"/>
        </w:rPr>
        <w:t>9</w:t>
      </w:r>
      <w:r>
        <w:rPr>
          <w:rFonts w:ascii="Helvetica Neue" w:hAnsi="Helvetica Neue"/>
          <w:color w:val="000000"/>
        </w:rPr>
        <w:t>(27), 15224-15228.</w:t>
      </w:r>
      <w:hyperlink r:id="rId54">
        <w:r>
          <w:rPr>
            <w:rFonts w:ascii="Helvetica Neue" w:hAnsi="Helvetica Neue"/>
            <w:color w:val="FF0080"/>
            <w:u w:val="single"/>
          </w:rPr>
          <w:t>https://doi.org/10.1039/C9RA00483A</w:t>
        </w:r>
      </w:hyperlink>
      <w:r>
        <w:rPr>
          <w:rFonts w:ascii="Helvetica Neue" w:hAnsi="Helvetica Neue"/>
          <w:color w:val="000000"/>
        </w:rPr>
        <w:t xml:space="preserve"> </w:t>
      </w:r>
    </w:p>
    <w:p w14:paraId="00000136" w14:textId="77777777" w:rsidR="00955C2D" w:rsidRDefault="00955C2D">
      <w:pPr>
        <w:spacing w:after="240"/>
        <w:jc w:val="both"/>
        <w:rPr>
          <w:rFonts w:ascii="Arial" w:eastAsia="Arial" w:hAnsi="Arial" w:cs="Arial"/>
          <w:b/>
          <w:color w:val="000000"/>
        </w:rPr>
      </w:pPr>
    </w:p>
    <w:sectPr w:rsidR="00955C2D">
      <w:headerReference w:type="even" r:id="rId55"/>
      <w:headerReference w:type="default" r:id="rId56"/>
      <w:footerReference w:type="default" r:id="rId57"/>
      <w:headerReference w:type="first" r:id="rId58"/>
      <w:type w:val="continuous"/>
      <w:pgSz w:w="12240" w:h="15840"/>
      <w:pgMar w:top="1440" w:right="2016" w:bottom="2016" w:left="2016" w:header="720" w:footer="112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viewer" w:date="2025-02-21T12:22:00Z" w:initials="">
    <w:p w14:paraId="0000015E"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an unnecessary sentence. Not linked with the rest of the paragraph.</w:t>
      </w:r>
    </w:p>
  </w:comment>
  <w:comment w:id="2" w:author="reviewer" w:date="2025-02-21T15:33:00Z" w:initials="">
    <w:p w14:paraId="00000150"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Rewrite as: As lives getting faster, there's an increased reliance on immediate relief from health issues</w:t>
      </w:r>
    </w:p>
  </w:comment>
  <w:comment w:id="4" w:author="reviewer" w:date="2025-02-21T12:25:00Z" w:initials="">
    <w:p w14:paraId="0000014E"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should be became</w:t>
      </w:r>
    </w:p>
  </w:comment>
  <w:comment w:id="5" w:author="reviewer" w:date="2025-02-21T15:37:00Z" w:initials="">
    <w:p w14:paraId="0000015B"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should be symptom</w:t>
      </w:r>
    </w:p>
  </w:comment>
  <w:comment w:id="6" w:author="reviewer" w:date="2025-02-21T12:27:00Z" w:initials="">
    <w:p w14:paraId="0000014D"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is PCT here?</w:t>
      </w:r>
    </w:p>
  </w:comment>
  <w:comment w:id="3" w:author="reviewer" w:date="2025-02-21T12:24:00Z" w:initials="">
    <w:p w14:paraId="0000014F"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a big sentence, Break it up.</w:t>
      </w:r>
    </w:p>
  </w:comment>
  <w:comment w:id="7" w:author="reviewer" w:date="2025-02-21T12:27:00Z" w:initials="">
    <w:p w14:paraId="00000154"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is "it"?</w:t>
      </w:r>
    </w:p>
  </w:comment>
  <w:comment w:id="8" w:author="reviewer" w:date="2025-02-21T15:58:00Z" w:initials="">
    <w:p w14:paraId="00000157"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should be a different sentence</w:t>
      </w:r>
    </w:p>
  </w:comment>
  <w:comment w:id="9" w:author="reviewer" w:date="2025-02-21T12:28:00Z" w:initials="">
    <w:p w14:paraId="00000156"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is NAPQI?</w:t>
      </w:r>
    </w:p>
  </w:comment>
  <w:comment w:id="10" w:author="reviewer" w:date="2025-02-21T16:04:00Z" w:initials="">
    <w:p w14:paraId="00000155"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Elaborate these acronyms of ETC and RO</w:t>
      </w:r>
      <w:r>
        <w:rPr>
          <w:rFonts w:ascii="Arial" w:eastAsia="Arial" w:hAnsi="Arial" w:cs="Arial"/>
          <w:color w:val="000000"/>
          <w:sz w:val="22"/>
          <w:szCs w:val="22"/>
        </w:rPr>
        <w:t>S. Like ETC (Electron Transport Chain). Also, this sentence should be part of the previous paragraph.</w:t>
      </w:r>
    </w:p>
  </w:comment>
  <w:comment w:id="11" w:author="reviewer" w:date="2025-02-21T12:30:00Z" w:initials="">
    <w:p w14:paraId="00000153"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why</w:t>
      </w:r>
      <w:proofErr w:type="gramEnd"/>
      <w:r>
        <w:rPr>
          <w:rFonts w:ascii="Arial" w:eastAsia="Arial" w:hAnsi="Arial" w:cs="Arial"/>
          <w:color w:val="000000"/>
          <w:sz w:val="22"/>
          <w:szCs w:val="22"/>
        </w:rPr>
        <w:t xml:space="preserve"> are you suddenly mentioning disposal here? </w:t>
      </w:r>
      <w:proofErr w:type="gramStart"/>
      <w:r>
        <w:rPr>
          <w:rFonts w:ascii="Arial" w:eastAsia="Arial" w:hAnsi="Arial" w:cs="Arial"/>
          <w:color w:val="000000"/>
          <w:sz w:val="22"/>
          <w:szCs w:val="22"/>
        </w:rPr>
        <w:t>finish</w:t>
      </w:r>
      <w:proofErr w:type="gramEnd"/>
      <w:r>
        <w:rPr>
          <w:rFonts w:ascii="Arial" w:eastAsia="Arial" w:hAnsi="Arial" w:cs="Arial"/>
          <w:color w:val="000000"/>
          <w:sz w:val="22"/>
          <w:szCs w:val="22"/>
        </w:rPr>
        <w:t xml:space="preserve"> the topic of the metabolism effect. Remove this sentence</w:t>
      </w:r>
    </w:p>
  </w:comment>
  <w:comment w:id="12" w:author="reviewer" w:date="2025-02-21T12:32:00Z" w:initials="">
    <w:p w14:paraId="00000151"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Why is this effective? </w:t>
      </w:r>
      <w:proofErr w:type="gramStart"/>
      <w:r>
        <w:rPr>
          <w:rFonts w:ascii="Arial" w:eastAsia="Arial" w:hAnsi="Arial" w:cs="Arial"/>
          <w:color w:val="000000"/>
          <w:sz w:val="22"/>
          <w:szCs w:val="22"/>
        </w:rPr>
        <w:t>explain</w:t>
      </w:r>
      <w:proofErr w:type="gramEnd"/>
      <w:r>
        <w:rPr>
          <w:rFonts w:ascii="Arial" w:eastAsia="Arial" w:hAnsi="Arial" w:cs="Arial"/>
          <w:color w:val="000000"/>
          <w:sz w:val="22"/>
          <w:szCs w:val="22"/>
        </w:rPr>
        <w:t xml:space="preserve"> more. This is too short. Also explain in a greater context how this study can impact human health understandings?</w:t>
      </w:r>
    </w:p>
  </w:comment>
  <w:comment w:id="13" w:author="reviewer" w:date="2025-02-21T12:35:00Z" w:initials="">
    <w:p w14:paraId="00000152" w14:textId="6DE6DBE0"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w:t>
      </w:r>
      <w:r>
        <w:rPr>
          <w:rFonts w:ascii="Arial" w:eastAsia="Arial" w:hAnsi="Arial" w:cs="Arial"/>
          <w:color w:val="000000"/>
          <w:sz w:val="22"/>
          <w:szCs w:val="22"/>
        </w:rPr>
        <w:t>treatment? This is the first t</w:t>
      </w:r>
      <w:r w:rsidR="0051178B">
        <w:rPr>
          <w:rFonts w:ascii="Arial" w:eastAsia="Arial" w:hAnsi="Arial" w:cs="Arial"/>
          <w:color w:val="000000"/>
          <w:sz w:val="22"/>
          <w:szCs w:val="22"/>
        </w:rPr>
        <w:t>ime you are talking about this.</w:t>
      </w:r>
      <w:r w:rsidR="00D443A3">
        <w:rPr>
          <w:rFonts w:ascii="Arial" w:eastAsia="Arial" w:hAnsi="Arial" w:cs="Arial"/>
          <w:color w:val="000000"/>
          <w:sz w:val="22"/>
          <w:szCs w:val="22"/>
        </w:rPr>
        <w:t xml:space="preserve"> So </w:t>
      </w:r>
      <w:r>
        <w:rPr>
          <w:rFonts w:ascii="Arial" w:eastAsia="Arial" w:hAnsi="Arial" w:cs="Arial"/>
          <w:color w:val="000000"/>
          <w:sz w:val="22"/>
          <w:szCs w:val="22"/>
        </w:rPr>
        <w:t>introduce the concept first</w:t>
      </w:r>
    </w:p>
  </w:comment>
  <w:comment w:id="14" w:author="reviewer" w:date="2025-02-21T12:35:00Z" w:initials="">
    <w:p w14:paraId="00000159" w14:textId="7F2671E4"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did you analyze the presence or absence of ce</w:t>
      </w:r>
      <w:r w:rsidR="00D443A3">
        <w:rPr>
          <w:rFonts w:ascii="Arial" w:eastAsia="Arial" w:hAnsi="Arial" w:cs="Arial"/>
          <w:color w:val="000000"/>
          <w:sz w:val="22"/>
          <w:szCs w:val="22"/>
        </w:rPr>
        <w:t xml:space="preserve">ll division? </w:t>
      </w:r>
      <w:r w:rsidR="00D443A3">
        <w:rPr>
          <w:rFonts w:ascii="Arial" w:eastAsia="Arial" w:hAnsi="Arial" w:cs="Arial"/>
          <w:color w:val="000000"/>
          <w:sz w:val="22"/>
          <w:szCs w:val="22"/>
        </w:rPr>
        <w:t xml:space="preserve">Elaborate on </w:t>
      </w:r>
      <w:r w:rsidR="00D443A3">
        <w:rPr>
          <w:rFonts w:ascii="Arial" w:eastAsia="Arial" w:hAnsi="Arial" w:cs="Arial"/>
          <w:color w:val="000000"/>
          <w:sz w:val="22"/>
          <w:szCs w:val="22"/>
        </w:rPr>
        <w:t>this.</w:t>
      </w:r>
      <w:bookmarkStart w:id="15" w:name="_GoBack"/>
      <w:bookmarkEnd w:id="15"/>
    </w:p>
  </w:comment>
  <w:comment w:id="16" w:author="reviewer" w:date="2025-02-21T12:35:00Z" w:initials="">
    <w:p w14:paraId="0000015D"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test you conducted to assess what kind of abnormality? Th</w:t>
      </w:r>
      <w:r>
        <w:rPr>
          <w:rFonts w:ascii="Arial" w:eastAsia="Arial" w:hAnsi="Arial" w:cs="Arial"/>
          <w:color w:val="000000"/>
          <w:sz w:val="22"/>
          <w:szCs w:val="22"/>
        </w:rPr>
        <w:t>is is not clear at all</w:t>
      </w:r>
    </w:p>
  </w:comment>
  <w:comment w:id="17" w:author="reviewer" w:date="2025-02-21T12:36:00Z" w:initials="">
    <w:p w14:paraId="0000015C"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chemical? Be specific </w:t>
      </w:r>
      <w:proofErr w:type="spellStart"/>
      <w:r>
        <w:rPr>
          <w:rFonts w:ascii="Arial" w:eastAsia="Arial" w:hAnsi="Arial" w:cs="Arial"/>
          <w:color w:val="000000"/>
          <w:sz w:val="22"/>
          <w:szCs w:val="22"/>
        </w:rPr>
        <w:t>everytime</w:t>
      </w:r>
      <w:proofErr w:type="spellEnd"/>
    </w:p>
  </w:comment>
  <w:comment w:id="18" w:author="reviewer" w:date="2025-02-21T12:36:00Z" w:initials="">
    <w:p w14:paraId="0000015A"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table is not readable. Make it into two tables</w:t>
      </w:r>
    </w:p>
  </w:comment>
  <w:comment w:id="19" w:author="reviewer" w:date="2025-02-21T12:20:00Z" w:initials="">
    <w:p w14:paraId="00000158" w14:textId="77777777" w:rsidR="00955C2D" w:rsidRDefault="00A60C0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Why suitable model? Not explained enough. If so then how is that applicable for a human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E" w15:done="0"/>
  <w15:commentEx w15:paraId="00000150" w15:done="0"/>
  <w15:commentEx w15:paraId="0000014E" w15:done="0"/>
  <w15:commentEx w15:paraId="0000015B" w15:done="0"/>
  <w15:commentEx w15:paraId="0000014D" w15:done="0"/>
  <w15:commentEx w15:paraId="0000014F" w15:done="0"/>
  <w15:commentEx w15:paraId="00000154" w15:done="0"/>
  <w15:commentEx w15:paraId="00000157" w15:done="0"/>
  <w15:commentEx w15:paraId="00000156" w15:done="0"/>
  <w15:commentEx w15:paraId="00000155" w15:done="0"/>
  <w15:commentEx w15:paraId="00000153" w15:done="0"/>
  <w15:commentEx w15:paraId="00000151" w15:done="0"/>
  <w15:commentEx w15:paraId="00000152" w15:done="0"/>
  <w15:commentEx w15:paraId="00000159" w15:done="0"/>
  <w15:commentEx w15:paraId="0000015D" w15:done="0"/>
  <w15:commentEx w15:paraId="0000015C" w15:done="0"/>
  <w15:commentEx w15:paraId="0000015A" w15:done="0"/>
  <w15:commentEx w15:paraId="000001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A832" w14:textId="77777777" w:rsidR="00A60C06" w:rsidRDefault="00A60C06">
      <w:r>
        <w:separator/>
      </w:r>
    </w:p>
  </w:endnote>
  <w:endnote w:type="continuationSeparator" w:id="0">
    <w:p w14:paraId="6B778A61" w14:textId="77777777" w:rsidR="00A60C06" w:rsidRDefault="00A6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6" w14:textId="77777777" w:rsidR="00955C2D" w:rsidRDefault="00955C2D">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7" w14:textId="77777777" w:rsidR="00955C2D" w:rsidRDefault="00955C2D">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8" w14:textId="77777777" w:rsidR="00955C2D" w:rsidRDefault="00955C2D">
    <w:pPr>
      <w:pBdr>
        <w:top w:val="nil"/>
        <w:left w:val="nil"/>
        <w:bottom w:val="nil"/>
        <w:right w:val="nil"/>
        <w:between w:val="nil"/>
      </w:pBdr>
      <w:tabs>
        <w:tab w:val="center" w:pos="4320"/>
        <w:tab w:val="right" w:pos="8640"/>
      </w:tabs>
      <w:rPr>
        <w:rFonts w:ascii="Helvetica Neue" w:hAnsi="Helvetica Neue"/>
        <w:color w:val="000000"/>
      </w:rPr>
    </w:pPr>
    <w:bookmarkStart w:id="0" w:name="_heading=h.30j0zll" w:colFirst="0" w:colLast="0"/>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9" w14:textId="77777777" w:rsidR="00955C2D" w:rsidRDefault="00A60C06">
    <w:pPr>
      <w:pBdr>
        <w:top w:val="nil"/>
        <w:left w:val="nil"/>
        <w:bottom w:val="nil"/>
        <w:right w:val="nil"/>
        <w:between w:val="nil"/>
      </w:pBdr>
      <w:tabs>
        <w:tab w:val="center" w:pos="4320"/>
        <w:tab w:val="right" w:pos="8640"/>
      </w:tabs>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end"/>
    </w:r>
  </w:p>
  <w:p w14:paraId="0000014A" w14:textId="77777777" w:rsidR="00955C2D" w:rsidRDefault="00955C2D">
    <w:pPr>
      <w:pBdr>
        <w:top w:val="nil"/>
        <w:left w:val="nil"/>
        <w:bottom w:val="nil"/>
        <w:right w:val="nil"/>
        <w:between w:val="nil"/>
      </w:pBdr>
      <w:tabs>
        <w:tab w:val="center" w:pos="4320"/>
        <w:tab w:val="right" w:pos="8640"/>
      </w:tabs>
      <w:ind w:right="360"/>
      <w:rPr>
        <w:rFonts w:ascii="Helvetica Neue" w:hAnsi="Helvetica Neue"/>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B" w14:textId="77777777" w:rsidR="00955C2D" w:rsidRDefault="00955C2D">
    <w:pPr>
      <w:pBdr>
        <w:top w:val="nil"/>
        <w:left w:val="nil"/>
        <w:bottom w:val="nil"/>
        <w:right w:val="nil"/>
        <w:between w:val="nil"/>
      </w:pBdr>
      <w:tabs>
        <w:tab w:val="center" w:pos="4320"/>
        <w:tab w:val="right" w:pos="8640"/>
      </w:tabs>
      <w:ind w:right="360"/>
      <w:rPr>
        <w:rFonts w:ascii="Helvetica Neue" w:hAnsi="Helvetica Neue"/>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C" w14:textId="77777777" w:rsidR="00955C2D" w:rsidRDefault="00955C2D">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FCC9F" w14:textId="77777777" w:rsidR="00A60C06" w:rsidRDefault="00A60C06">
      <w:r>
        <w:separator/>
      </w:r>
    </w:p>
  </w:footnote>
  <w:footnote w:type="continuationSeparator" w:id="0">
    <w:p w14:paraId="281D3862" w14:textId="77777777" w:rsidR="00A60C06" w:rsidRDefault="00A6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7"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303A3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5" type="#_x0000_t136" style="position:absolute;margin-left:0;margin-top:0;width:520.65pt;height:57.85pt;rotation:315;z-index:-25166080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8"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1EF9F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7" type="#_x0000_t136" style="position:absolute;margin-left:0;margin-top:0;width:520.65pt;height:57.85pt;rotation:315;z-index:-25166284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9" w14:textId="77777777" w:rsidR="00955C2D" w:rsidRDefault="00A60C06">
    <w:pPr>
      <w:ind w:left="2160"/>
      <w:jc w:val="center"/>
      <w:rPr>
        <w:rFonts w:ascii="Times New Roman" w:eastAsia="Times New Roman" w:hAnsi="Times New Roman" w:cs="Times New Roman"/>
        <w:i/>
        <w:sz w:val="18"/>
        <w:szCs w:val="18"/>
      </w:rPr>
    </w:pPr>
    <w:r>
      <w:pict w14:anchorId="74526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left:0;text-align:left;margin-left:0;margin-top:0;width:520.65pt;height:57.85pt;rotation:315;z-index:-25166182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14:paraId="0000013A" w14:textId="77777777" w:rsidR="00955C2D" w:rsidRDefault="00A60C06">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000013B" w14:textId="77777777" w:rsidR="00955C2D" w:rsidRDefault="00A60C0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0000013C" w14:textId="77777777" w:rsidR="00955C2D" w:rsidRDefault="00A60C06">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0000013D" w14:textId="77777777" w:rsidR="00955C2D" w:rsidRDefault="00A60C0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000013E" w14:textId="77777777" w:rsidR="00955C2D" w:rsidRDefault="00A60C06">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0000013F"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0"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151A8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520.65pt;height:57.8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1"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3A182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2"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1F4EA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20.65pt;height:57.8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3"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5D9F4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465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4"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2DE29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style="position:absolute;margin-left:0;margin-top:0;width:520.65pt;height:57.85pt;rotation:315;z-index:-25165670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5" w14:textId="77777777" w:rsidR="00955C2D" w:rsidRDefault="00A60C06">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28EB3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style="position:absolute;margin-left:0;margin-top:0;width:520.65pt;height:57.85pt;rotation:315;z-index:-25165568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5ABD"/>
    <w:multiLevelType w:val="multilevel"/>
    <w:tmpl w:val="9A86A6FE"/>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D"/>
    <w:rsid w:val="0051178B"/>
    <w:rsid w:val="00955C2D"/>
    <w:rsid w:val="00A60C06"/>
    <w:rsid w:val="00D4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537353E"/>
  <w15:docId w15:val="{79D59DB5-3662-4284-BF5D-00AA2F34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343C6"/>
    <w:pPr>
      <w:ind w:left="720"/>
      <w:contextualSpacing/>
    </w:pPr>
    <w:rPr>
      <w:rFonts w:asciiTheme="minorHAnsi" w:eastAsiaTheme="minorHAnsi" w:hAnsiTheme="minorHAnsi" w:cstheme="minorBidi"/>
      <w:kern w:val="2"/>
      <w:sz w:val="24"/>
      <w:szCs w:val="24"/>
      <w:lang w:val="en-IN"/>
    </w:rPr>
  </w:style>
  <w:style w:type="table" w:styleId="GridTable1Light">
    <w:name w:val="Grid Table 1 Light"/>
    <w:basedOn w:val="TableNormal"/>
    <w:uiPriority w:val="46"/>
    <w:rsid w:val="00F343C6"/>
    <w:rPr>
      <w:rFonts w:eastAsiaTheme="minorHAnsi" w:cstheme="minorBidi"/>
      <w:kern w:val="2"/>
      <w:sz w:val="24"/>
      <w:szCs w:val="24"/>
      <w:lang w:val="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F343C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CommentSubject">
    <w:name w:val="annotation subject"/>
    <w:basedOn w:val="CommentText"/>
    <w:next w:val="CommentText"/>
    <w:link w:val="CommentSubjectChar"/>
    <w:uiPriority w:val="99"/>
    <w:semiHidden/>
    <w:unhideWhenUsed/>
    <w:rsid w:val="00CF2038"/>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CF2038"/>
    <w:rPr>
      <w:rFonts w:ascii="Helvetica" w:hAnsi="Helvetica"/>
      <w:b/>
      <w:bCs/>
      <w:lang w:val="nb-NO" w:eastAsia="nb-NO"/>
    </w:rPr>
  </w:style>
  <w:style w:type="table" w:customStyle="1" w:styleId="a3">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4">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rPr>
      <w:sz w:val="24"/>
      <w:szCs w:val="24"/>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https://doi.org/10.1371/journal.pone.0136618" TargetMode="External"/><Relationship Id="rId39" Type="http://schemas.openxmlformats.org/officeDocument/2006/relationships/hyperlink" Target="https://doi.org/10.1055/s-0032-1321785" TargetMode="External"/><Relationship Id="rId21" Type="http://schemas.openxmlformats.org/officeDocument/2006/relationships/footer" Target="footer4.xml"/><Relationship Id="rId34" Type="http://schemas.openxmlformats.org/officeDocument/2006/relationships/hyperlink" Target="https://doi.org/10.1007/s43188-020-00056-z" TargetMode="External"/><Relationship Id="rId42" Type="http://schemas.openxmlformats.org/officeDocument/2006/relationships/hyperlink" Target="https://doi.org/10.1016/j.watres.2016.04.027" TargetMode="External"/><Relationship Id="rId47" Type="http://schemas.openxmlformats.org/officeDocument/2006/relationships/hyperlink" Target="https://doi.org/10.1093/toxsci/kfq375" TargetMode="External"/><Relationship Id="rId50" Type="http://schemas.openxmlformats.org/officeDocument/2006/relationships/hyperlink" Target="https://doi.org/10.1016/j.scitotenv.2009.11.055" TargetMode="Externa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s://doi.org/10.1016/j.envpol.2022.119546" TargetMode="External"/><Relationship Id="rId11" Type="http://schemas.openxmlformats.org/officeDocument/2006/relationships/header" Target="header2.xml"/><Relationship Id="rId24" Type="http://schemas.openxmlformats.org/officeDocument/2006/relationships/hyperlink" Target="https://doi.org/10.1016/j.jhazmat.2009.04.011" TargetMode="External"/><Relationship Id="rId32" Type="http://schemas.openxmlformats.org/officeDocument/2006/relationships/hyperlink" Target="https://doi.org/10.1016/j.pharma.2020.10.012" TargetMode="External"/><Relationship Id="rId37" Type="http://schemas.openxmlformats.org/officeDocument/2006/relationships/hyperlink" Target="https://doi.org/10.1124/dmd.123.001279" TargetMode="External"/><Relationship Id="rId40" Type="http://schemas.openxmlformats.org/officeDocument/2006/relationships/hyperlink" Target="https://doi.org/10.1016/j.mrrev.2009.06.002" TargetMode="External"/><Relationship Id="rId45" Type="http://schemas.openxmlformats.org/officeDocument/2006/relationships/hyperlink" Target="https://doi.org/10.1016/j.chemosphere.2020.126193" TargetMode="External"/><Relationship Id="rId53" Type="http://schemas.openxmlformats.org/officeDocument/2006/relationships/hyperlink" Target="https://doi.org/10.1016/j.ecoenv.2019.02.027" TargetMode="External"/><Relationship Id="rId58" Type="http://schemas.openxmlformats.org/officeDocument/2006/relationships/header" Target="header9.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doi.org/10.15123/PUB.7308" TargetMode="External"/><Relationship Id="rId30" Type="http://schemas.openxmlformats.org/officeDocument/2006/relationships/hyperlink" Target="https://doi.org/10.1080/17425255.2023.2223959" TargetMode="External"/><Relationship Id="rId35" Type="http://schemas.openxmlformats.org/officeDocument/2006/relationships/hyperlink" Target="https://doi.org/10.1007/978-3-642-00663-0_12" TargetMode="External"/><Relationship Id="rId43" Type="http://schemas.openxmlformats.org/officeDocument/2006/relationships/hyperlink" Target="https://doi.org/10.1016/j.scitotenv.2012.11.049" TargetMode="External"/><Relationship Id="rId48" Type="http://schemas.openxmlformats.org/officeDocument/2006/relationships/hyperlink" Target="https://doi.org/10.1016/S0027-5107(02)00076-3" TargetMode="External"/><Relationship Id="rId56" Type="http://schemas.openxmlformats.org/officeDocument/2006/relationships/header" Target="header8.xml"/><Relationship Id="rId51" Type="http://schemas.openxmlformats.org/officeDocument/2006/relationships/hyperlink" Target="https://doi.org/10.1016/j.scitotenv.2020.144006" TargetMode="External"/><Relationship Id="rId3" Type="http://schemas.openxmlformats.org/officeDocument/2006/relationships/styles" Target="styl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doi.org/10.1371/journal.pone.0226315" TargetMode="External"/><Relationship Id="rId33" Type="http://schemas.openxmlformats.org/officeDocument/2006/relationships/hyperlink" Target="https://doi.org/10.1016/j.chemosphere.2020.126675" TargetMode="External"/><Relationship Id="rId38" Type="http://schemas.openxmlformats.org/officeDocument/2006/relationships/hyperlink" Target="https://doi.org/10.1007/978-1-0716-2433-3_3" TargetMode="External"/><Relationship Id="rId46" Type="http://schemas.openxmlformats.org/officeDocument/2006/relationships/hyperlink" Target="https://doi.org/10.1016/j.toxrep.2022.03.035" TargetMode="External"/><Relationship Id="rId59"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yperlink" Target="https://doi.org/10.1016/j.chemosphere.2012.12.061" TargetMode="External"/><Relationship Id="rId54" Type="http://schemas.openxmlformats.org/officeDocument/2006/relationships/hyperlink" Target="https://doi.org/10.1039/C9RA00483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doi.org/10.1016/j.chemosphere.2019.03.163" TargetMode="External"/><Relationship Id="rId36" Type="http://schemas.openxmlformats.org/officeDocument/2006/relationships/hyperlink" Target="https://doi.org/10.3109/03602532.2011.602688" TargetMode="External"/><Relationship Id="rId49" Type="http://schemas.openxmlformats.org/officeDocument/2006/relationships/hyperlink" Target="https://doi.org/10.3390/ijerph19074262" TargetMode="External"/><Relationship Id="rId57" Type="http://schemas.openxmlformats.org/officeDocument/2006/relationships/footer" Target="footer6.xml"/><Relationship Id="rId10" Type="http://schemas.openxmlformats.org/officeDocument/2006/relationships/header" Target="header1.xml"/><Relationship Id="rId31" Type="http://schemas.openxmlformats.org/officeDocument/2006/relationships/hyperlink" Target="https://doi.org/10.1016/j.serj.2018.01.005" TargetMode="External"/><Relationship Id="rId44" Type="http://schemas.openxmlformats.org/officeDocument/2006/relationships/hyperlink" Target="https://doi.org/10.1016/j.scitotenv.2019.134992" TargetMode="External"/><Relationship Id="rId52" Type="http://schemas.openxmlformats.org/officeDocument/2006/relationships/hyperlink" Target="https://doi.org/10.1016/j.sapharm.2020.05.02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bc4SNlv3DwgGJaJ5whC6ISJl0w==">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3789</Words>
  <Characters>21601</Characters>
  <Application>Microsoft Office Word</Application>
  <DocSecurity>0</DocSecurity>
  <Lines>180</Lines>
  <Paragraphs>50</Paragraphs>
  <ScaleCrop>false</ScaleCrop>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1130</cp:lastModifiedBy>
  <cp:revision>3</cp:revision>
  <dcterms:created xsi:type="dcterms:W3CDTF">2025-02-21T19:46:00Z</dcterms:created>
  <dcterms:modified xsi:type="dcterms:W3CDTF">2025-02-22T04:13:00Z</dcterms:modified>
</cp:coreProperties>
</file>