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95FC4">
      <w:pPr>
        <w:autoSpaceDE w:val="0"/>
        <w:autoSpaceDN w:val="0"/>
        <w:adjustRightInd w:val="0"/>
        <w:spacing w:before="120" w:after="120" w:line="360" w:lineRule="auto"/>
        <w:contextualSpacing/>
        <w:jc w:val="both"/>
        <w:rPr>
          <w:rFonts w:asciiTheme="majorBidi" w:hAnsiTheme="majorBidi" w:eastAsiaTheme="minorHAnsi" w:cstheme="majorBidi"/>
          <w:b/>
          <w:bCs/>
          <w:color w:val="000000"/>
        </w:rPr>
      </w:pPr>
      <w:r>
        <w:rPr>
          <w:rFonts w:asciiTheme="majorBidi" w:hAnsiTheme="majorBidi" w:eastAsiaTheme="minorHAnsi" w:cstheme="majorBidi"/>
          <w:b/>
          <w:bCs/>
          <w:color w:val="000000"/>
        </w:rPr>
        <w:t xml:space="preserve">On the population dynamics of </w:t>
      </w:r>
      <w:r>
        <w:rPr>
          <w:rFonts w:asciiTheme="majorBidi" w:hAnsiTheme="majorBidi" w:eastAsiaTheme="minorHAnsi" w:cstheme="majorBidi"/>
          <w:b/>
          <w:bCs/>
          <w:i/>
          <w:iCs/>
          <w:color w:val="000000"/>
        </w:rPr>
        <w:t>Labeo senegalensis</w:t>
      </w:r>
      <w:r>
        <w:rPr>
          <w:rFonts w:asciiTheme="majorBidi" w:hAnsiTheme="majorBidi" w:eastAsiaTheme="minorHAnsi" w:cstheme="majorBidi"/>
          <w:b/>
          <w:bCs/>
          <w:color w:val="000000"/>
        </w:rPr>
        <w:t xml:space="preserve"> (Valenciennes, 1842) in Upper Atbara and Settit Dam Complex, Sudan.</w:t>
      </w:r>
    </w:p>
    <w:p w14:paraId="42150BA2">
      <w:pPr>
        <w:autoSpaceDE w:val="0"/>
        <w:autoSpaceDN w:val="0"/>
        <w:adjustRightInd w:val="0"/>
        <w:spacing w:before="120" w:after="120" w:line="360" w:lineRule="auto"/>
        <w:contextualSpacing/>
        <w:jc w:val="both"/>
        <w:rPr>
          <w:rFonts w:asciiTheme="majorBidi" w:hAnsiTheme="majorBidi" w:eastAsiaTheme="minorHAnsi" w:cstheme="majorBidi"/>
          <w:b/>
          <w:bCs/>
          <w:color w:val="000000"/>
        </w:rPr>
      </w:pPr>
    </w:p>
    <w:p w14:paraId="47141071">
      <w:pPr>
        <w:spacing w:before="120" w:after="120" w:line="360" w:lineRule="auto"/>
        <w:contextualSpacing/>
        <w:jc w:val="both"/>
        <w:rPr>
          <w:rFonts w:asciiTheme="majorBidi" w:hAnsiTheme="majorBidi" w:eastAsiaTheme="minorHAnsi" w:cstheme="majorBidi"/>
          <w:b/>
          <w:bCs/>
        </w:rPr>
      </w:pPr>
    </w:p>
    <w:p w14:paraId="0FB4F13C">
      <w:pPr>
        <w:spacing w:before="120" w:after="120" w:line="360" w:lineRule="auto"/>
        <w:contextualSpacing/>
        <w:jc w:val="both"/>
        <w:rPr>
          <w:rFonts w:asciiTheme="majorBidi" w:hAnsiTheme="majorBidi" w:eastAsiaTheme="minorHAnsi" w:cstheme="majorBidi"/>
          <w:b/>
          <w:bCs/>
        </w:rPr>
      </w:pPr>
    </w:p>
    <w:p w14:paraId="65426955">
      <w:pPr>
        <w:spacing w:before="120" w:after="120" w:line="360" w:lineRule="auto"/>
        <w:contextualSpacing/>
        <w:jc w:val="both"/>
        <w:rPr>
          <w:rFonts w:asciiTheme="majorBidi" w:hAnsiTheme="majorBidi" w:eastAsiaTheme="minorHAnsi" w:cstheme="majorBidi"/>
          <w:b/>
          <w:bCs/>
        </w:rPr>
      </w:pPr>
    </w:p>
    <w:p w14:paraId="67C79A50">
      <w:pPr>
        <w:spacing w:before="120" w:after="120" w:line="360" w:lineRule="auto"/>
        <w:contextualSpacing/>
        <w:jc w:val="both"/>
        <w:rPr>
          <w:rFonts w:asciiTheme="majorBidi" w:hAnsiTheme="majorBidi" w:eastAsiaTheme="minorHAnsi" w:cstheme="majorBidi"/>
          <w:b/>
          <w:bCs/>
        </w:rPr>
      </w:pPr>
    </w:p>
    <w:p w14:paraId="6789DC73">
      <w:pPr>
        <w:spacing w:before="120" w:after="120" w:line="360" w:lineRule="auto"/>
        <w:contextualSpacing/>
        <w:jc w:val="both"/>
        <w:rPr>
          <w:rFonts w:asciiTheme="majorBidi" w:hAnsiTheme="majorBidi" w:eastAsiaTheme="minorHAnsi" w:cstheme="majorBidi"/>
          <w:b/>
          <w:bCs/>
        </w:rPr>
      </w:pPr>
    </w:p>
    <w:p w14:paraId="2EDB1E0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Abstract</w:t>
      </w:r>
      <w:r>
        <w:rPr>
          <w:rFonts w:asciiTheme="majorBidi" w:hAnsiTheme="majorBidi" w:eastAsiaTheme="minorHAnsi" w:cstheme="majorBidi"/>
        </w:rPr>
        <w:t>:</w:t>
      </w:r>
    </w:p>
    <w:p w14:paraId="271B4B0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In the present study, 500 specimens of </w:t>
      </w:r>
      <w:r>
        <w:rPr>
          <w:rFonts w:asciiTheme="majorBidi" w:hAnsiTheme="majorBidi" w:eastAsiaTheme="minorHAnsi" w:cstheme="majorBidi"/>
          <w:i/>
          <w:iCs/>
        </w:rPr>
        <w:t>Labeo senegalensis</w:t>
      </w:r>
      <w:r>
        <w:rPr>
          <w:rFonts w:asciiTheme="majorBidi" w:hAnsiTheme="majorBidi" w:eastAsiaTheme="minorHAnsi" w:cstheme="majorBidi"/>
        </w:rPr>
        <w:t xml:space="preserve"> were collected from artisanal fishing boats during the period from September 2019 to January 2020. The total length of the collected specimens ranged from 21.2 to 47.5 cm with a mean of 27.7 ± 10.91 cm. The maximum length was 45.0 cm, while the maximum predicted length at the 95% confidence limit was 46.18 cm. The length-weight relationship was highly correlated (</w:t>
      </w:r>
      <w:r>
        <w:rPr>
          <w:rFonts w:asciiTheme="majorBidi" w:hAnsiTheme="majorBidi" w:eastAsiaTheme="minorHAnsi" w:cstheme="majorBidi"/>
          <w:i/>
          <w:iCs/>
        </w:rPr>
        <w:t>r</w:t>
      </w:r>
      <w:r>
        <w:rPr>
          <w:rFonts w:asciiTheme="majorBidi" w:hAnsiTheme="majorBidi" w:eastAsiaTheme="minorHAnsi" w:cstheme="majorBidi"/>
        </w:rPr>
        <w:t xml:space="preserve"> = 0.947), with a b-value of 2.847, indicating negative allometric growth. Growth parameters estimated from the von Bertalanffy growth model were: </w:t>
      </w:r>
      <w:r>
        <w:rPr>
          <w:rFonts w:asciiTheme="majorBidi" w:hAnsiTheme="majorBidi" w:eastAsiaTheme="minorHAnsi" w:cstheme="majorBidi"/>
          <w:i/>
          <w:iCs/>
        </w:rPr>
        <w:t>L∞</w:t>
      </w:r>
      <w:r>
        <w:rPr>
          <w:rFonts w:asciiTheme="majorBidi" w:hAnsiTheme="majorBidi" w:eastAsiaTheme="minorHAnsi" w:cstheme="majorBidi"/>
        </w:rPr>
        <w:t xml:space="preserve"> = 47. 5 cm, </w:t>
      </w:r>
      <w:r>
        <w:rPr>
          <w:rFonts w:asciiTheme="majorBidi" w:hAnsiTheme="majorBidi" w:eastAsiaTheme="minorHAnsi" w:cstheme="majorBidi"/>
          <w:i/>
          <w:iCs/>
        </w:rPr>
        <w:t>K</w:t>
      </w:r>
      <w:r>
        <w:rPr>
          <w:rFonts w:asciiTheme="majorBidi" w:hAnsiTheme="majorBidi" w:eastAsiaTheme="minorHAnsi" w:cstheme="majorBidi"/>
        </w:rPr>
        <w:t xml:space="preserve"> = 0.86 yr⁻¹, and theoretical age at zero length “</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xml:space="preserve"> was -0.786 yr⁻¹. The relative longevity (T</w:t>
      </w:r>
      <w:r>
        <w:rPr>
          <w:rFonts w:asciiTheme="majorBidi" w:hAnsiTheme="majorBidi" w:eastAsiaTheme="minorHAnsi" w:cstheme="majorBidi"/>
          <w:i/>
          <w:iCs/>
          <w:vertAlign w:val="subscript"/>
        </w:rPr>
        <w:t>max</w:t>
      </w:r>
      <w:r>
        <w:rPr>
          <w:rFonts w:asciiTheme="majorBidi" w:hAnsiTheme="majorBidi" w:eastAsiaTheme="minorHAnsi" w:cstheme="majorBidi"/>
        </w:rPr>
        <w:t>), was 2.7 years; and the growth performance index at 3.28. The total, natural, and fishing mortality rates were estimated as 2.29 yr⁻¹, 1.38 yr⁻¹, and 0.91 yr⁻¹, respectively, which gives an annual exploitation rate of 0.4 yr⁻¹. The exploitation levels at 10%, 50%, and maximum sustainable exploitation (E</w:t>
      </w:r>
      <w:r>
        <w:rPr>
          <w:rFonts w:asciiTheme="majorBidi" w:hAnsiTheme="majorBidi" w:eastAsiaTheme="minorHAnsi" w:cstheme="majorBidi"/>
          <w:i/>
          <w:iCs/>
          <w:vertAlign w:val="subscript"/>
        </w:rPr>
        <w:t>max</w:t>
      </w:r>
      <w:r>
        <w:rPr>
          <w:rFonts w:asciiTheme="majorBidi" w:hAnsiTheme="majorBidi" w:eastAsiaTheme="minorHAnsi" w:cstheme="majorBidi"/>
        </w:rPr>
        <w:t>) were calculated as 0.355, 0.278, and 0.421, respectively. The capture lengths at 25%, 50%, and 75% were estimated as 16.56 cm, 20.39 cm, and 24.14 cm, respectively. Maximum, limit, and optimum fishing levels of fishing (F</w:t>
      </w:r>
      <w:r>
        <w:rPr>
          <w:rFonts w:asciiTheme="majorBidi" w:hAnsiTheme="majorBidi" w:eastAsiaTheme="minorHAnsi" w:cstheme="majorBidi"/>
          <w:i/>
          <w:iCs/>
          <w:vertAlign w:val="subscript"/>
        </w:rPr>
        <w:t>max</w:t>
      </w:r>
      <w:r>
        <w:rPr>
          <w:rFonts w:asciiTheme="majorBidi" w:hAnsiTheme="majorBidi" w:eastAsiaTheme="minorHAnsi" w:cstheme="majorBidi"/>
        </w:rPr>
        <w:t>, F</w:t>
      </w:r>
      <w:r>
        <w:rPr>
          <w:rFonts w:asciiTheme="majorBidi" w:hAnsiTheme="majorBidi" w:eastAsiaTheme="minorHAnsi" w:cstheme="majorBidi"/>
          <w:i/>
          <w:iCs/>
          <w:vertAlign w:val="subscript"/>
        </w:rPr>
        <w:t>limit,</w:t>
      </w:r>
      <w:r>
        <w:rPr>
          <w:rFonts w:asciiTheme="majorBidi" w:hAnsiTheme="majorBidi" w:eastAsiaTheme="minorHAnsi" w:cstheme="majorBidi"/>
        </w:rPr>
        <w:t xml:space="preserve"> and F</w:t>
      </w:r>
      <w:r>
        <w:rPr>
          <w:rFonts w:asciiTheme="majorBidi" w:hAnsiTheme="majorBidi" w:eastAsiaTheme="minorHAnsi" w:cstheme="majorBidi"/>
          <w:i/>
          <w:iCs/>
          <w:vertAlign w:val="subscript"/>
        </w:rPr>
        <w:t>opt</w:t>
      </w:r>
      <w:r>
        <w:rPr>
          <w:rFonts w:asciiTheme="majorBidi" w:hAnsiTheme="majorBidi" w:eastAsiaTheme="minorHAnsi" w:cstheme="majorBidi"/>
        </w:rPr>
        <w:t xml:space="preserve">) were found to be 0.81, 0.92, and 0.55, respectively. The asymptotic length of </w:t>
      </w:r>
      <w:r>
        <w:rPr>
          <w:rFonts w:asciiTheme="majorBidi" w:hAnsiTheme="majorBidi" w:eastAsiaTheme="minorHAnsi" w:cstheme="majorBidi"/>
          <w:i/>
          <w:iCs/>
        </w:rPr>
        <w:t>L</w:t>
      </w:r>
      <w:r>
        <w:rPr>
          <w:rFonts w:asciiTheme="majorBidi" w:hAnsiTheme="majorBidi" w:eastAsiaTheme="minorHAnsi" w:cstheme="majorBidi"/>
        </w:rPr>
        <w:t xml:space="preserve">. </w:t>
      </w:r>
      <w:r>
        <w:rPr>
          <w:rFonts w:asciiTheme="majorBidi" w:hAnsiTheme="majorBidi" w:eastAsiaTheme="minorHAnsi" w:cstheme="majorBidi"/>
          <w:i/>
          <w:iCs/>
        </w:rPr>
        <w:t>senegalensis</w:t>
      </w:r>
      <w:r>
        <w:rPr>
          <w:rFonts w:asciiTheme="majorBidi" w:hAnsiTheme="majorBidi" w:eastAsiaTheme="minorHAnsi" w:cstheme="majorBidi"/>
        </w:rPr>
        <w:t xml:space="preserve"> population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vertAlign w:val="subscript"/>
        </w:rPr>
        <w:t xml:space="preserve"> </w:t>
      </w:r>
      <w:r>
        <w:rPr>
          <w:rFonts w:asciiTheme="majorBidi" w:hAnsiTheme="majorBidi" w:eastAsiaTheme="minorHAnsi" w:cstheme="majorBidi"/>
        </w:rPr>
        <w:t>“in this study was calculated at 30 cm, while the growth coefficient “</w:t>
      </w:r>
      <w:r>
        <w:rPr>
          <w:rFonts w:asciiTheme="majorBidi" w:hAnsiTheme="majorBidi" w:eastAsiaTheme="minorHAnsi" w:cstheme="majorBidi"/>
          <w:i/>
          <w:iCs/>
        </w:rPr>
        <w:t>K”</w:t>
      </w:r>
      <w:r>
        <w:rPr>
          <w:rFonts w:asciiTheme="majorBidi" w:hAnsiTheme="majorBidi" w:eastAsiaTheme="minorHAnsi" w:cstheme="majorBidi"/>
        </w:rPr>
        <w:t xml:space="preserve"> was found to be 1.5 yr⁻¹. The length of catch at 50% and 75% was estimated at 9.5 and 12 cm, respectively. This investigation was important for monitoring and managing fisheries resources to enhance sustainability and conservation efforts of the stocks of </w:t>
      </w:r>
      <w:r>
        <w:rPr>
          <w:rFonts w:asciiTheme="majorBidi" w:hAnsiTheme="majorBidi" w:eastAsiaTheme="minorHAnsi" w:cstheme="majorBidi"/>
          <w:i/>
          <w:iCs/>
        </w:rPr>
        <w:t>L senegalensis</w:t>
      </w:r>
      <w:r>
        <w:rPr>
          <w:rFonts w:asciiTheme="majorBidi" w:hAnsiTheme="majorBidi" w:eastAsiaTheme="minorHAnsi" w:cstheme="majorBidi"/>
        </w:rPr>
        <w:t>, one the most important commercial fish species in the upper Atbara and Settit Dam Complex.</w:t>
      </w:r>
    </w:p>
    <w:p w14:paraId="5D1B3C7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Keywords</w:t>
      </w:r>
      <w:r>
        <w:rPr>
          <w:rFonts w:asciiTheme="majorBidi" w:hAnsiTheme="majorBidi" w:eastAsiaTheme="minorHAnsi" w:cstheme="majorBidi"/>
        </w:rPr>
        <w:t xml:space="preserve">: </w:t>
      </w:r>
      <w:r>
        <w:rPr>
          <w:rFonts w:asciiTheme="majorBidi" w:hAnsiTheme="majorBidi" w:eastAsiaTheme="minorHAnsi" w:cstheme="majorBidi"/>
          <w:i/>
          <w:iCs/>
        </w:rPr>
        <w:t>Labeo senegalensis</w:t>
      </w:r>
      <w:r>
        <w:rPr>
          <w:rFonts w:asciiTheme="majorBidi" w:hAnsiTheme="majorBidi" w:eastAsiaTheme="minorHAnsi" w:cstheme="majorBidi"/>
        </w:rPr>
        <w:t>, Upper Atbara and Settit Dam Complex, growth parameters, exploitation level, mortalities, recruitment.</w:t>
      </w:r>
    </w:p>
    <w:p w14:paraId="78EC7088">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Introduction</w:t>
      </w:r>
      <w:r>
        <w:rPr>
          <w:rFonts w:asciiTheme="majorBidi" w:hAnsiTheme="majorBidi" w:eastAsiaTheme="minorHAnsi" w:cstheme="majorBidi"/>
        </w:rPr>
        <w:t>:</w:t>
      </w:r>
    </w:p>
    <w:p w14:paraId="21A60B8B">
      <w:pPr>
        <w:spacing w:before="120" w:after="120" w:line="360" w:lineRule="auto"/>
        <w:contextualSpacing/>
        <w:jc w:val="both"/>
        <w:rPr>
          <w:rFonts w:asciiTheme="majorBidi" w:hAnsiTheme="majorBidi" w:cstheme="majorBidi"/>
        </w:rPr>
      </w:pPr>
      <w:r>
        <w:rPr>
          <w:rFonts w:asciiTheme="majorBidi" w:hAnsiTheme="majorBidi" w:cstheme="majorBidi"/>
          <w:color w:val="202122"/>
          <w:shd w:val="clear" w:color="auto" w:fill="FFFFFF"/>
        </w:rPr>
        <w:t xml:space="preserve">Family Cyprinidae is considered </w:t>
      </w:r>
      <w:r>
        <w:rPr>
          <w:rFonts w:asciiTheme="majorBidi" w:hAnsiTheme="majorBidi" w:eastAsiaTheme="minorHAnsi" w:cstheme="majorBidi"/>
        </w:rPr>
        <w:t>the largest family of freshwater fishes. Fishes belonging to this family are widely distributed worldwide,</w:t>
      </w:r>
      <w:r>
        <w:rPr>
          <w:rFonts w:asciiTheme="majorBidi" w:hAnsiTheme="majorBidi" w:cstheme="majorBidi"/>
          <w:color w:val="202122"/>
          <w:shd w:val="clear" w:color="auto" w:fill="FFFFFF"/>
        </w:rPr>
        <w:t xml:space="preserve"> with an overall number of about 3,000 </w:t>
      </w:r>
      <w:r>
        <w:fldChar w:fldCharType="begin"/>
      </w:r>
      <w:r>
        <w:instrText xml:space="preserve"> HYPERLINK "https://en.wikipedia.org/wiki/Species" \o "Species" </w:instrText>
      </w:r>
      <w:r>
        <w:fldChar w:fldCharType="separate"/>
      </w:r>
      <w:r>
        <w:rPr>
          <w:rFonts w:asciiTheme="majorBidi" w:hAnsiTheme="majorBidi" w:cstheme="majorBidi"/>
          <w:shd w:val="clear" w:color="auto" w:fill="FFFFFF"/>
        </w:rPr>
        <w:t>species</w:t>
      </w:r>
      <w:r>
        <w:rPr>
          <w:rFonts w:asciiTheme="majorBidi" w:hAnsiTheme="majorBidi" w:cstheme="majorBidi"/>
          <w:shd w:val="clear" w:color="auto" w:fill="FFFFFF"/>
        </w:rPr>
        <w:fldChar w:fldCharType="end"/>
      </w:r>
      <w:r>
        <w:rPr>
          <w:rFonts w:asciiTheme="majorBidi" w:hAnsiTheme="majorBidi" w:cstheme="majorBidi"/>
          <w:color w:val="202122"/>
          <w:shd w:val="clear" w:color="auto" w:fill="FFFFFF"/>
        </w:rPr>
        <w:t xml:space="preserve"> of which only 1,270 of these species remain extant.</w:t>
      </w:r>
      <w:r>
        <w:rPr>
          <w:rFonts w:asciiTheme="majorBidi" w:hAnsiTheme="majorBidi" w:eastAsiaTheme="minorHAnsi" w:cstheme="majorBidi"/>
        </w:rPr>
        <w:t xml:space="preserve"> Globally, </w:t>
      </w:r>
      <w:r>
        <w:rPr>
          <w:rFonts w:asciiTheme="majorBidi" w:hAnsiTheme="majorBidi" w:cstheme="majorBidi"/>
        </w:rPr>
        <w:t xml:space="preserve">the genus </w:t>
      </w:r>
      <w:r>
        <w:rPr>
          <w:rFonts w:asciiTheme="majorBidi" w:hAnsiTheme="majorBidi" w:cstheme="majorBidi"/>
          <w:i/>
          <w:iCs/>
        </w:rPr>
        <w:t>Labeo</w:t>
      </w:r>
      <w:r>
        <w:rPr>
          <w:rFonts w:asciiTheme="majorBidi" w:hAnsiTheme="majorBidi" w:cstheme="majorBidi"/>
        </w:rPr>
        <w:t xml:space="preserve"> Cuvier 1817, consists of at least 80 species representing about 16.4% of the African cyprinid ichthyofauna (Reid, 1985). </w:t>
      </w:r>
      <w:r>
        <w:rPr>
          <w:rFonts w:asciiTheme="majorBidi" w:hAnsiTheme="majorBidi" w:eastAsiaTheme="minorHAnsi" w:cstheme="majorBidi"/>
        </w:rPr>
        <w:t>About</w:t>
      </w:r>
      <w:r>
        <w:rPr>
          <w:rFonts w:asciiTheme="majorBidi" w:hAnsiTheme="majorBidi" w:cstheme="majorBidi"/>
        </w:rPr>
        <w:t xml:space="preserve"> 134 fish species occur </w:t>
      </w:r>
      <w:r>
        <w:rPr>
          <w:rFonts w:asciiTheme="majorBidi" w:hAnsiTheme="majorBidi" w:eastAsiaTheme="minorHAnsi" w:cstheme="majorBidi"/>
        </w:rPr>
        <w:t xml:space="preserve">in the freshwaters of Sudan of which 22 species belong to the family Cyprinidae (Mahmoud </w:t>
      </w:r>
      <w:r>
        <w:rPr>
          <w:rFonts w:asciiTheme="majorBidi" w:hAnsiTheme="majorBidi" w:eastAsiaTheme="minorHAnsi" w:cstheme="majorBidi"/>
          <w:i/>
          <w:iCs/>
        </w:rPr>
        <w:t>et. al.,</w:t>
      </w:r>
      <w:r>
        <w:rPr>
          <w:rFonts w:asciiTheme="majorBidi" w:hAnsiTheme="majorBidi" w:eastAsiaTheme="minorHAnsi" w:cstheme="majorBidi"/>
        </w:rPr>
        <w:t xml:space="preserve"> 2024).</w:t>
      </w:r>
      <w:r>
        <w:rPr>
          <w:rFonts w:asciiTheme="majorBidi" w:hAnsiTheme="majorBidi" w:eastAsiaTheme="minorHAnsi" w:cstheme="majorBidi"/>
          <w:i/>
          <w:iCs/>
        </w:rPr>
        <w:t xml:space="preserve"> Labeo senegalensis</w:t>
      </w:r>
      <w:r>
        <w:rPr>
          <w:rFonts w:asciiTheme="majorBidi" w:hAnsiTheme="majorBidi" w:eastAsiaTheme="minorHAnsi" w:cstheme="majorBidi"/>
        </w:rPr>
        <w:t xml:space="preserve"> (Valenciennes, 1842) is the most prevalent and abundant species in the country</w:t>
      </w:r>
      <w:r>
        <w:rPr>
          <w:rFonts w:asciiTheme="majorBidi" w:hAnsiTheme="majorBidi" w:cstheme="majorBidi"/>
        </w:rPr>
        <w:t xml:space="preserve"> and has gained special significance for their good taste and high market price. Most species of the genus </w:t>
      </w:r>
      <w:r>
        <w:rPr>
          <w:rFonts w:asciiTheme="majorBidi" w:hAnsiTheme="majorBidi" w:cstheme="majorBidi"/>
          <w:i/>
          <w:iCs/>
        </w:rPr>
        <w:t>Labeo</w:t>
      </w:r>
      <w:r>
        <w:rPr>
          <w:rFonts w:asciiTheme="majorBidi" w:hAnsiTheme="majorBidi" w:cstheme="majorBidi"/>
        </w:rPr>
        <w:t xml:space="preserve"> are commercially important and contribute significantly to the fisheries resources of African countries (Weyl and Booth 1999; Delaney </w:t>
      </w:r>
      <w:r>
        <w:rPr>
          <w:rFonts w:asciiTheme="majorBidi" w:hAnsiTheme="majorBidi" w:cstheme="majorBidi"/>
          <w:i/>
          <w:iCs/>
        </w:rPr>
        <w:t>et al;</w:t>
      </w:r>
      <w:r>
        <w:rPr>
          <w:rFonts w:asciiTheme="majorBidi" w:hAnsiTheme="majorBidi" w:cstheme="majorBidi"/>
        </w:rPr>
        <w:t xml:space="preserve"> 2007;</w:t>
      </w:r>
      <w:r>
        <w:rPr>
          <w:rFonts w:asciiTheme="majorBidi" w:hAnsiTheme="majorBidi" w:eastAsiaTheme="minorHAnsi" w:cstheme="majorBidi"/>
        </w:rPr>
        <w:t xml:space="preserve"> Skelton </w:t>
      </w:r>
      <w:r>
        <w:rPr>
          <w:rFonts w:asciiTheme="majorBidi" w:hAnsiTheme="majorBidi" w:eastAsiaTheme="minorHAnsi" w:cstheme="majorBidi"/>
          <w:i/>
          <w:iCs/>
        </w:rPr>
        <w:t>et. al.,</w:t>
      </w:r>
      <w:r>
        <w:rPr>
          <w:rFonts w:asciiTheme="majorBidi" w:hAnsiTheme="majorBidi" w:eastAsiaTheme="minorHAnsi" w:cstheme="majorBidi"/>
        </w:rPr>
        <w:t xml:space="preserve"> 1991</w:t>
      </w:r>
      <w:r>
        <w:rPr>
          <w:rFonts w:asciiTheme="majorBidi" w:hAnsiTheme="majorBidi" w:cstheme="majorBidi"/>
        </w:rPr>
        <w:t xml:space="preserve">).  </w:t>
      </w:r>
    </w:p>
    <w:p w14:paraId="7A1589F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The study of the length-weight relationship of fish forms the basis for fishery stock assessments and management studies. It provides insights into fish population dynamics, such as growth patterns, recruitment, and mortalities, exploitation rate, and stock biomass (Pervin and Mortuza, 2008; Pauly and Morgan, 1987, and Pauly, 1983). Recent studies of the population dynamics and stock assessment of </w:t>
      </w:r>
      <w:r>
        <w:rPr>
          <w:rFonts w:asciiTheme="majorBidi" w:hAnsiTheme="majorBidi" w:eastAsiaTheme="minorHAnsi" w:cstheme="majorBidi"/>
          <w:i/>
          <w:iCs/>
        </w:rPr>
        <w:t>Labeo senegalensis</w:t>
      </w:r>
      <w:r>
        <w:rPr>
          <w:rFonts w:asciiTheme="majorBidi" w:hAnsiTheme="majorBidi" w:eastAsiaTheme="minorHAnsi" w:cstheme="majorBidi"/>
        </w:rPr>
        <w:t xml:space="preserve"> have been conducted by several researchers including Abdalla </w:t>
      </w:r>
      <w:r>
        <w:rPr>
          <w:rFonts w:asciiTheme="majorBidi" w:hAnsiTheme="majorBidi" w:eastAsiaTheme="minorHAnsi" w:cstheme="majorBidi"/>
          <w:i/>
          <w:iCs/>
        </w:rPr>
        <w:t>et. al.,</w:t>
      </w:r>
      <w:r>
        <w:rPr>
          <w:rFonts w:asciiTheme="majorBidi" w:hAnsiTheme="majorBidi" w:eastAsiaTheme="minorHAnsi" w:cstheme="majorBidi"/>
        </w:rPr>
        <w:t xml:space="preserve"> (2024); Olufeagba and Okomoda (2016); Montchowui </w:t>
      </w:r>
      <w:r>
        <w:rPr>
          <w:rFonts w:asciiTheme="majorBidi" w:hAnsiTheme="majorBidi" w:eastAsiaTheme="minorHAnsi" w:cstheme="majorBidi"/>
          <w:i/>
          <w:iCs/>
        </w:rPr>
        <w:t>et. al.,</w:t>
      </w:r>
      <w:r>
        <w:rPr>
          <w:rFonts w:asciiTheme="majorBidi" w:hAnsiTheme="majorBidi" w:eastAsiaTheme="minorHAnsi" w:cstheme="majorBidi"/>
        </w:rPr>
        <w:t xml:space="preserve"> (2011), and El-Kasheif </w:t>
      </w:r>
      <w:r>
        <w:rPr>
          <w:rFonts w:asciiTheme="majorBidi" w:hAnsiTheme="majorBidi" w:eastAsiaTheme="minorHAnsi" w:cstheme="majorBidi"/>
          <w:i/>
          <w:iCs/>
        </w:rPr>
        <w:t>et. al.,</w:t>
      </w:r>
      <w:r>
        <w:rPr>
          <w:rFonts w:asciiTheme="majorBidi" w:hAnsiTheme="majorBidi" w:eastAsiaTheme="minorHAnsi" w:cstheme="majorBidi"/>
        </w:rPr>
        <w:t xml:space="preserve"> (2007).</w:t>
      </w:r>
    </w:p>
    <w:p w14:paraId="275ACAF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The present study was conducted on fishing sites located on two seasonal rivers; the Upper Atbara River at </w:t>
      </w:r>
      <w:r>
        <w:rPr>
          <w:rFonts w:asciiTheme="majorBidi" w:hAnsiTheme="majorBidi" w:cstheme="majorBidi"/>
        </w:rPr>
        <w:t>Rumela site and the</w:t>
      </w:r>
      <w:r>
        <w:rPr>
          <w:rFonts w:asciiTheme="majorBidi" w:hAnsiTheme="majorBidi" w:eastAsiaTheme="minorHAnsi" w:cstheme="majorBidi"/>
        </w:rPr>
        <w:t xml:space="preserve"> Settit River</w:t>
      </w:r>
      <w:r>
        <w:rPr>
          <w:rFonts w:asciiTheme="majorBidi" w:hAnsiTheme="majorBidi" w:cstheme="majorBidi"/>
        </w:rPr>
        <w:t xml:space="preserve"> at Burdana site </w:t>
      </w:r>
      <w:r>
        <w:rPr>
          <w:rFonts w:asciiTheme="majorBidi" w:hAnsiTheme="majorBidi" w:eastAsiaTheme="minorHAnsi" w:cstheme="majorBidi"/>
        </w:rPr>
        <w:t xml:space="preserve">on the eastern part of Sudan. The study's main objective is to investigate aspects of the population dynamics of </w:t>
      </w:r>
      <w:r>
        <w:rPr>
          <w:rFonts w:asciiTheme="majorBidi" w:hAnsiTheme="majorBidi" w:eastAsiaTheme="minorHAnsi" w:cstheme="majorBidi"/>
          <w:i/>
          <w:iCs/>
        </w:rPr>
        <w:t>L. senegalensis</w:t>
      </w:r>
      <w:r>
        <w:rPr>
          <w:rFonts w:asciiTheme="majorBidi" w:hAnsiTheme="majorBidi" w:eastAsiaTheme="minorHAnsi" w:cstheme="majorBidi"/>
        </w:rPr>
        <w:t xml:space="preserve"> in the two water bodies. The findings of this research will provide valuable information in relation to the sustainable development, management, and exploitation of this commercially important fish species in the freshwaters of Sudan.</w:t>
      </w:r>
    </w:p>
    <w:p w14:paraId="6128E72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Material and Methods</w:t>
      </w:r>
      <w:r>
        <w:rPr>
          <w:rFonts w:asciiTheme="majorBidi" w:hAnsiTheme="majorBidi" w:eastAsiaTheme="minorHAnsi" w:cstheme="majorBidi"/>
        </w:rPr>
        <w:t>:</w:t>
      </w:r>
    </w:p>
    <w:p w14:paraId="7938AE5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Study area</w:t>
      </w:r>
      <w:r>
        <w:rPr>
          <w:rFonts w:asciiTheme="majorBidi" w:hAnsiTheme="majorBidi" w:eastAsiaTheme="minorHAnsi" w:cstheme="majorBidi"/>
        </w:rPr>
        <w:t>:</w:t>
      </w:r>
    </w:p>
    <w:p w14:paraId="0E84298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The study area consists of two small dams; constructed at Rumela on the Upper Atbara River and Burdana on the Settit River, in eastern Sudan. It lies at latitude 14º16'36" N and longitude 35º53'49" E, about 20 kilometers upstream from the convergence of the Atbara and Settit rivers, and approximately 80 kilometers south of the Khashm El-Girba Dam. </w:t>
      </w:r>
      <w:r>
        <w:rPr>
          <w:rFonts w:asciiTheme="majorBidi" w:hAnsiTheme="majorBidi" w:cstheme="majorBidi"/>
          <w:color w:val="202122"/>
          <w:shd w:val="clear" w:color="auto" w:fill="FFFFFF"/>
        </w:rPr>
        <w:t xml:space="preserve">The two dams are interconnected and have a total length of 13.0 kilometers. The joined reservoir has a storage capacity of about 3.7 billion cubic meters, and </w:t>
      </w:r>
      <w:r>
        <w:rPr>
          <w:rFonts w:asciiTheme="majorBidi" w:hAnsiTheme="majorBidi" w:eastAsiaTheme="minorHAnsi" w:cstheme="majorBidi"/>
        </w:rPr>
        <w:t>at an elevation at maximum filling of 517.5 meters above sea level (Adam and Hamad, 2021).</w:t>
      </w:r>
    </w:p>
    <w:p w14:paraId="7F39DA42">
      <w:pPr>
        <w:spacing w:before="120" w:after="120" w:line="360" w:lineRule="auto"/>
        <w:contextualSpacing/>
        <w:jc w:val="both"/>
        <w:rPr>
          <w:rFonts w:asciiTheme="majorBidi" w:hAnsiTheme="majorBidi" w:cstheme="majorBidi"/>
        </w:rPr>
      </w:pPr>
      <w:r>
        <w:rPr>
          <w:rFonts w:asciiTheme="majorBidi" w:hAnsiTheme="majorBidi" w:eastAsiaTheme="minorHAnsi" w:cstheme="majorBidi"/>
        </w:rPr>
        <w:t>Although the construction of the two dams served multiple purposes, such as</w:t>
      </w:r>
      <w:r>
        <w:rPr>
          <w:rFonts w:asciiTheme="majorBidi" w:hAnsiTheme="majorBidi" w:cstheme="majorBidi"/>
          <w:color w:val="222222"/>
          <w:shd w:val="clear" w:color="auto" w:fill="FFFFFF"/>
        </w:rPr>
        <w:t xml:space="preserve"> the provision of irrigation water for agricultural production, </w:t>
      </w:r>
      <w:r>
        <w:rPr>
          <w:rFonts w:asciiTheme="majorBidi" w:hAnsiTheme="majorBidi" w:cstheme="majorBidi"/>
        </w:rPr>
        <w:t>hydroelectric power generation,</w:t>
      </w:r>
      <w:r>
        <w:rPr>
          <w:rFonts w:asciiTheme="majorBidi" w:hAnsiTheme="majorBidi" w:cstheme="majorBidi"/>
          <w:color w:val="222222"/>
          <w:shd w:val="clear" w:color="auto" w:fill="FFFFFF"/>
        </w:rPr>
        <w:t xml:space="preserve"> socioeconomic development, and supply of drinking water, yet, it also served as</w:t>
      </w:r>
      <w:r>
        <w:rPr>
          <w:rFonts w:asciiTheme="majorBidi" w:hAnsiTheme="majorBidi" w:eastAsiaTheme="minorHAnsi" w:cstheme="majorBidi"/>
        </w:rPr>
        <w:t xml:space="preserve"> </w:t>
      </w:r>
      <w:r>
        <w:rPr>
          <w:rFonts w:asciiTheme="majorBidi" w:hAnsiTheme="majorBidi" w:cstheme="majorBidi"/>
        </w:rPr>
        <w:t xml:space="preserve">a vital fishery resource for </w:t>
      </w:r>
      <w:r>
        <w:rPr>
          <w:rFonts w:asciiTheme="majorBidi" w:hAnsiTheme="majorBidi" w:cstheme="majorBidi"/>
          <w:color w:val="222222"/>
          <w:shd w:val="clear" w:color="auto" w:fill="FFFFFF"/>
        </w:rPr>
        <w:t xml:space="preserve">increasing fish production from the artisanal fisheries </w:t>
      </w:r>
      <w:r>
        <w:rPr>
          <w:rFonts w:asciiTheme="majorBidi" w:hAnsiTheme="majorBidi" w:cstheme="majorBidi"/>
        </w:rPr>
        <w:t xml:space="preserve">in the eastern part of Sudan. </w:t>
      </w:r>
    </w:p>
    <w:p w14:paraId="69771B5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Data collection</w:t>
      </w:r>
      <w:r>
        <w:rPr>
          <w:rFonts w:asciiTheme="majorBidi" w:hAnsiTheme="majorBidi" w:eastAsiaTheme="minorHAnsi" w:cstheme="majorBidi"/>
        </w:rPr>
        <w:t>:</w:t>
      </w:r>
    </w:p>
    <w:p w14:paraId="19610B76">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Random samples of about 500 specimens of Nile carp (</w:t>
      </w:r>
      <w:r>
        <w:rPr>
          <w:rFonts w:asciiTheme="majorBidi" w:hAnsiTheme="majorBidi" w:eastAsiaTheme="minorHAnsi" w:cstheme="majorBidi"/>
          <w:i/>
          <w:iCs/>
        </w:rPr>
        <w:t>L. senegalensis</w:t>
      </w:r>
      <w:r>
        <w:rPr>
          <w:rFonts w:asciiTheme="majorBidi" w:hAnsiTheme="majorBidi" w:eastAsiaTheme="minorHAnsi" w:cstheme="majorBidi"/>
        </w:rPr>
        <w:t xml:space="preserve">) were collected monthly from artisanal fishing boats during the period from September 2019 and January 2020. Fish were identified to the species level following Neumann </w:t>
      </w:r>
      <w:r>
        <w:rPr>
          <w:rFonts w:asciiTheme="majorBidi" w:hAnsiTheme="majorBidi" w:eastAsiaTheme="minorHAnsi" w:cstheme="majorBidi"/>
          <w:i/>
          <w:iCs/>
        </w:rPr>
        <w:t>et. al.,</w:t>
      </w:r>
      <w:r>
        <w:rPr>
          <w:rFonts w:asciiTheme="majorBidi" w:hAnsiTheme="majorBidi" w:eastAsiaTheme="minorHAnsi" w:cstheme="majorBidi"/>
        </w:rPr>
        <w:t xml:space="preserve"> (2016). The total length of the fish was measured to 1.0 cm, from the tip of the snout to the end of the upper lobe of the caudal fins using a standard measuring board. Fish body weight was measured to the nearest 1.0 g using a digital weighing balance, model FRUIT 2000B.</w:t>
      </w:r>
    </w:p>
    <w:p w14:paraId="3B017773">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Length-weight relationship</w:t>
      </w:r>
      <w:r>
        <w:rPr>
          <w:rFonts w:asciiTheme="majorBidi" w:hAnsiTheme="majorBidi" w:eastAsiaTheme="minorHAnsi" w:cstheme="majorBidi"/>
        </w:rPr>
        <w:t xml:space="preserve">: The relationship between the length and weight of </w:t>
      </w:r>
      <w:r>
        <w:rPr>
          <w:rFonts w:asciiTheme="majorBidi" w:hAnsiTheme="majorBidi" w:eastAsiaTheme="minorHAnsi" w:cstheme="majorBidi"/>
          <w:i/>
          <w:iCs/>
        </w:rPr>
        <w:t>L. senegalensis</w:t>
      </w:r>
      <w:r>
        <w:rPr>
          <w:rFonts w:asciiTheme="majorBidi" w:hAnsiTheme="majorBidi" w:eastAsiaTheme="minorHAnsi" w:cstheme="majorBidi"/>
        </w:rPr>
        <w:t xml:space="preserve"> was calculated according to the equation: </w:t>
      </w:r>
    </w:p>
    <w:p w14:paraId="4250387D">
      <w:pPr>
        <w:spacing w:before="120" w:after="120" w:line="360" w:lineRule="auto"/>
        <w:contextualSpacing/>
        <w:jc w:val="center"/>
        <w:rPr>
          <w:rFonts w:asciiTheme="majorBidi" w:hAnsiTheme="majorBidi" w:cstheme="majorBidi"/>
        </w:rPr>
      </w:pPr>
      <w:r>
        <w:rPr>
          <w:rFonts w:asciiTheme="majorBidi" w:hAnsiTheme="majorBidi" w:cstheme="majorBidi"/>
        </w:rPr>
        <w:t>W = aL b</w:t>
      </w:r>
    </w:p>
    <w:p w14:paraId="1A93F8B7">
      <w:pPr>
        <w:spacing w:before="120" w:after="120" w:line="360" w:lineRule="auto"/>
        <w:contextualSpacing/>
        <w:jc w:val="both"/>
        <w:rPr>
          <w:rFonts w:asciiTheme="majorBidi" w:hAnsiTheme="majorBidi" w:cstheme="majorBidi"/>
        </w:rPr>
      </w:pPr>
      <w:r>
        <w:rPr>
          <w:rFonts w:asciiTheme="majorBidi" w:hAnsiTheme="majorBidi" w:cstheme="majorBidi"/>
        </w:rPr>
        <w:t>When the relationship is converted into the logarithmic form it gives a straight-line relationship graphically represented as log W = Log a + b log L</w:t>
      </w:r>
    </w:p>
    <w:p w14:paraId="39B94E23">
      <w:pPr>
        <w:spacing w:before="120" w:after="120" w:line="360" w:lineRule="auto"/>
        <w:contextualSpacing/>
        <w:jc w:val="both"/>
        <w:rPr>
          <w:rFonts w:asciiTheme="majorBidi" w:hAnsiTheme="majorBidi" w:cstheme="majorBidi"/>
        </w:rPr>
      </w:pPr>
      <w:r>
        <w:rPr>
          <w:rFonts w:asciiTheme="majorBidi" w:hAnsiTheme="majorBidi" w:eastAsiaTheme="minorHAnsi" w:cstheme="majorBidi"/>
        </w:rPr>
        <w:t xml:space="preserve">Where: W=total weight; L=Total length, and “a” is the intercept, and “b” is the slope (regression coefficient). </w:t>
      </w:r>
    </w:p>
    <w:p w14:paraId="14F75D66">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Growth parameters</w:t>
      </w:r>
      <w:r>
        <w:rPr>
          <w:rFonts w:asciiTheme="majorBidi" w:hAnsiTheme="majorBidi" w:eastAsiaTheme="minorHAnsi" w:cstheme="majorBidi"/>
        </w:rPr>
        <w:t>:</w:t>
      </w:r>
    </w:p>
    <w:p w14:paraId="70C6CCD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asymptotic length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and growth coefficient (</w:t>
      </w:r>
      <w:r>
        <w:rPr>
          <w:rFonts w:asciiTheme="majorBidi" w:hAnsiTheme="majorBidi" w:eastAsiaTheme="minorHAnsi" w:cstheme="majorBidi"/>
          <w:i/>
          <w:iCs/>
        </w:rPr>
        <w:t>K</w:t>
      </w:r>
      <w:r>
        <w:rPr>
          <w:rFonts w:asciiTheme="majorBidi" w:hAnsiTheme="majorBidi" w:eastAsiaTheme="minorHAnsi" w:cstheme="majorBidi"/>
        </w:rPr>
        <w:t xml:space="preserve">) were estimated according to the von Bertalanffy growth function (vBGF), following (Pauly, 1979): </w:t>
      </w:r>
    </w:p>
    <w:p w14:paraId="15AE7768">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Lt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(1-e-k(t-</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w:t>
      </w:r>
    </w:p>
    <w:p w14:paraId="612795F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theoretical age at zero length (</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xml:space="preserve">) was determined following (Pauly, 1979): </w:t>
      </w:r>
    </w:p>
    <w:p w14:paraId="46B00B21">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log</w:t>
      </w:r>
      <w:r>
        <w:rPr>
          <w:rFonts w:asciiTheme="majorBidi" w:hAnsiTheme="majorBidi" w:eastAsiaTheme="minorHAnsi" w:cstheme="majorBidi"/>
          <w:vertAlign w:val="subscript"/>
        </w:rPr>
        <w:t>10</w:t>
      </w:r>
      <w:r>
        <w:rPr>
          <w:rFonts w:asciiTheme="majorBidi" w:hAnsiTheme="majorBidi" w:eastAsiaTheme="minorHAnsi" w:cstheme="majorBidi"/>
        </w:rPr>
        <w:t xml:space="preserve"> (−</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 − 0.3922 − 0.2758 × log</w:t>
      </w:r>
      <w:r>
        <w:rPr>
          <w:rFonts w:asciiTheme="majorBidi" w:hAnsiTheme="majorBidi" w:eastAsiaTheme="minorHAnsi" w:cstheme="majorBidi"/>
          <w:vertAlign w:val="subscript"/>
        </w:rPr>
        <w:t>10</w:t>
      </w:r>
      <w:r>
        <w:rPr>
          <w:rFonts w:asciiTheme="majorBidi" w:hAnsiTheme="majorBidi" w:eastAsiaTheme="minorHAnsi" w:cstheme="majorBidi"/>
        </w:rPr>
        <w:t xml:space="preserve">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− 1.038 × log</w:t>
      </w:r>
      <w:r>
        <w:rPr>
          <w:rFonts w:asciiTheme="majorBidi" w:hAnsiTheme="majorBidi" w:eastAsiaTheme="minorHAnsi" w:cstheme="majorBidi"/>
          <w:vertAlign w:val="subscript"/>
        </w:rPr>
        <w:t>10</w:t>
      </w:r>
      <w:r>
        <w:rPr>
          <w:rFonts w:asciiTheme="majorBidi" w:hAnsiTheme="majorBidi" w:eastAsiaTheme="minorHAnsi" w:cstheme="majorBidi"/>
        </w:rPr>
        <w:t xml:space="preserve"> </w:t>
      </w:r>
      <w:r>
        <w:rPr>
          <w:rFonts w:asciiTheme="majorBidi" w:hAnsiTheme="majorBidi" w:eastAsiaTheme="minorHAnsi" w:cstheme="majorBidi"/>
          <w:i/>
          <w:iCs/>
        </w:rPr>
        <w:t>K</w:t>
      </w:r>
      <w:r>
        <w:rPr>
          <w:rFonts w:asciiTheme="majorBidi" w:hAnsiTheme="majorBidi" w:eastAsiaTheme="minorHAnsi" w:cstheme="majorBidi"/>
        </w:rPr>
        <w:t>.</w:t>
      </w:r>
    </w:p>
    <w:p w14:paraId="6AA7BCE3">
      <w:pPr>
        <w:spacing w:before="120" w:after="120" w:line="360" w:lineRule="auto"/>
        <w:contextualSpacing/>
        <w:jc w:val="both"/>
        <w:rPr>
          <w:rFonts w:asciiTheme="majorBidi" w:hAnsiTheme="majorBidi" w:eastAsiaTheme="minorHAnsi" w:cstheme="majorBidi"/>
        </w:rPr>
      </w:pPr>
    </w:p>
    <w:p w14:paraId="400650BE">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Longevity</w:t>
      </w:r>
      <w:r>
        <w:rPr>
          <w:rFonts w:asciiTheme="majorBidi" w:hAnsiTheme="majorBidi" w:eastAsiaTheme="minorHAnsi" w:cstheme="majorBidi"/>
        </w:rPr>
        <w:t xml:space="preserve"> (T</w:t>
      </w:r>
      <w:r>
        <w:rPr>
          <w:rFonts w:asciiTheme="majorBidi" w:hAnsiTheme="majorBidi" w:eastAsiaTheme="minorHAnsi" w:cstheme="majorBidi"/>
          <w:i/>
          <w:iCs/>
          <w:vertAlign w:val="subscript"/>
        </w:rPr>
        <w:t>max</w:t>
      </w:r>
      <w:r>
        <w:rPr>
          <w:rFonts w:asciiTheme="majorBidi" w:hAnsiTheme="majorBidi" w:eastAsiaTheme="minorHAnsi" w:cstheme="majorBidi"/>
        </w:rPr>
        <w:t xml:space="preserve">) was calculated as 3/K + </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xml:space="preserve">. </w:t>
      </w:r>
    </w:p>
    <w:p w14:paraId="4D5461AA">
      <w:pPr>
        <w:spacing w:before="120" w:after="120" w:line="360" w:lineRule="auto"/>
        <w:contextualSpacing/>
        <w:jc w:val="both"/>
        <w:rPr>
          <w:rFonts w:asciiTheme="majorBidi" w:hAnsiTheme="majorBidi" w:eastAsiaTheme="minorHAnsi" w:cstheme="majorBidi"/>
        </w:rPr>
      </w:pPr>
    </w:p>
    <w:p w14:paraId="39338C0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growth performance index</w:t>
      </w:r>
      <w:r>
        <w:rPr>
          <w:rFonts w:asciiTheme="majorBidi" w:hAnsiTheme="majorBidi" w:eastAsiaTheme="minorHAnsi" w:cstheme="majorBidi"/>
        </w:rPr>
        <w:t xml:space="preserve"> was estimated using the Moreau </w:t>
      </w:r>
      <w:r>
        <w:rPr>
          <w:rFonts w:asciiTheme="majorBidi" w:hAnsiTheme="majorBidi" w:eastAsiaTheme="minorHAnsi" w:cstheme="majorBidi"/>
          <w:i/>
          <w:iCs/>
        </w:rPr>
        <w:t>et. al.,</w:t>
      </w:r>
      <w:r>
        <w:rPr>
          <w:rFonts w:asciiTheme="majorBidi" w:hAnsiTheme="majorBidi" w:eastAsiaTheme="minorHAnsi" w:cstheme="majorBidi"/>
        </w:rPr>
        <w:t xml:space="preserve"> (1986) expression: </w:t>
      </w:r>
    </w:p>
    <w:p w14:paraId="098FB725">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 xml:space="preserve">2 × log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log </w:t>
      </w:r>
      <w:r>
        <w:rPr>
          <w:rFonts w:asciiTheme="majorBidi" w:hAnsiTheme="majorBidi" w:eastAsiaTheme="minorHAnsi" w:cstheme="majorBidi"/>
          <w:i/>
          <w:iCs/>
        </w:rPr>
        <w:t>K</w:t>
      </w:r>
      <w:r>
        <w:rPr>
          <w:rFonts w:asciiTheme="majorBidi" w:hAnsiTheme="majorBidi" w:eastAsiaTheme="minorHAnsi" w:cstheme="majorBidi"/>
        </w:rPr>
        <w:t>.</w:t>
      </w:r>
    </w:p>
    <w:p w14:paraId="6971CEAC">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Mortality parameters</w:t>
      </w:r>
      <w:r>
        <w:rPr>
          <w:rFonts w:asciiTheme="majorBidi" w:hAnsiTheme="majorBidi" w:eastAsiaTheme="minorHAnsi" w:cstheme="majorBidi"/>
        </w:rPr>
        <w:t>:</w:t>
      </w:r>
    </w:p>
    <w:p w14:paraId="4E127A38">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total annual instantaneous mortality rate</w:t>
      </w:r>
      <w:r>
        <w:rPr>
          <w:rFonts w:asciiTheme="majorBidi" w:hAnsiTheme="majorBidi" w:eastAsiaTheme="minorHAnsi" w:cstheme="majorBidi"/>
        </w:rPr>
        <w:t xml:space="preserve"> (Z) was estimated using the length-converted catch curve. </w:t>
      </w:r>
    </w:p>
    <w:p w14:paraId="35E7991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natural mortality rate</w:t>
      </w:r>
      <w:r>
        <w:rPr>
          <w:rFonts w:asciiTheme="majorBidi" w:hAnsiTheme="majorBidi" w:eastAsiaTheme="minorHAnsi" w:cstheme="majorBidi"/>
        </w:rPr>
        <w:t xml:space="preserve"> (M) was ascertained following Pauly (1980): </w:t>
      </w:r>
    </w:p>
    <w:p w14:paraId="10E93D5C">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log</w:t>
      </w:r>
      <w:r>
        <w:rPr>
          <w:rFonts w:asciiTheme="majorBidi" w:hAnsiTheme="majorBidi" w:eastAsiaTheme="minorHAnsi" w:cstheme="majorBidi"/>
          <w:vertAlign w:val="subscript"/>
        </w:rPr>
        <w:t>10</w:t>
      </w:r>
      <w:r>
        <w:rPr>
          <w:rFonts w:asciiTheme="majorBidi" w:hAnsiTheme="majorBidi" w:eastAsiaTheme="minorHAnsi" w:cstheme="majorBidi"/>
        </w:rPr>
        <w:t>M = - 0.0066 - 0.279 × log</w:t>
      </w:r>
      <w:r>
        <w:rPr>
          <w:rFonts w:asciiTheme="majorBidi" w:hAnsiTheme="majorBidi" w:eastAsiaTheme="minorHAnsi" w:cstheme="majorBidi"/>
          <w:vertAlign w:val="subscript"/>
        </w:rPr>
        <w:t>10</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+ 0.6543 × log</w:t>
      </w:r>
      <w:r>
        <w:rPr>
          <w:rFonts w:asciiTheme="majorBidi" w:hAnsiTheme="majorBidi" w:eastAsiaTheme="minorHAnsi" w:cstheme="majorBidi"/>
          <w:vertAlign w:val="subscript"/>
        </w:rPr>
        <w:t>10</w:t>
      </w:r>
      <w:r>
        <w:rPr>
          <w:rFonts w:asciiTheme="majorBidi" w:hAnsiTheme="majorBidi" w:eastAsiaTheme="minorHAnsi" w:cstheme="majorBidi"/>
          <w:i/>
          <w:iCs/>
        </w:rPr>
        <w:t>K</w:t>
      </w:r>
      <w:r>
        <w:rPr>
          <w:rFonts w:asciiTheme="majorBidi" w:hAnsiTheme="majorBidi" w:eastAsiaTheme="minorHAnsi" w:cstheme="majorBidi"/>
        </w:rPr>
        <w:t xml:space="preserve"> + 0.4634 × log</w:t>
      </w:r>
      <w:r>
        <w:rPr>
          <w:rFonts w:asciiTheme="majorBidi" w:hAnsiTheme="majorBidi" w:eastAsiaTheme="minorHAnsi" w:cstheme="majorBidi"/>
          <w:vertAlign w:val="subscript"/>
        </w:rPr>
        <w:t>10</w:t>
      </w:r>
      <w:r>
        <w:rPr>
          <w:rFonts w:asciiTheme="majorBidi" w:hAnsiTheme="majorBidi" w:eastAsiaTheme="minorHAnsi" w:cstheme="majorBidi"/>
        </w:rPr>
        <w:t>T</w:t>
      </w:r>
    </w:p>
    <w:p w14:paraId="5EE3ADC3">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Where, M = instantaneous natural mortality,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asymptotic length, “T” mean surface temperature (26 °C) and “</w:t>
      </w:r>
      <w:r>
        <w:rPr>
          <w:rFonts w:asciiTheme="majorBidi" w:hAnsiTheme="majorBidi" w:eastAsiaTheme="minorHAnsi" w:cstheme="majorBidi"/>
          <w:i/>
          <w:iCs/>
        </w:rPr>
        <w:t>K”</w:t>
      </w:r>
      <w:r>
        <w:rPr>
          <w:rFonts w:asciiTheme="majorBidi" w:hAnsiTheme="majorBidi" w:eastAsiaTheme="minorHAnsi" w:cstheme="majorBidi"/>
        </w:rPr>
        <w:t xml:space="preserve"> = growth rate. </w:t>
      </w:r>
    </w:p>
    <w:p w14:paraId="5F8E0CA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fishing mortality rate</w:t>
      </w:r>
      <w:r>
        <w:rPr>
          <w:rFonts w:asciiTheme="majorBidi" w:hAnsiTheme="majorBidi" w:eastAsiaTheme="minorHAnsi" w:cstheme="majorBidi"/>
        </w:rPr>
        <w:t xml:space="preserve"> (F) was calculated according to Beverton and Holt (1957) equation: </w:t>
      </w:r>
    </w:p>
    <w:p w14:paraId="67880AFA">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F = Z – M</w:t>
      </w:r>
    </w:p>
    <w:p w14:paraId="691A0E6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Exploitation rate (E)</w:t>
      </w:r>
      <w:r>
        <w:rPr>
          <w:rFonts w:asciiTheme="majorBidi" w:hAnsiTheme="majorBidi" w:eastAsiaTheme="minorHAnsi" w:cstheme="majorBidi"/>
        </w:rPr>
        <w:t>:</w:t>
      </w:r>
    </w:p>
    <w:p w14:paraId="27A69F38">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Exploitation rate (E) was obtained using Gulland (1971) relationship:</w:t>
      </w:r>
    </w:p>
    <w:p w14:paraId="3E36E41C">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E = F/Z</w:t>
      </w:r>
    </w:p>
    <w:p w14:paraId="5AD9EBEC">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Relative yield per recruit</w:t>
      </w:r>
      <w:r>
        <w:rPr>
          <w:rFonts w:asciiTheme="majorBidi" w:hAnsiTheme="majorBidi" w:eastAsiaTheme="minorHAnsi" w:cstheme="majorBidi"/>
        </w:rPr>
        <w:t xml:space="preserve"> (</w:t>
      </w:r>
      <w:r>
        <w:rPr>
          <w:rFonts w:asciiTheme="majorBidi" w:hAnsiTheme="majorBidi" w:cstheme="majorBidi"/>
        </w:rPr>
        <w:t>Y'/R</w:t>
      </w:r>
      <w:r>
        <w:rPr>
          <w:rFonts w:asciiTheme="majorBidi" w:hAnsiTheme="majorBidi" w:eastAsiaTheme="minorHAnsi" w:cstheme="majorBidi"/>
        </w:rPr>
        <w:t xml:space="preserve">) and </w:t>
      </w:r>
      <w:r>
        <w:rPr>
          <w:rFonts w:asciiTheme="majorBidi" w:hAnsiTheme="majorBidi" w:eastAsiaTheme="minorHAnsi" w:cstheme="majorBidi"/>
          <w:b/>
          <w:bCs/>
        </w:rPr>
        <w:t>relative biomass per recruit</w:t>
      </w:r>
      <w:r>
        <w:rPr>
          <w:rFonts w:asciiTheme="majorBidi" w:hAnsiTheme="majorBidi" w:eastAsiaTheme="minorHAnsi" w:cstheme="majorBidi"/>
        </w:rPr>
        <w:t xml:space="preserve"> (</w:t>
      </w:r>
      <w:r>
        <w:rPr>
          <w:rFonts w:asciiTheme="majorBidi" w:hAnsiTheme="majorBidi" w:cstheme="majorBidi"/>
        </w:rPr>
        <w:t>B'/R</w:t>
      </w:r>
      <w:r>
        <w:rPr>
          <w:rFonts w:asciiTheme="majorBidi" w:hAnsiTheme="majorBidi" w:eastAsiaTheme="minorHAnsi" w:cstheme="majorBidi"/>
        </w:rPr>
        <w:t xml:space="preserve">). </w:t>
      </w:r>
      <w:r>
        <w:rPr>
          <w:rFonts w:asciiTheme="majorBidi" w:hAnsiTheme="majorBidi" w:cstheme="majorBidi"/>
        </w:rPr>
        <w:t xml:space="preserve">The relative yield per recruit (Y'/R) and relative biomass per recruit (B'/R) were calculated </w:t>
      </w:r>
      <w:r>
        <w:rPr>
          <w:rFonts w:asciiTheme="majorBidi" w:hAnsiTheme="majorBidi" w:eastAsiaTheme="minorHAnsi" w:cstheme="majorBidi"/>
        </w:rPr>
        <w:t>as a function of exploitation</w:t>
      </w:r>
      <w:r>
        <w:rPr>
          <w:rFonts w:asciiTheme="majorBidi" w:hAnsiTheme="majorBidi" w:cstheme="majorBidi"/>
        </w:rPr>
        <w:t xml:space="preserve"> to obtain biological the reference points. Further, </w:t>
      </w:r>
      <w:r>
        <w:rPr>
          <w:rFonts w:asciiTheme="majorBidi" w:hAnsiTheme="majorBidi" w:eastAsiaTheme="minorHAnsi" w:cstheme="majorBidi"/>
        </w:rPr>
        <w:t>the exploitation rate at the maximum exploitation rate (E</w:t>
      </w:r>
      <w:r>
        <w:rPr>
          <w:rFonts w:asciiTheme="majorBidi" w:hAnsiTheme="majorBidi" w:eastAsiaTheme="minorHAnsi" w:cstheme="majorBidi"/>
          <w:i/>
          <w:iCs/>
          <w:vertAlign w:val="subscript"/>
        </w:rPr>
        <w:t>max</w:t>
      </w:r>
      <w:r>
        <w:rPr>
          <w:rFonts w:asciiTheme="majorBidi" w:hAnsiTheme="majorBidi" w:eastAsiaTheme="minorHAnsi" w:cstheme="majorBidi"/>
        </w:rPr>
        <w:t>), at 0.1 of the virgin biomass (E</w:t>
      </w:r>
      <w:r>
        <w:rPr>
          <w:rFonts w:asciiTheme="majorBidi" w:hAnsiTheme="majorBidi" w:eastAsiaTheme="minorHAnsi" w:cstheme="majorBidi"/>
          <w:vertAlign w:val="subscript"/>
        </w:rPr>
        <w:t>0.1</w:t>
      </w:r>
      <w:r>
        <w:rPr>
          <w:rFonts w:asciiTheme="majorBidi" w:hAnsiTheme="majorBidi" w:eastAsiaTheme="minorHAnsi" w:cstheme="majorBidi"/>
        </w:rPr>
        <w:t>), and E</w:t>
      </w:r>
      <w:r>
        <w:rPr>
          <w:rFonts w:asciiTheme="majorBidi" w:hAnsiTheme="majorBidi" w:eastAsiaTheme="minorHAnsi" w:cstheme="majorBidi"/>
          <w:vertAlign w:val="subscript"/>
        </w:rPr>
        <w:t>0.5</w:t>
      </w:r>
      <w:r>
        <w:rPr>
          <w:rFonts w:asciiTheme="majorBidi" w:hAnsiTheme="majorBidi" w:eastAsiaTheme="minorHAnsi" w:cstheme="majorBidi"/>
        </w:rPr>
        <w:t xml:space="preserve"> and the exploitation rate at 0.5 of the virgin biomass were worked out by applying the Knife-edge option. </w:t>
      </w:r>
      <w:r>
        <w:rPr>
          <w:rFonts w:asciiTheme="majorBidi" w:hAnsiTheme="majorBidi" w:cstheme="majorBidi"/>
        </w:rPr>
        <w:t>The model of Pauly and Soriano (1986) was used to predict the relative yield per recruit (Y'/R) using the previous of values of M/K,</w:t>
      </w:r>
      <w:r>
        <w:rPr>
          <w:rFonts w:asciiTheme="majorBidi" w:hAnsiTheme="majorBidi" w:eastAsiaTheme="minorHAnsi" w:cstheme="majorBidi"/>
          <w:i/>
          <w:iCs/>
        </w:rPr>
        <w:t xml:space="preserve"> L∞</w:t>
      </w:r>
      <w:r>
        <w:rPr>
          <w:rFonts w:asciiTheme="majorBidi" w:hAnsiTheme="majorBidi" w:eastAsiaTheme="minorHAnsi" w:cstheme="majorBidi"/>
          <w:vertAlign w:val="subscript"/>
        </w:rPr>
        <w:t xml:space="preserve"> </w:t>
      </w:r>
      <w:r>
        <w:rPr>
          <w:rFonts w:asciiTheme="majorBidi" w:hAnsiTheme="majorBidi" w:eastAsiaTheme="minorHAnsi" w:cstheme="majorBidi"/>
        </w:rPr>
        <w:t>and</w:t>
      </w:r>
      <w:r>
        <w:rPr>
          <w:rFonts w:asciiTheme="majorBidi" w:hAnsiTheme="majorBidi" w:eastAsiaTheme="minorHAnsi" w:cstheme="majorBidi"/>
          <w:b/>
          <w:bCs/>
          <w:i/>
          <w:iCs/>
        </w:rPr>
        <w:t xml:space="preserve"> </w:t>
      </w:r>
      <w:r>
        <w:rPr>
          <w:rFonts w:asciiTheme="majorBidi" w:hAnsiTheme="majorBidi" w:eastAsiaTheme="minorHAnsi" w:cstheme="majorBidi"/>
          <w:i/>
          <w:iCs/>
        </w:rPr>
        <w:t>L</w:t>
      </w:r>
      <w:r>
        <w:rPr>
          <w:rFonts w:asciiTheme="majorBidi" w:hAnsiTheme="majorBidi" w:eastAsiaTheme="minorHAnsi" w:cstheme="majorBidi"/>
          <w:vertAlign w:val="subscript"/>
        </w:rPr>
        <w:t xml:space="preserve">c. </w:t>
      </w:r>
      <w:r>
        <w:rPr>
          <w:rFonts w:asciiTheme="majorBidi" w:hAnsiTheme="majorBidi" w:cstheme="majorBidi"/>
        </w:rPr>
        <w:t xml:space="preserve">The relative biomass per recruit (B'/R) was estimated by B'/R= (Y'/R)/F (Gayanilo </w:t>
      </w:r>
      <w:r>
        <w:rPr>
          <w:rFonts w:asciiTheme="majorBidi" w:hAnsiTheme="majorBidi" w:cstheme="majorBidi"/>
          <w:i/>
          <w:iCs/>
        </w:rPr>
        <w:t>et al.,</w:t>
      </w:r>
      <w:r>
        <w:rPr>
          <w:rFonts w:asciiTheme="majorBidi" w:hAnsiTheme="majorBidi" w:cstheme="majorBidi"/>
        </w:rPr>
        <w:t xml:space="preserve"> 2005).</w:t>
      </w:r>
    </w:p>
    <w:p w14:paraId="753CB03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length at first capture (</w:t>
      </w:r>
      <w:r>
        <w:rPr>
          <w:rFonts w:asciiTheme="majorBidi" w:hAnsiTheme="majorBidi" w:eastAsiaTheme="minorHAnsi" w:cstheme="majorBidi"/>
          <w:b/>
          <w:bCs/>
          <w:i/>
          <w:iCs/>
        </w:rPr>
        <w:t>L</w:t>
      </w:r>
      <w:r>
        <w:rPr>
          <w:rFonts w:asciiTheme="majorBidi" w:hAnsiTheme="majorBidi" w:eastAsiaTheme="minorHAnsi" w:cstheme="majorBidi"/>
          <w:b/>
          <w:bCs/>
          <w:vertAlign w:val="subscript"/>
        </w:rPr>
        <w:t>c</w:t>
      </w:r>
      <w:r>
        <w:rPr>
          <w:rFonts w:asciiTheme="majorBidi" w:hAnsiTheme="majorBidi" w:eastAsiaTheme="minorHAnsi" w:cstheme="majorBidi"/>
          <w:b/>
          <w:bCs/>
        </w:rPr>
        <w:t>)</w:t>
      </w:r>
      <w:r>
        <w:rPr>
          <w:rFonts w:asciiTheme="majorBidi" w:hAnsiTheme="majorBidi" w:eastAsiaTheme="minorHAnsi" w:cstheme="majorBidi"/>
        </w:rPr>
        <w:t xml:space="preserve">: Length at first capture was determined following Beverton and Holt (1957) equation: </w:t>
      </w:r>
    </w:p>
    <w:p w14:paraId="34406AD9">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vertAlign w:val="subscript"/>
        </w:rPr>
        <w:t>c</w:t>
      </w:r>
      <w:r>
        <w:rPr>
          <w:rFonts w:asciiTheme="majorBidi" w:hAnsiTheme="majorBidi" w:eastAsiaTheme="minorHAnsi" w:cstheme="majorBidi"/>
        </w:rPr>
        <w:t xml:space="preserve"> = L̄-</w:t>
      </w:r>
      <w:r>
        <w:rPr>
          <w:rFonts w:asciiTheme="majorBidi" w:hAnsiTheme="majorBidi" w:eastAsiaTheme="minorHAnsi" w:cstheme="majorBidi"/>
          <w:i/>
          <w:iCs/>
        </w:rPr>
        <w:t>K</w:t>
      </w:r>
      <w:r>
        <w:rPr>
          <w:rFonts w:asciiTheme="majorBidi" w:hAnsiTheme="majorBidi" w:eastAsiaTheme="minorHAnsi" w:cstheme="majorBidi"/>
        </w:rPr>
        <w:t xml:space="preserve"> ×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L̄) ÷ Z</w:t>
      </w:r>
    </w:p>
    <w:p w14:paraId="264FC3E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Where: L̄=mean length of the fish catch; </w:t>
      </w:r>
      <w:r>
        <w:rPr>
          <w:rFonts w:asciiTheme="majorBidi" w:hAnsiTheme="majorBidi" w:eastAsiaTheme="minorHAnsi" w:cstheme="majorBidi"/>
          <w:i/>
          <w:iCs/>
        </w:rPr>
        <w:t>K</w:t>
      </w:r>
      <w:r>
        <w:rPr>
          <w:rFonts w:asciiTheme="majorBidi" w:hAnsiTheme="majorBidi" w:eastAsiaTheme="minorHAnsi" w:cstheme="majorBidi"/>
        </w:rPr>
        <w:t xml:space="preserve">= growth coefficient;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asymptotic length and Z= the total mortality. </w:t>
      </w:r>
    </w:p>
    <w:p w14:paraId="5D1B29D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First maturity (</w:t>
      </w:r>
      <w:r>
        <w:rPr>
          <w:rFonts w:asciiTheme="majorBidi" w:hAnsiTheme="majorBidi" w:eastAsiaTheme="minorHAnsi" w:cstheme="majorBidi"/>
          <w:b/>
          <w:bCs/>
          <w:i/>
          <w:iCs/>
        </w:rPr>
        <w:t>L</w:t>
      </w:r>
      <w:r>
        <w:rPr>
          <w:rFonts w:asciiTheme="majorBidi" w:hAnsiTheme="majorBidi" w:eastAsiaTheme="minorHAnsi" w:cstheme="majorBidi"/>
          <w:b/>
          <w:bCs/>
          <w:i/>
          <w:iCs/>
          <w:vertAlign w:val="subscript"/>
        </w:rPr>
        <w:t>m</w:t>
      </w:r>
      <w:r>
        <w:rPr>
          <w:rFonts w:asciiTheme="majorBidi" w:hAnsiTheme="majorBidi" w:eastAsiaTheme="minorHAnsi" w:cstheme="majorBidi"/>
          <w:b/>
          <w:bCs/>
        </w:rPr>
        <w:t xml:space="preserve"> or </w:t>
      </w:r>
      <w:r>
        <w:rPr>
          <w:rFonts w:asciiTheme="majorBidi" w:hAnsiTheme="majorBidi" w:eastAsiaTheme="minorHAnsi" w:cstheme="majorBidi"/>
          <w:b/>
          <w:bCs/>
          <w:i/>
          <w:iCs/>
        </w:rPr>
        <w:t>L</w:t>
      </w:r>
      <w:r>
        <w:rPr>
          <w:rFonts w:asciiTheme="majorBidi" w:hAnsiTheme="majorBidi" w:eastAsiaTheme="minorHAnsi" w:cstheme="majorBidi"/>
          <w:b/>
          <w:bCs/>
          <w:vertAlign w:val="subscript"/>
        </w:rPr>
        <w:t>50</w:t>
      </w:r>
      <w:r>
        <w:rPr>
          <w:rFonts w:asciiTheme="majorBidi" w:hAnsiTheme="majorBidi" w:eastAsiaTheme="minorHAnsi" w:cstheme="majorBidi"/>
          <w:b/>
          <w:bCs/>
        </w:rPr>
        <w:t>)</w:t>
      </w:r>
      <w:r>
        <w:rPr>
          <w:rFonts w:asciiTheme="majorBidi" w:hAnsiTheme="majorBidi" w:eastAsiaTheme="minorHAnsi" w:cstheme="majorBidi"/>
        </w:rPr>
        <w:t xml:space="preserve">: The </w:t>
      </w:r>
      <w:r>
        <w:rPr>
          <w:rFonts w:asciiTheme="majorBidi" w:hAnsiTheme="majorBidi" w:eastAsiaTheme="minorHAnsi" w:cstheme="majorBidi"/>
          <w:i/>
          <w:iCs/>
        </w:rPr>
        <w:t>L</w:t>
      </w:r>
      <w:r>
        <w:rPr>
          <w:rFonts w:asciiTheme="majorBidi" w:hAnsiTheme="majorBidi" w:eastAsiaTheme="minorHAnsi" w:cstheme="majorBidi"/>
          <w:i/>
          <w:iCs/>
          <w:vertAlign w:val="subscript"/>
        </w:rPr>
        <w:t>m</w:t>
      </w:r>
      <w:r>
        <w:rPr>
          <w:rFonts w:asciiTheme="majorBidi" w:hAnsiTheme="majorBidi" w:eastAsiaTheme="minorHAnsi" w:cstheme="majorBidi"/>
        </w:rPr>
        <w:t xml:space="preserve"> from the mature fish (stages III+) data per length class was calculated based on Gunderson and Sample (1980) as follows: P = 1÷1+e (b L + a) </w:t>
      </w:r>
    </w:p>
    <w:p w14:paraId="762019E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Where: P=the proportion of mature fish at length class x, a= intercept, and b=slope. </w:t>
      </w:r>
    </w:p>
    <w:p w14:paraId="488EB11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The </w:t>
      </w:r>
      <w:r>
        <w:rPr>
          <w:rFonts w:asciiTheme="majorBidi" w:hAnsiTheme="majorBidi" w:eastAsiaTheme="minorHAnsi" w:cstheme="majorBidi"/>
          <w:i/>
          <w:iCs/>
        </w:rPr>
        <w:t>L</w:t>
      </w:r>
      <w:r>
        <w:rPr>
          <w:rFonts w:asciiTheme="majorBidi" w:hAnsiTheme="majorBidi" w:eastAsiaTheme="minorHAnsi" w:cstheme="majorBidi"/>
          <w:i/>
          <w:iCs/>
          <w:vertAlign w:val="subscript"/>
        </w:rPr>
        <w:t>m</w:t>
      </w:r>
      <w:r>
        <w:rPr>
          <w:rFonts w:asciiTheme="majorBidi" w:hAnsiTheme="majorBidi" w:eastAsiaTheme="minorHAnsi" w:cstheme="majorBidi"/>
          <w:vertAlign w:val="subscript"/>
        </w:rPr>
        <w:t>50</w:t>
      </w:r>
      <w:r>
        <w:rPr>
          <w:rFonts w:asciiTheme="majorBidi" w:hAnsiTheme="majorBidi" w:eastAsiaTheme="minorHAnsi" w:cstheme="majorBidi"/>
        </w:rPr>
        <w:t xml:space="preserve"> was then derived from the relationship of “a” and “b” as follows: </w:t>
      </w:r>
      <w:r>
        <w:rPr>
          <w:rFonts w:asciiTheme="majorBidi" w:hAnsiTheme="majorBidi" w:eastAsiaTheme="minorHAnsi" w:cstheme="majorBidi"/>
          <w:i/>
          <w:iCs/>
        </w:rPr>
        <w:t>L</w:t>
      </w:r>
      <w:r>
        <w:rPr>
          <w:rFonts w:asciiTheme="majorBidi" w:hAnsiTheme="majorBidi" w:eastAsiaTheme="minorHAnsi" w:cstheme="majorBidi"/>
          <w:i/>
          <w:iCs/>
          <w:vertAlign w:val="subscript"/>
        </w:rPr>
        <w:t>m</w:t>
      </w:r>
      <w:r>
        <w:rPr>
          <w:rFonts w:asciiTheme="majorBidi" w:hAnsiTheme="majorBidi" w:eastAsiaTheme="minorHAnsi" w:cstheme="majorBidi"/>
        </w:rPr>
        <w:t xml:space="preserve"> = -a÷ b.</w:t>
      </w:r>
    </w:p>
    <w:p w14:paraId="252CE16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length at first maturity (</w:t>
      </w:r>
      <w:r>
        <w:rPr>
          <w:rFonts w:asciiTheme="majorBidi" w:hAnsiTheme="majorBidi" w:eastAsiaTheme="minorHAnsi" w:cstheme="majorBidi"/>
          <w:b/>
          <w:bCs/>
          <w:i/>
          <w:iCs/>
        </w:rPr>
        <w:t>L</w:t>
      </w:r>
      <w:r>
        <w:rPr>
          <w:rFonts w:asciiTheme="majorBidi" w:hAnsiTheme="majorBidi" w:eastAsiaTheme="minorHAnsi" w:cstheme="majorBidi"/>
          <w:b/>
          <w:bCs/>
          <w:i/>
          <w:iCs/>
          <w:vertAlign w:val="subscript"/>
        </w:rPr>
        <w:t>m</w:t>
      </w:r>
      <w:r>
        <w:rPr>
          <w:rFonts w:asciiTheme="majorBidi" w:hAnsiTheme="majorBidi" w:eastAsiaTheme="minorHAnsi" w:cstheme="majorBidi"/>
          <w:b/>
          <w:bCs/>
        </w:rPr>
        <w:t>)</w:t>
      </w:r>
      <w:r>
        <w:rPr>
          <w:rFonts w:asciiTheme="majorBidi" w:hAnsiTheme="majorBidi" w:eastAsiaTheme="minorHAnsi" w:cstheme="majorBidi"/>
        </w:rPr>
        <w:t xml:space="preserve">: </w:t>
      </w:r>
    </w:p>
    <w:p w14:paraId="45D0E82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Based on first maturity (above) the percentage of specimens in the catches larger than the length at maturity (</w:t>
      </w:r>
      <w:r>
        <w:rPr>
          <w:rFonts w:asciiTheme="majorBidi" w:hAnsiTheme="majorBidi" w:eastAsiaTheme="minorHAnsi" w:cstheme="majorBidi"/>
          <w:i/>
          <w:iCs/>
        </w:rPr>
        <w:t>L</w:t>
      </w:r>
      <w:r>
        <w:rPr>
          <w:rFonts w:asciiTheme="majorBidi" w:hAnsiTheme="majorBidi" w:eastAsiaTheme="minorHAnsi" w:cstheme="majorBidi"/>
          <w:i/>
          <w:iCs/>
          <w:vertAlign w:val="subscript"/>
        </w:rPr>
        <w:t>m</w:t>
      </w:r>
      <w:r>
        <w:rPr>
          <w:rFonts w:asciiTheme="majorBidi" w:hAnsiTheme="majorBidi" w:eastAsiaTheme="minorHAnsi" w:cstheme="majorBidi"/>
        </w:rPr>
        <w:t xml:space="preserve">); the percentage of fish between </w:t>
      </w:r>
      <w:r>
        <w:rPr>
          <w:rFonts w:asciiTheme="majorBidi" w:hAnsiTheme="majorBidi" w:eastAsiaTheme="minorHAnsi" w:cstheme="majorBidi"/>
          <w:i/>
          <w:iCs/>
        </w:rPr>
        <w:t>L</w:t>
      </w:r>
      <w:r>
        <w:rPr>
          <w:rFonts w:asciiTheme="majorBidi" w:hAnsiTheme="majorBidi" w:eastAsiaTheme="minorHAnsi" w:cstheme="majorBidi"/>
          <w:i/>
          <w:iCs/>
          <w:vertAlign w:val="subscript"/>
        </w:rPr>
        <w:t>m</w:t>
      </w:r>
      <w:r>
        <w:rPr>
          <w:rFonts w:asciiTheme="majorBidi" w:hAnsiTheme="majorBidi" w:eastAsiaTheme="minorHAnsi" w:cstheme="majorBidi"/>
        </w:rPr>
        <w:t xml:space="preserve"> and 10% the length at optimum cohort biomass (</w:t>
      </w:r>
      <w:r>
        <w:rPr>
          <w:rFonts w:asciiTheme="majorBidi" w:hAnsiTheme="majorBidi" w:eastAsiaTheme="minorHAnsi" w:cstheme="majorBidi"/>
          <w:i/>
          <w:iCs/>
        </w:rPr>
        <w:t>L</w:t>
      </w:r>
      <w:r>
        <w:rPr>
          <w:rFonts w:asciiTheme="majorBidi" w:hAnsiTheme="majorBidi" w:eastAsiaTheme="minorHAnsi" w:cstheme="majorBidi"/>
          <w:i/>
          <w:iCs/>
          <w:vertAlign w:val="subscript"/>
        </w:rPr>
        <w:t>opt</w:t>
      </w:r>
      <w:r>
        <w:rPr>
          <w:rFonts w:asciiTheme="majorBidi" w:hAnsiTheme="majorBidi" w:eastAsiaTheme="minorHAnsi" w:cstheme="majorBidi"/>
        </w:rPr>
        <w:t xml:space="preserve">=) and the percentage of fish beyond this </w:t>
      </w:r>
      <w:r>
        <w:rPr>
          <w:rFonts w:asciiTheme="majorBidi" w:hAnsiTheme="majorBidi" w:eastAsiaTheme="minorHAnsi" w:cstheme="majorBidi"/>
          <w:i/>
          <w:iCs/>
        </w:rPr>
        <w:t>L</w:t>
      </w:r>
      <w:r>
        <w:rPr>
          <w:rFonts w:asciiTheme="majorBidi" w:hAnsiTheme="majorBidi" w:eastAsiaTheme="minorHAnsi" w:cstheme="majorBidi"/>
          <w:i/>
          <w:iCs/>
          <w:vertAlign w:val="subscript"/>
        </w:rPr>
        <w:t>opt</w:t>
      </w:r>
      <w:r>
        <w:rPr>
          <w:rFonts w:asciiTheme="majorBidi" w:hAnsiTheme="majorBidi" w:eastAsiaTheme="minorHAnsi" w:cstheme="majorBidi"/>
        </w:rPr>
        <w:t xml:space="preserve"> range (mega-spawners) were determined following Froese (2004). </w:t>
      </w:r>
    </w:p>
    <w:p w14:paraId="7A677DB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recruitment pattern</w:t>
      </w:r>
      <w:r>
        <w:rPr>
          <w:rFonts w:asciiTheme="majorBidi" w:hAnsiTheme="majorBidi" w:eastAsiaTheme="minorHAnsi" w:cstheme="majorBidi"/>
        </w:rPr>
        <w:t xml:space="preserve">: </w:t>
      </w:r>
    </w:p>
    <w:p w14:paraId="6F4F4D0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age at first capture (</w:t>
      </w:r>
      <w:r>
        <w:rPr>
          <w:rFonts w:asciiTheme="majorBidi" w:hAnsiTheme="majorBidi" w:eastAsiaTheme="minorHAnsi" w:cstheme="majorBidi"/>
          <w:i/>
          <w:iCs/>
        </w:rPr>
        <w:t>t</w:t>
      </w:r>
      <w:r>
        <w:rPr>
          <w:rFonts w:asciiTheme="majorBidi" w:hAnsiTheme="majorBidi" w:eastAsiaTheme="minorHAnsi" w:cstheme="majorBidi"/>
          <w:i/>
          <w:iCs/>
          <w:vertAlign w:val="subscript"/>
        </w:rPr>
        <w:t>c</w:t>
      </w:r>
      <w:r>
        <w:rPr>
          <w:rFonts w:asciiTheme="majorBidi" w:hAnsiTheme="majorBidi" w:eastAsiaTheme="minorHAnsi" w:cstheme="majorBidi"/>
        </w:rPr>
        <w:t>) was determined from the estimated growth parameters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w:t>
      </w:r>
      <w:r>
        <w:rPr>
          <w:rFonts w:asciiTheme="majorBidi" w:hAnsiTheme="majorBidi" w:eastAsiaTheme="minorHAnsi" w:cstheme="majorBidi"/>
          <w:i/>
          <w:iCs/>
        </w:rPr>
        <w:t>K</w:t>
      </w:r>
      <w:r>
        <w:rPr>
          <w:rFonts w:asciiTheme="majorBidi" w:hAnsiTheme="majorBidi" w:eastAsiaTheme="minorHAnsi" w:cstheme="majorBidi"/>
        </w:rPr>
        <w:t xml:space="preserve">, and </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xml:space="preserve">) using the ELEFAN I method following (Gayanilo </w:t>
      </w:r>
      <w:r>
        <w:rPr>
          <w:rFonts w:asciiTheme="majorBidi" w:hAnsiTheme="majorBidi" w:eastAsiaTheme="minorHAnsi" w:cstheme="majorBidi"/>
          <w:i/>
          <w:iCs/>
        </w:rPr>
        <w:t>et. al.,</w:t>
      </w:r>
      <w:r>
        <w:rPr>
          <w:rFonts w:asciiTheme="majorBidi" w:hAnsiTheme="majorBidi" w:eastAsiaTheme="minorHAnsi" w:cstheme="majorBidi"/>
        </w:rPr>
        <w:t xml:space="preserve"> 2005). The "Percent of sample total" option in FiSAT was used to estimate the recruitment pattern when the samples had dissimilar sizes.</w:t>
      </w:r>
    </w:p>
    <w:p w14:paraId="504B7E3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Maximum fishing effort (F</w:t>
      </w:r>
      <w:r>
        <w:rPr>
          <w:rFonts w:asciiTheme="majorBidi" w:hAnsiTheme="majorBidi" w:eastAsiaTheme="minorHAnsi" w:cstheme="majorBidi"/>
          <w:b/>
          <w:bCs/>
          <w:i/>
          <w:iCs/>
          <w:vertAlign w:val="subscript"/>
        </w:rPr>
        <w:t>max</w:t>
      </w:r>
      <w:r>
        <w:rPr>
          <w:rFonts w:asciiTheme="majorBidi" w:hAnsiTheme="majorBidi" w:eastAsiaTheme="minorHAnsi" w:cstheme="majorBidi"/>
          <w:b/>
          <w:bCs/>
        </w:rPr>
        <w:t>)</w:t>
      </w:r>
      <w:r>
        <w:rPr>
          <w:rFonts w:asciiTheme="majorBidi" w:hAnsiTheme="majorBidi" w:eastAsiaTheme="minorHAnsi" w:cstheme="majorBidi"/>
        </w:rPr>
        <w:t xml:space="preserve"> was determined as:</w:t>
      </w:r>
    </w:p>
    <w:p w14:paraId="7B36722D">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 xml:space="preserve">0.67×K/0.67-Lc (Hoggarth </w:t>
      </w:r>
      <w:r>
        <w:rPr>
          <w:rFonts w:asciiTheme="majorBidi" w:hAnsiTheme="majorBidi" w:eastAsiaTheme="minorHAnsi" w:cstheme="majorBidi"/>
          <w:i/>
          <w:iCs/>
        </w:rPr>
        <w:t>et. al.,</w:t>
      </w:r>
      <w:r>
        <w:rPr>
          <w:rFonts w:asciiTheme="majorBidi" w:hAnsiTheme="majorBidi" w:eastAsiaTheme="minorHAnsi" w:cstheme="majorBidi"/>
        </w:rPr>
        <w:t xml:space="preserve"> 2006).</w:t>
      </w:r>
    </w:p>
    <w:p w14:paraId="72C712E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precautionary limit reference point (F</w:t>
      </w:r>
      <w:r>
        <w:rPr>
          <w:rFonts w:asciiTheme="majorBidi" w:hAnsiTheme="majorBidi" w:eastAsiaTheme="minorHAnsi" w:cstheme="majorBidi"/>
          <w:b/>
          <w:bCs/>
          <w:i/>
          <w:iCs/>
          <w:vertAlign w:val="subscript"/>
        </w:rPr>
        <w:t>limit</w:t>
      </w:r>
      <w:r>
        <w:rPr>
          <w:rFonts w:asciiTheme="majorBidi" w:hAnsiTheme="majorBidi" w:eastAsiaTheme="minorHAnsi" w:cstheme="majorBidi"/>
          <w:b/>
          <w:bCs/>
        </w:rPr>
        <w:t xml:space="preserve">) </w:t>
      </w:r>
      <w:r>
        <w:rPr>
          <w:rFonts w:asciiTheme="majorBidi" w:hAnsiTheme="majorBidi" w:eastAsiaTheme="minorHAnsi" w:cstheme="majorBidi"/>
        </w:rPr>
        <w:t>was determined as:</w:t>
      </w:r>
    </w:p>
    <w:p w14:paraId="5A2CC06B">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⅔×M (Patterson, 1992).</w:t>
      </w:r>
    </w:p>
    <w:p w14:paraId="01DEB20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precautionary target reference point (F</w:t>
      </w:r>
      <w:r>
        <w:rPr>
          <w:rFonts w:asciiTheme="majorBidi" w:hAnsiTheme="majorBidi" w:eastAsiaTheme="minorHAnsi" w:cstheme="majorBidi"/>
          <w:b/>
          <w:bCs/>
          <w:i/>
          <w:iCs/>
          <w:vertAlign w:val="subscript"/>
        </w:rPr>
        <w:t>opt</w:t>
      </w:r>
      <w:r>
        <w:rPr>
          <w:rFonts w:asciiTheme="majorBidi" w:hAnsiTheme="majorBidi" w:eastAsiaTheme="minorHAnsi" w:cstheme="majorBidi"/>
          <w:b/>
          <w:bCs/>
        </w:rPr>
        <w:t>)</w:t>
      </w:r>
      <w:r>
        <w:rPr>
          <w:rFonts w:asciiTheme="majorBidi" w:hAnsiTheme="majorBidi" w:eastAsiaTheme="minorHAnsi" w:cstheme="majorBidi"/>
        </w:rPr>
        <w:t xml:space="preserve"> was calculated as:</w:t>
      </w:r>
    </w:p>
    <w:p w14:paraId="575F5768">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0.4×M (Pauly, 1984).</w:t>
      </w:r>
    </w:p>
    <w:p w14:paraId="7FA90D7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The estimated length of structured virtual population analysis (vPA)</w:t>
      </w:r>
      <w:r>
        <w:rPr>
          <w:rFonts w:asciiTheme="majorBidi" w:hAnsiTheme="majorBidi" w:eastAsiaTheme="minorHAnsi" w:cstheme="majorBidi"/>
        </w:rPr>
        <w:t xml:space="preserve">: </w:t>
      </w:r>
    </w:p>
    <w:p w14:paraId="13769986">
      <w:pPr>
        <w:spacing w:before="120" w:after="120" w:line="360" w:lineRule="auto"/>
        <w:contextualSpacing/>
        <w:jc w:val="both"/>
        <w:rPr>
          <w:rFonts w:asciiTheme="majorBidi" w:hAnsiTheme="majorBidi" w:eastAsiaTheme="minorHAnsi" w:cstheme="majorBidi"/>
        </w:rPr>
      </w:pPr>
      <w:r>
        <w:rPr>
          <w:rFonts w:asciiTheme="majorBidi" w:hAnsiTheme="majorBidi" w:cstheme="majorBidi"/>
        </w:rPr>
        <w:t>The length-structured Virtual Population Analysis (VPA) was carried based on previously produced growth parameters (</w:t>
      </w:r>
      <w:r>
        <w:rPr>
          <w:rFonts w:asciiTheme="majorBidi" w:hAnsiTheme="majorBidi" w:cstheme="majorBidi"/>
          <w:i/>
          <w:iCs/>
        </w:rPr>
        <w:t>L</w:t>
      </w:r>
      <w:r>
        <w:rPr>
          <w:rFonts w:asciiTheme="majorBidi" w:hAnsiTheme="majorBidi" w:cstheme="majorBidi"/>
          <w:i/>
          <w:iCs/>
          <w:vertAlign w:val="subscript"/>
        </w:rPr>
        <w:t>∞</w:t>
      </w:r>
      <w:r>
        <w:rPr>
          <w:rFonts w:asciiTheme="majorBidi" w:hAnsiTheme="majorBidi" w:cstheme="majorBidi"/>
        </w:rPr>
        <w:t xml:space="preserve">, </w:t>
      </w:r>
      <w:r>
        <w:rPr>
          <w:rFonts w:asciiTheme="majorBidi" w:hAnsiTheme="majorBidi" w:cstheme="majorBidi"/>
          <w:i/>
          <w:iCs/>
        </w:rPr>
        <w:t>K</w:t>
      </w:r>
      <w:r>
        <w:rPr>
          <w:rFonts w:asciiTheme="majorBidi" w:hAnsiTheme="majorBidi" w:cstheme="majorBidi"/>
        </w:rPr>
        <w:t xml:space="preserve">, </w:t>
      </w:r>
      <w:r>
        <w:rPr>
          <w:rFonts w:asciiTheme="majorBidi" w:hAnsiTheme="majorBidi" w:cstheme="majorBidi"/>
          <w:i/>
          <w:iCs/>
        </w:rPr>
        <w:t>t</w:t>
      </w:r>
      <w:r>
        <w:rPr>
          <w:rFonts w:asciiTheme="majorBidi" w:hAnsiTheme="majorBidi" w:cstheme="majorBidi"/>
          <w:vertAlign w:val="subscript"/>
        </w:rPr>
        <w:t>0</w:t>
      </w:r>
      <w:r>
        <w:rPr>
          <w:rFonts w:asciiTheme="majorBidi" w:hAnsiTheme="majorBidi" w:cstheme="majorBidi"/>
        </w:rPr>
        <w:t xml:space="preserve">, M, F, the intercept “a” and the slope “b”, in accordance with the FAO FiSAT-II software program, following Gayanilo </w:t>
      </w:r>
      <w:r>
        <w:rPr>
          <w:rFonts w:asciiTheme="majorBidi" w:hAnsiTheme="majorBidi" w:cstheme="majorBidi"/>
          <w:i/>
          <w:iCs/>
        </w:rPr>
        <w:t>et al</w:t>
      </w:r>
      <w:r>
        <w:rPr>
          <w:rFonts w:asciiTheme="majorBidi" w:hAnsiTheme="majorBidi" w:cstheme="majorBidi"/>
        </w:rPr>
        <w:t>., (2005).</w:t>
      </w:r>
    </w:p>
    <w:p w14:paraId="47EC76EE">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Biological reference points</w:t>
      </w:r>
      <w:r>
        <w:rPr>
          <w:rFonts w:asciiTheme="majorBidi" w:hAnsiTheme="majorBidi" w:eastAsiaTheme="minorHAnsi" w:cstheme="majorBidi"/>
        </w:rPr>
        <w:t xml:space="preserve"> were estimated using Beverton and Holt's model of relative yield per recruit (Y'/R) and relative biomass per recruit (B'/R), utilizing the knife-edge selection procedure as functions of exploitation rate, incorporated into the FiSAT II software (Gayanilo </w:t>
      </w:r>
      <w:r>
        <w:rPr>
          <w:rFonts w:asciiTheme="majorBidi" w:hAnsiTheme="majorBidi" w:eastAsiaTheme="minorHAnsi" w:cstheme="majorBidi"/>
          <w:i/>
          <w:iCs/>
        </w:rPr>
        <w:t>et. al.,</w:t>
      </w:r>
      <w:r>
        <w:rPr>
          <w:rFonts w:asciiTheme="majorBidi" w:hAnsiTheme="majorBidi" w:eastAsiaTheme="minorHAnsi" w:cstheme="majorBidi"/>
        </w:rPr>
        <w:t xml:space="preserve"> 2005). The length at optimum cohort biomass or yield pre-recruitment (</w:t>
      </w:r>
      <w:r>
        <w:rPr>
          <w:rFonts w:asciiTheme="majorBidi" w:hAnsiTheme="majorBidi" w:eastAsiaTheme="minorHAnsi" w:cstheme="majorBidi"/>
          <w:i/>
          <w:iCs/>
        </w:rPr>
        <w:t>L</w:t>
      </w:r>
      <w:r>
        <w:rPr>
          <w:rFonts w:asciiTheme="majorBidi" w:hAnsiTheme="majorBidi" w:eastAsiaTheme="minorHAnsi" w:cstheme="majorBidi"/>
          <w:i/>
          <w:iCs/>
          <w:vertAlign w:val="subscript"/>
        </w:rPr>
        <w:t>opt</w:t>
      </w:r>
      <w:r>
        <w:rPr>
          <w:rFonts w:asciiTheme="majorBidi" w:hAnsiTheme="majorBidi" w:eastAsiaTheme="minorHAnsi" w:cstheme="majorBidi"/>
        </w:rPr>
        <w:t xml:space="preserve">) was estimated from </w:t>
      </w:r>
      <w:r>
        <w:rPr>
          <w:rFonts w:asciiTheme="majorBidi" w:hAnsiTheme="majorBidi" w:eastAsiaTheme="minorHAnsi" w:cstheme="majorBidi"/>
          <w:i/>
          <w:iCs/>
        </w:rPr>
        <w:t>L∞</w:t>
      </w:r>
      <w:r>
        <w:rPr>
          <w:rFonts w:asciiTheme="majorBidi" w:hAnsiTheme="majorBidi" w:eastAsiaTheme="minorHAnsi" w:cstheme="majorBidi"/>
        </w:rPr>
        <w:t xml:space="preserve">, </w:t>
      </w:r>
      <w:r>
        <w:rPr>
          <w:rFonts w:asciiTheme="majorBidi" w:hAnsiTheme="majorBidi" w:eastAsiaTheme="minorHAnsi" w:cstheme="majorBidi"/>
          <w:i/>
          <w:iCs/>
        </w:rPr>
        <w:t>K</w:t>
      </w:r>
      <w:r>
        <w:rPr>
          <w:rFonts w:asciiTheme="majorBidi" w:hAnsiTheme="majorBidi" w:eastAsiaTheme="minorHAnsi" w:cstheme="majorBidi"/>
        </w:rPr>
        <w:t xml:space="preserve">, and M using the Beverton (1992) formula: </w:t>
      </w:r>
    </w:p>
    <w:p w14:paraId="559B6CB7">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i/>
          <w:iCs/>
          <w:vertAlign w:val="subscript"/>
        </w:rPr>
        <w:t>opt</w:t>
      </w:r>
      <w:r>
        <w:rPr>
          <w:rFonts w:asciiTheme="majorBidi" w:hAnsiTheme="majorBidi" w:eastAsiaTheme="minorHAnsi" w:cstheme="majorBidi"/>
        </w:rPr>
        <w:t xml:space="preserve"> =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(3÷3 + M÷</w:t>
      </w:r>
      <w:r>
        <w:rPr>
          <w:rFonts w:asciiTheme="majorBidi" w:hAnsiTheme="majorBidi" w:eastAsiaTheme="minorHAnsi" w:cstheme="majorBidi"/>
          <w:i/>
          <w:iCs/>
        </w:rPr>
        <w:t>K</w:t>
      </w:r>
      <w:r>
        <w:rPr>
          <w:rFonts w:asciiTheme="majorBidi" w:hAnsiTheme="majorBidi" w:eastAsiaTheme="minorHAnsi" w:cstheme="majorBidi"/>
        </w:rPr>
        <w:t>)</w:t>
      </w:r>
    </w:p>
    <w:p w14:paraId="46A683A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Data analysis</w:t>
      </w:r>
      <w:r>
        <w:rPr>
          <w:rFonts w:asciiTheme="majorBidi" w:hAnsiTheme="majorBidi" w:eastAsiaTheme="minorHAnsi" w:cstheme="majorBidi"/>
        </w:rPr>
        <w:t>:</w:t>
      </w:r>
    </w:p>
    <w:p w14:paraId="7D16132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Excel spreadsheets from Microsoft Office (2016) were used to determine the length-weight relationship. Following Gayanilo </w:t>
      </w:r>
      <w:r>
        <w:rPr>
          <w:rFonts w:asciiTheme="majorBidi" w:hAnsiTheme="majorBidi" w:eastAsiaTheme="minorHAnsi" w:cstheme="majorBidi"/>
          <w:i/>
          <w:iCs/>
        </w:rPr>
        <w:t>et. al</w:t>
      </w:r>
      <w:r>
        <w:rPr>
          <w:rFonts w:asciiTheme="majorBidi" w:hAnsiTheme="majorBidi" w:eastAsiaTheme="minorHAnsi" w:cstheme="majorBidi"/>
        </w:rPr>
        <w:t>., (1996) and Pauly and Morgan (1987), the FAO-ICLRAM Stock Assessment Tool (FiSAT) software was used to estimate population parameters.</w:t>
      </w:r>
    </w:p>
    <w:p w14:paraId="52E8DB4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Results</w:t>
      </w:r>
      <w:r>
        <w:rPr>
          <w:rFonts w:asciiTheme="majorBidi" w:hAnsiTheme="majorBidi" w:eastAsiaTheme="minorHAnsi" w:cstheme="majorBidi"/>
        </w:rPr>
        <w:t>:</w:t>
      </w:r>
    </w:p>
    <w:p w14:paraId="4A317AE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In the current study, 500 specimens of </w:t>
      </w:r>
      <w:r>
        <w:rPr>
          <w:rFonts w:asciiTheme="majorBidi" w:hAnsiTheme="majorBidi" w:eastAsiaTheme="minorHAnsi" w:cstheme="majorBidi"/>
          <w:i/>
          <w:iCs/>
        </w:rPr>
        <w:t>L. senegalensis</w:t>
      </w:r>
      <w:r>
        <w:rPr>
          <w:rFonts w:asciiTheme="majorBidi" w:hAnsiTheme="majorBidi" w:eastAsiaTheme="minorHAnsi" w:cstheme="majorBidi"/>
        </w:rPr>
        <w:t xml:space="preserve"> were randomly collected monthly from artisanal fishermen's boats between September 2019 and January 2020. The total length of the fishes ranged from 21.2 cm to 47.5 cm, as shown in Fig. (1).</w:t>
      </w:r>
    </w:p>
    <w:p w14:paraId="6745B627">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5021580" cy="1635125"/>
            <wp:effectExtent l="0" t="0" r="7620" b="3175"/>
            <wp:docPr id="1" name="Picture 1" descr="E:\Hozifa data\Labeo Upper\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Hozifa data\Labeo Upper\4.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21580" cy="1635125"/>
                    </a:xfrm>
                    <a:prstGeom prst="rect">
                      <a:avLst/>
                    </a:prstGeom>
                    <a:noFill/>
                    <a:ln>
                      <a:noFill/>
                    </a:ln>
                  </pic:spPr>
                </pic:pic>
              </a:graphicData>
            </a:graphic>
          </wp:inline>
        </w:drawing>
      </w:r>
    </w:p>
    <w:p w14:paraId="7869F11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Fig. (1). Total length distribution of </w:t>
      </w:r>
      <w:r>
        <w:rPr>
          <w:rFonts w:asciiTheme="majorBidi" w:hAnsiTheme="majorBidi" w:eastAsiaTheme="minorHAnsi" w:cstheme="majorBidi"/>
          <w:i/>
          <w:iCs/>
        </w:rPr>
        <w:t>Labeo senegalensis</w:t>
      </w:r>
      <w:r>
        <w:rPr>
          <w:rFonts w:asciiTheme="majorBidi" w:hAnsiTheme="majorBidi" w:eastAsiaTheme="minorHAnsi" w:cstheme="majorBidi"/>
        </w:rPr>
        <w:t xml:space="preserve"> in Upper Atbara and Settit Dam complex.</w:t>
      </w:r>
    </w:p>
    <w:p w14:paraId="1354353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Length-weight relationship of </w:t>
      </w:r>
      <w:r>
        <w:rPr>
          <w:rFonts w:asciiTheme="majorBidi" w:hAnsiTheme="majorBidi" w:eastAsiaTheme="minorHAnsi" w:cstheme="majorBidi"/>
          <w:i/>
          <w:iCs/>
        </w:rPr>
        <w:t>L. senegalensis</w:t>
      </w:r>
      <w:r>
        <w:rPr>
          <w:rFonts w:asciiTheme="majorBidi" w:hAnsiTheme="majorBidi" w:eastAsiaTheme="minorHAnsi" w:cstheme="majorBidi"/>
        </w:rPr>
        <w:t xml:space="preserve"> exhibited a strong correlation (</w:t>
      </w:r>
      <w:r>
        <w:rPr>
          <w:rFonts w:asciiTheme="majorBidi" w:hAnsiTheme="majorBidi" w:eastAsiaTheme="minorHAnsi" w:cstheme="majorBidi"/>
          <w:i/>
          <w:iCs/>
        </w:rPr>
        <w:t>r</w:t>
      </w:r>
      <w:r>
        <w:rPr>
          <w:rFonts w:asciiTheme="majorBidi" w:hAnsiTheme="majorBidi" w:eastAsiaTheme="minorHAnsi" w:cstheme="majorBidi"/>
        </w:rPr>
        <w:t>= 0.947), indicating a negative allometric growth pattern with a b-value of 2.847, as shown in Fig (2).</w:t>
      </w:r>
    </w:p>
    <w:p w14:paraId="208B2C1F">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46863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28554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Fig. (2). Length-weight relationship and correlation of </w:t>
      </w:r>
      <w:r>
        <w:rPr>
          <w:rFonts w:asciiTheme="majorBidi" w:hAnsiTheme="majorBidi" w:eastAsiaTheme="minorHAnsi" w:cstheme="majorBidi"/>
          <w:i/>
          <w:iCs/>
        </w:rPr>
        <w:t>Labeo senegalensis</w:t>
      </w:r>
      <w:r>
        <w:rPr>
          <w:rFonts w:asciiTheme="majorBidi" w:hAnsiTheme="majorBidi" w:eastAsiaTheme="minorHAnsi" w:cstheme="majorBidi"/>
        </w:rPr>
        <w:t xml:space="preserve"> from Upper Atbara and Settit dam complex.</w:t>
      </w:r>
    </w:p>
    <w:p w14:paraId="245BC76E">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von Bertalanffy growth parameters were calculated as follows: asymptotic length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of 47.5 cm, a growth coefficient (</w:t>
      </w:r>
      <w:r>
        <w:rPr>
          <w:rFonts w:asciiTheme="majorBidi" w:hAnsiTheme="majorBidi" w:eastAsiaTheme="minorHAnsi" w:cstheme="majorBidi"/>
          <w:i/>
          <w:iCs/>
        </w:rPr>
        <w:t>K</w:t>
      </w:r>
      <w:r>
        <w:rPr>
          <w:rFonts w:asciiTheme="majorBidi" w:hAnsiTheme="majorBidi" w:eastAsiaTheme="minorHAnsi" w:cstheme="majorBidi"/>
        </w:rPr>
        <w:t>) of 0.86 yr⁻¹, and a theoretical age at length zero (</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xml:space="preserve">) of -0.786 yr -1 (Fig. 3 and Table 1). Total mortality (Z) was estimated at 2.29 yr⁻¹, natural mortality (M) at 1.38 yr⁻¹ and fishing mortality (F) at 0.91 yr⁻¹; with an exploitation rate (E) of 0.4 yr⁻¹ as shown in (Fig. 4 and Table 1). </w:t>
      </w:r>
    </w:p>
    <w:p w14:paraId="6FFE8380">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5726430" cy="2611755"/>
            <wp:effectExtent l="0" t="0" r="7620" b="0"/>
            <wp:docPr id="3" name="Picture 3" descr="E:\Hozifa data\Labeo Upper\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Hozifa data\Labeo Upper\2.1.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26430" cy="2611755"/>
                    </a:xfrm>
                    <a:prstGeom prst="rect">
                      <a:avLst/>
                    </a:prstGeom>
                    <a:noFill/>
                    <a:ln>
                      <a:noFill/>
                    </a:ln>
                  </pic:spPr>
                </pic:pic>
              </a:graphicData>
            </a:graphic>
          </wp:inline>
        </w:drawing>
      </w:r>
    </w:p>
    <w:p w14:paraId="1207BCB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Fig. (3) von Bertalanffy growth curve</w:t>
      </w:r>
    </w:p>
    <w:p w14:paraId="4DDF6BA8">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3970020" cy="2828290"/>
            <wp:effectExtent l="0" t="0" r="0" b="0"/>
            <wp:docPr id="4" name="Picture 4" descr="E:\Hozifa data\Labeo Upper\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Hozifa data\Labeo Upper\7.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70020" cy="2828290"/>
                    </a:xfrm>
                    <a:prstGeom prst="rect">
                      <a:avLst/>
                    </a:prstGeom>
                    <a:noFill/>
                    <a:ln>
                      <a:noFill/>
                    </a:ln>
                  </pic:spPr>
                </pic:pic>
              </a:graphicData>
            </a:graphic>
          </wp:inline>
        </w:drawing>
      </w:r>
    </w:p>
    <w:p w14:paraId="0F31E83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Fig. (4). Von Bertalanffy growth curve (a)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47.5 cm; </w:t>
      </w:r>
      <w:r>
        <w:rPr>
          <w:rFonts w:asciiTheme="majorBidi" w:hAnsiTheme="majorBidi" w:eastAsiaTheme="minorHAnsi" w:cstheme="majorBidi"/>
          <w:i/>
          <w:iCs/>
        </w:rPr>
        <w:t>K</w:t>
      </w:r>
      <w:r>
        <w:rPr>
          <w:rFonts w:asciiTheme="majorBidi" w:hAnsiTheme="majorBidi" w:eastAsiaTheme="minorHAnsi" w:cstheme="majorBidi"/>
        </w:rPr>
        <w:t xml:space="preserve"> = 0.86 yr</w:t>
      </w:r>
      <w:r>
        <w:rPr>
          <w:rFonts w:asciiTheme="majorBidi" w:hAnsiTheme="majorBidi" w:eastAsiaTheme="minorHAnsi" w:cstheme="majorBidi"/>
          <w:vertAlign w:val="superscript"/>
        </w:rPr>
        <w:t>-1</w:t>
      </w:r>
      <w:r>
        <w:rPr>
          <w:rFonts w:asciiTheme="majorBidi" w:hAnsiTheme="majorBidi" w:eastAsiaTheme="minorHAnsi" w:cstheme="majorBidi"/>
        </w:rPr>
        <w:t xml:space="preserve">; on length-frequency distribution and linearized length-converted catch curve of </w:t>
      </w:r>
      <w:r>
        <w:rPr>
          <w:rFonts w:asciiTheme="majorBidi" w:hAnsiTheme="majorBidi" w:eastAsiaTheme="minorHAnsi" w:cstheme="majorBidi"/>
          <w:i/>
          <w:iCs/>
        </w:rPr>
        <w:t>L. senegalensis</w:t>
      </w:r>
      <w:r>
        <w:rPr>
          <w:rFonts w:asciiTheme="majorBidi" w:hAnsiTheme="majorBidi" w:eastAsiaTheme="minorHAnsi" w:cstheme="majorBidi"/>
        </w:rPr>
        <w:t xml:space="preserve"> in Upper Atbara and Settit Dam complex.</w:t>
      </w:r>
    </w:p>
    <w:p w14:paraId="08A589AE">
      <w:pPr>
        <w:pStyle w:val="13"/>
        <w:spacing w:before="120" w:beforeAutospacing="0" w:after="120" w:afterAutospacing="0" w:line="360" w:lineRule="auto"/>
        <w:contextualSpacing/>
        <w:jc w:val="both"/>
        <w:rPr>
          <w:rFonts w:asciiTheme="majorBidi" w:hAnsiTheme="majorBidi" w:cstheme="majorBidi"/>
          <w:color w:val="000000"/>
        </w:rPr>
      </w:pPr>
      <w:r>
        <w:rPr>
          <w:rFonts w:asciiTheme="majorBidi" w:hAnsiTheme="majorBidi" w:cstheme="majorBidi"/>
          <w:color w:val="000000"/>
        </w:rPr>
        <w:t>The growth performance index, the phi-prime</w:t>
      </w:r>
      <w:r>
        <w:rPr>
          <w:rFonts w:asciiTheme="majorBidi" w:hAnsiTheme="majorBidi" w:cstheme="majorBidi"/>
          <w:color w:val="000000"/>
          <w:shd w:val="clear" w:color="auto" w:fill="FFFFFF"/>
        </w:rPr>
        <w:t xml:space="preserve"> (</w:t>
      </w:r>
      <w:r>
        <w:rPr>
          <w:rFonts w:asciiTheme="majorBidi" w:hAnsiTheme="majorBidi" w:cstheme="majorBidi"/>
          <w:color w:val="000000"/>
        </w:rPr>
        <w:t>Փ'</w:t>
      </w:r>
      <w:r>
        <w:rPr>
          <w:rFonts w:asciiTheme="majorBidi" w:hAnsiTheme="majorBidi" w:cstheme="majorBidi"/>
          <w:color w:val="000000"/>
          <w:shd w:val="clear" w:color="auto" w:fill="FFFFFF"/>
        </w:rPr>
        <w:t>)</w:t>
      </w:r>
      <w:r>
        <w:rPr>
          <w:rFonts w:asciiTheme="majorBidi" w:hAnsiTheme="majorBidi" w:cstheme="majorBidi"/>
          <w:color w:val="000000"/>
        </w:rPr>
        <w:t xml:space="preserve">, is based on both the </w:t>
      </w:r>
      <w:r>
        <w:rPr>
          <w:rFonts w:asciiTheme="majorBidi" w:hAnsiTheme="majorBidi" w:cstheme="majorBidi"/>
          <w:i/>
          <w:iCs/>
          <w:color w:val="000000"/>
        </w:rPr>
        <w:t>L</w:t>
      </w:r>
      <w:r>
        <w:rPr>
          <w:rFonts w:asciiTheme="majorBidi" w:hAnsiTheme="majorBidi" w:cstheme="majorBidi"/>
          <w:i/>
          <w:iCs/>
          <w:color w:val="000000"/>
          <w:vertAlign w:val="subscript"/>
        </w:rPr>
        <w:t>∞</w:t>
      </w:r>
      <w:r>
        <w:rPr>
          <w:rFonts w:asciiTheme="majorBidi" w:hAnsiTheme="majorBidi" w:cstheme="majorBidi"/>
          <w:color w:val="000000"/>
        </w:rPr>
        <w:t xml:space="preserve"> and </w:t>
      </w:r>
      <w:r>
        <w:rPr>
          <w:rFonts w:asciiTheme="majorBidi" w:hAnsiTheme="majorBidi" w:cstheme="majorBidi"/>
          <w:i/>
          <w:iCs/>
          <w:color w:val="000000"/>
        </w:rPr>
        <w:t>K</w:t>
      </w:r>
      <w:r>
        <w:rPr>
          <w:rFonts w:asciiTheme="majorBidi" w:hAnsiTheme="majorBidi" w:cstheme="majorBidi"/>
          <w:color w:val="000000"/>
        </w:rPr>
        <w:t xml:space="preserve"> parameters of the von Bertalanffy function (</w:t>
      </w:r>
      <w:r>
        <w:rPr>
          <w:rFonts w:asciiTheme="majorBidi" w:hAnsiTheme="majorBidi" w:cstheme="majorBidi"/>
          <w:color w:val="000000"/>
          <w:shd w:val="clear" w:color="auto" w:fill="FFFFFF"/>
        </w:rPr>
        <w:t>VBGF),</w:t>
      </w:r>
      <w:r>
        <w:rPr>
          <w:rFonts w:asciiTheme="majorBidi" w:hAnsiTheme="majorBidi" w:cstheme="majorBidi"/>
          <w:color w:val="000000"/>
        </w:rPr>
        <w:t xml:space="preserve"> estimated according to Vakily (1988):</w:t>
      </w:r>
    </w:p>
    <w:p w14:paraId="519F7E93">
      <w:pPr>
        <w:pStyle w:val="13"/>
        <w:spacing w:before="120" w:beforeAutospacing="0" w:after="120" w:afterAutospacing="0" w:line="360" w:lineRule="auto"/>
        <w:ind w:left="825"/>
        <w:contextualSpacing/>
        <w:jc w:val="center"/>
        <w:rPr>
          <w:rFonts w:asciiTheme="majorBidi" w:hAnsiTheme="majorBidi" w:cstheme="majorBidi"/>
          <w:color w:val="000000"/>
        </w:rPr>
      </w:pPr>
      <w:r>
        <w:t xml:space="preserve">Փ' </w:t>
      </w:r>
      <w:r>
        <w:rPr>
          <w:rFonts w:asciiTheme="majorBidi" w:hAnsiTheme="majorBidi" w:cstheme="majorBidi"/>
          <w:color w:val="000000"/>
        </w:rPr>
        <w:t xml:space="preserve">= log </w:t>
      </w:r>
      <w:r>
        <w:rPr>
          <w:rFonts w:asciiTheme="majorBidi" w:hAnsiTheme="majorBidi" w:cstheme="majorBidi"/>
          <w:i/>
          <w:iCs/>
          <w:color w:val="000000"/>
        </w:rPr>
        <w:t>K</w:t>
      </w:r>
      <w:r>
        <w:rPr>
          <w:rFonts w:asciiTheme="majorBidi" w:hAnsiTheme="majorBidi" w:cstheme="majorBidi"/>
          <w:color w:val="000000"/>
        </w:rPr>
        <w:t xml:space="preserve"> + 2 * log </w:t>
      </w:r>
      <w:r>
        <w:rPr>
          <w:rFonts w:asciiTheme="majorBidi" w:hAnsiTheme="majorBidi" w:cstheme="majorBidi"/>
          <w:i/>
          <w:iCs/>
          <w:color w:val="000000"/>
        </w:rPr>
        <w:t>L</w:t>
      </w:r>
      <w:r>
        <w:rPr>
          <w:rFonts w:asciiTheme="majorBidi" w:hAnsiTheme="majorBidi" w:cstheme="majorBidi"/>
          <w:i/>
          <w:iCs/>
          <w:color w:val="000000"/>
          <w:vertAlign w:val="subscript"/>
        </w:rPr>
        <w:t>∞</w:t>
      </w:r>
    </w:p>
    <w:p w14:paraId="6EC7A73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In the present investigation, </w:t>
      </w:r>
      <w:r>
        <w:rPr>
          <w:rFonts w:asciiTheme="majorBidi" w:hAnsiTheme="majorBidi" w:eastAsiaTheme="minorHAnsi" w:cstheme="majorBidi"/>
          <w:i/>
          <w:iCs/>
        </w:rPr>
        <w:t>Labeo senegalensis</w:t>
      </w:r>
      <w:r>
        <w:rPr>
          <w:rFonts w:asciiTheme="majorBidi" w:hAnsiTheme="majorBidi" w:eastAsiaTheme="minorHAnsi" w:cstheme="majorBidi"/>
        </w:rPr>
        <w:t xml:space="preserve"> exhibited one round of recruitment with a peak from Jun to August, which coincided with the rainy season as shown in Fig. (5).</w:t>
      </w:r>
    </w:p>
    <w:p w14:paraId="7C67C731">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3068955" cy="2789555"/>
            <wp:effectExtent l="0" t="0" r="0" b="0"/>
            <wp:docPr id="5" name="Picture 5" descr="E:\Hozifa data\Labeo Upper\re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Hozifa data\Labeo Upper\rec.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68955" cy="2789555"/>
                    </a:xfrm>
                    <a:prstGeom prst="rect">
                      <a:avLst/>
                    </a:prstGeom>
                    <a:noFill/>
                    <a:ln>
                      <a:noFill/>
                    </a:ln>
                  </pic:spPr>
                </pic:pic>
              </a:graphicData>
            </a:graphic>
          </wp:inline>
        </w:drawing>
      </w:r>
    </w:p>
    <w:p w14:paraId="3451A2B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Fig. (5). The seasonal recruitment pattern of </w:t>
      </w:r>
      <w:r>
        <w:rPr>
          <w:rFonts w:asciiTheme="majorBidi" w:hAnsiTheme="majorBidi" w:eastAsiaTheme="minorHAnsi" w:cstheme="majorBidi"/>
          <w:i/>
          <w:iCs/>
        </w:rPr>
        <w:t>L. senegalensis</w:t>
      </w:r>
      <w:r>
        <w:rPr>
          <w:rFonts w:asciiTheme="majorBidi" w:hAnsiTheme="majorBidi" w:eastAsiaTheme="minorHAnsi" w:cstheme="majorBidi"/>
        </w:rPr>
        <w:t xml:space="preserve"> in Upper Atbara and Settit Dam complex.</w:t>
      </w:r>
    </w:p>
    <w:p w14:paraId="3ADBAFA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probability of capture of this species indicated that the length at first capture (</w:t>
      </w:r>
      <w:r>
        <w:rPr>
          <w:rFonts w:asciiTheme="majorBidi" w:hAnsiTheme="majorBidi" w:eastAsiaTheme="minorHAnsi" w:cstheme="majorBidi"/>
          <w:i/>
          <w:iCs/>
        </w:rPr>
        <w:t>L</w:t>
      </w:r>
      <w:r>
        <w:rPr>
          <w:rFonts w:asciiTheme="majorBidi" w:hAnsiTheme="majorBidi" w:eastAsiaTheme="minorHAnsi" w:cstheme="majorBidi"/>
          <w:vertAlign w:val="subscript"/>
        </w:rPr>
        <w:t>c</w:t>
      </w:r>
      <w:r>
        <w:rPr>
          <w:rFonts w:asciiTheme="majorBidi" w:hAnsiTheme="majorBidi" w:eastAsiaTheme="minorHAnsi" w:cstheme="majorBidi"/>
        </w:rPr>
        <w:t>) was 24.02 cm, and the length at vulnerable catch at of 25%, 50%, and 75% was 16.56 cm, 20.39 cm, and 24.14 cm respectively, as presented in Fig. (6) and Table (1).</w:t>
      </w:r>
    </w:p>
    <w:p w14:paraId="18ED7DF8">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3030220" cy="2828290"/>
            <wp:effectExtent l="0" t="0" r="0" b="0"/>
            <wp:docPr id="6" name="Picture 6" descr="E:\Hozifa data\Labeo Upper\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Hozifa data\Labeo Upper\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30220" cy="2828290"/>
                    </a:xfrm>
                    <a:prstGeom prst="rect">
                      <a:avLst/>
                    </a:prstGeom>
                    <a:noFill/>
                    <a:ln>
                      <a:noFill/>
                    </a:ln>
                  </pic:spPr>
                </pic:pic>
              </a:graphicData>
            </a:graphic>
          </wp:inline>
        </w:drawing>
      </w:r>
    </w:p>
    <w:p w14:paraId="6A065BB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Fig. (6). The selective curve shows the probability of capture.</w:t>
      </w:r>
    </w:p>
    <w:p w14:paraId="10F8BC3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maximum relative yield per recruit (Y/R) was obtained at an exploitation rate (E</w:t>
      </w:r>
      <w:r>
        <w:rPr>
          <w:rFonts w:asciiTheme="majorBidi" w:hAnsiTheme="majorBidi" w:eastAsiaTheme="minorHAnsi" w:cstheme="majorBidi"/>
          <w:i/>
          <w:iCs/>
          <w:vertAlign w:val="subscript"/>
        </w:rPr>
        <w:t>max</w:t>
      </w:r>
      <w:r>
        <w:rPr>
          <w:rFonts w:asciiTheme="majorBidi" w:hAnsiTheme="majorBidi" w:eastAsiaTheme="minorHAnsi" w:cstheme="majorBidi"/>
        </w:rPr>
        <w:t>) of 0.421. The exploitation rates corresponding to 10% and 50% of the maximum Y/R (E</w:t>
      </w:r>
      <w:r>
        <w:rPr>
          <w:rFonts w:asciiTheme="majorBidi" w:hAnsiTheme="majorBidi" w:eastAsiaTheme="minorHAnsi" w:cstheme="majorBidi"/>
          <w:vertAlign w:val="subscript"/>
        </w:rPr>
        <w:t>01</w:t>
      </w:r>
      <w:r>
        <w:rPr>
          <w:rFonts w:asciiTheme="majorBidi" w:hAnsiTheme="majorBidi" w:eastAsiaTheme="minorHAnsi" w:cstheme="majorBidi"/>
        </w:rPr>
        <w:t xml:space="preserve"> and E</w:t>
      </w:r>
      <w:r>
        <w:rPr>
          <w:rFonts w:asciiTheme="majorBidi" w:hAnsiTheme="majorBidi" w:eastAsiaTheme="minorHAnsi" w:cstheme="majorBidi"/>
          <w:vertAlign w:val="subscript"/>
        </w:rPr>
        <w:t>05</w:t>
      </w:r>
      <w:r>
        <w:rPr>
          <w:rFonts w:asciiTheme="majorBidi" w:hAnsiTheme="majorBidi" w:eastAsiaTheme="minorHAnsi" w:cstheme="majorBidi"/>
        </w:rPr>
        <w:t xml:space="preserve">) were estimated as 0.355 and 0.278, respectively; whereas </w:t>
      </w:r>
      <w:r>
        <w:rPr>
          <w:rFonts w:asciiTheme="majorBidi" w:hAnsiTheme="majorBidi" w:eastAsiaTheme="minorHAnsi" w:cstheme="majorBidi"/>
          <w:i/>
          <w:iCs/>
        </w:rPr>
        <w:t>L</w:t>
      </w:r>
      <w:r>
        <w:rPr>
          <w:rFonts w:asciiTheme="majorBidi" w:hAnsiTheme="majorBidi" w:eastAsiaTheme="minorHAnsi" w:cstheme="majorBidi"/>
          <w:vertAlign w:val="subscript"/>
        </w:rPr>
        <w:t>c</w:t>
      </w:r>
      <w:r>
        <w:rPr>
          <w:rFonts w:asciiTheme="majorBidi" w:hAnsiTheme="majorBidi" w:eastAsiaTheme="minorHAnsi" w:cstheme="majorBidi"/>
        </w:rPr>
        <w:t>/</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0.05 and </w:t>
      </w:r>
      <w:r>
        <w:rPr>
          <w:rFonts w:asciiTheme="majorBidi" w:hAnsiTheme="majorBidi" w:cstheme="majorBidi"/>
          <w:color w:val="111111"/>
          <w:kern w:val="36"/>
        </w:rPr>
        <w:t xml:space="preserve">the probability distribution of length </w:t>
      </w:r>
      <w:r>
        <w:rPr>
          <w:rFonts w:asciiTheme="majorBidi" w:hAnsiTheme="majorBidi" w:eastAsiaTheme="minorHAnsi" w:cstheme="majorBidi"/>
        </w:rPr>
        <w:t>M/K = 1. The calculated length at optimum cohort biomass (</w:t>
      </w:r>
      <w:r>
        <w:rPr>
          <w:rFonts w:asciiTheme="majorBidi" w:hAnsiTheme="majorBidi" w:eastAsiaTheme="minorHAnsi" w:cstheme="majorBidi"/>
          <w:i/>
          <w:iCs/>
        </w:rPr>
        <w:t>L</w:t>
      </w:r>
      <w:r>
        <w:rPr>
          <w:rFonts w:asciiTheme="majorBidi" w:hAnsiTheme="majorBidi" w:eastAsiaTheme="minorHAnsi" w:cstheme="majorBidi"/>
          <w:i/>
          <w:iCs/>
          <w:vertAlign w:val="subscript"/>
        </w:rPr>
        <w:t>opt</w:t>
      </w:r>
      <w:r>
        <w:rPr>
          <w:rFonts w:asciiTheme="majorBidi" w:hAnsiTheme="majorBidi" w:eastAsiaTheme="minorHAnsi" w:cstheme="majorBidi"/>
        </w:rPr>
        <w:t>) was 30.78 cm (TL).</w:t>
      </w:r>
    </w:p>
    <w:p w14:paraId="315A64AD">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3401695" cy="2828290"/>
            <wp:effectExtent l="0" t="0" r="8255" b="0"/>
            <wp:docPr id="7" name="Picture 7" descr="E:\Hozifa data\Labeo Upper\y 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Hozifa data\Labeo Upper\y b.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401695" cy="2828290"/>
                    </a:xfrm>
                    <a:prstGeom prst="rect">
                      <a:avLst/>
                    </a:prstGeom>
                    <a:noFill/>
                    <a:ln>
                      <a:noFill/>
                    </a:ln>
                  </pic:spPr>
                </pic:pic>
              </a:graphicData>
            </a:graphic>
          </wp:inline>
        </w:drawing>
      </w:r>
    </w:p>
    <w:p w14:paraId="73D505A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Fig. (7).  Beverton and Holt's relative yield per recruitment (Y/R) and biomass per recruit (B/R) of the </w:t>
      </w:r>
      <w:r>
        <w:rPr>
          <w:rFonts w:asciiTheme="majorBidi" w:hAnsiTheme="majorBidi" w:eastAsiaTheme="minorHAnsi" w:cstheme="majorBidi"/>
          <w:i/>
          <w:iCs/>
        </w:rPr>
        <w:t>L. senegalensis</w:t>
      </w:r>
      <w:r>
        <w:rPr>
          <w:rFonts w:asciiTheme="majorBidi" w:hAnsiTheme="majorBidi" w:eastAsiaTheme="minorHAnsi" w:cstheme="majorBidi"/>
        </w:rPr>
        <w:t xml:space="preserve"> in the Upper Atbara and Settit Dam complex.</w:t>
      </w:r>
    </w:p>
    <w:p w14:paraId="4E45E7F3">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3773805" cy="2603500"/>
            <wp:effectExtent l="0" t="0" r="0" b="6350"/>
            <wp:docPr id="8" name="Picture 8" descr="E:\Hozifa data\Labeo Upper\v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Hozifa data\Labeo Upper\vpa.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773805" cy="2603500"/>
                    </a:xfrm>
                    <a:prstGeom prst="rect">
                      <a:avLst/>
                    </a:prstGeom>
                    <a:noFill/>
                    <a:ln>
                      <a:noFill/>
                    </a:ln>
                  </pic:spPr>
                </pic:pic>
              </a:graphicData>
            </a:graphic>
          </wp:inline>
        </w:drawing>
      </w:r>
    </w:p>
    <w:p w14:paraId="6AE035DC">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Fig. (8). Length-structured virtual population analysis of </w:t>
      </w:r>
      <w:r>
        <w:rPr>
          <w:rFonts w:asciiTheme="majorBidi" w:hAnsiTheme="majorBidi" w:eastAsiaTheme="minorHAnsi" w:cstheme="majorBidi"/>
          <w:i/>
          <w:iCs/>
        </w:rPr>
        <w:t>L. senegalensis</w:t>
      </w:r>
      <w:r>
        <w:rPr>
          <w:rFonts w:asciiTheme="majorBidi" w:hAnsiTheme="majorBidi" w:eastAsiaTheme="minorHAnsi" w:cstheme="majorBidi"/>
        </w:rPr>
        <w:t xml:space="preserve"> in Upper Atbara and Sittit Dam complex.</w:t>
      </w:r>
    </w:p>
    <w:p w14:paraId="367F17E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Analysis of length-frequency data showed that the mean ± standard deviation (SD) of the asymptotic length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of the Nile carp population in the Upper Atbara and Settit Dam complex was 30 ± 0.2 cm, and the constant growth rate (</w:t>
      </w:r>
      <w:r>
        <w:rPr>
          <w:rFonts w:asciiTheme="majorBidi" w:hAnsiTheme="majorBidi" w:eastAsiaTheme="minorHAnsi" w:cstheme="majorBidi"/>
          <w:i/>
          <w:iCs/>
        </w:rPr>
        <w:t>K</w:t>
      </w:r>
      <w:r>
        <w:rPr>
          <w:rFonts w:asciiTheme="majorBidi" w:hAnsiTheme="majorBidi" w:eastAsiaTheme="minorHAnsi" w:cstheme="majorBidi"/>
        </w:rPr>
        <w:t>) of the von Bertalanffy growth function (VBGF) was 1.5 ± 0.2 year</w:t>
      </w:r>
      <w:r>
        <w:rPr>
          <w:rFonts w:asciiTheme="majorBidi" w:hAnsiTheme="majorBidi" w:eastAsiaTheme="minorHAnsi" w:cstheme="majorBidi"/>
          <w:vertAlign w:val="superscript"/>
        </w:rPr>
        <w:t>-1</w:t>
      </w:r>
      <w:r>
        <w:rPr>
          <w:rFonts w:asciiTheme="majorBidi" w:hAnsiTheme="majorBidi" w:eastAsiaTheme="minorHAnsi" w:cstheme="majorBidi"/>
        </w:rPr>
        <w:t xml:space="preserve">. The observed extreme length of </w:t>
      </w:r>
      <w:r>
        <w:rPr>
          <w:rFonts w:asciiTheme="majorBidi" w:hAnsiTheme="majorBidi" w:eastAsiaTheme="minorHAnsi" w:cstheme="majorBidi"/>
          <w:i/>
          <w:iCs/>
        </w:rPr>
        <w:t>L. senegalensis</w:t>
      </w:r>
      <w:r>
        <w:rPr>
          <w:rFonts w:asciiTheme="majorBidi" w:hAnsiTheme="majorBidi" w:eastAsiaTheme="minorHAnsi" w:cstheme="majorBidi"/>
        </w:rPr>
        <w:t xml:space="preserve"> was 45 cm, the predicted extreme length was 46.18 cm, and the range at a 95% confidence interval was 39.11 –53.25 cm (Fig. 9).</w:t>
      </w:r>
    </w:p>
    <w:p w14:paraId="44C5EB97">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drawing>
          <wp:inline distT="0" distB="0" distL="0" distR="0">
            <wp:extent cx="2672715" cy="2633980"/>
            <wp:effectExtent l="0" t="0" r="0" b="0"/>
            <wp:docPr id="9" name="Picture 9" descr="E:\Hozifa data\Labeo Upper\pro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Hozifa data\Labeo Upper\prop.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691425" cy="2652456"/>
                    </a:xfrm>
                    <a:prstGeom prst="rect">
                      <a:avLst/>
                    </a:prstGeom>
                    <a:noFill/>
                    <a:ln>
                      <a:noFill/>
                    </a:ln>
                  </pic:spPr>
                </pic:pic>
              </a:graphicData>
            </a:graphic>
          </wp:inline>
        </w:drawing>
      </w:r>
      <w:r>
        <w:rPr>
          <w:rFonts w:asciiTheme="majorBidi" w:hAnsiTheme="majorBidi" w:eastAsiaTheme="minorHAnsi" w:cstheme="majorBidi"/>
        </w:rPr>
        <w:drawing>
          <wp:inline distT="0" distB="0" distL="0" distR="0">
            <wp:extent cx="2789555" cy="2517775"/>
            <wp:effectExtent l="0" t="0" r="0" b="0"/>
            <wp:docPr id="10" name="Picture 10" descr="E:\Hozifa data\Labeo Upper\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E:\Hozifa data\Labeo Upper\9.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08823" cy="2535140"/>
                    </a:xfrm>
                    <a:prstGeom prst="rect">
                      <a:avLst/>
                    </a:prstGeom>
                    <a:noFill/>
                    <a:ln>
                      <a:noFill/>
                    </a:ln>
                  </pic:spPr>
                </pic:pic>
              </a:graphicData>
            </a:graphic>
          </wp:inline>
        </w:drawing>
      </w:r>
    </w:p>
    <w:p w14:paraId="77EBC96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Fig. (9). Predict a maximum of extreme length and Gillnet selection.</w:t>
      </w:r>
    </w:p>
    <w:p w14:paraId="2B9B8F6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Table (1): shows the biological parameter of </w:t>
      </w:r>
      <w:r>
        <w:rPr>
          <w:rFonts w:asciiTheme="majorBidi" w:hAnsiTheme="majorBidi" w:eastAsiaTheme="minorHAnsi" w:cstheme="majorBidi"/>
          <w:i/>
          <w:iCs/>
        </w:rPr>
        <w:t>L. senegalensis</w:t>
      </w:r>
      <w:r>
        <w:rPr>
          <w:rFonts w:asciiTheme="majorBidi" w:hAnsiTheme="majorBidi" w:eastAsiaTheme="minorHAnsi" w:cstheme="majorBidi"/>
        </w:rPr>
        <w:t xml:space="preserve"> from Upper Atbara and Settit D</w:t>
      </w:r>
    </w:p>
    <w:p w14:paraId="09D9217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am complex.</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7B99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9E46FF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Parameters</w:t>
            </w:r>
          </w:p>
        </w:tc>
        <w:tc>
          <w:tcPr>
            <w:tcW w:w="2337" w:type="dxa"/>
          </w:tcPr>
          <w:p w14:paraId="7BA781D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Estimated Values</w:t>
            </w:r>
          </w:p>
        </w:tc>
        <w:tc>
          <w:tcPr>
            <w:tcW w:w="2338" w:type="dxa"/>
          </w:tcPr>
          <w:p w14:paraId="642CD04C">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Parameters</w:t>
            </w:r>
          </w:p>
        </w:tc>
        <w:tc>
          <w:tcPr>
            <w:tcW w:w="2338" w:type="dxa"/>
          </w:tcPr>
          <w:p w14:paraId="263FE0A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Estimated values</w:t>
            </w:r>
          </w:p>
        </w:tc>
      </w:tr>
      <w:tr w14:paraId="37C7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6D1A72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(cm)</w:t>
            </w:r>
          </w:p>
        </w:tc>
        <w:tc>
          <w:tcPr>
            <w:tcW w:w="2337" w:type="dxa"/>
          </w:tcPr>
          <w:p w14:paraId="74074AD4">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47.5</w:t>
            </w:r>
          </w:p>
        </w:tc>
        <w:tc>
          <w:tcPr>
            <w:tcW w:w="2338" w:type="dxa"/>
          </w:tcPr>
          <w:p w14:paraId="56CE8CE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p>
        </w:tc>
        <w:tc>
          <w:tcPr>
            <w:tcW w:w="2338" w:type="dxa"/>
          </w:tcPr>
          <w:p w14:paraId="4D00EE69">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0.40</w:t>
            </w:r>
          </w:p>
        </w:tc>
      </w:tr>
      <w:tr w14:paraId="6800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860488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K</w:t>
            </w:r>
            <w:r>
              <w:rPr>
                <w:rFonts w:asciiTheme="majorBidi" w:hAnsiTheme="majorBidi" w:eastAsiaTheme="minorHAnsi" w:cstheme="majorBidi"/>
              </w:rPr>
              <w:t xml:space="preserve"> (year</w:t>
            </w:r>
            <w:r>
              <w:rPr>
                <w:rFonts w:asciiTheme="majorBidi" w:hAnsiTheme="majorBidi" w:eastAsiaTheme="minorHAnsi" w:cstheme="majorBidi"/>
                <w:vertAlign w:val="superscript"/>
              </w:rPr>
              <w:t>-1</w:t>
            </w:r>
            <w:r>
              <w:rPr>
                <w:rFonts w:asciiTheme="majorBidi" w:hAnsiTheme="majorBidi" w:eastAsiaTheme="minorHAnsi" w:cstheme="majorBidi"/>
              </w:rPr>
              <w:t>)</w:t>
            </w:r>
          </w:p>
        </w:tc>
        <w:tc>
          <w:tcPr>
            <w:tcW w:w="2337" w:type="dxa"/>
          </w:tcPr>
          <w:p w14:paraId="50CB10E6">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0.86</w:t>
            </w:r>
          </w:p>
        </w:tc>
        <w:tc>
          <w:tcPr>
            <w:tcW w:w="2338" w:type="dxa"/>
          </w:tcPr>
          <w:p w14:paraId="195427B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r>
              <w:rPr>
                <w:rFonts w:asciiTheme="majorBidi" w:hAnsiTheme="majorBidi" w:eastAsiaTheme="minorHAnsi" w:cstheme="majorBidi"/>
                <w:i/>
                <w:iCs/>
                <w:vertAlign w:val="subscript"/>
              </w:rPr>
              <w:t>max</w:t>
            </w:r>
          </w:p>
        </w:tc>
        <w:tc>
          <w:tcPr>
            <w:tcW w:w="2338" w:type="dxa"/>
          </w:tcPr>
          <w:p w14:paraId="4C836680">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0.421</w:t>
            </w:r>
          </w:p>
        </w:tc>
      </w:tr>
      <w:tr w14:paraId="64C9D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6321B9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Phi (Փ')</w:t>
            </w:r>
          </w:p>
        </w:tc>
        <w:tc>
          <w:tcPr>
            <w:tcW w:w="2337" w:type="dxa"/>
          </w:tcPr>
          <w:p w14:paraId="2B59E027">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3.28</w:t>
            </w:r>
          </w:p>
        </w:tc>
        <w:tc>
          <w:tcPr>
            <w:tcW w:w="2338" w:type="dxa"/>
          </w:tcPr>
          <w:p w14:paraId="31F8FFA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r>
              <w:rPr>
                <w:rFonts w:asciiTheme="majorBidi" w:hAnsiTheme="majorBidi" w:eastAsiaTheme="minorHAnsi" w:cstheme="majorBidi"/>
                <w:vertAlign w:val="subscript"/>
              </w:rPr>
              <w:t>01</w:t>
            </w:r>
          </w:p>
        </w:tc>
        <w:tc>
          <w:tcPr>
            <w:tcW w:w="2338" w:type="dxa"/>
          </w:tcPr>
          <w:p w14:paraId="38746816">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0.355</w:t>
            </w:r>
          </w:p>
        </w:tc>
      </w:tr>
      <w:tr w14:paraId="4CECC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2DB963F6">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xml:space="preserve"> (year)</w:t>
            </w:r>
          </w:p>
        </w:tc>
        <w:tc>
          <w:tcPr>
            <w:tcW w:w="2337" w:type="dxa"/>
          </w:tcPr>
          <w:p w14:paraId="3C3CB2ED">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-0.786</w:t>
            </w:r>
          </w:p>
        </w:tc>
        <w:tc>
          <w:tcPr>
            <w:tcW w:w="2338" w:type="dxa"/>
          </w:tcPr>
          <w:p w14:paraId="7FA910C6">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r>
              <w:rPr>
                <w:rFonts w:asciiTheme="majorBidi" w:hAnsiTheme="majorBidi" w:eastAsiaTheme="minorHAnsi" w:cstheme="majorBidi"/>
                <w:vertAlign w:val="subscript"/>
              </w:rPr>
              <w:t>05</w:t>
            </w:r>
          </w:p>
        </w:tc>
        <w:tc>
          <w:tcPr>
            <w:tcW w:w="2338" w:type="dxa"/>
          </w:tcPr>
          <w:p w14:paraId="13F5849A">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0.278</w:t>
            </w:r>
          </w:p>
        </w:tc>
      </w:tr>
      <w:tr w14:paraId="7D7A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32AADB3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w:t>
            </w:r>
            <w:r>
              <w:rPr>
                <w:rFonts w:asciiTheme="majorBidi" w:hAnsiTheme="majorBidi" w:eastAsiaTheme="minorHAnsi" w:cstheme="majorBidi"/>
                <w:i/>
                <w:iCs/>
                <w:vertAlign w:val="subscript"/>
              </w:rPr>
              <w:t>max</w:t>
            </w:r>
            <w:r>
              <w:rPr>
                <w:rFonts w:asciiTheme="majorBidi" w:hAnsiTheme="majorBidi" w:eastAsiaTheme="minorHAnsi" w:cstheme="majorBidi"/>
              </w:rPr>
              <w:t xml:space="preserve"> (year)</w:t>
            </w:r>
          </w:p>
        </w:tc>
        <w:tc>
          <w:tcPr>
            <w:tcW w:w="2337" w:type="dxa"/>
          </w:tcPr>
          <w:p w14:paraId="5FA89F2D">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2.70</w:t>
            </w:r>
          </w:p>
        </w:tc>
        <w:tc>
          <w:tcPr>
            <w:tcW w:w="2338" w:type="dxa"/>
          </w:tcPr>
          <w:p w14:paraId="62EF6526">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vertAlign w:val="subscript"/>
              </w:rPr>
              <w:t xml:space="preserve">50 </w:t>
            </w:r>
            <w:r>
              <w:rPr>
                <w:rFonts w:asciiTheme="majorBidi" w:hAnsiTheme="majorBidi" w:eastAsiaTheme="minorHAnsi" w:cstheme="majorBidi"/>
              </w:rPr>
              <w:t>(cm)</w:t>
            </w:r>
          </w:p>
        </w:tc>
        <w:tc>
          <w:tcPr>
            <w:tcW w:w="2338" w:type="dxa"/>
          </w:tcPr>
          <w:p w14:paraId="150860E9">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20.39</w:t>
            </w:r>
          </w:p>
        </w:tc>
      </w:tr>
      <w:tr w14:paraId="1F27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34D2E8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Z (year</w:t>
            </w:r>
            <w:r>
              <w:rPr>
                <w:rFonts w:asciiTheme="majorBidi" w:hAnsiTheme="majorBidi" w:eastAsiaTheme="minorHAnsi" w:cstheme="majorBidi"/>
                <w:vertAlign w:val="superscript"/>
              </w:rPr>
              <w:t>-1</w:t>
            </w:r>
            <w:r>
              <w:rPr>
                <w:rFonts w:asciiTheme="majorBidi" w:hAnsiTheme="majorBidi" w:eastAsiaTheme="minorHAnsi" w:cstheme="majorBidi"/>
              </w:rPr>
              <w:t>)</w:t>
            </w:r>
          </w:p>
        </w:tc>
        <w:tc>
          <w:tcPr>
            <w:tcW w:w="2337" w:type="dxa"/>
          </w:tcPr>
          <w:p w14:paraId="22FDF50A">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2.29</w:t>
            </w:r>
          </w:p>
        </w:tc>
        <w:tc>
          <w:tcPr>
            <w:tcW w:w="2338" w:type="dxa"/>
          </w:tcPr>
          <w:p w14:paraId="03AE42E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vertAlign w:val="subscript"/>
              </w:rPr>
              <w:t xml:space="preserve">25 </w:t>
            </w:r>
            <w:r>
              <w:rPr>
                <w:rFonts w:asciiTheme="majorBidi" w:hAnsiTheme="majorBidi" w:eastAsiaTheme="minorHAnsi" w:cstheme="majorBidi"/>
              </w:rPr>
              <w:t>(cm)</w:t>
            </w:r>
          </w:p>
        </w:tc>
        <w:tc>
          <w:tcPr>
            <w:tcW w:w="2338" w:type="dxa"/>
          </w:tcPr>
          <w:p w14:paraId="4F482E5E">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16.56</w:t>
            </w:r>
          </w:p>
        </w:tc>
      </w:tr>
      <w:tr w14:paraId="365F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E17D81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M (year</w:t>
            </w:r>
            <w:r>
              <w:rPr>
                <w:rFonts w:asciiTheme="majorBidi" w:hAnsiTheme="majorBidi" w:eastAsiaTheme="minorHAnsi" w:cstheme="majorBidi"/>
                <w:vertAlign w:val="superscript"/>
              </w:rPr>
              <w:t>-1</w:t>
            </w:r>
            <w:r>
              <w:rPr>
                <w:rFonts w:asciiTheme="majorBidi" w:hAnsiTheme="majorBidi" w:eastAsiaTheme="minorHAnsi" w:cstheme="majorBidi"/>
              </w:rPr>
              <w:t>)</w:t>
            </w:r>
          </w:p>
        </w:tc>
        <w:tc>
          <w:tcPr>
            <w:tcW w:w="2337" w:type="dxa"/>
          </w:tcPr>
          <w:p w14:paraId="03C9D941">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1.38</w:t>
            </w:r>
          </w:p>
        </w:tc>
        <w:tc>
          <w:tcPr>
            <w:tcW w:w="2338" w:type="dxa"/>
          </w:tcPr>
          <w:p w14:paraId="71A03F7E">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vertAlign w:val="subscript"/>
              </w:rPr>
              <w:t xml:space="preserve">75 </w:t>
            </w:r>
            <w:r>
              <w:rPr>
                <w:rFonts w:asciiTheme="majorBidi" w:hAnsiTheme="majorBidi" w:eastAsiaTheme="minorHAnsi" w:cstheme="majorBidi"/>
              </w:rPr>
              <w:t>(cm)</w:t>
            </w:r>
          </w:p>
        </w:tc>
        <w:tc>
          <w:tcPr>
            <w:tcW w:w="2338" w:type="dxa"/>
          </w:tcPr>
          <w:p w14:paraId="2BB0BD69">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24.14</w:t>
            </w:r>
          </w:p>
        </w:tc>
      </w:tr>
      <w:tr w14:paraId="0DE96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7BCFBFF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 (year</w:t>
            </w:r>
            <w:r>
              <w:rPr>
                <w:rFonts w:asciiTheme="majorBidi" w:hAnsiTheme="majorBidi" w:eastAsiaTheme="minorHAnsi" w:cstheme="majorBidi"/>
                <w:vertAlign w:val="superscript"/>
              </w:rPr>
              <w:t>-1</w:t>
            </w:r>
            <w:r>
              <w:rPr>
                <w:rFonts w:asciiTheme="majorBidi" w:hAnsiTheme="majorBidi" w:eastAsiaTheme="minorHAnsi" w:cstheme="majorBidi"/>
              </w:rPr>
              <w:t>)</w:t>
            </w:r>
          </w:p>
        </w:tc>
        <w:tc>
          <w:tcPr>
            <w:tcW w:w="2337" w:type="dxa"/>
          </w:tcPr>
          <w:p w14:paraId="6C0393C8">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0.91</w:t>
            </w:r>
          </w:p>
        </w:tc>
        <w:tc>
          <w:tcPr>
            <w:tcW w:w="2338" w:type="dxa"/>
          </w:tcPr>
          <w:p w14:paraId="60495D0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vertAlign w:val="subscript"/>
              </w:rPr>
              <w:t xml:space="preserve">opt </w:t>
            </w:r>
            <w:r>
              <w:rPr>
                <w:rFonts w:asciiTheme="majorBidi" w:hAnsiTheme="majorBidi" w:eastAsiaTheme="minorHAnsi" w:cstheme="majorBidi"/>
              </w:rPr>
              <w:t>(cm)</w:t>
            </w:r>
          </w:p>
        </w:tc>
        <w:tc>
          <w:tcPr>
            <w:tcW w:w="2338" w:type="dxa"/>
          </w:tcPr>
          <w:p w14:paraId="79821194">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30.78</w:t>
            </w:r>
          </w:p>
        </w:tc>
      </w:tr>
      <w:tr w14:paraId="654B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4DC67D1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vertAlign w:val="subscript"/>
              </w:rPr>
              <w:t>c</w:t>
            </w:r>
            <w:r>
              <w:rPr>
                <w:rFonts w:asciiTheme="majorBidi" w:hAnsiTheme="majorBidi" w:eastAsiaTheme="minorHAnsi" w:cstheme="majorBidi"/>
              </w:rPr>
              <w:t xml:space="preserve"> / </w:t>
            </w:r>
            <w:r>
              <w:rPr>
                <w:rFonts w:asciiTheme="majorBidi" w:hAnsiTheme="majorBidi" w:eastAsiaTheme="minorHAnsi" w:cstheme="majorBidi"/>
                <w:i/>
                <w:iCs/>
              </w:rPr>
              <w:t>L∞</w:t>
            </w:r>
          </w:p>
        </w:tc>
        <w:tc>
          <w:tcPr>
            <w:tcW w:w="2337" w:type="dxa"/>
          </w:tcPr>
          <w:p w14:paraId="52B96D7D">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0.05</w:t>
            </w:r>
          </w:p>
        </w:tc>
        <w:tc>
          <w:tcPr>
            <w:tcW w:w="2338" w:type="dxa"/>
          </w:tcPr>
          <w:p w14:paraId="2EAA2C9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Z/K</w:t>
            </w:r>
          </w:p>
        </w:tc>
        <w:tc>
          <w:tcPr>
            <w:tcW w:w="2338" w:type="dxa"/>
          </w:tcPr>
          <w:p w14:paraId="517DE1C4">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2.66</w:t>
            </w:r>
          </w:p>
        </w:tc>
      </w:tr>
      <w:tr w14:paraId="1ED2D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09D33E6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M/K</w:t>
            </w:r>
          </w:p>
        </w:tc>
        <w:tc>
          <w:tcPr>
            <w:tcW w:w="2337" w:type="dxa"/>
          </w:tcPr>
          <w:p w14:paraId="080D4ED5">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1.0</w:t>
            </w:r>
          </w:p>
        </w:tc>
        <w:tc>
          <w:tcPr>
            <w:tcW w:w="2338" w:type="dxa"/>
          </w:tcPr>
          <w:p w14:paraId="0196065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w:t>
            </w:r>
            <w:r>
              <w:rPr>
                <w:rFonts w:asciiTheme="majorBidi" w:hAnsiTheme="majorBidi" w:eastAsiaTheme="minorHAnsi" w:cstheme="majorBidi"/>
                <w:i/>
                <w:iCs/>
                <w:vertAlign w:val="subscript"/>
              </w:rPr>
              <w:t>opt</w:t>
            </w:r>
          </w:p>
        </w:tc>
        <w:tc>
          <w:tcPr>
            <w:tcW w:w="2338" w:type="dxa"/>
          </w:tcPr>
          <w:p w14:paraId="737D0918">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0.55</w:t>
            </w:r>
          </w:p>
        </w:tc>
      </w:tr>
      <w:tr w14:paraId="1052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1A5C26A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w:t>
            </w:r>
            <w:r>
              <w:rPr>
                <w:rFonts w:asciiTheme="majorBidi" w:hAnsiTheme="majorBidi" w:eastAsiaTheme="minorHAnsi" w:cstheme="majorBidi"/>
                <w:i/>
                <w:iCs/>
                <w:vertAlign w:val="subscript"/>
              </w:rPr>
              <w:t>max</w:t>
            </w:r>
          </w:p>
        </w:tc>
        <w:tc>
          <w:tcPr>
            <w:tcW w:w="2337" w:type="dxa"/>
          </w:tcPr>
          <w:p w14:paraId="5C44038D">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0.81</w:t>
            </w:r>
          </w:p>
        </w:tc>
        <w:tc>
          <w:tcPr>
            <w:tcW w:w="2338" w:type="dxa"/>
          </w:tcPr>
          <w:p w14:paraId="3849101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i/>
                <w:iCs/>
                <w:vertAlign w:val="subscript"/>
              </w:rPr>
              <w:t xml:space="preserve">m </w:t>
            </w:r>
            <w:r>
              <w:rPr>
                <w:rFonts w:asciiTheme="majorBidi" w:hAnsiTheme="majorBidi" w:eastAsiaTheme="minorHAnsi" w:cstheme="majorBidi"/>
              </w:rPr>
              <w:t>(cm)</w:t>
            </w:r>
          </w:p>
        </w:tc>
        <w:tc>
          <w:tcPr>
            <w:tcW w:w="2338" w:type="dxa"/>
          </w:tcPr>
          <w:p w14:paraId="65FC04D8">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23.36</w:t>
            </w:r>
          </w:p>
        </w:tc>
      </w:tr>
      <w:tr w14:paraId="7CEA0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326F0A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w:t>
            </w:r>
            <w:r>
              <w:rPr>
                <w:rFonts w:asciiTheme="majorBidi" w:hAnsiTheme="majorBidi" w:eastAsiaTheme="minorHAnsi" w:cstheme="majorBidi"/>
                <w:i/>
                <w:iCs/>
                <w:vertAlign w:val="subscript"/>
              </w:rPr>
              <w:t>limit</w:t>
            </w:r>
          </w:p>
        </w:tc>
        <w:tc>
          <w:tcPr>
            <w:tcW w:w="2337" w:type="dxa"/>
          </w:tcPr>
          <w:p w14:paraId="17EA9E2B">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0.92</w:t>
            </w:r>
          </w:p>
        </w:tc>
        <w:tc>
          <w:tcPr>
            <w:tcW w:w="2338" w:type="dxa"/>
          </w:tcPr>
          <w:p w14:paraId="1EC2A24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i/>
                <w:iCs/>
                <w:vertAlign w:val="subscript"/>
              </w:rPr>
              <w:t xml:space="preserve">c </w:t>
            </w:r>
            <w:r>
              <w:rPr>
                <w:rFonts w:asciiTheme="majorBidi" w:hAnsiTheme="majorBidi" w:eastAsiaTheme="minorHAnsi" w:cstheme="majorBidi"/>
              </w:rPr>
              <w:t>(cm)</w:t>
            </w:r>
          </w:p>
        </w:tc>
        <w:tc>
          <w:tcPr>
            <w:tcW w:w="2338" w:type="dxa"/>
          </w:tcPr>
          <w:p w14:paraId="2BD747CB">
            <w:pPr>
              <w:spacing w:before="120" w:after="120" w:line="360" w:lineRule="auto"/>
              <w:contextualSpacing/>
              <w:jc w:val="center"/>
              <w:rPr>
                <w:rFonts w:asciiTheme="majorBidi" w:hAnsiTheme="majorBidi" w:eastAsiaTheme="minorHAnsi" w:cstheme="majorBidi"/>
              </w:rPr>
            </w:pPr>
            <w:r>
              <w:rPr>
                <w:rFonts w:asciiTheme="majorBidi" w:hAnsiTheme="majorBidi" w:eastAsiaTheme="minorHAnsi" w:cstheme="majorBidi"/>
              </w:rPr>
              <w:t>24.02</w:t>
            </w:r>
          </w:p>
        </w:tc>
      </w:tr>
    </w:tbl>
    <w:p w14:paraId="395D49BE">
      <w:pPr>
        <w:spacing w:before="120" w:after="120" w:line="360" w:lineRule="auto"/>
        <w:contextualSpacing/>
        <w:jc w:val="both"/>
        <w:rPr>
          <w:rFonts w:asciiTheme="majorBidi" w:hAnsiTheme="majorBidi" w:eastAsiaTheme="minorHAnsi" w:cstheme="majorBidi"/>
        </w:rPr>
      </w:pPr>
    </w:p>
    <w:p w14:paraId="4AE2E234">
      <w:pPr>
        <w:spacing w:before="120" w:after="120" w:line="360" w:lineRule="auto"/>
        <w:contextualSpacing/>
        <w:jc w:val="both"/>
        <w:rPr>
          <w:rFonts w:asciiTheme="majorBidi" w:hAnsiTheme="majorBidi" w:eastAsiaTheme="minorHAnsi" w:cstheme="majorBidi"/>
          <w:b/>
          <w:bCs/>
        </w:rPr>
      </w:pPr>
    </w:p>
    <w:p w14:paraId="7D0CB91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Discussion</w:t>
      </w:r>
      <w:r>
        <w:rPr>
          <w:rFonts w:asciiTheme="majorBidi" w:hAnsiTheme="majorBidi" w:eastAsiaTheme="minorHAnsi" w:cstheme="majorBidi"/>
        </w:rPr>
        <w:t>:</w:t>
      </w:r>
    </w:p>
    <w:p w14:paraId="6C26474D">
      <w:pPr>
        <w:spacing w:before="120" w:after="120" w:line="360" w:lineRule="auto"/>
        <w:contextualSpacing/>
        <w:jc w:val="both"/>
        <w:rPr>
          <w:rFonts w:asciiTheme="majorBidi" w:hAnsiTheme="majorBidi" w:cstheme="majorBidi"/>
          <w:b/>
          <w:bCs/>
        </w:rPr>
      </w:pPr>
      <w:r>
        <w:rPr>
          <w:rFonts w:asciiTheme="majorBidi" w:hAnsiTheme="majorBidi" w:eastAsiaTheme="minorHAnsi" w:cstheme="majorBidi"/>
        </w:rPr>
        <w:t xml:space="preserve">In the present study, the total length of the samples of </w:t>
      </w:r>
      <w:r>
        <w:rPr>
          <w:rFonts w:asciiTheme="majorBidi" w:hAnsiTheme="majorBidi" w:eastAsiaTheme="minorHAnsi" w:cstheme="majorBidi"/>
          <w:i/>
          <w:iCs/>
        </w:rPr>
        <w:t>L. senegalensis</w:t>
      </w:r>
      <w:r>
        <w:rPr>
          <w:rFonts w:asciiTheme="majorBidi" w:hAnsiTheme="majorBidi" w:eastAsiaTheme="minorHAnsi" w:cstheme="majorBidi"/>
        </w:rPr>
        <w:t xml:space="preserve"> varied from 21.2 cm to 47.5 cm. These measurements are notably larger than those recorded in the Khashm El-Girba reservoir for the same species (Abdalla </w:t>
      </w:r>
      <w:r>
        <w:rPr>
          <w:rFonts w:asciiTheme="majorBidi" w:hAnsiTheme="majorBidi" w:eastAsiaTheme="minorHAnsi" w:cstheme="majorBidi"/>
          <w:i/>
          <w:iCs/>
        </w:rPr>
        <w:t>et. al.,</w:t>
      </w:r>
      <w:r>
        <w:rPr>
          <w:rFonts w:asciiTheme="majorBidi" w:hAnsiTheme="majorBidi" w:eastAsiaTheme="minorHAnsi" w:cstheme="majorBidi"/>
        </w:rPr>
        <w:t xml:space="preserve"> 2024). The length-weight relationship of this species</w:t>
      </w:r>
      <w:r>
        <w:rPr>
          <w:rFonts w:asciiTheme="majorBidi" w:hAnsiTheme="majorBidi" w:eastAsiaTheme="minorHAnsi" w:cstheme="majorBidi"/>
          <w:i/>
          <w:iCs/>
        </w:rPr>
        <w:t xml:space="preserve"> </w:t>
      </w:r>
      <w:r>
        <w:rPr>
          <w:rFonts w:asciiTheme="majorBidi" w:hAnsiTheme="majorBidi" w:eastAsiaTheme="minorHAnsi" w:cstheme="majorBidi"/>
        </w:rPr>
        <w:t xml:space="preserve">exhibited a strong correlation with </w:t>
      </w:r>
      <w:r>
        <w:rPr>
          <w:rFonts w:asciiTheme="majorBidi" w:hAnsiTheme="majorBidi" w:eastAsiaTheme="minorHAnsi" w:cstheme="majorBidi"/>
          <w:i/>
          <w:iCs/>
        </w:rPr>
        <w:t>r</w:t>
      </w:r>
      <w:r>
        <w:rPr>
          <w:rFonts w:asciiTheme="majorBidi" w:hAnsiTheme="majorBidi" w:eastAsiaTheme="minorHAnsi" w:cstheme="majorBidi"/>
        </w:rPr>
        <w:t xml:space="preserve"> = 0.947 denoting negative allometric growth with a b-value of 2.847. Almost similar results were obtained by Abdalla </w:t>
      </w:r>
      <w:r>
        <w:rPr>
          <w:rFonts w:asciiTheme="majorBidi" w:hAnsiTheme="majorBidi" w:eastAsiaTheme="minorHAnsi" w:cstheme="majorBidi"/>
          <w:i/>
          <w:iCs/>
        </w:rPr>
        <w:t>et al.,</w:t>
      </w:r>
      <w:r>
        <w:rPr>
          <w:rFonts w:asciiTheme="majorBidi" w:hAnsiTheme="majorBidi" w:eastAsiaTheme="minorHAnsi" w:cstheme="majorBidi"/>
        </w:rPr>
        <w:t xml:space="preserve"> (2021) on </w:t>
      </w:r>
      <w:r>
        <w:rPr>
          <w:rFonts w:asciiTheme="majorBidi" w:hAnsiTheme="majorBidi" w:eastAsiaTheme="minorHAnsi" w:cstheme="majorBidi"/>
          <w:i/>
          <w:iCs/>
        </w:rPr>
        <w:t xml:space="preserve">Labeo senegalensis </w:t>
      </w:r>
      <w:r>
        <w:rPr>
          <w:rFonts w:asciiTheme="majorBidi" w:hAnsiTheme="majorBidi" w:eastAsiaTheme="minorHAnsi" w:cstheme="majorBidi"/>
        </w:rPr>
        <w:t>form Khashm El-Girba Reservoir and Atbara River (Sudan), with</w:t>
      </w:r>
      <w:r>
        <w:rPr>
          <w:rFonts w:asciiTheme="majorBidi" w:hAnsiTheme="majorBidi" w:cstheme="majorBidi"/>
        </w:rPr>
        <w:t xml:space="preserve"> a highly significant correlation of (</w:t>
      </w:r>
      <w:r>
        <w:rPr>
          <w:rFonts w:asciiTheme="majorBidi" w:hAnsiTheme="majorBidi" w:cstheme="majorBidi"/>
          <w:i/>
          <w:iCs/>
        </w:rPr>
        <w:t>p</w:t>
      </w:r>
      <w:r>
        <w:rPr>
          <w:rFonts w:asciiTheme="majorBidi" w:hAnsiTheme="majorBidi" w:cstheme="majorBidi"/>
        </w:rPr>
        <w:t>&lt;0.001), (</w:t>
      </w:r>
      <w:r>
        <w:rPr>
          <w:rFonts w:asciiTheme="majorBidi" w:hAnsiTheme="majorBidi" w:cstheme="majorBidi"/>
          <w:i/>
          <w:iCs/>
        </w:rPr>
        <w:t>r</w:t>
      </w:r>
      <w:r>
        <w:rPr>
          <w:rFonts w:asciiTheme="majorBidi" w:hAnsiTheme="majorBidi" w:cstheme="majorBidi"/>
        </w:rPr>
        <w:t xml:space="preserve">=0.966), slope’ b’= 2.178; </w:t>
      </w:r>
      <w:r>
        <w:rPr>
          <w:rFonts w:asciiTheme="majorBidi" w:hAnsiTheme="majorBidi" w:eastAsiaTheme="minorHAnsi" w:cstheme="majorBidi"/>
        </w:rPr>
        <w:t xml:space="preserve">Brahim </w:t>
      </w:r>
      <w:r>
        <w:rPr>
          <w:rFonts w:asciiTheme="majorBidi" w:hAnsiTheme="majorBidi" w:eastAsiaTheme="minorHAnsi" w:cstheme="majorBidi"/>
          <w:i/>
          <w:iCs/>
        </w:rPr>
        <w:t>et al.,</w:t>
      </w:r>
      <w:r>
        <w:rPr>
          <w:rFonts w:asciiTheme="majorBidi" w:hAnsiTheme="majorBidi" w:eastAsiaTheme="minorHAnsi" w:cstheme="majorBidi"/>
        </w:rPr>
        <w:t xml:space="preserve"> (2023) from </w:t>
      </w:r>
      <w:r>
        <w:rPr>
          <w:rFonts w:asciiTheme="majorBidi" w:hAnsiTheme="majorBidi" w:cstheme="majorBidi"/>
        </w:rPr>
        <w:t>Lake Maabo (Chad)</w:t>
      </w:r>
      <w:r>
        <w:rPr>
          <w:rFonts w:asciiTheme="majorBidi" w:hAnsiTheme="majorBidi" w:eastAsiaTheme="minorHAnsi" w:cstheme="majorBidi"/>
        </w:rPr>
        <w:t xml:space="preserve"> </w:t>
      </w:r>
      <w:r>
        <w:rPr>
          <w:rFonts w:asciiTheme="majorBidi" w:hAnsiTheme="majorBidi" w:cstheme="majorBidi"/>
        </w:rPr>
        <w:t>of (</w:t>
      </w:r>
      <w:r>
        <w:rPr>
          <w:rFonts w:asciiTheme="majorBidi" w:hAnsiTheme="majorBidi" w:cstheme="majorBidi"/>
          <w:i/>
          <w:iCs/>
        </w:rPr>
        <w:t>p</w:t>
      </w:r>
      <w:r>
        <w:rPr>
          <w:rFonts w:asciiTheme="majorBidi" w:hAnsiTheme="majorBidi" w:cstheme="majorBidi"/>
        </w:rPr>
        <w:t>&lt;0.001), (</w:t>
      </w:r>
      <w:r>
        <w:rPr>
          <w:rFonts w:asciiTheme="majorBidi" w:hAnsiTheme="majorBidi" w:cstheme="majorBidi"/>
          <w:i/>
          <w:iCs/>
        </w:rPr>
        <w:t>r</w:t>
      </w:r>
      <w:r>
        <w:rPr>
          <w:rFonts w:asciiTheme="majorBidi" w:hAnsiTheme="majorBidi" w:cstheme="majorBidi"/>
        </w:rPr>
        <w:t xml:space="preserve">=0.966), slope’ b’= 2.178 and </w:t>
      </w:r>
      <w:r>
        <w:rPr>
          <w:rFonts w:asciiTheme="majorBidi" w:hAnsiTheme="majorBidi" w:eastAsiaTheme="minorHAnsi" w:cstheme="majorBidi"/>
        </w:rPr>
        <w:t>Adam and Hamad (2021) from Upper Atbara River and Settit Dam Complex (Sudan)</w:t>
      </w:r>
      <w:r>
        <w:rPr>
          <w:rFonts w:asciiTheme="majorBidi" w:hAnsiTheme="majorBidi" w:cstheme="majorBidi"/>
        </w:rPr>
        <w:t xml:space="preserve">; </w:t>
      </w:r>
      <w:r>
        <w:rPr>
          <w:rFonts w:asciiTheme="majorBidi" w:hAnsiTheme="majorBidi" w:eastAsiaTheme="minorHAnsi" w:cstheme="majorBidi"/>
        </w:rPr>
        <w:t xml:space="preserve">b= </w:t>
      </w:r>
      <w:r>
        <w:rPr>
          <w:rFonts w:asciiTheme="majorBidi" w:hAnsiTheme="majorBidi" w:cstheme="majorBidi"/>
        </w:rPr>
        <w:t xml:space="preserve">2.832 and </w:t>
      </w:r>
      <w:r>
        <w:rPr>
          <w:rFonts w:asciiTheme="majorBidi" w:hAnsiTheme="majorBidi" w:cstheme="majorBidi"/>
          <w:i/>
          <w:iCs/>
        </w:rPr>
        <w:t>r</w:t>
      </w:r>
      <w:r>
        <w:rPr>
          <w:rFonts w:asciiTheme="majorBidi" w:hAnsiTheme="majorBidi" w:cstheme="majorBidi"/>
        </w:rPr>
        <w:t xml:space="preserve"> = 0.975 respectively, indicating negative allometric growth pattern of this species. However, Olufeagba </w:t>
      </w:r>
      <w:r>
        <w:rPr>
          <w:rFonts w:asciiTheme="majorBidi" w:hAnsiTheme="majorBidi" w:cstheme="majorBidi"/>
          <w:i/>
          <w:iCs/>
        </w:rPr>
        <w:t>et al</w:t>
      </w:r>
      <w:r>
        <w:rPr>
          <w:rFonts w:asciiTheme="majorBidi" w:hAnsiTheme="majorBidi" w:cstheme="majorBidi"/>
        </w:rPr>
        <w:t>; (2016) studied the Length-weight relationship</w:t>
      </w:r>
      <w:r>
        <w:rPr>
          <w:rFonts w:asciiTheme="majorBidi" w:hAnsiTheme="majorBidi" w:cstheme="majorBidi"/>
          <w:i/>
          <w:iCs/>
        </w:rPr>
        <w:t xml:space="preserve"> </w:t>
      </w:r>
      <w:r>
        <w:rPr>
          <w:rFonts w:asciiTheme="majorBidi" w:hAnsiTheme="majorBidi" w:cstheme="majorBidi"/>
        </w:rPr>
        <w:t xml:space="preserve">of </w:t>
      </w:r>
      <w:r>
        <w:rPr>
          <w:rFonts w:asciiTheme="majorBidi" w:hAnsiTheme="majorBidi" w:cstheme="majorBidi"/>
          <w:i/>
          <w:iCs/>
        </w:rPr>
        <w:t>Labeo senegalensis</w:t>
      </w:r>
      <w:r>
        <w:rPr>
          <w:rFonts w:asciiTheme="majorBidi" w:hAnsiTheme="majorBidi" w:cstheme="majorBidi"/>
        </w:rPr>
        <w:t xml:space="preserve"> from lower River Benue (Nigeria), and reported isometric growth pattern for both sexes with’ b’= 3.04 for female and ‘b =3.07 for males, while</w:t>
      </w:r>
      <w:r>
        <w:rPr>
          <w:rFonts w:asciiTheme="majorBidi" w:hAnsiTheme="majorBidi" w:cstheme="majorBidi"/>
          <w:color w:val="231F20"/>
          <w:shd w:val="clear" w:color="auto" w:fill="FFFFFF"/>
        </w:rPr>
        <w:t xml:space="preserve"> </w:t>
      </w:r>
      <w:r>
        <w:rPr>
          <w:rStyle w:val="35"/>
          <w:rFonts w:asciiTheme="majorBidi" w:hAnsiTheme="majorBidi" w:cstheme="majorBidi"/>
          <w:color w:val="231F20"/>
          <w:shd w:val="clear" w:color="auto" w:fill="FFFFFF"/>
        </w:rPr>
        <w:t>H</w:t>
      </w:r>
      <w:r>
        <w:rPr>
          <w:rStyle w:val="35"/>
          <w:rFonts w:asciiTheme="majorBidi" w:hAnsiTheme="majorBidi" w:cstheme="majorBidi"/>
          <w:color w:val="231F20"/>
          <w:spacing w:val="2"/>
          <w:shd w:val="clear" w:color="auto" w:fill="FFFFFF"/>
        </w:rPr>
        <w:t xml:space="preserve">ossain </w:t>
      </w:r>
      <w:r>
        <w:rPr>
          <w:rStyle w:val="35"/>
          <w:rFonts w:asciiTheme="majorBidi" w:hAnsiTheme="majorBidi" w:cstheme="majorBidi"/>
          <w:i/>
          <w:iCs/>
          <w:color w:val="231F20"/>
          <w:spacing w:val="2"/>
          <w:shd w:val="clear" w:color="auto" w:fill="FFFFFF"/>
        </w:rPr>
        <w:t>et. al</w:t>
      </w:r>
      <w:r>
        <w:rPr>
          <w:rStyle w:val="35"/>
          <w:rFonts w:asciiTheme="majorBidi" w:hAnsiTheme="majorBidi" w:cstheme="majorBidi"/>
          <w:color w:val="231F20"/>
          <w:spacing w:val="2"/>
          <w:shd w:val="clear" w:color="auto" w:fill="FFFFFF"/>
        </w:rPr>
        <w:t xml:space="preserve">., </w:t>
      </w:r>
      <w:r>
        <w:rPr>
          <w:rFonts w:asciiTheme="majorBidi" w:hAnsiTheme="majorBidi" w:cstheme="majorBidi"/>
        </w:rPr>
        <w:t xml:space="preserve">(2015) investigated </w:t>
      </w:r>
      <w:r>
        <w:rPr>
          <w:rFonts w:asciiTheme="majorBidi" w:hAnsiTheme="majorBidi" w:cstheme="majorBidi"/>
          <w:i/>
          <w:iCs/>
        </w:rPr>
        <w:t>Labeo boga</w:t>
      </w:r>
      <w:r>
        <w:rPr>
          <w:rFonts w:asciiTheme="majorBidi" w:hAnsiTheme="majorBidi" w:cstheme="majorBidi"/>
        </w:rPr>
        <w:t xml:space="preserve"> in the Ganges River northwestern, Bangladesh, and recorded positive allometric growth pattern for this species with b for males= 3.008, b for females = 3.114   and b for combined sexes =3.113, respectively, and </w:t>
      </w:r>
      <w:r>
        <w:rPr>
          <w:rFonts w:asciiTheme="majorBidi" w:hAnsiTheme="majorBidi" w:cstheme="majorBidi"/>
          <w:i/>
          <w:iCs/>
        </w:rPr>
        <w:t>r</w:t>
      </w:r>
      <w:r>
        <w:rPr>
          <w:rFonts w:asciiTheme="majorBidi" w:hAnsiTheme="majorBidi" w:cstheme="majorBidi"/>
          <w:vertAlign w:val="superscript"/>
        </w:rPr>
        <w:t>2</w:t>
      </w:r>
      <w:r>
        <w:rPr>
          <w:rFonts w:asciiTheme="majorBidi" w:hAnsiTheme="majorBidi" w:cstheme="majorBidi"/>
        </w:rPr>
        <w:t xml:space="preserve"> ranging from 0.954 - 0.962. </w:t>
      </w:r>
      <w:r>
        <w:rPr>
          <w:rFonts w:asciiTheme="majorBidi" w:hAnsiTheme="majorBidi" w:eastAsiaTheme="minorHAnsi" w:cstheme="majorBidi"/>
        </w:rPr>
        <w:t>These differences in length-weight relationship may be related to variations in water in terms of temperature</w:t>
      </w:r>
      <w:r>
        <w:rPr>
          <w:rFonts w:asciiTheme="majorBidi" w:hAnsiTheme="majorBidi" w:cstheme="majorBidi"/>
          <w:color w:val="040C28"/>
        </w:rPr>
        <w:t xml:space="preserve">, dissolved oxygen, water turbidity, water flow </w:t>
      </w:r>
      <w:r>
        <w:rPr>
          <w:rFonts w:asciiTheme="majorBidi" w:hAnsiTheme="majorBidi" w:cstheme="majorBidi"/>
          <w:color w:val="1F1F1F"/>
          <w:shd w:val="clear" w:color="auto" w:fill="FFFFFF"/>
        </w:rPr>
        <w:t xml:space="preserve">and </w:t>
      </w:r>
      <w:r>
        <w:rPr>
          <w:rFonts w:asciiTheme="majorBidi" w:hAnsiTheme="majorBidi" w:cstheme="majorBidi"/>
        </w:rPr>
        <w:t xml:space="preserve">type of substrate, </w:t>
      </w:r>
      <w:r>
        <w:rPr>
          <w:rFonts w:asciiTheme="majorBidi" w:hAnsiTheme="majorBidi" w:cstheme="majorBidi"/>
          <w:color w:val="1F1F1F"/>
          <w:shd w:val="clear" w:color="auto" w:fill="FFFFFF"/>
        </w:rPr>
        <w:t xml:space="preserve">which may induce </w:t>
      </w:r>
      <w:r>
        <w:rPr>
          <w:rFonts w:asciiTheme="majorBidi" w:hAnsiTheme="majorBidi" w:cstheme="majorBidi"/>
          <w:color w:val="222222"/>
          <w:shd w:val="clear" w:color="auto" w:fill="FFFFFF"/>
        </w:rPr>
        <w:t>spatial and temporal changes on the distribution and abundance of the fish assemblages in different water bodies.</w:t>
      </w:r>
    </w:p>
    <w:p w14:paraId="138A56FA">
      <w:pPr>
        <w:spacing w:before="120" w:after="120" w:line="360" w:lineRule="auto"/>
        <w:contextualSpacing/>
        <w:jc w:val="both"/>
        <w:rPr>
          <w:rFonts w:asciiTheme="majorBidi" w:hAnsiTheme="majorBidi" w:eastAsiaTheme="minorHAnsi" w:cstheme="majorBidi"/>
        </w:rPr>
      </w:pPr>
      <w:r>
        <w:rPr>
          <w:rFonts w:asciiTheme="majorBidi" w:hAnsiTheme="majorBidi" w:cstheme="majorBidi"/>
        </w:rPr>
        <w:t>In the current study,</w:t>
      </w:r>
      <w:r>
        <w:rPr>
          <w:rFonts w:asciiTheme="majorBidi" w:hAnsiTheme="majorBidi" w:cstheme="majorBidi"/>
          <w:b/>
          <w:bCs/>
        </w:rPr>
        <w:t xml:space="preserve"> </w:t>
      </w:r>
      <w:r>
        <w:rPr>
          <w:rFonts w:asciiTheme="majorBidi" w:hAnsiTheme="majorBidi" w:eastAsiaTheme="minorHAnsi" w:cstheme="majorBidi"/>
        </w:rPr>
        <w:t xml:space="preserve">the growth parameters obtained from the von Bertalanffy growth model for </w:t>
      </w:r>
      <w:r>
        <w:rPr>
          <w:rFonts w:asciiTheme="majorBidi" w:hAnsiTheme="majorBidi" w:eastAsiaTheme="minorHAnsi" w:cstheme="majorBidi"/>
          <w:i/>
          <w:iCs/>
        </w:rPr>
        <w:t>L. senegalensis</w:t>
      </w:r>
      <w:r>
        <w:rPr>
          <w:rFonts w:asciiTheme="majorBidi" w:hAnsiTheme="majorBidi" w:eastAsiaTheme="minorHAnsi" w:cstheme="majorBidi"/>
        </w:rPr>
        <w:t xml:space="preserve"> were calculated as follows; asymptotic length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of 47.5 cm, growth coefficient (</w:t>
      </w:r>
      <w:r>
        <w:rPr>
          <w:rFonts w:asciiTheme="majorBidi" w:hAnsiTheme="majorBidi" w:eastAsiaTheme="minorHAnsi" w:cstheme="majorBidi"/>
          <w:i/>
          <w:iCs/>
        </w:rPr>
        <w:t>K</w:t>
      </w:r>
      <w:r>
        <w:rPr>
          <w:rFonts w:asciiTheme="majorBidi" w:hAnsiTheme="majorBidi" w:eastAsiaTheme="minorHAnsi" w:cstheme="majorBidi"/>
        </w:rPr>
        <w:t>) of 0.86 yr⁻¹, and theoretical age at length zero (</w:t>
      </w:r>
      <w:r>
        <w:rPr>
          <w:rFonts w:asciiTheme="majorBidi" w:hAnsiTheme="majorBidi" w:eastAsiaTheme="minorHAnsi" w:cstheme="majorBidi"/>
          <w:i/>
          <w:iCs/>
        </w:rPr>
        <w:t>t</w:t>
      </w:r>
      <w:r>
        <w:rPr>
          <w:rFonts w:asciiTheme="majorBidi" w:hAnsiTheme="majorBidi" w:eastAsiaTheme="minorHAnsi" w:cstheme="majorBidi"/>
          <w:vertAlign w:val="subscript"/>
        </w:rPr>
        <w:t>0</w:t>
      </w:r>
      <w:r>
        <w:rPr>
          <w:rFonts w:asciiTheme="majorBidi" w:hAnsiTheme="majorBidi" w:eastAsiaTheme="minorHAnsi" w:cstheme="majorBidi"/>
        </w:rPr>
        <w:t xml:space="preserve">) of -0.786 yr. However, low values of growth parameters were recorded for </w:t>
      </w:r>
      <w:r>
        <w:rPr>
          <w:rFonts w:asciiTheme="majorBidi" w:hAnsiTheme="majorBidi" w:eastAsiaTheme="minorHAnsi" w:cstheme="majorBidi"/>
          <w:i/>
          <w:iCs/>
        </w:rPr>
        <w:t>L. senegalensis</w:t>
      </w:r>
      <w:r>
        <w:rPr>
          <w:rFonts w:asciiTheme="majorBidi" w:hAnsiTheme="majorBidi" w:eastAsiaTheme="minorHAnsi" w:cstheme="majorBidi"/>
        </w:rPr>
        <w:t xml:space="preserve"> by Abdalla </w:t>
      </w:r>
      <w:r>
        <w:rPr>
          <w:rFonts w:asciiTheme="majorBidi" w:hAnsiTheme="majorBidi" w:eastAsiaTheme="minorHAnsi" w:cstheme="majorBidi"/>
          <w:i/>
          <w:iCs/>
        </w:rPr>
        <w:t>et al.,</w:t>
      </w:r>
      <w:r>
        <w:rPr>
          <w:rFonts w:asciiTheme="majorBidi" w:hAnsiTheme="majorBidi" w:eastAsiaTheme="minorHAnsi" w:cstheme="majorBidi"/>
        </w:rPr>
        <w:t xml:space="preserve"> (2024) from the nearby Khashm El-Girba reservoir, Sudan, with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42 cm, </w:t>
      </w:r>
      <w:r>
        <w:rPr>
          <w:rFonts w:asciiTheme="majorBidi" w:hAnsiTheme="majorBidi" w:eastAsiaTheme="minorHAnsi" w:cstheme="majorBidi"/>
          <w:i/>
          <w:iCs/>
        </w:rPr>
        <w:t>K</w:t>
      </w:r>
      <w:r>
        <w:rPr>
          <w:rFonts w:asciiTheme="majorBidi" w:hAnsiTheme="majorBidi" w:eastAsiaTheme="minorHAnsi" w:cstheme="majorBidi"/>
        </w:rPr>
        <w:t xml:space="preserve"> =</w:t>
      </w:r>
      <w:r>
        <w:rPr>
          <w:rFonts w:asciiTheme="majorBidi" w:hAnsiTheme="majorBidi" w:cstheme="majorBidi"/>
        </w:rPr>
        <w:t xml:space="preserve"> 0.490 year-1 and </w:t>
      </w:r>
      <w:r>
        <w:rPr>
          <w:rFonts w:asciiTheme="majorBidi" w:hAnsiTheme="majorBidi" w:cstheme="majorBidi"/>
          <w:i/>
          <w:iCs/>
        </w:rPr>
        <w:t>t</w:t>
      </w:r>
      <w:r>
        <w:rPr>
          <w:rFonts w:asciiTheme="majorBidi" w:hAnsiTheme="majorBidi" w:cstheme="majorBidi"/>
          <w:vertAlign w:val="subscript"/>
        </w:rPr>
        <w:t>0</w:t>
      </w:r>
      <w:r>
        <w:rPr>
          <w:rFonts w:asciiTheme="majorBidi" w:hAnsiTheme="majorBidi" w:cstheme="majorBidi"/>
        </w:rPr>
        <w:t xml:space="preserve"> -0.518 year</w:t>
      </w:r>
      <w:r>
        <w:rPr>
          <w:rFonts w:asciiTheme="majorBidi" w:hAnsiTheme="majorBidi" w:cstheme="majorBidi"/>
          <w:vertAlign w:val="superscript"/>
        </w:rPr>
        <w:t>-1</w:t>
      </w:r>
      <w:r>
        <w:rPr>
          <w:rFonts w:asciiTheme="majorBidi" w:hAnsiTheme="majorBidi" w:eastAsiaTheme="minorHAnsi" w:cstheme="majorBidi"/>
        </w:rPr>
        <w:t xml:space="preserve">. </w:t>
      </w:r>
      <w:r>
        <w:rPr>
          <w:rFonts w:asciiTheme="majorBidi" w:hAnsiTheme="majorBidi" w:cstheme="majorBidi"/>
        </w:rPr>
        <w:t xml:space="preserve">El-Kasheif </w:t>
      </w:r>
      <w:r>
        <w:rPr>
          <w:rFonts w:asciiTheme="majorBidi" w:hAnsiTheme="majorBidi" w:cstheme="majorBidi"/>
          <w:i/>
          <w:iCs/>
        </w:rPr>
        <w:t>et. al</w:t>
      </w:r>
      <w:r>
        <w:rPr>
          <w:rFonts w:asciiTheme="majorBidi" w:hAnsiTheme="majorBidi" w:cstheme="majorBidi"/>
        </w:rPr>
        <w:t>., (2007) studied</w:t>
      </w:r>
      <w:r>
        <w:rPr>
          <w:rFonts w:asciiTheme="majorBidi" w:hAnsiTheme="majorBidi" w:cstheme="majorBidi"/>
          <w:i/>
          <w:iCs/>
        </w:rPr>
        <w:t xml:space="preserve"> Labeo niloticus</w:t>
      </w:r>
      <w:r>
        <w:rPr>
          <w:rFonts w:asciiTheme="majorBidi" w:hAnsiTheme="majorBidi" w:cstheme="majorBidi"/>
        </w:rPr>
        <w:t xml:space="preserve"> (renamed </w:t>
      </w:r>
      <w:r>
        <w:rPr>
          <w:rFonts w:asciiTheme="majorBidi" w:hAnsiTheme="majorBidi" w:cstheme="majorBidi"/>
          <w:i/>
          <w:iCs/>
        </w:rPr>
        <w:t>Labeo senegalensis</w:t>
      </w:r>
      <w:r>
        <w:rPr>
          <w:rFonts w:asciiTheme="majorBidi" w:hAnsiTheme="majorBidi" w:cstheme="majorBidi"/>
        </w:rPr>
        <w:t xml:space="preserve">) from the Nile River (Egypt) and derived a high value of </w:t>
      </w:r>
      <w:r>
        <w:rPr>
          <w:rFonts w:asciiTheme="majorBidi" w:hAnsiTheme="majorBidi" w:cstheme="majorBidi"/>
          <w:i/>
          <w:iCs/>
        </w:rPr>
        <w:t>L</w:t>
      </w:r>
      <w:r>
        <w:rPr>
          <w:rFonts w:asciiTheme="majorBidi" w:hAnsiTheme="majorBidi" w:cstheme="majorBidi"/>
          <w:i/>
          <w:iCs/>
          <w:vertAlign w:val="subscript"/>
        </w:rPr>
        <w:t>∞</w:t>
      </w:r>
      <w:r>
        <w:rPr>
          <w:rFonts w:asciiTheme="majorBidi" w:hAnsiTheme="majorBidi" w:cstheme="majorBidi"/>
        </w:rPr>
        <w:t xml:space="preserve"> = 72.99 cm and K of 0.55 year</w:t>
      </w:r>
      <w:r>
        <w:rPr>
          <w:rFonts w:asciiTheme="majorBidi" w:hAnsiTheme="majorBidi" w:cstheme="majorBidi"/>
          <w:vertAlign w:val="superscript"/>
        </w:rPr>
        <w:t>-1</w:t>
      </w:r>
      <w:r>
        <w:rPr>
          <w:rFonts w:asciiTheme="majorBidi" w:hAnsiTheme="majorBidi" w:cstheme="majorBidi"/>
        </w:rPr>
        <w:t xml:space="preserve"> for this same species.</w:t>
      </w:r>
      <w:r>
        <w:rPr>
          <w:rFonts w:asciiTheme="majorBidi" w:hAnsiTheme="majorBidi" w:eastAsiaTheme="minorHAnsi" w:cstheme="majorBidi"/>
        </w:rPr>
        <w:t xml:space="preserve"> Variations in growth parameters across different </w:t>
      </w:r>
      <w:r>
        <w:rPr>
          <w:rFonts w:asciiTheme="majorBidi" w:hAnsiTheme="majorBidi" w:eastAsiaTheme="minorHAnsi" w:cstheme="majorBidi"/>
          <w:i/>
          <w:iCs/>
        </w:rPr>
        <w:t>Labeo</w:t>
      </w:r>
      <w:r>
        <w:rPr>
          <w:rFonts w:asciiTheme="majorBidi" w:hAnsiTheme="majorBidi" w:eastAsiaTheme="minorHAnsi" w:cstheme="majorBidi"/>
        </w:rPr>
        <w:t xml:space="preserve"> species were observed by several workers including Dwivedi, (2009) who studied </w:t>
      </w:r>
      <w:r>
        <w:rPr>
          <w:rFonts w:asciiTheme="majorBidi" w:hAnsiTheme="majorBidi" w:eastAsiaTheme="minorHAnsi" w:cstheme="majorBidi"/>
          <w:i/>
          <w:iCs/>
        </w:rPr>
        <w:t>L. rohita</w:t>
      </w:r>
      <w:r>
        <w:rPr>
          <w:rFonts w:asciiTheme="majorBidi" w:hAnsiTheme="majorBidi" w:eastAsiaTheme="minorHAnsi" w:cstheme="majorBidi"/>
        </w:rPr>
        <w:t xml:space="preserve"> and </w:t>
      </w:r>
      <w:r>
        <w:rPr>
          <w:rFonts w:asciiTheme="majorBidi" w:hAnsiTheme="majorBidi" w:eastAsiaTheme="minorHAnsi" w:cstheme="majorBidi"/>
          <w:i/>
          <w:iCs/>
        </w:rPr>
        <w:t>L. calbasu</w:t>
      </w:r>
      <w:r>
        <w:rPr>
          <w:rFonts w:asciiTheme="majorBidi" w:hAnsiTheme="majorBidi" w:eastAsiaTheme="minorHAnsi" w:cstheme="majorBidi"/>
        </w:rPr>
        <w:t xml:space="preserve"> in the Paisuni River (India), and found values of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 83.3 and 61.2 cm and of </w:t>
      </w:r>
      <w:r>
        <w:rPr>
          <w:rFonts w:asciiTheme="majorBidi" w:hAnsiTheme="majorBidi" w:eastAsiaTheme="minorHAnsi" w:cstheme="majorBidi"/>
          <w:i/>
          <w:iCs/>
        </w:rPr>
        <w:t>K</w:t>
      </w:r>
      <w:r>
        <w:rPr>
          <w:rFonts w:asciiTheme="majorBidi" w:hAnsiTheme="majorBidi" w:eastAsiaTheme="minorHAnsi" w:cstheme="majorBidi"/>
        </w:rPr>
        <w:t xml:space="preserve"> = 0.56 yr⁻¹ and 0.28 yr⁻¹ for the two species respectively</w:t>
      </w:r>
      <w:r>
        <w:rPr>
          <w:rFonts w:asciiTheme="majorBidi" w:hAnsiTheme="majorBidi" w:eastAsiaTheme="minorHAnsi" w:cstheme="majorBidi"/>
          <w:i/>
          <w:iCs/>
        </w:rPr>
        <w:t>.</w:t>
      </w:r>
      <w:r>
        <w:rPr>
          <w:rFonts w:asciiTheme="majorBidi" w:hAnsiTheme="majorBidi" w:cstheme="majorBidi"/>
        </w:rPr>
        <w:t xml:space="preserve"> </w:t>
      </w:r>
      <w:r>
        <w:rPr>
          <w:rFonts w:asciiTheme="majorBidi" w:hAnsiTheme="majorBidi" w:eastAsiaTheme="minorHAnsi" w:cstheme="majorBidi"/>
        </w:rPr>
        <w:t xml:space="preserve">Athukorala and Amarasinghe (2010) estimated the growth parameters for </w:t>
      </w:r>
      <w:r>
        <w:rPr>
          <w:rFonts w:asciiTheme="majorBidi" w:hAnsiTheme="majorBidi" w:eastAsiaTheme="minorHAnsi" w:cstheme="majorBidi"/>
          <w:i/>
          <w:iCs/>
        </w:rPr>
        <w:t>Labeo dussumieri</w:t>
      </w:r>
      <w:r>
        <w:rPr>
          <w:rFonts w:asciiTheme="majorBidi" w:hAnsiTheme="majorBidi" w:eastAsiaTheme="minorHAnsi" w:cstheme="majorBidi"/>
        </w:rPr>
        <w:t xml:space="preserve"> in the Udawalawe River basin, Sri Lanka, and reported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at 41.7 cm and </w:t>
      </w:r>
      <w:r>
        <w:rPr>
          <w:rFonts w:asciiTheme="majorBidi" w:hAnsiTheme="majorBidi" w:eastAsiaTheme="minorHAnsi" w:cstheme="majorBidi"/>
          <w:i/>
          <w:iCs/>
        </w:rPr>
        <w:t>K</w:t>
      </w:r>
      <w:r>
        <w:rPr>
          <w:rFonts w:asciiTheme="majorBidi" w:hAnsiTheme="majorBidi" w:eastAsiaTheme="minorHAnsi" w:cstheme="majorBidi"/>
        </w:rPr>
        <w:t xml:space="preserve"> at 0.52 yr⁻¹ with an isometric growth pattern of </w:t>
      </w:r>
      <w:r>
        <w:rPr>
          <w:rFonts w:asciiTheme="majorBidi" w:hAnsiTheme="majorBidi" w:eastAsiaTheme="minorHAnsi" w:cstheme="majorBidi"/>
          <w:i/>
          <w:iCs/>
        </w:rPr>
        <w:t>b</w:t>
      </w:r>
      <w:r>
        <w:rPr>
          <w:rFonts w:asciiTheme="majorBidi" w:hAnsiTheme="majorBidi" w:eastAsiaTheme="minorHAnsi" w:cstheme="majorBidi"/>
        </w:rPr>
        <w:t xml:space="preserve"> = 3.02, and a highly significant correlation (</w:t>
      </w:r>
      <w:r>
        <w:rPr>
          <w:rFonts w:asciiTheme="majorBidi" w:hAnsiTheme="majorBidi" w:eastAsiaTheme="minorHAnsi" w:cstheme="majorBidi"/>
          <w:i/>
          <w:iCs/>
        </w:rPr>
        <w:t>p</w:t>
      </w:r>
      <w:r>
        <w:rPr>
          <w:rFonts w:asciiTheme="majorBidi" w:hAnsiTheme="majorBidi" w:eastAsiaTheme="minorHAnsi" w:cstheme="majorBidi"/>
        </w:rPr>
        <w:t xml:space="preserve"> &lt; 0.001, </w:t>
      </w:r>
      <w:r>
        <w:rPr>
          <w:rFonts w:asciiTheme="majorBidi" w:hAnsiTheme="majorBidi" w:eastAsiaTheme="minorHAnsi" w:cstheme="majorBidi"/>
          <w:i/>
          <w:iCs/>
        </w:rPr>
        <w:t>r</w:t>
      </w:r>
      <w:r>
        <w:rPr>
          <w:rFonts w:asciiTheme="majorBidi" w:hAnsiTheme="majorBidi" w:eastAsiaTheme="minorHAnsi" w:cstheme="majorBidi"/>
        </w:rPr>
        <w:t xml:space="preserve"> = 0.997). Montchowui </w:t>
      </w:r>
      <w:r>
        <w:rPr>
          <w:rFonts w:asciiTheme="majorBidi" w:hAnsiTheme="majorBidi" w:eastAsiaTheme="minorHAnsi" w:cstheme="majorBidi"/>
          <w:i/>
          <w:iCs/>
        </w:rPr>
        <w:t>et. al.,</w:t>
      </w:r>
      <w:r>
        <w:rPr>
          <w:rFonts w:asciiTheme="majorBidi" w:hAnsiTheme="majorBidi" w:eastAsiaTheme="minorHAnsi" w:cstheme="majorBidi"/>
        </w:rPr>
        <w:t xml:space="preserve"> (2011) studied </w:t>
      </w:r>
      <w:r>
        <w:rPr>
          <w:rFonts w:asciiTheme="majorBidi" w:hAnsiTheme="majorBidi" w:eastAsiaTheme="minorHAnsi" w:cstheme="majorBidi"/>
          <w:i/>
          <w:iCs/>
        </w:rPr>
        <w:t>Labeo parvus</w:t>
      </w:r>
      <w:r>
        <w:rPr>
          <w:rFonts w:asciiTheme="majorBidi" w:hAnsiTheme="majorBidi" w:eastAsiaTheme="minorHAnsi" w:cstheme="majorBidi"/>
        </w:rPr>
        <w:t xml:space="preserve"> in the Oueme River in Benin and reported growth parameters of </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of 57.0 cm and </w:t>
      </w:r>
      <w:r>
        <w:rPr>
          <w:rFonts w:asciiTheme="majorBidi" w:hAnsiTheme="majorBidi" w:eastAsiaTheme="minorHAnsi" w:cstheme="majorBidi"/>
          <w:i/>
          <w:iCs/>
        </w:rPr>
        <w:t>K</w:t>
      </w:r>
      <w:r>
        <w:rPr>
          <w:rFonts w:asciiTheme="majorBidi" w:hAnsiTheme="majorBidi" w:eastAsiaTheme="minorHAnsi" w:cstheme="majorBidi"/>
        </w:rPr>
        <w:t xml:space="preserve"> of 0.30 yr⁻¹. He ascribed these variations in growth parameters</w:t>
      </w:r>
      <w:r>
        <w:rPr>
          <w:rFonts w:asciiTheme="majorBidi" w:hAnsiTheme="majorBidi" w:eastAsiaTheme="minorHAnsi" w:cstheme="majorBidi"/>
          <w:b/>
          <w:bCs/>
        </w:rPr>
        <w:t xml:space="preserve"> </w:t>
      </w:r>
      <w:r>
        <w:rPr>
          <w:rFonts w:asciiTheme="majorBidi" w:hAnsiTheme="majorBidi" w:eastAsiaTheme="minorHAnsi" w:cstheme="majorBidi"/>
        </w:rPr>
        <w:t>of</w:t>
      </w:r>
      <w:r>
        <w:rPr>
          <w:rFonts w:asciiTheme="majorBidi" w:hAnsiTheme="majorBidi" w:eastAsiaTheme="minorHAnsi" w:cstheme="majorBidi"/>
          <w:b/>
          <w:bCs/>
        </w:rPr>
        <w:t xml:space="preserve"> </w:t>
      </w:r>
      <w:r>
        <w:rPr>
          <w:rFonts w:asciiTheme="majorBidi" w:hAnsiTheme="majorBidi" w:eastAsiaTheme="minorHAnsi" w:cstheme="majorBidi"/>
        </w:rPr>
        <w:t>fishes</w:t>
      </w:r>
      <w:r>
        <w:rPr>
          <w:rFonts w:asciiTheme="majorBidi" w:hAnsiTheme="majorBidi" w:eastAsiaTheme="minorHAnsi" w:cstheme="majorBidi"/>
          <w:b/>
          <w:bCs/>
        </w:rPr>
        <w:t xml:space="preserve"> </w:t>
      </w:r>
      <w:r>
        <w:rPr>
          <w:rFonts w:asciiTheme="majorBidi" w:hAnsiTheme="majorBidi" w:eastAsiaTheme="minorHAnsi" w:cstheme="majorBidi"/>
        </w:rPr>
        <w:t xml:space="preserve">to a range of factors, including </w:t>
      </w:r>
      <w:r>
        <w:rPr>
          <w:rFonts w:asciiTheme="majorBidi" w:hAnsiTheme="majorBidi" w:cstheme="majorBidi"/>
          <w:color w:val="000000"/>
          <w:shd w:val="clear" w:color="auto" w:fill="FFFFFF"/>
        </w:rPr>
        <w:t>the mean water level, water flow fluctuation, and each species' inherent traits</w:t>
      </w:r>
      <w:r>
        <w:rPr>
          <w:rFonts w:asciiTheme="majorBidi" w:hAnsiTheme="majorBidi" w:eastAsiaTheme="minorHAnsi" w:cstheme="majorBidi"/>
        </w:rPr>
        <w:t xml:space="preserve">. </w:t>
      </w:r>
    </w:p>
    <w:p w14:paraId="3D376DFE">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In this study, the total mortality Z of </w:t>
      </w:r>
      <w:r>
        <w:rPr>
          <w:rFonts w:asciiTheme="majorBidi" w:hAnsiTheme="majorBidi" w:eastAsiaTheme="minorHAnsi" w:cstheme="majorBidi"/>
          <w:i/>
          <w:iCs/>
        </w:rPr>
        <w:t>L. senegalensis</w:t>
      </w:r>
      <w:r>
        <w:rPr>
          <w:rFonts w:asciiTheme="majorBidi" w:hAnsiTheme="majorBidi" w:eastAsiaTheme="minorHAnsi" w:cstheme="majorBidi"/>
        </w:rPr>
        <w:t xml:space="preserve"> was estimated at 2.29 per year, natural mortality M = 1.38 per year, and fishing mortality F = 0.91 per year, with an exploitation ratio E = 0.4 per year. Conversely, low mortalities values were reported by Abdalla </w:t>
      </w:r>
      <w:r>
        <w:rPr>
          <w:rFonts w:asciiTheme="majorBidi" w:hAnsiTheme="majorBidi" w:eastAsiaTheme="minorHAnsi" w:cstheme="majorBidi"/>
          <w:i/>
          <w:iCs/>
        </w:rPr>
        <w:t>et. al.,</w:t>
      </w:r>
      <w:r>
        <w:rPr>
          <w:rFonts w:asciiTheme="majorBidi" w:hAnsiTheme="majorBidi" w:eastAsiaTheme="minorHAnsi" w:cstheme="majorBidi"/>
        </w:rPr>
        <w:t xml:space="preserve"> (2024) for </w:t>
      </w:r>
      <w:r>
        <w:rPr>
          <w:rFonts w:asciiTheme="majorBidi" w:hAnsiTheme="majorBidi" w:eastAsiaTheme="minorHAnsi" w:cstheme="majorBidi"/>
          <w:i/>
          <w:iCs/>
        </w:rPr>
        <w:t>L. senegalensis</w:t>
      </w:r>
      <w:r>
        <w:rPr>
          <w:rFonts w:asciiTheme="majorBidi" w:hAnsiTheme="majorBidi" w:eastAsiaTheme="minorHAnsi" w:cstheme="majorBidi"/>
        </w:rPr>
        <w:t xml:space="preserve"> from Khashm El-Girba reservoir (Sudan), with total mortality Z = 1.41 yr⁻¹; fishing mortality F = 0.43 yr⁻¹, natural mortality M = 0.98 yr⁻¹, and El-Kasheif </w:t>
      </w:r>
      <w:r>
        <w:rPr>
          <w:rFonts w:asciiTheme="majorBidi" w:hAnsiTheme="majorBidi" w:eastAsiaTheme="minorHAnsi" w:cstheme="majorBidi"/>
          <w:i/>
          <w:iCs/>
        </w:rPr>
        <w:t>et. al.,</w:t>
      </w:r>
      <w:r>
        <w:rPr>
          <w:rFonts w:asciiTheme="majorBidi" w:hAnsiTheme="majorBidi" w:eastAsiaTheme="minorHAnsi" w:cstheme="majorBidi"/>
        </w:rPr>
        <w:t xml:space="preserve"> (2007) for the same species from the River Nile who estimated total, natural, and fishing mortality rates at 1.30 yr⁻¹, 0.64 yr⁻¹, and 0.66 yr⁻¹ respectively. However, several workers studied the mortality parameters of different </w:t>
      </w:r>
      <w:r>
        <w:rPr>
          <w:rFonts w:asciiTheme="majorBidi" w:hAnsiTheme="majorBidi" w:eastAsiaTheme="minorHAnsi" w:cstheme="majorBidi"/>
          <w:i/>
          <w:iCs/>
        </w:rPr>
        <w:t>Labeo</w:t>
      </w:r>
      <w:r>
        <w:rPr>
          <w:rFonts w:asciiTheme="majorBidi" w:hAnsiTheme="majorBidi" w:eastAsiaTheme="minorHAnsi" w:cstheme="majorBidi"/>
        </w:rPr>
        <w:t xml:space="preserve"> species, such as Alam </w:t>
      </w:r>
      <w:r>
        <w:rPr>
          <w:rFonts w:asciiTheme="majorBidi" w:hAnsiTheme="majorBidi" w:eastAsiaTheme="minorHAnsi" w:cstheme="majorBidi"/>
          <w:i/>
          <w:iCs/>
        </w:rPr>
        <w:t>et. al.,</w:t>
      </w:r>
      <w:r>
        <w:rPr>
          <w:rFonts w:asciiTheme="majorBidi" w:hAnsiTheme="majorBidi" w:eastAsiaTheme="minorHAnsi" w:cstheme="majorBidi"/>
        </w:rPr>
        <w:t xml:space="preserve"> (2000) on </w:t>
      </w:r>
      <w:r>
        <w:rPr>
          <w:rFonts w:asciiTheme="majorBidi" w:hAnsiTheme="majorBidi" w:eastAsiaTheme="minorHAnsi" w:cstheme="majorBidi"/>
          <w:i/>
          <w:iCs/>
        </w:rPr>
        <w:t>Labeo calbasu</w:t>
      </w:r>
      <w:r>
        <w:rPr>
          <w:rFonts w:asciiTheme="majorBidi" w:hAnsiTheme="majorBidi" w:eastAsiaTheme="minorHAnsi" w:cstheme="majorBidi"/>
        </w:rPr>
        <w:t xml:space="preserve"> in the Sylhet basin, Bangladesh, and recorded annual rates of natural and fishing mortality of 1.11 yr⁻¹ and 3.48 yr⁻¹, respectively. Dwivedi, A. (2009) estimated F, M, and Z of </w:t>
      </w:r>
      <w:r>
        <w:rPr>
          <w:rFonts w:asciiTheme="majorBidi" w:hAnsiTheme="majorBidi" w:eastAsiaTheme="minorHAnsi" w:cstheme="majorBidi"/>
          <w:i/>
          <w:iCs/>
        </w:rPr>
        <w:t xml:space="preserve">L. rohita </w:t>
      </w:r>
      <w:r>
        <w:rPr>
          <w:rFonts w:asciiTheme="majorBidi" w:hAnsiTheme="majorBidi" w:eastAsiaTheme="minorHAnsi" w:cstheme="majorBidi"/>
        </w:rPr>
        <w:t>in Vindhyan River, India</w:t>
      </w:r>
      <w:r>
        <w:rPr>
          <w:rFonts w:asciiTheme="majorBidi" w:hAnsiTheme="majorBidi" w:eastAsiaTheme="minorHAnsi" w:cstheme="majorBidi"/>
          <w:i/>
          <w:iCs/>
        </w:rPr>
        <w:t>,</w:t>
      </w:r>
      <w:r>
        <w:rPr>
          <w:rFonts w:asciiTheme="majorBidi" w:hAnsiTheme="majorBidi" w:eastAsiaTheme="minorHAnsi" w:cstheme="majorBidi"/>
        </w:rPr>
        <w:t xml:space="preserve"> at 2.73 yr⁻¹, 0.94 yr⁻¹, and 3.67 yr⁻¹, respectively. Athukorala and Amarasinghe, (2010), in the Walawe River basin, Sri Lanka, estimated Z = 2.93 yr⁻¹, M = 1.07 yr⁻¹, and F = 1.86 yr⁻¹ for </w:t>
      </w:r>
      <w:r>
        <w:rPr>
          <w:rFonts w:asciiTheme="majorBidi" w:hAnsiTheme="majorBidi" w:eastAsiaTheme="minorHAnsi" w:cstheme="majorBidi"/>
          <w:i/>
          <w:iCs/>
        </w:rPr>
        <w:t>L. dussumieri</w:t>
      </w:r>
      <w:r>
        <w:rPr>
          <w:rFonts w:asciiTheme="majorBidi" w:hAnsiTheme="majorBidi" w:eastAsiaTheme="minorHAnsi" w:cstheme="majorBidi"/>
        </w:rPr>
        <w:t xml:space="preserve"> and Montchowui </w:t>
      </w:r>
      <w:r>
        <w:rPr>
          <w:rFonts w:asciiTheme="majorBidi" w:hAnsiTheme="majorBidi" w:eastAsiaTheme="minorHAnsi" w:cstheme="majorBidi"/>
          <w:i/>
          <w:iCs/>
        </w:rPr>
        <w:t>et. al.,</w:t>
      </w:r>
      <w:r>
        <w:rPr>
          <w:rFonts w:asciiTheme="majorBidi" w:hAnsiTheme="majorBidi" w:eastAsiaTheme="minorHAnsi" w:cstheme="majorBidi"/>
        </w:rPr>
        <w:t xml:space="preserve"> (2011) investigated </w:t>
      </w:r>
      <w:r>
        <w:rPr>
          <w:rFonts w:asciiTheme="majorBidi" w:hAnsiTheme="majorBidi" w:eastAsiaTheme="minorHAnsi" w:cstheme="majorBidi"/>
          <w:i/>
          <w:iCs/>
        </w:rPr>
        <w:t>L. senegalensis</w:t>
      </w:r>
      <w:r>
        <w:rPr>
          <w:rFonts w:asciiTheme="majorBidi" w:hAnsiTheme="majorBidi" w:eastAsiaTheme="minorHAnsi" w:cstheme="majorBidi"/>
        </w:rPr>
        <w:t xml:space="preserve"> in Queme River, Benin and presented values of fishing mortality F = 0.79 yr⁻¹; natural mortality M = 0.68 yr⁻¹, and total mortality Z = 1.47 yr⁻¹. These dissimilarities in mortality rates may be due to the impact of ecological factors and the use of different fishing techniques on the growth of different species found within the freshwater ecosystem.</w:t>
      </w:r>
    </w:p>
    <w:p w14:paraId="12837375">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growth performance index (</w:t>
      </w:r>
      <w:r>
        <w:t>Փ'</w:t>
      </w:r>
      <w:r>
        <w:rPr>
          <w:rFonts w:asciiTheme="majorBidi" w:hAnsiTheme="majorBidi" w:eastAsiaTheme="minorHAnsi" w:cstheme="majorBidi"/>
        </w:rPr>
        <w:t xml:space="preserve">) of </w:t>
      </w:r>
      <w:r>
        <w:rPr>
          <w:rFonts w:asciiTheme="majorBidi" w:hAnsiTheme="majorBidi" w:eastAsiaTheme="minorHAnsi" w:cstheme="majorBidi"/>
          <w:i/>
          <w:iCs/>
        </w:rPr>
        <w:t>L. senegalensis</w:t>
      </w:r>
      <w:r>
        <w:rPr>
          <w:rFonts w:asciiTheme="majorBidi" w:hAnsiTheme="majorBidi" w:eastAsiaTheme="minorHAnsi" w:cstheme="majorBidi"/>
        </w:rPr>
        <w:t xml:space="preserve"> was found to be 3.28, which is higher than that reported by Abdalla </w:t>
      </w:r>
      <w:r>
        <w:rPr>
          <w:rFonts w:asciiTheme="majorBidi" w:hAnsiTheme="majorBidi" w:eastAsiaTheme="minorHAnsi" w:cstheme="majorBidi"/>
          <w:i/>
          <w:iCs/>
        </w:rPr>
        <w:t>et. al.,</w:t>
      </w:r>
      <w:r>
        <w:rPr>
          <w:rFonts w:asciiTheme="majorBidi" w:hAnsiTheme="majorBidi" w:eastAsiaTheme="minorHAnsi" w:cstheme="majorBidi"/>
        </w:rPr>
        <w:t xml:space="preserve"> (2024) for </w:t>
      </w:r>
      <w:r>
        <w:rPr>
          <w:rFonts w:asciiTheme="majorBidi" w:hAnsiTheme="majorBidi" w:eastAsiaTheme="minorHAnsi" w:cstheme="majorBidi"/>
          <w:i/>
          <w:iCs/>
        </w:rPr>
        <w:t>L. senegalensis</w:t>
      </w:r>
      <w:r>
        <w:rPr>
          <w:rFonts w:asciiTheme="majorBidi" w:hAnsiTheme="majorBidi" w:eastAsiaTheme="minorHAnsi" w:cstheme="majorBidi"/>
        </w:rPr>
        <w:t xml:space="preserve">; Montchowui </w:t>
      </w:r>
      <w:r>
        <w:rPr>
          <w:rFonts w:asciiTheme="majorBidi" w:hAnsiTheme="majorBidi" w:eastAsiaTheme="minorHAnsi" w:cstheme="majorBidi"/>
          <w:i/>
          <w:iCs/>
        </w:rPr>
        <w:t>et. al.,</w:t>
      </w:r>
      <w:r>
        <w:rPr>
          <w:rFonts w:asciiTheme="majorBidi" w:hAnsiTheme="majorBidi" w:eastAsiaTheme="minorHAnsi" w:cstheme="majorBidi"/>
        </w:rPr>
        <w:t xml:space="preserve"> (2011) for </w:t>
      </w:r>
      <w:r>
        <w:rPr>
          <w:rFonts w:asciiTheme="majorBidi" w:hAnsiTheme="majorBidi" w:eastAsiaTheme="minorHAnsi" w:cstheme="majorBidi"/>
          <w:i/>
          <w:iCs/>
        </w:rPr>
        <w:t xml:space="preserve">L. dussumieri </w:t>
      </w:r>
      <w:r>
        <w:rPr>
          <w:rFonts w:asciiTheme="majorBidi" w:hAnsiTheme="majorBidi" w:eastAsiaTheme="minorHAnsi" w:cstheme="majorBidi"/>
        </w:rPr>
        <w:t xml:space="preserve">with </w:t>
      </w:r>
      <w:r>
        <w:t>Փ'</w:t>
      </w:r>
      <w:r>
        <w:rPr>
          <w:rFonts w:asciiTheme="majorBidi" w:hAnsiTheme="majorBidi" w:eastAsiaTheme="minorHAnsi" w:cstheme="majorBidi"/>
        </w:rPr>
        <w:t xml:space="preserve"> values of 2.937, 2.99. Athukorala and Amarasinghe (2010) stated that </w:t>
      </w:r>
      <w:r>
        <w:rPr>
          <w:rFonts w:asciiTheme="majorBidi" w:hAnsiTheme="majorBidi" w:cstheme="majorBidi"/>
          <w:color w:val="000000"/>
          <w:shd w:val="clear" w:color="auto" w:fill="FFFFFF"/>
        </w:rPr>
        <w:t>growth performance indices (</w:t>
      </w:r>
      <w:r>
        <w:t>Փ'</w:t>
      </w:r>
      <w:r>
        <w:rPr>
          <w:rFonts w:asciiTheme="majorBidi" w:hAnsiTheme="majorBidi" w:cstheme="majorBidi"/>
          <w:color w:val="000000"/>
          <w:shd w:val="clear" w:color="auto" w:fill="FFFFFF"/>
        </w:rPr>
        <w:t>)</w:t>
      </w:r>
      <w:r>
        <w:rPr>
          <w:rFonts w:asciiTheme="majorBidi" w:hAnsiTheme="majorBidi" w:eastAsiaTheme="minorHAnsi" w:cstheme="majorBidi"/>
        </w:rPr>
        <w:t xml:space="preserve"> of </w:t>
      </w:r>
      <w:r>
        <w:rPr>
          <w:rFonts w:asciiTheme="majorBidi" w:hAnsiTheme="majorBidi" w:eastAsiaTheme="minorHAnsi" w:cstheme="majorBidi"/>
          <w:i/>
          <w:iCs/>
        </w:rPr>
        <w:t>L. senegalensis</w:t>
      </w:r>
      <w:r>
        <w:rPr>
          <w:rFonts w:asciiTheme="majorBidi" w:hAnsiTheme="majorBidi" w:eastAsiaTheme="minorHAnsi" w:cstheme="majorBidi"/>
        </w:rPr>
        <w:t xml:space="preserve"> in African lakes and rivers ranged from 2.61- 3.12, whereas Ahmed </w:t>
      </w:r>
      <w:r>
        <w:rPr>
          <w:rFonts w:asciiTheme="majorBidi" w:hAnsiTheme="majorBidi" w:eastAsiaTheme="minorHAnsi" w:cstheme="majorBidi"/>
          <w:i/>
          <w:iCs/>
        </w:rPr>
        <w:t>et. al.,</w:t>
      </w:r>
      <w:r>
        <w:rPr>
          <w:rFonts w:asciiTheme="majorBidi" w:hAnsiTheme="majorBidi" w:eastAsiaTheme="minorHAnsi" w:cstheme="majorBidi"/>
        </w:rPr>
        <w:t xml:space="preserve"> (2005) found values of </w:t>
      </w:r>
      <w:r>
        <w:t>Փ'</w:t>
      </w:r>
      <w:r>
        <w:rPr>
          <w:rFonts w:asciiTheme="majorBidi" w:hAnsiTheme="majorBidi" w:eastAsiaTheme="minorHAnsi" w:cstheme="majorBidi"/>
        </w:rPr>
        <w:t xml:space="preserve"> </w:t>
      </w:r>
      <w:r>
        <w:rPr>
          <w:rFonts w:asciiTheme="majorBidi" w:hAnsiTheme="majorBidi" w:eastAsiaTheme="minorHAnsi" w:cstheme="majorBidi"/>
          <w:i/>
          <w:iCs/>
        </w:rPr>
        <w:t xml:space="preserve">L. fimbriatus </w:t>
      </w:r>
      <w:r>
        <w:rPr>
          <w:rFonts w:asciiTheme="majorBidi" w:hAnsiTheme="majorBidi" w:eastAsiaTheme="minorHAnsi" w:cstheme="majorBidi"/>
        </w:rPr>
        <w:t xml:space="preserve">and </w:t>
      </w:r>
      <w:r>
        <w:rPr>
          <w:rFonts w:asciiTheme="majorBidi" w:hAnsiTheme="majorBidi" w:eastAsiaTheme="minorHAnsi" w:cstheme="majorBidi"/>
          <w:i/>
          <w:iCs/>
        </w:rPr>
        <w:t xml:space="preserve">L. rohita </w:t>
      </w:r>
      <w:r>
        <w:rPr>
          <w:rFonts w:asciiTheme="majorBidi" w:hAnsiTheme="majorBidi" w:eastAsiaTheme="minorHAnsi" w:cstheme="majorBidi"/>
        </w:rPr>
        <w:t xml:space="preserve">varied in Indian rivers between 2.98 to 3.23 and 3.46 to 3.50 respectively. According to Pullin </w:t>
      </w:r>
      <w:r>
        <w:rPr>
          <w:rFonts w:asciiTheme="majorBidi" w:hAnsiTheme="majorBidi" w:eastAsiaTheme="minorHAnsi" w:cstheme="majorBidi"/>
          <w:i/>
          <w:iCs/>
        </w:rPr>
        <w:t xml:space="preserve">et. al., </w:t>
      </w:r>
      <w:r>
        <w:rPr>
          <w:rFonts w:asciiTheme="majorBidi" w:hAnsiTheme="majorBidi" w:eastAsiaTheme="minorHAnsi" w:cstheme="majorBidi"/>
        </w:rPr>
        <w:t>(2007), the growth performance indices of fishes usually range from 3,19 to 3,26. These variations in the values of growth performance indices in different freshwater bodies may be attributed to different traits of fish species as well as to different geographical locations of freshwater ecosystems.</w:t>
      </w:r>
    </w:p>
    <w:p w14:paraId="57F0FC3C">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The length at first sexual maturity (</w:t>
      </w:r>
      <w:r>
        <w:rPr>
          <w:rFonts w:asciiTheme="majorBidi" w:hAnsiTheme="majorBidi" w:eastAsiaTheme="minorHAnsi" w:cstheme="majorBidi"/>
          <w:i/>
          <w:iCs/>
        </w:rPr>
        <w:t>L</w:t>
      </w:r>
      <w:r>
        <w:rPr>
          <w:rFonts w:asciiTheme="majorBidi" w:hAnsiTheme="majorBidi" w:eastAsiaTheme="minorHAnsi" w:cstheme="majorBidi"/>
          <w:i/>
          <w:iCs/>
          <w:vertAlign w:val="subscript"/>
        </w:rPr>
        <w:t>m</w:t>
      </w:r>
      <w:r>
        <w:rPr>
          <w:rFonts w:asciiTheme="majorBidi" w:hAnsiTheme="majorBidi" w:eastAsiaTheme="minorHAnsi" w:cstheme="majorBidi"/>
        </w:rPr>
        <w:t xml:space="preserve">) of </w:t>
      </w:r>
      <w:r>
        <w:rPr>
          <w:rFonts w:asciiTheme="majorBidi" w:hAnsiTheme="majorBidi" w:eastAsiaTheme="minorHAnsi" w:cstheme="majorBidi"/>
          <w:i/>
          <w:iCs/>
        </w:rPr>
        <w:t>L. senegalensis</w:t>
      </w:r>
      <w:r>
        <w:rPr>
          <w:rFonts w:asciiTheme="majorBidi" w:hAnsiTheme="majorBidi" w:eastAsiaTheme="minorHAnsi" w:cstheme="majorBidi"/>
        </w:rPr>
        <w:t xml:space="preserve">, was determined at 23.36 cm. This value is slightly less than that obtained by Abdalla </w:t>
      </w:r>
      <w:r>
        <w:rPr>
          <w:rFonts w:asciiTheme="majorBidi" w:hAnsiTheme="majorBidi" w:eastAsiaTheme="minorHAnsi" w:cstheme="majorBidi"/>
          <w:i/>
          <w:iCs/>
        </w:rPr>
        <w:t>et. al.,</w:t>
      </w:r>
      <w:r>
        <w:rPr>
          <w:rFonts w:asciiTheme="majorBidi" w:hAnsiTheme="majorBidi" w:eastAsiaTheme="minorHAnsi" w:cstheme="majorBidi"/>
        </w:rPr>
        <w:t xml:space="preserve"> (2024) and El-Kasheif </w:t>
      </w:r>
      <w:r>
        <w:rPr>
          <w:rFonts w:asciiTheme="majorBidi" w:hAnsiTheme="majorBidi" w:eastAsiaTheme="minorHAnsi" w:cstheme="majorBidi"/>
          <w:i/>
          <w:iCs/>
        </w:rPr>
        <w:t>et. al.,</w:t>
      </w:r>
      <w:r>
        <w:rPr>
          <w:rFonts w:asciiTheme="majorBidi" w:hAnsiTheme="majorBidi" w:eastAsiaTheme="minorHAnsi" w:cstheme="majorBidi"/>
        </w:rPr>
        <w:t xml:space="preserve"> (2007), who reported </w:t>
      </w:r>
      <w:r>
        <w:rPr>
          <w:rFonts w:asciiTheme="majorBidi" w:hAnsiTheme="majorBidi" w:eastAsiaTheme="minorHAnsi" w:cstheme="majorBidi"/>
          <w:i/>
          <w:iCs/>
        </w:rPr>
        <w:t>L</w:t>
      </w:r>
      <w:r>
        <w:rPr>
          <w:rFonts w:asciiTheme="majorBidi" w:hAnsiTheme="majorBidi" w:eastAsiaTheme="minorHAnsi" w:cstheme="majorBidi"/>
          <w:i/>
          <w:iCs/>
          <w:vertAlign w:val="subscript"/>
        </w:rPr>
        <w:t>m</w:t>
      </w:r>
      <w:r>
        <w:rPr>
          <w:rFonts w:asciiTheme="majorBidi" w:hAnsiTheme="majorBidi" w:eastAsiaTheme="minorHAnsi" w:cstheme="majorBidi"/>
        </w:rPr>
        <w:t xml:space="preserve"> at 25.26 cm, and 30.0 cm respectively. </w:t>
      </w:r>
    </w:p>
    <w:p w14:paraId="5309747E">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In the current investigation, </w:t>
      </w:r>
      <w:r>
        <w:rPr>
          <w:rFonts w:asciiTheme="majorBidi" w:hAnsiTheme="majorBidi" w:eastAsiaTheme="minorHAnsi" w:cstheme="majorBidi"/>
          <w:i/>
          <w:iCs/>
        </w:rPr>
        <w:t>L senegalensis</w:t>
      </w:r>
      <w:r>
        <w:rPr>
          <w:rFonts w:asciiTheme="majorBidi" w:hAnsiTheme="majorBidi" w:eastAsiaTheme="minorHAnsi" w:cstheme="majorBidi"/>
        </w:rPr>
        <w:t xml:space="preserve"> showed a single recruitment peak occurring from June to August, coinciding with the rainy season. Montchowui </w:t>
      </w:r>
      <w:r>
        <w:rPr>
          <w:rFonts w:asciiTheme="majorBidi" w:hAnsiTheme="majorBidi" w:eastAsiaTheme="minorHAnsi" w:cstheme="majorBidi"/>
          <w:i/>
          <w:iCs/>
        </w:rPr>
        <w:t>et. al.,</w:t>
      </w:r>
      <w:r>
        <w:rPr>
          <w:rFonts w:asciiTheme="majorBidi" w:hAnsiTheme="majorBidi" w:eastAsiaTheme="minorHAnsi" w:cstheme="majorBidi"/>
        </w:rPr>
        <w:t xml:space="preserve"> (2011) noted that </w:t>
      </w:r>
      <w:r>
        <w:rPr>
          <w:rFonts w:asciiTheme="majorBidi" w:hAnsiTheme="majorBidi" w:eastAsiaTheme="minorHAnsi" w:cstheme="majorBidi"/>
          <w:i/>
          <w:iCs/>
        </w:rPr>
        <w:t>L. senegalensis</w:t>
      </w:r>
      <w:r>
        <w:rPr>
          <w:rFonts w:asciiTheme="majorBidi" w:hAnsiTheme="majorBidi" w:eastAsiaTheme="minorHAnsi" w:cstheme="majorBidi"/>
        </w:rPr>
        <w:t xml:space="preserve"> exhibited a single recruitment peak from June to September, while Abdalla </w:t>
      </w:r>
      <w:r>
        <w:rPr>
          <w:rFonts w:asciiTheme="majorBidi" w:hAnsiTheme="majorBidi" w:eastAsiaTheme="minorHAnsi" w:cstheme="majorBidi"/>
          <w:i/>
          <w:iCs/>
        </w:rPr>
        <w:t>et. al.,</w:t>
      </w:r>
      <w:r>
        <w:rPr>
          <w:rFonts w:asciiTheme="majorBidi" w:hAnsiTheme="majorBidi" w:eastAsiaTheme="minorHAnsi" w:cstheme="majorBidi"/>
        </w:rPr>
        <w:t xml:space="preserve"> (2024) reported</w:t>
      </w:r>
      <w:r>
        <w:rPr>
          <w:rFonts w:asciiTheme="majorBidi" w:hAnsiTheme="majorBidi" w:eastAsiaTheme="minorHAnsi" w:cstheme="majorBidi"/>
          <w:b/>
          <w:bCs/>
        </w:rPr>
        <w:t xml:space="preserve"> </w:t>
      </w:r>
      <w:r>
        <w:rPr>
          <w:rFonts w:asciiTheme="majorBidi" w:hAnsiTheme="majorBidi" w:eastAsiaTheme="minorHAnsi" w:cstheme="majorBidi"/>
        </w:rPr>
        <w:t xml:space="preserve">a single recruitment peak in July at the Khashm El-Girba reservoir, Sudan, and Alam </w:t>
      </w:r>
      <w:r>
        <w:rPr>
          <w:rFonts w:asciiTheme="majorBidi" w:hAnsiTheme="majorBidi" w:eastAsiaTheme="minorHAnsi" w:cstheme="majorBidi"/>
          <w:i/>
          <w:iCs/>
        </w:rPr>
        <w:t>et. al.,</w:t>
      </w:r>
      <w:r>
        <w:rPr>
          <w:rFonts w:asciiTheme="majorBidi" w:hAnsiTheme="majorBidi" w:eastAsiaTheme="minorHAnsi" w:cstheme="majorBidi"/>
        </w:rPr>
        <w:t xml:space="preserve"> (2000) declared that a recruitment peak occurred from August to October of </w:t>
      </w:r>
      <w:r>
        <w:rPr>
          <w:rFonts w:asciiTheme="majorBidi" w:hAnsiTheme="majorBidi" w:eastAsiaTheme="minorHAnsi" w:cstheme="majorBidi"/>
          <w:i/>
          <w:iCs/>
        </w:rPr>
        <w:t>L. calbasu</w:t>
      </w:r>
      <w:r>
        <w:rPr>
          <w:rFonts w:asciiTheme="majorBidi" w:hAnsiTheme="majorBidi" w:eastAsiaTheme="minorHAnsi" w:cstheme="majorBidi"/>
        </w:rPr>
        <w:t xml:space="preserve"> in the Sylhet basin, Bangladesh. However, Amin </w:t>
      </w:r>
      <w:r>
        <w:rPr>
          <w:rFonts w:asciiTheme="majorBidi" w:hAnsiTheme="majorBidi" w:eastAsiaTheme="minorHAnsi" w:cstheme="majorBidi"/>
          <w:i/>
          <w:iCs/>
        </w:rPr>
        <w:t>et. al.,</w:t>
      </w:r>
      <w:r>
        <w:rPr>
          <w:rFonts w:asciiTheme="majorBidi" w:hAnsiTheme="majorBidi" w:eastAsiaTheme="minorHAnsi" w:cstheme="majorBidi"/>
        </w:rPr>
        <w:t xml:space="preserve"> (2001) recorded two recruitment peaks for </w:t>
      </w:r>
      <w:r>
        <w:rPr>
          <w:rFonts w:asciiTheme="majorBidi" w:hAnsiTheme="majorBidi" w:eastAsiaTheme="minorHAnsi" w:cstheme="majorBidi"/>
          <w:i/>
          <w:iCs/>
        </w:rPr>
        <w:t xml:space="preserve">L. rohita, </w:t>
      </w:r>
      <w:r>
        <w:rPr>
          <w:rFonts w:asciiTheme="majorBidi" w:hAnsiTheme="majorBidi" w:eastAsiaTheme="minorHAnsi" w:cstheme="majorBidi"/>
        </w:rPr>
        <w:t>one</w:t>
      </w:r>
      <w:r>
        <w:rPr>
          <w:rFonts w:asciiTheme="majorBidi" w:hAnsiTheme="majorBidi" w:eastAsiaTheme="minorHAnsi" w:cstheme="majorBidi"/>
          <w:i/>
          <w:iCs/>
        </w:rPr>
        <w:t xml:space="preserve"> </w:t>
      </w:r>
      <w:r>
        <w:rPr>
          <w:rFonts w:asciiTheme="majorBidi" w:hAnsiTheme="majorBidi" w:eastAsiaTheme="minorHAnsi" w:cstheme="majorBidi"/>
        </w:rPr>
        <w:t>in April-June and the other in October-November. These differences in</w:t>
      </w:r>
      <w:r>
        <w:rPr>
          <w:rFonts w:asciiTheme="majorBidi" w:hAnsiTheme="majorBidi" w:eastAsiaTheme="minorHAnsi" w:cstheme="majorBidi"/>
          <w:rtl/>
        </w:rPr>
        <w:t xml:space="preserve"> </w:t>
      </w:r>
      <w:r>
        <w:rPr>
          <w:rFonts w:asciiTheme="majorBidi" w:hAnsiTheme="majorBidi" w:eastAsiaTheme="minorHAnsi" w:cstheme="majorBidi"/>
        </w:rPr>
        <w:t>the recruitment peaks of fish reveal that the timing of recruitment is influenced by the type of fish species and the environmental biological factors affecting the fish population in the particular freshwater ecosystem.</w:t>
      </w:r>
    </w:p>
    <w:p w14:paraId="2CC6F8C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Analysis of the probability of capture indicated that the length at first capture (</w:t>
      </w:r>
      <w:r>
        <w:rPr>
          <w:rFonts w:asciiTheme="majorBidi" w:hAnsiTheme="majorBidi" w:eastAsiaTheme="minorHAnsi" w:cstheme="majorBidi"/>
          <w:i/>
          <w:iCs/>
        </w:rPr>
        <w:t>L</w:t>
      </w:r>
      <w:r>
        <w:rPr>
          <w:rFonts w:asciiTheme="majorBidi" w:hAnsiTheme="majorBidi" w:eastAsiaTheme="minorHAnsi" w:cstheme="majorBidi"/>
          <w:vertAlign w:val="subscript"/>
        </w:rPr>
        <w:t>c</w:t>
      </w:r>
      <w:r>
        <w:rPr>
          <w:rFonts w:asciiTheme="majorBidi" w:hAnsiTheme="majorBidi" w:eastAsiaTheme="minorHAnsi" w:cstheme="majorBidi"/>
        </w:rPr>
        <w:t xml:space="preserve">) of </w:t>
      </w:r>
      <w:r>
        <w:rPr>
          <w:rFonts w:asciiTheme="majorBidi" w:hAnsiTheme="majorBidi" w:eastAsiaTheme="minorHAnsi" w:cstheme="majorBidi"/>
          <w:i/>
          <w:iCs/>
        </w:rPr>
        <w:t>L. senegalensis</w:t>
      </w:r>
      <w:r>
        <w:rPr>
          <w:rFonts w:asciiTheme="majorBidi" w:hAnsiTheme="majorBidi" w:eastAsiaTheme="minorHAnsi" w:cstheme="majorBidi"/>
        </w:rPr>
        <w:t xml:space="preserve"> was 24.02 cm, with vulnerable lengths at 25%, 50% and 75% of the catch being 16.56 cm, 20.39 cm, and 24.14 cm, respectively. The maximum relative yield per recruit (Y/R) was observed at an exploitation rate (E</w:t>
      </w:r>
      <w:r>
        <w:rPr>
          <w:rFonts w:asciiTheme="majorBidi" w:hAnsiTheme="majorBidi" w:eastAsiaTheme="minorHAnsi" w:cstheme="majorBidi"/>
          <w:i/>
          <w:iCs/>
          <w:vertAlign w:val="subscript"/>
        </w:rPr>
        <w:t>max</w:t>
      </w:r>
      <w:r>
        <w:rPr>
          <w:rFonts w:asciiTheme="majorBidi" w:hAnsiTheme="majorBidi" w:eastAsiaTheme="minorHAnsi" w:cstheme="majorBidi"/>
        </w:rPr>
        <w:t>) of 0.421, whereas the exploitation rates corresponding to 10% and 50% of the maximum Y/R (E</w:t>
      </w:r>
      <w:r>
        <w:rPr>
          <w:rFonts w:asciiTheme="majorBidi" w:hAnsiTheme="majorBidi" w:eastAsiaTheme="minorHAnsi" w:cstheme="majorBidi"/>
          <w:vertAlign w:val="subscript"/>
        </w:rPr>
        <w:t>01</w:t>
      </w:r>
      <w:r>
        <w:rPr>
          <w:rFonts w:asciiTheme="majorBidi" w:hAnsiTheme="majorBidi" w:eastAsiaTheme="minorHAnsi" w:cstheme="majorBidi"/>
        </w:rPr>
        <w:t xml:space="preserve"> and E</w:t>
      </w:r>
      <w:r>
        <w:rPr>
          <w:rFonts w:asciiTheme="majorBidi" w:hAnsiTheme="majorBidi" w:eastAsiaTheme="minorHAnsi" w:cstheme="majorBidi"/>
          <w:vertAlign w:val="subscript"/>
        </w:rPr>
        <w:t>05</w:t>
      </w:r>
      <w:r>
        <w:rPr>
          <w:rFonts w:asciiTheme="majorBidi" w:hAnsiTheme="majorBidi" w:eastAsiaTheme="minorHAnsi" w:cstheme="majorBidi"/>
        </w:rPr>
        <w:t xml:space="preserve">) were estimated at 0.355 and 0.278, respectively. </w:t>
      </w:r>
    </w:p>
    <w:p w14:paraId="6843304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The calculated exploitation rate of this species was 0,40 which is consistent with the findings of Abdalla </w:t>
      </w:r>
      <w:r>
        <w:rPr>
          <w:rFonts w:asciiTheme="majorBidi" w:hAnsiTheme="majorBidi" w:eastAsiaTheme="minorHAnsi" w:cstheme="majorBidi"/>
          <w:i/>
          <w:iCs/>
        </w:rPr>
        <w:t>et al</w:t>
      </w:r>
      <w:r>
        <w:rPr>
          <w:rFonts w:asciiTheme="majorBidi" w:hAnsiTheme="majorBidi" w:eastAsiaTheme="minorHAnsi" w:cstheme="majorBidi"/>
        </w:rPr>
        <w:t xml:space="preserve">., (2024) and Montchowui </w:t>
      </w:r>
      <w:r>
        <w:rPr>
          <w:rFonts w:asciiTheme="majorBidi" w:hAnsiTheme="majorBidi" w:eastAsiaTheme="minorHAnsi" w:cstheme="majorBidi"/>
          <w:i/>
          <w:iCs/>
        </w:rPr>
        <w:t>et. al.,</w:t>
      </w:r>
      <w:r>
        <w:rPr>
          <w:rFonts w:asciiTheme="majorBidi" w:hAnsiTheme="majorBidi" w:eastAsiaTheme="minorHAnsi" w:cstheme="majorBidi"/>
        </w:rPr>
        <w:t xml:space="preserve"> (2011), but less than the maximum exploitation rate of 0.50. Generally, an exploitation rate of a fish exceeding a value of 0.50 reveals that the fish stock is considered overfished, and there is an urgent need for effective management measures to prevent overfishing of the stock of the target species.</w:t>
      </w:r>
    </w:p>
    <w:p w14:paraId="749F036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In this study, </w:t>
      </w:r>
      <w:r>
        <w:rPr>
          <w:rFonts w:asciiTheme="majorBidi" w:hAnsiTheme="majorBidi" w:eastAsiaTheme="minorHAnsi" w:cstheme="majorBidi"/>
          <w:i/>
          <w:iCs/>
        </w:rPr>
        <w:t>L</w:t>
      </w:r>
      <w:r>
        <w:rPr>
          <w:rFonts w:asciiTheme="majorBidi" w:hAnsiTheme="majorBidi" w:eastAsiaTheme="minorHAnsi" w:cstheme="majorBidi"/>
          <w:vertAlign w:val="subscript"/>
        </w:rPr>
        <w:t>c</w:t>
      </w:r>
      <w:r>
        <w:rPr>
          <w:rFonts w:asciiTheme="majorBidi" w:hAnsiTheme="majorBidi" w:eastAsiaTheme="minorHAnsi" w:cstheme="majorBidi"/>
        </w:rPr>
        <w:t>/</w:t>
      </w:r>
      <w:r>
        <w:rPr>
          <w:rFonts w:asciiTheme="majorBidi" w:hAnsiTheme="majorBidi" w:eastAsiaTheme="minorHAnsi" w:cstheme="majorBidi"/>
          <w:i/>
          <w:iCs/>
        </w:rPr>
        <w:t>L</w:t>
      </w:r>
      <w:r>
        <w:rPr>
          <w:rFonts w:asciiTheme="majorBidi" w:hAnsiTheme="majorBidi" w:eastAsiaTheme="minorHAnsi" w:cstheme="majorBidi"/>
          <w:i/>
          <w:iCs/>
          <w:vertAlign w:val="subscript"/>
        </w:rPr>
        <w:t>∞</w:t>
      </w:r>
      <w:r>
        <w:rPr>
          <w:rFonts w:asciiTheme="majorBidi" w:hAnsiTheme="majorBidi" w:eastAsiaTheme="minorHAnsi" w:cstheme="majorBidi"/>
        </w:rPr>
        <w:t xml:space="preserve"> and M/K were estimated at 0.05 and 1.0 respectively, and the calculated length for optimal cohort biomass or yield prior to recruitment (</w:t>
      </w:r>
      <w:r>
        <w:rPr>
          <w:rFonts w:asciiTheme="majorBidi" w:hAnsiTheme="majorBidi" w:eastAsiaTheme="minorHAnsi" w:cstheme="majorBidi"/>
          <w:i/>
          <w:iCs/>
        </w:rPr>
        <w:t>L</w:t>
      </w:r>
      <w:r>
        <w:rPr>
          <w:rFonts w:asciiTheme="majorBidi" w:hAnsiTheme="majorBidi" w:eastAsiaTheme="minorHAnsi" w:cstheme="majorBidi"/>
          <w:i/>
          <w:iCs/>
          <w:vertAlign w:val="subscript"/>
        </w:rPr>
        <w:t>opt</w:t>
      </w:r>
      <w:r>
        <w:rPr>
          <w:rFonts w:asciiTheme="majorBidi" w:hAnsiTheme="majorBidi" w:eastAsiaTheme="minorHAnsi" w:cstheme="majorBidi"/>
        </w:rPr>
        <w:t xml:space="preserve">) was 30.78 cm (TL). The potential longevity for </w:t>
      </w:r>
      <w:r>
        <w:rPr>
          <w:rFonts w:asciiTheme="majorBidi" w:hAnsiTheme="majorBidi" w:eastAsiaTheme="minorHAnsi" w:cstheme="majorBidi"/>
          <w:i/>
          <w:iCs/>
        </w:rPr>
        <w:t>L. senegalensis</w:t>
      </w:r>
      <w:r>
        <w:rPr>
          <w:rFonts w:asciiTheme="majorBidi" w:hAnsiTheme="majorBidi" w:eastAsiaTheme="minorHAnsi" w:cstheme="majorBidi"/>
        </w:rPr>
        <w:t xml:space="preserve"> was estimated at a T</w:t>
      </w:r>
      <w:r>
        <w:rPr>
          <w:rFonts w:asciiTheme="majorBidi" w:hAnsiTheme="majorBidi" w:eastAsiaTheme="minorHAnsi" w:cstheme="majorBidi"/>
          <w:i/>
          <w:iCs/>
          <w:vertAlign w:val="subscript"/>
        </w:rPr>
        <w:t>max</w:t>
      </w:r>
      <w:r>
        <w:rPr>
          <w:rFonts w:asciiTheme="majorBidi" w:hAnsiTheme="majorBidi" w:eastAsiaTheme="minorHAnsi" w:cstheme="majorBidi"/>
        </w:rPr>
        <w:t xml:space="preserve"> of 2.7 years, which is nearly similar to the age of </w:t>
      </w:r>
      <w:r>
        <w:rPr>
          <w:rFonts w:asciiTheme="majorBidi" w:hAnsiTheme="majorBidi" w:eastAsiaTheme="minorHAnsi" w:cstheme="majorBidi"/>
          <w:i/>
          <w:iCs/>
        </w:rPr>
        <w:t>L. niloticus</w:t>
      </w:r>
      <w:r>
        <w:rPr>
          <w:rFonts w:asciiTheme="majorBidi" w:hAnsiTheme="majorBidi" w:eastAsiaTheme="minorHAnsi" w:cstheme="majorBidi"/>
        </w:rPr>
        <w:t xml:space="preserve"> reported by Abdalla (2018) from the Khashm El-Girba reservoir, almost half the value recorded for the same species</w:t>
      </w:r>
      <w:r>
        <w:rPr>
          <w:rFonts w:asciiTheme="majorBidi" w:hAnsiTheme="majorBidi" w:eastAsiaTheme="minorHAnsi" w:cstheme="majorBidi"/>
          <w:b/>
          <w:bCs/>
        </w:rPr>
        <w:t xml:space="preserve"> </w:t>
      </w:r>
      <w:r>
        <w:rPr>
          <w:rFonts w:asciiTheme="majorBidi" w:hAnsiTheme="majorBidi" w:eastAsiaTheme="minorHAnsi" w:cstheme="majorBidi"/>
        </w:rPr>
        <w:t xml:space="preserve">(5.604 years) by Abdalla </w:t>
      </w:r>
      <w:r>
        <w:rPr>
          <w:rFonts w:asciiTheme="majorBidi" w:hAnsiTheme="majorBidi" w:eastAsiaTheme="minorHAnsi" w:cstheme="majorBidi"/>
          <w:i/>
          <w:iCs/>
        </w:rPr>
        <w:t>et. al.,</w:t>
      </w:r>
      <w:r>
        <w:rPr>
          <w:rFonts w:asciiTheme="majorBidi" w:hAnsiTheme="majorBidi" w:eastAsiaTheme="minorHAnsi" w:cstheme="majorBidi"/>
        </w:rPr>
        <w:t xml:space="preserve"> (2024) in Khashm El-Girba reservoir and less than one-third of the value recorded by Montchowui </w:t>
      </w:r>
      <w:r>
        <w:rPr>
          <w:rFonts w:asciiTheme="majorBidi" w:hAnsiTheme="majorBidi" w:eastAsiaTheme="minorHAnsi" w:cstheme="majorBidi"/>
          <w:i/>
          <w:iCs/>
        </w:rPr>
        <w:t>et. al.,</w:t>
      </w:r>
      <w:r>
        <w:rPr>
          <w:rFonts w:asciiTheme="majorBidi" w:hAnsiTheme="majorBidi" w:eastAsiaTheme="minorHAnsi" w:cstheme="majorBidi"/>
        </w:rPr>
        <w:t xml:space="preserve"> (2011) for </w:t>
      </w:r>
      <w:r>
        <w:rPr>
          <w:rFonts w:asciiTheme="majorBidi" w:hAnsiTheme="majorBidi" w:eastAsiaTheme="minorHAnsi" w:cstheme="majorBidi"/>
          <w:i/>
          <w:iCs/>
        </w:rPr>
        <w:t>L. senegalensis</w:t>
      </w:r>
      <w:r>
        <w:rPr>
          <w:rFonts w:asciiTheme="majorBidi" w:hAnsiTheme="majorBidi" w:eastAsiaTheme="minorHAnsi" w:cstheme="majorBidi"/>
        </w:rPr>
        <w:t xml:space="preserve"> (10.0. years) and 8.3 years recorded by El-Kasheif </w:t>
      </w:r>
      <w:r>
        <w:rPr>
          <w:rFonts w:asciiTheme="majorBidi" w:hAnsiTheme="majorBidi" w:eastAsiaTheme="minorHAnsi" w:cstheme="majorBidi"/>
          <w:i/>
          <w:iCs/>
        </w:rPr>
        <w:t>et. al.,</w:t>
      </w:r>
      <w:r>
        <w:rPr>
          <w:rFonts w:asciiTheme="majorBidi" w:hAnsiTheme="majorBidi" w:eastAsiaTheme="minorHAnsi" w:cstheme="majorBidi"/>
        </w:rPr>
        <w:t xml:space="preserve"> (2007) for </w:t>
      </w:r>
      <w:r>
        <w:rPr>
          <w:rFonts w:asciiTheme="majorBidi" w:hAnsiTheme="majorBidi" w:eastAsiaTheme="minorHAnsi" w:cstheme="majorBidi"/>
          <w:i/>
          <w:iCs/>
        </w:rPr>
        <w:t>L. niloticus</w:t>
      </w:r>
      <w:r>
        <w:rPr>
          <w:rFonts w:asciiTheme="majorBidi" w:hAnsiTheme="majorBidi" w:eastAsiaTheme="minorHAnsi" w:cstheme="majorBidi"/>
        </w:rPr>
        <w:t xml:space="preserve"> from El-Kanater El-Khyria, (Egypt). These differences in longevity can be explained by species-specific trai</w:t>
      </w:r>
      <w:bookmarkStart w:id="0" w:name="_GoBack"/>
      <w:bookmarkEnd w:id="0"/>
      <w:r>
        <w:rPr>
          <w:rFonts w:asciiTheme="majorBidi" w:hAnsiTheme="majorBidi" w:eastAsiaTheme="minorHAnsi" w:cstheme="majorBidi"/>
        </w:rPr>
        <w:t xml:space="preserve">ts, level of exploitation, and various biological and ecological factors. </w:t>
      </w:r>
    </w:p>
    <w:p w14:paraId="135285C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Conclusion</w:t>
      </w:r>
      <w:r>
        <w:rPr>
          <w:rFonts w:asciiTheme="majorBidi" w:hAnsiTheme="majorBidi" w:eastAsiaTheme="minorHAnsi" w:cstheme="majorBidi"/>
        </w:rPr>
        <w:t>:</w:t>
      </w:r>
    </w:p>
    <w:p w14:paraId="5FE3B4D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In view </w:t>
      </w:r>
      <w:r>
        <w:rPr>
          <w:rFonts w:asciiTheme="majorBidi" w:hAnsiTheme="majorBidi" w:eastAsiaTheme="minorHAnsi" w:cstheme="majorBidi"/>
          <w:highlight w:val="yellow"/>
        </w:rPr>
        <w:t xml:space="preserve">of the </w:t>
      </w:r>
      <w:r>
        <w:rPr>
          <w:rFonts w:asciiTheme="majorBidi" w:hAnsiTheme="majorBidi" w:eastAsiaTheme="minorHAnsi" w:cstheme="majorBidi"/>
        </w:rPr>
        <w:t xml:space="preserve">of the results of this study, it may be concluded that the biometric growth parameters assessed for </w:t>
      </w:r>
      <w:r>
        <w:rPr>
          <w:rFonts w:asciiTheme="majorBidi" w:hAnsiTheme="majorBidi" w:eastAsiaTheme="minorHAnsi" w:cstheme="majorBidi"/>
          <w:i/>
          <w:iCs/>
        </w:rPr>
        <w:t>L. senegalensis</w:t>
      </w:r>
      <w:r>
        <w:rPr>
          <w:rFonts w:asciiTheme="majorBidi" w:hAnsiTheme="majorBidi" w:eastAsiaTheme="minorHAnsi" w:cstheme="majorBidi"/>
        </w:rPr>
        <w:t xml:space="preserve"> from the Upper Atbara and Settit Dam Complex</w:t>
      </w:r>
      <w:r>
        <w:rPr>
          <w:rFonts w:asciiTheme="majorBidi" w:hAnsiTheme="majorBidi" w:cstheme="majorBidi"/>
        </w:rPr>
        <w:t xml:space="preserve"> are more or less in optimal condition with a normal growth pattern. There is </w:t>
      </w:r>
      <w:r>
        <w:rPr>
          <w:rFonts w:asciiTheme="majorBidi" w:hAnsiTheme="majorBidi" w:eastAsiaTheme="minorHAnsi" w:cstheme="majorBidi"/>
        </w:rPr>
        <w:t>a strong correlation of length-weight relationship (</w:t>
      </w:r>
      <w:r>
        <w:rPr>
          <w:rFonts w:asciiTheme="majorBidi" w:hAnsiTheme="majorBidi" w:eastAsiaTheme="minorHAnsi" w:cstheme="majorBidi"/>
          <w:i/>
          <w:iCs/>
        </w:rPr>
        <w:t>r</w:t>
      </w:r>
      <w:r>
        <w:rPr>
          <w:rFonts w:asciiTheme="majorBidi" w:hAnsiTheme="majorBidi" w:eastAsiaTheme="minorHAnsi" w:cstheme="majorBidi"/>
        </w:rPr>
        <w:t xml:space="preserve"> = 0.947), showing a negative allometric growth,</w:t>
      </w:r>
      <w:r>
        <w:rPr>
          <w:rFonts w:asciiTheme="majorBidi" w:hAnsiTheme="majorBidi" w:cstheme="majorBidi"/>
        </w:rPr>
        <w:t xml:space="preserve"> although some future changes of these values may occur due to increasing fishing pressure and changing hydrobiological conditions. Moreover, the findings of this study showed that the </w:t>
      </w:r>
      <w:r>
        <w:rPr>
          <w:rFonts w:asciiTheme="majorBidi" w:hAnsiTheme="majorBidi" w:eastAsiaTheme="minorHAnsi" w:cstheme="majorBidi"/>
        </w:rPr>
        <w:t>natural mortality rate was higher than fishing mortality, suggesting significant losses which may be related to natural environmental causes. The recruitment pattern exhibited a single peak from June to August, coinciding with the rainy season, reflecting the influence of environmental factors on the fish populations. The maximum relative yield per recruit (Y/R) was achieved at an exploitation rate (E</w:t>
      </w:r>
      <w:r>
        <w:rPr>
          <w:rFonts w:asciiTheme="majorBidi" w:hAnsiTheme="majorBidi" w:eastAsiaTheme="minorHAnsi" w:cstheme="majorBidi"/>
          <w:i/>
          <w:iCs/>
          <w:vertAlign w:val="subscript"/>
        </w:rPr>
        <w:t>max</w:t>
      </w:r>
      <w:r>
        <w:rPr>
          <w:rFonts w:asciiTheme="majorBidi" w:hAnsiTheme="majorBidi" w:eastAsiaTheme="minorHAnsi" w:cstheme="majorBidi"/>
        </w:rPr>
        <w:t xml:space="preserve">) of 0.421, whereas the estimated exploitation rate of this fish species was 0.4.0, which is slightly below the optimum sustainable yield of 0.50, suggesting that the fish stock in the study area is still underexploited. </w:t>
      </w:r>
      <w:r>
        <w:rPr>
          <w:rFonts w:asciiTheme="majorBidi" w:hAnsiTheme="majorBidi" w:cstheme="majorBidi"/>
        </w:rPr>
        <w:t>This study provides some important baseline data for</w:t>
      </w:r>
      <w:r>
        <w:rPr>
          <w:rFonts w:asciiTheme="majorBidi" w:hAnsiTheme="majorBidi" w:eastAsiaTheme="minorHAnsi" w:cstheme="majorBidi"/>
        </w:rPr>
        <w:t xml:space="preserve"> the management of the stocks of this commercially important fish species</w:t>
      </w:r>
      <w:r>
        <w:rPr>
          <w:rFonts w:asciiTheme="majorBidi" w:hAnsiTheme="majorBidi" w:cstheme="majorBidi"/>
        </w:rPr>
        <w:t xml:space="preserve"> in the Upper Atbara and Settit Dam Complex. It can also </w:t>
      </w:r>
      <w:r>
        <w:rPr>
          <w:rFonts w:asciiTheme="majorBidi" w:hAnsiTheme="majorBidi" w:eastAsiaTheme="minorHAnsi" w:cstheme="majorBidi"/>
        </w:rPr>
        <w:t>stimulate future research programs aimed at the effective management and exploitation of other commercially valuable fish stocks in the freshwater resources of the country.</w:t>
      </w:r>
    </w:p>
    <w:p w14:paraId="3D9E15E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List of Abbreviations</w:t>
      </w:r>
      <w:r>
        <w:rPr>
          <w:rFonts w:asciiTheme="majorBidi" w:hAnsiTheme="majorBidi" w:eastAsiaTheme="minorHAnsi" w:cstheme="majorBidi"/>
        </w:rPr>
        <w:t>:</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5758"/>
      </w:tblGrid>
      <w:tr w14:paraId="1E4C7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Borders>
              <w:top w:val="single" w:color="auto" w:sz="4" w:space="0"/>
              <w:left w:val="single" w:color="auto" w:sz="4" w:space="0"/>
              <w:bottom w:val="single" w:color="auto" w:sz="4" w:space="0"/>
            </w:tcBorders>
          </w:tcPr>
          <w:p w14:paraId="74BBA27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Abbreviation</w:t>
            </w:r>
          </w:p>
        </w:tc>
        <w:tc>
          <w:tcPr>
            <w:tcW w:w="5758" w:type="dxa"/>
            <w:tcBorders>
              <w:top w:val="single" w:color="auto" w:sz="4" w:space="0"/>
              <w:bottom w:val="single" w:color="auto" w:sz="4" w:space="0"/>
              <w:right w:val="single" w:color="auto" w:sz="4" w:space="0"/>
            </w:tcBorders>
          </w:tcPr>
          <w:p w14:paraId="5D54EE72">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Meaning</w:t>
            </w:r>
          </w:p>
        </w:tc>
      </w:tr>
      <w:tr w14:paraId="38D0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Borders>
              <w:top w:val="single" w:color="auto" w:sz="4" w:space="0"/>
            </w:tcBorders>
          </w:tcPr>
          <w:p w14:paraId="76FA1C1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i/>
                <w:iCs/>
              </w:rPr>
              <w:t>L</w:t>
            </w:r>
            <w:r>
              <w:rPr>
                <w:rFonts w:asciiTheme="majorBidi" w:hAnsiTheme="majorBidi" w:eastAsiaTheme="minorHAnsi" w:cstheme="majorBidi"/>
                <w:vertAlign w:val="subscript"/>
              </w:rPr>
              <w:t>∞</w:t>
            </w:r>
          </w:p>
        </w:tc>
        <w:tc>
          <w:tcPr>
            <w:tcW w:w="5758" w:type="dxa"/>
            <w:tcBorders>
              <w:top w:val="single" w:color="auto" w:sz="4" w:space="0"/>
            </w:tcBorders>
          </w:tcPr>
          <w:p w14:paraId="7413DB4B">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 xml:space="preserve">Asymptotic length </w:t>
            </w:r>
          </w:p>
        </w:tc>
      </w:tr>
      <w:tr w14:paraId="2A97A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9FE8F08">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 xml:space="preserve">K </w:t>
            </w:r>
          </w:p>
        </w:tc>
        <w:tc>
          <w:tcPr>
            <w:tcW w:w="5758" w:type="dxa"/>
          </w:tcPr>
          <w:p w14:paraId="75C1E5BE">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Growth coefficient</w:t>
            </w:r>
          </w:p>
        </w:tc>
      </w:tr>
      <w:tr w14:paraId="033E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1605D4D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Phi (Փ')</w:t>
            </w:r>
          </w:p>
        </w:tc>
        <w:tc>
          <w:tcPr>
            <w:tcW w:w="5758" w:type="dxa"/>
          </w:tcPr>
          <w:p w14:paraId="78C39BD7">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Growth performance index</w:t>
            </w:r>
          </w:p>
        </w:tc>
      </w:tr>
      <w:tr w14:paraId="4FB3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0D479C93">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t</w:t>
            </w:r>
            <w:r>
              <w:rPr>
                <w:rFonts w:asciiTheme="majorBidi" w:hAnsiTheme="majorBidi" w:eastAsiaTheme="minorHAnsi" w:cstheme="majorBidi"/>
                <w:i/>
                <w:iCs/>
                <w:vertAlign w:val="subscript"/>
              </w:rPr>
              <w:t>0</w:t>
            </w:r>
          </w:p>
        </w:tc>
        <w:tc>
          <w:tcPr>
            <w:tcW w:w="5758" w:type="dxa"/>
          </w:tcPr>
          <w:p w14:paraId="0F4E738C">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Theoretical age at zero length</w:t>
            </w:r>
          </w:p>
        </w:tc>
      </w:tr>
      <w:tr w14:paraId="216B0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324746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T</w:t>
            </w:r>
            <w:r>
              <w:rPr>
                <w:rFonts w:asciiTheme="majorBidi" w:hAnsiTheme="majorBidi" w:eastAsiaTheme="minorHAnsi" w:cstheme="majorBidi"/>
                <w:i/>
                <w:iCs/>
                <w:vertAlign w:val="subscript"/>
              </w:rPr>
              <w:t>max</w:t>
            </w:r>
          </w:p>
        </w:tc>
        <w:tc>
          <w:tcPr>
            <w:tcW w:w="5758" w:type="dxa"/>
          </w:tcPr>
          <w:p w14:paraId="18918369">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Longevity</w:t>
            </w:r>
          </w:p>
        </w:tc>
      </w:tr>
      <w:tr w14:paraId="4433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21431AF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Z </w:t>
            </w:r>
          </w:p>
        </w:tc>
        <w:tc>
          <w:tcPr>
            <w:tcW w:w="5758" w:type="dxa"/>
          </w:tcPr>
          <w:p w14:paraId="266D250F">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Total mortality</w:t>
            </w:r>
          </w:p>
        </w:tc>
      </w:tr>
      <w:tr w14:paraId="268F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034DE41C">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M</w:t>
            </w:r>
          </w:p>
        </w:tc>
        <w:tc>
          <w:tcPr>
            <w:tcW w:w="5758" w:type="dxa"/>
          </w:tcPr>
          <w:p w14:paraId="5E34B1A1">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Natural mortality</w:t>
            </w:r>
          </w:p>
        </w:tc>
      </w:tr>
      <w:tr w14:paraId="5108A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63B5B2E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w:t>
            </w:r>
          </w:p>
        </w:tc>
        <w:tc>
          <w:tcPr>
            <w:tcW w:w="5758" w:type="dxa"/>
          </w:tcPr>
          <w:p w14:paraId="4C9D7E71">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Fishing mortality</w:t>
            </w:r>
          </w:p>
        </w:tc>
      </w:tr>
      <w:tr w14:paraId="35A29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531BF2F2">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L</w:t>
            </w:r>
            <w:r>
              <w:rPr>
                <w:rFonts w:asciiTheme="majorBidi" w:hAnsiTheme="majorBidi" w:eastAsiaTheme="minorHAnsi" w:cstheme="majorBidi"/>
                <w:i/>
                <w:iCs/>
                <w:vertAlign w:val="subscript"/>
              </w:rPr>
              <w:t>c</w:t>
            </w:r>
          </w:p>
        </w:tc>
        <w:tc>
          <w:tcPr>
            <w:tcW w:w="5758" w:type="dxa"/>
          </w:tcPr>
          <w:p w14:paraId="7243FF35">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 length at first capture</w:t>
            </w:r>
          </w:p>
        </w:tc>
      </w:tr>
      <w:tr w14:paraId="45FD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99BF8E0">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L</w:t>
            </w:r>
            <w:r>
              <w:rPr>
                <w:rFonts w:asciiTheme="majorBidi" w:hAnsiTheme="majorBidi" w:eastAsiaTheme="minorHAnsi" w:cstheme="majorBidi"/>
                <w:i/>
                <w:iCs/>
                <w:vertAlign w:val="subscript"/>
              </w:rPr>
              <w:t>m</w:t>
            </w:r>
          </w:p>
        </w:tc>
        <w:tc>
          <w:tcPr>
            <w:tcW w:w="5758" w:type="dxa"/>
          </w:tcPr>
          <w:p w14:paraId="2FA77341">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 length at first maturity</w:t>
            </w:r>
          </w:p>
        </w:tc>
      </w:tr>
      <w:tr w14:paraId="146E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24AD135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w:t>
            </w:r>
            <w:r>
              <w:rPr>
                <w:rFonts w:asciiTheme="majorBidi" w:hAnsiTheme="majorBidi" w:eastAsiaTheme="minorHAnsi" w:cstheme="majorBidi"/>
                <w:i/>
                <w:iCs/>
                <w:vertAlign w:val="subscript"/>
              </w:rPr>
              <w:t>max</w:t>
            </w:r>
          </w:p>
        </w:tc>
        <w:tc>
          <w:tcPr>
            <w:tcW w:w="5758" w:type="dxa"/>
          </w:tcPr>
          <w:p w14:paraId="1ECC087D">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 xml:space="preserve">Maximum fishing effort </w:t>
            </w:r>
          </w:p>
        </w:tc>
      </w:tr>
      <w:tr w14:paraId="6AA1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691927D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w:t>
            </w:r>
            <w:r>
              <w:rPr>
                <w:rFonts w:asciiTheme="majorBidi" w:hAnsiTheme="majorBidi" w:eastAsiaTheme="minorHAnsi" w:cstheme="majorBidi"/>
                <w:i/>
                <w:iCs/>
                <w:vertAlign w:val="subscript"/>
              </w:rPr>
              <w:t>limit</w:t>
            </w:r>
          </w:p>
        </w:tc>
        <w:tc>
          <w:tcPr>
            <w:tcW w:w="5758" w:type="dxa"/>
          </w:tcPr>
          <w:p w14:paraId="051AA7B9">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 xml:space="preserve">The precautionary limit reference point </w:t>
            </w:r>
          </w:p>
        </w:tc>
      </w:tr>
      <w:tr w14:paraId="05D44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EEE7F1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F</w:t>
            </w:r>
            <w:r>
              <w:rPr>
                <w:rFonts w:asciiTheme="majorBidi" w:hAnsiTheme="majorBidi" w:eastAsiaTheme="minorHAnsi" w:cstheme="majorBidi"/>
                <w:i/>
                <w:iCs/>
                <w:vertAlign w:val="subscript"/>
              </w:rPr>
              <w:t>opt</w:t>
            </w:r>
          </w:p>
        </w:tc>
        <w:tc>
          <w:tcPr>
            <w:tcW w:w="5758" w:type="dxa"/>
          </w:tcPr>
          <w:p w14:paraId="5E8DED44">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 precautionary target reference point</w:t>
            </w:r>
          </w:p>
        </w:tc>
      </w:tr>
      <w:tr w14:paraId="6B27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B1E86B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p>
        </w:tc>
        <w:tc>
          <w:tcPr>
            <w:tcW w:w="5758" w:type="dxa"/>
          </w:tcPr>
          <w:p w14:paraId="1D2337FB">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Exploitation rate</w:t>
            </w:r>
          </w:p>
        </w:tc>
      </w:tr>
      <w:tr w14:paraId="3EC27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62346E86">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r>
              <w:rPr>
                <w:rFonts w:asciiTheme="majorBidi" w:hAnsiTheme="majorBidi" w:eastAsiaTheme="minorHAnsi" w:cstheme="majorBidi"/>
                <w:i/>
                <w:iCs/>
                <w:vertAlign w:val="subscript"/>
              </w:rPr>
              <w:t>max</w:t>
            </w:r>
          </w:p>
        </w:tc>
        <w:tc>
          <w:tcPr>
            <w:tcW w:w="5758" w:type="dxa"/>
          </w:tcPr>
          <w:p w14:paraId="1080F84E">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Maximum exploitation rate</w:t>
            </w:r>
          </w:p>
        </w:tc>
      </w:tr>
      <w:tr w14:paraId="167E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44965D6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r>
              <w:rPr>
                <w:rFonts w:asciiTheme="majorBidi" w:hAnsiTheme="majorBidi" w:eastAsiaTheme="minorHAnsi" w:cstheme="majorBidi"/>
                <w:vertAlign w:val="subscript"/>
              </w:rPr>
              <w:t>01</w:t>
            </w:r>
          </w:p>
        </w:tc>
        <w:tc>
          <w:tcPr>
            <w:tcW w:w="5758" w:type="dxa"/>
          </w:tcPr>
          <w:p w14:paraId="578B4FBA">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 xml:space="preserve">The virgin biomass </w:t>
            </w:r>
          </w:p>
        </w:tc>
      </w:tr>
      <w:tr w14:paraId="72B24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0D5C2F7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E</w:t>
            </w:r>
            <w:r>
              <w:rPr>
                <w:rFonts w:asciiTheme="majorBidi" w:hAnsiTheme="majorBidi" w:eastAsiaTheme="minorHAnsi" w:cstheme="majorBidi"/>
                <w:vertAlign w:val="subscript"/>
              </w:rPr>
              <w:t>05</w:t>
            </w:r>
          </w:p>
        </w:tc>
        <w:tc>
          <w:tcPr>
            <w:tcW w:w="5758" w:type="dxa"/>
          </w:tcPr>
          <w:p w14:paraId="24949203">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Exploitation rate at 0.5 of the virgin biomass</w:t>
            </w:r>
          </w:p>
        </w:tc>
      </w:tr>
      <w:tr w14:paraId="2959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CF4AEB2">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L</w:t>
            </w:r>
            <w:r>
              <w:rPr>
                <w:rFonts w:asciiTheme="majorBidi" w:hAnsiTheme="majorBidi" w:eastAsiaTheme="minorHAnsi" w:cstheme="majorBidi"/>
                <w:i/>
                <w:iCs/>
                <w:vertAlign w:val="subscript"/>
              </w:rPr>
              <w:t>50</w:t>
            </w:r>
          </w:p>
        </w:tc>
        <w:tc>
          <w:tcPr>
            <w:tcW w:w="5758" w:type="dxa"/>
          </w:tcPr>
          <w:p w14:paraId="11DEBF34">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 length of the vulnerable catch is 50%</w:t>
            </w:r>
          </w:p>
        </w:tc>
      </w:tr>
      <w:tr w14:paraId="2C42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7A07AF38">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L</w:t>
            </w:r>
            <w:r>
              <w:rPr>
                <w:rFonts w:asciiTheme="majorBidi" w:hAnsiTheme="majorBidi" w:eastAsiaTheme="minorHAnsi" w:cstheme="majorBidi"/>
                <w:i/>
                <w:iCs/>
                <w:vertAlign w:val="subscript"/>
              </w:rPr>
              <w:t>25</w:t>
            </w:r>
          </w:p>
        </w:tc>
        <w:tc>
          <w:tcPr>
            <w:tcW w:w="5758" w:type="dxa"/>
          </w:tcPr>
          <w:p w14:paraId="13D9F96C">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 length of the vulnerable catch is 25%</w:t>
            </w:r>
          </w:p>
        </w:tc>
      </w:tr>
      <w:tr w14:paraId="0515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0A0E9D11">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L</w:t>
            </w:r>
            <w:r>
              <w:rPr>
                <w:rFonts w:asciiTheme="majorBidi" w:hAnsiTheme="majorBidi" w:eastAsiaTheme="minorHAnsi" w:cstheme="majorBidi"/>
                <w:i/>
                <w:iCs/>
                <w:vertAlign w:val="subscript"/>
              </w:rPr>
              <w:t>75</w:t>
            </w:r>
          </w:p>
        </w:tc>
        <w:tc>
          <w:tcPr>
            <w:tcW w:w="5758" w:type="dxa"/>
          </w:tcPr>
          <w:p w14:paraId="6DAC4667">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 length of the vulnerable catch is 75%</w:t>
            </w:r>
          </w:p>
        </w:tc>
      </w:tr>
      <w:tr w14:paraId="44BD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2F157A47">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L</w:t>
            </w:r>
            <w:r>
              <w:rPr>
                <w:rFonts w:asciiTheme="majorBidi" w:hAnsiTheme="majorBidi" w:eastAsiaTheme="minorHAnsi" w:cstheme="majorBidi"/>
                <w:i/>
                <w:iCs/>
                <w:vertAlign w:val="subscript"/>
              </w:rPr>
              <w:t>opt</w:t>
            </w:r>
          </w:p>
        </w:tc>
        <w:tc>
          <w:tcPr>
            <w:tcW w:w="5758" w:type="dxa"/>
          </w:tcPr>
          <w:p w14:paraId="6600B8C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Length at optimum cohort biomass</w:t>
            </w:r>
          </w:p>
        </w:tc>
      </w:tr>
      <w:tr w14:paraId="4A276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37BC046B">
            <w:pPr>
              <w:spacing w:before="120" w:after="120" w:line="360" w:lineRule="auto"/>
              <w:contextualSpacing/>
              <w:jc w:val="both"/>
              <w:rPr>
                <w:rFonts w:asciiTheme="majorBidi" w:hAnsiTheme="majorBidi" w:eastAsiaTheme="minorHAnsi" w:cstheme="majorBidi"/>
                <w:i/>
                <w:iCs/>
              </w:rPr>
            </w:pPr>
            <w:r>
              <w:rPr>
                <w:rFonts w:asciiTheme="majorBidi" w:hAnsiTheme="majorBidi" w:eastAsiaTheme="minorHAnsi" w:cstheme="majorBidi"/>
                <w:i/>
                <w:iCs/>
              </w:rPr>
              <w:t>r</w:t>
            </w:r>
          </w:p>
        </w:tc>
        <w:tc>
          <w:tcPr>
            <w:tcW w:w="5758" w:type="dxa"/>
          </w:tcPr>
          <w:p w14:paraId="43024BEC">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Correlation coefficient</w:t>
            </w:r>
          </w:p>
        </w:tc>
      </w:tr>
      <w:tr w14:paraId="4D67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64DD6F84">
            <w:pPr>
              <w:spacing w:line="360" w:lineRule="auto"/>
              <w:jc w:val="both"/>
              <w:rPr>
                <w:rFonts w:asciiTheme="majorBidi" w:hAnsiTheme="majorBidi" w:eastAsiaTheme="minorHAnsi" w:cstheme="majorBidi"/>
              </w:rPr>
            </w:pPr>
            <w:r>
              <w:rPr>
                <w:rFonts w:asciiTheme="majorBidi" w:hAnsiTheme="majorBidi" w:eastAsiaTheme="minorHAnsi" w:cstheme="majorBidi"/>
                <w:i/>
                <w:iCs/>
              </w:rPr>
              <w:t>b</w:t>
            </w:r>
            <w:r>
              <w:rPr>
                <w:rFonts w:asciiTheme="majorBidi" w:hAnsiTheme="majorBidi" w:eastAsiaTheme="minorHAnsi" w:cstheme="majorBidi"/>
              </w:rPr>
              <w:t>-value</w:t>
            </w:r>
          </w:p>
        </w:tc>
        <w:tc>
          <w:tcPr>
            <w:tcW w:w="5758" w:type="dxa"/>
          </w:tcPr>
          <w:p w14:paraId="1E0BFFF5">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The slope of the regression coefficient of LWR</w:t>
            </w:r>
          </w:p>
        </w:tc>
      </w:tr>
      <w:tr w14:paraId="5A122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0A6240F9">
            <w:pPr>
              <w:spacing w:line="360" w:lineRule="auto"/>
              <w:jc w:val="both"/>
              <w:rPr>
                <w:rFonts w:asciiTheme="majorBidi" w:hAnsiTheme="majorBidi" w:eastAsiaTheme="minorHAnsi" w:cstheme="majorBidi"/>
              </w:rPr>
            </w:pPr>
            <w:r>
              <w:rPr>
                <w:rFonts w:asciiTheme="majorBidi" w:hAnsiTheme="majorBidi" w:eastAsiaTheme="minorHAnsi" w:cstheme="majorBidi"/>
              </w:rPr>
              <w:t>log</w:t>
            </w:r>
          </w:p>
        </w:tc>
        <w:tc>
          <w:tcPr>
            <w:tcW w:w="5758" w:type="dxa"/>
          </w:tcPr>
          <w:p w14:paraId="766349C6">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Logarithm</w:t>
            </w:r>
          </w:p>
        </w:tc>
      </w:tr>
      <w:tr w14:paraId="1A15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06B19A00">
            <w:pPr>
              <w:spacing w:line="360" w:lineRule="auto"/>
              <w:jc w:val="both"/>
              <w:rPr>
                <w:rFonts w:asciiTheme="majorBidi" w:hAnsiTheme="majorBidi" w:eastAsiaTheme="minorHAnsi" w:cstheme="majorBidi"/>
              </w:rPr>
            </w:pPr>
            <w:r>
              <w:rPr>
                <w:rFonts w:asciiTheme="majorBidi" w:hAnsiTheme="majorBidi" w:eastAsiaTheme="minorHAnsi" w:cstheme="majorBidi"/>
              </w:rPr>
              <w:t>T</w:t>
            </w:r>
          </w:p>
        </w:tc>
        <w:tc>
          <w:tcPr>
            <w:tcW w:w="5758" w:type="dxa"/>
          </w:tcPr>
          <w:p w14:paraId="666DB715">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Mean surface temperature</w:t>
            </w:r>
          </w:p>
        </w:tc>
      </w:tr>
      <w:tr w14:paraId="4F523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47BFBFF8">
            <w:pPr>
              <w:spacing w:line="360" w:lineRule="auto"/>
              <w:jc w:val="both"/>
              <w:rPr>
                <w:rFonts w:asciiTheme="majorBidi" w:hAnsiTheme="majorBidi" w:eastAsiaTheme="minorHAnsi" w:cstheme="majorBidi"/>
              </w:rPr>
            </w:pPr>
            <w:r>
              <w:rPr>
                <w:rFonts w:asciiTheme="majorBidi" w:hAnsiTheme="majorBidi" w:eastAsiaTheme="minorHAnsi" w:cstheme="majorBidi"/>
              </w:rPr>
              <w:t>Y'/R</w:t>
            </w:r>
          </w:p>
        </w:tc>
        <w:tc>
          <w:tcPr>
            <w:tcW w:w="5758" w:type="dxa"/>
          </w:tcPr>
          <w:p w14:paraId="223466A3">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Relative yield per recruit</w:t>
            </w:r>
          </w:p>
        </w:tc>
      </w:tr>
      <w:tr w14:paraId="45632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tcPr>
          <w:p w14:paraId="1F2F29F7">
            <w:pPr>
              <w:spacing w:line="360" w:lineRule="auto"/>
              <w:jc w:val="both"/>
              <w:rPr>
                <w:rFonts w:asciiTheme="majorBidi" w:hAnsiTheme="majorBidi" w:eastAsiaTheme="minorHAnsi" w:cstheme="majorBidi"/>
              </w:rPr>
            </w:pPr>
            <w:r>
              <w:rPr>
                <w:rFonts w:asciiTheme="majorBidi" w:hAnsiTheme="majorBidi" w:eastAsiaTheme="minorHAnsi" w:cstheme="majorBidi"/>
              </w:rPr>
              <w:t>B'/R</w:t>
            </w:r>
          </w:p>
        </w:tc>
        <w:tc>
          <w:tcPr>
            <w:tcW w:w="5758" w:type="dxa"/>
          </w:tcPr>
          <w:p w14:paraId="6F69B574">
            <w:pPr>
              <w:spacing w:before="120" w:after="120" w:line="360" w:lineRule="auto"/>
              <w:contextualSpacing/>
              <w:jc w:val="left"/>
              <w:rPr>
                <w:rFonts w:asciiTheme="majorBidi" w:hAnsiTheme="majorBidi" w:eastAsiaTheme="minorHAnsi" w:cstheme="majorBidi"/>
              </w:rPr>
            </w:pPr>
            <w:r>
              <w:rPr>
                <w:rFonts w:asciiTheme="majorBidi" w:hAnsiTheme="majorBidi" w:eastAsiaTheme="minorHAnsi" w:cstheme="majorBidi"/>
              </w:rPr>
              <w:t xml:space="preserve">Relative biomass per recruit </w:t>
            </w:r>
          </w:p>
        </w:tc>
      </w:tr>
    </w:tbl>
    <w:p w14:paraId="074FB8B8">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Ethical Issues</w:t>
      </w:r>
      <w:r>
        <w:rPr>
          <w:rFonts w:asciiTheme="majorBidi" w:hAnsiTheme="majorBidi" w:eastAsiaTheme="minorHAnsi" w:cstheme="majorBidi"/>
        </w:rPr>
        <w:t xml:space="preserve">: Ethics approval and consent to participate, consent for publication, and availability of data and materials are not applicable. </w:t>
      </w:r>
    </w:p>
    <w:p w14:paraId="209AA56C">
      <w:pPr>
        <w:spacing w:before="120" w:after="120" w:line="360" w:lineRule="auto"/>
        <w:contextualSpacing/>
        <w:jc w:val="both"/>
        <w:rPr>
          <w:rFonts w:asciiTheme="majorBidi" w:hAnsiTheme="majorBidi" w:eastAsiaTheme="minorHAnsi" w:cstheme="majorBidi"/>
          <w:b/>
          <w:bCs/>
        </w:rPr>
      </w:pPr>
    </w:p>
    <w:p w14:paraId="620EFBC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b/>
          <w:bCs/>
        </w:rPr>
        <w:t>References</w:t>
      </w:r>
      <w:r>
        <w:rPr>
          <w:rFonts w:asciiTheme="majorBidi" w:hAnsiTheme="majorBidi" w:eastAsiaTheme="minorHAnsi" w:cstheme="majorBidi"/>
        </w:rPr>
        <w:t>:</w:t>
      </w:r>
    </w:p>
    <w:p w14:paraId="73DDEBB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Abdalla, M.Y.M., 2018. Biological aspects of </w:t>
      </w:r>
      <w:r>
        <w:rPr>
          <w:rFonts w:asciiTheme="majorBidi" w:hAnsiTheme="majorBidi" w:eastAsiaTheme="minorHAnsi" w:cstheme="majorBidi"/>
          <w:i/>
          <w:iCs/>
        </w:rPr>
        <w:t>Oreochromis niloticus</w:t>
      </w:r>
      <w:r>
        <w:rPr>
          <w:rFonts w:asciiTheme="majorBidi" w:hAnsiTheme="majorBidi" w:eastAsiaTheme="minorHAnsi" w:cstheme="majorBidi"/>
        </w:rPr>
        <w:t xml:space="preserve"> and </w:t>
      </w:r>
      <w:r>
        <w:rPr>
          <w:rFonts w:asciiTheme="majorBidi" w:hAnsiTheme="majorBidi" w:eastAsiaTheme="minorHAnsi" w:cstheme="majorBidi"/>
          <w:i/>
          <w:iCs/>
        </w:rPr>
        <w:t>Labeo niloticus</w:t>
      </w:r>
      <w:r>
        <w:rPr>
          <w:rFonts w:asciiTheme="majorBidi" w:hAnsiTheme="majorBidi" w:eastAsiaTheme="minorHAnsi" w:cstheme="majorBidi"/>
        </w:rPr>
        <w:t xml:space="preserve"> from Khashm El-Girba reservoir, Kassala state, Sudan. (M. Sc.). Department of Zoology, Faculty of Science, University of Khartoum, Sudan.</w:t>
      </w:r>
    </w:p>
    <w:p w14:paraId="23A7BC72">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Abdalla, M.Y.M., Abdelhalim, A.I., Adam, A.E.B., 2021. Study of some biological aspects of the Nile Carp, </w:t>
      </w:r>
      <w:r>
        <w:rPr>
          <w:rFonts w:asciiTheme="majorBidi" w:hAnsiTheme="majorBidi" w:eastAsiaTheme="minorHAnsi" w:cstheme="majorBidi"/>
          <w:i/>
          <w:iCs/>
        </w:rPr>
        <w:t>Labeo niloticus</w:t>
      </w:r>
      <w:r>
        <w:rPr>
          <w:rFonts w:asciiTheme="majorBidi" w:hAnsiTheme="majorBidi" w:eastAsiaTheme="minorHAnsi" w:cstheme="majorBidi"/>
        </w:rPr>
        <w:t xml:space="preserve"> (Pisces, Cyprinidae) from Khashm El-Girba Reservoir and Atbara River; Eastern Sudan: II, length-weight relationship, condition factor, and age structure. Glob. J. Fish. Sci. 3, 7–14. </w:t>
      </w:r>
      <w:r>
        <w:fldChar w:fldCharType="begin"/>
      </w:r>
      <w:r>
        <w:instrText xml:space="preserve"> HYPERLINK "https://doi.org/10.31248/GJFS2021.024" </w:instrText>
      </w:r>
      <w:r>
        <w:fldChar w:fldCharType="separate"/>
      </w:r>
      <w:r>
        <w:rPr>
          <w:rStyle w:val="12"/>
          <w:rFonts w:asciiTheme="majorBidi" w:hAnsiTheme="majorBidi" w:eastAsiaTheme="minorHAnsi" w:cstheme="majorBidi"/>
        </w:rPr>
        <w:t>https://doi.org/10.31248/GJFS2021.024</w:t>
      </w:r>
      <w:r>
        <w:rPr>
          <w:rStyle w:val="12"/>
          <w:rFonts w:asciiTheme="majorBidi" w:hAnsiTheme="majorBidi" w:eastAsiaTheme="minorHAnsi" w:cstheme="majorBidi"/>
        </w:rPr>
        <w:fldChar w:fldCharType="end"/>
      </w:r>
      <w:r>
        <w:rPr>
          <w:rFonts w:asciiTheme="majorBidi" w:hAnsiTheme="majorBidi" w:eastAsiaTheme="minorHAnsi" w:cstheme="majorBidi"/>
        </w:rPr>
        <w:t>.</w:t>
      </w:r>
    </w:p>
    <w:p w14:paraId="74F51E7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Abdalla, M.Y.M., Adam, A.E., Shuaib, M.E., Mahmoud, Z.N., 2024. Population dynamics of </w:t>
      </w:r>
      <w:r>
        <w:rPr>
          <w:rFonts w:asciiTheme="majorBidi" w:hAnsiTheme="majorBidi" w:eastAsiaTheme="minorHAnsi" w:cstheme="majorBidi"/>
          <w:i/>
          <w:iCs/>
        </w:rPr>
        <w:t>Labeo senegalensis</w:t>
      </w:r>
      <w:r>
        <w:rPr>
          <w:rFonts w:asciiTheme="majorBidi" w:hAnsiTheme="majorBidi" w:eastAsiaTheme="minorHAnsi" w:cstheme="majorBidi"/>
        </w:rPr>
        <w:t xml:space="preserve"> from Khashm El-Girba Reservoir, Sudan. Int. J. Fish. Aquat. Stud. 12, 104-111. </w:t>
      </w:r>
      <w:r>
        <w:fldChar w:fldCharType="begin"/>
      </w:r>
      <w:r>
        <w:instrText xml:space="preserve"> HYPERLINK "https://doi.org/10.22271/fish.2024.v12.i5b.2971" </w:instrText>
      </w:r>
      <w:r>
        <w:fldChar w:fldCharType="separate"/>
      </w:r>
      <w:r>
        <w:rPr>
          <w:rFonts w:asciiTheme="majorBidi" w:hAnsiTheme="majorBidi" w:eastAsiaTheme="minorHAnsi" w:cstheme="majorBidi"/>
          <w:color w:val="0563C1" w:themeColor="hyperlink"/>
          <w:u w:val="single"/>
          <w14:textFill>
            <w14:solidFill>
              <w14:schemeClr w14:val="hlink"/>
            </w14:solidFill>
          </w14:textFill>
        </w:rPr>
        <w:t>https://doi.org/10.22271/fish.2024.v12.i5b.2971</w:t>
      </w:r>
      <w:r>
        <w:rPr>
          <w:rFonts w:asciiTheme="majorBidi" w:hAnsiTheme="majorBidi" w:eastAsiaTheme="minorHAnsi" w:cstheme="majorBidi"/>
          <w:color w:val="0563C1" w:themeColor="hyperlink"/>
          <w:u w:val="single"/>
          <w14:textFill>
            <w14:solidFill>
              <w14:schemeClr w14:val="hlink"/>
            </w14:solidFill>
          </w14:textFill>
        </w:rPr>
        <w:fldChar w:fldCharType="end"/>
      </w:r>
      <w:r>
        <w:rPr>
          <w:rFonts w:asciiTheme="majorBidi" w:hAnsiTheme="majorBidi" w:eastAsiaTheme="minorHAnsi" w:cstheme="majorBidi"/>
        </w:rPr>
        <w:t>.</w:t>
      </w:r>
    </w:p>
    <w:p w14:paraId="7A9F2FF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Adam, H.A.S., Hamad, A.E.-A., 2021. Length-weight relationship and condition factor of </w:t>
      </w:r>
      <w:r>
        <w:rPr>
          <w:rFonts w:asciiTheme="majorBidi" w:hAnsiTheme="majorBidi" w:eastAsiaTheme="minorHAnsi" w:cstheme="majorBidi"/>
          <w:i/>
          <w:iCs/>
        </w:rPr>
        <w:t>Labeo niloticus</w:t>
      </w:r>
      <w:r>
        <w:rPr>
          <w:rFonts w:asciiTheme="majorBidi" w:hAnsiTheme="majorBidi" w:eastAsiaTheme="minorHAnsi" w:cstheme="majorBidi"/>
        </w:rPr>
        <w:t xml:space="preserve">, </w:t>
      </w:r>
      <w:r>
        <w:rPr>
          <w:rFonts w:asciiTheme="majorBidi" w:hAnsiTheme="majorBidi" w:eastAsiaTheme="minorHAnsi" w:cstheme="majorBidi"/>
          <w:i/>
          <w:iCs/>
        </w:rPr>
        <w:t>Synodontis schall</w:t>
      </w:r>
      <w:r>
        <w:rPr>
          <w:rFonts w:asciiTheme="majorBidi" w:hAnsiTheme="majorBidi" w:eastAsiaTheme="minorHAnsi" w:cstheme="majorBidi"/>
        </w:rPr>
        <w:t xml:space="preserve"> and </w:t>
      </w:r>
      <w:r>
        <w:rPr>
          <w:rFonts w:asciiTheme="majorBidi" w:hAnsiTheme="majorBidi" w:eastAsiaTheme="minorHAnsi" w:cstheme="majorBidi"/>
          <w:i/>
          <w:iCs/>
        </w:rPr>
        <w:t>Auchenoglanis occidentalis</w:t>
      </w:r>
      <w:r>
        <w:rPr>
          <w:rFonts w:asciiTheme="majorBidi" w:hAnsiTheme="majorBidi" w:eastAsiaTheme="minorHAnsi" w:cstheme="majorBidi"/>
        </w:rPr>
        <w:t>, in Upper Atbara and Settit Dam Complex, Gadarif State, Sudan. Glob. J. Fish. Sci. 3, 37–43.</w:t>
      </w:r>
    </w:p>
    <w:p w14:paraId="47FF3A0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Ahmed, K., Amin, S., Haldar, G., Dewan, S., Hossain, M., 2005. Population dynamics and stock assessment of </w:t>
      </w:r>
      <w:r>
        <w:rPr>
          <w:rFonts w:asciiTheme="majorBidi" w:hAnsiTheme="majorBidi" w:eastAsiaTheme="minorHAnsi" w:cstheme="majorBidi"/>
          <w:i/>
          <w:iCs/>
        </w:rPr>
        <w:t>Labeo rohita</w:t>
      </w:r>
      <w:r>
        <w:rPr>
          <w:rFonts w:asciiTheme="majorBidi" w:hAnsiTheme="majorBidi" w:eastAsiaTheme="minorHAnsi" w:cstheme="majorBidi"/>
        </w:rPr>
        <w:t xml:space="preserve"> (Hamilton) in the Kaptai Reservoir, Bangladesh. Asian Fish. Sci. 18, 1.</w:t>
      </w:r>
    </w:p>
    <w:p w14:paraId="25629DD3">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Alam, M., Amin, S.N., Haroon, A.Y., 2000. Population dynamics of </w:t>
      </w:r>
      <w:r>
        <w:rPr>
          <w:rFonts w:asciiTheme="majorBidi" w:hAnsiTheme="majorBidi" w:eastAsiaTheme="minorHAnsi" w:cstheme="majorBidi"/>
          <w:i/>
          <w:iCs/>
        </w:rPr>
        <w:t>Labeo calbasu</w:t>
      </w:r>
      <w:r>
        <w:rPr>
          <w:rFonts w:asciiTheme="majorBidi" w:hAnsiTheme="majorBidi" w:eastAsiaTheme="minorHAnsi" w:cstheme="majorBidi"/>
        </w:rPr>
        <w:t xml:space="preserve"> (Hamilton) in the Sylhet basin, Bangladesh. Indian J. Fish. 47, 1–6.</w:t>
      </w:r>
    </w:p>
    <w:p w14:paraId="534D7BB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Amin, S.N., Haroon, A.Y., Alam, M., 2001. A study on the population dynamics of </w:t>
      </w:r>
      <w:r>
        <w:rPr>
          <w:rFonts w:asciiTheme="majorBidi" w:hAnsiTheme="majorBidi" w:eastAsiaTheme="minorHAnsi" w:cstheme="majorBidi"/>
          <w:i/>
          <w:iCs/>
        </w:rPr>
        <w:t>Labeo rohita</w:t>
      </w:r>
      <w:r>
        <w:rPr>
          <w:rFonts w:asciiTheme="majorBidi" w:hAnsiTheme="majorBidi" w:eastAsiaTheme="minorHAnsi" w:cstheme="majorBidi"/>
        </w:rPr>
        <w:t xml:space="preserve"> (Hamilton) in the Sylhet basin Bangladesh. Ind. J Fish 48, 291–296.</w:t>
      </w:r>
    </w:p>
    <w:p w14:paraId="5E903A6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Athukorala, D.A., Amarasinghe, U.S., 2010. Population Dynamics of Commercially Important Fish Species in Two Reservoirs of the Walawe River Basin, Sri Lanka. Asian Fish. Sci. 23. </w:t>
      </w:r>
      <w:r>
        <w:fldChar w:fldCharType="begin"/>
      </w:r>
      <w:r>
        <w:instrText xml:space="preserve"> HYPERLINK "https://doi.org/10.33997/j.afs.2010.23.1.007" </w:instrText>
      </w:r>
      <w:r>
        <w:fldChar w:fldCharType="separate"/>
      </w:r>
      <w:r>
        <w:rPr>
          <w:rFonts w:asciiTheme="majorBidi" w:hAnsiTheme="majorBidi" w:eastAsiaTheme="minorHAnsi" w:cstheme="majorBidi"/>
          <w:color w:val="0563C1" w:themeColor="hyperlink"/>
          <w:u w:val="single"/>
          <w14:textFill>
            <w14:solidFill>
              <w14:schemeClr w14:val="hlink"/>
            </w14:solidFill>
          </w14:textFill>
        </w:rPr>
        <w:t>https://doi.org/10.33997/j.afs.2010.23.1.007</w:t>
      </w:r>
      <w:r>
        <w:rPr>
          <w:rFonts w:asciiTheme="majorBidi" w:hAnsiTheme="majorBidi" w:eastAsiaTheme="minorHAnsi" w:cstheme="majorBidi"/>
          <w:color w:val="0563C1" w:themeColor="hyperlink"/>
          <w:u w:val="single"/>
          <w14:textFill>
            <w14:solidFill>
              <w14:schemeClr w14:val="hlink"/>
            </w14:solidFill>
          </w14:textFill>
        </w:rPr>
        <w:fldChar w:fldCharType="end"/>
      </w:r>
      <w:r>
        <w:rPr>
          <w:rFonts w:asciiTheme="majorBidi" w:hAnsiTheme="majorBidi" w:eastAsiaTheme="minorHAnsi" w:cstheme="majorBidi"/>
        </w:rPr>
        <w:t>.</w:t>
      </w:r>
    </w:p>
    <w:p w14:paraId="5E1D653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Beverton, R., 1992. Patterns of reproductive strategy parameters in some marine teleost fishes. J. Fish Biol. 41, 137–160.</w:t>
      </w:r>
    </w:p>
    <w:p w14:paraId="28C11373">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Beverton, R.J., Holt, S.J., 1957. On the dynamics of exploited fish populations. Springer Science &amp; Business Media.</w:t>
      </w:r>
    </w:p>
    <w:p w14:paraId="1213F128">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Brahim, A.A., Houndonogbo, P.K., Baglo, I.S., Chikou, A., Laleye, P.A., 2023. Weight-length and total length-standard length factor relationships, and condition factor of the main fish species in Lake Maabo, Chad (Central Africa). Intr J Biol Chem Sci 17, 2631-2642.</w:t>
      </w:r>
    </w:p>
    <w:p w14:paraId="22173EDC">
      <w:pPr>
        <w:spacing w:before="120" w:after="120" w:line="360" w:lineRule="auto"/>
        <w:contextualSpacing/>
        <w:jc w:val="both"/>
        <w:rPr>
          <w:rFonts w:asciiTheme="majorBidi" w:hAnsiTheme="majorBidi" w:cstheme="majorBidi"/>
        </w:rPr>
      </w:pPr>
      <w:r>
        <w:rPr>
          <w:rFonts w:asciiTheme="majorBidi" w:hAnsiTheme="majorBidi" w:cstheme="majorBidi"/>
        </w:rPr>
        <w:t>Delaney L.M; Daniel M.J; Campbell C.E; 2007. Abundance and distribution of fish in the lower Mnembo River, Malawi/Mozambique. African Journal of Ecology 45: 390–397.</w:t>
      </w:r>
    </w:p>
    <w:p w14:paraId="70D341A8">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Dwivedi, A.C., 2009. Ecological assessment of fishes and population dynamics of </w:t>
      </w:r>
      <w:r>
        <w:rPr>
          <w:rFonts w:asciiTheme="majorBidi" w:hAnsiTheme="majorBidi" w:eastAsiaTheme="minorHAnsi" w:cstheme="majorBidi"/>
          <w:i/>
          <w:iCs/>
        </w:rPr>
        <w:t>Labeo rohita</w:t>
      </w:r>
      <w:r>
        <w:rPr>
          <w:rFonts w:asciiTheme="majorBidi" w:hAnsiTheme="majorBidi" w:eastAsiaTheme="minorHAnsi" w:cstheme="majorBidi"/>
        </w:rPr>
        <w:t xml:space="preserve"> (Hamilton), </w:t>
      </w:r>
      <w:r>
        <w:rPr>
          <w:rFonts w:asciiTheme="majorBidi" w:hAnsiTheme="majorBidi" w:eastAsiaTheme="minorHAnsi" w:cstheme="majorBidi"/>
          <w:i/>
          <w:iCs/>
        </w:rPr>
        <w:t>Tor tor</w:t>
      </w:r>
      <w:r>
        <w:rPr>
          <w:rFonts w:asciiTheme="majorBidi" w:hAnsiTheme="majorBidi" w:eastAsiaTheme="minorHAnsi" w:cstheme="majorBidi"/>
        </w:rPr>
        <w:t xml:space="preserve"> (Hamilton) and </w:t>
      </w:r>
      <w:r>
        <w:rPr>
          <w:rFonts w:asciiTheme="majorBidi" w:hAnsiTheme="majorBidi" w:eastAsiaTheme="minorHAnsi" w:cstheme="majorBidi"/>
          <w:i/>
          <w:iCs/>
        </w:rPr>
        <w:t>Labeo calbasu</w:t>
      </w:r>
      <w:r>
        <w:rPr>
          <w:rFonts w:asciiTheme="majorBidi" w:hAnsiTheme="majorBidi" w:eastAsiaTheme="minorHAnsi" w:cstheme="majorBidi"/>
        </w:rPr>
        <w:t xml:space="preserve"> (Hamilton) in the Paisuni River. Aquacult 10, 249–259.</w:t>
      </w:r>
    </w:p>
    <w:p w14:paraId="738AABA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El-Kasheif, M., Authman, M., Ibrahim, S., 2007. Study of age, growth and some population dynamics aspects of the Nile Cyprinidae fish, </w:t>
      </w:r>
      <w:r>
        <w:rPr>
          <w:rFonts w:asciiTheme="majorBidi" w:hAnsiTheme="majorBidi" w:eastAsiaTheme="minorHAnsi" w:cstheme="majorBidi"/>
          <w:i/>
          <w:iCs/>
        </w:rPr>
        <w:t>Labeo niloticus</w:t>
      </w:r>
      <w:r>
        <w:rPr>
          <w:rFonts w:asciiTheme="majorBidi" w:hAnsiTheme="majorBidi" w:eastAsiaTheme="minorHAnsi" w:cstheme="majorBidi"/>
        </w:rPr>
        <w:t>, from the River Nile at El-Kanater El-Khyria, Egypt. Catrina Int. J. Environ. Sci. 2, 7–21.</w:t>
      </w:r>
    </w:p>
    <w:p w14:paraId="29E8664F">
      <w:pPr>
        <w:spacing w:before="120" w:after="120" w:line="360" w:lineRule="auto"/>
        <w:contextualSpacing/>
        <w:jc w:val="both"/>
      </w:pPr>
      <w:r>
        <w:t xml:space="preserve">Pullin, R.S., Froese, R. and Pauly, D., 2007. Indicators for the sustainability of aquaculture. In </w:t>
      </w:r>
      <w:r>
        <w:rPr>
          <w:i/>
          <w:iCs/>
        </w:rPr>
        <w:t>Ecological and genetic implications of aquaculture activities</w:t>
      </w:r>
      <w:r>
        <w:t xml:space="preserve"> (pp. 53-72). Dordrecht: Springer Netherlands.</w:t>
      </w:r>
    </w:p>
    <w:p w14:paraId="53A9BE8A">
      <w:pPr>
        <w:spacing w:before="120" w:after="120" w:line="360" w:lineRule="auto"/>
        <w:contextualSpacing/>
        <w:jc w:val="both"/>
        <w:rPr>
          <w:rFonts w:asciiTheme="majorBidi" w:hAnsiTheme="majorBidi" w:eastAsiaTheme="minorHAnsi" w:cstheme="majorBidi"/>
          <w:color w:val="0000FF"/>
          <w:u w:val="single"/>
        </w:rPr>
      </w:pPr>
      <w:r>
        <w:rPr>
          <w:rFonts w:asciiTheme="majorBidi" w:hAnsiTheme="majorBidi" w:eastAsiaTheme="minorHAnsi" w:cstheme="majorBidi"/>
        </w:rPr>
        <w:t xml:space="preserve">Froese, R., 2004. Keep it simple: three indicators to deal with overfishing. Fish. 5, 86-91. </w:t>
      </w:r>
      <w:r>
        <w:fldChar w:fldCharType="begin"/>
      </w:r>
      <w:r>
        <w:instrText xml:space="preserve"> HYPERLINK "https://doi.org/10.1111/j.1467-2979.2004.00144.x" </w:instrText>
      </w:r>
      <w:r>
        <w:fldChar w:fldCharType="separate"/>
      </w:r>
      <w:r>
        <w:rPr>
          <w:rStyle w:val="12"/>
          <w:rFonts w:asciiTheme="majorBidi" w:hAnsiTheme="majorBidi" w:eastAsiaTheme="minorHAnsi" w:cstheme="majorBidi"/>
        </w:rPr>
        <w:t>https://doi.org/10.1111/j.1467-2979.2004.00144.x</w:t>
      </w:r>
      <w:r>
        <w:rPr>
          <w:rStyle w:val="12"/>
          <w:rFonts w:asciiTheme="majorBidi" w:hAnsiTheme="majorBidi" w:eastAsiaTheme="minorHAnsi" w:cstheme="majorBidi"/>
        </w:rPr>
        <w:fldChar w:fldCharType="end"/>
      </w:r>
    </w:p>
    <w:p w14:paraId="31FF85CE">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Gayanilo, F., Sparre, P., Pauly, D., 2005. FAO-ICLARM stock assessment tools II: Revised version: User’s guide. FAO Comput. Inf. Ser. Fish. I.</w:t>
      </w:r>
    </w:p>
    <w:p w14:paraId="32BD093A">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Gayanilo, F.C., Sparre, P., Paul, D., 1996. FAO-ICLARM Fish Stock Assessment Tools (FISAT) Software Package User’s Manual. Food &amp; Agriculture Org.</w:t>
      </w:r>
    </w:p>
    <w:p w14:paraId="1917C44C">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Gulland, J., 1971. Science and fishery management. ICES J. Mar. Sci. 33, 471–477.</w:t>
      </w:r>
    </w:p>
    <w:p w14:paraId="3FD2635D">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Gunderson, D.R., Sample, T.M., 1980. Distribution and abundance of rockfish off Washington, Oregon and California during 1977. Northwest and Alaska Fisheries Center, National Marine Fisheries Service.</w:t>
      </w:r>
    </w:p>
    <w:p w14:paraId="053AB2C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Hoggarth, D.D., Abeyasekera, S., Arthur, R.I., Beddington, J.R., Burn, R.W., Halls, A.S., KirKwood, G.P., McAllister, M., Medley, P., Mees, C.C., Parkes, G.B., Pilling, G.M., Wakeford, R.C., Welcomme, R.I., 2006. Stock assessment for fishery management: A framework guide to the stock assessment tools of the fisheries management and science Programme. Food &amp; Agriculture Org.</w:t>
      </w:r>
    </w:p>
    <w:p w14:paraId="37E8C3B9">
      <w:pPr>
        <w:spacing w:before="120" w:after="120" w:line="360" w:lineRule="auto"/>
        <w:contextualSpacing/>
        <w:jc w:val="both"/>
        <w:rPr>
          <w:rFonts w:asciiTheme="majorBidi" w:hAnsiTheme="majorBidi" w:eastAsiaTheme="minorHAnsi" w:cstheme="majorBidi"/>
          <w:b/>
          <w:bCs/>
        </w:rPr>
      </w:pPr>
      <w:r>
        <w:rPr>
          <w:rFonts w:asciiTheme="majorBidi" w:hAnsiTheme="majorBidi" w:cstheme="majorBidi"/>
          <w:color w:val="231F20"/>
          <w:spacing w:val="2"/>
          <w:shd w:val="clear" w:color="auto" w:fill="FFFFFF"/>
        </w:rPr>
        <w:t xml:space="preserve">Hossain, Y. Jahan, S; Jewel, A.S; Rahman, M; Khatun, M and Jasmine, S; 2015. Biological Aspects of the Critically Endangered Fish, </w:t>
      </w:r>
      <w:r>
        <w:rPr>
          <w:rFonts w:asciiTheme="majorBidi" w:hAnsiTheme="majorBidi" w:cstheme="majorBidi"/>
          <w:i/>
          <w:iCs/>
          <w:color w:val="231F20"/>
          <w:spacing w:val="3"/>
          <w:shd w:val="clear" w:color="auto" w:fill="FFFFFF"/>
        </w:rPr>
        <w:t>Labeo boga</w:t>
      </w:r>
      <w:r>
        <w:rPr>
          <w:rFonts w:asciiTheme="majorBidi" w:hAnsiTheme="majorBidi" w:cstheme="majorBidi"/>
          <w:color w:val="231F20"/>
          <w:spacing w:val="3"/>
          <w:shd w:val="clear" w:color="auto" w:fill="FFFFFF"/>
        </w:rPr>
        <w:t xml:space="preserve"> </w:t>
      </w:r>
      <w:r>
        <w:rPr>
          <w:rFonts w:asciiTheme="majorBidi" w:hAnsiTheme="majorBidi" w:cstheme="majorBidi"/>
          <w:color w:val="231F20"/>
          <w:spacing w:val="2"/>
          <w:shd w:val="clear" w:color="auto" w:fill="FFFFFF"/>
        </w:rPr>
        <w:t>in the Ganges River, Northwestern Bangladesh. Sains Malaysian. 44(1), 31-40.</w:t>
      </w:r>
    </w:p>
    <w:p w14:paraId="77A964B9">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Mahmoud, Z.N., Hagar, E.S.A., Abdalla, M.Y., 2024. Fish diversity in the Nile system and ephemeral water bodies in Sudan: Records and a review. </w:t>
      </w:r>
      <w:r>
        <w:rPr>
          <w:rFonts w:asciiTheme="majorBidi" w:hAnsiTheme="majorBidi" w:eastAsiaTheme="minorHAnsi" w:cstheme="majorBidi"/>
          <w:i/>
          <w:iCs/>
        </w:rPr>
        <w:t>Int. J. Fish. Aquat. Stud.</w:t>
      </w:r>
      <w:r>
        <w:rPr>
          <w:rFonts w:asciiTheme="majorBidi" w:hAnsiTheme="majorBidi" w:eastAsiaTheme="minorHAnsi" w:cstheme="majorBidi"/>
        </w:rPr>
        <w:t xml:space="preserve"> 12, 01–08. </w:t>
      </w:r>
      <w:r>
        <w:fldChar w:fldCharType="begin"/>
      </w:r>
      <w:r>
        <w:instrText xml:space="preserve"> HYPERLINK "https://doi.org/10.22271/fish.2024.v12.i4a.2938" </w:instrText>
      </w:r>
      <w:r>
        <w:fldChar w:fldCharType="separate"/>
      </w:r>
      <w:r>
        <w:rPr>
          <w:rStyle w:val="12"/>
          <w:rFonts w:asciiTheme="majorBidi" w:hAnsiTheme="majorBidi" w:eastAsiaTheme="minorHAnsi" w:cstheme="majorBidi"/>
        </w:rPr>
        <w:t>https://doi.org/10.22271/fish.2024.v12.i4a.2938</w:t>
      </w:r>
      <w:r>
        <w:rPr>
          <w:rStyle w:val="12"/>
          <w:rFonts w:asciiTheme="majorBidi" w:hAnsiTheme="majorBidi" w:eastAsiaTheme="minorHAnsi" w:cstheme="majorBidi"/>
        </w:rPr>
        <w:fldChar w:fldCharType="end"/>
      </w:r>
      <w:r>
        <w:rPr>
          <w:rFonts w:asciiTheme="majorBidi" w:hAnsiTheme="majorBidi" w:eastAsiaTheme="minorHAnsi" w:cstheme="majorBidi"/>
        </w:rPr>
        <w:t>.</w:t>
      </w:r>
    </w:p>
    <w:p w14:paraId="388A0937">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Montchowui, E., Chikou, A., Ovidio, M., Laleye, P., Poncin, P., 2011. Population dynamics of </w:t>
      </w:r>
      <w:r>
        <w:rPr>
          <w:rFonts w:asciiTheme="majorBidi" w:hAnsiTheme="majorBidi" w:eastAsiaTheme="minorHAnsi" w:cstheme="majorBidi"/>
          <w:i/>
          <w:iCs/>
        </w:rPr>
        <w:t>Labeo senegalensis</w:t>
      </w:r>
      <w:r>
        <w:rPr>
          <w:rFonts w:asciiTheme="majorBidi" w:hAnsiTheme="majorBidi" w:eastAsiaTheme="minorHAnsi" w:cstheme="majorBidi"/>
        </w:rPr>
        <w:t xml:space="preserve"> Valenciennes 1842 (Pisces: Cyprinidae) in the Oueme River, Benin. J. Fish. Int. 6.</w:t>
      </w:r>
    </w:p>
    <w:p w14:paraId="22904E23">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Moreau, J., Bambino, C., Pauly, D., 1986. Indices of Overall Growth Performance of 100 Tilapia (cichlidae) Populations.</w:t>
      </w:r>
    </w:p>
    <w:p w14:paraId="15124F5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Neumann, D., Obermaier, H., Moritz, T., 2016. Annotated checklist for fishes of the Main Nile Basin in the Sudan and Egypt based on recent specimen records (2006-2015). Cybium 40, 287–317.</w:t>
      </w:r>
    </w:p>
    <w:p w14:paraId="7A79652F">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Olufeagba, S., Okomoda, V., 2016. Some aspects of the biology of </w:t>
      </w:r>
      <w:r>
        <w:rPr>
          <w:rFonts w:asciiTheme="majorBidi" w:hAnsiTheme="majorBidi" w:eastAsiaTheme="minorHAnsi" w:cstheme="majorBidi"/>
          <w:i/>
          <w:iCs/>
        </w:rPr>
        <w:t>Labeo coubie</w:t>
      </w:r>
      <w:r>
        <w:rPr>
          <w:rFonts w:asciiTheme="majorBidi" w:hAnsiTheme="majorBidi" w:eastAsiaTheme="minorHAnsi" w:cstheme="majorBidi"/>
        </w:rPr>
        <w:t xml:space="preserve"> Ruppell, 1832 and </w:t>
      </w:r>
      <w:r>
        <w:rPr>
          <w:rFonts w:asciiTheme="majorBidi" w:hAnsiTheme="majorBidi" w:eastAsiaTheme="minorHAnsi" w:cstheme="majorBidi"/>
          <w:i/>
          <w:iCs/>
        </w:rPr>
        <w:t>Labeo senegalensis</w:t>
      </w:r>
      <w:r>
        <w:rPr>
          <w:rFonts w:asciiTheme="majorBidi" w:hAnsiTheme="majorBidi" w:eastAsiaTheme="minorHAnsi" w:cstheme="majorBidi"/>
        </w:rPr>
        <w:t xml:space="preserve"> Valenciennes, 1842 from the lower river Benue. J. Fish. Com 10, 49.</w:t>
      </w:r>
    </w:p>
    <w:p w14:paraId="1E2BB3F6">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Patterson, K., 1992. Fisheries for small pelagic species: an empirical approach to management targets. Rev. Fish Biol. Fish. 2, 321–338.</w:t>
      </w:r>
    </w:p>
    <w:p w14:paraId="0DA3AFD3">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Pauly, D., Morgan, G., 1987. Length-based methods in fisheries research. WorldFish.</w:t>
      </w:r>
    </w:p>
    <w:p w14:paraId="5B9CE1C1">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Pauly, D., 1984. Fish population dynamics in tropical waters: a manual for use with programmable calculators. ICLARM.</w:t>
      </w:r>
    </w:p>
    <w:p w14:paraId="2C8D9A7B">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Pauly, D., 1983. Some simple methods for the assessment of tropical fish stocks. Food &amp; Agriculture Org.</w:t>
      </w:r>
    </w:p>
    <w:p w14:paraId="4F6C33B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 xml:space="preserve">Pauly, D., 1980. On the interrelationships between natural mortality, growth parameters, and mean environmental temperature in 175 fish stocks. ICES J. Mar. Sci. 39, 175–192. </w:t>
      </w:r>
      <w:r>
        <w:fldChar w:fldCharType="begin"/>
      </w:r>
      <w:r>
        <w:instrText xml:space="preserve"> HYPERLINK "https://doi.org/10.1093/icesjms/39.2.175" </w:instrText>
      </w:r>
      <w:r>
        <w:fldChar w:fldCharType="separate"/>
      </w:r>
      <w:r>
        <w:rPr>
          <w:rFonts w:asciiTheme="majorBidi" w:hAnsiTheme="majorBidi" w:eastAsiaTheme="minorHAnsi" w:cstheme="majorBidi"/>
          <w:color w:val="0563C1" w:themeColor="hyperlink"/>
          <w:u w:val="single"/>
          <w14:textFill>
            <w14:solidFill>
              <w14:schemeClr w14:val="hlink"/>
            </w14:solidFill>
          </w14:textFill>
        </w:rPr>
        <w:t>https://doi.org/10.1093/icesjms/39.2.175</w:t>
      </w:r>
      <w:r>
        <w:rPr>
          <w:rFonts w:asciiTheme="majorBidi" w:hAnsiTheme="majorBidi" w:eastAsiaTheme="minorHAnsi" w:cstheme="majorBidi"/>
          <w:color w:val="0563C1" w:themeColor="hyperlink"/>
          <w:u w:val="single"/>
          <w14:textFill>
            <w14:solidFill>
              <w14:schemeClr w14:val="hlink"/>
            </w14:solidFill>
          </w14:textFill>
        </w:rPr>
        <w:fldChar w:fldCharType="end"/>
      </w:r>
      <w:r>
        <w:rPr>
          <w:rFonts w:asciiTheme="majorBidi" w:hAnsiTheme="majorBidi" w:eastAsiaTheme="minorHAnsi" w:cstheme="majorBidi"/>
        </w:rPr>
        <w:t>.</w:t>
      </w:r>
    </w:p>
    <w:p w14:paraId="05086420">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Pauly, D., 1979. Gill size and temperature as governing factors in fish growth: a generalization of von Bertalanffy’s growth formula.</w:t>
      </w:r>
    </w:p>
    <w:p w14:paraId="2DF5CA09">
      <w:pPr>
        <w:spacing w:before="120" w:after="120" w:line="360" w:lineRule="auto"/>
        <w:contextualSpacing/>
        <w:jc w:val="both"/>
        <w:rPr>
          <w:rFonts w:asciiTheme="majorBidi" w:hAnsiTheme="majorBidi" w:eastAsiaTheme="minorHAnsi" w:cstheme="majorBidi"/>
        </w:rPr>
      </w:pPr>
      <w:r>
        <w:t xml:space="preserve">Pervin, M. R. and Mortuza, M. G., 2008. Notes on length-weight relationship and condition factor of fresh water fish, </w:t>
      </w:r>
      <w:r>
        <w:rPr>
          <w:i/>
          <w:iCs/>
        </w:rPr>
        <w:t>Labeo boga</w:t>
      </w:r>
      <w:r>
        <w:t xml:space="preserve"> (Hamilton) (Cypriniformes: Cyprinidae). </w:t>
      </w:r>
      <w:r>
        <w:rPr>
          <w:i/>
          <w:iCs/>
        </w:rPr>
        <w:t>University Journal of Zoology, Rajshahi University</w:t>
      </w:r>
      <w:r>
        <w:t xml:space="preserve">, </w:t>
      </w:r>
      <w:r>
        <w:rPr>
          <w:i/>
          <w:iCs/>
        </w:rPr>
        <w:t>27</w:t>
      </w:r>
      <w:r>
        <w:t>, pp.97-98.</w:t>
      </w:r>
    </w:p>
    <w:p w14:paraId="49548DC4">
      <w:pPr>
        <w:spacing w:before="120" w:after="120" w:line="360" w:lineRule="auto"/>
        <w:contextualSpacing/>
        <w:jc w:val="both"/>
        <w:rPr>
          <w:rFonts w:asciiTheme="majorBidi" w:hAnsiTheme="majorBidi" w:cstheme="majorBidi"/>
        </w:rPr>
      </w:pPr>
      <w:r>
        <w:rPr>
          <w:rFonts w:asciiTheme="majorBidi" w:hAnsiTheme="majorBidi" w:cstheme="majorBidi"/>
        </w:rPr>
        <w:t xml:space="preserve">Reid G.M; 1985. A revision of African species of </w:t>
      </w:r>
      <w:r>
        <w:rPr>
          <w:rFonts w:asciiTheme="majorBidi" w:hAnsiTheme="majorBidi" w:cstheme="majorBidi"/>
          <w:i/>
          <w:iCs/>
        </w:rPr>
        <w:t>Labeo</w:t>
      </w:r>
      <w:r>
        <w:rPr>
          <w:rFonts w:asciiTheme="majorBidi" w:hAnsiTheme="majorBidi" w:cstheme="majorBidi"/>
        </w:rPr>
        <w:t xml:space="preserve"> (Pisces: Cyprinidae) and a redefinition of the genus. Braunschweig: Verlag von J Cramer. </w:t>
      </w:r>
    </w:p>
    <w:p w14:paraId="4BCF7184">
      <w:pPr>
        <w:spacing w:before="120" w:after="120" w:line="360" w:lineRule="auto"/>
        <w:contextualSpacing/>
        <w:jc w:val="both"/>
        <w:rPr>
          <w:rFonts w:asciiTheme="majorBidi" w:hAnsiTheme="majorBidi" w:eastAsiaTheme="minorHAnsi" w:cstheme="majorBidi"/>
        </w:rPr>
      </w:pPr>
      <w:r>
        <w:rPr>
          <w:rFonts w:asciiTheme="majorBidi" w:hAnsiTheme="majorBidi" w:eastAsiaTheme="minorHAnsi" w:cstheme="majorBidi"/>
        </w:rPr>
        <w:t>Skelton, P., Tweddle, D., Jackson, P., 1991. Cyprinids of Africa, in: Cyprinid Fishes: Systematics, Biology and Exploitation. Springer, pp. 211–239.</w:t>
      </w:r>
    </w:p>
    <w:p w14:paraId="7042C292">
      <w:pPr>
        <w:pStyle w:val="13"/>
        <w:spacing w:before="120" w:beforeAutospacing="0" w:after="120" w:afterAutospacing="0" w:line="360" w:lineRule="auto"/>
        <w:contextualSpacing/>
        <w:jc w:val="both"/>
        <w:rPr>
          <w:rFonts w:asciiTheme="majorBidi" w:hAnsiTheme="majorBidi" w:cstheme="majorBidi"/>
          <w:color w:val="000000"/>
        </w:rPr>
      </w:pPr>
      <w:r>
        <w:rPr>
          <w:rFonts w:asciiTheme="majorBidi" w:hAnsiTheme="majorBidi" w:cstheme="majorBidi"/>
          <w:color w:val="000000"/>
        </w:rPr>
        <w:t>Vakily, J.M; 1988. Estimation and comparison of fish growth parameters from pond experiments: a spreadsheet solution. ICLARM Software 3. International Centre for Living Aquatic Resources Management, Manila, Philippines. 12p.</w:t>
      </w:r>
    </w:p>
    <w:p w14:paraId="4C2F5147">
      <w:pPr>
        <w:spacing w:before="120" w:after="120" w:line="360" w:lineRule="auto"/>
        <w:contextualSpacing/>
        <w:jc w:val="both"/>
        <w:rPr>
          <w:rFonts w:asciiTheme="majorBidi" w:hAnsiTheme="majorBidi" w:cstheme="majorBidi"/>
        </w:rPr>
      </w:pPr>
      <w:r>
        <w:rPr>
          <w:rFonts w:asciiTheme="majorBidi" w:hAnsiTheme="majorBidi" w:cstheme="majorBidi"/>
        </w:rPr>
        <w:t xml:space="preserve">Weyl, OLF, Booth A.J; 1999. On the life-history of a cyprinid fish, </w:t>
      </w:r>
      <w:r>
        <w:rPr>
          <w:rFonts w:asciiTheme="majorBidi" w:hAnsiTheme="majorBidi" w:cstheme="majorBidi"/>
          <w:i/>
          <w:iCs/>
        </w:rPr>
        <w:t>Labeo</w:t>
      </w:r>
      <w:r>
        <w:rPr>
          <w:rFonts w:asciiTheme="majorBidi" w:hAnsiTheme="majorBidi" w:cstheme="majorBidi"/>
        </w:rPr>
        <w:t xml:space="preserve"> </w:t>
      </w:r>
      <w:r>
        <w:rPr>
          <w:rFonts w:asciiTheme="majorBidi" w:hAnsiTheme="majorBidi" w:cstheme="majorBidi"/>
          <w:i/>
          <w:iCs/>
        </w:rPr>
        <w:t>cylindricus</w:t>
      </w:r>
      <w:r>
        <w:rPr>
          <w:rFonts w:asciiTheme="majorBidi" w:hAnsiTheme="majorBidi" w:cstheme="majorBidi"/>
        </w:rPr>
        <w:t xml:space="preserve">. Environmental Biology of Fishes 55: 215–225. </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04D5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4FC1D">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BB06">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5B27">
    <w:pPr>
      <w:pStyle w:val="11"/>
    </w:pPr>
    <w:r>
      <w:pict>
        <v:shape id="PowerPlusWaterMarkObject167845861" o:spid="_x0000_s1027"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CC4C">
    <w:pPr>
      <w:pStyle w:val="11"/>
    </w:pPr>
    <w:r>
      <w:pict>
        <v:shape id="PowerPlusWaterMarkObject167845860" o:spid="_x0000_s1026"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AFC88">
    <w:pPr>
      <w:pStyle w:val="11"/>
    </w:pPr>
    <w:r>
      <w:pict>
        <v:shape id="PowerPlusWaterMarkObject167845859" o:spid="_x0000_s1025"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Times New Roman;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BB"/>
    <w:rsid w:val="00000028"/>
    <w:rsid w:val="000035FB"/>
    <w:rsid w:val="000055EB"/>
    <w:rsid w:val="00016DC3"/>
    <w:rsid w:val="000176F3"/>
    <w:rsid w:val="00033882"/>
    <w:rsid w:val="00035929"/>
    <w:rsid w:val="00036BF7"/>
    <w:rsid w:val="0004754F"/>
    <w:rsid w:val="000558D1"/>
    <w:rsid w:val="00056E13"/>
    <w:rsid w:val="0006121A"/>
    <w:rsid w:val="00061AB8"/>
    <w:rsid w:val="00061F0B"/>
    <w:rsid w:val="000703C7"/>
    <w:rsid w:val="00071482"/>
    <w:rsid w:val="00071CD1"/>
    <w:rsid w:val="00072D8F"/>
    <w:rsid w:val="000765BA"/>
    <w:rsid w:val="000804DC"/>
    <w:rsid w:val="000839E6"/>
    <w:rsid w:val="00087B06"/>
    <w:rsid w:val="00087F65"/>
    <w:rsid w:val="0009017C"/>
    <w:rsid w:val="00091742"/>
    <w:rsid w:val="00091DF4"/>
    <w:rsid w:val="00096C02"/>
    <w:rsid w:val="000A11E3"/>
    <w:rsid w:val="000A189E"/>
    <w:rsid w:val="000A336A"/>
    <w:rsid w:val="000A4AD2"/>
    <w:rsid w:val="000A7FF8"/>
    <w:rsid w:val="000C0028"/>
    <w:rsid w:val="000C2248"/>
    <w:rsid w:val="000C2D00"/>
    <w:rsid w:val="000C31C0"/>
    <w:rsid w:val="000C340E"/>
    <w:rsid w:val="000C3D99"/>
    <w:rsid w:val="000C4177"/>
    <w:rsid w:val="000C4DED"/>
    <w:rsid w:val="000D0DF4"/>
    <w:rsid w:val="000D763D"/>
    <w:rsid w:val="000D789A"/>
    <w:rsid w:val="00100ED8"/>
    <w:rsid w:val="0010236B"/>
    <w:rsid w:val="00102ED3"/>
    <w:rsid w:val="001053C5"/>
    <w:rsid w:val="001058C5"/>
    <w:rsid w:val="00107A82"/>
    <w:rsid w:val="00116143"/>
    <w:rsid w:val="001162DE"/>
    <w:rsid w:val="00117E66"/>
    <w:rsid w:val="001220BD"/>
    <w:rsid w:val="0012488C"/>
    <w:rsid w:val="001278B7"/>
    <w:rsid w:val="00131CBC"/>
    <w:rsid w:val="00135330"/>
    <w:rsid w:val="00141D49"/>
    <w:rsid w:val="00143A95"/>
    <w:rsid w:val="00143D89"/>
    <w:rsid w:val="0014550D"/>
    <w:rsid w:val="00151E78"/>
    <w:rsid w:val="0015208A"/>
    <w:rsid w:val="00153093"/>
    <w:rsid w:val="00155118"/>
    <w:rsid w:val="001600A9"/>
    <w:rsid w:val="00161365"/>
    <w:rsid w:val="001647DF"/>
    <w:rsid w:val="0016507D"/>
    <w:rsid w:val="001662EB"/>
    <w:rsid w:val="00167D98"/>
    <w:rsid w:val="001708BE"/>
    <w:rsid w:val="00170C30"/>
    <w:rsid w:val="00173F79"/>
    <w:rsid w:val="00175F3E"/>
    <w:rsid w:val="00176C03"/>
    <w:rsid w:val="00176EDA"/>
    <w:rsid w:val="0019093D"/>
    <w:rsid w:val="001A411A"/>
    <w:rsid w:val="001B0C6E"/>
    <w:rsid w:val="001B3760"/>
    <w:rsid w:val="001C245B"/>
    <w:rsid w:val="001C5629"/>
    <w:rsid w:val="001C5EF3"/>
    <w:rsid w:val="001C7FCC"/>
    <w:rsid w:val="001D0F1C"/>
    <w:rsid w:val="001D2A87"/>
    <w:rsid w:val="001D4CC9"/>
    <w:rsid w:val="001E0DA6"/>
    <w:rsid w:val="001E3480"/>
    <w:rsid w:val="001E5655"/>
    <w:rsid w:val="001F0207"/>
    <w:rsid w:val="001F2D36"/>
    <w:rsid w:val="001F5ED2"/>
    <w:rsid w:val="002041B2"/>
    <w:rsid w:val="00204484"/>
    <w:rsid w:val="00205335"/>
    <w:rsid w:val="00213544"/>
    <w:rsid w:val="00220842"/>
    <w:rsid w:val="00220F43"/>
    <w:rsid w:val="002210C4"/>
    <w:rsid w:val="0022387C"/>
    <w:rsid w:val="00223B56"/>
    <w:rsid w:val="002243DC"/>
    <w:rsid w:val="00225630"/>
    <w:rsid w:val="00225B6E"/>
    <w:rsid w:val="00226063"/>
    <w:rsid w:val="002272D9"/>
    <w:rsid w:val="0023168F"/>
    <w:rsid w:val="0023217F"/>
    <w:rsid w:val="0023223D"/>
    <w:rsid w:val="002331D0"/>
    <w:rsid w:val="00236EDD"/>
    <w:rsid w:val="00241AA4"/>
    <w:rsid w:val="002420A2"/>
    <w:rsid w:val="0024215B"/>
    <w:rsid w:val="00242DAE"/>
    <w:rsid w:val="00243AF3"/>
    <w:rsid w:val="002510E2"/>
    <w:rsid w:val="00254A3F"/>
    <w:rsid w:val="00262B7B"/>
    <w:rsid w:val="00271EED"/>
    <w:rsid w:val="00273AB8"/>
    <w:rsid w:val="00274154"/>
    <w:rsid w:val="002745B4"/>
    <w:rsid w:val="00274A10"/>
    <w:rsid w:val="002773AE"/>
    <w:rsid w:val="0029400F"/>
    <w:rsid w:val="00295527"/>
    <w:rsid w:val="0029780D"/>
    <w:rsid w:val="002A4BB3"/>
    <w:rsid w:val="002A4D78"/>
    <w:rsid w:val="002A51CA"/>
    <w:rsid w:val="002B0AD2"/>
    <w:rsid w:val="002B72D0"/>
    <w:rsid w:val="002B779F"/>
    <w:rsid w:val="002B7C5C"/>
    <w:rsid w:val="002C594F"/>
    <w:rsid w:val="002C7C6F"/>
    <w:rsid w:val="002D0446"/>
    <w:rsid w:val="002D1FBB"/>
    <w:rsid w:val="002D4485"/>
    <w:rsid w:val="002D4DB2"/>
    <w:rsid w:val="002E6173"/>
    <w:rsid w:val="002E77B6"/>
    <w:rsid w:val="002F3180"/>
    <w:rsid w:val="002F32BA"/>
    <w:rsid w:val="00303345"/>
    <w:rsid w:val="00310710"/>
    <w:rsid w:val="00323087"/>
    <w:rsid w:val="003237A9"/>
    <w:rsid w:val="00325A25"/>
    <w:rsid w:val="003267EA"/>
    <w:rsid w:val="00331AFD"/>
    <w:rsid w:val="00332474"/>
    <w:rsid w:val="00335882"/>
    <w:rsid w:val="003401E4"/>
    <w:rsid w:val="00345209"/>
    <w:rsid w:val="00351893"/>
    <w:rsid w:val="0035637C"/>
    <w:rsid w:val="00362E0E"/>
    <w:rsid w:val="003642FC"/>
    <w:rsid w:val="003657DE"/>
    <w:rsid w:val="00366C08"/>
    <w:rsid w:val="00366CB9"/>
    <w:rsid w:val="00367B07"/>
    <w:rsid w:val="00374B45"/>
    <w:rsid w:val="00383171"/>
    <w:rsid w:val="003867B0"/>
    <w:rsid w:val="003878C5"/>
    <w:rsid w:val="003916BE"/>
    <w:rsid w:val="00397E3F"/>
    <w:rsid w:val="003A0E41"/>
    <w:rsid w:val="003A2354"/>
    <w:rsid w:val="003A2C26"/>
    <w:rsid w:val="003A3E4A"/>
    <w:rsid w:val="003A6B63"/>
    <w:rsid w:val="003B0E25"/>
    <w:rsid w:val="003B2E5F"/>
    <w:rsid w:val="003B3B9C"/>
    <w:rsid w:val="003B733F"/>
    <w:rsid w:val="003B7DD0"/>
    <w:rsid w:val="003C122A"/>
    <w:rsid w:val="003C2254"/>
    <w:rsid w:val="003C2478"/>
    <w:rsid w:val="003C316C"/>
    <w:rsid w:val="003D0F65"/>
    <w:rsid w:val="003E119F"/>
    <w:rsid w:val="003E2E57"/>
    <w:rsid w:val="003E37AD"/>
    <w:rsid w:val="003F3DAC"/>
    <w:rsid w:val="003F436C"/>
    <w:rsid w:val="003F56A9"/>
    <w:rsid w:val="004007CD"/>
    <w:rsid w:val="0040358A"/>
    <w:rsid w:val="00406E5B"/>
    <w:rsid w:val="00412B4E"/>
    <w:rsid w:val="00415D03"/>
    <w:rsid w:val="00416801"/>
    <w:rsid w:val="00416A50"/>
    <w:rsid w:val="00416EA2"/>
    <w:rsid w:val="00431AD2"/>
    <w:rsid w:val="0043329C"/>
    <w:rsid w:val="0043751E"/>
    <w:rsid w:val="0045121A"/>
    <w:rsid w:val="00452A88"/>
    <w:rsid w:val="0045381C"/>
    <w:rsid w:val="00464364"/>
    <w:rsid w:val="00464C4D"/>
    <w:rsid w:val="00471650"/>
    <w:rsid w:val="00474007"/>
    <w:rsid w:val="004779CA"/>
    <w:rsid w:val="00477D32"/>
    <w:rsid w:val="00481F66"/>
    <w:rsid w:val="004822C5"/>
    <w:rsid w:val="00483EED"/>
    <w:rsid w:val="00491D02"/>
    <w:rsid w:val="0049209D"/>
    <w:rsid w:val="00492FEB"/>
    <w:rsid w:val="0049440F"/>
    <w:rsid w:val="00495C2E"/>
    <w:rsid w:val="004A1AAC"/>
    <w:rsid w:val="004A28A7"/>
    <w:rsid w:val="004A48E4"/>
    <w:rsid w:val="004A676B"/>
    <w:rsid w:val="004B16BD"/>
    <w:rsid w:val="004B1CC3"/>
    <w:rsid w:val="004B57FE"/>
    <w:rsid w:val="004B698F"/>
    <w:rsid w:val="004C0FBE"/>
    <w:rsid w:val="004C4636"/>
    <w:rsid w:val="004C5FF2"/>
    <w:rsid w:val="004D0D57"/>
    <w:rsid w:val="004E02B2"/>
    <w:rsid w:val="004E3F7F"/>
    <w:rsid w:val="004E73C5"/>
    <w:rsid w:val="004E7464"/>
    <w:rsid w:val="004F01A1"/>
    <w:rsid w:val="004F1F63"/>
    <w:rsid w:val="004F2A7C"/>
    <w:rsid w:val="004F3C9C"/>
    <w:rsid w:val="004F572A"/>
    <w:rsid w:val="004F5A3E"/>
    <w:rsid w:val="005076B1"/>
    <w:rsid w:val="00512046"/>
    <w:rsid w:val="00513422"/>
    <w:rsid w:val="00516748"/>
    <w:rsid w:val="00517BA7"/>
    <w:rsid w:val="0052112E"/>
    <w:rsid w:val="005211A2"/>
    <w:rsid w:val="00521F9D"/>
    <w:rsid w:val="0052753E"/>
    <w:rsid w:val="00530764"/>
    <w:rsid w:val="00532C4B"/>
    <w:rsid w:val="00532C5E"/>
    <w:rsid w:val="00533156"/>
    <w:rsid w:val="00540298"/>
    <w:rsid w:val="00541A01"/>
    <w:rsid w:val="005431D2"/>
    <w:rsid w:val="00543234"/>
    <w:rsid w:val="0054699A"/>
    <w:rsid w:val="005473FA"/>
    <w:rsid w:val="00550C8D"/>
    <w:rsid w:val="00551500"/>
    <w:rsid w:val="0055730B"/>
    <w:rsid w:val="00567039"/>
    <w:rsid w:val="00570AC6"/>
    <w:rsid w:val="005716DD"/>
    <w:rsid w:val="00584F60"/>
    <w:rsid w:val="00587388"/>
    <w:rsid w:val="00590CE1"/>
    <w:rsid w:val="005A1D80"/>
    <w:rsid w:val="005B2EB6"/>
    <w:rsid w:val="005B30EB"/>
    <w:rsid w:val="005B39AB"/>
    <w:rsid w:val="005C12A0"/>
    <w:rsid w:val="005C3B48"/>
    <w:rsid w:val="005C4FE8"/>
    <w:rsid w:val="005E1EFA"/>
    <w:rsid w:val="005E2FAF"/>
    <w:rsid w:val="005E6060"/>
    <w:rsid w:val="005E60E3"/>
    <w:rsid w:val="005F2CB6"/>
    <w:rsid w:val="00605377"/>
    <w:rsid w:val="0060653E"/>
    <w:rsid w:val="0061085A"/>
    <w:rsid w:val="0061351E"/>
    <w:rsid w:val="00615AFF"/>
    <w:rsid w:val="006167F4"/>
    <w:rsid w:val="00616B80"/>
    <w:rsid w:val="0062176D"/>
    <w:rsid w:val="00623843"/>
    <w:rsid w:val="00623E57"/>
    <w:rsid w:val="00633D71"/>
    <w:rsid w:val="00646C71"/>
    <w:rsid w:val="00652C38"/>
    <w:rsid w:val="006679C2"/>
    <w:rsid w:val="0067034A"/>
    <w:rsid w:val="006714B2"/>
    <w:rsid w:val="00673E24"/>
    <w:rsid w:val="00673F74"/>
    <w:rsid w:val="00675CE5"/>
    <w:rsid w:val="00675F31"/>
    <w:rsid w:val="00681109"/>
    <w:rsid w:val="00681D08"/>
    <w:rsid w:val="006828B6"/>
    <w:rsid w:val="00682F53"/>
    <w:rsid w:val="00684916"/>
    <w:rsid w:val="00687CFA"/>
    <w:rsid w:val="00690A42"/>
    <w:rsid w:val="00691359"/>
    <w:rsid w:val="00692488"/>
    <w:rsid w:val="00692FD4"/>
    <w:rsid w:val="006971D8"/>
    <w:rsid w:val="006A0F39"/>
    <w:rsid w:val="006A1741"/>
    <w:rsid w:val="006A5626"/>
    <w:rsid w:val="006B1391"/>
    <w:rsid w:val="006B3AD3"/>
    <w:rsid w:val="006B7940"/>
    <w:rsid w:val="006C07EA"/>
    <w:rsid w:val="006C48D6"/>
    <w:rsid w:val="006C5596"/>
    <w:rsid w:val="006C6C4F"/>
    <w:rsid w:val="006C76D4"/>
    <w:rsid w:val="006D3EBC"/>
    <w:rsid w:val="006E1AF7"/>
    <w:rsid w:val="006E4C37"/>
    <w:rsid w:val="006E5316"/>
    <w:rsid w:val="006E72F8"/>
    <w:rsid w:val="006F19AC"/>
    <w:rsid w:val="006F1B2D"/>
    <w:rsid w:val="006F3AF8"/>
    <w:rsid w:val="006F3EFC"/>
    <w:rsid w:val="006F4371"/>
    <w:rsid w:val="006F677C"/>
    <w:rsid w:val="00701EA4"/>
    <w:rsid w:val="00702B48"/>
    <w:rsid w:val="00706697"/>
    <w:rsid w:val="007076D7"/>
    <w:rsid w:val="00710D44"/>
    <w:rsid w:val="007119BD"/>
    <w:rsid w:val="00712B10"/>
    <w:rsid w:val="00714C00"/>
    <w:rsid w:val="00726CAC"/>
    <w:rsid w:val="00730BEE"/>
    <w:rsid w:val="0073122A"/>
    <w:rsid w:val="00734F72"/>
    <w:rsid w:val="00737654"/>
    <w:rsid w:val="007376E8"/>
    <w:rsid w:val="007404B0"/>
    <w:rsid w:val="007446D4"/>
    <w:rsid w:val="00747E42"/>
    <w:rsid w:val="007515B5"/>
    <w:rsid w:val="0075377A"/>
    <w:rsid w:val="00754C60"/>
    <w:rsid w:val="0076300F"/>
    <w:rsid w:val="007658AA"/>
    <w:rsid w:val="00773CA1"/>
    <w:rsid w:val="00777B08"/>
    <w:rsid w:val="007810FA"/>
    <w:rsid w:val="0078140A"/>
    <w:rsid w:val="0078225D"/>
    <w:rsid w:val="00783DF2"/>
    <w:rsid w:val="0078691D"/>
    <w:rsid w:val="00791B58"/>
    <w:rsid w:val="00792A83"/>
    <w:rsid w:val="007938C1"/>
    <w:rsid w:val="00795146"/>
    <w:rsid w:val="007A0900"/>
    <w:rsid w:val="007A37CE"/>
    <w:rsid w:val="007A3A5F"/>
    <w:rsid w:val="007A3BF3"/>
    <w:rsid w:val="007A73DB"/>
    <w:rsid w:val="007A7D19"/>
    <w:rsid w:val="007B2ED0"/>
    <w:rsid w:val="007B3E31"/>
    <w:rsid w:val="007B51D2"/>
    <w:rsid w:val="007B5AF1"/>
    <w:rsid w:val="007C17B8"/>
    <w:rsid w:val="007C2473"/>
    <w:rsid w:val="007C373B"/>
    <w:rsid w:val="007C535D"/>
    <w:rsid w:val="007D4BB3"/>
    <w:rsid w:val="007D4BD6"/>
    <w:rsid w:val="007D659F"/>
    <w:rsid w:val="007D68A9"/>
    <w:rsid w:val="007E253B"/>
    <w:rsid w:val="007E29CE"/>
    <w:rsid w:val="007E4EDB"/>
    <w:rsid w:val="007E6F41"/>
    <w:rsid w:val="007F3B12"/>
    <w:rsid w:val="007F42AC"/>
    <w:rsid w:val="007F77E7"/>
    <w:rsid w:val="00801E2F"/>
    <w:rsid w:val="00804C34"/>
    <w:rsid w:val="00806310"/>
    <w:rsid w:val="008128A0"/>
    <w:rsid w:val="0081776C"/>
    <w:rsid w:val="00817B60"/>
    <w:rsid w:val="0082174A"/>
    <w:rsid w:val="00821A2B"/>
    <w:rsid w:val="008225AB"/>
    <w:rsid w:val="00823540"/>
    <w:rsid w:val="00826591"/>
    <w:rsid w:val="0083419C"/>
    <w:rsid w:val="0083602E"/>
    <w:rsid w:val="0083683F"/>
    <w:rsid w:val="00840E64"/>
    <w:rsid w:val="00844F00"/>
    <w:rsid w:val="008477EA"/>
    <w:rsid w:val="00856C6E"/>
    <w:rsid w:val="008626B0"/>
    <w:rsid w:val="00863201"/>
    <w:rsid w:val="008637D6"/>
    <w:rsid w:val="008655AF"/>
    <w:rsid w:val="00867B00"/>
    <w:rsid w:val="008712CC"/>
    <w:rsid w:val="00876099"/>
    <w:rsid w:val="008771A4"/>
    <w:rsid w:val="00877F61"/>
    <w:rsid w:val="008819F4"/>
    <w:rsid w:val="00882C08"/>
    <w:rsid w:val="008926EA"/>
    <w:rsid w:val="00892B54"/>
    <w:rsid w:val="00893D8C"/>
    <w:rsid w:val="00893FF4"/>
    <w:rsid w:val="0089501F"/>
    <w:rsid w:val="00896419"/>
    <w:rsid w:val="00897313"/>
    <w:rsid w:val="008A19CB"/>
    <w:rsid w:val="008A6F92"/>
    <w:rsid w:val="008A7C34"/>
    <w:rsid w:val="008B2EAB"/>
    <w:rsid w:val="008B6E23"/>
    <w:rsid w:val="008C1E3F"/>
    <w:rsid w:val="008D1507"/>
    <w:rsid w:val="008E0D17"/>
    <w:rsid w:val="008E161D"/>
    <w:rsid w:val="008E55B6"/>
    <w:rsid w:val="008E67DD"/>
    <w:rsid w:val="008E7738"/>
    <w:rsid w:val="008F2F86"/>
    <w:rsid w:val="008F5D02"/>
    <w:rsid w:val="00904B8D"/>
    <w:rsid w:val="00905411"/>
    <w:rsid w:val="00906BDA"/>
    <w:rsid w:val="00911D73"/>
    <w:rsid w:val="0091311D"/>
    <w:rsid w:val="009168A1"/>
    <w:rsid w:val="00916FA1"/>
    <w:rsid w:val="00922739"/>
    <w:rsid w:val="00922B7F"/>
    <w:rsid w:val="0093062B"/>
    <w:rsid w:val="00934ED6"/>
    <w:rsid w:val="009411C9"/>
    <w:rsid w:val="00941941"/>
    <w:rsid w:val="009430CE"/>
    <w:rsid w:val="009433F7"/>
    <w:rsid w:val="00944743"/>
    <w:rsid w:val="00945CE0"/>
    <w:rsid w:val="00950899"/>
    <w:rsid w:val="009516BE"/>
    <w:rsid w:val="00954C3B"/>
    <w:rsid w:val="0095704D"/>
    <w:rsid w:val="0096449D"/>
    <w:rsid w:val="00973005"/>
    <w:rsid w:val="0097356A"/>
    <w:rsid w:val="009801F0"/>
    <w:rsid w:val="009867FF"/>
    <w:rsid w:val="00992405"/>
    <w:rsid w:val="00993A98"/>
    <w:rsid w:val="00994C20"/>
    <w:rsid w:val="009A3D4A"/>
    <w:rsid w:val="009A47D9"/>
    <w:rsid w:val="009C51EC"/>
    <w:rsid w:val="009C784A"/>
    <w:rsid w:val="009D1A59"/>
    <w:rsid w:val="009D53D9"/>
    <w:rsid w:val="009D6543"/>
    <w:rsid w:val="009D7AC3"/>
    <w:rsid w:val="009E5B3C"/>
    <w:rsid w:val="009F10AD"/>
    <w:rsid w:val="009F1B08"/>
    <w:rsid w:val="009F4459"/>
    <w:rsid w:val="009F65CB"/>
    <w:rsid w:val="00A0003F"/>
    <w:rsid w:val="00A00174"/>
    <w:rsid w:val="00A0158F"/>
    <w:rsid w:val="00A04D3D"/>
    <w:rsid w:val="00A06153"/>
    <w:rsid w:val="00A1273D"/>
    <w:rsid w:val="00A234DF"/>
    <w:rsid w:val="00A245AF"/>
    <w:rsid w:val="00A2655B"/>
    <w:rsid w:val="00A278CE"/>
    <w:rsid w:val="00A27A5A"/>
    <w:rsid w:val="00A42B9C"/>
    <w:rsid w:val="00A453A0"/>
    <w:rsid w:val="00A47C7A"/>
    <w:rsid w:val="00A518AB"/>
    <w:rsid w:val="00A524F1"/>
    <w:rsid w:val="00A62E77"/>
    <w:rsid w:val="00A630D1"/>
    <w:rsid w:val="00A6326E"/>
    <w:rsid w:val="00A65DAB"/>
    <w:rsid w:val="00A71AAA"/>
    <w:rsid w:val="00A75BC1"/>
    <w:rsid w:val="00A811F9"/>
    <w:rsid w:val="00A849F4"/>
    <w:rsid w:val="00A87A9F"/>
    <w:rsid w:val="00A93D31"/>
    <w:rsid w:val="00A9448D"/>
    <w:rsid w:val="00A96CF7"/>
    <w:rsid w:val="00AA0612"/>
    <w:rsid w:val="00AA10F3"/>
    <w:rsid w:val="00AA1F55"/>
    <w:rsid w:val="00AA4926"/>
    <w:rsid w:val="00AA6140"/>
    <w:rsid w:val="00AA6857"/>
    <w:rsid w:val="00AA6F78"/>
    <w:rsid w:val="00AA7D17"/>
    <w:rsid w:val="00AB36BC"/>
    <w:rsid w:val="00AB69EB"/>
    <w:rsid w:val="00AC2880"/>
    <w:rsid w:val="00AC5F38"/>
    <w:rsid w:val="00AE1460"/>
    <w:rsid w:val="00AE4E71"/>
    <w:rsid w:val="00AE5E74"/>
    <w:rsid w:val="00AE7163"/>
    <w:rsid w:val="00AF15C5"/>
    <w:rsid w:val="00AF1CA2"/>
    <w:rsid w:val="00AF6EFA"/>
    <w:rsid w:val="00B03907"/>
    <w:rsid w:val="00B049DA"/>
    <w:rsid w:val="00B04DE6"/>
    <w:rsid w:val="00B04E7E"/>
    <w:rsid w:val="00B058B6"/>
    <w:rsid w:val="00B133CC"/>
    <w:rsid w:val="00B20D6C"/>
    <w:rsid w:val="00B21E15"/>
    <w:rsid w:val="00B32243"/>
    <w:rsid w:val="00B43D98"/>
    <w:rsid w:val="00B45125"/>
    <w:rsid w:val="00B53DA6"/>
    <w:rsid w:val="00B55506"/>
    <w:rsid w:val="00B56883"/>
    <w:rsid w:val="00B6051E"/>
    <w:rsid w:val="00B6147A"/>
    <w:rsid w:val="00B64B3C"/>
    <w:rsid w:val="00B6580D"/>
    <w:rsid w:val="00B65F02"/>
    <w:rsid w:val="00B66851"/>
    <w:rsid w:val="00B66E21"/>
    <w:rsid w:val="00B7263C"/>
    <w:rsid w:val="00B73016"/>
    <w:rsid w:val="00B75BF6"/>
    <w:rsid w:val="00B81B59"/>
    <w:rsid w:val="00B820CE"/>
    <w:rsid w:val="00B85F97"/>
    <w:rsid w:val="00B86475"/>
    <w:rsid w:val="00B865E7"/>
    <w:rsid w:val="00B86930"/>
    <w:rsid w:val="00B87AE7"/>
    <w:rsid w:val="00B95CE5"/>
    <w:rsid w:val="00B9636B"/>
    <w:rsid w:val="00BA05D9"/>
    <w:rsid w:val="00BA6505"/>
    <w:rsid w:val="00BA7D2B"/>
    <w:rsid w:val="00BB0FAA"/>
    <w:rsid w:val="00BB763E"/>
    <w:rsid w:val="00BC32F1"/>
    <w:rsid w:val="00BC40A6"/>
    <w:rsid w:val="00BC4867"/>
    <w:rsid w:val="00BC60A8"/>
    <w:rsid w:val="00BD5B12"/>
    <w:rsid w:val="00BE009A"/>
    <w:rsid w:val="00BE0744"/>
    <w:rsid w:val="00BE1C61"/>
    <w:rsid w:val="00BE5104"/>
    <w:rsid w:val="00BF13FE"/>
    <w:rsid w:val="00BF2CF6"/>
    <w:rsid w:val="00BF3F19"/>
    <w:rsid w:val="00BF5834"/>
    <w:rsid w:val="00BF70F7"/>
    <w:rsid w:val="00C0047A"/>
    <w:rsid w:val="00C05953"/>
    <w:rsid w:val="00C05A22"/>
    <w:rsid w:val="00C05D4D"/>
    <w:rsid w:val="00C10292"/>
    <w:rsid w:val="00C12326"/>
    <w:rsid w:val="00C12C56"/>
    <w:rsid w:val="00C13E99"/>
    <w:rsid w:val="00C16BC3"/>
    <w:rsid w:val="00C16D81"/>
    <w:rsid w:val="00C20C61"/>
    <w:rsid w:val="00C24A2E"/>
    <w:rsid w:val="00C3034B"/>
    <w:rsid w:val="00C30B1C"/>
    <w:rsid w:val="00C30D45"/>
    <w:rsid w:val="00C31F02"/>
    <w:rsid w:val="00C32713"/>
    <w:rsid w:val="00C33C57"/>
    <w:rsid w:val="00C47E63"/>
    <w:rsid w:val="00C5204A"/>
    <w:rsid w:val="00C53566"/>
    <w:rsid w:val="00C553B4"/>
    <w:rsid w:val="00C61902"/>
    <w:rsid w:val="00C726EC"/>
    <w:rsid w:val="00C75FD9"/>
    <w:rsid w:val="00C80EF5"/>
    <w:rsid w:val="00C81D85"/>
    <w:rsid w:val="00C8544D"/>
    <w:rsid w:val="00C8779D"/>
    <w:rsid w:val="00C87DB2"/>
    <w:rsid w:val="00CA492B"/>
    <w:rsid w:val="00CB416E"/>
    <w:rsid w:val="00CB4DF4"/>
    <w:rsid w:val="00CB56DC"/>
    <w:rsid w:val="00CB580A"/>
    <w:rsid w:val="00CB6861"/>
    <w:rsid w:val="00CC06F3"/>
    <w:rsid w:val="00CD11B9"/>
    <w:rsid w:val="00CD1635"/>
    <w:rsid w:val="00CD21E5"/>
    <w:rsid w:val="00CD4EB6"/>
    <w:rsid w:val="00CE1F26"/>
    <w:rsid w:val="00CE499E"/>
    <w:rsid w:val="00CE4E6A"/>
    <w:rsid w:val="00CE55CC"/>
    <w:rsid w:val="00CE63F8"/>
    <w:rsid w:val="00CF4C29"/>
    <w:rsid w:val="00CF63BD"/>
    <w:rsid w:val="00CF7053"/>
    <w:rsid w:val="00D02E49"/>
    <w:rsid w:val="00D03AE1"/>
    <w:rsid w:val="00D06FC3"/>
    <w:rsid w:val="00D126EA"/>
    <w:rsid w:val="00D146BA"/>
    <w:rsid w:val="00D14AD4"/>
    <w:rsid w:val="00D15F80"/>
    <w:rsid w:val="00D20AB8"/>
    <w:rsid w:val="00D2173E"/>
    <w:rsid w:val="00D22052"/>
    <w:rsid w:val="00D23F9F"/>
    <w:rsid w:val="00D26B98"/>
    <w:rsid w:val="00D27064"/>
    <w:rsid w:val="00D31E5B"/>
    <w:rsid w:val="00D343AC"/>
    <w:rsid w:val="00D34B54"/>
    <w:rsid w:val="00D439D9"/>
    <w:rsid w:val="00D4515E"/>
    <w:rsid w:val="00D45387"/>
    <w:rsid w:val="00D52A7E"/>
    <w:rsid w:val="00D57A8D"/>
    <w:rsid w:val="00D61CFA"/>
    <w:rsid w:val="00D64EA2"/>
    <w:rsid w:val="00D67860"/>
    <w:rsid w:val="00D7330F"/>
    <w:rsid w:val="00D741B1"/>
    <w:rsid w:val="00D756DA"/>
    <w:rsid w:val="00D75E3C"/>
    <w:rsid w:val="00D80031"/>
    <w:rsid w:val="00D8011B"/>
    <w:rsid w:val="00D81AF8"/>
    <w:rsid w:val="00D82580"/>
    <w:rsid w:val="00D83979"/>
    <w:rsid w:val="00D85F9B"/>
    <w:rsid w:val="00D862E9"/>
    <w:rsid w:val="00D93542"/>
    <w:rsid w:val="00DA1077"/>
    <w:rsid w:val="00DA12BB"/>
    <w:rsid w:val="00DA7198"/>
    <w:rsid w:val="00DA7305"/>
    <w:rsid w:val="00DB4435"/>
    <w:rsid w:val="00DB6A64"/>
    <w:rsid w:val="00DC1B46"/>
    <w:rsid w:val="00DC30DF"/>
    <w:rsid w:val="00DC4804"/>
    <w:rsid w:val="00DC7507"/>
    <w:rsid w:val="00DD0DDF"/>
    <w:rsid w:val="00DD2250"/>
    <w:rsid w:val="00DD4C71"/>
    <w:rsid w:val="00DD6D51"/>
    <w:rsid w:val="00DE1FA1"/>
    <w:rsid w:val="00DE2221"/>
    <w:rsid w:val="00DE4965"/>
    <w:rsid w:val="00DE52C4"/>
    <w:rsid w:val="00DE79B5"/>
    <w:rsid w:val="00E00316"/>
    <w:rsid w:val="00E01337"/>
    <w:rsid w:val="00E02EF9"/>
    <w:rsid w:val="00E04331"/>
    <w:rsid w:val="00E06AAA"/>
    <w:rsid w:val="00E073A5"/>
    <w:rsid w:val="00E13748"/>
    <w:rsid w:val="00E14DC7"/>
    <w:rsid w:val="00E2091A"/>
    <w:rsid w:val="00E218BD"/>
    <w:rsid w:val="00E24A34"/>
    <w:rsid w:val="00E24F2D"/>
    <w:rsid w:val="00E27B0F"/>
    <w:rsid w:val="00E27F7F"/>
    <w:rsid w:val="00E357CF"/>
    <w:rsid w:val="00E35EC5"/>
    <w:rsid w:val="00E374D8"/>
    <w:rsid w:val="00E54939"/>
    <w:rsid w:val="00E63F37"/>
    <w:rsid w:val="00E65540"/>
    <w:rsid w:val="00E661FF"/>
    <w:rsid w:val="00E74CB6"/>
    <w:rsid w:val="00E764FF"/>
    <w:rsid w:val="00E83166"/>
    <w:rsid w:val="00E83D9F"/>
    <w:rsid w:val="00E91A39"/>
    <w:rsid w:val="00E97B13"/>
    <w:rsid w:val="00EA7C79"/>
    <w:rsid w:val="00EB00FB"/>
    <w:rsid w:val="00EB229B"/>
    <w:rsid w:val="00EC55AF"/>
    <w:rsid w:val="00EC641E"/>
    <w:rsid w:val="00EC6835"/>
    <w:rsid w:val="00EC68C7"/>
    <w:rsid w:val="00EC7495"/>
    <w:rsid w:val="00ED36F3"/>
    <w:rsid w:val="00ED3B6D"/>
    <w:rsid w:val="00ED7DC8"/>
    <w:rsid w:val="00EE0609"/>
    <w:rsid w:val="00EE12C4"/>
    <w:rsid w:val="00EE3705"/>
    <w:rsid w:val="00EE4C25"/>
    <w:rsid w:val="00EE5682"/>
    <w:rsid w:val="00EE58FE"/>
    <w:rsid w:val="00EF1732"/>
    <w:rsid w:val="00EF2F3D"/>
    <w:rsid w:val="00EF4B98"/>
    <w:rsid w:val="00EF7C74"/>
    <w:rsid w:val="00F00043"/>
    <w:rsid w:val="00F00E36"/>
    <w:rsid w:val="00F01852"/>
    <w:rsid w:val="00F02108"/>
    <w:rsid w:val="00F03B51"/>
    <w:rsid w:val="00F05CF6"/>
    <w:rsid w:val="00F0746A"/>
    <w:rsid w:val="00F116BC"/>
    <w:rsid w:val="00F156F7"/>
    <w:rsid w:val="00F15A82"/>
    <w:rsid w:val="00F21112"/>
    <w:rsid w:val="00F246C3"/>
    <w:rsid w:val="00F256C9"/>
    <w:rsid w:val="00F27ECF"/>
    <w:rsid w:val="00F322EF"/>
    <w:rsid w:val="00F33CA4"/>
    <w:rsid w:val="00F371E4"/>
    <w:rsid w:val="00F47E9D"/>
    <w:rsid w:val="00F5269B"/>
    <w:rsid w:val="00F55728"/>
    <w:rsid w:val="00F62873"/>
    <w:rsid w:val="00F63B51"/>
    <w:rsid w:val="00F646AD"/>
    <w:rsid w:val="00F65C56"/>
    <w:rsid w:val="00F667E3"/>
    <w:rsid w:val="00F76AA6"/>
    <w:rsid w:val="00F77E3D"/>
    <w:rsid w:val="00F8039C"/>
    <w:rsid w:val="00F84454"/>
    <w:rsid w:val="00F84825"/>
    <w:rsid w:val="00F962D9"/>
    <w:rsid w:val="00F975C8"/>
    <w:rsid w:val="00FA245C"/>
    <w:rsid w:val="00FA544D"/>
    <w:rsid w:val="00FA6E28"/>
    <w:rsid w:val="00FA7AEA"/>
    <w:rsid w:val="00FB6906"/>
    <w:rsid w:val="00FC08C3"/>
    <w:rsid w:val="00FC7E4C"/>
    <w:rsid w:val="00FC7F3E"/>
    <w:rsid w:val="00FD012E"/>
    <w:rsid w:val="00FD58BC"/>
    <w:rsid w:val="00FE03C9"/>
    <w:rsid w:val="00FE0A1C"/>
    <w:rsid w:val="00FE7F8E"/>
    <w:rsid w:val="5F5D0C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21"/>
    <w:qFormat/>
    <w:uiPriority w:val="9"/>
    <w:pPr>
      <w:keepNext/>
      <w:keepLines/>
      <w:spacing w:before="240" w:line="259" w:lineRule="auto"/>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4"/>
    <w:unhideWhenUsed/>
    <w:qFormat/>
    <w:uiPriority w:val="9"/>
    <w:pPr>
      <w:keepNext/>
      <w:keepLines/>
      <w:spacing w:before="40" w:line="259" w:lineRule="auto"/>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5"/>
    <w:semiHidden/>
    <w:unhideWhenUsed/>
    <w:qFormat/>
    <w:uiPriority w:val="9"/>
    <w:pPr>
      <w:keepNext/>
      <w:keepLines/>
      <w:spacing w:before="40" w:line="259" w:lineRule="auto"/>
      <w:outlineLvl w:val="2"/>
    </w:pPr>
    <w:rPr>
      <w:rFonts w:asciiTheme="majorHAnsi" w:hAnsiTheme="majorHAnsi" w:eastAsiaTheme="majorEastAsia" w:cstheme="majorBidi"/>
      <w:color w:val="1F4E79" w:themeColor="accent1" w:themeShade="80"/>
    </w:rPr>
  </w:style>
  <w:style w:type="paragraph" w:styleId="5">
    <w:name w:val="heading 4"/>
    <w:basedOn w:val="1"/>
    <w:next w:val="1"/>
    <w:link w:val="28"/>
    <w:semiHidden/>
    <w:unhideWhenUsed/>
    <w:qFormat/>
    <w:uiPriority w:val="9"/>
    <w:pPr>
      <w:keepNext/>
      <w:keepLines/>
      <w:spacing w:before="40" w:line="259" w:lineRule="auto"/>
      <w:outlineLvl w:val="3"/>
    </w:pPr>
    <w:rPr>
      <w:rFonts w:asciiTheme="majorHAnsi" w:hAnsiTheme="majorHAnsi" w:eastAsiaTheme="majorEastAsia" w:cstheme="majorBidi"/>
      <w:i/>
      <w:iCs/>
      <w:color w:val="2E75B6" w:themeColor="accent1" w:themeShade="BF"/>
      <w:sz w:val="22"/>
      <w:szCs w:val="22"/>
    </w:rPr>
  </w:style>
  <w:style w:type="paragraph" w:styleId="6">
    <w:name w:val="heading 5"/>
    <w:basedOn w:val="1"/>
    <w:next w:val="1"/>
    <w:link w:val="26"/>
    <w:semiHidden/>
    <w:unhideWhenUsed/>
    <w:qFormat/>
    <w:uiPriority w:val="9"/>
    <w:pPr>
      <w:keepNext/>
      <w:keepLines/>
      <w:spacing w:before="40" w:line="259" w:lineRule="auto"/>
      <w:outlineLvl w:val="4"/>
    </w:pPr>
    <w:rPr>
      <w:rFonts w:asciiTheme="majorHAnsi" w:hAnsiTheme="majorHAnsi" w:eastAsiaTheme="majorEastAsia" w:cstheme="majorBidi"/>
      <w:color w:val="2E75B6" w:themeColor="accent1" w:themeShade="BF"/>
      <w:sz w:val="22"/>
      <w:szCs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Emphasis"/>
    <w:basedOn w:val="7"/>
    <w:qFormat/>
    <w:uiPriority w:val="20"/>
    <w:rPr>
      <w:i/>
      <w:iCs/>
    </w:rPr>
  </w:style>
  <w:style w:type="paragraph" w:styleId="10">
    <w:name w:val="footer"/>
    <w:basedOn w:val="1"/>
    <w:link w:val="23"/>
    <w:unhideWhenUsed/>
    <w:uiPriority w:val="99"/>
    <w:pPr>
      <w:tabs>
        <w:tab w:val="center" w:pos="4320"/>
        <w:tab w:val="right" w:pos="8640"/>
      </w:tabs>
    </w:pPr>
    <w:rPr>
      <w:rFonts w:asciiTheme="minorHAnsi" w:hAnsiTheme="minorHAnsi" w:eastAsiaTheme="minorHAnsi" w:cstheme="minorBidi"/>
      <w:sz w:val="22"/>
      <w:szCs w:val="22"/>
    </w:rPr>
  </w:style>
  <w:style w:type="paragraph" w:styleId="11">
    <w:name w:val="header"/>
    <w:basedOn w:val="1"/>
    <w:link w:val="22"/>
    <w:unhideWhenUsed/>
    <w:uiPriority w:val="99"/>
    <w:pPr>
      <w:tabs>
        <w:tab w:val="center" w:pos="4320"/>
        <w:tab w:val="right" w:pos="8640"/>
      </w:tabs>
    </w:pPr>
    <w:rPr>
      <w:rFonts w:asciiTheme="minorHAnsi" w:hAnsiTheme="minorHAnsi" w:eastAsiaTheme="minorHAnsi" w:cstheme="minorBidi"/>
      <w:sz w:val="22"/>
      <w:szCs w:val="22"/>
    </w:rPr>
  </w:style>
  <w:style w:type="character" w:styleId="12">
    <w:name w:val="Hyperlink"/>
    <w:basedOn w:val="7"/>
    <w:unhideWhenUsed/>
    <w:uiPriority w:val="99"/>
    <w:rPr>
      <w:color w:val="0000FF"/>
      <w:u w:val="single"/>
    </w:rPr>
  </w:style>
  <w:style w:type="paragraph" w:styleId="13">
    <w:name w:val="Normal (Web)"/>
    <w:basedOn w:val="1"/>
    <w:unhideWhenUsed/>
    <w:uiPriority w:val="99"/>
    <w:pPr>
      <w:spacing w:before="100" w:beforeAutospacing="1" w:after="100" w:afterAutospacing="1"/>
    </w:pPr>
  </w:style>
  <w:style w:type="character" w:styleId="14">
    <w:name w:val="Strong"/>
    <w:basedOn w:val="7"/>
    <w:qFormat/>
    <w:uiPriority w:val="22"/>
    <w:rPr>
      <w:b/>
      <w:bCs/>
    </w:rPr>
  </w:style>
  <w:style w:type="table" w:styleId="15">
    <w:name w:val="Table Grid"/>
    <w:basedOn w:val="8"/>
    <w:uiPriority w:val="39"/>
    <w:pPr>
      <w:spacing w:after="0" w:line="24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article-references__text"/>
    <w:basedOn w:val="1"/>
    <w:uiPriority w:val="0"/>
    <w:pPr>
      <w:spacing w:before="100" w:beforeAutospacing="1" w:after="100" w:afterAutospacing="1"/>
    </w:pPr>
  </w:style>
  <w:style w:type="character" w:customStyle="1" w:styleId="17">
    <w:name w:val="u-small-caps"/>
    <w:basedOn w:val="7"/>
    <w:uiPriority w:val="0"/>
  </w:style>
  <w:style w:type="paragraph" w:customStyle="1" w:styleId="18">
    <w:name w:val="c-article-references__links"/>
    <w:basedOn w:val="1"/>
    <w:uiPriority w:val="0"/>
    <w:pPr>
      <w:spacing w:before="100" w:beforeAutospacing="1" w:after="100" w:afterAutospacing="1"/>
    </w:pPr>
  </w:style>
  <w:style w:type="character" w:customStyle="1" w:styleId="19">
    <w:name w:val="a"/>
    <w:basedOn w:val="7"/>
    <w:uiPriority w:val="0"/>
  </w:style>
  <w:style w:type="character" w:customStyle="1" w:styleId="20">
    <w:name w:val="l6"/>
    <w:basedOn w:val="7"/>
    <w:uiPriority w:val="0"/>
  </w:style>
  <w:style w:type="character" w:customStyle="1" w:styleId="21">
    <w:name w:val="Heading 1 Char"/>
    <w:basedOn w:val="7"/>
    <w:link w:val="2"/>
    <w:uiPriority w:val="9"/>
    <w:rPr>
      <w:rFonts w:asciiTheme="majorHAnsi" w:hAnsiTheme="majorHAnsi" w:eastAsiaTheme="majorEastAsia" w:cstheme="majorBidi"/>
      <w:color w:val="2E75B6" w:themeColor="accent1" w:themeShade="BF"/>
      <w:sz w:val="32"/>
      <w:szCs w:val="32"/>
    </w:rPr>
  </w:style>
  <w:style w:type="character" w:customStyle="1" w:styleId="22">
    <w:name w:val="Header Char"/>
    <w:basedOn w:val="7"/>
    <w:link w:val="11"/>
    <w:uiPriority w:val="99"/>
  </w:style>
  <w:style w:type="character" w:customStyle="1" w:styleId="23">
    <w:name w:val="Footer Char"/>
    <w:basedOn w:val="7"/>
    <w:link w:val="10"/>
    <w:uiPriority w:val="99"/>
  </w:style>
  <w:style w:type="character" w:customStyle="1" w:styleId="24">
    <w:name w:val="Heading 2 Char"/>
    <w:basedOn w:val="7"/>
    <w:link w:val="3"/>
    <w:uiPriority w:val="9"/>
    <w:rPr>
      <w:rFonts w:asciiTheme="majorHAnsi" w:hAnsiTheme="majorHAnsi" w:eastAsiaTheme="majorEastAsia" w:cstheme="majorBidi"/>
      <w:color w:val="2E75B6" w:themeColor="accent1" w:themeShade="BF"/>
      <w:sz w:val="26"/>
      <w:szCs w:val="26"/>
    </w:rPr>
  </w:style>
  <w:style w:type="character" w:customStyle="1" w:styleId="25">
    <w:name w:val="Heading 3 Char"/>
    <w:basedOn w:val="7"/>
    <w:link w:val="4"/>
    <w:semiHidden/>
    <w:uiPriority w:val="9"/>
    <w:rPr>
      <w:rFonts w:asciiTheme="majorHAnsi" w:hAnsiTheme="majorHAnsi" w:eastAsiaTheme="majorEastAsia" w:cstheme="majorBidi"/>
      <w:color w:val="1F4E79" w:themeColor="accent1" w:themeShade="80"/>
      <w:sz w:val="24"/>
      <w:szCs w:val="24"/>
    </w:rPr>
  </w:style>
  <w:style w:type="character" w:customStyle="1" w:styleId="26">
    <w:name w:val="Heading 5 Char"/>
    <w:basedOn w:val="7"/>
    <w:link w:val="6"/>
    <w:semiHidden/>
    <w:uiPriority w:val="9"/>
    <w:rPr>
      <w:rFonts w:asciiTheme="majorHAnsi" w:hAnsiTheme="majorHAnsi" w:eastAsiaTheme="majorEastAsia" w:cstheme="majorBidi"/>
      <w:color w:val="2E75B6" w:themeColor="accent1" w:themeShade="BF"/>
    </w:rPr>
  </w:style>
  <w:style w:type="paragraph" w:styleId="27">
    <w:name w:val="List Paragraph"/>
    <w:basedOn w:val="1"/>
    <w:qFormat/>
    <w:uiPriority w:val="34"/>
    <w:pPr>
      <w:spacing w:after="160" w:line="259" w:lineRule="auto"/>
      <w:ind w:left="720"/>
      <w:contextualSpacing/>
    </w:pPr>
    <w:rPr>
      <w:rFonts w:asciiTheme="minorHAnsi" w:hAnsiTheme="minorHAnsi" w:eastAsiaTheme="minorHAnsi" w:cstheme="minorBidi"/>
      <w:sz w:val="22"/>
      <w:szCs w:val="22"/>
    </w:rPr>
  </w:style>
  <w:style w:type="character" w:customStyle="1" w:styleId="28">
    <w:name w:val="Heading 4 Char"/>
    <w:basedOn w:val="7"/>
    <w:link w:val="5"/>
    <w:semiHidden/>
    <w:uiPriority w:val="9"/>
    <w:rPr>
      <w:rFonts w:asciiTheme="majorHAnsi" w:hAnsiTheme="majorHAnsi" w:eastAsiaTheme="majorEastAsia" w:cstheme="majorBidi"/>
      <w:i/>
      <w:iCs/>
      <w:color w:val="2E75B6" w:themeColor="accent1" w:themeShade="BF"/>
    </w:rPr>
  </w:style>
  <w:style w:type="character" w:customStyle="1" w:styleId="29">
    <w:name w:val="person_name"/>
    <w:basedOn w:val="7"/>
    <w:uiPriority w:val="0"/>
  </w:style>
  <w:style w:type="character" w:customStyle="1" w:styleId="30">
    <w:name w:val="citedissue"/>
    <w:basedOn w:val="7"/>
    <w:uiPriority w:val="0"/>
  </w:style>
  <w:style w:type="paragraph" w:customStyle="1" w:styleId="31">
    <w:name w:val="Bibliography"/>
    <w:basedOn w:val="1"/>
    <w:next w:val="1"/>
    <w:semiHidden/>
    <w:unhideWhenUsed/>
    <w:uiPriority w:val="37"/>
  </w:style>
  <w:style w:type="character" w:customStyle="1" w:styleId="32">
    <w:name w:val="c-chapter-book-details__meta"/>
    <w:basedOn w:val="7"/>
    <w:uiPriority w:val="0"/>
  </w:style>
  <w:style w:type="paragraph" w:customStyle="1" w:styleId="33">
    <w:name w:val="bodytext"/>
    <w:basedOn w:val="1"/>
    <w:uiPriority w:val="0"/>
    <w:pPr>
      <w:spacing w:before="100" w:beforeAutospacing="1" w:after="100" w:afterAutospacing="1"/>
    </w:pPr>
  </w:style>
  <w:style w:type="character" w:customStyle="1" w:styleId="34">
    <w:name w:val="bodytext1"/>
    <w:basedOn w:val="7"/>
    <w:uiPriority w:val="0"/>
  </w:style>
  <w:style w:type="character" w:customStyle="1" w:styleId="35">
    <w:name w:val="t"/>
    <w:basedOn w:val="7"/>
    <w:uiPriority w:val="0"/>
  </w:style>
  <w:style w:type="character" w:customStyle="1" w:styleId="36">
    <w:name w:val="gd"/>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chart" Target="charts/chart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E:\Hozifa%20data\FiSAT%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dLbls>
            <c:delete val="1"/>
          </c:dLbls>
          <c:trendline>
            <c:spPr>
              <a:ln w="19050" cap="rnd">
                <a:solidFill>
                  <a:schemeClr val="accent1"/>
                </a:solidFill>
                <a:prstDash val="sysDot"/>
              </a:ln>
              <a:effectLst/>
            </c:spPr>
            <c:trendlineType val="linear"/>
            <c:dispRSqr val="1"/>
            <c:dispEq val="1"/>
            <c:trendlineLbl>
              <c:layout>
                <c:manualLayout>
                  <c:x val="-0.365217335637923"/>
                  <c:y val="0.282407407407407"/>
                </c:manualLayout>
              </c:layout>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US" sz="1200" baseline="0">
                        <a:latin typeface="Times New Roman" panose="02020603050405020304" charset="0"/>
                        <a:cs typeface="Times New Roman" panose="02020603050405020304" charset="0"/>
                      </a:rPr>
                      <a:t>y = 2.847x - 1.8423</a:t>
                    </a:r>
                    <a:br>
                      <a:rPr lang="en-US" sz="1200" baseline="0">
                        <a:latin typeface="Times New Roman" panose="02020603050405020304" charset="0"/>
                        <a:cs typeface="Times New Roman" panose="02020603050405020304" charset="0"/>
                      </a:rPr>
                    </a:br>
                    <a:r>
                      <a:rPr lang="en-US" sz="1200" baseline="0">
                        <a:latin typeface="Times New Roman" panose="02020603050405020304" charset="0"/>
                        <a:cs typeface="Times New Roman" panose="02020603050405020304" charset="0"/>
                      </a:rPr>
                      <a:t>R² = 0.949</a:t>
                    </a:r>
                    <a:endParaRPr lang="en-US" sz="1200" baseline="0">
                      <a:latin typeface="Times New Roman" panose="02020603050405020304" charset="0"/>
                      <a:cs typeface="Times New Roman" panose="02020603050405020304" charset="0"/>
                    </a:endParaRPr>
                  </a:p>
                  <a:p>
                    <a:pPr>
                      <a:defRPr lang="en-US" sz="900" b="0" i="0" u="none" strike="noStrike" kern="1200" baseline="0">
                        <a:solidFill>
                          <a:schemeClr val="tx1">
                            <a:lumMod val="65000"/>
                            <a:lumOff val="35000"/>
                          </a:schemeClr>
                        </a:solidFill>
                        <a:latin typeface="+mn-lt"/>
                        <a:ea typeface="+mn-ea"/>
                        <a:cs typeface="+mn-cs"/>
                      </a:defRPr>
                    </a:pPr>
                    <a:r>
                      <a:rPr lang="en-US" sz="1200" i="1" baseline="0">
                        <a:latin typeface="Times New Roman" panose="02020603050405020304" charset="0"/>
                        <a:cs typeface="Times New Roman" panose="02020603050405020304" charset="0"/>
                      </a:rPr>
                      <a:t>r</a:t>
                    </a:r>
                    <a:r>
                      <a:rPr lang="en-US" sz="1200" baseline="0">
                        <a:latin typeface="Times New Roman" panose="02020603050405020304" charset="0"/>
                        <a:cs typeface="Times New Roman" panose="02020603050405020304" charset="0"/>
                      </a:rPr>
                      <a:t> = 0.974</a:t>
                    </a:r>
                    <a:endParaRPr lang="en-US" sz="1200">
                      <a:latin typeface="Times New Roman" panose="02020603050405020304" charset="0"/>
                      <a:cs typeface="Times New Roman" panose="02020603050405020304" charset="0"/>
                    </a:endParaRPr>
                  </a:p>
                </c:rich>
              </c:tx>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trendlineLbl>
          </c:trendline>
          <c:xVal>
            <c:numRef>
              <c:f>[1]ورقة1!$J$1:$J$500</c:f>
              <c:numCache>
                <c:formatCode>General</c:formatCode>
                <c:ptCount val="500"/>
                <c:pt idx="0">
                  <c:v>1.64345267648619</c:v>
                </c:pt>
                <c:pt idx="1">
                  <c:v>1.67209785793572</c:v>
                </c:pt>
                <c:pt idx="2">
                  <c:v>1.63346845557959</c:v>
                </c:pt>
                <c:pt idx="3">
                  <c:v>1.6232492903979</c:v>
                </c:pt>
                <c:pt idx="4">
                  <c:v>1.54406804435028</c:v>
                </c:pt>
                <c:pt idx="5">
                  <c:v>1.61278385671974</c:v>
                </c:pt>
                <c:pt idx="6">
                  <c:v>1.64345267648619</c:v>
                </c:pt>
                <c:pt idx="7">
                  <c:v>1.61278385671974</c:v>
                </c:pt>
                <c:pt idx="8">
                  <c:v>1.54406804435028</c:v>
                </c:pt>
                <c:pt idx="9">
                  <c:v>1.63346845557959</c:v>
                </c:pt>
                <c:pt idx="10">
                  <c:v>1.66275783168157</c:v>
                </c:pt>
                <c:pt idx="11">
                  <c:v>1.56820172406699</c:v>
                </c:pt>
                <c:pt idx="12">
                  <c:v>1.61278385671974</c:v>
                </c:pt>
                <c:pt idx="13">
                  <c:v>1.5910646070265</c:v>
                </c:pt>
                <c:pt idx="14">
                  <c:v>1.65321251377534</c:v>
                </c:pt>
                <c:pt idx="15">
                  <c:v>1.63346845557959</c:v>
                </c:pt>
                <c:pt idx="16">
                  <c:v>1.65321251377534</c:v>
                </c:pt>
                <c:pt idx="17">
                  <c:v>1.56820172406699</c:v>
                </c:pt>
                <c:pt idx="18">
                  <c:v>1.6232492903979</c:v>
                </c:pt>
                <c:pt idx="19">
                  <c:v>1.44715803134222</c:v>
                </c:pt>
                <c:pt idx="20">
                  <c:v>1.36172783601759</c:v>
                </c:pt>
                <c:pt idx="21">
                  <c:v>1.43136376415899</c:v>
                </c:pt>
                <c:pt idx="22">
                  <c:v>1.6159500516564</c:v>
                </c:pt>
                <c:pt idx="23">
                  <c:v>1.56584781867352</c:v>
                </c:pt>
                <c:pt idx="24">
                  <c:v>1.55750720190566</c:v>
                </c:pt>
                <c:pt idx="25">
                  <c:v>1.54900326202579</c:v>
                </c:pt>
                <c:pt idx="26">
                  <c:v>1.62736585659273</c:v>
                </c:pt>
                <c:pt idx="27">
                  <c:v>1.53402610605614</c:v>
                </c:pt>
                <c:pt idx="28">
                  <c:v>1.36361197989214</c:v>
                </c:pt>
                <c:pt idx="29">
                  <c:v>1.53402610605614</c:v>
                </c:pt>
                <c:pt idx="30">
                  <c:v>1.54406804435028</c:v>
                </c:pt>
                <c:pt idx="31">
                  <c:v>1.64443858946784</c:v>
                </c:pt>
                <c:pt idx="32">
                  <c:v>1.63748972951251</c:v>
                </c:pt>
                <c:pt idx="33">
                  <c:v>1.46686762035411</c:v>
                </c:pt>
                <c:pt idx="34">
                  <c:v>1.43933269383026</c:v>
                </c:pt>
                <c:pt idx="35">
                  <c:v>1.53781909507327</c:v>
                </c:pt>
                <c:pt idx="36">
                  <c:v>1.55750720190566</c:v>
                </c:pt>
                <c:pt idx="37">
                  <c:v>1.64836001098093</c:v>
                </c:pt>
                <c:pt idx="38">
                  <c:v>1.36921585741014</c:v>
                </c:pt>
                <c:pt idx="39">
                  <c:v>1.62838893005031</c:v>
                </c:pt>
                <c:pt idx="40">
                  <c:v>1.61804809671209</c:v>
                </c:pt>
                <c:pt idx="41">
                  <c:v>1.67669360962487</c:v>
                </c:pt>
                <c:pt idx="42">
                  <c:v>1.6414741105041</c:v>
                </c:pt>
                <c:pt idx="43">
                  <c:v>1.6170003411209</c:v>
                </c:pt>
                <c:pt idx="44">
                  <c:v>1.42813479402879</c:v>
                </c:pt>
                <c:pt idx="45">
                  <c:v>1.39794000867204</c:v>
                </c:pt>
                <c:pt idx="46">
                  <c:v>1.38201704257487</c:v>
                </c:pt>
                <c:pt idx="47">
                  <c:v>1.38560627359831</c:v>
                </c:pt>
                <c:pt idx="48">
                  <c:v>1.35218251811136</c:v>
                </c:pt>
                <c:pt idx="49">
                  <c:v>1.40823996531185</c:v>
                </c:pt>
                <c:pt idx="50">
                  <c:v>1.38381536598043</c:v>
                </c:pt>
                <c:pt idx="51">
                  <c:v>1.38021124171161</c:v>
                </c:pt>
                <c:pt idx="52">
                  <c:v>1.39093510710338</c:v>
                </c:pt>
                <c:pt idx="53">
                  <c:v>1.37106786227174</c:v>
                </c:pt>
                <c:pt idx="54">
                  <c:v>1.37839790094814</c:v>
                </c:pt>
                <c:pt idx="55">
                  <c:v>1.43933269383026</c:v>
                </c:pt>
                <c:pt idx="56">
                  <c:v>1.38916608436453</c:v>
                </c:pt>
                <c:pt idx="57">
                  <c:v>1.36361197989214</c:v>
                </c:pt>
                <c:pt idx="58">
                  <c:v>1.61489721603313</c:v>
                </c:pt>
                <c:pt idx="59">
                  <c:v>1.35602585719312</c:v>
                </c:pt>
                <c:pt idx="60">
                  <c:v>1.39093510710338</c:v>
                </c:pt>
                <c:pt idx="61">
                  <c:v>1.44715803134222</c:v>
                </c:pt>
                <c:pt idx="62">
                  <c:v>1.40823996531185</c:v>
                </c:pt>
                <c:pt idx="63">
                  <c:v>1.44715803134222</c:v>
                </c:pt>
                <c:pt idx="64">
                  <c:v>1.35983548233989</c:v>
                </c:pt>
                <c:pt idx="65">
                  <c:v>1.36172783601759</c:v>
                </c:pt>
                <c:pt idx="66">
                  <c:v>1.46982201597816</c:v>
                </c:pt>
                <c:pt idx="67">
                  <c:v>1.48287358360875</c:v>
                </c:pt>
                <c:pt idx="68">
                  <c:v>1.44715803134222</c:v>
                </c:pt>
                <c:pt idx="69">
                  <c:v>1.44715803134222</c:v>
                </c:pt>
                <c:pt idx="70">
                  <c:v>1.4345689040342</c:v>
                </c:pt>
                <c:pt idx="71">
                  <c:v>1.48287358360875</c:v>
                </c:pt>
                <c:pt idx="72">
                  <c:v>1.46834733041216</c:v>
                </c:pt>
                <c:pt idx="73">
                  <c:v>1.48429983934679</c:v>
                </c:pt>
                <c:pt idx="74">
                  <c:v>1.42813479402879</c:v>
                </c:pt>
                <c:pt idx="75">
                  <c:v>1.43136376415899</c:v>
                </c:pt>
                <c:pt idx="76">
                  <c:v>1.50650503240487</c:v>
                </c:pt>
                <c:pt idx="77">
                  <c:v>1.47275644931721</c:v>
                </c:pt>
                <c:pt idx="78">
                  <c:v>1.46089784275655</c:v>
                </c:pt>
                <c:pt idx="79">
                  <c:v>1.42651126136458</c:v>
                </c:pt>
                <c:pt idx="80">
                  <c:v>1.47712125471966</c:v>
                </c:pt>
                <c:pt idx="81">
                  <c:v>1.47856649559384</c:v>
                </c:pt>
                <c:pt idx="82">
                  <c:v>1.46686762035411</c:v>
                </c:pt>
                <c:pt idx="83">
                  <c:v>1.46834733041216</c:v>
                </c:pt>
                <c:pt idx="84">
                  <c:v>1.47712125471966</c:v>
                </c:pt>
                <c:pt idx="85">
                  <c:v>1.46239799789896</c:v>
                </c:pt>
                <c:pt idx="86">
                  <c:v>1.44090908206522</c:v>
                </c:pt>
                <c:pt idx="87">
                  <c:v>1.46089784275655</c:v>
                </c:pt>
                <c:pt idx="88">
                  <c:v>1.61278385671974</c:v>
                </c:pt>
                <c:pt idx="89">
                  <c:v>1.63346845557959</c:v>
                </c:pt>
                <c:pt idx="90">
                  <c:v>1.43136376415899</c:v>
                </c:pt>
                <c:pt idx="91">
                  <c:v>1.62838893005031</c:v>
                </c:pt>
                <c:pt idx="92">
                  <c:v>1.65321251377534</c:v>
                </c:pt>
                <c:pt idx="93">
                  <c:v>1.54032947479087</c:v>
                </c:pt>
                <c:pt idx="94">
                  <c:v>1.57403126772772</c:v>
                </c:pt>
                <c:pt idx="95">
                  <c:v>1.32633586092875</c:v>
                </c:pt>
                <c:pt idx="96">
                  <c:v>1.48572142648158</c:v>
                </c:pt>
                <c:pt idx="97">
                  <c:v>1.4456042032736</c:v>
                </c:pt>
                <c:pt idx="98">
                  <c:v>1.46982201597816</c:v>
                </c:pt>
                <c:pt idx="99">
                  <c:v>1.48000694295715</c:v>
                </c:pt>
                <c:pt idx="100">
                  <c:v>1.66275783168157</c:v>
                </c:pt>
                <c:pt idx="101">
                  <c:v>1.56466606425209</c:v>
                </c:pt>
                <c:pt idx="102">
                  <c:v>1.51188336097887</c:v>
                </c:pt>
                <c:pt idx="103">
                  <c:v>1.55630250076729</c:v>
                </c:pt>
                <c:pt idx="104">
                  <c:v>1.64048143697042</c:v>
                </c:pt>
                <c:pt idx="105">
                  <c:v>1.65801139665711</c:v>
                </c:pt>
                <c:pt idx="106">
                  <c:v>1.55870857053317</c:v>
                </c:pt>
                <c:pt idx="107">
                  <c:v>1.54282542695918</c:v>
                </c:pt>
                <c:pt idx="108">
                  <c:v>1.54032947479087</c:v>
                </c:pt>
                <c:pt idx="109">
                  <c:v>1.50650503240487</c:v>
                </c:pt>
                <c:pt idx="110">
                  <c:v>1.61278385671974</c:v>
                </c:pt>
                <c:pt idx="111">
                  <c:v>1.54406804435028</c:v>
                </c:pt>
                <c:pt idx="112">
                  <c:v>1.54406804435028</c:v>
                </c:pt>
                <c:pt idx="113">
                  <c:v>1.46982201597816</c:v>
                </c:pt>
                <c:pt idx="114">
                  <c:v>1.62838893005031</c:v>
                </c:pt>
                <c:pt idx="115">
                  <c:v>1.58319877396862</c:v>
                </c:pt>
                <c:pt idx="116">
                  <c:v>1.60959440922522</c:v>
                </c:pt>
                <c:pt idx="117">
                  <c:v>1.58994960132571</c:v>
                </c:pt>
                <c:pt idx="118">
                  <c:v>1.45636603312904</c:v>
                </c:pt>
                <c:pt idx="119">
                  <c:v>1.64345267648619</c:v>
                </c:pt>
                <c:pt idx="120">
                  <c:v>1.61278385671974</c:v>
                </c:pt>
                <c:pt idx="121">
                  <c:v>1.53655844257153</c:v>
                </c:pt>
                <c:pt idx="122">
                  <c:v>1.41664050733828</c:v>
                </c:pt>
                <c:pt idx="123">
                  <c:v>1.44715803134222</c:v>
                </c:pt>
                <c:pt idx="124">
                  <c:v>1.41497334797082</c:v>
                </c:pt>
                <c:pt idx="125">
                  <c:v>1.41161970596323</c:v>
                </c:pt>
                <c:pt idx="126">
                  <c:v>1.45484486000851</c:v>
                </c:pt>
                <c:pt idx="127">
                  <c:v>1.40823996531185</c:v>
                </c:pt>
                <c:pt idx="128">
                  <c:v>1.45178643552429</c:v>
                </c:pt>
                <c:pt idx="129">
                  <c:v>1.42975228000241</c:v>
                </c:pt>
                <c:pt idx="130">
                  <c:v>1.41497334797082</c:v>
                </c:pt>
                <c:pt idx="131">
                  <c:v>1.43296929087441</c:v>
                </c:pt>
                <c:pt idx="132">
                  <c:v>1.43136376415899</c:v>
                </c:pt>
                <c:pt idx="133">
                  <c:v>1.42324587393681</c:v>
                </c:pt>
                <c:pt idx="134">
                  <c:v>1.39967372148104</c:v>
                </c:pt>
                <c:pt idx="135">
                  <c:v>1.42160392686983</c:v>
                </c:pt>
                <c:pt idx="136">
                  <c:v>1.37106786227174</c:v>
                </c:pt>
                <c:pt idx="137">
                  <c:v>1.39269695325967</c:v>
                </c:pt>
                <c:pt idx="138">
                  <c:v>1.43136376415899</c:v>
                </c:pt>
                <c:pt idx="139">
                  <c:v>1.40654018043396</c:v>
                </c:pt>
                <c:pt idx="140">
                  <c:v>1.41329976408125</c:v>
                </c:pt>
                <c:pt idx="141">
                  <c:v>1.42324587393681</c:v>
                </c:pt>
                <c:pt idx="142">
                  <c:v>1.41497334797082</c:v>
                </c:pt>
                <c:pt idx="143">
                  <c:v>1.40823996531185</c:v>
                </c:pt>
                <c:pt idx="144">
                  <c:v>1.55750720190566</c:v>
                </c:pt>
                <c:pt idx="145">
                  <c:v>1.51851393987789</c:v>
                </c:pt>
                <c:pt idx="146">
                  <c:v>1.53147891704226</c:v>
                </c:pt>
                <c:pt idx="147">
                  <c:v>1.55022835305509</c:v>
                </c:pt>
                <c:pt idx="148">
                  <c:v>1.55750720190566</c:v>
                </c:pt>
                <c:pt idx="149">
                  <c:v>1.45331834004704</c:v>
                </c:pt>
                <c:pt idx="150">
                  <c:v>1.54530711646582</c:v>
                </c:pt>
                <c:pt idx="151">
                  <c:v>1.56937390961505</c:v>
                </c:pt>
                <c:pt idx="152">
                  <c:v>1.53529412004277</c:v>
                </c:pt>
                <c:pt idx="153">
                  <c:v>1.57978359661681</c:v>
                </c:pt>
                <c:pt idx="154">
                  <c:v>1.55630250076729</c:v>
                </c:pt>
                <c:pt idx="155">
                  <c:v>1.55144999797288</c:v>
                </c:pt>
                <c:pt idx="156">
                  <c:v>1.5327543789925</c:v>
                </c:pt>
                <c:pt idx="157">
                  <c:v>1.53019969820308</c:v>
                </c:pt>
                <c:pt idx="158">
                  <c:v>1.51188336097887</c:v>
                </c:pt>
                <c:pt idx="159">
                  <c:v>1.50242711998443</c:v>
                </c:pt>
                <c:pt idx="160">
                  <c:v>1.55022835305509</c:v>
                </c:pt>
                <c:pt idx="161">
                  <c:v>1.52244423350632</c:v>
                </c:pt>
                <c:pt idx="162">
                  <c:v>1.53019969820308</c:v>
                </c:pt>
                <c:pt idx="163">
                  <c:v>1.51851393987789</c:v>
                </c:pt>
                <c:pt idx="164">
                  <c:v>1.56110138364906</c:v>
                </c:pt>
                <c:pt idx="165">
                  <c:v>1.54777470538782</c:v>
                </c:pt>
                <c:pt idx="166">
                  <c:v>1.41497334797082</c:v>
                </c:pt>
                <c:pt idx="167">
                  <c:v>1.44715803134222</c:v>
                </c:pt>
                <c:pt idx="168">
                  <c:v>1.44404479591808</c:v>
                </c:pt>
                <c:pt idx="169">
                  <c:v>1.40312052117582</c:v>
                </c:pt>
                <c:pt idx="170">
                  <c:v>1.39093510710338</c:v>
                </c:pt>
                <c:pt idx="171">
                  <c:v>1.47712125471966</c:v>
                </c:pt>
                <c:pt idx="172">
                  <c:v>1.47567118832443</c:v>
                </c:pt>
                <c:pt idx="173">
                  <c:v>1.39794000867204</c:v>
                </c:pt>
                <c:pt idx="174">
                  <c:v>1.43616264704076</c:v>
                </c:pt>
                <c:pt idx="175">
                  <c:v>1.42813479402879</c:v>
                </c:pt>
                <c:pt idx="176">
                  <c:v>1.39794000867204</c:v>
                </c:pt>
                <c:pt idx="177">
                  <c:v>1.4345689040342</c:v>
                </c:pt>
                <c:pt idx="178">
                  <c:v>1.37106786227174</c:v>
                </c:pt>
                <c:pt idx="179">
                  <c:v>1.42324587393681</c:v>
                </c:pt>
                <c:pt idx="180">
                  <c:v>1.45331834004704</c:v>
                </c:pt>
                <c:pt idx="181">
                  <c:v>1.43616264704076</c:v>
                </c:pt>
                <c:pt idx="182">
                  <c:v>1.40140054078154</c:v>
                </c:pt>
                <c:pt idx="183">
                  <c:v>1.38381536598043</c:v>
                </c:pt>
                <c:pt idx="184">
                  <c:v>1.38738982633873</c:v>
                </c:pt>
                <c:pt idx="185">
                  <c:v>1.42975228000241</c:v>
                </c:pt>
                <c:pt idx="186">
                  <c:v>1.4345689040342</c:v>
                </c:pt>
                <c:pt idx="187">
                  <c:v>1.40823996531185</c:v>
                </c:pt>
                <c:pt idx="188">
                  <c:v>1.52762990087134</c:v>
                </c:pt>
                <c:pt idx="189">
                  <c:v>1.56110138364906</c:v>
                </c:pt>
                <c:pt idx="190">
                  <c:v>1.50514997831991</c:v>
                </c:pt>
                <c:pt idx="191">
                  <c:v>1.43933269383026</c:v>
                </c:pt>
                <c:pt idx="192">
                  <c:v>1.41497334797082</c:v>
                </c:pt>
                <c:pt idx="193">
                  <c:v>1.43296929087441</c:v>
                </c:pt>
                <c:pt idx="194">
                  <c:v>1.52891670027765</c:v>
                </c:pt>
                <c:pt idx="195">
                  <c:v>1.52504480703685</c:v>
                </c:pt>
                <c:pt idx="196">
                  <c:v>1.4983105537896</c:v>
                </c:pt>
                <c:pt idx="197">
                  <c:v>1.46982201597816</c:v>
                </c:pt>
                <c:pt idx="198">
                  <c:v>1.47712125471966</c:v>
                </c:pt>
                <c:pt idx="199">
                  <c:v>1.45788189673399</c:v>
                </c:pt>
                <c:pt idx="200">
                  <c:v>1.43933269383026</c:v>
                </c:pt>
                <c:pt idx="201">
                  <c:v>1.41830129131975</c:v>
                </c:pt>
                <c:pt idx="202">
                  <c:v>1.41664050733828</c:v>
                </c:pt>
                <c:pt idx="203">
                  <c:v>1.44715803134222</c:v>
                </c:pt>
                <c:pt idx="204">
                  <c:v>1.40654018043396</c:v>
                </c:pt>
                <c:pt idx="205">
                  <c:v>1.41161970596323</c:v>
                </c:pt>
                <c:pt idx="206">
                  <c:v>1.50514997831991</c:v>
                </c:pt>
                <c:pt idx="207">
                  <c:v>1.46834733041216</c:v>
                </c:pt>
                <c:pt idx="208">
                  <c:v>1.37839790094814</c:v>
                </c:pt>
                <c:pt idx="209">
                  <c:v>1.41830129131975</c:v>
                </c:pt>
                <c:pt idx="210">
                  <c:v>1.40823996531185</c:v>
                </c:pt>
                <c:pt idx="211">
                  <c:v>1.43933269383026</c:v>
                </c:pt>
                <c:pt idx="212">
                  <c:v>1.45484486000851</c:v>
                </c:pt>
                <c:pt idx="213">
                  <c:v>1.41329976408125</c:v>
                </c:pt>
                <c:pt idx="214">
                  <c:v>1.36921585741014</c:v>
                </c:pt>
                <c:pt idx="215">
                  <c:v>1.38916608436453</c:v>
                </c:pt>
                <c:pt idx="216">
                  <c:v>1.49276038902684</c:v>
                </c:pt>
                <c:pt idx="217">
                  <c:v>1.48713837547719</c:v>
                </c:pt>
                <c:pt idx="218">
                  <c:v>1.51851393987789</c:v>
                </c:pt>
                <c:pt idx="219">
                  <c:v>1.46982201597816</c:v>
                </c:pt>
                <c:pt idx="220">
                  <c:v>1.36172783601759</c:v>
                </c:pt>
                <c:pt idx="221">
                  <c:v>1.38916608436453</c:v>
                </c:pt>
                <c:pt idx="222">
                  <c:v>1.50105926221775</c:v>
                </c:pt>
                <c:pt idx="223">
                  <c:v>1.44870631990508</c:v>
                </c:pt>
                <c:pt idx="224">
                  <c:v>1.45331834004704</c:v>
                </c:pt>
                <c:pt idx="225">
                  <c:v>1.40654018043396</c:v>
                </c:pt>
                <c:pt idx="226">
                  <c:v>1.46089784275655</c:v>
                </c:pt>
                <c:pt idx="227">
                  <c:v>1.39794000867204</c:v>
                </c:pt>
                <c:pt idx="228">
                  <c:v>1.43616264704076</c:v>
                </c:pt>
                <c:pt idx="229">
                  <c:v>1.40823996531185</c:v>
                </c:pt>
                <c:pt idx="230">
                  <c:v>1.46239799789896</c:v>
                </c:pt>
                <c:pt idx="231">
                  <c:v>1.40654018043396</c:v>
                </c:pt>
                <c:pt idx="232">
                  <c:v>1.43136376415899</c:v>
                </c:pt>
                <c:pt idx="233">
                  <c:v>1.3747483460101</c:v>
                </c:pt>
                <c:pt idx="234">
                  <c:v>1.46982201597816</c:v>
                </c:pt>
                <c:pt idx="235">
                  <c:v>1.45939248775923</c:v>
                </c:pt>
                <c:pt idx="236">
                  <c:v>1.43136376415899</c:v>
                </c:pt>
                <c:pt idx="237">
                  <c:v>1.46239799789896</c:v>
                </c:pt>
                <c:pt idx="238">
                  <c:v>1.51587384371168</c:v>
                </c:pt>
                <c:pt idx="239">
                  <c:v>1.46239799789896</c:v>
                </c:pt>
                <c:pt idx="240">
                  <c:v>1.41161970596323</c:v>
                </c:pt>
                <c:pt idx="241">
                  <c:v>1.47129171105894</c:v>
                </c:pt>
                <c:pt idx="242">
                  <c:v>1.45178643552429</c:v>
                </c:pt>
                <c:pt idx="243">
                  <c:v>1.44090908206522</c:v>
                </c:pt>
                <c:pt idx="244">
                  <c:v>1.47856649559384</c:v>
                </c:pt>
                <c:pt idx="245">
                  <c:v>1.41664050733828</c:v>
                </c:pt>
                <c:pt idx="246">
                  <c:v>1.45331834004704</c:v>
                </c:pt>
                <c:pt idx="247">
                  <c:v>1.47275644931721</c:v>
                </c:pt>
                <c:pt idx="248">
                  <c:v>1.54900326202579</c:v>
                </c:pt>
                <c:pt idx="249">
                  <c:v>1.45788189673399</c:v>
                </c:pt>
                <c:pt idx="250">
                  <c:v>1.46239799789896</c:v>
                </c:pt>
                <c:pt idx="251">
                  <c:v>1.46982201597816</c:v>
                </c:pt>
                <c:pt idx="252">
                  <c:v>1.47129171105894</c:v>
                </c:pt>
                <c:pt idx="253">
                  <c:v>1.55630250076729</c:v>
                </c:pt>
                <c:pt idx="254">
                  <c:v>1.43933269383026</c:v>
                </c:pt>
                <c:pt idx="255">
                  <c:v>1.44715803134222</c:v>
                </c:pt>
                <c:pt idx="256">
                  <c:v>1.43136376415899</c:v>
                </c:pt>
                <c:pt idx="257">
                  <c:v>1.43296929087441</c:v>
                </c:pt>
                <c:pt idx="258">
                  <c:v>1.49136169383427</c:v>
                </c:pt>
                <c:pt idx="259">
                  <c:v>1.44715803134222</c:v>
                </c:pt>
                <c:pt idx="260">
                  <c:v>1.43136376415899</c:v>
                </c:pt>
                <c:pt idx="261">
                  <c:v>1.39269695325967</c:v>
                </c:pt>
                <c:pt idx="262">
                  <c:v>1.46538285144842</c:v>
                </c:pt>
                <c:pt idx="263">
                  <c:v>1.47129171105894</c:v>
                </c:pt>
                <c:pt idx="264">
                  <c:v>1.43616264704076</c:v>
                </c:pt>
                <c:pt idx="265">
                  <c:v>1.44870631990508</c:v>
                </c:pt>
                <c:pt idx="266">
                  <c:v>1.51982799377572</c:v>
                </c:pt>
                <c:pt idx="267">
                  <c:v>1.51454775266029</c:v>
                </c:pt>
                <c:pt idx="268">
                  <c:v>1.4983105537896</c:v>
                </c:pt>
                <c:pt idx="269">
                  <c:v>1.42488163663107</c:v>
                </c:pt>
                <c:pt idx="270">
                  <c:v>1.43136376415899</c:v>
                </c:pt>
                <c:pt idx="271">
                  <c:v>1.45939248775923</c:v>
                </c:pt>
                <c:pt idx="272">
                  <c:v>1.42160392686983</c:v>
                </c:pt>
                <c:pt idx="273">
                  <c:v>1.38560627359831</c:v>
                </c:pt>
                <c:pt idx="274">
                  <c:v>1.46686762035411</c:v>
                </c:pt>
                <c:pt idx="275">
                  <c:v>1.44247976906445</c:v>
                </c:pt>
                <c:pt idx="276">
                  <c:v>1.44715803134222</c:v>
                </c:pt>
                <c:pt idx="277">
                  <c:v>1.44715803134222</c:v>
                </c:pt>
                <c:pt idx="278">
                  <c:v>1.42651126136458</c:v>
                </c:pt>
                <c:pt idx="279">
                  <c:v>1.50514997831991</c:v>
                </c:pt>
                <c:pt idx="280">
                  <c:v>1.44404479591808</c:v>
                </c:pt>
                <c:pt idx="281">
                  <c:v>1.4456042032736</c:v>
                </c:pt>
                <c:pt idx="282">
                  <c:v>1.40993312333129</c:v>
                </c:pt>
                <c:pt idx="283">
                  <c:v>1.44715803134222</c:v>
                </c:pt>
                <c:pt idx="284">
                  <c:v>1.41830129131975</c:v>
                </c:pt>
                <c:pt idx="285">
                  <c:v>1.42324587393681</c:v>
                </c:pt>
                <c:pt idx="286">
                  <c:v>1.39794000867204</c:v>
                </c:pt>
                <c:pt idx="287">
                  <c:v>1.42975228000241</c:v>
                </c:pt>
                <c:pt idx="288">
                  <c:v>1.42488163663107</c:v>
                </c:pt>
                <c:pt idx="289">
                  <c:v>1.41497334797082</c:v>
                </c:pt>
                <c:pt idx="290">
                  <c:v>1.40823996531185</c:v>
                </c:pt>
                <c:pt idx="291">
                  <c:v>1.39619934709574</c:v>
                </c:pt>
                <c:pt idx="292">
                  <c:v>1.45178643552429</c:v>
                </c:pt>
                <c:pt idx="293">
                  <c:v>1.39093510710338</c:v>
                </c:pt>
                <c:pt idx="294">
                  <c:v>1.44870631990508</c:v>
                </c:pt>
                <c:pt idx="295">
                  <c:v>1.46239799789896</c:v>
                </c:pt>
                <c:pt idx="296">
                  <c:v>1.49692964807321</c:v>
                </c:pt>
                <c:pt idx="297">
                  <c:v>1.39445168082622</c:v>
                </c:pt>
                <c:pt idx="298">
                  <c:v>1.43136376415899</c:v>
                </c:pt>
                <c:pt idx="299">
                  <c:v>1.52633927738984</c:v>
                </c:pt>
                <c:pt idx="300">
                  <c:v>1.47567118832443</c:v>
                </c:pt>
                <c:pt idx="301">
                  <c:v>1.52374646681156</c:v>
                </c:pt>
                <c:pt idx="302">
                  <c:v>1.45178643552429</c:v>
                </c:pt>
                <c:pt idx="303">
                  <c:v>1.54032947479087</c:v>
                </c:pt>
                <c:pt idx="304">
                  <c:v>1.45484486000851</c:v>
                </c:pt>
                <c:pt idx="305">
                  <c:v>1.53781909507327</c:v>
                </c:pt>
                <c:pt idx="306">
                  <c:v>1.50785587169583</c:v>
                </c:pt>
                <c:pt idx="307">
                  <c:v>1.46239799789896</c:v>
                </c:pt>
                <c:pt idx="308">
                  <c:v>1.49415459401844</c:v>
                </c:pt>
                <c:pt idx="309">
                  <c:v>1.52891670027765</c:v>
                </c:pt>
                <c:pt idx="310">
                  <c:v>1.45484486000851</c:v>
                </c:pt>
                <c:pt idx="311">
                  <c:v>1.47712125471966</c:v>
                </c:pt>
                <c:pt idx="312">
                  <c:v>1.51321760006794</c:v>
                </c:pt>
                <c:pt idx="313">
                  <c:v>1.4983105537896</c:v>
                </c:pt>
                <c:pt idx="314">
                  <c:v>1.50105926221775</c:v>
                </c:pt>
                <c:pt idx="315">
                  <c:v>1.4996870826184</c:v>
                </c:pt>
                <c:pt idx="316">
                  <c:v>1.59769518592551</c:v>
                </c:pt>
                <c:pt idx="317">
                  <c:v>1.51188336097887</c:v>
                </c:pt>
                <c:pt idx="318">
                  <c:v>1.49554433754645</c:v>
                </c:pt>
                <c:pt idx="319">
                  <c:v>1.48429983934679</c:v>
                </c:pt>
                <c:pt idx="320">
                  <c:v>1.49136169383427</c:v>
                </c:pt>
                <c:pt idx="321">
                  <c:v>1.48572142648158</c:v>
                </c:pt>
                <c:pt idx="322">
                  <c:v>1.47712125471966</c:v>
                </c:pt>
                <c:pt idx="323">
                  <c:v>1.59769518592551</c:v>
                </c:pt>
                <c:pt idx="324">
                  <c:v>1.51851393987789</c:v>
                </c:pt>
                <c:pt idx="325">
                  <c:v>1.51054501020661</c:v>
                </c:pt>
                <c:pt idx="326">
                  <c:v>1.45484486000851</c:v>
                </c:pt>
                <c:pt idx="327">
                  <c:v>1.46982201597816</c:v>
                </c:pt>
                <c:pt idx="328">
                  <c:v>1.50514997831991</c:v>
                </c:pt>
                <c:pt idx="329">
                  <c:v>1.48855071650044</c:v>
                </c:pt>
                <c:pt idx="330">
                  <c:v>1.55750720190566</c:v>
                </c:pt>
                <c:pt idx="331">
                  <c:v>1.48144262850231</c:v>
                </c:pt>
                <c:pt idx="332">
                  <c:v>1.45024910831936</c:v>
                </c:pt>
                <c:pt idx="333">
                  <c:v>1.5092025223311</c:v>
                </c:pt>
                <c:pt idx="334">
                  <c:v>1.46686762035411</c:v>
                </c:pt>
                <c:pt idx="335">
                  <c:v>1.54157924394658</c:v>
                </c:pt>
                <c:pt idx="336">
                  <c:v>1.49136169383427</c:v>
                </c:pt>
                <c:pt idx="337">
                  <c:v>1.55509444857832</c:v>
                </c:pt>
                <c:pt idx="338">
                  <c:v>1.48995847942483</c:v>
                </c:pt>
                <c:pt idx="339">
                  <c:v>1.53402610605614</c:v>
                </c:pt>
                <c:pt idx="340">
                  <c:v>1.44404479591808</c:v>
                </c:pt>
                <c:pt idx="341">
                  <c:v>1.42488163663107</c:v>
                </c:pt>
                <c:pt idx="342">
                  <c:v>1.45024910831936</c:v>
                </c:pt>
                <c:pt idx="343">
                  <c:v>1.54032947479087</c:v>
                </c:pt>
                <c:pt idx="344">
                  <c:v>1.55630250076729</c:v>
                </c:pt>
                <c:pt idx="345">
                  <c:v>1.51719589794997</c:v>
                </c:pt>
                <c:pt idx="346">
                  <c:v>1.47275644931721</c:v>
                </c:pt>
                <c:pt idx="347">
                  <c:v>1.49136169383427</c:v>
                </c:pt>
                <c:pt idx="348">
                  <c:v>1.51321760006794</c:v>
                </c:pt>
                <c:pt idx="349">
                  <c:v>1.48995847942483</c:v>
                </c:pt>
                <c:pt idx="350">
                  <c:v>1.50650503240487</c:v>
                </c:pt>
                <c:pt idx="351">
                  <c:v>1.45178643552429</c:v>
                </c:pt>
                <c:pt idx="352">
                  <c:v>1.56820172406699</c:v>
                </c:pt>
                <c:pt idx="353">
                  <c:v>1.57518784492766</c:v>
                </c:pt>
                <c:pt idx="354">
                  <c:v>1.4983105537896</c:v>
                </c:pt>
                <c:pt idx="355">
                  <c:v>1.49692964807321</c:v>
                </c:pt>
                <c:pt idx="356">
                  <c:v>1.46982201597816</c:v>
                </c:pt>
                <c:pt idx="357">
                  <c:v>1.45939248775923</c:v>
                </c:pt>
                <c:pt idx="358">
                  <c:v>1.48572142648158</c:v>
                </c:pt>
                <c:pt idx="359">
                  <c:v>1.47129171105894</c:v>
                </c:pt>
                <c:pt idx="360">
                  <c:v>1.48287358360875</c:v>
                </c:pt>
                <c:pt idx="361">
                  <c:v>1.46982201597816</c:v>
                </c:pt>
                <c:pt idx="362">
                  <c:v>1.47129171105894</c:v>
                </c:pt>
                <c:pt idx="363">
                  <c:v>1.51719589794997</c:v>
                </c:pt>
                <c:pt idx="364">
                  <c:v>1.53907609879278</c:v>
                </c:pt>
                <c:pt idx="365">
                  <c:v>1.56229286445647</c:v>
                </c:pt>
                <c:pt idx="366">
                  <c:v>1.44870631990508</c:v>
                </c:pt>
                <c:pt idx="367">
                  <c:v>1.46686762035411</c:v>
                </c:pt>
                <c:pt idx="368">
                  <c:v>1.55630250076729</c:v>
                </c:pt>
                <c:pt idx="369">
                  <c:v>1.48000694295715</c:v>
                </c:pt>
                <c:pt idx="370">
                  <c:v>1.55630250076729</c:v>
                </c:pt>
                <c:pt idx="371">
                  <c:v>1.53019969820308</c:v>
                </c:pt>
                <c:pt idx="372">
                  <c:v>1.49692964807321</c:v>
                </c:pt>
                <c:pt idx="373">
                  <c:v>1.53655844257153</c:v>
                </c:pt>
                <c:pt idx="374">
                  <c:v>1.57634135020579</c:v>
                </c:pt>
                <c:pt idx="375">
                  <c:v>1.49136169383427</c:v>
                </c:pt>
                <c:pt idx="376">
                  <c:v>1.48713837547719</c:v>
                </c:pt>
                <c:pt idx="377">
                  <c:v>1.52504480703685</c:v>
                </c:pt>
                <c:pt idx="378">
                  <c:v>1.48572142648158</c:v>
                </c:pt>
                <c:pt idx="379">
                  <c:v>1.49136169383427</c:v>
                </c:pt>
                <c:pt idx="380">
                  <c:v>1.50105926221775</c:v>
                </c:pt>
                <c:pt idx="381">
                  <c:v>1.48572142648158</c:v>
                </c:pt>
                <c:pt idx="382">
                  <c:v>1.47712125471966</c:v>
                </c:pt>
                <c:pt idx="383">
                  <c:v>1.51851393987789</c:v>
                </c:pt>
                <c:pt idx="384">
                  <c:v>1.49136169383427</c:v>
                </c:pt>
                <c:pt idx="385">
                  <c:v>1.42651126136458</c:v>
                </c:pt>
                <c:pt idx="386">
                  <c:v>1.44715803134222</c:v>
                </c:pt>
                <c:pt idx="387">
                  <c:v>1.48000694295715</c:v>
                </c:pt>
                <c:pt idx="388">
                  <c:v>1.48000694295715</c:v>
                </c:pt>
                <c:pt idx="389">
                  <c:v>1.53781909507327</c:v>
                </c:pt>
                <c:pt idx="390">
                  <c:v>1.51454775266029</c:v>
                </c:pt>
                <c:pt idx="391">
                  <c:v>1.45178643552429</c:v>
                </c:pt>
                <c:pt idx="392">
                  <c:v>1.45636603312904</c:v>
                </c:pt>
                <c:pt idx="393">
                  <c:v>1.51454775266029</c:v>
                </c:pt>
                <c:pt idx="394">
                  <c:v>1.54406804435028</c:v>
                </c:pt>
                <c:pt idx="395">
                  <c:v>1.40654018043396</c:v>
                </c:pt>
                <c:pt idx="396">
                  <c:v>1.50514997831991</c:v>
                </c:pt>
                <c:pt idx="397">
                  <c:v>1.51587384371168</c:v>
                </c:pt>
                <c:pt idx="398">
                  <c:v>1.42813479402879</c:v>
                </c:pt>
                <c:pt idx="399">
                  <c:v>1.52504480703685</c:v>
                </c:pt>
                <c:pt idx="400">
                  <c:v>1.43933269383026</c:v>
                </c:pt>
                <c:pt idx="401">
                  <c:v>1.48713837547719</c:v>
                </c:pt>
                <c:pt idx="402">
                  <c:v>1.41497334797082</c:v>
                </c:pt>
                <c:pt idx="403">
                  <c:v>1.46982201597816</c:v>
                </c:pt>
                <c:pt idx="404">
                  <c:v>1.37657695705651</c:v>
                </c:pt>
                <c:pt idx="405">
                  <c:v>1.46239799789896</c:v>
                </c:pt>
                <c:pt idx="406">
                  <c:v>1.45484486000851</c:v>
                </c:pt>
                <c:pt idx="407">
                  <c:v>1.45331834004704</c:v>
                </c:pt>
                <c:pt idx="408">
                  <c:v>1.44090908206522</c:v>
                </c:pt>
                <c:pt idx="409">
                  <c:v>1.41830129131975</c:v>
                </c:pt>
                <c:pt idx="410">
                  <c:v>1.41161970596323</c:v>
                </c:pt>
                <c:pt idx="411">
                  <c:v>1.52374646681156</c:v>
                </c:pt>
                <c:pt idx="412">
                  <c:v>1.45331834004704</c:v>
                </c:pt>
                <c:pt idx="413">
                  <c:v>1.44247976906445</c:v>
                </c:pt>
                <c:pt idx="414">
                  <c:v>1.48572142648158</c:v>
                </c:pt>
                <c:pt idx="415">
                  <c:v>1.39445168082622</c:v>
                </c:pt>
                <c:pt idx="416">
                  <c:v>1.42160392686983</c:v>
                </c:pt>
                <c:pt idx="417">
                  <c:v>1.44090908206522</c:v>
                </c:pt>
                <c:pt idx="418">
                  <c:v>1.44404479591808</c:v>
                </c:pt>
                <c:pt idx="419">
                  <c:v>1.47712125471966</c:v>
                </c:pt>
                <c:pt idx="420">
                  <c:v>1.47856649559384</c:v>
                </c:pt>
                <c:pt idx="421">
                  <c:v>1.43136376415899</c:v>
                </c:pt>
                <c:pt idx="422">
                  <c:v>1.5092025223311</c:v>
                </c:pt>
                <c:pt idx="423">
                  <c:v>1.43775056282039</c:v>
                </c:pt>
                <c:pt idx="424">
                  <c:v>1.46389298898591</c:v>
                </c:pt>
                <c:pt idx="425">
                  <c:v>1.42160392686983</c:v>
                </c:pt>
                <c:pt idx="426">
                  <c:v>1.47567118832443</c:v>
                </c:pt>
                <c:pt idx="427">
                  <c:v>1.47567118832443</c:v>
                </c:pt>
                <c:pt idx="428">
                  <c:v>1.44715803134222</c:v>
                </c:pt>
                <c:pt idx="429">
                  <c:v>1.43136376415899</c:v>
                </c:pt>
                <c:pt idx="430">
                  <c:v>1.40312052117582</c:v>
                </c:pt>
                <c:pt idx="431">
                  <c:v>1.45484486000851</c:v>
                </c:pt>
                <c:pt idx="432">
                  <c:v>1.46686762035411</c:v>
                </c:pt>
                <c:pt idx="433">
                  <c:v>1.42324587393681</c:v>
                </c:pt>
                <c:pt idx="434">
                  <c:v>1.44090908206522</c:v>
                </c:pt>
                <c:pt idx="435">
                  <c:v>1.41830129131975</c:v>
                </c:pt>
                <c:pt idx="436">
                  <c:v>1.45178643552429</c:v>
                </c:pt>
                <c:pt idx="437">
                  <c:v>1.46982201597816</c:v>
                </c:pt>
                <c:pt idx="438">
                  <c:v>1.4983105537896</c:v>
                </c:pt>
                <c:pt idx="439">
                  <c:v>1.47421626407626</c:v>
                </c:pt>
                <c:pt idx="440">
                  <c:v>1.4345689040342</c:v>
                </c:pt>
                <c:pt idx="441">
                  <c:v>1.42651126136458</c:v>
                </c:pt>
                <c:pt idx="442">
                  <c:v>1.40312052117582</c:v>
                </c:pt>
                <c:pt idx="443">
                  <c:v>1.46239799789896</c:v>
                </c:pt>
                <c:pt idx="444">
                  <c:v>1.43136376415899</c:v>
                </c:pt>
                <c:pt idx="445">
                  <c:v>1.45484486000851</c:v>
                </c:pt>
                <c:pt idx="446">
                  <c:v>1.44404479591808</c:v>
                </c:pt>
                <c:pt idx="447">
                  <c:v>1.47421626407626</c:v>
                </c:pt>
                <c:pt idx="448">
                  <c:v>1.51188336097887</c:v>
                </c:pt>
                <c:pt idx="449">
                  <c:v>1.45024910831936</c:v>
                </c:pt>
                <c:pt idx="450">
                  <c:v>1.45024910831936</c:v>
                </c:pt>
                <c:pt idx="451">
                  <c:v>1.48429983934679</c:v>
                </c:pt>
                <c:pt idx="452">
                  <c:v>1.46239799789896</c:v>
                </c:pt>
                <c:pt idx="453">
                  <c:v>1.41830129131975</c:v>
                </c:pt>
                <c:pt idx="454">
                  <c:v>1.41497334797082</c:v>
                </c:pt>
                <c:pt idx="455">
                  <c:v>1.47856649559384</c:v>
                </c:pt>
                <c:pt idx="456">
                  <c:v>1.45788189673399</c:v>
                </c:pt>
                <c:pt idx="457">
                  <c:v>1.4456042032736</c:v>
                </c:pt>
                <c:pt idx="458">
                  <c:v>1.48995847942483</c:v>
                </c:pt>
                <c:pt idx="459">
                  <c:v>1.41830129131975</c:v>
                </c:pt>
                <c:pt idx="460">
                  <c:v>1.44247976906445</c:v>
                </c:pt>
                <c:pt idx="461">
                  <c:v>1.41830129131975</c:v>
                </c:pt>
                <c:pt idx="462">
                  <c:v>1.43933269383026</c:v>
                </c:pt>
                <c:pt idx="463">
                  <c:v>1.46239799789896</c:v>
                </c:pt>
                <c:pt idx="464">
                  <c:v>1.46982201597816</c:v>
                </c:pt>
                <c:pt idx="465">
                  <c:v>1.42813479402879</c:v>
                </c:pt>
                <c:pt idx="466">
                  <c:v>1.49554433754645</c:v>
                </c:pt>
                <c:pt idx="467">
                  <c:v>1.48144262850231</c:v>
                </c:pt>
                <c:pt idx="468">
                  <c:v>1.47421626407626</c:v>
                </c:pt>
                <c:pt idx="469">
                  <c:v>1.48995847942483</c:v>
                </c:pt>
                <c:pt idx="470">
                  <c:v>1.44247976906445</c:v>
                </c:pt>
                <c:pt idx="471">
                  <c:v>1.44715803134222</c:v>
                </c:pt>
                <c:pt idx="472">
                  <c:v>1.45788189673399</c:v>
                </c:pt>
                <c:pt idx="473">
                  <c:v>1.45024910831936</c:v>
                </c:pt>
                <c:pt idx="474">
                  <c:v>1.45484486000851</c:v>
                </c:pt>
                <c:pt idx="475">
                  <c:v>1.47712125471966</c:v>
                </c:pt>
                <c:pt idx="476">
                  <c:v>1.47856649559384</c:v>
                </c:pt>
                <c:pt idx="477">
                  <c:v>1.44404479591808</c:v>
                </c:pt>
                <c:pt idx="478">
                  <c:v>1.44404479591808</c:v>
                </c:pt>
                <c:pt idx="479">
                  <c:v>1.40140054078154</c:v>
                </c:pt>
                <c:pt idx="480">
                  <c:v>1.46686762035411</c:v>
                </c:pt>
                <c:pt idx="481">
                  <c:v>1.40654018043396</c:v>
                </c:pt>
                <c:pt idx="482">
                  <c:v>1.46686762035411</c:v>
                </c:pt>
                <c:pt idx="483">
                  <c:v>1.41329976408125</c:v>
                </c:pt>
                <c:pt idx="484">
                  <c:v>1.46239799789896</c:v>
                </c:pt>
                <c:pt idx="485">
                  <c:v>1.42813479402879</c:v>
                </c:pt>
                <c:pt idx="486">
                  <c:v>1.42975228000241</c:v>
                </c:pt>
                <c:pt idx="487">
                  <c:v>1.45636603312904</c:v>
                </c:pt>
                <c:pt idx="488">
                  <c:v>1.47421626407626</c:v>
                </c:pt>
                <c:pt idx="489">
                  <c:v>1.41830129131975</c:v>
                </c:pt>
                <c:pt idx="490">
                  <c:v>1.38916608436453</c:v>
                </c:pt>
                <c:pt idx="491">
                  <c:v>1.43136376415899</c:v>
                </c:pt>
                <c:pt idx="492">
                  <c:v>1.45939248775923</c:v>
                </c:pt>
                <c:pt idx="493">
                  <c:v>1.47129171105894</c:v>
                </c:pt>
                <c:pt idx="494">
                  <c:v>1.42160392686983</c:v>
                </c:pt>
                <c:pt idx="495">
                  <c:v>1.41161970596323</c:v>
                </c:pt>
                <c:pt idx="496">
                  <c:v>1.45939248775923</c:v>
                </c:pt>
                <c:pt idx="497">
                  <c:v>1.44090908206522</c:v>
                </c:pt>
                <c:pt idx="498">
                  <c:v>1.4345689040342</c:v>
                </c:pt>
                <c:pt idx="499">
                  <c:v>1.43933269383026</c:v>
                </c:pt>
              </c:numCache>
            </c:numRef>
          </c:xVal>
          <c:yVal>
            <c:numRef>
              <c:f>[1]ورقة1!$K$1:$K$500</c:f>
              <c:numCache>
                <c:formatCode>General</c:formatCode>
                <c:ptCount val="500"/>
                <c:pt idx="0">
                  <c:v>2.7979596437372</c:v>
                </c:pt>
                <c:pt idx="1">
                  <c:v>2.91009054559407</c:v>
                </c:pt>
                <c:pt idx="2">
                  <c:v>2.81023251799508</c:v>
                </c:pt>
                <c:pt idx="3">
                  <c:v>2.75281643118827</c:v>
                </c:pt>
                <c:pt idx="4">
                  <c:v>2.59217675739587</c:v>
                </c:pt>
                <c:pt idx="5">
                  <c:v>2.76117581315573</c:v>
                </c:pt>
                <c:pt idx="6">
                  <c:v>2.82477646247555</c:v>
                </c:pt>
                <c:pt idx="7">
                  <c:v>2.69810054562339</c:v>
                </c:pt>
                <c:pt idx="8">
                  <c:v>2.57287160220048</c:v>
                </c:pt>
                <c:pt idx="9">
                  <c:v>2.88081359228079</c:v>
                </c:pt>
                <c:pt idx="10">
                  <c:v>2.9566485792052</c:v>
                </c:pt>
                <c:pt idx="11">
                  <c:v>2.67577834167409</c:v>
                </c:pt>
                <c:pt idx="12">
                  <c:v>2.73719264270474</c:v>
                </c:pt>
                <c:pt idx="13">
                  <c:v>2.63848925695464</c:v>
                </c:pt>
                <c:pt idx="14">
                  <c:v>2.7481880270062</c:v>
                </c:pt>
                <c:pt idx="15">
                  <c:v>2.80002935924413</c:v>
                </c:pt>
                <c:pt idx="16">
                  <c:v>2.80002935924413</c:v>
                </c:pt>
                <c:pt idx="17">
                  <c:v>2.60205999132796</c:v>
                </c:pt>
                <c:pt idx="18">
                  <c:v>2.74036268949424</c:v>
                </c:pt>
                <c:pt idx="19">
                  <c:v>2.30102999566398</c:v>
                </c:pt>
                <c:pt idx="20">
                  <c:v>2.04921802267018</c:v>
                </c:pt>
                <c:pt idx="21">
                  <c:v>2.3096301674259</c:v>
                </c:pt>
                <c:pt idx="22">
                  <c:v>2.72181061521255</c:v>
                </c:pt>
                <c:pt idx="23">
                  <c:v>2.60959440922522</c:v>
                </c:pt>
                <c:pt idx="24">
                  <c:v>2.58092497567562</c:v>
                </c:pt>
                <c:pt idx="25">
                  <c:v>2.62634036737504</c:v>
                </c:pt>
                <c:pt idx="26">
                  <c:v>2.7979596437372</c:v>
                </c:pt>
                <c:pt idx="27">
                  <c:v>2.53781909507327</c:v>
                </c:pt>
                <c:pt idx="28">
                  <c:v>2.10037054511756</c:v>
                </c:pt>
                <c:pt idx="29">
                  <c:v>2.51587384371168</c:v>
                </c:pt>
                <c:pt idx="30">
                  <c:v>2.51188336097887</c:v>
                </c:pt>
                <c:pt idx="31">
                  <c:v>2.79379038469082</c:v>
                </c:pt>
                <c:pt idx="32">
                  <c:v>2.81491318127507</c:v>
                </c:pt>
                <c:pt idx="33">
                  <c:v>2.28780172993023</c:v>
                </c:pt>
                <c:pt idx="34">
                  <c:v>2.29003461136252</c:v>
                </c:pt>
                <c:pt idx="35">
                  <c:v>2.49415459401844</c:v>
                </c:pt>
                <c:pt idx="36">
                  <c:v>2.6170003411209</c:v>
                </c:pt>
                <c:pt idx="37">
                  <c:v>2.82865989653532</c:v>
                </c:pt>
                <c:pt idx="38">
                  <c:v>2.07554696139253</c:v>
                </c:pt>
                <c:pt idx="39">
                  <c:v>2.76789761601809</c:v>
                </c:pt>
                <c:pt idx="40">
                  <c:v>2.73639650227664</c:v>
                </c:pt>
                <c:pt idx="41">
                  <c:v>2.92427928606188</c:v>
                </c:pt>
                <c:pt idx="42">
                  <c:v>2.8055008581584</c:v>
                </c:pt>
                <c:pt idx="43">
                  <c:v>2.73479982958885</c:v>
                </c:pt>
                <c:pt idx="44">
                  <c:v>2.20951501454263</c:v>
                </c:pt>
                <c:pt idx="45">
                  <c:v>2.17897694729317</c:v>
                </c:pt>
                <c:pt idx="46">
                  <c:v>2.09342168516224</c:v>
                </c:pt>
                <c:pt idx="47">
                  <c:v>2.09691001300806</c:v>
                </c:pt>
                <c:pt idx="48">
                  <c:v>2.08635983067475</c:v>
                </c:pt>
                <c:pt idx="49">
                  <c:v>2.13033376849501</c:v>
                </c:pt>
                <c:pt idx="50">
                  <c:v>2.11727129565576</c:v>
                </c:pt>
                <c:pt idx="51">
                  <c:v>2.08635983067475</c:v>
                </c:pt>
                <c:pt idx="52">
                  <c:v>2.10380372095596</c:v>
                </c:pt>
                <c:pt idx="53">
                  <c:v>2.06445798922692</c:v>
                </c:pt>
                <c:pt idx="54">
                  <c:v>2.02530586526477</c:v>
                </c:pt>
                <c:pt idx="55">
                  <c:v>2.2148438480477</c:v>
                </c:pt>
                <c:pt idx="56">
                  <c:v>2.12385164096709</c:v>
                </c:pt>
                <c:pt idx="57">
                  <c:v>1.98227123303957</c:v>
                </c:pt>
                <c:pt idx="58">
                  <c:v>2.74350976472843</c:v>
                </c:pt>
                <c:pt idx="59">
                  <c:v>2.02118929906994</c:v>
                </c:pt>
                <c:pt idx="60">
                  <c:v>2.06445798922692</c:v>
                </c:pt>
                <c:pt idx="61">
                  <c:v>2.32633586092875</c:v>
                </c:pt>
                <c:pt idx="62">
                  <c:v>2.12057393120585</c:v>
                </c:pt>
                <c:pt idx="63">
                  <c:v>2.31597034545692</c:v>
                </c:pt>
                <c:pt idx="64">
                  <c:v>2.05307844348342</c:v>
                </c:pt>
                <c:pt idx="65">
                  <c:v>2</c:v>
                </c:pt>
                <c:pt idx="66">
                  <c:v>2.40823996531185</c:v>
                </c:pt>
                <c:pt idx="67">
                  <c:v>2.45331834004704</c:v>
                </c:pt>
                <c:pt idx="68">
                  <c:v>2.30749603791321</c:v>
                </c:pt>
                <c:pt idx="69">
                  <c:v>2.30535136944662</c:v>
                </c:pt>
                <c:pt idx="70">
                  <c:v>2.26245108973043</c:v>
                </c:pt>
                <c:pt idx="71">
                  <c:v>2.42975228000241</c:v>
                </c:pt>
                <c:pt idx="72">
                  <c:v>2.36172783601759</c:v>
                </c:pt>
                <c:pt idx="73">
                  <c:v>2.40654018043395</c:v>
                </c:pt>
                <c:pt idx="74">
                  <c:v>2.24303804868629</c:v>
                </c:pt>
                <c:pt idx="75">
                  <c:v>2.2718416065365</c:v>
                </c:pt>
                <c:pt idx="76">
                  <c:v>2.50105926221775</c:v>
                </c:pt>
                <c:pt idx="77">
                  <c:v>2.46982201597816</c:v>
                </c:pt>
                <c:pt idx="78">
                  <c:v>2.38560627359831</c:v>
                </c:pt>
                <c:pt idx="79">
                  <c:v>2.29003461136252</c:v>
                </c:pt>
                <c:pt idx="80">
                  <c:v>2.3541084391474</c:v>
                </c:pt>
                <c:pt idx="81">
                  <c:v>2.38381536598043</c:v>
                </c:pt>
                <c:pt idx="82">
                  <c:v>2.35602585719312</c:v>
                </c:pt>
                <c:pt idx="83">
                  <c:v>2.3654879848909</c:v>
                </c:pt>
                <c:pt idx="84">
                  <c:v>2.33645973384853</c:v>
                </c:pt>
                <c:pt idx="85">
                  <c:v>2.32428245529769</c:v>
                </c:pt>
                <c:pt idx="86">
                  <c:v>2.25767857486918</c:v>
                </c:pt>
                <c:pt idx="87">
                  <c:v>2.36361197989214</c:v>
                </c:pt>
                <c:pt idx="88">
                  <c:v>2.7419390777292</c:v>
                </c:pt>
                <c:pt idx="89">
                  <c:v>2.78675142214556</c:v>
                </c:pt>
                <c:pt idx="90">
                  <c:v>2.29446622616159</c:v>
                </c:pt>
                <c:pt idx="91">
                  <c:v>2.81822589361396</c:v>
                </c:pt>
                <c:pt idx="92">
                  <c:v>2.89097959698969</c:v>
                </c:pt>
                <c:pt idx="93">
                  <c:v>2.53781909507327</c:v>
                </c:pt>
                <c:pt idx="94">
                  <c:v>2.59217675739587</c:v>
                </c:pt>
                <c:pt idx="95">
                  <c:v>1.94448267215017</c:v>
                </c:pt>
                <c:pt idx="96">
                  <c:v>2.46389298898591</c:v>
                </c:pt>
                <c:pt idx="97">
                  <c:v>2.30102999566398</c:v>
                </c:pt>
                <c:pt idx="98">
                  <c:v>2.34635297445064</c:v>
                </c:pt>
                <c:pt idx="99">
                  <c:v>2.46982201597816</c:v>
                </c:pt>
                <c:pt idx="100">
                  <c:v>2.9670797341445</c:v>
                </c:pt>
                <c:pt idx="101">
                  <c:v>2.56348108539441</c:v>
                </c:pt>
                <c:pt idx="102">
                  <c:v>2.47567118832443</c:v>
                </c:pt>
                <c:pt idx="103">
                  <c:v>2.49554433754645</c:v>
                </c:pt>
                <c:pt idx="104">
                  <c:v>2.85247999363686</c:v>
                </c:pt>
                <c:pt idx="105">
                  <c:v>2.87737134586977</c:v>
                </c:pt>
                <c:pt idx="106">
                  <c:v>2.55750720190566</c:v>
                </c:pt>
                <c:pt idx="107">
                  <c:v>2.48000694295715</c:v>
                </c:pt>
                <c:pt idx="108">
                  <c:v>2.55266821611219</c:v>
                </c:pt>
                <c:pt idx="109">
                  <c:v>2.4456042032736</c:v>
                </c:pt>
                <c:pt idx="110">
                  <c:v>2.69635638873333</c:v>
                </c:pt>
                <c:pt idx="111">
                  <c:v>2.48995847942483</c:v>
                </c:pt>
                <c:pt idx="112">
                  <c:v>2.58658730467175</c:v>
                </c:pt>
                <c:pt idx="113">
                  <c:v>2.32014628611105</c:v>
                </c:pt>
                <c:pt idx="114">
                  <c:v>2.75966784468963</c:v>
                </c:pt>
                <c:pt idx="115">
                  <c:v>2.64443858946784</c:v>
                </c:pt>
                <c:pt idx="116">
                  <c:v>2.72427586960079</c:v>
                </c:pt>
                <c:pt idx="117">
                  <c:v>2.61278385671974</c:v>
                </c:pt>
                <c:pt idx="118">
                  <c:v>2.30102999566398</c:v>
                </c:pt>
                <c:pt idx="119">
                  <c:v>2.82216807936802</c:v>
                </c:pt>
                <c:pt idx="120">
                  <c:v>2.77085201164214</c:v>
                </c:pt>
                <c:pt idx="121">
                  <c:v>2.44715803134222</c:v>
                </c:pt>
                <c:pt idx="122">
                  <c:v>2.18184358794477</c:v>
                </c:pt>
                <c:pt idx="123">
                  <c:v>2.30319605742049</c:v>
                </c:pt>
                <c:pt idx="124">
                  <c:v>2.31175386105575</c:v>
                </c:pt>
                <c:pt idx="125">
                  <c:v>2.20411998265592</c:v>
                </c:pt>
                <c:pt idx="126">
                  <c:v>2.3096301674259</c:v>
                </c:pt>
                <c:pt idx="127">
                  <c:v>2.0899051114394</c:v>
                </c:pt>
                <c:pt idx="128">
                  <c:v>2.30749603791321</c:v>
                </c:pt>
                <c:pt idx="129">
                  <c:v>2.20951501454263</c:v>
                </c:pt>
                <c:pt idx="130">
                  <c:v>2.17897694729317</c:v>
                </c:pt>
                <c:pt idx="131">
                  <c:v>2.21218760440396</c:v>
                </c:pt>
                <c:pt idx="132">
                  <c:v>2.23299611039215</c:v>
                </c:pt>
                <c:pt idx="133">
                  <c:v>2.28555730900777</c:v>
                </c:pt>
                <c:pt idx="134">
                  <c:v>2.16435285578444</c:v>
                </c:pt>
                <c:pt idx="135">
                  <c:v>2.17026171539496</c:v>
                </c:pt>
                <c:pt idx="136">
                  <c:v>2.12710479836481</c:v>
                </c:pt>
                <c:pt idx="137">
                  <c:v>2.13987908640124</c:v>
                </c:pt>
                <c:pt idx="138">
                  <c:v>2.28555730900777</c:v>
                </c:pt>
                <c:pt idx="139">
                  <c:v>2.1846914308176</c:v>
                </c:pt>
                <c:pt idx="140">
                  <c:v>2.13672056715641</c:v>
                </c:pt>
                <c:pt idx="141">
                  <c:v>2.29225607135648</c:v>
                </c:pt>
                <c:pt idx="142">
                  <c:v>2.19033169817029</c:v>
                </c:pt>
                <c:pt idx="143">
                  <c:v>2.16136800223497</c:v>
                </c:pt>
                <c:pt idx="144">
                  <c:v>2.61909333062674</c:v>
                </c:pt>
                <c:pt idx="145">
                  <c:v>2.47712125471966</c:v>
                </c:pt>
                <c:pt idx="146">
                  <c:v>2.56702636615906</c:v>
                </c:pt>
                <c:pt idx="147">
                  <c:v>2.62736585659273</c:v>
                </c:pt>
                <c:pt idx="148">
                  <c:v>2.50650503240487</c:v>
                </c:pt>
                <c:pt idx="149">
                  <c:v>2.69196510276736</c:v>
                </c:pt>
                <c:pt idx="150">
                  <c:v>2.58092497567562</c:v>
                </c:pt>
                <c:pt idx="151">
                  <c:v>2.54157924394658</c:v>
                </c:pt>
                <c:pt idx="152">
                  <c:v>2.56937390961505</c:v>
                </c:pt>
                <c:pt idx="153">
                  <c:v>2.65417654187796</c:v>
                </c:pt>
                <c:pt idx="154">
                  <c:v>2.63447727016073</c:v>
                </c:pt>
                <c:pt idx="155">
                  <c:v>2.63548374681491</c:v>
                </c:pt>
                <c:pt idx="156">
                  <c:v>2.54157924394658</c:v>
                </c:pt>
                <c:pt idx="157">
                  <c:v>2.53019969820308</c:v>
                </c:pt>
                <c:pt idx="158">
                  <c:v>2.55022835305509</c:v>
                </c:pt>
                <c:pt idx="159">
                  <c:v>2.48429983934679</c:v>
                </c:pt>
                <c:pt idx="160">
                  <c:v>2.59769518592551</c:v>
                </c:pt>
                <c:pt idx="161">
                  <c:v>2.50785587169583</c:v>
                </c:pt>
                <c:pt idx="162">
                  <c:v>2.52891670027765</c:v>
                </c:pt>
                <c:pt idx="163">
                  <c:v>2.52244423350632</c:v>
                </c:pt>
                <c:pt idx="164">
                  <c:v>2.63748972951251</c:v>
                </c:pt>
                <c:pt idx="165">
                  <c:v>2.61489721603313</c:v>
                </c:pt>
                <c:pt idx="166">
                  <c:v>2.19312459835446</c:v>
                </c:pt>
                <c:pt idx="167">
                  <c:v>2.29666519026153</c:v>
                </c:pt>
                <c:pt idx="168">
                  <c:v>2.22010808804005</c:v>
                </c:pt>
                <c:pt idx="169">
                  <c:v>2.13033376849501</c:v>
                </c:pt>
                <c:pt idx="170">
                  <c:v>2.18752072083646</c:v>
                </c:pt>
                <c:pt idx="171">
                  <c:v>2.35602585719312</c:v>
                </c:pt>
                <c:pt idx="172">
                  <c:v>2.3096301674259</c:v>
                </c:pt>
                <c:pt idx="173">
                  <c:v>2.1846914308176</c:v>
                </c:pt>
                <c:pt idx="174">
                  <c:v>2.25042000230889</c:v>
                </c:pt>
                <c:pt idx="175">
                  <c:v>2.15228834438306</c:v>
                </c:pt>
                <c:pt idx="176">
                  <c:v>2.11058971029925</c:v>
                </c:pt>
                <c:pt idx="177">
                  <c:v>2.19589965240923</c:v>
                </c:pt>
                <c:pt idx="178">
                  <c:v>2.08278537031645</c:v>
                </c:pt>
                <c:pt idx="179">
                  <c:v>2.19589965240923</c:v>
                </c:pt>
                <c:pt idx="180">
                  <c:v>2.31597034545692</c:v>
                </c:pt>
                <c:pt idx="181">
                  <c:v>2.15836249209525</c:v>
                </c:pt>
                <c:pt idx="182">
                  <c:v>2.13672056715641</c:v>
                </c:pt>
                <c:pt idx="183">
                  <c:v>2.10380372095596</c:v>
                </c:pt>
                <c:pt idx="184">
                  <c:v>2.08635983067475</c:v>
                </c:pt>
                <c:pt idx="185">
                  <c:v>2.19033169817029</c:v>
                </c:pt>
                <c:pt idx="186">
                  <c:v>2.23044892137827</c:v>
                </c:pt>
                <c:pt idx="187">
                  <c:v>2.14612803567824</c:v>
                </c:pt>
                <c:pt idx="188">
                  <c:v>2.53781909507327</c:v>
                </c:pt>
                <c:pt idx="189">
                  <c:v>2.54157924394658</c:v>
                </c:pt>
                <c:pt idx="190">
                  <c:v>2.40993312333129</c:v>
                </c:pt>
                <c:pt idx="191">
                  <c:v>2.26245108973043</c:v>
                </c:pt>
                <c:pt idx="192">
                  <c:v>2.17897694729317</c:v>
                </c:pt>
                <c:pt idx="193">
                  <c:v>2.19865708695442</c:v>
                </c:pt>
                <c:pt idx="194">
                  <c:v>2.57749179983723</c:v>
                </c:pt>
                <c:pt idx="195">
                  <c:v>2.51321760006794</c:v>
                </c:pt>
                <c:pt idx="196">
                  <c:v>2.49554433754645</c:v>
                </c:pt>
                <c:pt idx="197">
                  <c:v>2.38201704257487</c:v>
                </c:pt>
                <c:pt idx="198">
                  <c:v>2.34830486304816</c:v>
                </c:pt>
                <c:pt idx="199">
                  <c:v>2.36361197989214</c:v>
                </c:pt>
                <c:pt idx="200">
                  <c:v>2.27415784926368</c:v>
                </c:pt>
                <c:pt idx="201">
                  <c:v>2.19865708695442</c:v>
                </c:pt>
                <c:pt idx="202">
                  <c:v>2.22271647114758</c:v>
                </c:pt>
                <c:pt idx="203">
                  <c:v>2.28555730900777</c:v>
                </c:pt>
                <c:pt idx="204">
                  <c:v>2.10380372095596</c:v>
                </c:pt>
                <c:pt idx="205">
                  <c:v>2.12057393120585</c:v>
                </c:pt>
                <c:pt idx="206">
                  <c:v>2.44870631990508</c:v>
                </c:pt>
                <c:pt idx="207">
                  <c:v>2.38381536598043</c:v>
                </c:pt>
                <c:pt idx="208">
                  <c:v>2.13033376849501</c:v>
                </c:pt>
                <c:pt idx="209">
                  <c:v>2.13672056715641</c:v>
                </c:pt>
                <c:pt idx="210">
                  <c:v>2.09342168516224</c:v>
                </c:pt>
                <c:pt idx="211">
                  <c:v>2.30749603791321</c:v>
                </c:pt>
                <c:pt idx="212">
                  <c:v>2.24797326636181</c:v>
                </c:pt>
                <c:pt idx="213">
                  <c:v>2.20411998265592</c:v>
                </c:pt>
                <c:pt idx="214">
                  <c:v>2.00860017176192</c:v>
                </c:pt>
                <c:pt idx="215">
                  <c:v>2.10720996964787</c:v>
                </c:pt>
                <c:pt idx="216">
                  <c:v>2.44870631990508</c:v>
                </c:pt>
                <c:pt idx="217">
                  <c:v>2.42324587393681</c:v>
                </c:pt>
                <c:pt idx="218">
                  <c:v>2.49276038902684</c:v>
                </c:pt>
                <c:pt idx="219">
                  <c:v>2.3747483460101</c:v>
                </c:pt>
                <c:pt idx="220">
                  <c:v>2.04532297878666</c:v>
                </c:pt>
                <c:pt idx="221">
                  <c:v>2.13033376849501</c:v>
                </c:pt>
                <c:pt idx="222">
                  <c:v>2.42488163663107</c:v>
                </c:pt>
                <c:pt idx="223">
                  <c:v>2.25042000230889</c:v>
                </c:pt>
                <c:pt idx="224">
                  <c:v>2.25767857486918</c:v>
                </c:pt>
                <c:pt idx="225">
                  <c:v>2.11394335230684</c:v>
                </c:pt>
                <c:pt idx="226">
                  <c:v>2.29885307640971</c:v>
                </c:pt>
                <c:pt idx="227">
                  <c:v>2.15533603746506</c:v>
                </c:pt>
                <c:pt idx="228">
                  <c:v>2.16731733474818</c:v>
                </c:pt>
                <c:pt idx="229">
                  <c:v>2.17609125905568</c:v>
                </c:pt>
                <c:pt idx="230">
                  <c:v>2.32221929473392</c:v>
                </c:pt>
                <c:pt idx="231">
                  <c:v>2.10380372095596</c:v>
                </c:pt>
                <c:pt idx="232">
                  <c:v>2.22530928172586</c:v>
                </c:pt>
                <c:pt idx="233">
                  <c:v>2.02530586526477</c:v>
                </c:pt>
                <c:pt idx="234">
                  <c:v>2.30535136944662</c:v>
                </c:pt>
                <c:pt idx="235">
                  <c:v>2.33041377334919</c:v>
                </c:pt>
                <c:pt idx="236">
                  <c:v>2.26007138798507</c:v>
                </c:pt>
                <c:pt idx="237">
                  <c:v>2.32633586092875</c:v>
                </c:pt>
                <c:pt idx="238">
                  <c:v>2.44090908206522</c:v>
                </c:pt>
                <c:pt idx="239">
                  <c:v>2.26245108973043</c:v>
                </c:pt>
                <c:pt idx="240">
                  <c:v>2.16731733474818</c:v>
                </c:pt>
                <c:pt idx="241">
                  <c:v>2.31386722036915</c:v>
                </c:pt>
                <c:pt idx="242">
                  <c:v>2.26717172840301</c:v>
                </c:pt>
                <c:pt idx="243">
                  <c:v>2.25527250510331</c:v>
                </c:pt>
                <c:pt idx="244">
                  <c:v>2.33041377334919</c:v>
                </c:pt>
                <c:pt idx="245">
                  <c:v>2.17897694729317</c:v>
                </c:pt>
                <c:pt idx="246">
                  <c:v>2.26481782300954</c:v>
                </c:pt>
                <c:pt idx="247">
                  <c:v>2.38021124171161</c:v>
                </c:pt>
                <c:pt idx="248">
                  <c:v>2.6414741105041</c:v>
                </c:pt>
                <c:pt idx="249">
                  <c:v>2.31386722036915</c:v>
                </c:pt>
                <c:pt idx="250">
                  <c:v>2.28780172993023</c:v>
                </c:pt>
                <c:pt idx="251">
                  <c:v>2.3384564936046</c:v>
                </c:pt>
                <c:pt idx="252">
                  <c:v>2.29885307640971</c:v>
                </c:pt>
                <c:pt idx="253">
                  <c:v>2.62940959910272</c:v>
                </c:pt>
                <c:pt idx="254">
                  <c:v>2.21748394421391</c:v>
                </c:pt>
                <c:pt idx="255">
                  <c:v>2.29225607135648</c:v>
                </c:pt>
                <c:pt idx="256">
                  <c:v>2.22010808804005</c:v>
                </c:pt>
                <c:pt idx="257">
                  <c:v>2.2380461031288</c:v>
                </c:pt>
                <c:pt idx="258">
                  <c:v>2.37657695705651</c:v>
                </c:pt>
                <c:pt idx="259">
                  <c:v>2.23299611039215</c:v>
                </c:pt>
                <c:pt idx="260">
                  <c:v>2.25527250510331</c:v>
                </c:pt>
                <c:pt idx="261">
                  <c:v>2.08635983067475</c:v>
                </c:pt>
                <c:pt idx="262">
                  <c:v>2.40654018043395</c:v>
                </c:pt>
                <c:pt idx="263">
                  <c:v>2.33645973384853</c:v>
                </c:pt>
                <c:pt idx="264">
                  <c:v>2.26717172840301</c:v>
                </c:pt>
                <c:pt idx="265">
                  <c:v>2.31175386105575</c:v>
                </c:pt>
                <c:pt idx="266">
                  <c:v>2.48855071650044</c:v>
                </c:pt>
                <c:pt idx="267">
                  <c:v>2.4456042032736</c:v>
                </c:pt>
                <c:pt idx="268">
                  <c:v>2.39093510710338</c:v>
                </c:pt>
                <c:pt idx="269">
                  <c:v>2.1846914308176</c:v>
                </c:pt>
                <c:pt idx="270">
                  <c:v>2.19865708695442</c:v>
                </c:pt>
                <c:pt idx="271">
                  <c:v>2.28555730900777</c:v>
                </c:pt>
                <c:pt idx="272">
                  <c:v>2.17897694729317</c:v>
                </c:pt>
                <c:pt idx="273">
                  <c:v>2.06818586174616</c:v>
                </c:pt>
                <c:pt idx="274">
                  <c:v>2.26717172840301</c:v>
                </c:pt>
                <c:pt idx="275">
                  <c:v>2.25042000230889</c:v>
                </c:pt>
                <c:pt idx="276">
                  <c:v>2.3096301674259</c:v>
                </c:pt>
                <c:pt idx="277">
                  <c:v>2.28103336724773</c:v>
                </c:pt>
                <c:pt idx="278">
                  <c:v>2.19589965240923</c:v>
                </c:pt>
                <c:pt idx="279">
                  <c:v>2.50514997831991</c:v>
                </c:pt>
                <c:pt idx="280">
                  <c:v>2.26245108973043</c:v>
                </c:pt>
                <c:pt idx="281">
                  <c:v>2.29885307640971</c:v>
                </c:pt>
                <c:pt idx="282">
                  <c:v>2.1846914308176</c:v>
                </c:pt>
                <c:pt idx="283">
                  <c:v>2.33645973384853</c:v>
                </c:pt>
                <c:pt idx="284">
                  <c:v>2.13987908640124</c:v>
                </c:pt>
                <c:pt idx="285">
                  <c:v>2.24551266781415</c:v>
                </c:pt>
                <c:pt idx="286">
                  <c:v>2.12710479836481</c:v>
                </c:pt>
                <c:pt idx="287">
                  <c:v>2.17318626841227</c:v>
                </c:pt>
                <c:pt idx="288">
                  <c:v>2.15228834438306</c:v>
                </c:pt>
                <c:pt idx="289">
                  <c:v>2.32221929473392</c:v>
                </c:pt>
                <c:pt idx="290">
                  <c:v>2.13987908640124</c:v>
                </c:pt>
                <c:pt idx="291">
                  <c:v>2.10037054511756</c:v>
                </c:pt>
                <c:pt idx="292">
                  <c:v>2.23552844690755</c:v>
                </c:pt>
                <c:pt idx="293">
                  <c:v>2.07554696139253</c:v>
                </c:pt>
                <c:pt idx="294">
                  <c:v>2.29225607135648</c:v>
                </c:pt>
                <c:pt idx="295">
                  <c:v>2.36735592102602</c:v>
                </c:pt>
                <c:pt idx="296">
                  <c:v>2.42651126136458</c:v>
                </c:pt>
                <c:pt idx="297">
                  <c:v>2.17609125905568</c:v>
                </c:pt>
                <c:pt idx="298">
                  <c:v>2.20682587603185</c:v>
                </c:pt>
                <c:pt idx="299">
                  <c:v>2.58206336291171</c:v>
                </c:pt>
                <c:pt idx="300">
                  <c:v>2.32633586092875</c:v>
                </c:pt>
                <c:pt idx="301">
                  <c:v>2.4814426285023</c:v>
                </c:pt>
                <c:pt idx="302">
                  <c:v>2.2718416065365</c:v>
                </c:pt>
                <c:pt idx="303">
                  <c:v>2.60422605308447</c:v>
                </c:pt>
                <c:pt idx="304">
                  <c:v>2.26717172840301</c:v>
                </c:pt>
                <c:pt idx="305">
                  <c:v>2.6170003411209</c:v>
                </c:pt>
                <c:pt idx="306">
                  <c:v>2.48429983934679</c:v>
                </c:pt>
                <c:pt idx="307">
                  <c:v>2.30102999566398</c:v>
                </c:pt>
                <c:pt idx="308">
                  <c:v>2.57634135020579</c:v>
                </c:pt>
                <c:pt idx="309">
                  <c:v>2.46538285144842</c:v>
                </c:pt>
                <c:pt idx="310">
                  <c:v>2.29225607135648</c:v>
                </c:pt>
                <c:pt idx="311">
                  <c:v>2.34242268082221</c:v>
                </c:pt>
                <c:pt idx="312">
                  <c:v>2.39619934709574</c:v>
                </c:pt>
                <c:pt idx="313">
                  <c:v>2.48713837547719</c:v>
                </c:pt>
                <c:pt idx="314">
                  <c:v>2.46686762035411</c:v>
                </c:pt>
                <c:pt idx="315">
                  <c:v>2.42488163663107</c:v>
                </c:pt>
                <c:pt idx="316">
                  <c:v>2.69108149212297</c:v>
                </c:pt>
                <c:pt idx="317">
                  <c:v>2.48713837547719</c:v>
                </c:pt>
                <c:pt idx="318">
                  <c:v>2.43136376415899</c:v>
                </c:pt>
                <c:pt idx="319">
                  <c:v>2.40140054078154</c:v>
                </c:pt>
                <c:pt idx="320">
                  <c:v>2.42160392686983</c:v>
                </c:pt>
                <c:pt idx="321">
                  <c:v>2.32633586092875</c:v>
                </c:pt>
                <c:pt idx="322">
                  <c:v>2.33243845991561</c:v>
                </c:pt>
                <c:pt idx="323">
                  <c:v>2.77597433112937</c:v>
                </c:pt>
                <c:pt idx="324">
                  <c:v>2.48287358360875</c:v>
                </c:pt>
                <c:pt idx="325">
                  <c:v>2.48287358360875</c:v>
                </c:pt>
                <c:pt idx="326">
                  <c:v>2.33445375115093</c:v>
                </c:pt>
                <c:pt idx="327">
                  <c:v>2.36921585741014</c:v>
                </c:pt>
                <c:pt idx="328">
                  <c:v>2.4345689040342</c:v>
                </c:pt>
                <c:pt idx="329">
                  <c:v>2.39967372148104</c:v>
                </c:pt>
                <c:pt idx="330">
                  <c:v>2.60205999132796</c:v>
                </c:pt>
                <c:pt idx="331">
                  <c:v>2.38560627359831</c:v>
                </c:pt>
                <c:pt idx="332">
                  <c:v>2.29885307640971</c:v>
                </c:pt>
                <c:pt idx="333">
                  <c:v>2.44090908206522</c:v>
                </c:pt>
                <c:pt idx="334">
                  <c:v>2.36735592102602</c:v>
                </c:pt>
                <c:pt idx="335">
                  <c:v>2.56702636615906</c:v>
                </c:pt>
                <c:pt idx="336">
                  <c:v>2.34439227368511</c:v>
                </c:pt>
                <c:pt idx="337">
                  <c:v>2.51054501020661</c:v>
                </c:pt>
                <c:pt idx="338">
                  <c:v>2.42160392686983</c:v>
                </c:pt>
                <c:pt idx="339">
                  <c:v>2.58433122436753</c:v>
                </c:pt>
                <c:pt idx="340">
                  <c:v>2.25285303097989</c:v>
                </c:pt>
                <c:pt idx="341">
                  <c:v>2.2380461031288</c:v>
                </c:pt>
                <c:pt idx="342">
                  <c:v>2.23552844690755</c:v>
                </c:pt>
                <c:pt idx="343">
                  <c:v>2.59879050676312</c:v>
                </c:pt>
                <c:pt idx="344">
                  <c:v>2.62013605497376</c:v>
                </c:pt>
                <c:pt idx="345">
                  <c:v>2.46239799789896</c:v>
                </c:pt>
                <c:pt idx="346">
                  <c:v>2.33243845991561</c:v>
                </c:pt>
                <c:pt idx="347">
                  <c:v>2.38021124171161</c:v>
                </c:pt>
                <c:pt idx="348">
                  <c:v>2.51321760006794</c:v>
                </c:pt>
                <c:pt idx="349">
                  <c:v>2.37291200297011</c:v>
                </c:pt>
                <c:pt idx="350">
                  <c:v>2.42651126136458</c:v>
                </c:pt>
                <c:pt idx="351">
                  <c:v>2.29666519026153</c:v>
                </c:pt>
                <c:pt idx="352">
                  <c:v>2.63848925695464</c:v>
                </c:pt>
                <c:pt idx="353">
                  <c:v>2.65513843481138</c:v>
                </c:pt>
                <c:pt idx="354">
                  <c:v>2.38560627359831</c:v>
                </c:pt>
                <c:pt idx="355">
                  <c:v>2.41329976408125</c:v>
                </c:pt>
                <c:pt idx="356">
                  <c:v>2.31386722036915</c:v>
                </c:pt>
                <c:pt idx="357">
                  <c:v>2.32633586092875</c:v>
                </c:pt>
                <c:pt idx="358">
                  <c:v>2.34242268082221</c:v>
                </c:pt>
                <c:pt idx="359">
                  <c:v>2.37106786227174</c:v>
                </c:pt>
                <c:pt idx="360">
                  <c:v>2.39269695325967</c:v>
                </c:pt>
                <c:pt idx="361">
                  <c:v>2.36361197989214</c:v>
                </c:pt>
                <c:pt idx="362">
                  <c:v>2.32221929473392</c:v>
                </c:pt>
                <c:pt idx="363">
                  <c:v>2.48287358360875</c:v>
                </c:pt>
                <c:pt idx="364">
                  <c:v>2.58092497567562</c:v>
                </c:pt>
                <c:pt idx="365">
                  <c:v>2.58994960132571</c:v>
                </c:pt>
                <c:pt idx="366">
                  <c:v>2.22271647114758</c:v>
                </c:pt>
                <c:pt idx="367">
                  <c:v>2.3096301674259</c:v>
                </c:pt>
                <c:pt idx="368">
                  <c:v>2.58092497567562</c:v>
                </c:pt>
                <c:pt idx="369">
                  <c:v>2.37291200297011</c:v>
                </c:pt>
                <c:pt idx="370">
                  <c:v>2.61489721603313</c:v>
                </c:pt>
                <c:pt idx="371">
                  <c:v>2.49276038902684</c:v>
                </c:pt>
                <c:pt idx="372">
                  <c:v>2.42975228000241</c:v>
                </c:pt>
                <c:pt idx="373">
                  <c:v>2.53781909507327</c:v>
                </c:pt>
                <c:pt idx="374">
                  <c:v>2.69284691927723</c:v>
                </c:pt>
                <c:pt idx="375">
                  <c:v>2.37106786227174</c:v>
                </c:pt>
                <c:pt idx="376">
                  <c:v>2.38201704257487</c:v>
                </c:pt>
                <c:pt idx="377">
                  <c:v>2.47712125471966</c:v>
                </c:pt>
                <c:pt idx="378">
                  <c:v>2.38021124171161</c:v>
                </c:pt>
                <c:pt idx="379">
                  <c:v>2.42651126136458</c:v>
                </c:pt>
                <c:pt idx="380">
                  <c:v>2.46834733041216</c:v>
                </c:pt>
                <c:pt idx="381">
                  <c:v>2.39619934709574</c:v>
                </c:pt>
                <c:pt idx="382">
                  <c:v>2.34635297445064</c:v>
                </c:pt>
                <c:pt idx="383">
                  <c:v>2.48000694295715</c:v>
                </c:pt>
                <c:pt idx="384">
                  <c:v>2.42488163663107</c:v>
                </c:pt>
                <c:pt idx="385">
                  <c:v>2.20411998265592</c:v>
                </c:pt>
                <c:pt idx="386">
                  <c:v>2.2718416065365</c:v>
                </c:pt>
                <c:pt idx="387">
                  <c:v>2.50242711998443</c:v>
                </c:pt>
                <c:pt idx="388">
                  <c:v>2.3384564936046</c:v>
                </c:pt>
                <c:pt idx="389">
                  <c:v>2.59659709562646</c:v>
                </c:pt>
                <c:pt idx="390">
                  <c:v>2.50379068305718</c:v>
                </c:pt>
                <c:pt idx="391">
                  <c:v>2.26481782300954</c:v>
                </c:pt>
                <c:pt idx="392">
                  <c:v>2.26951294421792</c:v>
                </c:pt>
                <c:pt idx="393">
                  <c:v>2.5092025223311</c:v>
                </c:pt>
                <c:pt idx="394">
                  <c:v>2.56820172406699</c:v>
                </c:pt>
                <c:pt idx="395">
                  <c:v>2.11058971029925</c:v>
                </c:pt>
                <c:pt idx="396">
                  <c:v>2.40993312333129</c:v>
                </c:pt>
                <c:pt idx="397">
                  <c:v>2.47567118832443</c:v>
                </c:pt>
                <c:pt idx="398">
                  <c:v>2.25527250510331</c:v>
                </c:pt>
                <c:pt idx="399">
                  <c:v>2.52113808370404</c:v>
                </c:pt>
                <c:pt idx="400">
                  <c:v>2.28330122870355</c:v>
                </c:pt>
                <c:pt idx="401">
                  <c:v>2.38738982633873</c:v>
                </c:pt>
                <c:pt idx="402">
                  <c:v>2.19865708695442</c:v>
                </c:pt>
                <c:pt idx="403">
                  <c:v>2.29666519026153</c:v>
                </c:pt>
                <c:pt idx="404">
                  <c:v>2.06445798922692</c:v>
                </c:pt>
                <c:pt idx="405">
                  <c:v>2.31175386105575</c:v>
                </c:pt>
                <c:pt idx="406">
                  <c:v>2.24797326636181</c:v>
                </c:pt>
                <c:pt idx="407">
                  <c:v>2.30319605742049</c:v>
                </c:pt>
                <c:pt idx="408">
                  <c:v>2.23552844690755</c:v>
                </c:pt>
                <c:pt idx="409">
                  <c:v>2.19865708695442</c:v>
                </c:pt>
                <c:pt idx="410">
                  <c:v>2.17609125905568</c:v>
                </c:pt>
                <c:pt idx="411">
                  <c:v>2.50650503240487</c:v>
                </c:pt>
                <c:pt idx="412">
                  <c:v>2.21748394421391</c:v>
                </c:pt>
                <c:pt idx="413">
                  <c:v>2.31597034545692</c:v>
                </c:pt>
                <c:pt idx="414">
                  <c:v>2.35218251811136</c:v>
                </c:pt>
                <c:pt idx="415">
                  <c:v>2.14612803567824</c:v>
                </c:pt>
                <c:pt idx="416">
                  <c:v>2.22010808804005</c:v>
                </c:pt>
                <c:pt idx="417">
                  <c:v>2.26951294421792</c:v>
                </c:pt>
                <c:pt idx="418">
                  <c:v>2.28103336724773</c:v>
                </c:pt>
                <c:pt idx="419">
                  <c:v>2.36921585741014</c:v>
                </c:pt>
                <c:pt idx="420">
                  <c:v>2.3541084391474</c:v>
                </c:pt>
                <c:pt idx="421">
                  <c:v>2.2405492482826</c:v>
                </c:pt>
                <c:pt idx="422">
                  <c:v>2.47567118832443</c:v>
                </c:pt>
                <c:pt idx="423">
                  <c:v>2.2380461031288</c:v>
                </c:pt>
                <c:pt idx="424">
                  <c:v>2.35793484700045</c:v>
                </c:pt>
                <c:pt idx="425">
                  <c:v>2.20951501454263</c:v>
                </c:pt>
                <c:pt idx="426">
                  <c:v>2.46239799789896</c:v>
                </c:pt>
                <c:pt idx="427">
                  <c:v>2.32837960343874</c:v>
                </c:pt>
                <c:pt idx="428">
                  <c:v>2.27646180417324</c:v>
                </c:pt>
                <c:pt idx="429">
                  <c:v>2.17897694729317</c:v>
                </c:pt>
                <c:pt idx="430">
                  <c:v>2.19865708695442</c:v>
                </c:pt>
                <c:pt idx="431">
                  <c:v>2.26717172840301</c:v>
                </c:pt>
                <c:pt idx="432">
                  <c:v>2.32221929473392</c:v>
                </c:pt>
                <c:pt idx="433">
                  <c:v>2.2405492482826</c:v>
                </c:pt>
                <c:pt idx="434">
                  <c:v>2.27415784926368</c:v>
                </c:pt>
                <c:pt idx="435">
                  <c:v>2.22010808804005</c:v>
                </c:pt>
                <c:pt idx="436">
                  <c:v>2.30319605742049</c:v>
                </c:pt>
                <c:pt idx="437">
                  <c:v>2.29885307640971</c:v>
                </c:pt>
                <c:pt idx="438">
                  <c:v>2.46834733041216</c:v>
                </c:pt>
                <c:pt idx="439">
                  <c:v>2.35793484700045</c:v>
                </c:pt>
                <c:pt idx="440">
                  <c:v>2.15228834438306</c:v>
                </c:pt>
                <c:pt idx="441">
                  <c:v>2.17897694729317</c:v>
                </c:pt>
                <c:pt idx="442">
                  <c:v>2.17026171539496</c:v>
                </c:pt>
                <c:pt idx="443">
                  <c:v>2.27415784926368</c:v>
                </c:pt>
                <c:pt idx="444">
                  <c:v>2.24797326636181</c:v>
                </c:pt>
                <c:pt idx="445">
                  <c:v>2.32633586092875</c:v>
                </c:pt>
                <c:pt idx="446">
                  <c:v>2.27875360095283</c:v>
                </c:pt>
                <c:pt idx="447">
                  <c:v>2.32428245529769</c:v>
                </c:pt>
                <c:pt idx="448">
                  <c:v>2.52244423350632</c:v>
                </c:pt>
                <c:pt idx="449">
                  <c:v>2.29003461136252</c:v>
                </c:pt>
                <c:pt idx="450">
                  <c:v>2.26717172840301</c:v>
                </c:pt>
                <c:pt idx="451">
                  <c:v>2.36921585741014</c:v>
                </c:pt>
                <c:pt idx="452">
                  <c:v>2.29003461136252</c:v>
                </c:pt>
                <c:pt idx="453">
                  <c:v>2.18184358794477</c:v>
                </c:pt>
                <c:pt idx="454">
                  <c:v>2.2148438480477</c:v>
                </c:pt>
                <c:pt idx="455">
                  <c:v>2.33243845991561</c:v>
                </c:pt>
                <c:pt idx="456">
                  <c:v>2.26951294421792</c:v>
                </c:pt>
                <c:pt idx="457">
                  <c:v>2.34830486304816</c:v>
                </c:pt>
                <c:pt idx="458">
                  <c:v>2.37657695705651</c:v>
                </c:pt>
                <c:pt idx="459">
                  <c:v>2.14612803567824</c:v>
                </c:pt>
                <c:pt idx="460">
                  <c:v>2.2380461031288</c:v>
                </c:pt>
                <c:pt idx="461">
                  <c:v>2.19865708695442</c:v>
                </c:pt>
                <c:pt idx="462">
                  <c:v>2.16435285578444</c:v>
                </c:pt>
                <c:pt idx="463">
                  <c:v>2.29446622616159</c:v>
                </c:pt>
                <c:pt idx="464">
                  <c:v>2.36361197989214</c:v>
                </c:pt>
                <c:pt idx="465">
                  <c:v>2.19589965240923</c:v>
                </c:pt>
                <c:pt idx="466">
                  <c:v>2.47712125471966</c:v>
                </c:pt>
                <c:pt idx="467">
                  <c:v>2.36921585741014</c:v>
                </c:pt>
                <c:pt idx="468">
                  <c:v>2.33645973384853</c:v>
                </c:pt>
                <c:pt idx="469">
                  <c:v>2.34635297445064</c:v>
                </c:pt>
                <c:pt idx="470">
                  <c:v>2.25527250510331</c:v>
                </c:pt>
                <c:pt idx="471">
                  <c:v>2.23044892137827</c:v>
                </c:pt>
                <c:pt idx="472">
                  <c:v>2.32014628611105</c:v>
                </c:pt>
                <c:pt idx="473">
                  <c:v>2.29003461136252</c:v>
                </c:pt>
                <c:pt idx="474">
                  <c:v>2.31386722036915</c:v>
                </c:pt>
                <c:pt idx="475">
                  <c:v>2.41664050733828</c:v>
                </c:pt>
                <c:pt idx="476">
                  <c:v>2.30535136944662</c:v>
                </c:pt>
                <c:pt idx="477">
                  <c:v>2.22010808804005</c:v>
                </c:pt>
                <c:pt idx="478">
                  <c:v>2.27646180417324</c:v>
                </c:pt>
                <c:pt idx="479">
                  <c:v>2.22530928172586</c:v>
                </c:pt>
                <c:pt idx="480">
                  <c:v>2.35602585719312</c:v>
                </c:pt>
                <c:pt idx="481">
                  <c:v>2.10380372095596</c:v>
                </c:pt>
                <c:pt idx="482">
                  <c:v>2.31175386105575</c:v>
                </c:pt>
                <c:pt idx="483">
                  <c:v>2.15228834438306</c:v>
                </c:pt>
                <c:pt idx="484">
                  <c:v>2.33041377334919</c:v>
                </c:pt>
                <c:pt idx="485">
                  <c:v>2.23044892137827</c:v>
                </c:pt>
                <c:pt idx="486">
                  <c:v>2.26245108973043</c:v>
                </c:pt>
                <c:pt idx="487">
                  <c:v>2.28103336724773</c:v>
                </c:pt>
                <c:pt idx="488">
                  <c:v>2.38738982633873</c:v>
                </c:pt>
                <c:pt idx="489">
                  <c:v>2.20411998265592</c:v>
                </c:pt>
                <c:pt idx="490">
                  <c:v>2.06818586174616</c:v>
                </c:pt>
                <c:pt idx="491">
                  <c:v>2.26245108973043</c:v>
                </c:pt>
                <c:pt idx="492">
                  <c:v>2.29885307640971</c:v>
                </c:pt>
                <c:pt idx="493">
                  <c:v>2.32837960343874</c:v>
                </c:pt>
                <c:pt idx="494">
                  <c:v>2.14301480025409</c:v>
                </c:pt>
                <c:pt idx="495">
                  <c:v>2.15836249209525</c:v>
                </c:pt>
                <c:pt idx="496">
                  <c:v>2.27415784926368</c:v>
                </c:pt>
                <c:pt idx="497">
                  <c:v>2.21748394421391</c:v>
                </c:pt>
                <c:pt idx="498">
                  <c:v>2.16731733474818</c:v>
                </c:pt>
                <c:pt idx="499">
                  <c:v>2.23299611039215</c:v>
                </c:pt>
              </c:numCache>
            </c:numRef>
          </c:yVal>
          <c:smooth val="0"/>
        </c:ser>
        <c:dLbls>
          <c:showLegendKey val="0"/>
          <c:showVal val="0"/>
          <c:showCatName val="0"/>
          <c:showSerName val="0"/>
          <c:showPercent val="0"/>
          <c:showBubbleSize val="0"/>
        </c:dLbls>
        <c:axId val="1098738768"/>
        <c:axId val="1098730032"/>
      </c:scatterChart>
      <c:valAx>
        <c:axId val="109873876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charset="0"/>
                    <a:cs typeface="Times New Roman" panose="02020603050405020304" charset="0"/>
                  </a:rPr>
                  <a:t>Log TL</a:t>
                </a:r>
                <a:endParaRPr lang="en-US"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98730032"/>
        <c:crosses val="autoZero"/>
        <c:crossBetween val="midCat"/>
      </c:valAx>
      <c:valAx>
        <c:axId val="109873003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charset="0"/>
                    <a:cs typeface="Times New Roman" panose="02020603050405020304" charset="0"/>
                  </a:rPr>
                  <a:t>Log</a:t>
                </a:r>
                <a:r>
                  <a:rPr lang="en-US" sz="1200" baseline="0">
                    <a:latin typeface="Times New Roman" panose="02020603050405020304" charset="0"/>
                    <a:cs typeface="Times New Roman" panose="02020603050405020304" charset="0"/>
                  </a:rPr>
                  <a:t> W</a:t>
                </a:r>
                <a:endParaRPr lang="en-US"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98738768"/>
        <c:crosses val="autoZero"/>
        <c:crossBetween val="midCat"/>
      </c:valAx>
      <c:spPr>
        <a:noFill/>
        <a:ln>
          <a:noFill/>
        </a:ln>
        <a:effectLst/>
      </c:spPr>
    </c:plotArea>
    <c:plotVisOnly val="1"/>
    <c:dispBlanksAs val="gap"/>
    <c:showDLblsOverMax val="0"/>
    <c:extLst>
      <c:ext uri="{0b15fc19-7d7d-44ad-8c2d-2c3a37ce22c3}">
        <chartProps xmlns="https://web.wps.cn/et/2018/main" chartId="{d8c8d451-25c5-4c5c-9342-0414d27ccb3d}"/>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4924</Words>
  <Characters>28072</Characters>
  <Lines>233</Lines>
  <Paragraphs>65</Paragraphs>
  <TotalTime>10673</TotalTime>
  <ScaleCrop>false</ScaleCrop>
  <LinksUpToDate>false</LinksUpToDate>
  <CharactersWithSpaces>32931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2023-09-04T14:11:00Z</dcterms:created>
  <dc:creator>Ahmed</dc:creator>
  <cp:lastModifiedBy>Aishwarya Sharma</cp:lastModifiedBy>
  <dcterms:modified xsi:type="dcterms:W3CDTF">2025-01-31T05:00:52Z</dcterms:modified>
  <cp:revision>375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3056eb1be344bfa19bc77acc1eb2764881697b43c12768b6a23c30aab3155db7</vt:lpwstr>
  </property>
  <property fmtid="{D5CDD505-2E9C-101B-9397-08002B2CF9AE}" pid="3" name="KSOProductBuildVer">
    <vt:lpwstr>1033-12.2.0.19805</vt:lpwstr>
  </property>
  <property fmtid="{D5CDD505-2E9C-101B-9397-08002B2CF9AE}" pid="4" name="ICV">
    <vt:lpwstr>F57F542960D04DBAA2140CFBAAB23984_13</vt:lpwstr>
  </property>
</Properties>
</file>