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6F95B6">
      <w:pPr>
        <w:jc w:val="center"/>
        <w:rPr>
          <w:b/>
          <w:bCs/>
          <w:i/>
          <w:iCs/>
          <w:u w:val="single"/>
        </w:rPr>
      </w:pPr>
      <w:r>
        <w:rPr>
          <w:b/>
          <w:bCs/>
          <w:i/>
          <w:iCs/>
          <w:u w:val="single"/>
        </w:rPr>
        <w:t>Original Research Article</w:t>
      </w:r>
    </w:p>
    <w:p w14:paraId="1057A336">
      <w:pPr>
        <w:jc w:val="center"/>
        <w:rPr>
          <w:b/>
          <w:bCs/>
        </w:rPr>
      </w:pPr>
      <w:r>
        <w:rPr>
          <w:b/>
          <w:bCs/>
        </w:rPr>
        <w:t xml:space="preserve">The Psychological Mechanisms of Coronaphobia: </w:t>
      </w:r>
    </w:p>
    <w:p w14:paraId="10F96A92">
      <w:pPr>
        <w:jc w:val="center"/>
        <w:rPr>
          <w:b/>
          <w:bCs/>
        </w:rPr>
      </w:pPr>
      <w:r>
        <w:rPr>
          <w:b/>
          <w:bCs/>
        </w:rPr>
        <w:t xml:space="preserve">Examining the Role of Poetic Justice in Pandemic-Induced Fear </w:t>
      </w:r>
    </w:p>
    <w:p w14:paraId="2E67EE52">
      <w:pPr>
        <w:jc w:val="center"/>
      </w:pPr>
    </w:p>
    <w:p w14:paraId="7219842B">
      <w:pPr>
        <w:spacing w:line="240" w:lineRule="auto"/>
        <w:jc w:val="center"/>
      </w:pPr>
    </w:p>
    <w:p w14:paraId="7874A287">
      <w:pPr>
        <w:spacing w:line="240" w:lineRule="auto"/>
        <w:jc w:val="center"/>
        <w:rPr>
          <w:b/>
          <w:bCs/>
        </w:rPr>
      </w:pPr>
      <w:r>
        <w:rPr>
          <w:b/>
          <w:bCs/>
        </w:rPr>
        <w:t>Abstract</w:t>
      </w:r>
    </w:p>
    <w:p w14:paraId="2D8BFD92">
      <w:pPr>
        <w:spacing w:line="240" w:lineRule="auto"/>
        <w:jc w:val="center"/>
      </w:pPr>
    </w:p>
    <w:p w14:paraId="3C9A5D5A">
      <w:pPr>
        <w:ind w:firstLine="720"/>
        <w:jc w:val="both"/>
      </w:pPr>
      <w:bookmarkStart w:id="0" w:name="_Hlk156708340"/>
      <w:r>
        <w:rPr>
          <w:lang w:eastAsia="ja-JP"/>
        </w:rPr>
        <w:t xml:space="preserve">Coronaphobia, a term coined during the COVID-19 pandemic, refers to fear and anxiety specifically associated with COVID-19. </w:t>
      </w:r>
      <w:bookmarkStart w:id="1" w:name="_Hlk157272227"/>
      <w:r>
        <w:rPr>
          <w:lang w:eastAsia="ja-JP"/>
        </w:rPr>
        <w:t>Given the prevalence of retributive thinking,</w:t>
      </w:r>
      <w:bookmarkEnd w:id="1"/>
      <w:r>
        <w:rPr>
          <w:lang w:eastAsia="ja-JP"/>
        </w:rPr>
        <w:t xml:space="preserve"> I </w:t>
      </w:r>
      <w:bookmarkStart w:id="2" w:name="_Hlk157272260"/>
      <w:r>
        <w:rPr>
          <w:lang w:eastAsia="ja-JP"/>
        </w:rPr>
        <w:t>considered whether</w:t>
      </w:r>
      <w:bookmarkEnd w:id="2"/>
      <w:r>
        <w:rPr>
          <w:lang w:eastAsia="ja-JP"/>
        </w:rPr>
        <w:t xml:space="preserve"> some people who treated infected people in a discriminatory manner might have felt a sense of </w:t>
      </w:r>
      <w:r>
        <w:rPr>
          <w:i/>
          <w:iCs/>
          <w:lang w:eastAsia="ja-JP"/>
        </w:rPr>
        <w:t>poetic justice</w:t>
      </w:r>
      <w:r>
        <w:rPr>
          <w:lang w:eastAsia="ja-JP"/>
        </w:rPr>
        <w:t xml:space="preserve"> (cause-and-retribution thinking). Therefore, this study</w:t>
      </w:r>
      <w:r>
        <w:t xml:space="preserve"> first aims to investigate the following hypotheses: that trends in coronaphobia declined between 2020 (when the pandemic began) and 2022; that the tendency toward coronaphobia differs depending on age, gender, and whether a person is single or married; and that people who felt a sense of poetic justice towards individuals infected with COVID-19 were more likely to have coronaphobia. This study clarifies the relationship between poetic justice and coronaphobia.</w:t>
      </w:r>
      <w:r>
        <w:rPr>
          <w:rFonts w:hint="eastAsia"/>
          <w:lang w:eastAsia="ja-JP"/>
        </w:rPr>
        <w:t xml:space="preserve"> </w:t>
      </w:r>
      <w:r>
        <w:rPr>
          <w:lang w:eastAsia="ja-JP"/>
        </w:rPr>
        <w:t xml:space="preserve">A survey was completed by 4783 people, once in 2020 and again in 2022. Among the respondents, the trend of coronaphobia decreased between 2020 and 2022. In addition, older respondents were less prone to coronaphobia than younger respondents. Finally, respondents with a strong sense of poetic justice regarding people infected with COVID-19 </w:t>
      </w:r>
      <w:r>
        <w:rPr>
          <w:rFonts w:hint="eastAsia"/>
          <w:lang w:eastAsia="ja-JP"/>
        </w:rPr>
        <w:t>w</w:t>
      </w:r>
      <w:r>
        <w:rPr>
          <w:lang w:eastAsia="ja-JP"/>
        </w:rPr>
        <w:t>ere more likely to have coronaphobia.</w:t>
      </w:r>
    </w:p>
    <w:bookmarkEnd w:id="0"/>
    <w:p w14:paraId="1069052A">
      <w:pPr>
        <w:jc w:val="both"/>
      </w:pPr>
    </w:p>
    <w:p w14:paraId="18DE9012">
      <w:pPr>
        <w:spacing w:line="240" w:lineRule="auto"/>
        <w:jc w:val="center"/>
      </w:pPr>
    </w:p>
    <w:p w14:paraId="4C5EBE98">
      <w:pPr>
        <w:spacing w:line="240" w:lineRule="auto"/>
        <w:ind w:firstLine="720"/>
      </w:pPr>
      <w:r>
        <w:rPr>
          <w:i/>
        </w:rPr>
        <w:t>Keywords</w:t>
      </w:r>
      <w:r>
        <w:t xml:space="preserve">: </w:t>
      </w:r>
      <w:sdt>
        <w:sdtPr>
          <w:id w:val="-1713559912"/>
          <w:placeholder>
            <w:docPart w:val="DefaultPlaceholder_-1854013440"/>
          </w:placeholder>
          <w:text/>
        </w:sdtPr>
        <w:sdtContent>
          <w:r>
            <w:t>Coronaphobia,</w:t>
          </w:r>
          <w:r>
            <w:rPr>
              <w:rFonts w:hint="eastAsia"/>
            </w:rPr>
            <w:t xml:space="preserve"> </w:t>
          </w:r>
          <w:r>
            <w:t>“Poetic justice”, Pandemic, discrimination, Covid-19.</w:t>
          </w:r>
        </w:sdtContent>
      </w:sdt>
    </w:p>
    <w:p w14:paraId="69C2A003">
      <w:pPr>
        <w:contextualSpacing/>
      </w:pPr>
    </w:p>
    <w:p w14:paraId="3CCB2252">
      <w:pPr>
        <w:contextualSpacing/>
      </w:pPr>
    </w:p>
    <w:p w14:paraId="3CAC4238">
      <w:pPr>
        <w:contextualSpacing/>
      </w:pPr>
    </w:p>
    <w:p w14:paraId="068C6E53">
      <w:pPr>
        <w:contextualSpacing/>
      </w:pPr>
    </w:p>
    <w:p w14:paraId="367FC913">
      <w:pPr>
        <w:contextualSpacing/>
        <w:jc w:val="center"/>
        <w:rPr>
          <w:b/>
          <w:bCs/>
        </w:rPr>
      </w:pPr>
      <w:bookmarkStart w:id="3" w:name="_Hlk157276197"/>
      <w:bookmarkStart w:id="4" w:name="_Hlk156574159"/>
      <w:r>
        <w:rPr>
          <w:b/>
          <w:bCs/>
        </w:rPr>
        <w:t>Introduction</w:t>
      </w:r>
    </w:p>
    <w:p w14:paraId="5F51B3FE">
      <w:pPr>
        <w:contextualSpacing/>
        <w:rPr>
          <w:b/>
          <w:bCs/>
        </w:rPr>
      </w:pPr>
      <w:r>
        <w:rPr>
          <w:b/>
          <w:bCs/>
        </w:rPr>
        <w:t>Coronaphobia</w:t>
      </w:r>
    </w:p>
    <w:p w14:paraId="5C730C29">
      <w:pPr>
        <w:ind w:firstLine="720"/>
        <w:contextualSpacing/>
      </w:pPr>
      <w:r>
        <w:t>The COVID-19 pandemic, beginning in early 2020, was an unexpected event for many people, with Japan declaring several states of emergency. High infection and mortality rates led to news reports of outbreaks worldwide, and fear of contracting COVID-19 became common among people, regardless of age and gender. Cluster infections in universities were also reported nationwide, and students at Kyoto Sangyo University, which had an on-campus cluster in March 2020, reported being discriminated against at their part-time jobs</w:t>
      </w:r>
      <w:r>
        <w:rPr>
          <w:vertAlign w:val="superscript"/>
        </w:rPr>
        <w:t>1)</w:t>
      </w:r>
      <w:r>
        <w:t>. Many university clusters were reported on, including the incident of a cluster in the wrestling team of Nippon Sport Science University</w:t>
      </w:r>
      <w:r>
        <w:rPr>
          <w:vertAlign w:val="superscript"/>
        </w:rPr>
        <w:t>2)</w:t>
      </w:r>
      <w:r>
        <w:t xml:space="preserve"> and that of 20 students in the rugby team of Tenri University</w:t>
      </w:r>
      <w:r>
        <w:rPr>
          <w:vertAlign w:val="superscript"/>
        </w:rPr>
        <w:t>3)</w:t>
      </w:r>
      <w:r>
        <w:t>.</w:t>
      </w:r>
    </w:p>
    <w:p w14:paraId="44A66885">
      <w:pPr>
        <w:contextualSpacing/>
        <w:rPr>
          <w:lang w:eastAsia="ja-JP"/>
        </w:rPr>
      </w:pPr>
      <w:r>
        <w:rPr>
          <w:lang w:eastAsia="ja-JP"/>
        </w:rPr>
        <w:tab/>
      </w:r>
      <w:r>
        <w:rPr>
          <w:lang w:eastAsia="ja-JP"/>
        </w:rPr>
        <w:t>At the onset of the COVID-19 pandemic, many individuals experienced coronaphobia—fear of the novel coronavirus</w:t>
      </w:r>
      <w:r>
        <w:rPr>
          <w:rFonts w:hint="eastAsia"/>
          <w:lang w:eastAsia="ja-JP"/>
        </w:rPr>
        <w:t xml:space="preserve"> (</w:t>
      </w:r>
      <w:r>
        <w:rPr>
          <w:lang w:eastAsia="ja-JP"/>
        </w:rPr>
        <w:t xml:space="preserve">Abdelrahman, R., &amp; Aldawash, F. M. </w:t>
      </w:r>
      <w:r>
        <w:rPr>
          <w:rFonts w:hint="eastAsia"/>
          <w:lang w:eastAsia="ja-JP"/>
        </w:rPr>
        <w:t>,</w:t>
      </w:r>
      <w:r>
        <w:rPr>
          <w:lang w:eastAsia="ja-JP"/>
        </w:rPr>
        <w:t>2023) (</w:t>
      </w:r>
      <w:r>
        <w:t>Abraham</w:t>
      </w:r>
      <w:r>
        <w:rPr>
          <w:lang w:eastAsia="ja-JP"/>
        </w:rPr>
        <w:t>, P., et.al,</w:t>
      </w:r>
      <w:r>
        <w:rPr>
          <w:rFonts w:hint="eastAsia"/>
          <w:lang w:eastAsia="ja-JP"/>
        </w:rPr>
        <w:t>2020)</w:t>
      </w:r>
      <w:r>
        <w:rPr>
          <w:lang w:eastAsia="ja-JP"/>
        </w:rPr>
        <w:t xml:space="preserve">. This situation was compounded by factors such as the virus’s rapid spread, health concerns, and economic impacts, resulting in profound psychological effects on both individuals and society as a whole. </w:t>
      </w:r>
      <w:bookmarkStart w:id="5" w:name="_Hlk156657276"/>
      <w:r>
        <w:rPr>
          <w:lang w:eastAsia="ja-JP"/>
        </w:rPr>
        <w:t xml:space="preserve">Dubey et al. (2020) </w:t>
      </w:r>
      <w:bookmarkEnd w:id="5"/>
      <w:r>
        <w:rPr>
          <w:lang w:eastAsia="ja-JP"/>
        </w:rPr>
        <w:t xml:space="preserve">defined “coronaphobia” as a pervasive phenomenon throughout society, significantly affecting individuals’ mental health and social functioning. Dubey et al. (2020) suggest interventions for infected patients, healthcare providers, and others. </w:t>
      </w:r>
    </w:p>
    <w:p w14:paraId="448DC42E">
      <w:pPr>
        <w:ind w:firstLine="720"/>
        <w:contextualSpacing/>
        <w:rPr>
          <w:lang w:eastAsia="ja-JP"/>
        </w:rPr>
      </w:pPr>
      <w:r>
        <w:rPr>
          <w:lang w:eastAsia="ja-JP"/>
        </w:rPr>
        <w:t>Sometimes, coronaphobia goes beyond the direct fear of the virus, encompassing a wide range of psychosocial aspects, including social isolation, economic anxiety, and the disruption of daily life</w:t>
      </w:r>
      <w:r>
        <w:rPr>
          <w:rFonts w:hint="eastAsia"/>
          <w:lang w:eastAsia="ja-JP"/>
        </w:rPr>
        <w:t xml:space="preserve"> (</w:t>
      </w:r>
      <w:r>
        <w:rPr>
          <w:lang w:eastAsia="ja-JP"/>
        </w:rPr>
        <w:t>Kanoh, H.</w:t>
      </w:r>
      <w:r>
        <w:rPr>
          <w:rFonts w:hint="eastAsia"/>
          <w:lang w:eastAsia="ja-JP"/>
        </w:rPr>
        <w:t>,</w:t>
      </w:r>
      <w:r>
        <w:rPr>
          <w:lang w:eastAsia="ja-JP"/>
        </w:rPr>
        <w:t>202</w:t>
      </w:r>
      <w:r>
        <w:rPr>
          <w:rFonts w:hint="eastAsia"/>
          <w:lang w:eastAsia="ja-JP"/>
        </w:rPr>
        <w:t>1)</w:t>
      </w:r>
      <w:r>
        <w:rPr>
          <w:lang w:eastAsia="ja-JP"/>
        </w:rPr>
        <w:t>. As a new concept, perspectives on coronaphobia differ. Table 1 summarizes the findings of the main studies on coronaphobia (Table 1).</w:t>
      </w:r>
    </w:p>
    <w:p w14:paraId="4707769E">
      <w:pPr>
        <w:contextualSpacing/>
        <w:rPr>
          <w:b/>
          <w:lang w:eastAsia="ja-JP"/>
        </w:rPr>
      </w:pPr>
      <w:r>
        <w:rPr>
          <w:b/>
          <w:lang w:eastAsia="ja-JP"/>
        </w:rPr>
        <w:t>Review of literature</w:t>
      </w:r>
    </w:p>
    <w:p w14:paraId="365D66BF">
      <w:pPr>
        <w:contextualSpacing/>
        <w:rPr>
          <w:lang w:eastAsia="ja-JP"/>
        </w:rPr>
      </w:pPr>
    </w:p>
    <w:p w14:paraId="17F3CBB7">
      <w:pPr>
        <w:contextualSpacing/>
        <w:rPr>
          <w:lang w:eastAsia="ja-JP"/>
        </w:rPr>
      </w:pPr>
    </w:p>
    <w:bookmarkEnd w:id="3"/>
    <w:bookmarkEnd w:id="4"/>
    <w:p w14:paraId="6FE3648D">
      <w:pPr>
        <w:contextualSpacing/>
        <w:jc w:val="center"/>
      </w:pPr>
      <w:r>
        <w:t>Table 1. Research on coronaphobia</w:t>
      </w:r>
    </w:p>
    <w:tbl>
      <w:tblPr>
        <w:tblStyle w:val="3"/>
        <w:tblW w:w="9860" w:type="dxa"/>
        <w:tblInd w:w="0" w:type="dxa"/>
        <w:tblLayout w:type="autofit"/>
        <w:tblCellMar>
          <w:top w:w="0" w:type="dxa"/>
          <w:left w:w="99" w:type="dxa"/>
          <w:bottom w:w="0" w:type="dxa"/>
          <w:right w:w="99" w:type="dxa"/>
        </w:tblCellMar>
      </w:tblPr>
      <w:tblGrid>
        <w:gridCol w:w="1435"/>
        <w:gridCol w:w="8425"/>
      </w:tblGrid>
      <w:tr w14:paraId="74D53472">
        <w:tblPrEx>
          <w:tblCellMar>
            <w:top w:w="0" w:type="dxa"/>
            <w:left w:w="99" w:type="dxa"/>
            <w:bottom w:w="0" w:type="dxa"/>
            <w:right w:w="99" w:type="dxa"/>
          </w:tblCellMar>
        </w:tblPrEx>
        <w:trPr>
          <w:trHeight w:val="750" w:hRule="atLeast"/>
        </w:trPr>
        <w:tc>
          <w:tcPr>
            <w:tcW w:w="1435" w:type="dxa"/>
            <w:tcBorders>
              <w:top w:val="single" w:color="auto" w:sz="4" w:space="0"/>
              <w:bottom w:val="single" w:color="auto" w:sz="4" w:space="0"/>
            </w:tcBorders>
            <w:shd w:val="clear" w:color="auto" w:fill="auto"/>
            <w:vAlign w:val="center"/>
          </w:tcPr>
          <w:p w14:paraId="320D6504">
            <w:pPr>
              <w:spacing w:line="240" w:lineRule="auto"/>
              <w:rPr>
                <w:rFonts w:ascii="Yu Gothic" w:hAnsi="Yu Gothic" w:eastAsia="Yu Gothic" w:cs="MS PGothic"/>
                <w:color w:val="000000"/>
                <w:sz w:val="22"/>
                <w:lang w:eastAsia="ja-JP"/>
              </w:rPr>
            </w:pPr>
            <w:r>
              <w:rPr>
                <w:rFonts w:hint="eastAsia" w:ascii="Yu Gothic" w:hAnsi="Yu Gothic" w:eastAsia="Yu Gothic" w:cs="MS PGothic"/>
                <w:color w:val="000000"/>
                <w:sz w:val="22"/>
                <w:lang w:eastAsia="ja-JP"/>
              </w:rPr>
              <w:t>Name (Year)</w:t>
            </w:r>
          </w:p>
        </w:tc>
        <w:tc>
          <w:tcPr>
            <w:tcW w:w="8425" w:type="dxa"/>
            <w:tcBorders>
              <w:top w:val="single" w:color="auto" w:sz="4" w:space="0"/>
              <w:bottom w:val="single" w:color="auto" w:sz="4" w:space="0"/>
            </w:tcBorders>
            <w:shd w:val="clear" w:color="auto" w:fill="auto"/>
            <w:vAlign w:val="center"/>
          </w:tcPr>
          <w:p w14:paraId="46E90798">
            <w:pPr>
              <w:spacing w:line="240" w:lineRule="auto"/>
              <w:jc w:val="center"/>
              <w:rPr>
                <w:rFonts w:ascii="Yu Gothic" w:hAnsi="Yu Gothic" w:eastAsia="Yu Gothic" w:cs="MS PGothic"/>
                <w:color w:val="000000"/>
                <w:sz w:val="22"/>
                <w:lang w:eastAsia="ja-JP"/>
              </w:rPr>
            </w:pPr>
            <w:r>
              <w:rPr>
                <w:rFonts w:hint="eastAsia" w:ascii="Yu Gothic" w:hAnsi="Yu Gothic" w:eastAsia="Yu Gothic" w:cs="MS PGothic"/>
                <w:color w:val="000000"/>
                <w:sz w:val="22"/>
                <w:lang w:eastAsia="ja-JP"/>
              </w:rPr>
              <w:t>Summary</w:t>
            </w:r>
          </w:p>
        </w:tc>
      </w:tr>
      <w:tr w14:paraId="1E88A659">
        <w:tblPrEx>
          <w:tblCellMar>
            <w:top w:w="0" w:type="dxa"/>
            <w:left w:w="99" w:type="dxa"/>
            <w:bottom w:w="0" w:type="dxa"/>
            <w:right w:w="99" w:type="dxa"/>
          </w:tblCellMar>
        </w:tblPrEx>
        <w:trPr>
          <w:trHeight w:val="2250" w:hRule="atLeast"/>
        </w:trPr>
        <w:tc>
          <w:tcPr>
            <w:tcW w:w="1435" w:type="dxa"/>
            <w:tcBorders>
              <w:top w:val="single" w:color="auto" w:sz="4" w:space="0"/>
            </w:tcBorders>
            <w:shd w:val="clear" w:color="auto" w:fill="auto"/>
            <w:vAlign w:val="center"/>
          </w:tcPr>
          <w:p w14:paraId="3249FEA3">
            <w:pPr>
              <w:spacing w:line="240" w:lineRule="auto"/>
              <w:rPr>
                <w:rFonts w:ascii="Yu Gothic" w:hAnsi="Yu Gothic" w:eastAsia="Yu Gothic" w:cs="MS PGothic"/>
                <w:color w:val="000000"/>
                <w:sz w:val="22"/>
                <w:lang w:eastAsia="ja-JP"/>
              </w:rPr>
            </w:pPr>
            <w:r>
              <w:rPr>
                <w:rFonts w:hint="eastAsia" w:ascii="Yu Gothic" w:hAnsi="Yu Gothic" w:eastAsia="Yu Gothic" w:cs="MS PGothic"/>
                <w:color w:val="000000"/>
                <w:sz w:val="22"/>
                <w:lang w:eastAsia="ja-JP"/>
              </w:rPr>
              <w:t>Arora</w:t>
            </w:r>
            <w:r>
              <w:rPr>
                <w:rFonts w:ascii="Yu Gothic" w:hAnsi="Yu Gothic" w:eastAsia="Yu Gothic" w:cs="MS PGothic"/>
                <w:color w:val="000000"/>
                <w:sz w:val="22"/>
                <w:lang w:eastAsia="ja-JP"/>
              </w:rPr>
              <w:t xml:space="preserve"> et al.</w:t>
            </w:r>
            <w:r>
              <w:rPr>
                <w:rFonts w:hint="eastAsia" w:ascii="Yu Gothic" w:hAnsi="Yu Gothic" w:eastAsia="Yu Gothic" w:cs="MS PGothic"/>
                <w:color w:val="000000"/>
                <w:sz w:val="22"/>
                <w:lang w:eastAsia="ja-JP"/>
              </w:rPr>
              <w:t xml:space="preserve"> (2020)</w:t>
            </w:r>
          </w:p>
        </w:tc>
        <w:tc>
          <w:tcPr>
            <w:tcW w:w="8425" w:type="dxa"/>
            <w:tcBorders>
              <w:top w:val="single" w:color="auto" w:sz="4" w:space="0"/>
            </w:tcBorders>
            <w:shd w:val="clear" w:color="auto" w:fill="auto"/>
            <w:vAlign w:val="center"/>
          </w:tcPr>
          <w:p w14:paraId="5BBA8B8E">
            <w:pPr>
              <w:spacing w:line="240" w:lineRule="auto"/>
              <w:rPr>
                <w:rFonts w:ascii="Yu Gothic" w:hAnsi="Yu Gothic" w:eastAsia="Yu Gothic" w:cs="MS PGothic"/>
                <w:color w:val="000000"/>
                <w:sz w:val="22"/>
                <w:lang w:eastAsia="ja-JP"/>
              </w:rPr>
            </w:pPr>
            <w:r>
              <w:rPr>
                <w:rFonts w:hint="eastAsia" w:ascii="Yu Gothic" w:hAnsi="Yu Gothic" w:eastAsia="Yu Gothic" w:cs="MS PGothic"/>
                <w:color w:val="000000"/>
                <w:sz w:val="22"/>
                <w:lang w:eastAsia="ja-JP"/>
              </w:rPr>
              <w:t xml:space="preserve">Coronaphobia is defined as an excessive, triggered response </w:t>
            </w:r>
            <w:r>
              <w:rPr>
                <w:rFonts w:ascii="Yu Gothic" w:hAnsi="Yu Gothic" w:eastAsia="Yu Gothic" w:cs="MS PGothic"/>
                <w:color w:val="000000"/>
                <w:sz w:val="22"/>
                <w:lang w:eastAsia="ja-JP"/>
              </w:rPr>
              <w:t>to</w:t>
            </w:r>
            <w:r>
              <w:rPr>
                <w:rFonts w:hint="eastAsia" w:ascii="Yu Gothic" w:hAnsi="Yu Gothic" w:eastAsia="Yu Gothic" w:cs="MS PGothic"/>
                <w:color w:val="000000"/>
                <w:sz w:val="22"/>
                <w:lang w:eastAsia="ja-JP"/>
              </w:rPr>
              <w:t xml:space="preserve"> fear of contracting COVID-19. This</w:t>
            </w:r>
            <w:r>
              <w:rPr>
                <w:rFonts w:ascii="Yu Gothic" w:hAnsi="Yu Gothic" w:eastAsia="Yu Gothic" w:cs="MS PGothic"/>
                <w:color w:val="000000"/>
                <w:sz w:val="22"/>
                <w:lang w:eastAsia="ja-JP"/>
              </w:rPr>
              <w:t xml:space="preserve"> response</w:t>
            </w:r>
            <w:r>
              <w:rPr>
                <w:rFonts w:hint="eastAsia" w:ascii="Yu Gothic" w:hAnsi="Yu Gothic" w:eastAsia="Yu Gothic" w:cs="MS PGothic"/>
                <w:color w:val="000000"/>
                <w:sz w:val="22"/>
                <w:lang w:eastAsia="ja-JP"/>
              </w:rPr>
              <w:t xml:space="preserve"> includes excessive concern over physiological symptoms, significant stress about personal and occupational loss, increased reassurance and safety-seeking behaviors, and avoidance of public places, causing impairment in daily life. Triggers involve situations or people associated with the probability of virus contraction, such as meeting people, traveling, or going to work.</w:t>
            </w:r>
          </w:p>
        </w:tc>
      </w:tr>
      <w:tr w14:paraId="069145C0">
        <w:tblPrEx>
          <w:tblCellMar>
            <w:top w:w="0" w:type="dxa"/>
            <w:left w:w="99" w:type="dxa"/>
            <w:bottom w:w="0" w:type="dxa"/>
            <w:right w:w="99" w:type="dxa"/>
          </w:tblCellMar>
        </w:tblPrEx>
        <w:trPr>
          <w:trHeight w:val="1125" w:hRule="atLeast"/>
        </w:trPr>
        <w:tc>
          <w:tcPr>
            <w:tcW w:w="1435" w:type="dxa"/>
            <w:tcBorders>
              <w:top w:val="nil"/>
            </w:tcBorders>
            <w:shd w:val="clear" w:color="auto" w:fill="auto"/>
            <w:vAlign w:val="center"/>
          </w:tcPr>
          <w:p w14:paraId="7B625D0D">
            <w:pPr>
              <w:spacing w:line="240" w:lineRule="auto"/>
              <w:rPr>
                <w:rFonts w:ascii="Yu Gothic" w:hAnsi="Yu Gothic" w:eastAsia="Yu Gothic" w:cs="MS PGothic"/>
                <w:color w:val="000000"/>
                <w:sz w:val="22"/>
                <w:lang w:eastAsia="ja-JP"/>
              </w:rPr>
            </w:pPr>
            <w:r>
              <w:rPr>
                <w:rFonts w:hint="eastAsia" w:ascii="Yu Gothic" w:hAnsi="Yu Gothic" w:eastAsia="Yu Gothic" w:cs="MS PGothic"/>
                <w:color w:val="000000"/>
                <w:sz w:val="22"/>
                <w:lang w:eastAsia="ja-JP"/>
              </w:rPr>
              <w:t>Wang et al. (2020)</w:t>
            </w:r>
          </w:p>
        </w:tc>
        <w:tc>
          <w:tcPr>
            <w:tcW w:w="8425" w:type="dxa"/>
            <w:tcBorders>
              <w:top w:val="nil"/>
            </w:tcBorders>
            <w:shd w:val="clear" w:color="auto" w:fill="auto"/>
            <w:vAlign w:val="center"/>
          </w:tcPr>
          <w:p w14:paraId="0798A8D2">
            <w:pPr>
              <w:spacing w:line="240" w:lineRule="auto"/>
              <w:rPr>
                <w:rFonts w:ascii="Yu Gothic" w:hAnsi="Yu Gothic" w:eastAsia="Yu Gothic" w:cs="MS PGothic"/>
                <w:color w:val="000000"/>
                <w:sz w:val="22"/>
                <w:lang w:eastAsia="ja-JP"/>
              </w:rPr>
            </w:pPr>
            <w:r>
              <w:rPr>
                <w:rFonts w:hint="eastAsia" w:ascii="Yu Gothic" w:hAnsi="Yu Gothic" w:eastAsia="Yu Gothic" w:cs="MS PGothic"/>
                <w:color w:val="000000"/>
                <w:sz w:val="22"/>
                <w:lang w:eastAsia="ja-JP"/>
              </w:rPr>
              <w:t xml:space="preserve">Physiological aspect: Coronaphobia triggers </w:t>
            </w:r>
            <w:r>
              <w:rPr>
                <w:rFonts w:ascii="Yu Gothic" w:hAnsi="Yu Gothic" w:eastAsia="Yu Gothic" w:cs="MS PGothic"/>
                <w:color w:val="000000"/>
                <w:sz w:val="22"/>
                <w:lang w:eastAsia="ja-JP"/>
              </w:rPr>
              <w:t>a prolonged</w:t>
            </w:r>
            <w:r>
              <w:rPr>
                <w:rFonts w:hint="eastAsia" w:ascii="Yu Gothic" w:hAnsi="Yu Gothic" w:eastAsia="Yu Gothic" w:cs="MS PGothic"/>
                <w:color w:val="000000"/>
                <w:sz w:val="22"/>
                <w:lang w:eastAsia="ja-JP"/>
              </w:rPr>
              <w:t xml:space="preserve"> fight</w:t>
            </w:r>
            <w:r>
              <w:rPr>
                <w:rFonts w:ascii="Yu Gothic" w:hAnsi="Yu Gothic" w:eastAsia="Yu Gothic" w:cs="MS PGothic"/>
                <w:color w:val="000000"/>
                <w:sz w:val="22"/>
                <w:lang w:eastAsia="ja-JP"/>
              </w:rPr>
              <w:t>-</w:t>
            </w:r>
            <w:r>
              <w:rPr>
                <w:rFonts w:hint="eastAsia" w:ascii="Yu Gothic" w:hAnsi="Yu Gothic" w:eastAsia="Yu Gothic" w:cs="MS PGothic"/>
                <w:color w:val="000000"/>
                <w:sz w:val="22"/>
                <w:lang w:eastAsia="ja-JP"/>
              </w:rPr>
              <w:t>or</w:t>
            </w:r>
            <w:r>
              <w:rPr>
                <w:rFonts w:ascii="Yu Gothic" w:hAnsi="Yu Gothic" w:eastAsia="Yu Gothic" w:cs="MS PGothic"/>
                <w:color w:val="000000"/>
                <w:sz w:val="22"/>
                <w:lang w:eastAsia="ja-JP"/>
              </w:rPr>
              <w:t>-</w:t>
            </w:r>
            <w:r>
              <w:rPr>
                <w:rFonts w:hint="eastAsia" w:ascii="Yu Gothic" w:hAnsi="Yu Gothic" w:eastAsia="Yu Gothic" w:cs="MS PGothic"/>
                <w:color w:val="000000"/>
                <w:sz w:val="22"/>
                <w:lang w:eastAsia="ja-JP"/>
              </w:rPr>
              <w:t>flight response, leading to symptoms like palpitations, tremors, difficulty breathing, dizziness, changes in appetite, and sleep disturbances.</w:t>
            </w:r>
          </w:p>
        </w:tc>
      </w:tr>
      <w:tr w14:paraId="598B8F17">
        <w:tblPrEx>
          <w:tblCellMar>
            <w:top w:w="0" w:type="dxa"/>
            <w:left w:w="99" w:type="dxa"/>
            <w:bottom w:w="0" w:type="dxa"/>
            <w:right w:w="99" w:type="dxa"/>
          </w:tblCellMar>
        </w:tblPrEx>
        <w:trPr>
          <w:trHeight w:val="1500" w:hRule="atLeast"/>
        </w:trPr>
        <w:tc>
          <w:tcPr>
            <w:tcW w:w="1435" w:type="dxa"/>
            <w:tcBorders>
              <w:top w:val="nil"/>
            </w:tcBorders>
            <w:shd w:val="clear" w:color="auto" w:fill="auto"/>
            <w:vAlign w:val="center"/>
          </w:tcPr>
          <w:p w14:paraId="0E2D98D7">
            <w:pPr>
              <w:spacing w:line="240" w:lineRule="auto"/>
              <w:rPr>
                <w:rFonts w:ascii="Yu Gothic" w:hAnsi="Yu Gothic" w:eastAsia="Yu Gothic" w:cs="MS PGothic"/>
                <w:color w:val="000000"/>
                <w:sz w:val="22"/>
                <w:lang w:eastAsia="ja-JP"/>
              </w:rPr>
            </w:pPr>
            <w:r>
              <w:rPr>
                <w:rFonts w:hint="eastAsia" w:ascii="Yu Gothic" w:hAnsi="Yu Gothic" w:eastAsia="Yu Gothic" w:cs="MS PGothic"/>
                <w:color w:val="000000"/>
                <w:sz w:val="22"/>
                <w:lang w:eastAsia="ja-JP"/>
              </w:rPr>
              <w:t>Chakraborty &amp; Chatterjee (2020)</w:t>
            </w:r>
          </w:p>
        </w:tc>
        <w:tc>
          <w:tcPr>
            <w:tcW w:w="8425" w:type="dxa"/>
            <w:tcBorders>
              <w:top w:val="nil"/>
            </w:tcBorders>
            <w:shd w:val="clear" w:color="auto" w:fill="auto"/>
            <w:vAlign w:val="center"/>
          </w:tcPr>
          <w:p w14:paraId="064D2B87">
            <w:pPr>
              <w:spacing w:line="240" w:lineRule="auto"/>
              <w:rPr>
                <w:rFonts w:ascii="Yu Gothic" w:hAnsi="Yu Gothic" w:eastAsia="Yu Gothic" w:cs="MS PGothic"/>
                <w:color w:val="000000"/>
                <w:sz w:val="22"/>
                <w:lang w:eastAsia="ja-JP"/>
              </w:rPr>
            </w:pPr>
            <w:r>
              <w:rPr>
                <w:rFonts w:hint="eastAsia" w:ascii="Yu Gothic" w:hAnsi="Yu Gothic" w:eastAsia="Yu Gothic" w:cs="MS PGothic"/>
                <w:color w:val="000000"/>
                <w:sz w:val="22"/>
                <w:lang w:eastAsia="ja-JP"/>
              </w:rPr>
              <w:t xml:space="preserve">Cognitive aspect: Fear of the virus involves </w:t>
            </w:r>
            <w:r>
              <w:rPr>
                <w:rFonts w:ascii="Yu Gothic" w:hAnsi="Yu Gothic" w:eastAsia="Yu Gothic" w:cs="MS PGothic"/>
                <w:color w:val="000000"/>
                <w:sz w:val="22"/>
                <w:lang w:eastAsia="ja-JP"/>
              </w:rPr>
              <w:t xml:space="preserve">a </w:t>
            </w:r>
            <w:r>
              <w:rPr>
                <w:rFonts w:hint="eastAsia" w:ascii="Yu Gothic" w:hAnsi="Yu Gothic" w:eastAsia="Yu Gothic" w:cs="MS PGothic"/>
                <w:color w:val="000000"/>
                <w:sz w:val="22"/>
                <w:lang w:eastAsia="ja-JP"/>
              </w:rPr>
              <w:t xml:space="preserve">preoccupation with threat-provoking </w:t>
            </w:r>
            <w:r>
              <w:rPr>
                <w:rFonts w:ascii="Yu Gothic" w:hAnsi="Yu Gothic" w:eastAsia="Yu Gothic" w:cs="MS PGothic"/>
                <w:color w:val="000000"/>
                <w:sz w:val="22"/>
                <w:lang w:eastAsia="ja-JP"/>
              </w:rPr>
              <w:t>adverse thoughts</w:t>
            </w:r>
            <w:r>
              <w:rPr>
                <w:rFonts w:hint="eastAsia" w:ascii="Yu Gothic" w:hAnsi="Yu Gothic" w:eastAsia="Yu Gothic" w:cs="MS PGothic"/>
                <w:color w:val="000000"/>
                <w:sz w:val="22"/>
                <w:lang w:eastAsia="ja-JP"/>
              </w:rPr>
              <w:t xml:space="preserve">, such as fears of </w:t>
            </w:r>
            <w:r>
              <w:rPr>
                <w:rFonts w:ascii="Yu Gothic" w:hAnsi="Yu Gothic" w:eastAsia="Yu Gothic" w:cs="MS PGothic"/>
                <w:color w:val="000000"/>
                <w:sz w:val="22"/>
                <w:lang w:eastAsia="ja-JP"/>
              </w:rPr>
              <w:t>death</w:t>
            </w:r>
            <w:r>
              <w:rPr>
                <w:rFonts w:hint="eastAsia" w:ascii="Yu Gothic" w:hAnsi="Yu Gothic" w:eastAsia="Yu Gothic" w:cs="MS PGothic"/>
                <w:color w:val="000000"/>
                <w:sz w:val="22"/>
                <w:lang w:eastAsia="ja-JP"/>
              </w:rPr>
              <w:t>, unemployment, or family danger</w:t>
            </w:r>
            <w:r>
              <w:rPr>
                <w:rFonts w:ascii="Yu Gothic" w:hAnsi="Yu Gothic" w:eastAsia="Yu Gothic" w:cs="MS PGothic"/>
                <w:color w:val="000000"/>
                <w:sz w:val="22"/>
                <w:lang w:eastAsia="ja-JP"/>
              </w:rPr>
              <w:t xml:space="preserve"> due to the virus</w:t>
            </w:r>
            <w:r>
              <w:rPr>
                <w:rFonts w:hint="eastAsia" w:ascii="Yu Gothic" w:hAnsi="Yu Gothic" w:eastAsia="Yu Gothic" w:cs="MS PGothic"/>
                <w:color w:val="000000"/>
                <w:sz w:val="22"/>
                <w:lang w:eastAsia="ja-JP"/>
              </w:rPr>
              <w:t>. These cognitions trigger emotional responses like sadness, guilt, and anger.</w:t>
            </w:r>
          </w:p>
        </w:tc>
      </w:tr>
      <w:tr w14:paraId="57850607">
        <w:tblPrEx>
          <w:tblCellMar>
            <w:top w:w="0" w:type="dxa"/>
            <w:left w:w="99" w:type="dxa"/>
            <w:bottom w:w="0" w:type="dxa"/>
            <w:right w:w="99" w:type="dxa"/>
          </w:tblCellMar>
        </w:tblPrEx>
        <w:trPr>
          <w:trHeight w:val="1875" w:hRule="atLeast"/>
        </w:trPr>
        <w:tc>
          <w:tcPr>
            <w:tcW w:w="1435" w:type="dxa"/>
            <w:tcBorders>
              <w:top w:val="nil"/>
            </w:tcBorders>
            <w:shd w:val="clear" w:color="auto" w:fill="auto"/>
            <w:vAlign w:val="center"/>
          </w:tcPr>
          <w:p w14:paraId="59FD5645">
            <w:pPr>
              <w:spacing w:line="240" w:lineRule="auto"/>
              <w:rPr>
                <w:rFonts w:ascii="Yu Gothic" w:hAnsi="Yu Gothic" w:eastAsia="Yu Gothic" w:cs="MS PGothic"/>
                <w:color w:val="000000"/>
                <w:sz w:val="22"/>
                <w:lang w:eastAsia="ja-JP"/>
              </w:rPr>
            </w:pPr>
            <w:bookmarkStart w:id="6" w:name="_Hlk190015945"/>
            <w:r>
              <w:rPr>
                <w:rFonts w:ascii="Yu Gothic" w:hAnsi="Yu Gothic" w:eastAsia="Yu Gothic" w:cs="MS PGothic"/>
                <w:color w:val="000000"/>
                <w:sz w:val="22"/>
                <w:lang w:eastAsia="ja-JP"/>
              </w:rPr>
              <w:t>Steed</w:t>
            </w:r>
            <w:bookmarkEnd w:id="6"/>
            <w:r>
              <w:rPr>
                <w:rFonts w:ascii="Yu Gothic" w:hAnsi="Yu Gothic" w:eastAsia="Yu Gothic" w:cs="MS PGothic"/>
                <w:color w:val="000000"/>
                <w:sz w:val="22"/>
                <w:lang w:eastAsia="ja-JP"/>
              </w:rPr>
              <w:t xml:space="preserve"> et al. (2022)</w:t>
            </w:r>
          </w:p>
        </w:tc>
        <w:tc>
          <w:tcPr>
            <w:tcW w:w="8425" w:type="dxa"/>
            <w:tcBorders>
              <w:top w:val="nil"/>
            </w:tcBorders>
            <w:shd w:val="clear" w:color="auto" w:fill="auto"/>
            <w:vAlign w:val="center"/>
          </w:tcPr>
          <w:p w14:paraId="42587B75">
            <w:pPr>
              <w:spacing w:line="240" w:lineRule="auto"/>
              <w:rPr>
                <w:rFonts w:ascii="Yu Gothic" w:hAnsi="Yu Gothic" w:eastAsia="Yu Gothic" w:cs="MS PGothic"/>
                <w:color w:val="000000"/>
                <w:sz w:val="22"/>
                <w:lang w:eastAsia="ja-JP"/>
              </w:rPr>
            </w:pPr>
            <w:r>
              <w:rPr>
                <w:rFonts w:hint="eastAsia" w:ascii="Yu Gothic" w:hAnsi="Yu Gothic" w:eastAsia="Yu Gothic" w:cs="MS PGothic"/>
                <w:color w:val="000000"/>
                <w:sz w:val="22"/>
                <w:lang w:eastAsia="ja-JP"/>
              </w:rPr>
              <w:t xml:space="preserve">Behavioral aspect: Individuals engage in avoidance behaviors to prevent feared consequences. </w:t>
            </w:r>
            <w:r>
              <w:rPr>
                <w:rFonts w:ascii="Yu Gothic" w:hAnsi="Yu Gothic" w:eastAsia="Yu Gothic" w:cs="MS PGothic"/>
                <w:color w:val="000000"/>
                <w:sz w:val="22"/>
                <w:lang w:eastAsia="ja-JP"/>
              </w:rPr>
              <w:t>Some behaviors</w:t>
            </w:r>
            <w:r>
              <w:rPr>
                <w:rFonts w:hint="eastAsia" w:ascii="Yu Gothic" w:hAnsi="Yu Gothic" w:eastAsia="Yu Gothic" w:cs="MS PGothic"/>
                <w:color w:val="000000"/>
                <w:sz w:val="22"/>
                <w:lang w:eastAsia="ja-JP"/>
              </w:rPr>
              <w:t xml:space="preserve"> include avoiding public transportation, touching surfaces, being in open or enclosed public places, and attending gatherings. People may fear or avoid meeting others and excessively engage in health-related safety behaviors like hand-washing.</w:t>
            </w:r>
          </w:p>
        </w:tc>
      </w:tr>
      <w:tr w14:paraId="7AD803B3">
        <w:tblPrEx>
          <w:tblCellMar>
            <w:top w:w="0" w:type="dxa"/>
            <w:left w:w="99" w:type="dxa"/>
            <w:bottom w:w="0" w:type="dxa"/>
            <w:right w:w="99" w:type="dxa"/>
          </w:tblCellMar>
        </w:tblPrEx>
        <w:trPr>
          <w:trHeight w:val="1125" w:hRule="atLeast"/>
        </w:trPr>
        <w:tc>
          <w:tcPr>
            <w:tcW w:w="1435" w:type="dxa"/>
            <w:tcBorders>
              <w:top w:val="nil"/>
            </w:tcBorders>
            <w:shd w:val="clear" w:color="auto" w:fill="auto"/>
            <w:vAlign w:val="center"/>
          </w:tcPr>
          <w:p w14:paraId="2545222C">
            <w:pPr>
              <w:spacing w:line="240" w:lineRule="auto"/>
              <w:rPr>
                <w:rFonts w:ascii="Yu Gothic" w:hAnsi="Yu Gothic" w:eastAsia="Yu Gothic" w:cs="MS PGothic"/>
                <w:color w:val="000000"/>
                <w:sz w:val="22"/>
                <w:lang w:eastAsia="ja-JP"/>
              </w:rPr>
            </w:pPr>
            <w:r>
              <w:rPr>
                <w:rFonts w:hint="eastAsia" w:ascii="Yu Gothic" w:hAnsi="Yu Gothic" w:eastAsia="Yu Gothic" w:cs="MS PGothic"/>
                <w:color w:val="000000"/>
                <w:sz w:val="22"/>
                <w:lang w:eastAsia="ja-JP"/>
              </w:rPr>
              <w:t>Li et al. (2020)</w:t>
            </w:r>
          </w:p>
        </w:tc>
        <w:tc>
          <w:tcPr>
            <w:tcW w:w="8425" w:type="dxa"/>
            <w:tcBorders>
              <w:top w:val="nil"/>
            </w:tcBorders>
            <w:shd w:val="clear" w:color="auto" w:fill="auto"/>
            <w:vAlign w:val="center"/>
          </w:tcPr>
          <w:p w14:paraId="683CAD7A">
            <w:pPr>
              <w:spacing w:line="240" w:lineRule="auto"/>
              <w:rPr>
                <w:rFonts w:ascii="Yu Gothic" w:hAnsi="Yu Gothic" w:eastAsia="Yu Gothic" w:cs="MS PGothic"/>
                <w:color w:val="000000"/>
                <w:sz w:val="22"/>
                <w:lang w:eastAsia="ja-JP"/>
              </w:rPr>
            </w:pPr>
            <w:r>
              <w:rPr>
                <w:rFonts w:hint="eastAsia" w:ascii="Yu Gothic" w:hAnsi="Yu Gothic" w:eastAsia="Yu Gothic" w:cs="MS PGothic"/>
                <w:color w:val="000000"/>
                <w:sz w:val="22"/>
                <w:lang w:eastAsia="ja-JP"/>
              </w:rPr>
              <w:t xml:space="preserve">Behavioral aspect (continued): Reassurance behaviors like constantly checking body vitals or confirming </w:t>
            </w:r>
            <w:r>
              <w:rPr>
                <w:rFonts w:ascii="Yu Gothic" w:hAnsi="Yu Gothic" w:eastAsia="Yu Gothic" w:cs="MS PGothic"/>
                <w:color w:val="000000"/>
                <w:sz w:val="22"/>
                <w:lang w:eastAsia="ja-JP"/>
              </w:rPr>
              <w:t xml:space="preserve">the </w:t>
            </w:r>
            <w:r>
              <w:rPr>
                <w:rFonts w:hint="eastAsia" w:ascii="Yu Gothic" w:hAnsi="Yu Gothic" w:eastAsia="Yu Gothic" w:cs="MS PGothic"/>
                <w:color w:val="000000"/>
                <w:sz w:val="22"/>
                <w:lang w:eastAsia="ja-JP"/>
              </w:rPr>
              <w:t>absence of illness perpetuate fear, leading to phobia. The zoonotic origin of the virus may lead to fears of consuming exotic meat.</w:t>
            </w:r>
          </w:p>
        </w:tc>
      </w:tr>
      <w:tr w14:paraId="5F63E284">
        <w:tblPrEx>
          <w:tblCellMar>
            <w:top w:w="0" w:type="dxa"/>
            <w:left w:w="99" w:type="dxa"/>
            <w:bottom w:w="0" w:type="dxa"/>
            <w:right w:w="99" w:type="dxa"/>
          </w:tblCellMar>
        </w:tblPrEx>
        <w:trPr>
          <w:trHeight w:val="2625" w:hRule="atLeast"/>
        </w:trPr>
        <w:tc>
          <w:tcPr>
            <w:tcW w:w="1435" w:type="dxa"/>
            <w:tcBorders>
              <w:top w:val="nil"/>
            </w:tcBorders>
            <w:shd w:val="clear" w:color="auto" w:fill="auto"/>
            <w:vAlign w:val="center"/>
          </w:tcPr>
          <w:p w14:paraId="4C12D6D3">
            <w:pPr>
              <w:spacing w:line="240" w:lineRule="auto"/>
              <w:rPr>
                <w:rFonts w:ascii="Yu Gothic" w:hAnsi="Yu Gothic" w:eastAsia="Yu Gothic" w:cs="MS PGothic"/>
                <w:color w:val="000000"/>
                <w:sz w:val="22"/>
                <w:lang w:eastAsia="ja-JP"/>
              </w:rPr>
            </w:pPr>
            <w:r>
              <w:rPr>
                <w:rFonts w:hint="eastAsia" w:ascii="Yu Gothic" w:hAnsi="Yu Gothic" w:eastAsia="Yu Gothic" w:cs="MS PGothic"/>
                <w:color w:val="000000"/>
                <w:sz w:val="22"/>
                <w:lang w:eastAsia="ja-JP"/>
              </w:rPr>
              <w:t>Andersen, Rambaut, Lipkin, Holmes, &amp; Garry (2020)</w:t>
            </w:r>
          </w:p>
        </w:tc>
        <w:tc>
          <w:tcPr>
            <w:tcW w:w="8425" w:type="dxa"/>
            <w:tcBorders>
              <w:top w:val="nil"/>
            </w:tcBorders>
            <w:shd w:val="clear" w:color="auto" w:fill="auto"/>
            <w:vAlign w:val="center"/>
          </w:tcPr>
          <w:p w14:paraId="09C82C9B">
            <w:pPr>
              <w:spacing w:line="240" w:lineRule="auto"/>
              <w:rPr>
                <w:rFonts w:ascii="Yu Gothic" w:hAnsi="Yu Gothic" w:eastAsia="Yu Gothic" w:cs="MS PGothic"/>
                <w:color w:val="000000"/>
                <w:sz w:val="22"/>
                <w:lang w:eastAsia="ja-JP"/>
              </w:rPr>
            </w:pPr>
            <w:r>
              <w:rPr>
                <w:rFonts w:hint="eastAsia" w:ascii="Yu Gothic" w:hAnsi="Yu Gothic" w:eastAsia="Yu Gothic" w:cs="MS PGothic"/>
                <w:color w:val="000000"/>
                <w:sz w:val="22"/>
                <w:lang w:eastAsia="ja-JP"/>
              </w:rPr>
              <w:t>Discusses the zoonotic origin of the virus, which may contribute to fear</w:t>
            </w:r>
            <w:r>
              <w:rPr>
                <w:rFonts w:ascii="Yu Gothic" w:hAnsi="Yu Gothic" w:eastAsia="Yu Gothic" w:cs="MS PGothic"/>
                <w:color w:val="000000"/>
                <w:sz w:val="22"/>
                <w:lang w:eastAsia="ja-JP"/>
              </w:rPr>
              <w:t>s</w:t>
            </w:r>
            <w:r>
              <w:rPr>
                <w:rFonts w:hint="eastAsia" w:ascii="Yu Gothic" w:hAnsi="Yu Gothic" w:eastAsia="Yu Gothic" w:cs="MS PGothic"/>
                <w:color w:val="000000"/>
                <w:sz w:val="22"/>
                <w:lang w:eastAsia="ja-JP"/>
              </w:rPr>
              <w:t xml:space="preserve"> associated with </w:t>
            </w:r>
            <w:r>
              <w:rPr>
                <w:rFonts w:ascii="Yu Gothic" w:hAnsi="Yu Gothic" w:eastAsia="Yu Gothic" w:cs="MS PGothic"/>
                <w:color w:val="000000"/>
                <w:sz w:val="22"/>
                <w:lang w:eastAsia="ja-JP"/>
              </w:rPr>
              <w:t>contracting COVID-19</w:t>
            </w:r>
            <w:r>
              <w:rPr>
                <w:rFonts w:hint="eastAsia" w:ascii="Yu Gothic" w:hAnsi="Yu Gothic" w:eastAsia="Yu Gothic" w:cs="MS PGothic"/>
                <w:color w:val="000000"/>
                <w:sz w:val="22"/>
                <w:lang w:eastAsia="ja-JP"/>
              </w:rPr>
              <w:t xml:space="preserve">, particularly </w:t>
            </w:r>
            <w:r>
              <w:rPr>
                <w:rFonts w:ascii="Yu Gothic" w:hAnsi="Yu Gothic" w:eastAsia="Yu Gothic" w:cs="MS PGothic"/>
                <w:color w:val="000000"/>
                <w:sz w:val="22"/>
                <w:lang w:eastAsia="ja-JP"/>
              </w:rPr>
              <w:t>from</w:t>
            </w:r>
            <w:r>
              <w:rPr>
                <w:rFonts w:hint="eastAsia" w:ascii="Yu Gothic" w:hAnsi="Yu Gothic" w:eastAsia="Yu Gothic" w:cs="MS PGothic"/>
                <w:color w:val="000000"/>
                <w:sz w:val="22"/>
                <w:lang w:eastAsia="ja-JP"/>
              </w:rPr>
              <w:t xml:space="preserve"> the consumption of exotic meat-based food.</w:t>
            </w:r>
          </w:p>
        </w:tc>
      </w:tr>
      <w:tr w14:paraId="1E8670DC">
        <w:tblPrEx>
          <w:tblCellMar>
            <w:top w:w="0" w:type="dxa"/>
            <w:left w:w="99" w:type="dxa"/>
            <w:bottom w:w="0" w:type="dxa"/>
            <w:right w:w="99" w:type="dxa"/>
          </w:tblCellMar>
        </w:tblPrEx>
        <w:trPr>
          <w:trHeight w:val="1500" w:hRule="atLeast"/>
        </w:trPr>
        <w:tc>
          <w:tcPr>
            <w:tcW w:w="1435" w:type="dxa"/>
            <w:tcBorders>
              <w:top w:val="nil"/>
            </w:tcBorders>
            <w:shd w:val="clear" w:color="auto" w:fill="auto"/>
            <w:vAlign w:val="center"/>
          </w:tcPr>
          <w:p w14:paraId="15F5C23D">
            <w:pPr>
              <w:spacing w:line="240" w:lineRule="auto"/>
              <w:rPr>
                <w:rFonts w:ascii="Yu Gothic" w:hAnsi="Yu Gothic" w:eastAsia="Yu Gothic" w:cs="MS PGothic"/>
                <w:color w:val="000000"/>
                <w:sz w:val="22"/>
                <w:lang w:eastAsia="ja-JP"/>
              </w:rPr>
            </w:pPr>
            <w:r>
              <w:rPr>
                <w:rFonts w:ascii="Yu Gothic" w:hAnsi="Yu Gothic" w:eastAsia="Yu Gothic" w:cs="MS PGothic"/>
                <w:color w:val="000000"/>
                <w:sz w:val="22"/>
                <w:lang w:eastAsia="ja-JP"/>
              </w:rPr>
              <w:t>Ozcelik, N., Yilmaz Kara, B. (2021)</w:t>
            </w:r>
            <w:r>
              <w:rPr>
                <w:rFonts w:hint="eastAsia" w:ascii="Yu Gothic" w:hAnsi="Yu Gothic" w:eastAsia="Yu Gothic" w:cs="MS PGothic"/>
                <w:color w:val="000000"/>
                <w:sz w:val="22"/>
                <w:highlight w:val="yellow"/>
                <w:lang w:eastAsia="ja-JP"/>
              </w:rPr>
              <w:t xml:space="preserve"> </w:t>
            </w:r>
          </w:p>
        </w:tc>
        <w:tc>
          <w:tcPr>
            <w:tcW w:w="8425" w:type="dxa"/>
            <w:tcBorders>
              <w:top w:val="nil"/>
            </w:tcBorders>
            <w:shd w:val="clear" w:color="auto" w:fill="auto"/>
            <w:vAlign w:val="center"/>
          </w:tcPr>
          <w:p w14:paraId="1029614D">
            <w:pPr>
              <w:spacing w:line="240" w:lineRule="auto"/>
              <w:rPr>
                <w:rFonts w:ascii="Yu Gothic" w:hAnsi="Yu Gothic" w:eastAsia="Yu Gothic" w:cs="MS PGothic"/>
                <w:color w:val="000000"/>
                <w:sz w:val="22"/>
                <w:lang w:eastAsia="ja-JP"/>
              </w:rPr>
            </w:pPr>
            <w:r>
              <w:rPr>
                <w:rFonts w:hint="eastAsia" w:ascii="Yu Gothic" w:hAnsi="Yu Gothic" w:eastAsia="Yu Gothic" w:cs="MS PGothic"/>
                <w:color w:val="000000"/>
                <w:sz w:val="22"/>
                <w:lang w:eastAsia="ja-JP"/>
              </w:rPr>
              <w:t>Investigates the impact of coronaphobia on smoking habits through telephonic and face-to-face interviews with patients during the outbreak, inquiring about changes in their smoking habits.</w:t>
            </w:r>
          </w:p>
        </w:tc>
      </w:tr>
      <w:tr w14:paraId="29185DE5">
        <w:tblPrEx>
          <w:tblCellMar>
            <w:top w:w="0" w:type="dxa"/>
            <w:left w:w="99" w:type="dxa"/>
            <w:bottom w:w="0" w:type="dxa"/>
            <w:right w:w="99" w:type="dxa"/>
          </w:tblCellMar>
        </w:tblPrEx>
        <w:trPr>
          <w:trHeight w:val="750" w:hRule="atLeast"/>
        </w:trPr>
        <w:tc>
          <w:tcPr>
            <w:tcW w:w="1435" w:type="dxa"/>
            <w:tcBorders>
              <w:top w:val="nil"/>
            </w:tcBorders>
            <w:shd w:val="clear" w:color="auto" w:fill="auto"/>
            <w:vAlign w:val="center"/>
          </w:tcPr>
          <w:p w14:paraId="26A47001">
            <w:pPr>
              <w:spacing w:line="240" w:lineRule="auto"/>
              <w:rPr>
                <w:rFonts w:ascii="Yu Gothic" w:hAnsi="Yu Gothic" w:eastAsia="Yu Gothic" w:cs="MS PGothic"/>
                <w:color w:val="000000"/>
                <w:sz w:val="22"/>
                <w:lang w:eastAsia="ja-JP"/>
              </w:rPr>
            </w:pPr>
            <w:r>
              <w:rPr>
                <w:rFonts w:ascii="Yu Gothic" w:hAnsi="Yu Gothic" w:eastAsia="Yu Gothic" w:cs="MS PGothic"/>
                <w:color w:val="000000"/>
                <w:sz w:val="22"/>
                <w:lang w:eastAsia="ja-JP"/>
              </w:rPr>
              <w:t>Lee, S. A. (2020)</w:t>
            </w:r>
          </w:p>
        </w:tc>
        <w:tc>
          <w:tcPr>
            <w:tcW w:w="8425" w:type="dxa"/>
            <w:tcBorders>
              <w:top w:val="nil"/>
            </w:tcBorders>
            <w:shd w:val="clear" w:color="auto" w:fill="auto"/>
            <w:vAlign w:val="center"/>
          </w:tcPr>
          <w:p w14:paraId="0D69A62A">
            <w:pPr>
              <w:spacing w:line="240" w:lineRule="auto"/>
              <w:rPr>
                <w:rFonts w:ascii="Yu Gothic" w:hAnsi="Yu Gothic" w:eastAsia="Yu Gothic" w:cs="MS PGothic"/>
                <w:color w:val="000000"/>
                <w:sz w:val="22"/>
                <w:lang w:eastAsia="ja-JP"/>
              </w:rPr>
            </w:pPr>
            <w:r>
              <w:rPr>
                <w:rFonts w:hint="eastAsia" w:ascii="Yu Gothic" w:hAnsi="Yu Gothic" w:eastAsia="Yu Gothic" w:cs="MS PGothic"/>
                <w:color w:val="000000"/>
                <w:sz w:val="22"/>
                <w:lang w:eastAsia="ja-JP"/>
              </w:rPr>
              <w:t>Development of scales focusing on physical symptoms associated with coronaphobia, such as dizziness, sleep disturbances, and tonic immobility.</w:t>
            </w:r>
          </w:p>
        </w:tc>
      </w:tr>
      <w:tr w14:paraId="21D159B5">
        <w:tblPrEx>
          <w:tblCellMar>
            <w:top w:w="0" w:type="dxa"/>
            <w:left w:w="99" w:type="dxa"/>
            <w:bottom w:w="0" w:type="dxa"/>
            <w:right w:w="99" w:type="dxa"/>
          </w:tblCellMar>
        </w:tblPrEx>
        <w:trPr>
          <w:trHeight w:val="1125" w:hRule="atLeast"/>
        </w:trPr>
        <w:tc>
          <w:tcPr>
            <w:tcW w:w="1435" w:type="dxa"/>
            <w:tcBorders>
              <w:top w:val="nil"/>
              <w:bottom w:val="single" w:color="auto" w:sz="4" w:space="0"/>
            </w:tcBorders>
            <w:shd w:val="clear" w:color="auto" w:fill="auto"/>
            <w:vAlign w:val="center"/>
          </w:tcPr>
          <w:p w14:paraId="26D6DC5B">
            <w:pPr>
              <w:spacing w:line="240" w:lineRule="auto"/>
              <w:rPr>
                <w:rFonts w:ascii="Yu Gothic" w:hAnsi="Yu Gothic" w:eastAsia="Yu Gothic" w:cs="MS PGothic"/>
                <w:color w:val="000000"/>
                <w:sz w:val="22"/>
                <w:lang w:eastAsia="ja-JP"/>
              </w:rPr>
            </w:pPr>
            <w:r>
              <w:rPr>
                <w:rFonts w:hint="eastAsia" w:ascii="Yu Gothic" w:hAnsi="Yu Gothic" w:eastAsia="Yu Gothic" w:cs="MS PGothic"/>
                <w:color w:val="000000"/>
                <w:sz w:val="22"/>
                <w:lang w:eastAsia="ja-JP"/>
              </w:rPr>
              <w:t>Kanoh, H.  (2022)</w:t>
            </w:r>
          </w:p>
        </w:tc>
        <w:tc>
          <w:tcPr>
            <w:tcW w:w="8425" w:type="dxa"/>
            <w:tcBorders>
              <w:top w:val="nil"/>
              <w:bottom w:val="single" w:color="auto" w:sz="4" w:space="0"/>
            </w:tcBorders>
            <w:shd w:val="clear" w:color="auto" w:fill="auto"/>
            <w:vAlign w:val="center"/>
          </w:tcPr>
          <w:p w14:paraId="1BD05173">
            <w:pPr>
              <w:spacing w:line="240" w:lineRule="auto"/>
              <w:rPr>
                <w:rFonts w:ascii="Yu Gothic" w:hAnsi="Yu Gothic" w:eastAsia="Yu Gothic" w:cs="MS PGothic"/>
                <w:color w:val="000000"/>
                <w:sz w:val="22"/>
                <w:lang w:eastAsia="ja-JP"/>
              </w:rPr>
            </w:pPr>
            <w:r>
              <w:rPr>
                <w:rFonts w:hint="eastAsia" w:ascii="Yu Gothic" w:hAnsi="Yu Gothic" w:eastAsia="Yu Gothic" w:cs="MS PGothic"/>
                <w:color w:val="000000"/>
                <w:sz w:val="22"/>
                <w:lang w:eastAsia="ja-JP"/>
              </w:rPr>
              <w:t>Focuses on coronaphobia</w:t>
            </w:r>
            <w:r>
              <w:rPr>
                <w:rFonts w:ascii="Yu Gothic" w:hAnsi="Yu Gothic" w:eastAsia="Yu Gothic" w:cs="MS PGothic"/>
                <w:color w:val="000000"/>
                <w:sz w:val="22"/>
                <w:lang w:eastAsia="ja-JP"/>
              </w:rPr>
              <w:t>,</w:t>
            </w:r>
            <w:r>
              <w:rPr>
                <w:rFonts w:hint="eastAsia" w:ascii="Yu Gothic" w:hAnsi="Yu Gothic" w:eastAsia="Yu Gothic" w:cs="MS PGothic"/>
                <w:color w:val="000000"/>
                <w:sz w:val="22"/>
                <w:lang w:eastAsia="ja-JP"/>
              </w:rPr>
              <w:t xml:space="preserve"> </w:t>
            </w:r>
            <w:r>
              <w:rPr>
                <w:rFonts w:ascii="Yu Gothic" w:hAnsi="Yu Gothic" w:eastAsia="Yu Gothic" w:cs="MS PGothic"/>
                <w:color w:val="000000"/>
                <w:sz w:val="22"/>
                <w:lang w:eastAsia="ja-JP"/>
              </w:rPr>
              <w:t>emphasizing</w:t>
            </w:r>
            <w:r>
              <w:rPr>
                <w:rFonts w:hint="eastAsia" w:ascii="Yu Gothic" w:hAnsi="Yu Gothic" w:eastAsia="Yu Gothic" w:cs="MS PGothic"/>
                <w:color w:val="000000"/>
                <w:sz w:val="22"/>
                <w:lang w:eastAsia="ja-JP"/>
              </w:rPr>
              <w:t xml:space="preserve"> behavioral aspects, </w:t>
            </w:r>
            <w:r>
              <w:rPr>
                <w:rFonts w:ascii="Yu Gothic" w:hAnsi="Yu Gothic" w:eastAsia="Yu Gothic" w:cs="MS PGothic"/>
                <w:color w:val="000000"/>
                <w:sz w:val="22"/>
                <w:lang w:eastAsia="ja-JP"/>
              </w:rPr>
              <w:t xml:space="preserve">and </w:t>
            </w:r>
            <w:r>
              <w:rPr>
                <w:rFonts w:hint="eastAsia" w:ascii="Yu Gothic" w:hAnsi="Yu Gothic" w:eastAsia="Yu Gothic" w:cs="MS PGothic"/>
                <w:color w:val="000000"/>
                <w:sz w:val="22"/>
                <w:lang w:eastAsia="ja-JP"/>
              </w:rPr>
              <w:t>discussing indicators of coronaphobia and the behavior of university students during the pandemic.</w:t>
            </w:r>
          </w:p>
        </w:tc>
      </w:tr>
    </w:tbl>
    <w:p w14:paraId="197EF1A5">
      <w:pPr>
        <w:ind w:firstLine="720"/>
        <w:contextualSpacing/>
        <w:rPr>
          <w:lang w:eastAsia="ja-JP"/>
        </w:rPr>
      </w:pPr>
      <w:r>
        <w:rPr>
          <w:lang w:eastAsia="ja-JP"/>
        </w:rPr>
        <w:t>In addition to the studies summarized in the table, numerous other publications have examined coronaphobia</w:t>
      </w:r>
      <w:r>
        <w:t xml:space="preserve"> </w:t>
      </w:r>
      <w:r>
        <w:rPr>
          <w:lang w:eastAsia="ja-JP"/>
        </w:rPr>
        <w:t>(Abdelrahman &amp; Aldawash ,2023; Abraham et al. ,2020;</w:t>
      </w:r>
      <w:r>
        <w:rPr>
          <w:rFonts w:hint="eastAsia"/>
          <w:lang w:eastAsia="ja-JP"/>
        </w:rPr>
        <w:t xml:space="preserve"> </w:t>
      </w:r>
      <w:r>
        <w:rPr>
          <w:lang w:eastAsia="ja-JP"/>
        </w:rPr>
        <w:t>Alexandrino et al., 2023; Andersen et al., 2020; Arora et al., 2020; Arpaci et al., 2022; Asmundson &amp; Taylor, 2020a; Asmundson &amp; Taylor, 2020b; Azoulay et al., 2021; Bakri &amp; El-Setouhy, 2022</w:t>
      </w:r>
      <w:r>
        <w:rPr>
          <w:rFonts w:hint="eastAsia"/>
          <w:lang w:eastAsia="ja-JP"/>
        </w:rPr>
        <w:t xml:space="preserve">; </w:t>
      </w:r>
      <w:r>
        <w:rPr>
          <w:lang w:eastAsia="ja-JP"/>
        </w:rPr>
        <w:t>Barreto et al., 2022; BEŞER et al., 2023; Cao et al., 2020a; Carleton, 2016; Chakraborty &amp; Chatterjee, 2020; Della Gatta, 2023; Dubey et al., 2020a; Enea et al., 2022</w:t>
      </w:r>
      <w:r>
        <w:rPr>
          <w:rFonts w:hint="eastAsia"/>
          <w:lang w:eastAsia="ja-JP"/>
        </w:rPr>
        <w:t xml:space="preserve">; </w:t>
      </w:r>
      <w:r>
        <w:rPr>
          <w:lang w:eastAsia="ja-JP"/>
        </w:rPr>
        <w:t>Ertem et al., 2022; Fronda &amp; Labrague, 2022; Gökkaya et al., 2022; Goyal et al., 2020; Haleem et al., 2020a; Heidari et al., 2022</w:t>
      </w:r>
      <w:r>
        <w:rPr>
          <w:rFonts w:hint="eastAsia"/>
          <w:lang w:eastAsia="ja-JP"/>
        </w:rPr>
        <w:t>;</w:t>
      </w:r>
      <w:r>
        <w:t xml:space="preserve"> </w:t>
      </w:r>
      <w:r>
        <w:rPr>
          <w:lang w:eastAsia="ja-JP"/>
        </w:rPr>
        <w:t>Huang &amp; Zhao, 2020a; Huang &amp; Zhao, 2020b; İpek Dongaz et al., 2023; Jacob et al., 2021; KARAZEYBEK et al., 2023; Kissler et al., 2020; Kulkarni et al., 2020; Lee, 2020; Li et al., 2020; Lobos-Rivera et al., 2023; Mertens et al., 2020a; Mora-Magaña et al., 2022; Naguy et al., 2020; Padovan-Neto et al., 2023; Roy et al., 2020a; Sahoo et al., 2020; Tandon, 2020a; Tandon, 2020c; TAŞPINAR et al., 2023; The Lancet, 2020; Turan et al., 2021; Understanding coronaphobia, n.d.; Vargová et al., 2023; Wang et al., 2020; Xiang et al., 2020a; Xu et al., 2023; Yadav &amp; Sagar, 2023</w:t>
      </w:r>
      <w:r>
        <w:rPr>
          <w:rFonts w:hint="eastAsia"/>
          <w:lang w:eastAsia="ja-JP"/>
        </w:rPr>
        <w:t>)</w:t>
      </w:r>
      <w:r>
        <w:rPr>
          <w:lang w:eastAsia="ja-JP"/>
        </w:rPr>
        <w:t>.</w:t>
      </w:r>
    </w:p>
    <w:p w14:paraId="174BAC5C">
      <w:pPr>
        <w:contextualSpacing/>
      </w:pPr>
    </w:p>
    <w:p w14:paraId="27360C58">
      <w:pPr>
        <w:contextualSpacing/>
        <w:rPr>
          <w:b/>
          <w:bCs/>
        </w:rPr>
      </w:pPr>
      <w:r>
        <w:rPr>
          <w:b/>
          <w:bCs/>
        </w:rPr>
        <w:t>Poetic justice (cause-and-retribution thinking)　</w:t>
      </w:r>
    </w:p>
    <w:p w14:paraId="5F844BE2">
      <w:pPr>
        <w:ind w:firstLine="720"/>
        <w:contextualSpacing/>
      </w:pPr>
      <w:r>
        <w:t xml:space="preserve">Next, we focused on the relationship between </w:t>
      </w:r>
      <w:r>
        <w:rPr>
          <w:i/>
          <w:iCs/>
        </w:rPr>
        <w:t>poetic justice</w:t>
      </w:r>
      <w:r>
        <w:t xml:space="preserve"> and coronaphobia. Many expressions convey the idea of poetic justice. For example,</w:t>
      </w:r>
      <w:r>
        <w:rPr>
          <w:rFonts w:hint="eastAsia"/>
        </w:rPr>
        <w:t xml:space="preserve"> </w:t>
      </w:r>
      <w:r>
        <w:t>“What goes around comes around,” “</w:t>
      </w:r>
      <w:r>
        <w:rPr>
          <w:lang w:val="en-GB"/>
        </w:rPr>
        <w:t>Karma</w:t>
      </w:r>
      <w:r>
        <w:rPr>
          <w:rFonts w:hint="eastAsia"/>
        </w:rPr>
        <w:t>,</w:t>
      </w:r>
      <w:r>
        <w:t>” “Get just deserts,” and “Anger punishes itself.”</w:t>
      </w:r>
    </w:p>
    <w:p w14:paraId="715FF49D">
      <w:pPr>
        <w:ind w:firstLine="720"/>
        <w:contextualSpacing/>
      </w:pPr>
      <w:r>
        <w:t xml:space="preserve">The concept of </w:t>
      </w:r>
      <w:r>
        <w:rPr>
          <w:rFonts w:hint="eastAsia"/>
        </w:rPr>
        <w:t>p</w:t>
      </w:r>
      <w:r>
        <w:t>oetic justice generally relies on the causal principle that “If there is a cause, a corresponding effect will occur.” This principle has a long history and is central to many religions and philosophies, including Buddhism. In Buddhism, karma is a central teaching holding that the propriety of an individual’s actions influences future outcomes. Thus, good deeds bring good results, and bad deeds bring bad results. This perspective emphasizes the idea that individuals should be responsible for their actions and that their actions shape their destinies. Religions of Indian origin, such as Hinduism and Jainism, also maintain that a person’s actions affect their karma, which leads to consequences in this life or the next. Even in Western philosophy, the law of causality is treated as a fundamental principle in ontology and ethics. From a scientific perspective, causality is foundational to inquiry regarding natural phenomena and the relationships between them. In this way, poetic justice is widely accepted from religious, philosophical, and scientific perspectives, and its history and background are wide-ranging. Thus, some people may have felt a sense of “poetic justice” by treating infected people in a discriminatory manner.</w:t>
      </w:r>
    </w:p>
    <w:p w14:paraId="0938313C">
      <w:pPr>
        <w:contextualSpacing/>
      </w:pPr>
    </w:p>
    <w:p w14:paraId="4BC58A8F">
      <w:pPr>
        <w:contextualSpacing/>
        <w:rPr>
          <w:b/>
          <w:bCs/>
        </w:rPr>
      </w:pPr>
      <w:r>
        <w:rPr>
          <w:b/>
          <w:bCs/>
        </w:rPr>
        <w:t>Research Purpose and Methodology</w:t>
      </w:r>
    </w:p>
    <w:p w14:paraId="74617FE4">
      <w:pPr>
        <w:ind w:firstLine="720"/>
        <w:contextualSpacing/>
        <w:rPr>
          <w:lang w:eastAsia="ja-JP"/>
        </w:rPr>
      </w:pPr>
      <w:r>
        <w:rPr>
          <w:lang w:eastAsia="ja-JP"/>
        </w:rPr>
        <w:t xml:space="preserve">This research aimed to test the following three hypotheses: first, that trends in coronaphobia declined between 2020 (when the pandemic began) and 2022; second, that the tendency toward coronaphobia differs depending on age, gender, and marital status; third, </w:t>
      </w:r>
      <w:r>
        <w:t>that people who felt a sense of poetic justice towards individuals infected with COVID-19 were more likely to have coronaphobia</w:t>
      </w:r>
      <w:r>
        <w:rPr>
          <w:lang w:eastAsia="ja-JP"/>
        </w:rPr>
        <w:t>. In testing these hypotheses, this study clarifies the relationship between poetic justice and coronaphobia. The results hold social implications for future pandemic preparation and response.</w:t>
      </w:r>
      <w:r>
        <w:t xml:space="preserve"> </w:t>
      </w:r>
    </w:p>
    <w:p w14:paraId="5B7435E7">
      <w:pPr>
        <w:ind w:firstLine="720"/>
        <w:contextualSpacing/>
      </w:pPr>
      <w:r>
        <w:t xml:space="preserve">Previous research on </w:t>
      </w:r>
      <w:r>
        <w:rPr>
          <w:rFonts w:hint="eastAsia"/>
          <w:lang w:eastAsia="ja-JP"/>
        </w:rPr>
        <w:t>c</w:t>
      </w:r>
      <w:r>
        <w:t>oronaphobia has employed exploratory qualitative methods, particularly narrative inquiry</w:t>
      </w:r>
      <w:r>
        <w:rPr>
          <w:lang w:eastAsia="ja-JP"/>
        </w:rPr>
        <w:t xml:space="preserve"> (Ahorsu, D. K., </w:t>
      </w:r>
      <w:r>
        <w:rPr>
          <w:rFonts w:hint="eastAsia"/>
          <w:lang w:eastAsia="ja-JP"/>
        </w:rPr>
        <w:t xml:space="preserve">et.al, </w:t>
      </w:r>
      <w:r>
        <w:rPr>
          <w:lang w:eastAsia="ja-JP"/>
        </w:rPr>
        <w:t>2020</w:t>
      </w:r>
      <w:r>
        <w:rPr>
          <w:rFonts w:hint="eastAsia"/>
          <w:lang w:eastAsia="ja-JP"/>
        </w:rPr>
        <w:t>)</w:t>
      </w:r>
      <w:r>
        <w:t xml:space="preserve">. </w:t>
      </w:r>
      <w:r>
        <w:rPr>
          <w:lang w:eastAsia="ja-JP"/>
        </w:rPr>
        <w:t xml:space="preserve">The present study used exploratory qualitative methods. </w:t>
      </w:r>
      <w:r>
        <w:t>A survey was conducted. Coronaphobia was measured using the following items. Answers were provided on a six-point scale.</w:t>
      </w:r>
    </w:p>
    <w:p w14:paraId="1444C44D">
      <w:pPr>
        <w:contextualSpacing/>
      </w:pPr>
      <w:r>
        <w:t>1) When I read or heard the news about the new coronavirus, I felt anxious, dizzy, or lightheaded.</w:t>
      </w:r>
    </w:p>
    <w:p w14:paraId="2D2B683C">
      <w:pPr>
        <w:contextualSpacing/>
      </w:pPr>
      <w:r>
        <w:t>2) Thinking about the new coronavirus sometimes made me sleepless.</w:t>
      </w:r>
    </w:p>
    <w:p w14:paraId="754A8A5A">
      <w:pPr>
        <w:contextualSpacing/>
      </w:pPr>
      <w:r>
        <w:t>3) I felt like I was freezing when I thought about or received information about the new coronavirus.</w:t>
      </w:r>
    </w:p>
    <w:p w14:paraId="47AAA69D">
      <w:pPr>
        <w:contextualSpacing/>
      </w:pPr>
      <w:r>
        <w:t>4) I lost my appetite when thinking about or hearing information about the new coronavirus.</w:t>
      </w:r>
    </w:p>
    <w:p w14:paraId="78C6C20D">
      <w:pPr>
        <w:contextualSpacing/>
      </w:pPr>
      <w:r>
        <w:t>5) When I think about or hear information about the new coronavirus, I feel nauseous or have stomach pain.</w:t>
      </w:r>
    </w:p>
    <w:p w14:paraId="7C0F77F0">
      <w:pPr>
        <w:contextualSpacing/>
      </w:pPr>
      <w:r>
        <w:t>6) I took my body temperature and checked to see if I was infected with the new coronavirus.</w:t>
      </w:r>
    </w:p>
    <w:p w14:paraId="78791EE8">
      <w:pPr>
        <w:contextualSpacing/>
      </w:pPr>
      <w:r>
        <w:t>7) I looked up information about the new coronavirus on the internet.</w:t>
      </w:r>
    </w:p>
    <w:p w14:paraId="59A399B3">
      <w:pPr>
        <w:contextualSpacing/>
      </w:pPr>
      <w:r>
        <w:t>8) I saw information about the new coronavirus on TV or in the newspaper.</w:t>
      </w:r>
    </w:p>
    <w:p w14:paraId="744C45C3">
      <w:pPr>
        <w:contextualSpacing/>
      </w:pPr>
      <w:r>
        <w:t>9) I have talked about the new coronavirus in conversations with others or on SNS (LINE, Twitter, Facebook, etc.).</w:t>
      </w:r>
    </w:p>
    <w:p w14:paraId="2D1D2C99">
      <w:pPr>
        <w:contextualSpacing/>
      </w:pPr>
      <w:r>
        <w:t>10) I have consulted a medical professional about my symptoms and confirmed whether I have been infected with the new coronavirus.</w:t>
      </w:r>
    </w:p>
    <w:p w14:paraId="44FD0AB9">
      <w:pPr>
        <w:contextualSpacing/>
      </w:pPr>
    </w:p>
    <w:p w14:paraId="6CCD0023">
      <w:pPr>
        <w:contextualSpacing/>
        <w:rPr>
          <w:b/>
          <w:sz w:val="28"/>
        </w:rPr>
      </w:pPr>
      <w:r>
        <w:rPr>
          <w:b/>
          <w:sz w:val="28"/>
        </w:rPr>
        <w:t>Results and discussion</w:t>
      </w:r>
    </w:p>
    <w:p w14:paraId="5344ACA4">
      <w:pPr>
        <w:ind w:firstLine="720"/>
        <w:contextualSpacing/>
      </w:pPr>
      <w:r>
        <w:t>We received responses from 4,873 subjects registered with the research company GMO to complete the survey online over two periods (January–March 2020 and January–March 2022). The number of people surveyed is shown in Tables 2 to 4.</w:t>
      </w:r>
    </w:p>
    <w:p w14:paraId="0C9FFF3A">
      <w:pPr>
        <w:contextualSpacing/>
        <w:rPr>
          <w:b/>
          <w:bCs/>
        </w:rPr>
      </w:pPr>
      <w:r>
        <w:rPr>
          <w:b/>
          <w:bCs/>
        </w:rPr>
        <w:t>Table 2</w:t>
      </w:r>
    </w:p>
    <w:p w14:paraId="710EF9E8">
      <w:pPr>
        <w:contextualSpacing/>
        <w:rPr>
          <w:i/>
          <w:iCs/>
        </w:rPr>
      </w:pPr>
      <w:r>
        <w:rPr>
          <w:i/>
          <w:iCs/>
        </w:rPr>
        <w:t>Age</w:t>
      </w:r>
    </w:p>
    <w:p w14:paraId="66962F11">
      <w:pPr>
        <w:contextualSpacing/>
        <w:jc w:val="center"/>
      </w:pPr>
      <w:r>
        <w:drawing>
          <wp:inline distT="0" distB="0" distL="0" distR="0">
            <wp:extent cx="2350770" cy="503555"/>
            <wp:effectExtent l="0" t="0" r="0" b="0"/>
            <wp:docPr id="130576689"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76689" name="図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350770" cy="503555"/>
                    </a:xfrm>
                    <a:prstGeom prst="rect">
                      <a:avLst/>
                    </a:prstGeom>
                    <a:noFill/>
                    <a:ln>
                      <a:noFill/>
                    </a:ln>
                  </pic:spPr>
                </pic:pic>
              </a:graphicData>
            </a:graphic>
          </wp:inline>
        </w:drawing>
      </w:r>
    </w:p>
    <w:p w14:paraId="3980BC6F">
      <w:pPr>
        <w:contextualSpacing/>
      </w:pPr>
      <w:r>
        <w:rPr>
          <w:b/>
          <w:bCs/>
        </w:rPr>
        <w:t>Table 3</w:t>
      </w:r>
    </w:p>
    <w:p w14:paraId="1AC9AED7">
      <w:pPr>
        <w:contextualSpacing/>
        <w:rPr>
          <w:i/>
          <w:iCs/>
        </w:rPr>
      </w:pPr>
      <w:r>
        <w:rPr>
          <w:i/>
          <w:iCs/>
        </w:rPr>
        <w:t>Single</w:t>
      </w:r>
      <w:r>
        <w:rPr>
          <w:i/>
          <w:iCs/>
          <w:lang w:eastAsia="ja-JP"/>
        </w:rPr>
        <w:t>/</w:t>
      </w:r>
      <w:r>
        <w:rPr>
          <w:i/>
          <w:iCs/>
        </w:rPr>
        <w:t>Married</w:t>
      </w:r>
    </w:p>
    <w:p w14:paraId="464530A4">
      <w:pPr>
        <w:contextualSpacing/>
        <w:jc w:val="center"/>
      </w:pPr>
      <w:r>
        <w:drawing>
          <wp:inline distT="0" distB="0" distL="0" distR="0">
            <wp:extent cx="2350770" cy="503555"/>
            <wp:effectExtent l="0" t="0" r="0" b="0"/>
            <wp:docPr id="120024684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246849"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350770" cy="503555"/>
                    </a:xfrm>
                    <a:prstGeom prst="rect">
                      <a:avLst/>
                    </a:prstGeom>
                    <a:noFill/>
                    <a:ln>
                      <a:noFill/>
                    </a:ln>
                  </pic:spPr>
                </pic:pic>
              </a:graphicData>
            </a:graphic>
          </wp:inline>
        </w:drawing>
      </w:r>
    </w:p>
    <w:p w14:paraId="6B6B45A7">
      <w:pPr>
        <w:contextualSpacing/>
        <w:rPr>
          <w:b/>
          <w:bCs/>
        </w:rPr>
      </w:pPr>
      <w:r>
        <w:rPr>
          <w:b/>
          <w:bCs/>
        </w:rPr>
        <w:t>Table 4</w:t>
      </w:r>
    </w:p>
    <w:p w14:paraId="6767E8CE">
      <w:pPr>
        <w:contextualSpacing/>
        <w:rPr>
          <w:i/>
          <w:iCs/>
        </w:rPr>
      </w:pPr>
      <w:r>
        <w:rPr>
          <w:i/>
          <w:iCs/>
        </w:rPr>
        <w:t>Male/Female</w:t>
      </w:r>
    </w:p>
    <w:p w14:paraId="185B0FE3">
      <w:pPr>
        <w:contextualSpacing/>
        <w:jc w:val="center"/>
      </w:pPr>
      <w:r>
        <w:drawing>
          <wp:inline distT="0" distB="0" distL="0" distR="0">
            <wp:extent cx="2353310" cy="506730"/>
            <wp:effectExtent l="0" t="0" r="8890" b="7620"/>
            <wp:docPr id="50800189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001897" name="図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353310" cy="506730"/>
                    </a:xfrm>
                    <a:prstGeom prst="rect">
                      <a:avLst/>
                    </a:prstGeom>
                    <a:noFill/>
                    <a:ln>
                      <a:noFill/>
                    </a:ln>
                  </pic:spPr>
                </pic:pic>
              </a:graphicData>
            </a:graphic>
          </wp:inline>
        </w:drawing>
      </w:r>
    </w:p>
    <w:p w14:paraId="787D4443">
      <w:pPr>
        <w:contextualSpacing/>
      </w:pPr>
    </w:p>
    <w:p w14:paraId="30960024">
      <w:pPr>
        <w:contextualSpacing/>
        <w:rPr>
          <w:b/>
          <w:bCs/>
        </w:rPr>
      </w:pPr>
      <w:r>
        <w:rPr>
          <w:b/>
          <w:bCs/>
        </w:rPr>
        <w:t xml:space="preserve">Coronaphobia </w:t>
      </w:r>
    </w:p>
    <w:p w14:paraId="05903EEC">
      <w:pPr>
        <w:contextualSpacing/>
      </w:pPr>
      <w:r>
        <w:tab/>
      </w:r>
      <w:r>
        <w:t xml:space="preserve">We calculated Cronbach’s reliability coefficient α to measure the internal consistency of the 10 items of the coronaphobia survey. The first and second periods had α coefficients of 0.889 and 0.893, respectively, both of which indicate that the </w:t>
      </w:r>
      <w:commentRangeStart w:id="0"/>
      <w:r>
        <w:t>10 scales</w:t>
      </w:r>
      <w:commentRangeEnd w:id="0"/>
      <w:r>
        <w:commentReference w:id="0"/>
      </w:r>
      <w:r>
        <w:t xml:space="preserve"> have internal consistency. The mean and standard deviation are shown in Table 5, and the correlation matrix between items is shown in Tables 6 and 7. Values with high correlation are shown in shades of red, and values with low correlation are shown in shades of blue. Although the α value was sufficiently high, looking at Table 5, items 6), 7), 8), and 9) were excluded from the total because their correlation values were low. Items 1), 2), 3), 4), 5), and 10) were added up, and the total value was used as the coronaphobia index.</w:t>
      </w:r>
    </w:p>
    <w:p w14:paraId="09CA8F0C">
      <w:pPr>
        <w:contextualSpacing/>
        <w:rPr>
          <w:b/>
          <w:bCs/>
        </w:rPr>
      </w:pPr>
      <w:r>
        <w:rPr>
          <w:b/>
          <w:bCs/>
        </w:rPr>
        <w:t xml:space="preserve">Table 5 </w:t>
      </w:r>
    </w:p>
    <w:p w14:paraId="3ADE7263">
      <w:pPr>
        <w:contextualSpacing/>
        <w:rPr>
          <w:i/>
          <w:iCs/>
        </w:rPr>
      </w:pPr>
      <w:r>
        <w:rPr>
          <w:i/>
          <w:iCs/>
        </w:rPr>
        <w:t>Mean and Standard Deviation of 10 Items of Coronaphobia</w:t>
      </w:r>
    </w:p>
    <w:p w14:paraId="02D70E32">
      <w:pPr>
        <w:contextualSpacing/>
        <w:jc w:val="center"/>
      </w:pPr>
      <w:r>
        <w:drawing>
          <wp:inline distT="0" distB="0" distL="0" distR="0">
            <wp:extent cx="2535555" cy="1962785"/>
            <wp:effectExtent l="0" t="0" r="0" b="0"/>
            <wp:docPr id="203586842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868423" name="図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35555" cy="1962785"/>
                    </a:xfrm>
                    <a:prstGeom prst="rect">
                      <a:avLst/>
                    </a:prstGeom>
                    <a:noFill/>
                    <a:ln>
                      <a:noFill/>
                    </a:ln>
                  </pic:spPr>
                </pic:pic>
              </a:graphicData>
            </a:graphic>
          </wp:inline>
        </w:drawing>
      </w:r>
    </w:p>
    <w:p w14:paraId="0F48398E">
      <w:pPr>
        <w:contextualSpacing/>
        <w:rPr>
          <w:b/>
          <w:bCs/>
        </w:rPr>
      </w:pPr>
      <w:r>
        <w:rPr>
          <w:b/>
          <w:bCs/>
        </w:rPr>
        <w:t>Table 6</w:t>
      </w:r>
    </w:p>
    <w:p w14:paraId="60D4C890">
      <w:pPr>
        <w:contextualSpacing/>
        <w:rPr>
          <w:i/>
          <w:iCs/>
        </w:rPr>
      </w:pPr>
      <w:r>
        <w:rPr>
          <w:i/>
          <w:iCs/>
        </w:rPr>
        <w:t>Correlation Matrix between Items of Coronaphobia (2020)</w:t>
      </w:r>
    </w:p>
    <w:p w14:paraId="5E1F3432">
      <w:pPr>
        <w:contextualSpacing/>
        <w:jc w:val="center"/>
      </w:pPr>
      <w:r>
        <w:drawing>
          <wp:inline distT="0" distB="0" distL="0" distR="0">
            <wp:extent cx="5943600" cy="1674495"/>
            <wp:effectExtent l="0" t="0" r="0" b="1905"/>
            <wp:docPr id="137937561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375614" name="図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943600" cy="1674495"/>
                    </a:xfrm>
                    <a:prstGeom prst="rect">
                      <a:avLst/>
                    </a:prstGeom>
                    <a:noFill/>
                    <a:ln>
                      <a:noFill/>
                    </a:ln>
                  </pic:spPr>
                </pic:pic>
              </a:graphicData>
            </a:graphic>
          </wp:inline>
        </w:drawing>
      </w:r>
    </w:p>
    <w:p w14:paraId="6E2253FA">
      <w:pPr>
        <w:contextualSpacing/>
        <w:rPr>
          <w:b/>
          <w:bCs/>
        </w:rPr>
      </w:pPr>
      <w:r>
        <w:rPr>
          <w:b/>
          <w:bCs/>
        </w:rPr>
        <w:t xml:space="preserve">Table 7 </w:t>
      </w:r>
    </w:p>
    <w:p w14:paraId="35FC9AA7">
      <w:pPr>
        <w:contextualSpacing/>
        <w:rPr>
          <w:i/>
          <w:iCs/>
        </w:rPr>
      </w:pPr>
      <w:r>
        <w:rPr>
          <w:i/>
          <w:iCs/>
        </w:rPr>
        <w:t>Correlation Matrix between Items of Coronaphobia (2022)</w:t>
      </w:r>
    </w:p>
    <w:p w14:paraId="36C5C3D2">
      <w:pPr>
        <w:contextualSpacing/>
        <w:jc w:val="center"/>
      </w:pPr>
      <w:r>
        <w:drawing>
          <wp:inline distT="0" distB="0" distL="0" distR="0">
            <wp:extent cx="5943600" cy="1677035"/>
            <wp:effectExtent l="0" t="0" r="0" b="0"/>
            <wp:docPr id="107049018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490184" name="図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943600" cy="1677035"/>
                    </a:xfrm>
                    <a:prstGeom prst="rect">
                      <a:avLst/>
                    </a:prstGeom>
                    <a:noFill/>
                    <a:ln>
                      <a:noFill/>
                    </a:ln>
                  </pic:spPr>
                </pic:pic>
              </a:graphicData>
            </a:graphic>
          </wp:inline>
        </w:drawing>
      </w:r>
    </w:p>
    <w:p w14:paraId="5BF6303F">
      <w:pPr>
        <w:ind w:firstLine="720"/>
        <w:contextualSpacing/>
      </w:pPr>
      <w:r>
        <w:t>Regarding the coronaphobia index, we conducted a two-tailed t-test to examine the difference between the averages of the first and second periods. The results show that the trend of coronaphobia was lower in the second period than in the first period (</w:t>
      </w:r>
      <w:r>
        <w:rPr>
          <w:i/>
          <w:iCs/>
          <w:lang w:val="en-GB"/>
        </w:rPr>
        <w:t>t</w:t>
      </w:r>
      <w:r>
        <w:rPr>
          <w:lang w:val="en-GB"/>
        </w:rPr>
        <w:t xml:space="preserve"> (</w:t>
      </w:r>
      <w:r>
        <w:rPr>
          <w:rFonts w:hint="eastAsia"/>
          <w:lang w:val="en-GB"/>
        </w:rPr>
        <w:t>4872</w:t>
      </w:r>
      <w:r>
        <w:rPr>
          <w:lang w:val="en-GB"/>
        </w:rPr>
        <w:t>)=8.832</w:t>
      </w:r>
      <w:r>
        <w:t xml:space="preserve">, </w:t>
      </w:r>
      <w:r>
        <w:rPr>
          <w:i/>
          <w:iCs/>
        </w:rPr>
        <w:t>p</w:t>
      </w:r>
      <w:r>
        <w:t xml:space="preserve">&lt;.001) (Figure 1). Pearson’s correlation coefficient was </w:t>
      </w:r>
      <w:r>
        <w:rPr>
          <w:i/>
          <w:iCs/>
        </w:rPr>
        <w:t>r</w:t>
      </w:r>
      <w:r>
        <w:t>=.83, indicating a high correlation.</w:t>
      </w:r>
    </w:p>
    <w:p w14:paraId="0EA5BC61">
      <w:pPr>
        <w:contextualSpacing/>
      </w:pPr>
      <w:r>
        <w:rPr>
          <w:b/>
          <w:bCs/>
        </w:rPr>
        <w:t>Figure 1</w:t>
      </w:r>
    </w:p>
    <w:p w14:paraId="07388067">
      <w:pPr>
        <w:contextualSpacing/>
        <w:rPr>
          <w:i/>
          <w:iCs/>
        </w:rPr>
      </w:pPr>
      <w:r>
        <w:rPr>
          <w:i/>
          <w:iCs/>
          <w:lang w:eastAsia="ja-JP"/>
        </w:rPr>
        <w:t>Mean and standard deviation of 6 items of coronaphobia</w:t>
      </w:r>
    </w:p>
    <w:p w14:paraId="1DA29483">
      <w:pPr>
        <w:contextualSpacing/>
        <w:jc w:val="center"/>
      </w:pPr>
      <w:r>
        <w:drawing>
          <wp:inline distT="0" distB="0" distL="0" distR="0">
            <wp:extent cx="4584700" cy="2755900"/>
            <wp:effectExtent l="0" t="0" r="6350" b="6350"/>
            <wp:docPr id="89260867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608674" name="図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584700" cy="2755900"/>
                    </a:xfrm>
                    <a:prstGeom prst="rect">
                      <a:avLst/>
                    </a:prstGeom>
                    <a:noFill/>
                    <a:ln>
                      <a:noFill/>
                    </a:ln>
                  </pic:spPr>
                </pic:pic>
              </a:graphicData>
            </a:graphic>
          </wp:inline>
        </w:drawing>
      </w:r>
    </w:p>
    <w:p w14:paraId="012815B3">
      <w:pPr>
        <w:ind w:firstLine="720"/>
        <w:contextualSpacing/>
      </w:pPr>
      <w:r>
        <w:t>In 2020, there was a strong tendency for people to have coronaphobia, but after two years, this tendency decreased.</w:t>
      </w:r>
    </w:p>
    <w:p w14:paraId="79D518AA">
      <w:pPr>
        <w:contextualSpacing/>
      </w:pPr>
      <w:r>
        <w:tab/>
      </w:r>
      <w:r>
        <w:t xml:space="preserve">Next, the subjects were divided into two age groups: 39 years or younger and 40 years or older. A one-factor analysis of variance with respect to age was performed on the results of the coronaphobia index in the first and second periods. As a result, a significant difference was obtained between the conditions </w:t>
      </w:r>
      <w:r>
        <w:rPr>
          <w:rFonts w:hint="eastAsia"/>
          <w:lang w:val="en-GB" w:eastAsia="ja-JP"/>
        </w:rPr>
        <w:t>(</w:t>
      </w:r>
      <w:r>
        <w:rPr>
          <w:lang w:val="en-GB"/>
        </w:rPr>
        <w:t>2020Year</w:t>
      </w:r>
      <w:r>
        <w:rPr>
          <w:rFonts w:hint="eastAsia"/>
          <w:lang w:val="en-GB" w:eastAsia="ja-JP"/>
        </w:rPr>
        <w:t>:</w:t>
      </w:r>
      <w:r>
        <w:rPr>
          <w:lang w:val="en-GB" w:eastAsia="ja-JP"/>
        </w:rPr>
        <w:t xml:space="preserve"> </w:t>
      </w:r>
      <w:r>
        <w:rPr>
          <w:i/>
          <w:iCs/>
          <w:lang w:val="en-GB"/>
        </w:rPr>
        <w:t>F</w:t>
      </w:r>
      <w:r>
        <w:rPr>
          <w:lang w:val="en-GB"/>
        </w:rPr>
        <w:t xml:space="preserve"> (1,4869)=44.528, </w:t>
      </w:r>
      <w:r>
        <w:rPr>
          <w:i/>
          <w:iCs/>
          <w:lang w:val="en-GB"/>
        </w:rPr>
        <w:t>p</w:t>
      </w:r>
      <w:r>
        <w:rPr>
          <w:lang w:val="en-GB"/>
        </w:rPr>
        <w:t xml:space="preserve">&lt;.001, </w:t>
      </w:r>
      <w:r>
        <w:rPr>
          <w:lang w:val="en-GB" w:eastAsia="ja-JP"/>
        </w:rPr>
        <w:t>partial</w:t>
      </w:r>
      <w:r>
        <w:rPr>
          <w:i/>
          <w:iCs/>
          <w:lang w:val="en-GB"/>
        </w:rPr>
        <w:t xml:space="preserve"> η</w:t>
      </w:r>
      <w:r>
        <w:rPr>
          <w:i/>
          <w:iCs/>
          <w:vertAlign w:val="superscript"/>
          <w:lang w:val="en-GB"/>
        </w:rPr>
        <w:t>2</w:t>
      </w:r>
      <w:r>
        <w:rPr>
          <w:lang w:val="en-GB"/>
        </w:rPr>
        <w:t>=.009</w:t>
      </w:r>
      <w:r>
        <w:rPr>
          <w:rFonts w:hint="eastAsia"/>
          <w:lang w:val="en-GB" w:eastAsia="ja-JP"/>
        </w:rPr>
        <w:t>)</w:t>
      </w:r>
      <w:r>
        <w:rPr>
          <w:lang w:val="en-GB" w:eastAsia="ja-JP"/>
        </w:rPr>
        <w:t xml:space="preserve"> (</w:t>
      </w:r>
      <w:r>
        <w:t xml:space="preserve">2022Year: </w:t>
      </w:r>
      <w:r>
        <w:rPr>
          <w:i/>
          <w:iCs/>
          <w:lang w:val="en-GB"/>
        </w:rPr>
        <w:t>F</w:t>
      </w:r>
      <w:r>
        <w:rPr>
          <w:lang w:val="en-GB"/>
        </w:rPr>
        <w:t xml:space="preserve"> (1,4869)=59.355, </w:t>
      </w:r>
      <w:r>
        <w:rPr>
          <w:i/>
          <w:iCs/>
          <w:lang w:val="en-GB"/>
        </w:rPr>
        <w:t>p</w:t>
      </w:r>
      <w:r>
        <w:rPr>
          <w:lang w:val="en-GB"/>
        </w:rPr>
        <w:t>&lt;.001, partial</w:t>
      </w:r>
      <w:r>
        <w:rPr>
          <w:i/>
          <w:iCs/>
          <w:lang w:val="en-GB"/>
        </w:rPr>
        <w:t xml:space="preserve"> η</w:t>
      </w:r>
      <w:r>
        <w:rPr>
          <w:i/>
          <w:iCs/>
          <w:vertAlign w:val="superscript"/>
          <w:lang w:val="en-GB"/>
        </w:rPr>
        <w:t>2</w:t>
      </w:r>
      <w:r>
        <w:rPr>
          <w:lang w:val="en-GB"/>
        </w:rPr>
        <w:t>=.012)</w:t>
      </w:r>
      <w:r>
        <w:rPr>
          <w:lang w:val="en-GB" w:eastAsia="ja-JP"/>
        </w:rPr>
        <w:t>.</w:t>
      </w:r>
      <w:r>
        <w:t xml:space="preserve"> The results show that the tendency for coronaphobia was lower in the older age group than in the younger age group (Table 8).</w:t>
      </w:r>
    </w:p>
    <w:p w14:paraId="03E6CEBC">
      <w:pPr>
        <w:contextualSpacing/>
      </w:pPr>
    </w:p>
    <w:p w14:paraId="7F202B24">
      <w:pPr>
        <w:contextualSpacing/>
        <w:rPr>
          <w:lang w:val="en-GB" w:eastAsia="ja-JP"/>
        </w:rPr>
      </w:pPr>
      <w:r>
        <w:rPr>
          <w:b/>
          <w:bCs/>
          <w:lang w:val="en-GB" w:eastAsia="ja-JP"/>
        </w:rPr>
        <w:t>Table 8</w:t>
      </w:r>
      <w:r>
        <w:rPr>
          <w:lang w:val="en-GB" w:eastAsia="ja-JP"/>
        </w:rPr>
        <w:t xml:space="preserve"> </w:t>
      </w:r>
    </w:p>
    <w:p w14:paraId="1023F35A">
      <w:pPr>
        <w:contextualSpacing/>
        <w:rPr>
          <w:i/>
          <w:iCs/>
          <w:lang w:val="en-GB" w:eastAsia="ja-JP"/>
        </w:rPr>
      </w:pPr>
      <w:r>
        <w:rPr>
          <w:i/>
          <w:iCs/>
          <w:lang w:val="en-GB" w:eastAsia="ja-JP"/>
        </w:rPr>
        <w:t>Mean and Standard Deviation by Age Group</w:t>
      </w:r>
    </w:p>
    <w:p w14:paraId="4E3B6D21">
      <w:pPr>
        <w:contextualSpacing/>
        <w:jc w:val="center"/>
        <w:rPr>
          <w:lang w:val="en-GB"/>
        </w:rPr>
      </w:pPr>
      <w:r>
        <w:drawing>
          <wp:inline distT="0" distB="0" distL="0" distR="0">
            <wp:extent cx="4193540" cy="826770"/>
            <wp:effectExtent l="0" t="0" r="0" b="0"/>
            <wp:docPr id="2139979005"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979005" name="図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193540" cy="826770"/>
                    </a:xfrm>
                    <a:prstGeom prst="rect">
                      <a:avLst/>
                    </a:prstGeom>
                    <a:noFill/>
                    <a:ln>
                      <a:noFill/>
                    </a:ln>
                  </pic:spPr>
                </pic:pic>
              </a:graphicData>
            </a:graphic>
          </wp:inline>
        </w:drawing>
      </w:r>
    </w:p>
    <w:p w14:paraId="58D675FC">
      <w:pPr>
        <w:ind w:firstLine="720"/>
        <w:contextualSpacing/>
      </w:pPr>
      <w:r>
        <w:t>One-factor analysis of variance was also conducted for gender and single/married conditions, but no significant differences were found between the conditions (</w:t>
      </w:r>
      <w:r>
        <w:rPr>
          <w:i/>
          <w:iCs/>
        </w:rPr>
        <w:t>N.S.</w:t>
      </w:r>
      <w:r>
        <w:t>).</w:t>
      </w:r>
    </w:p>
    <w:p w14:paraId="36792D13">
      <w:pPr>
        <w:contextualSpacing/>
      </w:pPr>
    </w:p>
    <w:p w14:paraId="61C2F449">
      <w:pPr>
        <w:contextualSpacing/>
        <w:rPr>
          <w:b/>
          <w:bCs/>
        </w:rPr>
      </w:pPr>
      <w:r>
        <w:rPr>
          <w:rFonts w:hint="eastAsia"/>
          <w:b/>
          <w:bCs/>
          <w:lang w:eastAsia="ja-JP"/>
        </w:rPr>
        <w:t>P</w:t>
      </w:r>
      <w:r>
        <w:rPr>
          <w:b/>
          <w:bCs/>
        </w:rPr>
        <w:t>oetic justice</w:t>
      </w:r>
      <w:r>
        <w:rPr>
          <w:rFonts w:hint="eastAsia"/>
          <w:b/>
          <w:bCs/>
          <w:lang w:eastAsia="ja-JP"/>
        </w:rPr>
        <w:t>　</w:t>
      </w:r>
    </w:p>
    <w:p w14:paraId="0F22922D">
      <w:pPr>
        <w:ind w:firstLine="720"/>
        <w:contextualSpacing/>
      </w:pPr>
      <w:r>
        <w:t>Next, we focused on the relationship between poetic justice and coronaphobia under the assumption that some people may have felt that infected people “got what they deserved.”</w:t>
      </w:r>
    </w:p>
    <w:p w14:paraId="3C4E9347">
      <w:pPr>
        <w:ind w:firstLine="720"/>
        <w:contextualSpacing/>
      </w:pPr>
      <w:r>
        <w:t xml:space="preserve">Participants were asked to respond to the following question on a </w:t>
      </w:r>
      <w:commentRangeStart w:id="1"/>
      <w:r>
        <w:t>six-point scale</w:t>
      </w:r>
      <w:commentRangeEnd w:id="1"/>
      <w:r>
        <w:commentReference w:id="1"/>
      </w:r>
      <w:r>
        <w:t xml:space="preserve">: “I think people who get infected with the new coronavirus are attributable to themselves.” A one-way analysis of variance on the poetic justice condition on the results of the coronaphobia index in 2020 and </w:t>
      </w:r>
      <w:commentRangeStart w:id="2"/>
      <w:r>
        <w:t>2021</w:t>
      </w:r>
      <w:commentRangeEnd w:id="2"/>
      <w:r>
        <w:commentReference w:id="2"/>
      </w:r>
      <w:r>
        <w:t xml:space="preserve"> showed a significant difference between the conditions </w:t>
      </w:r>
      <w:r>
        <w:rPr>
          <w:rFonts w:hint="eastAsia"/>
          <w:lang w:val="en-GB"/>
        </w:rPr>
        <w:t>(</w:t>
      </w:r>
      <w:r>
        <w:rPr>
          <w:lang w:val="en-GB"/>
        </w:rPr>
        <w:t>2020Year</w:t>
      </w:r>
      <w:r>
        <w:rPr>
          <w:rFonts w:hint="eastAsia"/>
          <w:lang w:val="en-GB"/>
        </w:rPr>
        <w:t>:</w:t>
      </w:r>
      <w:r>
        <w:rPr>
          <w:lang w:val="en-GB"/>
        </w:rPr>
        <w:t xml:space="preserve"> </w:t>
      </w:r>
      <w:r>
        <w:rPr>
          <w:i/>
          <w:iCs/>
          <w:lang w:val="en-GB"/>
        </w:rPr>
        <w:t>F</w:t>
      </w:r>
      <w:r>
        <w:rPr>
          <w:lang w:val="en-GB"/>
        </w:rPr>
        <w:t xml:space="preserve"> (5,</w:t>
      </w:r>
      <w:r>
        <w:t xml:space="preserve"> </w:t>
      </w:r>
      <w:r>
        <w:rPr>
          <w:lang w:val="en-GB"/>
        </w:rPr>
        <w:t xml:space="preserve">4867) =16.432, </w:t>
      </w:r>
      <w:r>
        <w:rPr>
          <w:i/>
          <w:iCs/>
          <w:lang w:val="en-GB"/>
        </w:rPr>
        <w:t>p</w:t>
      </w:r>
      <w:r>
        <w:rPr>
          <w:lang w:val="en-GB"/>
        </w:rPr>
        <w:t>&lt;.001, partial</w:t>
      </w:r>
      <w:r>
        <w:rPr>
          <w:i/>
          <w:iCs/>
          <w:lang w:val="en-GB"/>
        </w:rPr>
        <w:t xml:space="preserve"> η</w:t>
      </w:r>
      <w:r>
        <w:rPr>
          <w:i/>
          <w:iCs/>
          <w:vertAlign w:val="superscript"/>
          <w:lang w:val="en-GB"/>
        </w:rPr>
        <w:t>2</w:t>
      </w:r>
      <w:r>
        <w:rPr>
          <w:lang w:val="en-GB"/>
        </w:rPr>
        <w:t>=.010</w:t>
      </w:r>
      <w:r>
        <w:rPr>
          <w:rFonts w:hint="eastAsia"/>
          <w:lang w:val="en-GB"/>
        </w:rPr>
        <w:t>)</w:t>
      </w:r>
      <w:r>
        <w:rPr>
          <w:lang w:val="en-GB"/>
        </w:rPr>
        <w:t xml:space="preserve"> (</w:t>
      </w:r>
      <w:r>
        <w:t xml:space="preserve">2022Year: </w:t>
      </w:r>
      <w:r>
        <w:rPr>
          <w:i/>
          <w:iCs/>
          <w:lang w:val="en-GB"/>
        </w:rPr>
        <w:t>F</w:t>
      </w:r>
      <w:r>
        <w:rPr>
          <w:lang w:val="en-GB"/>
        </w:rPr>
        <w:t xml:space="preserve"> (5, 4867) =16.687, </w:t>
      </w:r>
      <w:r>
        <w:rPr>
          <w:i/>
          <w:iCs/>
          <w:lang w:val="en-GB"/>
        </w:rPr>
        <w:t>p</w:t>
      </w:r>
      <w:r>
        <w:rPr>
          <w:lang w:val="en-GB"/>
        </w:rPr>
        <w:t>&lt;.001, partial</w:t>
      </w:r>
      <w:r>
        <w:rPr>
          <w:i/>
          <w:iCs/>
          <w:lang w:val="en-GB"/>
        </w:rPr>
        <w:t xml:space="preserve"> η</w:t>
      </w:r>
      <w:r>
        <w:rPr>
          <w:i/>
          <w:iCs/>
          <w:vertAlign w:val="superscript"/>
          <w:lang w:val="en-GB"/>
        </w:rPr>
        <w:t>2</w:t>
      </w:r>
      <w:r>
        <w:rPr>
          <w:lang w:val="en-GB"/>
        </w:rPr>
        <w:t>=.010).</w:t>
      </w:r>
      <w:r>
        <w:t xml:space="preserve"> In </w:t>
      </w:r>
      <w:bookmarkStart w:id="9" w:name="_GoBack"/>
      <w:bookmarkEnd w:id="9"/>
      <w:r>
        <w:t>other words, in both periods, the stronger the response to the poetic justice item, the higher the tendency for coronaphobia. (Figures 2 and 3).</w:t>
      </w:r>
    </w:p>
    <w:p w14:paraId="76630451">
      <w:pPr>
        <w:contextualSpacing/>
        <w:rPr>
          <w:lang w:eastAsia="ja-JP"/>
        </w:rPr>
      </w:pPr>
      <w:r>
        <w:rPr>
          <w:b/>
          <w:bCs/>
        </w:rPr>
        <w:t>Figure 2</w:t>
      </w:r>
      <w:r>
        <w:rPr>
          <w:rFonts w:hint="eastAsia"/>
        </w:rPr>
        <w:t xml:space="preserve"> </w:t>
      </w:r>
    </w:p>
    <w:p w14:paraId="4FA98E30">
      <w:pPr>
        <w:contextualSpacing/>
        <w:rPr>
          <w:i/>
          <w:iCs/>
          <w:lang w:eastAsia="ja-JP"/>
        </w:rPr>
      </w:pPr>
      <w:r>
        <w:rPr>
          <w:i/>
          <w:iCs/>
          <w:lang w:eastAsia="ja-JP"/>
        </w:rPr>
        <w:t>The relationship between poetic justice and coronaphobia (2020)</w:t>
      </w:r>
    </w:p>
    <w:p w14:paraId="36C09D88">
      <w:pPr>
        <w:contextualSpacing/>
        <w:jc w:val="center"/>
      </w:pPr>
      <w:r>
        <w:drawing>
          <wp:inline distT="0" distB="0" distL="0" distR="0">
            <wp:extent cx="4834255" cy="2755900"/>
            <wp:effectExtent l="0" t="0" r="4445" b="6350"/>
            <wp:docPr id="806306573"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306573" name="図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834255" cy="2755900"/>
                    </a:xfrm>
                    <a:prstGeom prst="rect">
                      <a:avLst/>
                    </a:prstGeom>
                    <a:noFill/>
                    <a:ln>
                      <a:noFill/>
                    </a:ln>
                  </pic:spPr>
                </pic:pic>
              </a:graphicData>
            </a:graphic>
          </wp:inline>
        </w:drawing>
      </w:r>
    </w:p>
    <w:p w14:paraId="166838EF">
      <w:pPr>
        <w:contextualSpacing/>
      </w:pPr>
      <w:r>
        <w:rPr>
          <w:b/>
          <w:bCs/>
        </w:rPr>
        <w:t>Figure</w:t>
      </w:r>
      <w:r>
        <w:t xml:space="preserve"> </w:t>
      </w:r>
      <w:r>
        <w:rPr>
          <w:b/>
          <w:bCs/>
        </w:rPr>
        <w:t>3</w:t>
      </w:r>
      <w:r>
        <w:rPr>
          <w:rFonts w:hint="eastAsia"/>
        </w:rPr>
        <w:t xml:space="preserve"> </w:t>
      </w:r>
    </w:p>
    <w:p w14:paraId="375CEA16">
      <w:pPr>
        <w:contextualSpacing/>
        <w:rPr>
          <w:i/>
          <w:iCs/>
        </w:rPr>
      </w:pPr>
      <w:r>
        <w:rPr>
          <w:i/>
          <w:iCs/>
        </w:rPr>
        <w:t>The relationship between poetic justice and coronaphobia (2022)</w:t>
      </w:r>
    </w:p>
    <w:p w14:paraId="028D2FDA">
      <w:pPr>
        <w:contextualSpacing/>
        <w:jc w:val="center"/>
      </w:pPr>
      <w:r>
        <w:drawing>
          <wp:inline distT="0" distB="0" distL="0" distR="0">
            <wp:extent cx="4823460" cy="2747645"/>
            <wp:effectExtent l="0" t="0" r="15240" b="14605"/>
            <wp:docPr id="1004476959"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57D5D41">
      <w:pPr>
        <w:contextualSpacing/>
      </w:pPr>
    </w:p>
    <w:p w14:paraId="056A566B">
      <w:pPr>
        <w:contextualSpacing/>
        <w:jc w:val="center"/>
        <w:rPr>
          <w:b/>
          <w:bCs/>
        </w:rPr>
      </w:pPr>
      <w:r>
        <w:rPr>
          <w:b/>
          <w:bCs/>
        </w:rPr>
        <w:t>Discussion and Conclusion</w:t>
      </w:r>
    </w:p>
    <w:p w14:paraId="5B820788">
      <w:pPr>
        <w:ind w:firstLine="720"/>
        <w:contextualSpacing/>
      </w:pPr>
      <w:r>
        <w:t>This study analyzed changes in people’s coronaphobia throughout the first two years of the COVID-19 pandemic and the subsequent two years. In 2020, people worldwide exhibited high levels of fear about the novel coronavirus. This fear likely stemmed from the highly contagious nature of the virus, the lack of treatments or vaccinations, and its devastating impact on daily life. This fear can be referred to as “coronaphobia.”</w:t>
      </w:r>
      <w:r>
        <w:tab/>
      </w:r>
    </w:p>
    <w:p w14:paraId="2667E33F">
      <w:pPr>
        <w:ind w:firstLine="720"/>
        <w:contextualSpacing/>
      </w:pPr>
      <w:r>
        <w:t>However, after two years, coronaphobia significantly decreased. The main factors behind this change are thought to be the development and dissemination of vaccines, improved understanding of public health, and the spread of information about the virus. In addition, the implementation of effective measures by governments and health institutions may have also contributed to increasing people’s sense of security.</w:t>
      </w:r>
    </w:p>
    <w:p w14:paraId="7A859E82">
      <w:pPr>
        <w:ind w:firstLine="720"/>
        <w:contextualSpacing/>
      </w:pPr>
      <w:r>
        <w:t>This study’s findings indicate the process of human psychological adaptation to the pandemic. That is, early fears were based on uncertainty and a lack of information. However, over the first two years of the pandemic, society learned how to adapt and respond to this new threat. This finding reveals important implications for developing responses to future health crises. In particular, the provision of prompt and accurate information, investment in public health, and dissemination of preventive measures are likely to reduce public fear and enable a more effective pandemic response.</w:t>
      </w:r>
    </w:p>
    <w:p w14:paraId="731ECB06">
      <w:pPr>
        <w:contextualSpacing/>
      </w:pPr>
      <w:r>
        <w:rPr>
          <w:b/>
          <w:bCs/>
        </w:rPr>
        <w:tab/>
      </w:r>
      <w:r>
        <w:t>Furthermore, the results of the study showed that older people were less likely to have coronaphobia than younger people. The reason for this disparity may be that older people have a greater ability to accept threats and uncertainties. Additionally, older people have more experience overcoming many difficulties and crises, which could increase their psychological resistance to new threats. Furthermore, older people may have experienced less anxiety about the virus due to their relatively higher social and economic stability.</w:t>
      </w:r>
    </w:p>
    <w:p w14:paraId="7F5F914C">
      <w:pPr>
        <w:ind w:firstLine="720"/>
        <w:contextualSpacing/>
      </w:pPr>
      <w:r>
        <w:t>In contrast, among younger people, uncertainty about the impact of the virus on their future careers, education, etc., may have contributed to increased coronaphobia. In particular, young people who lack an established social or economic status are likely to be more anxious about the future impact of the pandemic. These findings suggest the need for an age-specific approach to coronaphobia and measures to reduce anxiety and provide appropriate information and support, especially for young people.</w:t>
      </w:r>
    </w:p>
    <w:p w14:paraId="10561503">
      <w:pPr>
        <w:contextualSpacing/>
      </w:pPr>
      <w:r>
        <w:tab/>
      </w:r>
      <w:r>
        <w:t xml:space="preserve">This study’s results also show that </w:t>
      </w:r>
      <w:bookmarkStart w:id="7" w:name="_Hlk157195837"/>
      <w:r>
        <w:t>people who felt a sense of poetic justice towards individuals infected with COVID-19 were more likely to have coronaphobia</w:t>
      </w:r>
      <w:bookmarkEnd w:id="7"/>
      <w:r>
        <w:t>. This finding suggests that these people are more sensitive to the risks and consequences of COVID-19 because they are more conscious of the consequences of their actions and tend to take the personal and social consequences of the spread of infectious diseases more seriously.</w:t>
      </w:r>
    </w:p>
    <w:p w14:paraId="5872A07F">
      <w:pPr>
        <w:ind w:firstLine="720"/>
        <w:contextualSpacing/>
      </w:pPr>
      <w:r>
        <w:t xml:space="preserve">Alternatively, they may have a deep understanding of the effects their actions, especially those relevant to health and safety, have on others, which may increase their fear. </w:t>
      </w:r>
    </w:p>
    <w:p w14:paraId="22415186">
      <w:pPr>
        <w:ind w:firstLine="720"/>
        <w:contextualSpacing/>
      </w:pPr>
    </w:p>
    <w:p w14:paraId="60A172A0">
      <w:pPr>
        <w:contextualSpacing/>
        <w:rPr>
          <w:b/>
        </w:rPr>
      </w:pPr>
      <w:r>
        <w:rPr>
          <w:b/>
        </w:rPr>
        <w:t>Conclusion</w:t>
      </w:r>
    </w:p>
    <w:p w14:paraId="5170C611">
      <w:pPr>
        <w:ind w:firstLine="720"/>
        <w:contextualSpacing/>
        <w:rPr>
          <w:b/>
          <w:bCs/>
        </w:rPr>
      </w:pPr>
      <w:r>
        <w:t>The results show that an individual’s values and beliefs significantly influence their psychological response to the pandemic. Finally, the results demonstrate the significant impact of concepts such as cause and effect on people’s behavior and emotions and indicate their importance in understanding individual responses in crises such as pandemics.</w:t>
      </w:r>
    </w:p>
    <w:p w14:paraId="6F9ADE73">
      <w:pPr>
        <w:contextualSpacing/>
        <w:rPr>
          <w:b/>
          <w:bCs/>
        </w:rPr>
      </w:pPr>
    </w:p>
    <w:p w14:paraId="313D6C2F">
      <w:pPr>
        <w:contextualSpacing/>
      </w:pPr>
    </w:p>
    <w:p w14:paraId="6F45D27B">
      <w:pPr>
        <w:contextualSpacing/>
        <w:jc w:val="center"/>
        <w:rPr>
          <w:b/>
          <w:bCs/>
        </w:rPr>
      </w:pPr>
      <w:r>
        <w:rPr>
          <w:b/>
          <w:bCs/>
        </w:rPr>
        <w:t>Note</w:t>
      </w:r>
    </w:p>
    <w:p w14:paraId="0A538CF7">
      <w:pPr>
        <w:ind w:left="240" w:hanging="240" w:hangingChars="100"/>
        <w:contextualSpacing/>
        <w:rPr>
          <w:lang w:eastAsia="ja-JP"/>
        </w:rPr>
      </w:pPr>
      <w:r>
        <w:rPr>
          <w:lang w:eastAsia="ja-JP"/>
        </w:rPr>
        <w:t>1) "Don't come part-time job" to students "Tell me your address" to Kyoto Sangyo University where clusters occur one after another (Mainichi Shimbun: April 10, 2020)</w:t>
      </w:r>
    </w:p>
    <w:p w14:paraId="42538439">
      <w:pPr>
        <w:ind w:firstLine="240" w:firstLineChars="100"/>
        <w:contextualSpacing/>
        <w:rPr>
          <w:lang w:eastAsia="ja-JP"/>
        </w:rPr>
      </w:pPr>
      <w:r>
        <w:rPr>
          <w:lang w:eastAsia="ja-JP"/>
        </w:rPr>
        <w:t>https://mainichi.jp/articles/20200410/k00/00m/040/075000c</w:t>
      </w:r>
    </w:p>
    <w:p w14:paraId="19045ACA">
      <w:pPr>
        <w:ind w:left="240" w:hanging="240" w:hangingChars="100"/>
        <w:contextualSpacing/>
        <w:rPr>
          <w:lang w:eastAsia="ja-JP"/>
        </w:rPr>
      </w:pPr>
      <w:r>
        <w:rPr>
          <w:lang w:eastAsia="ja-JP"/>
        </w:rPr>
        <w:t>2) Cluster outbreak in Nippon Sport Science University wrestling department A total of 20 people were infected (Asahi Shimbun: August 15, 2020)</w:t>
      </w:r>
    </w:p>
    <w:p w14:paraId="571BA4A3">
      <w:pPr>
        <w:ind w:firstLine="240" w:firstLineChars="100"/>
        <w:contextualSpacing/>
        <w:rPr>
          <w:lang w:eastAsia="ja-JP"/>
        </w:rPr>
      </w:pPr>
      <w:r>
        <w:rPr>
          <w:lang w:eastAsia="ja-JP"/>
        </w:rPr>
        <w:t>https://www.asahi.com/articles/ASN8H66JBN8HULOB022.html</w:t>
      </w:r>
    </w:p>
    <w:p w14:paraId="5A87F654">
      <w:pPr>
        <w:ind w:left="240" w:hanging="240" w:hangingChars="100"/>
        <w:contextualSpacing/>
        <w:rPr>
          <w:lang w:eastAsia="ja-JP"/>
        </w:rPr>
      </w:pPr>
      <w:r>
        <w:rPr>
          <w:lang w:eastAsia="ja-JP"/>
        </w:rPr>
        <w:t>3) Over 1,000 infected people for 4 consecutive days Clustered at the university rugby club (Asahi Shimbun: August 16, 2020)</w:t>
      </w:r>
    </w:p>
    <w:p w14:paraId="0D9D22A0">
      <w:pPr>
        <w:ind w:firstLine="240" w:firstLineChars="100"/>
        <w:contextualSpacing/>
        <w:rPr>
          <w:b/>
          <w:bCs/>
        </w:rPr>
      </w:pPr>
      <w:r>
        <w:rPr>
          <w:lang w:eastAsia="ja-JP"/>
        </w:rPr>
        <w:t>https://www.asahi.com/articles/ASN8J7GP6N8JUTIL005.html</w:t>
      </w:r>
      <w:r>
        <w:br w:type="page"/>
      </w:r>
      <w:bookmarkStart w:id="8" w:name="_Hlk185357812"/>
      <w:r>
        <w:rPr>
          <w:b/>
          <w:bCs/>
        </w:rPr>
        <w:t>References</w:t>
      </w:r>
    </w:p>
    <w:p w14:paraId="2B2FCC89">
      <w:pPr>
        <w:pStyle w:val="17"/>
        <w:numPr>
          <w:ilvl w:val="0"/>
          <w:numId w:val="1"/>
        </w:numPr>
        <w:spacing w:line="240" w:lineRule="auto"/>
        <w:ind w:leftChars="0"/>
        <w:rPr>
          <w:rFonts w:ascii="MS PGothic" w:hAnsi="MS PGothic" w:eastAsia="MS PGothic" w:cs="MS PGothic"/>
          <w:szCs w:val="24"/>
          <w:lang w:eastAsia="ja-JP"/>
        </w:rPr>
      </w:pPr>
      <w:r>
        <w:rPr>
          <w:rFonts w:ascii="MS PGothic" w:hAnsi="MS PGothic" w:eastAsia="MS PGothic" w:cs="MS PGothic"/>
          <w:szCs w:val="24"/>
          <w:lang w:eastAsia="ja-JP"/>
        </w:rPr>
        <w:t xml:space="preserve">Abdelrahman, R., &amp; Aldawash, F. M. (2023). Corrigendum to “The development of coronaphobia scale and psychometric effect among UAE people” [Heliyon 8(10) (October 2022) e10875] (Heliyon (2022) 8(10), (S2405844022021636), (10.1016/j.heliyon.2022.e10875)). In </w:t>
      </w:r>
      <w:r>
        <w:rPr>
          <w:rFonts w:ascii="MS PGothic" w:hAnsi="MS PGothic" w:eastAsia="MS PGothic" w:cs="MS PGothic"/>
          <w:i/>
          <w:iCs/>
          <w:szCs w:val="24"/>
          <w:lang w:eastAsia="ja-JP"/>
        </w:rPr>
        <w:t>Heliyon</w:t>
      </w:r>
      <w:r>
        <w:rPr>
          <w:rFonts w:ascii="MS PGothic" w:hAnsi="MS PGothic" w:eastAsia="MS PGothic" w:cs="MS PGothic"/>
          <w:szCs w:val="24"/>
          <w:lang w:eastAsia="ja-JP"/>
        </w:rPr>
        <w:t xml:space="preserve"> (Vol. 9, Issue 5). https://doi.org/10.1016/j.heliyon.2023.e16024</w:t>
      </w:r>
    </w:p>
    <w:p w14:paraId="63C66A93">
      <w:pPr>
        <w:pStyle w:val="17"/>
        <w:numPr>
          <w:ilvl w:val="0"/>
          <w:numId w:val="1"/>
        </w:numPr>
        <w:spacing w:line="240" w:lineRule="auto"/>
        <w:ind w:leftChars="0"/>
        <w:rPr>
          <w:rFonts w:ascii="MS PGothic" w:hAnsi="MS PGothic" w:eastAsia="MS PGothic" w:cs="MS PGothic"/>
          <w:szCs w:val="24"/>
          <w:lang w:eastAsia="ja-JP"/>
        </w:rPr>
      </w:pPr>
      <w:r>
        <w:rPr>
          <w:rFonts w:ascii="MS PGothic" w:hAnsi="MS PGothic" w:eastAsia="MS PGothic" w:cs="MS PGothic"/>
          <w:szCs w:val="24"/>
          <w:lang w:eastAsia="ja-JP"/>
        </w:rPr>
        <w:t xml:space="preserve">Abraham, P., Aggarwal, N., Babu, G. R., Barani, S., Bhargava, B., Bhatnagar, T., Dhama, A. S., Gangakhedkar, R. R., Giri, S., Gupta, N., Kurup, K. K., Murhekar, M., Potdar, V., Praharaj, I., Rade, K., Reddy, D. C. S., Saravanakumar, V., Shah, N., Singh, H., … Yadav, N. (2020). Laboratory surveillance for SARS-CoV-2 in India: Performance of testing &amp; descriptive epidemiology of detected COVID-19, January 22-April 30, 2020. </w:t>
      </w:r>
      <w:r>
        <w:rPr>
          <w:rFonts w:ascii="MS PGothic" w:hAnsi="MS PGothic" w:eastAsia="MS PGothic" w:cs="MS PGothic"/>
          <w:i/>
          <w:iCs/>
          <w:szCs w:val="24"/>
          <w:lang w:eastAsia="ja-JP"/>
        </w:rPr>
        <w:t>Indian Journal of Medical Research</w:t>
      </w:r>
      <w:r>
        <w:rPr>
          <w:rFonts w:ascii="MS PGothic" w:hAnsi="MS PGothic" w:eastAsia="MS PGothic" w:cs="MS PGothic"/>
          <w:szCs w:val="24"/>
          <w:lang w:eastAsia="ja-JP"/>
        </w:rPr>
        <w:t xml:space="preserve">, </w:t>
      </w:r>
      <w:r>
        <w:rPr>
          <w:rFonts w:ascii="MS PGothic" w:hAnsi="MS PGothic" w:eastAsia="MS PGothic" w:cs="MS PGothic"/>
          <w:i/>
          <w:iCs/>
          <w:szCs w:val="24"/>
          <w:lang w:eastAsia="ja-JP"/>
        </w:rPr>
        <w:t>151</w:t>
      </w:r>
      <w:r>
        <w:rPr>
          <w:rFonts w:ascii="MS PGothic" w:hAnsi="MS PGothic" w:eastAsia="MS PGothic" w:cs="MS PGothic"/>
          <w:szCs w:val="24"/>
          <w:lang w:eastAsia="ja-JP"/>
        </w:rPr>
        <w:t>(5), 424–437. https://doi.org/10.4103/IJMR.IJMR_1896_20</w:t>
      </w:r>
    </w:p>
    <w:p w14:paraId="4DF37C31">
      <w:pPr>
        <w:pStyle w:val="17"/>
        <w:numPr>
          <w:ilvl w:val="0"/>
          <w:numId w:val="1"/>
        </w:numPr>
        <w:spacing w:line="240" w:lineRule="auto"/>
        <w:ind w:leftChars="0"/>
        <w:rPr>
          <w:rFonts w:ascii="MS PGothic" w:hAnsi="MS PGothic" w:eastAsia="MS PGothic" w:cs="MS PGothic"/>
          <w:szCs w:val="24"/>
          <w:lang w:eastAsia="ja-JP"/>
        </w:rPr>
      </w:pPr>
      <w:r>
        <w:rPr>
          <w:rFonts w:ascii="MS PGothic" w:hAnsi="MS PGothic" w:eastAsia="MS PGothic" w:cs="MS PGothic"/>
          <w:szCs w:val="24"/>
          <w:lang w:eastAsia="ja-JP"/>
        </w:rPr>
        <w:t xml:space="preserve">Ahorsu, D. K., Lin, C. Y., Imani, V., Saffari, M., Griffiths, M. D., &amp; Pakpour, A. H. (2020). The Fear of COVID-19 Scale: Development and Initial Validation. </w:t>
      </w:r>
      <w:r>
        <w:rPr>
          <w:rFonts w:ascii="MS PGothic" w:hAnsi="MS PGothic" w:eastAsia="MS PGothic" w:cs="MS PGothic"/>
          <w:i/>
          <w:iCs/>
          <w:szCs w:val="24"/>
          <w:lang w:eastAsia="ja-JP"/>
        </w:rPr>
        <w:t>International Journal of Mental Health and Addiction</w:t>
      </w:r>
      <w:r>
        <w:rPr>
          <w:rFonts w:ascii="MS PGothic" w:hAnsi="MS PGothic" w:eastAsia="MS PGothic" w:cs="MS PGothic"/>
          <w:szCs w:val="24"/>
          <w:lang w:eastAsia="ja-JP"/>
        </w:rPr>
        <w:t>. https://doi.org/10.1007/S11469-020-00270-8</w:t>
      </w:r>
    </w:p>
    <w:p w14:paraId="10F04822">
      <w:pPr>
        <w:pStyle w:val="17"/>
        <w:numPr>
          <w:ilvl w:val="0"/>
          <w:numId w:val="1"/>
        </w:numPr>
        <w:spacing w:line="240" w:lineRule="auto"/>
        <w:ind w:leftChars="0"/>
        <w:rPr>
          <w:rFonts w:ascii="MS PGothic" w:hAnsi="MS PGothic" w:eastAsia="MS PGothic" w:cs="MS PGothic"/>
          <w:szCs w:val="24"/>
          <w:lang w:eastAsia="ja-JP"/>
        </w:rPr>
      </w:pPr>
      <w:r>
        <w:rPr>
          <w:rFonts w:ascii="MS PGothic" w:hAnsi="MS PGothic" w:eastAsia="MS PGothic" w:cs="MS PGothic"/>
          <w:szCs w:val="24"/>
          <w:lang w:eastAsia="ja-JP"/>
        </w:rPr>
        <w:t xml:space="preserve">Alexandrino, E. G., Silva, P. A., Demenech, L. M., Silva, L. S., Paludo, S. S., &amp; Dumith, S. C. (2023). Medo da COVID-19 e Aumento do Consumo de Bebidas Alcoólicas por Alunos do Ensino Médio Durante a Pandemia. </w:t>
      </w:r>
      <w:r>
        <w:rPr>
          <w:rFonts w:ascii="MS PGothic" w:hAnsi="MS PGothic" w:eastAsia="MS PGothic" w:cs="MS PGothic"/>
          <w:i/>
          <w:iCs/>
          <w:szCs w:val="24"/>
          <w:lang w:eastAsia="ja-JP"/>
        </w:rPr>
        <w:t>Cadernos de Psicologia</w:t>
      </w:r>
      <w:r>
        <w:rPr>
          <w:rFonts w:ascii="MS PGothic" w:hAnsi="MS PGothic" w:eastAsia="MS PGothic" w:cs="MS PGothic"/>
          <w:szCs w:val="24"/>
          <w:lang w:eastAsia="ja-JP"/>
        </w:rPr>
        <w:t xml:space="preserve">, </w:t>
      </w:r>
      <w:r>
        <w:rPr>
          <w:rFonts w:ascii="MS PGothic" w:hAnsi="MS PGothic" w:eastAsia="MS PGothic" w:cs="MS PGothic"/>
          <w:i/>
          <w:iCs/>
          <w:szCs w:val="24"/>
          <w:lang w:eastAsia="ja-JP"/>
        </w:rPr>
        <w:t>3</w:t>
      </w:r>
      <w:r>
        <w:rPr>
          <w:rFonts w:ascii="MS PGothic" w:hAnsi="MS PGothic" w:eastAsia="MS PGothic" w:cs="MS PGothic"/>
          <w:szCs w:val="24"/>
          <w:lang w:eastAsia="ja-JP"/>
        </w:rPr>
        <w:t>(2). https://doi.org/10.9788/cp2023.2-05</w:t>
      </w:r>
    </w:p>
    <w:p w14:paraId="6D0BFC24">
      <w:pPr>
        <w:pStyle w:val="17"/>
        <w:numPr>
          <w:ilvl w:val="0"/>
          <w:numId w:val="1"/>
        </w:numPr>
        <w:spacing w:line="240" w:lineRule="auto"/>
        <w:ind w:leftChars="0"/>
        <w:rPr>
          <w:rFonts w:ascii="MS PGothic" w:hAnsi="MS PGothic" w:eastAsia="MS PGothic" w:cs="MS PGothic"/>
          <w:szCs w:val="24"/>
          <w:lang w:eastAsia="ja-JP"/>
        </w:rPr>
      </w:pPr>
      <w:r>
        <w:rPr>
          <w:rFonts w:ascii="MS PGothic" w:hAnsi="MS PGothic" w:eastAsia="MS PGothic" w:cs="MS PGothic"/>
          <w:szCs w:val="24"/>
          <w:lang w:eastAsia="ja-JP"/>
        </w:rPr>
        <w:t xml:space="preserve">Andersen, K. G., Rambaut, A., Lipkin, W. I., Holmes, E. C., &amp; Garry, R. F. (2020). The proximal origin of SARS-CoV-2. </w:t>
      </w:r>
      <w:r>
        <w:rPr>
          <w:rFonts w:ascii="MS PGothic" w:hAnsi="MS PGothic" w:eastAsia="MS PGothic" w:cs="MS PGothic"/>
          <w:i/>
          <w:iCs/>
          <w:szCs w:val="24"/>
          <w:lang w:eastAsia="ja-JP"/>
        </w:rPr>
        <w:t>Nature Medicine</w:t>
      </w:r>
      <w:r>
        <w:rPr>
          <w:rFonts w:ascii="MS PGothic" w:hAnsi="MS PGothic" w:eastAsia="MS PGothic" w:cs="MS PGothic"/>
          <w:szCs w:val="24"/>
          <w:lang w:eastAsia="ja-JP"/>
        </w:rPr>
        <w:t xml:space="preserve">, </w:t>
      </w:r>
      <w:r>
        <w:rPr>
          <w:rFonts w:ascii="MS PGothic" w:hAnsi="MS PGothic" w:eastAsia="MS PGothic" w:cs="MS PGothic"/>
          <w:i/>
          <w:iCs/>
          <w:szCs w:val="24"/>
          <w:lang w:eastAsia="ja-JP"/>
        </w:rPr>
        <w:t>26</w:t>
      </w:r>
      <w:r>
        <w:rPr>
          <w:rFonts w:ascii="MS PGothic" w:hAnsi="MS PGothic" w:eastAsia="MS PGothic" w:cs="MS PGothic"/>
          <w:szCs w:val="24"/>
          <w:lang w:eastAsia="ja-JP"/>
        </w:rPr>
        <w:t>(4), 450–452. https://doi.org/10.1038/S41591-020-0820-9</w:t>
      </w:r>
    </w:p>
    <w:p w14:paraId="7FD4EF54">
      <w:pPr>
        <w:pStyle w:val="17"/>
        <w:numPr>
          <w:ilvl w:val="0"/>
          <w:numId w:val="1"/>
        </w:numPr>
        <w:spacing w:line="240" w:lineRule="auto"/>
        <w:ind w:leftChars="0"/>
        <w:rPr>
          <w:rFonts w:ascii="MS PGothic" w:hAnsi="MS PGothic" w:eastAsia="MS PGothic" w:cs="MS PGothic"/>
          <w:szCs w:val="24"/>
          <w:lang w:eastAsia="ja-JP"/>
        </w:rPr>
      </w:pPr>
      <w:r>
        <w:rPr>
          <w:rFonts w:ascii="MS PGothic" w:hAnsi="MS PGothic" w:eastAsia="MS PGothic" w:cs="MS PGothic"/>
          <w:szCs w:val="24"/>
          <w:lang w:eastAsia="ja-JP"/>
        </w:rPr>
        <w:t xml:space="preserve">Arora, A., Jha, A. K., Alat, P., &amp; Das, S. S. (2020). Understanding coronaphobia. </w:t>
      </w:r>
      <w:r>
        <w:rPr>
          <w:rFonts w:ascii="MS PGothic" w:hAnsi="MS PGothic" w:eastAsia="MS PGothic" w:cs="MS PGothic"/>
          <w:i/>
          <w:iCs/>
          <w:szCs w:val="24"/>
          <w:lang w:eastAsia="ja-JP"/>
        </w:rPr>
        <w:t>Asian Journal of Psychiatry</w:t>
      </w:r>
      <w:r>
        <w:rPr>
          <w:rFonts w:ascii="MS PGothic" w:hAnsi="MS PGothic" w:eastAsia="MS PGothic" w:cs="MS PGothic"/>
          <w:szCs w:val="24"/>
          <w:lang w:eastAsia="ja-JP"/>
        </w:rPr>
        <w:t xml:space="preserve">, </w:t>
      </w:r>
      <w:r>
        <w:rPr>
          <w:rFonts w:ascii="MS PGothic" w:hAnsi="MS PGothic" w:eastAsia="MS PGothic" w:cs="MS PGothic"/>
          <w:i/>
          <w:iCs/>
          <w:szCs w:val="24"/>
          <w:lang w:eastAsia="ja-JP"/>
        </w:rPr>
        <w:t>54</w:t>
      </w:r>
      <w:r>
        <w:rPr>
          <w:rFonts w:ascii="MS PGothic" w:hAnsi="MS PGothic" w:eastAsia="MS PGothic" w:cs="MS PGothic"/>
          <w:szCs w:val="24"/>
          <w:lang w:eastAsia="ja-JP"/>
        </w:rPr>
        <w:t>, 102384. https://doi.org/10.1016/J.AJP.2020.102384</w:t>
      </w:r>
    </w:p>
    <w:p w14:paraId="26EE6C44">
      <w:pPr>
        <w:pStyle w:val="17"/>
        <w:numPr>
          <w:ilvl w:val="0"/>
          <w:numId w:val="1"/>
        </w:numPr>
        <w:spacing w:line="240" w:lineRule="auto"/>
        <w:ind w:leftChars="0"/>
        <w:rPr>
          <w:rFonts w:ascii="MS PGothic" w:hAnsi="MS PGothic" w:eastAsia="MS PGothic" w:cs="MS PGothic"/>
          <w:szCs w:val="24"/>
          <w:lang w:eastAsia="ja-JP"/>
        </w:rPr>
      </w:pPr>
      <w:r>
        <w:rPr>
          <w:rFonts w:ascii="MS PGothic" w:hAnsi="MS PGothic" w:eastAsia="MS PGothic" w:cs="MS PGothic"/>
          <w:szCs w:val="24"/>
          <w:lang w:eastAsia="ja-JP"/>
        </w:rPr>
        <w:t xml:space="preserve">Arpaci, I., Karatas, K., Baloglu, M., &amp; Haktanir, A. (2022). COVID-19 Phobia in the United States: Validation of the COVID-19 Phobia Scale (C19P-SE). </w:t>
      </w:r>
      <w:r>
        <w:rPr>
          <w:rFonts w:ascii="MS PGothic" w:hAnsi="MS PGothic" w:eastAsia="MS PGothic" w:cs="MS PGothic"/>
          <w:i/>
          <w:iCs/>
          <w:szCs w:val="24"/>
          <w:lang w:eastAsia="ja-JP"/>
        </w:rPr>
        <w:t>Death Studies</w:t>
      </w:r>
      <w:r>
        <w:rPr>
          <w:rFonts w:ascii="MS PGothic" w:hAnsi="MS PGothic" w:eastAsia="MS PGothic" w:cs="MS PGothic"/>
          <w:szCs w:val="24"/>
          <w:lang w:eastAsia="ja-JP"/>
        </w:rPr>
        <w:t xml:space="preserve">, </w:t>
      </w:r>
      <w:r>
        <w:rPr>
          <w:rFonts w:ascii="MS PGothic" w:hAnsi="MS PGothic" w:eastAsia="MS PGothic" w:cs="MS PGothic"/>
          <w:i/>
          <w:iCs/>
          <w:szCs w:val="24"/>
          <w:lang w:eastAsia="ja-JP"/>
        </w:rPr>
        <w:t>46</w:t>
      </w:r>
      <w:r>
        <w:rPr>
          <w:rFonts w:ascii="MS PGothic" w:hAnsi="MS PGothic" w:eastAsia="MS PGothic" w:cs="MS PGothic"/>
          <w:szCs w:val="24"/>
          <w:lang w:eastAsia="ja-JP"/>
        </w:rPr>
        <w:t>(3). https://doi.org/10.1080/07481187.2020.1848945</w:t>
      </w:r>
    </w:p>
    <w:p w14:paraId="23BC4532">
      <w:pPr>
        <w:pStyle w:val="17"/>
        <w:numPr>
          <w:ilvl w:val="0"/>
          <w:numId w:val="1"/>
        </w:numPr>
        <w:spacing w:line="240" w:lineRule="auto"/>
        <w:ind w:leftChars="0"/>
        <w:rPr>
          <w:rFonts w:ascii="MS PGothic" w:hAnsi="MS PGothic" w:eastAsia="MS PGothic" w:cs="MS PGothic"/>
          <w:szCs w:val="24"/>
          <w:lang w:eastAsia="ja-JP"/>
        </w:rPr>
      </w:pPr>
      <w:r>
        <w:rPr>
          <w:rFonts w:ascii="MS PGothic" w:hAnsi="MS PGothic" w:eastAsia="MS PGothic" w:cs="MS PGothic"/>
          <w:szCs w:val="24"/>
          <w:lang w:eastAsia="ja-JP"/>
        </w:rPr>
        <w:t xml:space="preserve">Asmundson, G. J. G., &amp; Taylor, S. (2020a). Coronaphobia: Fear and the 2019-nCoV outbreak. </w:t>
      </w:r>
      <w:r>
        <w:rPr>
          <w:rFonts w:ascii="MS PGothic" w:hAnsi="MS PGothic" w:eastAsia="MS PGothic" w:cs="MS PGothic"/>
          <w:i/>
          <w:iCs/>
          <w:szCs w:val="24"/>
          <w:lang w:eastAsia="ja-JP"/>
        </w:rPr>
        <w:t>Journal of Anxiety Disorders</w:t>
      </w:r>
      <w:r>
        <w:rPr>
          <w:rFonts w:ascii="MS PGothic" w:hAnsi="MS PGothic" w:eastAsia="MS PGothic" w:cs="MS PGothic"/>
          <w:szCs w:val="24"/>
          <w:lang w:eastAsia="ja-JP"/>
        </w:rPr>
        <w:t xml:space="preserve">, </w:t>
      </w:r>
      <w:r>
        <w:rPr>
          <w:rFonts w:ascii="MS PGothic" w:hAnsi="MS PGothic" w:eastAsia="MS PGothic" w:cs="MS PGothic"/>
          <w:i/>
          <w:iCs/>
          <w:szCs w:val="24"/>
          <w:lang w:eastAsia="ja-JP"/>
        </w:rPr>
        <w:t>70</w:t>
      </w:r>
      <w:r>
        <w:rPr>
          <w:rFonts w:ascii="MS PGothic" w:hAnsi="MS PGothic" w:eastAsia="MS PGothic" w:cs="MS PGothic"/>
          <w:szCs w:val="24"/>
          <w:lang w:eastAsia="ja-JP"/>
        </w:rPr>
        <w:t>. https://doi.org/10.1016/J.JANXDIS.2020.102196</w:t>
      </w:r>
    </w:p>
    <w:p w14:paraId="08B75680">
      <w:pPr>
        <w:pStyle w:val="17"/>
        <w:numPr>
          <w:ilvl w:val="0"/>
          <w:numId w:val="1"/>
        </w:numPr>
        <w:spacing w:line="240" w:lineRule="auto"/>
        <w:ind w:leftChars="0"/>
        <w:rPr>
          <w:rFonts w:ascii="MS PGothic" w:hAnsi="MS PGothic" w:eastAsia="MS PGothic" w:cs="MS PGothic"/>
          <w:szCs w:val="24"/>
          <w:lang w:eastAsia="ja-JP"/>
        </w:rPr>
      </w:pPr>
      <w:r>
        <w:rPr>
          <w:rFonts w:ascii="MS PGothic" w:hAnsi="MS PGothic" w:eastAsia="MS PGothic" w:cs="MS PGothic"/>
          <w:szCs w:val="24"/>
          <w:lang w:eastAsia="ja-JP"/>
        </w:rPr>
        <w:t xml:space="preserve">Asmundson, G. J. G., &amp; Taylor, S. (2020b). Coronaphobia revisted: A state-of-the-art on pandemic-related fear, anxiety, and stress. </w:t>
      </w:r>
      <w:r>
        <w:rPr>
          <w:rFonts w:ascii="MS PGothic" w:hAnsi="MS PGothic" w:eastAsia="MS PGothic" w:cs="MS PGothic"/>
          <w:i/>
          <w:iCs/>
          <w:szCs w:val="24"/>
          <w:lang w:eastAsia="ja-JP"/>
        </w:rPr>
        <w:t>Journal of Anxiety Disorders</w:t>
      </w:r>
      <w:r>
        <w:rPr>
          <w:rFonts w:ascii="MS PGothic" w:hAnsi="MS PGothic" w:eastAsia="MS PGothic" w:cs="MS PGothic"/>
          <w:szCs w:val="24"/>
          <w:lang w:eastAsia="ja-JP"/>
        </w:rPr>
        <w:t xml:space="preserve">, </w:t>
      </w:r>
      <w:r>
        <w:rPr>
          <w:rFonts w:ascii="MS PGothic" w:hAnsi="MS PGothic" w:eastAsia="MS PGothic" w:cs="MS PGothic"/>
          <w:i/>
          <w:iCs/>
          <w:szCs w:val="24"/>
          <w:lang w:eastAsia="ja-JP"/>
        </w:rPr>
        <w:t>76</w:t>
      </w:r>
      <w:r>
        <w:rPr>
          <w:rFonts w:ascii="MS PGothic" w:hAnsi="MS PGothic" w:eastAsia="MS PGothic" w:cs="MS PGothic"/>
          <w:szCs w:val="24"/>
          <w:lang w:eastAsia="ja-JP"/>
        </w:rPr>
        <w:t>.</w:t>
      </w:r>
      <w:r>
        <w:rPr>
          <w:rFonts w:hint="eastAsia" w:ascii="MS PGothic" w:hAnsi="MS PGothic" w:eastAsia="MS PGothic" w:cs="MS PGothic"/>
          <w:szCs w:val="24"/>
          <w:lang w:eastAsia="ja-JP"/>
        </w:rPr>
        <w:t xml:space="preserve"> </w:t>
      </w:r>
      <w:r>
        <w:rPr>
          <w:rFonts w:ascii="MS PGothic" w:hAnsi="MS PGothic" w:eastAsia="MS PGothic" w:cs="MS PGothic"/>
          <w:szCs w:val="24"/>
          <w:lang w:eastAsia="ja-JP"/>
        </w:rPr>
        <w:t>https://doi.org/10.1016/j.janxdis.2020.102326</w:t>
      </w:r>
    </w:p>
    <w:p w14:paraId="7C7E1CFA">
      <w:pPr>
        <w:pStyle w:val="17"/>
        <w:numPr>
          <w:ilvl w:val="0"/>
          <w:numId w:val="1"/>
        </w:numPr>
        <w:spacing w:line="240" w:lineRule="auto"/>
        <w:ind w:leftChars="0"/>
        <w:rPr>
          <w:rFonts w:ascii="MS PGothic" w:hAnsi="MS PGothic" w:eastAsia="MS PGothic" w:cs="MS PGothic"/>
          <w:szCs w:val="24"/>
          <w:lang w:eastAsia="ja-JP"/>
        </w:rPr>
      </w:pPr>
      <w:r>
        <w:rPr>
          <w:rFonts w:ascii="MS PGothic" w:hAnsi="MS PGothic" w:eastAsia="MS PGothic" w:cs="MS PGothic"/>
          <w:szCs w:val="24"/>
          <w:lang w:eastAsia="ja-JP"/>
        </w:rPr>
        <w:t xml:space="preserve">Azoulay, E., Pochard, F., Reignier, J., Argaud, L., Bruneel, F., Courbon, P., Cariou, A., Klouche, K., Labbé, V., Barbier, F., Guitton, C., Demoule, A., Kouatchet, A., Guisset, O., Jourdain, M., Papazian, L., van der Meersch, G., Reuter, D., Souppart, V., Resche-Rigon, M., Darmon, M., Kentish-Barnes, N.  (2021). Symptoms of Mental Health Disorders in Critical Care Physicians Facing the Second COVID-19 Wave: A Cross-Sectional Study. </w:t>
      </w:r>
      <w:r>
        <w:rPr>
          <w:rFonts w:ascii="MS PGothic" w:hAnsi="MS PGothic" w:eastAsia="MS PGothic" w:cs="MS PGothic"/>
          <w:i/>
          <w:iCs/>
          <w:szCs w:val="24"/>
          <w:lang w:eastAsia="ja-JP"/>
        </w:rPr>
        <w:t>Chest</w:t>
      </w:r>
      <w:r>
        <w:rPr>
          <w:rFonts w:ascii="MS PGothic" w:hAnsi="MS PGothic" w:eastAsia="MS PGothic" w:cs="MS PGothic"/>
          <w:szCs w:val="24"/>
          <w:lang w:eastAsia="ja-JP"/>
        </w:rPr>
        <w:t xml:space="preserve">, </w:t>
      </w:r>
      <w:r>
        <w:rPr>
          <w:rFonts w:ascii="MS PGothic" w:hAnsi="MS PGothic" w:eastAsia="MS PGothic" w:cs="MS PGothic"/>
          <w:i/>
          <w:iCs/>
          <w:szCs w:val="24"/>
          <w:lang w:eastAsia="ja-JP"/>
        </w:rPr>
        <w:t>160</w:t>
      </w:r>
      <w:r>
        <w:rPr>
          <w:rFonts w:ascii="MS PGothic" w:hAnsi="MS PGothic" w:eastAsia="MS PGothic" w:cs="MS PGothic"/>
          <w:szCs w:val="24"/>
          <w:lang w:eastAsia="ja-JP"/>
        </w:rPr>
        <w:t>(3), 944–955.</w:t>
      </w:r>
      <w:r>
        <w:rPr>
          <w:rFonts w:hint="eastAsia" w:ascii="MS PGothic" w:hAnsi="MS PGothic" w:eastAsia="MS PGothic" w:cs="MS PGothic"/>
          <w:szCs w:val="24"/>
          <w:lang w:eastAsia="ja-JP"/>
        </w:rPr>
        <w:t xml:space="preserve"> </w:t>
      </w:r>
      <w:r>
        <w:rPr>
          <w:rFonts w:ascii="MS PGothic" w:hAnsi="MS PGothic" w:eastAsia="MS PGothic" w:cs="MS PGothic"/>
          <w:szCs w:val="24"/>
          <w:lang w:eastAsia="ja-JP"/>
        </w:rPr>
        <w:t>https://10.1016/j.chest.2021.05.023</w:t>
      </w:r>
    </w:p>
    <w:p w14:paraId="0D2A90AB">
      <w:pPr>
        <w:pStyle w:val="17"/>
        <w:numPr>
          <w:ilvl w:val="0"/>
          <w:numId w:val="1"/>
        </w:numPr>
        <w:spacing w:line="240" w:lineRule="auto"/>
        <w:ind w:leftChars="0"/>
        <w:rPr>
          <w:rFonts w:ascii="MS PGothic" w:hAnsi="MS PGothic" w:eastAsia="MS PGothic" w:cs="MS PGothic"/>
          <w:szCs w:val="24"/>
          <w:lang w:eastAsia="ja-JP"/>
        </w:rPr>
      </w:pPr>
      <w:r>
        <w:rPr>
          <w:rFonts w:ascii="MS PGothic" w:hAnsi="MS PGothic" w:eastAsia="MS PGothic" w:cs="MS PGothic"/>
          <w:szCs w:val="24"/>
          <w:lang w:eastAsia="ja-JP"/>
        </w:rPr>
        <w:t xml:space="preserve">Bakri, M. A. A., &amp; El-Setouhy, M. (2022). The association between sleep disturbance and coronaphobia among physicians in primary health care centers of Ministry of Health, Jazan Province. </w:t>
      </w:r>
      <w:r>
        <w:rPr>
          <w:rFonts w:ascii="MS PGothic" w:hAnsi="MS PGothic" w:eastAsia="MS PGothic" w:cs="MS PGothic"/>
          <w:i/>
          <w:iCs/>
          <w:szCs w:val="24"/>
          <w:lang w:eastAsia="ja-JP"/>
        </w:rPr>
        <w:t>World Family Medicine Journal /Middle East Journal of Family Medicine</w:t>
      </w:r>
      <w:r>
        <w:rPr>
          <w:rFonts w:ascii="MS PGothic" w:hAnsi="MS PGothic" w:eastAsia="MS PGothic" w:cs="MS PGothic"/>
          <w:szCs w:val="24"/>
          <w:lang w:eastAsia="ja-JP"/>
        </w:rPr>
        <w:t xml:space="preserve">, </w:t>
      </w:r>
      <w:r>
        <w:rPr>
          <w:rFonts w:ascii="MS PGothic" w:hAnsi="MS PGothic" w:eastAsia="MS PGothic" w:cs="MS PGothic"/>
          <w:i/>
          <w:iCs/>
          <w:szCs w:val="24"/>
          <w:lang w:eastAsia="ja-JP"/>
        </w:rPr>
        <w:t>20</w:t>
      </w:r>
      <w:r>
        <w:rPr>
          <w:rFonts w:ascii="MS PGothic" w:hAnsi="MS PGothic" w:eastAsia="MS PGothic" w:cs="MS PGothic"/>
          <w:szCs w:val="24"/>
          <w:lang w:eastAsia="ja-JP"/>
        </w:rPr>
        <w:t>(4). https://doi.org/10.5742/mewfm.2022.9525026</w:t>
      </w:r>
    </w:p>
    <w:p w14:paraId="34FCAEB0">
      <w:pPr>
        <w:pStyle w:val="17"/>
        <w:numPr>
          <w:ilvl w:val="0"/>
          <w:numId w:val="1"/>
        </w:numPr>
        <w:spacing w:line="240" w:lineRule="auto"/>
        <w:ind w:leftChars="0"/>
        <w:rPr>
          <w:rFonts w:ascii="MS PGothic" w:hAnsi="MS PGothic" w:eastAsia="MS PGothic" w:cs="MS PGothic"/>
          <w:szCs w:val="24"/>
          <w:lang w:eastAsia="ja-JP"/>
        </w:rPr>
      </w:pPr>
      <w:r>
        <w:rPr>
          <w:rFonts w:ascii="MS PGothic" w:hAnsi="MS PGothic" w:eastAsia="MS PGothic" w:cs="MS PGothic"/>
          <w:szCs w:val="24"/>
          <w:lang w:eastAsia="ja-JP"/>
        </w:rPr>
        <w:t xml:space="preserve">Barreto, M. da S., Leite, A. C. A. B., García-Vivar, C., Nascimento, L. C., &amp; Marcon, S. S. (2022). The experience of coronaphobia among health professionals and their family members during COVID-19 pandemic: A qualitative study. </w:t>
      </w:r>
      <w:r>
        <w:rPr>
          <w:rFonts w:ascii="MS PGothic" w:hAnsi="MS PGothic" w:eastAsia="MS PGothic" w:cs="MS PGothic"/>
          <w:i/>
          <w:iCs/>
          <w:szCs w:val="24"/>
          <w:lang w:eastAsia="ja-JP"/>
        </w:rPr>
        <w:t>Collegian</w:t>
      </w:r>
      <w:r>
        <w:rPr>
          <w:rFonts w:ascii="MS PGothic" w:hAnsi="MS PGothic" w:eastAsia="MS PGothic" w:cs="MS PGothic"/>
          <w:szCs w:val="24"/>
          <w:lang w:eastAsia="ja-JP"/>
        </w:rPr>
        <w:t xml:space="preserve">, </w:t>
      </w:r>
      <w:r>
        <w:rPr>
          <w:rFonts w:ascii="MS PGothic" w:hAnsi="MS PGothic" w:eastAsia="MS PGothic" w:cs="MS PGothic"/>
          <w:i/>
          <w:iCs/>
          <w:szCs w:val="24"/>
          <w:lang w:eastAsia="ja-JP"/>
        </w:rPr>
        <w:t>29</w:t>
      </w:r>
      <w:r>
        <w:rPr>
          <w:rFonts w:ascii="MS PGothic" w:hAnsi="MS PGothic" w:eastAsia="MS PGothic" w:cs="MS PGothic"/>
          <w:szCs w:val="24"/>
          <w:lang w:eastAsia="ja-JP"/>
        </w:rPr>
        <w:t>(3). https://doi.org/10.1016/j.colegn.2022.03.006</w:t>
      </w:r>
    </w:p>
    <w:p w14:paraId="5CC6631D">
      <w:pPr>
        <w:pStyle w:val="17"/>
        <w:numPr>
          <w:ilvl w:val="0"/>
          <w:numId w:val="1"/>
        </w:numPr>
        <w:spacing w:line="240" w:lineRule="auto"/>
        <w:ind w:leftChars="0"/>
        <w:rPr>
          <w:rFonts w:ascii="MS PGothic" w:hAnsi="MS PGothic" w:eastAsia="MS PGothic" w:cs="MS PGothic"/>
          <w:szCs w:val="24"/>
          <w:lang w:eastAsia="ja-JP"/>
        </w:rPr>
      </w:pPr>
      <w:r>
        <w:rPr>
          <w:rFonts w:ascii="MS PGothic" w:hAnsi="MS PGothic" w:eastAsia="MS PGothic" w:cs="MS PGothic"/>
          <w:szCs w:val="24"/>
          <w:lang w:eastAsia="ja-JP"/>
        </w:rPr>
        <w:t xml:space="preserve">BEŞER, M. F., İLHAN, E., ŞİMŞEK, P., YADIGAROGLU, M., ŞAHİN, A. S., KOÇ, E., ÜÇÜNCÜ, E., BÜLBÜL, Ö., SAĞLAM AYKUT, D., ARAZ, Ö., TOPBAŞ, M., &amp; GÜNDÜZ, A. (2023). What Impact does a Pandemic have on Emergency Department Visits? COVID-19 Pandemic and Coronaphobia. </w:t>
      </w:r>
      <w:r>
        <w:rPr>
          <w:rFonts w:ascii="MS PGothic" w:hAnsi="MS PGothic" w:eastAsia="MS PGothic" w:cs="MS PGothic"/>
          <w:i/>
          <w:iCs/>
          <w:szCs w:val="24"/>
          <w:lang w:eastAsia="ja-JP"/>
        </w:rPr>
        <w:t>Middle Black Sea Journal of Health Science</w:t>
      </w:r>
      <w:r>
        <w:rPr>
          <w:rFonts w:ascii="MS PGothic" w:hAnsi="MS PGothic" w:eastAsia="MS PGothic" w:cs="MS PGothic"/>
          <w:szCs w:val="24"/>
          <w:lang w:eastAsia="ja-JP"/>
        </w:rPr>
        <w:t xml:space="preserve">, </w:t>
      </w:r>
      <w:r>
        <w:rPr>
          <w:rFonts w:ascii="MS PGothic" w:hAnsi="MS PGothic" w:eastAsia="MS PGothic" w:cs="MS PGothic"/>
          <w:i/>
          <w:iCs/>
          <w:szCs w:val="24"/>
          <w:lang w:eastAsia="ja-JP"/>
        </w:rPr>
        <w:t>9</w:t>
      </w:r>
      <w:r>
        <w:rPr>
          <w:rFonts w:ascii="MS PGothic" w:hAnsi="MS PGothic" w:eastAsia="MS PGothic" w:cs="MS PGothic"/>
          <w:szCs w:val="24"/>
          <w:lang w:eastAsia="ja-JP"/>
        </w:rPr>
        <w:t>(3). https://doi.org/10.19127/mbsjohs.1208526</w:t>
      </w:r>
    </w:p>
    <w:p w14:paraId="41D52CD2">
      <w:pPr>
        <w:pStyle w:val="17"/>
        <w:numPr>
          <w:ilvl w:val="0"/>
          <w:numId w:val="1"/>
        </w:numPr>
        <w:spacing w:line="240" w:lineRule="auto"/>
        <w:ind w:leftChars="0"/>
        <w:rPr>
          <w:rFonts w:ascii="MS PGothic" w:hAnsi="MS PGothic" w:eastAsia="MS PGothic" w:cs="MS PGothic"/>
          <w:szCs w:val="24"/>
          <w:lang w:eastAsia="ja-JP"/>
        </w:rPr>
      </w:pPr>
      <w:r>
        <w:rPr>
          <w:rFonts w:ascii="MS PGothic" w:hAnsi="MS PGothic" w:eastAsia="MS PGothic" w:cs="MS PGothic"/>
          <w:szCs w:val="24"/>
          <w:lang w:eastAsia="ja-JP"/>
        </w:rPr>
        <w:t xml:space="preserve">Cao, W., Fang, Z., Hou, G., Han, M., Xu, X., Dong, J., &amp; Zheng, J. (2020a). The psychological impact of the COVID-19 epidemic on college students in China. </w:t>
      </w:r>
      <w:r>
        <w:rPr>
          <w:rFonts w:ascii="MS PGothic" w:hAnsi="MS PGothic" w:eastAsia="MS PGothic" w:cs="MS PGothic"/>
          <w:i/>
          <w:iCs/>
          <w:szCs w:val="24"/>
          <w:lang w:eastAsia="ja-JP"/>
        </w:rPr>
        <w:t>Psychiatry Research</w:t>
      </w:r>
      <w:r>
        <w:rPr>
          <w:rFonts w:ascii="MS PGothic" w:hAnsi="MS PGothic" w:eastAsia="MS PGothic" w:cs="MS PGothic"/>
          <w:szCs w:val="24"/>
          <w:lang w:eastAsia="ja-JP"/>
        </w:rPr>
        <w:t xml:space="preserve">, </w:t>
      </w:r>
      <w:r>
        <w:rPr>
          <w:rFonts w:ascii="MS PGothic" w:hAnsi="MS PGothic" w:eastAsia="MS PGothic" w:cs="MS PGothic"/>
          <w:i/>
          <w:iCs/>
          <w:szCs w:val="24"/>
          <w:lang w:eastAsia="ja-JP"/>
        </w:rPr>
        <w:t>287</w:t>
      </w:r>
      <w:r>
        <w:rPr>
          <w:rFonts w:ascii="MS PGothic" w:hAnsi="MS PGothic" w:eastAsia="MS PGothic" w:cs="MS PGothic"/>
          <w:szCs w:val="24"/>
          <w:lang w:eastAsia="ja-JP"/>
        </w:rPr>
        <w:t>. https://doi.org/10.1016/J.PSYCHRES.2020.112934</w:t>
      </w:r>
    </w:p>
    <w:p w14:paraId="7504F037">
      <w:pPr>
        <w:pStyle w:val="17"/>
        <w:numPr>
          <w:ilvl w:val="0"/>
          <w:numId w:val="1"/>
        </w:numPr>
        <w:spacing w:line="240" w:lineRule="auto"/>
        <w:ind w:leftChars="0"/>
        <w:rPr>
          <w:rFonts w:ascii="MS PGothic" w:hAnsi="MS PGothic" w:eastAsia="MS PGothic" w:cs="MS PGothic"/>
          <w:szCs w:val="24"/>
          <w:lang w:eastAsia="ja-JP"/>
        </w:rPr>
      </w:pPr>
      <w:r>
        <w:rPr>
          <w:rFonts w:ascii="MS PGothic" w:hAnsi="MS PGothic" w:eastAsia="MS PGothic" w:cs="MS PGothic"/>
          <w:szCs w:val="24"/>
          <w:lang w:eastAsia="ja-JP"/>
        </w:rPr>
        <w:t xml:space="preserve">Carleton, R. N. (2016). Fear of the unknown: One fear to rule them all? </w:t>
      </w:r>
      <w:r>
        <w:rPr>
          <w:rFonts w:ascii="MS PGothic" w:hAnsi="MS PGothic" w:eastAsia="MS PGothic" w:cs="MS PGothic"/>
          <w:i/>
          <w:iCs/>
          <w:szCs w:val="24"/>
          <w:lang w:eastAsia="ja-JP"/>
        </w:rPr>
        <w:t>Journal of Anxiety Disorders</w:t>
      </w:r>
      <w:r>
        <w:rPr>
          <w:rFonts w:ascii="MS PGothic" w:hAnsi="MS PGothic" w:eastAsia="MS PGothic" w:cs="MS PGothic"/>
          <w:szCs w:val="24"/>
          <w:lang w:eastAsia="ja-JP"/>
        </w:rPr>
        <w:t xml:space="preserve">, </w:t>
      </w:r>
      <w:r>
        <w:rPr>
          <w:rFonts w:ascii="MS PGothic" w:hAnsi="MS PGothic" w:eastAsia="MS PGothic" w:cs="MS PGothic"/>
          <w:i/>
          <w:iCs/>
          <w:szCs w:val="24"/>
          <w:lang w:eastAsia="ja-JP"/>
        </w:rPr>
        <w:t>41</w:t>
      </w:r>
      <w:r>
        <w:rPr>
          <w:rFonts w:ascii="MS PGothic" w:hAnsi="MS PGothic" w:eastAsia="MS PGothic" w:cs="MS PGothic"/>
          <w:szCs w:val="24"/>
          <w:lang w:eastAsia="ja-JP"/>
        </w:rPr>
        <w:t>, 5–21.</w:t>
      </w:r>
      <w:r>
        <w:rPr>
          <w:rFonts w:hint="eastAsia" w:ascii="MS PGothic" w:hAnsi="MS PGothic" w:eastAsia="MS PGothic" w:cs="MS PGothic"/>
          <w:szCs w:val="24"/>
          <w:lang w:eastAsia="ja-JP"/>
        </w:rPr>
        <w:t xml:space="preserve"> </w:t>
      </w:r>
      <w:r>
        <w:rPr>
          <w:rFonts w:ascii="MS PGothic" w:hAnsi="MS PGothic" w:eastAsia="MS PGothic" w:cs="MS PGothic"/>
          <w:szCs w:val="24"/>
          <w:lang w:eastAsia="ja-JP"/>
        </w:rPr>
        <w:t>https://doi.org/10.1016/j.janxdis.2016.03.011</w:t>
      </w:r>
    </w:p>
    <w:p w14:paraId="598073CD">
      <w:pPr>
        <w:pStyle w:val="17"/>
        <w:numPr>
          <w:ilvl w:val="0"/>
          <w:numId w:val="1"/>
        </w:numPr>
        <w:spacing w:line="240" w:lineRule="auto"/>
        <w:ind w:leftChars="0"/>
        <w:rPr>
          <w:rFonts w:ascii="MS PGothic" w:hAnsi="MS PGothic" w:eastAsia="MS PGothic" w:cs="MS PGothic"/>
          <w:szCs w:val="24"/>
          <w:lang w:eastAsia="ja-JP"/>
        </w:rPr>
      </w:pPr>
      <w:r>
        <w:rPr>
          <w:rFonts w:ascii="MS PGothic" w:hAnsi="MS PGothic" w:eastAsia="MS PGothic" w:cs="MS PGothic"/>
          <w:szCs w:val="24"/>
          <w:lang w:eastAsia="ja-JP"/>
        </w:rPr>
        <w:t xml:space="preserve">Chakraborty, K., &amp; Chatterjee, M. (2020). Psychological impact of COVID-19 pandemic on general population in West Bengal: A cross-sectional study. </w:t>
      </w:r>
      <w:r>
        <w:rPr>
          <w:rFonts w:ascii="MS PGothic" w:hAnsi="MS PGothic" w:eastAsia="MS PGothic" w:cs="MS PGothic"/>
          <w:i/>
          <w:iCs/>
          <w:szCs w:val="24"/>
          <w:lang w:eastAsia="ja-JP"/>
        </w:rPr>
        <w:t>Indian Journal of Psychiatry</w:t>
      </w:r>
      <w:r>
        <w:rPr>
          <w:rFonts w:ascii="MS PGothic" w:hAnsi="MS PGothic" w:eastAsia="MS PGothic" w:cs="MS PGothic"/>
          <w:szCs w:val="24"/>
          <w:lang w:eastAsia="ja-JP"/>
        </w:rPr>
        <w:t xml:space="preserve">, </w:t>
      </w:r>
      <w:r>
        <w:rPr>
          <w:rFonts w:ascii="MS PGothic" w:hAnsi="MS PGothic" w:eastAsia="MS PGothic" w:cs="MS PGothic"/>
          <w:i/>
          <w:iCs/>
          <w:szCs w:val="24"/>
          <w:lang w:eastAsia="ja-JP"/>
        </w:rPr>
        <w:t>62</w:t>
      </w:r>
      <w:r>
        <w:rPr>
          <w:rFonts w:ascii="MS PGothic" w:hAnsi="MS PGothic" w:eastAsia="MS PGothic" w:cs="MS PGothic"/>
          <w:szCs w:val="24"/>
          <w:lang w:eastAsia="ja-JP"/>
        </w:rPr>
        <w:t>(3), 266–272. https://doi.org/</w:t>
      </w:r>
      <w:r>
        <w:t xml:space="preserve"> </w:t>
      </w:r>
      <w:r>
        <w:rPr>
          <w:rFonts w:ascii="MS PGothic" w:hAnsi="MS PGothic" w:eastAsia="MS PGothic" w:cs="MS PGothic"/>
          <w:szCs w:val="24"/>
          <w:lang w:eastAsia="ja-JP"/>
        </w:rPr>
        <w:t>10.4103/psychiatry.IndianJPsychiatry_276_20</w:t>
      </w:r>
    </w:p>
    <w:p w14:paraId="2FE76933">
      <w:pPr>
        <w:pStyle w:val="17"/>
        <w:numPr>
          <w:ilvl w:val="0"/>
          <w:numId w:val="1"/>
        </w:numPr>
        <w:spacing w:line="240" w:lineRule="auto"/>
        <w:ind w:leftChars="0"/>
        <w:rPr>
          <w:rFonts w:ascii="MS PGothic" w:hAnsi="MS PGothic" w:eastAsia="MS PGothic" w:cs="MS PGothic"/>
          <w:szCs w:val="24"/>
          <w:lang w:eastAsia="ja-JP"/>
        </w:rPr>
      </w:pPr>
      <w:r>
        <w:rPr>
          <w:rFonts w:hint="eastAsia" w:ascii="MS PGothic" w:hAnsi="MS PGothic" w:eastAsia="MS PGothic" w:cs="MS PGothic"/>
          <w:szCs w:val="24"/>
          <w:lang w:eastAsia="ja-JP"/>
        </w:rPr>
        <w:t>D</w:t>
      </w:r>
      <w:r>
        <w:rPr>
          <w:rFonts w:ascii="MS PGothic" w:hAnsi="MS PGothic" w:eastAsia="MS PGothic" w:cs="MS PGothic"/>
          <w:szCs w:val="24"/>
          <w:lang w:eastAsia="ja-JP"/>
        </w:rPr>
        <w:t xml:space="preserve">e Los Santos, J. A. A., Daiz, B. G., &amp; Rosales, E. L. (2022). Coronaphobia and Coping among the Bereaved: The Mediating Role of Gardening during the Covid-19 Pandemic. </w:t>
      </w:r>
      <w:r>
        <w:rPr>
          <w:rFonts w:ascii="MS PGothic" w:hAnsi="MS PGothic" w:eastAsia="MS PGothic" w:cs="MS PGothic"/>
          <w:i/>
          <w:iCs/>
          <w:szCs w:val="24"/>
          <w:lang w:eastAsia="ja-JP"/>
        </w:rPr>
        <w:t>Nurse Media Journal of Nursing</w:t>
      </w:r>
      <w:r>
        <w:rPr>
          <w:rFonts w:ascii="MS PGothic" w:hAnsi="MS PGothic" w:eastAsia="MS PGothic" w:cs="MS PGothic"/>
          <w:szCs w:val="24"/>
          <w:lang w:eastAsia="ja-JP"/>
        </w:rPr>
        <w:t xml:space="preserve">, </w:t>
      </w:r>
      <w:r>
        <w:rPr>
          <w:rFonts w:ascii="MS PGothic" w:hAnsi="MS PGothic" w:eastAsia="MS PGothic" w:cs="MS PGothic"/>
          <w:i/>
          <w:iCs/>
          <w:szCs w:val="24"/>
          <w:lang w:eastAsia="ja-JP"/>
        </w:rPr>
        <w:t>12</w:t>
      </w:r>
      <w:r>
        <w:rPr>
          <w:rFonts w:ascii="MS PGothic" w:hAnsi="MS PGothic" w:eastAsia="MS PGothic" w:cs="MS PGothic"/>
          <w:szCs w:val="24"/>
          <w:lang w:eastAsia="ja-JP"/>
        </w:rPr>
        <w:t>(1). https://doi.org/10.14710/nmjn.v12i1.44769</w:t>
      </w:r>
    </w:p>
    <w:p w14:paraId="5BBB8851">
      <w:pPr>
        <w:pStyle w:val="17"/>
        <w:numPr>
          <w:ilvl w:val="0"/>
          <w:numId w:val="1"/>
        </w:numPr>
        <w:spacing w:line="240" w:lineRule="auto"/>
        <w:ind w:leftChars="0"/>
        <w:rPr>
          <w:rFonts w:ascii="MS PGothic" w:hAnsi="MS PGothic" w:eastAsia="MS PGothic" w:cs="MS PGothic"/>
          <w:szCs w:val="24"/>
          <w:lang w:eastAsia="ja-JP"/>
        </w:rPr>
      </w:pPr>
      <w:r>
        <w:rPr>
          <w:rFonts w:hint="eastAsia" w:ascii="MS PGothic" w:hAnsi="MS PGothic" w:eastAsia="MS PGothic" w:cs="MS PGothic"/>
          <w:szCs w:val="24"/>
          <w:lang w:eastAsia="ja-JP"/>
        </w:rPr>
        <w:t>D</w:t>
      </w:r>
      <w:r>
        <w:rPr>
          <w:rFonts w:ascii="MS PGothic" w:hAnsi="MS PGothic" w:eastAsia="MS PGothic" w:cs="MS PGothic"/>
          <w:szCs w:val="24"/>
          <w:lang w:eastAsia="ja-JP"/>
        </w:rPr>
        <w:t xml:space="preserve">ella Gatta, M. (2023). </w:t>
      </w:r>
      <w:r>
        <w:rPr>
          <w:rFonts w:ascii="MS PGothic" w:hAnsi="MS PGothic" w:eastAsia="MS PGothic" w:cs="MS PGothic"/>
          <w:i/>
          <w:iCs/>
          <w:szCs w:val="24"/>
          <w:lang w:eastAsia="ja-JP"/>
        </w:rPr>
        <w:t>“Facts, not Fear”: Islamophobia, Coronaphobia and the Language of Fear</w:t>
      </w:r>
      <w:r>
        <w:rPr>
          <w:rFonts w:ascii="MS PGothic" w:hAnsi="MS PGothic" w:eastAsia="MS PGothic" w:cs="MS PGothic"/>
          <w:szCs w:val="24"/>
          <w:lang w:eastAsia="ja-JP"/>
        </w:rPr>
        <w:t>. https://doi.org/10.7359/097-2023-delm</w:t>
      </w:r>
    </w:p>
    <w:p w14:paraId="44696D82">
      <w:pPr>
        <w:pStyle w:val="17"/>
        <w:numPr>
          <w:ilvl w:val="0"/>
          <w:numId w:val="1"/>
        </w:numPr>
        <w:spacing w:line="240" w:lineRule="auto"/>
        <w:ind w:leftChars="0"/>
        <w:rPr>
          <w:rFonts w:ascii="MS PGothic" w:hAnsi="MS PGothic" w:eastAsia="MS PGothic" w:cs="MS PGothic"/>
          <w:szCs w:val="24"/>
          <w:lang w:eastAsia="ja-JP"/>
        </w:rPr>
      </w:pPr>
      <w:r>
        <w:rPr>
          <w:rFonts w:ascii="MS PGothic" w:hAnsi="MS PGothic" w:eastAsia="MS PGothic" w:cs="MS PGothic"/>
          <w:szCs w:val="24"/>
          <w:lang w:eastAsia="ja-JP"/>
        </w:rPr>
        <w:t xml:space="preserve">Dubey, S., Biswas, P., Ghosh, R., Chatterjee, S., Dubey, M. J., Chatterjee, S., Lahiri, D., &amp; Lavie, C. J. (2020a). Psychosocial impact of COVID-19. </w:t>
      </w:r>
      <w:r>
        <w:rPr>
          <w:rFonts w:ascii="MS PGothic" w:hAnsi="MS PGothic" w:eastAsia="MS PGothic" w:cs="MS PGothic"/>
          <w:i/>
          <w:iCs/>
          <w:szCs w:val="24"/>
          <w:lang w:eastAsia="ja-JP"/>
        </w:rPr>
        <w:t>Diabetes and Metabolic Syndrome: Clinical Research and Reviews</w:t>
      </w:r>
      <w:r>
        <w:rPr>
          <w:rFonts w:ascii="MS PGothic" w:hAnsi="MS PGothic" w:eastAsia="MS PGothic" w:cs="MS PGothic"/>
          <w:szCs w:val="24"/>
          <w:lang w:eastAsia="ja-JP"/>
        </w:rPr>
        <w:t xml:space="preserve">, </w:t>
      </w:r>
      <w:r>
        <w:rPr>
          <w:rFonts w:ascii="MS PGothic" w:hAnsi="MS PGothic" w:eastAsia="MS PGothic" w:cs="MS PGothic"/>
          <w:i/>
          <w:iCs/>
          <w:szCs w:val="24"/>
          <w:lang w:eastAsia="ja-JP"/>
        </w:rPr>
        <w:t>14</w:t>
      </w:r>
      <w:r>
        <w:rPr>
          <w:rFonts w:ascii="MS PGothic" w:hAnsi="MS PGothic" w:eastAsia="MS PGothic" w:cs="MS PGothic"/>
          <w:szCs w:val="24"/>
          <w:lang w:eastAsia="ja-JP"/>
        </w:rPr>
        <w:t>(5), 779–788. https://doi.org/10.1016/J.DSX.2020.05.035</w:t>
      </w:r>
    </w:p>
    <w:p w14:paraId="2055C33D">
      <w:pPr>
        <w:pStyle w:val="17"/>
        <w:numPr>
          <w:ilvl w:val="0"/>
          <w:numId w:val="1"/>
        </w:numPr>
        <w:spacing w:line="240" w:lineRule="auto"/>
        <w:ind w:leftChars="0"/>
        <w:rPr>
          <w:rFonts w:ascii="MS PGothic" w:hAnsi="MS PGothic" w:eastAsia="MS PGothic" w:cs="MS PGothic"/>
          <w:szCs w:val="24"/>
          <w:lang w:eastAsia="ja-JP"/>
        </w:rPr>
      </w:pPr>
      <w:r>
        <w:rPr>
          <w:rFonts w:ascii="MS PGothic" w:hAnsi="MS PGothic" w:eastAsia="MS PGothic" w:cs="MS PGothic"/>
          <w:szCs w:val="24"/>
          <w:lang w:eastAsia="ja-JP"/>
        </w:rPr>
        <w:t xml:space="preserve">Enea, V., Candel, O. S., Zancu, S. A., Scrumeda, A., Bărbuşelu, M., Largu, A. M., &amp; Manciuc, C. (2022). Death anxiety and burnout in intensive care unit specialists facing the COVID-19 outbreak: The mediating role of obsession with COVID-19 and coronaphobia. </w:t>
      </w:r>
      <w:r>
        <w:rPr>
          <w:rFonts w:ascii="MS PGothic" w:hAnsi="MS PGothic" w:eastAsia="MS PGothic" w:cs="MS PGothic"/>
          <w:i/>
          <w:iCs/>
          <w:szCs w:val="24"/>
          <w:lang w:eastAsia="ja-JP"/>
        </w:rPr>
        <w:t>Death Studies</w:t>
      </w:r>
      <w:r>
        <w:rPr>
          <w:rFonts w:ascii="MS PGothic" w:hAnsi="MS PGothic" w:eastAsia="MS PGothic" w:cs="MS PGothic"/>
          <w:szCs w:val="24"/>
          <w:lang w:eastAsia="ja-JP"/>
        </w:rPr>
        <w:t xml:space="preserve">, </w:t>
      </w:r>
      <w:r>
        <w:rPr>
          <w:rFonts w:ascii="MS PGothic" w:hAnsi="MS PGothic" w:eastAsia="MS PGothic" w:cs="MS PGothic"/>
          <w:i/>
          <w:iCs/>
          <w:szCs w:val="24"/>
          <w:lang w:eastAsia="ja-JP"/>
        </w:rPr>
        <w:t>46</w:t>
      </w:r>
      <w:r>
        <w:rPr>
          <w:rFonts w:ascii="MS PGothic" w:hAnsi="MS PGothic" w:eastAsia="MS PGothic" w:cs="MS PGothic"/>
          <w:szCs w:val="24"/>
          <w:lang w:eastAsia="ja-JP"/>
        </w:rPr>
        <w:t>(10). https://doi.org/10.1080/07481187.2021.1928331</w:t>
      </w:r>
    </w:p>
    <w:p w14:paraId="152FCC3C">
      <w:pPr>
        <w:pStyle w:val="17"/>
        <w:numPr>
          <w:ilvl w:val="0"/>
          <w:numId w:val="1"/>
        </w:numPr>
        <w:spacing w:line="240" w:lineRule="auto"/>
        <w:ind w:leftChars="0"/>
        <w:rPr>
          <w:rFonts w:ascii="MS PGothic" w:hAnsi="MS PGothic" w:eastAsia="MS PGothic" w:cs="MS PGothic"/>
          <w:szCs w:val="24"/>
          <w:lang w:eastAsia="ja-JP"/>
        </w:rPr>
      </w:pPr>
      <w:r>
        <w:rPr>
          <w:rFonts w:ascii="MS PGothic" w:hAnsi="MS PGothic" w:eastAsia="MS PGothic" w:cs="MS PGothic"/>
          <w:szCs w:val="24"/>
          <w:lang w:eastAsia="ja-JP"/>
        </w:rPr>
        <w:t xml:space="preserve">Ertem, U., İrdesel, J., &amp; Göktaş, N. (2022). Level of Coronaphobia In Older Adult Patients. </w:t>
      </w:r>
      <w:r>
        <w:rPr>
          <w:rFonts w:ascii="MS PGothic" w:hAnsi="MS PGothic" w:eastAsia="MS PGothic" w:cs="MS PGothic"/>
          <w:i/>
          <w:iCs/>
          <w:szCs w:val="24"/>
          <w:lang w:eastAsia="ja-JP"/>
        </w:rPr>
        <w:t>Turk Geriatri Dergisi</w:t>
      </w:r>
      <w:r>
        <w:rPr>
          <w:rFonts w:ascii="MS PGothic" w:hAnsi="MS PGothic" w:eastAsia="MS PGothic" w:cs="MS PGothic"/>
          <w:szCs w:val="24"/>
          <w:lang w:eastAsia="ja-JP"/>
        </w:rPr>
        <w:t xml:space="preserve">, </w:t>
      </w:r>
      <w:r>
        <w:rPr>
          <w:rFonts w:ascii="MS PGothic" w:hAnsi="MS PGothic" w:eastAsia="MS PGothic" w:cs="MS PGothic"/>
          <w:i/>
          <w:iCs/>
          <w:szCs w:val="24"/>
          <w:lang w:eastAsia="ja-JP"/>
        </w:rPr>
        <w:t>25</w:t>
      </w:r>
      <w:r>
        <w:rPr>
          <w:rFonts w:ascii="MS PGothic" w:hAnsi="MS PGothic" w:eastAsia="MS PGothic" w:cs="MS PGothic"/>
          <w:szCs w:val="24"/>
          <w:lang w:eastAsia="ja-JP"/>
        </w:rPr>
        <w:t>(2). https://doi.org/10.31086/tjgeri.2022.279</w:t>
      </w:r>
    </w:p>
    <w:p w14:paraId="65BAE1CD">
      <w:pPr>
        <w:pStyle w:val="17"/>
        <w:numPr>
          <w:ilvl w:val="0"/>
          <w:numId w:val="1"/>
        </w:numPr>
        <w:spacing w:line="240" w:lineRule="auto"/>
        <w:ind w:leftChars="0"/>
        <w:rPr>
          <w:rFonts w:ascii="MS PGothic" w:hAnsi="MS PGothic" w:eastAsia="MS PGothic" w:cs="MS PGothic"/>
          <w:szCs w:val="24"/>
          <w:lang w:eastAsia="ja-JP"/>
        </w:rPr>
      </w:pPr>
      <w:r>
        <w:rPr>
          <w:rFonts w:ascii="MS PGothic" w:hAnsi="MS PGothic" w:eastAsia="MS PGothic" w:cs="MS PGothic"/>
          <w:szCs w:val="24"/>
          <w:lang w:eastAsia="ja-JP"/>
        </w:rPr>
        <w:t xml:space="preserve">Fronda, D. C., &amp; Labrague, L. J. (2022). Turnover intention and coronaphobia among frontline nurses during the second surge of COVID-19: The mediating role of social support and coping skills. </w:t>
      </w:r>
      <w:r>
        <w:rPr>
          <w:rFonts w:ascii="MS PGothic" w:hAnsi="MS PGothic" w:eastAsia="MS PGothic" w:cs="MS PGothic"/>
          <w:i/>
          <w:iCs/>
          <w:szCs w:val="24"/>
          <w:lang w:eastAsia="ja-JP"/>
        </w:rPr>
        <w:t>Journal of Nursing Management</w:t>
      </w:r>
      <w:r>
        <w:rPr>
          <w:rFonts w:ascii="MS PGothic" w:hAnsi="MS PGothic" w:eastAsia="MS PGothic" w:cs="MS PGothic"/>
          <w:szCs w:val="24"/>
          <w:lang w:eastAsia="ja-JP"/>
        </w:rPr>
        <w:t xml:space="preserve">, </w:t>
      </w:r>
      <w:r>
        <w:rPr>
          <w:rFonts w:ascii="MS PGothic" w:hAnsi="MS PGothic" w:eastAsia="MS PGothic" w:cs="MS PGothic"/>
          <w:i/>
          <w:iCs/>
          <w:szCs w:val="24"/>
          <w:lang w:eastAsia="ja-JP"/>
        </w:rPr>
        <w:t>30</w:t>
      </w:r>
      <w:r>
        <w:rPr>
          <w:rFonts w:ascii="MS PGothic" w:hAnsi="MS PGothic" w:eastAsia="MS PGothic" w:cs="MS PGothic"/>
          <w:szCs w:val="24"/>
          <w:lang w:eastAsia="ja-JP"/>
        </w:rPr>
        <w:t>(3). https://doi.org/10.1111/jonm.13542</w:t>
      </w:r>
    </w:p>
    <w:p w14:paraId="4D7564AA">
      <w:pPr>
        <w:pStyle w:val="17"/>
        <w:numPr>
          <w:ilvl w:val="0"/>
          <w:numId w:val="1"/>
        </w:numPr>
        <w:spacing w:line="240" w:lineRule="auto"/>
        <w:ind w:leftChars="0"/>
        <w:rPr>
          <w:rFonts w:ascii="MS PGothic" w:hAnsi="MS PGothic" w:eastAsia="MS PGothic" w:cs="MS PGothic"/>
          <w:szCs w:val="24"/>
          <w:lang w:eastAsia="ja-JP"/>
        </w:rPr>
      </w:pPr>
      <w:r>
        <w:rPr>
          <w:rFonts w:ascii="MS PGothic" w:hAnsi="MS PGothic" w:eastAsia="MS PGothic" w:cs="MS PGothic"/>
          <w:szCs w:val="24"/>
          <w:lang w:eastAsia="ja-JP"/>
        </w:rPr>
        <w:t xml:space="preserve">Gökkaya, D., Gürkan, D. Y., &amp; Yorulmaz, R. (2022). Investigation of the Relationship between Fear of Coronavirus, Coronaphobia and Personality Traits. </w:t>
      </w:r>
      <w:r>
        <w:rPr>
          <w:rFonts w:ascii="MS PGothic" w:hAnsi="MS PGothic" w:eastAsia="MS PGothic" w:cs="MS PGothic"/>
          <w:i/>
          <w:iCs/>
          <w:szCs w:val="24"/>
          <w:lang w:eastAsia="ja-JP"/>
        </w:rPr>
        <w:t>Eastern Journal of Medicine</w:t>
      </w:r>
      <w:r>
        <w:rPr>
          <w:rFonts w:ascii="MS PGothic" w:hAnsi="MS PGothic" w:eastAsia="MS PGothic" w:cs="MS PGothic"/>
          <w:szCs w:val="24"/>
          <w:lang w:eastAsia="ja-JP"/>
        </w:rPr>
        <w:t xml:space="preserve">, </w:t>
      </w:r>
      <w:r>
        <w:rPr>
          <w:rFonts w:ascii="MS PGothic" w:hAnsi="MS PGothic" w:eastAsia="MS PGothic" w:cs="MS PGothic"/>
          <w:i/>
          <w:iCs/>
          <w:szCs w:val="24"/>
          <w:lang w:eastAsia="ja-JP"/>
        </w:rPr>
        <w:t>27</w:t>
      </w:r>
      <w:r>
        <w:rPr>
          <w:rFonts w:ascii="MS PGothic" w:hAnsi="MS PGothic" w:eastAsia="MS PGothic" w:cs="MS PGothic"/>
          <w:szCs w:val="24"/>
          <w:lang w:eastAsia="ja-JP"/>
        </w:rPr>
        <w:t>(1). https://doi.org/10.5505/ejm.2022.24992</w:t>
      </w:r>
    </w:p>
    <w:p w14:paraId="2BA3BCE1">
      <w:pPr>
        <w:pStyle w:val="17"/>
        <w:numPr>
          <w:ilvl w:val="0"/>
          <w:numId w:val="1"/>
        </w:numPr>
        <w:spacing w:line="240" w:lineRule="auto"/>
        <w:ind w:leftChars="0"/>
        <w:rPr>
          <w:rFonts w:ascii="MS PGothic" w:hAnsi="MS PGothic" w:eastAsia="MS PGothic" w:cs="MS PGothic"/>
          <w:szCs w:val="24"/>
          <w:lang w:eastAsia="ja-JP"/>
        </w:rPr>
      </w:pPr>
      <w:r>
        <w:rPr>
          <w:rFonts w:ascii="MS PGothic" w:hAnsi="MS PGothic" w:eastAsia="MS PGothic" w:cs="MS PGothic"/>
          <w:szCs w:val="24"/>
          <w:lang w:eastAsia="ja-JP"/>
        </w:rPr>
        <w:t>Goyal, K., Chauhan, P., Chhikara, K., Gupta, P., &amp; Singh, M. P. (2020). Fear of COVID 2019: First suicidal case in India</w:t>
      </w:r>
      <w:r>
        <w:rPr>
          <w:rFonts w:ascii="Cambria Math" w:hAnsi="Cambria Math" w:eastAsia="MS PGothic" w:cs="Cambria Math"/>
          <w:szCs w:val="24"/>
          <w:lang w:eastAsia="ja-JP"/>
        </w:rPr>
        <w:t> </w:t>
      </w:r>
      <w:r>
        <w:rPr>
          <w:rFonts w:ascii="MS PGothic" w:hAnsi="MS PGothic" w:eastAsia="MS PGothic" w:cs="MS PGothic"/>
          <w:szCs w:val="24"/>
          <w:lang w:eastAsia="ja-JP"/>
        </w:rPr>
        <w:t xml:space="preserve">! </w:t>
      </w:r>
      <w:r>
        <w:rPr>
          <w:rFonts w:ascii="MS PGothic" w:hAnsi="MS PGothic" w:eastAsia="MS PGothic" w:cs="MS PGothic"/>
          <w:i/>
          <w:iCs/>
          <w:szCs w:val="24"/>
          <w:lang w:eastAsia="ja-JP"/>
        </w:rPr>
        <w:t>Asian Journal of Psychiatry</w:t>
      </w:r>
      <w:r>
        <w:rPr>
          <w:rFonts w:ascii="MS PGothic" w:hAnsi="MS PGothic" w:eastAsia="MS PGothic" w:cs="MS PGothic"/>
          <w:szCs w:val="24"/>
          <w:lang w:eastAsia="ja-JP"/>
        </w:rPr>
        <w:t xml:space="preserve">, </w:t>
      </w:r>
      <w:r>
        <w:rPr>
          <w:rFonts w:ascii="MS PGothic" w:hAnsi="MS PGothic" w:eastAsia="MS PGothic" w:cs="MS PGothic"/>
          <w:i/>
          <w:iCs/>
          <w:szCs w:val="24"/>
          <w:lang w:eastAsia="ja-JP"/>
        </w:rPr>
        <w:t>49</w:t>
      </w:r>
      <w:r>
        <w:rPr>
          <w:rFonts w:ascii="MS PGothic" w:hAnsi="MS PGothic" w:eastAsia="MS PGothic" w:cs="MS PGothic"/>
          <w:szCs w:val="24"/>
          <w:lang w:eastAsia="ja-JP"/>
        </w:rPr>
        <w:t>. https://doi.org/10.1016/J.AJP.2020.101989</w:t>
      </w:r>
    </w:p>
    <w:p w14:paraId="4391C587">
      <w:pPr>
        <w:pStyle w:val="17"/>
        <w:numPr>
          <w:ilvl w:val="0"/>
          <w:numId w:val="1"/>
        </w:numPr>
        <w:spacing w:line="240" w:lineRule="auto"/>
        <w:ind w:leftChars="0"/>
        <w:rPr>
          <w:rFonts w:ascii="MS PGothic" w:hAnsi="MS PGothic" w:eastAsia="MS PGothic" w:cs="MS PGothic"/>
          <w:szCs w:val="24"/>
          <w:lang w:eastAsia="ja-JP"/>
        </w:rPr>
      </w:pPr>
      <w:r>
        <w:rPr>
          <w:rFonts w:ascii="MS PGothic" w:hAnsi="MS PGothic" w:eastAsia="MS PGothic" w:cs="MS PGothic"/>
          <w:szCs w:val="24"/>
          <w:lang w:eastAsia="ja-JP"/>
        </w:rPr>
        <w:t xml:space="preserve">Haleem, A., Javaid, M., &amp; Vaishya, R. (2020). Effects of COVID-19 pandemic in daily life. </w:t>
      </w:r>
      <w:r>
        <w:rPr>
          <w:rFonts w:ascii="MS PGothic" w:hAnsi="MS PGothic" w:eastAsia="MS PGothic" w:cs="MS PGothic"/>
          <w:i/>
          <w:iCs/>
          <w:szCs w:val="24"/>
          <w:lang w:eastAsia="ja-JP"/>
        </w:rPr>
        <w:t>Current Medicine Research and Practice</w:t>
      </w:r>
      <w:r>
        <w:rPr>
          <w:rFonts w:ascii="MS PGothic" w:hAnsi="MS PGothic" w:eastAsia="MS PGothic" w:cs="MS PGothic"/>
          <w:szCs w:val="24"/>
          <w:lang w:eastAsia="ja-JP"/>
        </w:rPr>
        <w:t xml:space="preserve">, </w:t>
      </w:r>
      <w:r>
        <w:rPr>
          <w:rFonts w:ascii="MS PGothic" w:hAnsi="MS PGothic" w:eastAsia="MS PGothic" w:cs="MS PGothic"/>
          <w:i/>
          <w:iCs/>
          <w:szCs w:val="24"/>
          <w:lang w:eastAsia="ja-JP"/>
        </w:rPr>
        <w:t>10</w:t>
      </w:r>
      <w:r>
        <w:rPr>
          <w:rFonts w:ascii="MS PGothic" w:hAnsi="MS PGothic" w:eastAsia="MS PGothic" w:cs="MS PGothic"/>
          <w:szCs w:val="24"/>
          <w:lang w:eastAsia="ja-JP"/>
        </w:rPr>
        <w:t>(2), 78–79. https://doi.org/10.1016/J.CMRP.2020.03.011</w:t>
      </w:r>
    </w:p>
    <w:p w14:paraId="0313032E">
      <w:pPr>
        <w:pStyle w:val="17"/>
        <w:numPr>
          <w:ilvl w:val="0"/>
          <w:numId w:val="1"/>
        </w:numPr>
        <w:spacing w:line="240" w:lineRule="auto"/>
        <w:ind w:leftChars="0"/>
        <w:rPr>
          <w:rFonts w:ascii="MS PGothic" w:hAnsi="MS PGothic" w:eastAsia="MS PGothic" w:cs="MS PGothic"/>
          <w:szCs w:val="24"/>
          <w:lang w:eastAsia="ja-JP"/>
        </w:rPr>
      </w:pPr>
      <w:r>
        <w:rPr>
          <w:rFonts w:ascii="MS PGothic" w:hAnsi="MS PGothic" w:eastAsia="MS PGothic" w:cs="MS PGothic"/>
          <w:szCs w:val="24"/>
          <w:lang w:eastAsia="ja-JP"/>
        </w:rPr>
        <w:t xml:space="preserve">Heidari, P., Broadbear, J. H., Cheney, L., Dharwadkar, N. P., &amp; Rao, S. (2022). The impact of COVID-19 lockdown on the well-being of clients of a specialist personality disorder service. </w:t>
      </w:r>
      <w:r>
        <w:rPr>
          <w:rFonts w:ascii="MS PGothic" w:hAnsi="MS PGothic" w:eastAsia="MS PGothic" w:cs="MS PGothic"/>
          <w:i/>
          <w:iCs/>
          <w:szCs w:val="24"/>
          <w:lang w:eastAsia="ja-JP"/>
        </w:rPr>
        <w:t>Australasian Psychiatry</w:t>
      </w:r>
      <w:r>
        <w:rPr>
          <w:rFonts w:ascii="MS PGothic" w:hAnsi="MS PGothic" w:eastAsia="MS PGothic" w:cs="MS PGothic"/>
          <w:szCs w:val="24"/>
          <w:lang w:eastAsia="ja-JP"/>
        </w:rPr>
        <w:t xml:space="preserve">, </w:t>
      </w:r>
      <w:r>
        <w:rPr>
          <w:rFonts w:ascii="MS PGothic" w:hAnsi="MS PGothic" w:eastAsia="MS PGothic" w:cs="MS PGothic"/>
          <w:i/>
          <w:iCs/>
          <w:szCs w:val="24"/>
          <w:lang w:eastAsia="ja-JP"/>
        </w:rPr>
        <w:t>30</w:t>
      </w:r>
      <w:r>
        <w:rPr>
          <w:rFonts w:ascii="MS PGothic" w:hAnsi="MS PGothic" w:eastAsia="MS PGothic" w:cs="MS PGothic"/>
          <w:szCs w:val="24"/>
          <w:lang w:eastAsia="ja-JP"/>
        </w:rPr>
        <w:t>(2). https://doi.org/10.1177/10398562211057078</w:t>
      </w:r>
    </w:p>
    <w:p w14:paraId="0B6D9E68">
      <w:pPr>
        <w:pStyle w:val="17"/>
        <w:numPr>
          <w:ilvl w:val="0"/>
          <w:numId w:val="1"/>
        </w:numPr>
        <w:spacing w:line="240" w:lineRule="auto"/>
        <w:ind w:leftChars="0"/>
        <w:rPr>
          <w:rFonts w:ascii="MS PGothic" w:hAnsi="MS PGothic" w:eastAsia="MS PGothic" w:cs="MS PGothic"/>
          <w:szCs w:val="24"/>
          <w:lang w:eastAsia="ja-JP"/>
        </w:rPr>
      </w:pPr>
      <w:r>
        <w:rPr>
          <w:rFonts w:ascii="MS PGothic" w:hAnsi="MS PGothic" w:eastAsia="MS PGothic" w:cs="MS PGothic"/>
          <w:szCs w:val="24"/>
          <w:lang w:eastAsia="ja-JP"/>
        </w:rPr>
        <w:t xml:space="preserve">Huang, Y., &amp; Zhao, N. (2020a). Generalized anxiety disorder, depressive symptoms and sleep quality during COVID-19 outbreak in China: a web-based cross-sectional survey. </w:t>
      </w:r>
      <w:r>
        <w:rPr>
          <w:rFonts w:ascii="MS PGothic" w:hAnsi="MS PGothic" w:eastAsia="MS PGothic" w:cs="MS PGothic"/>
          <w:i/>
          <w:iCs/>
          <w:szCs w:val="24"/>
          <w:lang w:eastAsia="ja-JP"/>
        </w:rPr>
        <w:t>Psychiatry Research</w:t>
      </w:r>
      <w:r>
        <w:rPr>
          <w:rFonts w:ascii="MS PGothic" w:hAnsi="MS PGothic" w:eastAsia="MS PGothic" w:cs="MS PGothic"/>
          <w:szCs w:val="24"/>
          <w:lang w:eastAsia="ja-JP"/>
        </w:rPr>
        <w:t xml:space="preserve">, </w:t>
      </w:r>
      <w:r>
        <w:rPr>
          <w:rFonts w:ascii="MS PGothic" w:hAnsi="MS PGothic" w:eastAsia="MS PGothic" w:cs="MS PGothic"/>
          <w:i/>
          <w:iCs/>
          <w:szCs w:val="24"/>
          <w:lang w:eastAsia="ja-JP"/>
        </w:rPr>
        <w:t>288</w:t>
      </w:r>
      <w:r>
        <w:rPr>
          <w:rFonts w:ascii="MS PGothic" w:hAnsi="MS PGothic" w:eastAsia="MS PGothic" w:cs="MS PGothic"/>
          <w:szCs w:val="24"/>
          <w:lang w:eastAsia="ja-JP"/>
        </w:rPr>
        <w:t>.</w:t>
      </w:r>
    </w:p>
    <w:p w14:paraId="0762B316">
      <w:pPr>
        <w:pStyle w:val="17"/>
        <w:numPr>
          <w:ilvl w:val="0"/>
          <w:numId w:val="1"/>
        </w:numPr>
        <w:spacing w:line="240" w:lineRule="auto"/>
        <w:ind w:leftChars="0"/>
        <w:rPr>
          <w:rFonts w:ascii="MS PGothic" w:hAnsi="MS PGothic" w:eastAsia="MS PGothic" w:cs="MS PGothic"/>
          <w:szCs w:val="24"/>
          <w:lang w:eastAsia="ja-JP"/>
        </w:rPr>
      </w:pPr>
      <w:r>
        <w:rPr>
          <w:rFonts w:ascii="MS PGothic" w:hAnsi="MS PGothic" w:eastAsia="MS PGothic" w:cs="MS PGothic"/>
          <w:szCs w:val="24"/>
          <w:lang w:eastAsia="ja-JP"/>
        </w:rPr>
        <w:t xml:space="preserve">Huang, Y., &amp; Zhao, N. (2020b). Retraction notice to “Chinese mental health burden during the COVID-19 pandemic” [Asian J. Psychiatr. 51 (2020) 102052] (Asian Journal of Psychiatry (2020) 51, (S1876201820301635), (10.1016/j.ajp.2020.102052)). </w:t>
      </w:r>
      <w:r>
        <w:rPr>
          <w:rFonts w:ascii="MS PGothic" w:hAnsi="MS PGothic" w:eastAsia="MS PGothic" w:cs="MS PGothic"/>
          <w:i/>
          <w:iCs/>
          <w:szCs w:val="24"/>
          <w:lang w:eastAsia="ja-JP"/>
        </w:rPr>
        <w:t>Asian Journal of Psychiatry</w:t>
      </w:r>
      <w:r>
        <w:rPr>
          <w:rFonts w:ascii="MS PGothic" w:hAnsi="MS PGothic" w:eastAsia="MS PGothic" w:cs="MS PGothic"/>
          <w:szCs w:val="24"/>
          <w:lang w:eastAsia="ja-JP"/>
        </w:rPr>
        <w:t xml:space="preserve">, </w:t>
      </w:r>
      <w:r>
        <w:rPr>
          <w:rFonts w:ascii="MS PGothic" w:hAnsi="MS PGothic" w:eastAsia="MS PGothic" w:cs="MS PGothic"/>
          <w:i/>
          <w:iCs/>
          <w:szCs w:val="24"/>
          <w:lang w:eastAsia="ja-JP"/>
        </w:rPr>
        <w:t>54</w:t>
      </w:r>
      <w:r>
        <w:rPr>
          <w:rFonts w:ascii="MS PGothic" w:hAnsi="MS PGothic" w:eastAsia="MS PGothic" w:cs="MS PGothic"/>
          <w:szCs w:val="24"/>
          <w:lang w:eastAsia="ja-JP"/>
        </w:rPr>
        <w:t>.</w:t>
      </w:r>
    </w:p>
    <w:p w14:paraId="707CF90B">
      <w:pPr>
        <w:pStyle w:val="17"/>
        <w:numPr>
          <w:ilvl w:val="0"/>
          <w:numId w:val="1"/>
        </w:numPr>
        <w:spacing w:line="240" w:lineRule="auto"/>
        <w:ind w:leftChars="0"/>
        <w:rPr>
          <w:rFonts w:ascii="MS PGothic" w:hAnsi="MS PGothic" w:eastAsia="MS PGothic" w:cs="MS PGothic"/>
          <w:szCs w:val="24"/>
          <w:lang w:eastAsia="ja-JP"/>
        </w:rPr>
      </w:pPr>
      <w:r>
        <w:rPr>
          <w:rFonts w:ascii="MS PGothic" w:hAnsi="MS PGothic" w:eastAsia="MS PGothic" w:cs="MS PGothic"/>
          <w:szCs w:val="24"/>
          <w:lang w:eastAsia="ja-JP"/>
        </w:rPr>
        <w:t xml:space="preserve">İpek Dongaz, Ö., Özen Oruk, D., Güp, A. A., Koç, M., Bayar, B., &amp; Bayar, K. (2023). Coronaphobia among healthcare professionals and its associations with sleep quality, physical activity, and fatigue in Turkey. </w:t>
      </w:r>
      <w:r>
        <w:rPr>
          <w:rFonts w:ascii="MS PGothic" w:hAnsi="MS PGothic" w:eastAsia="MS PGothic" w:cs="MS PGothic"/>
          <w:i/>
          <w:iCs/>
          <w:szCs w:val="24"/>
          <w:lang w:eastAsia="ja-JP"/>
        </w:rPr>
        <w:t>International Journal of Healthcare Management</w:t>
      </w:r>
      <w:r>
        <w:rPr>
          <w:rFonts w:ascii="MS PGothic" w:hAnsi="MS PGothic" w:eastAsia="MS PGothic" w:cs="MS PGothic"/>
          <w:szCs w:val="24"/>
          <w:lang w:eastAsia="ja-JP"/>
        </w:rPr>
        <w:t>. https://doi.org/10.1080/20479700.2023.2210392</w:t>
      </w:r>
    </w:p>
    <w:p w14:paraId="056B166F">
      <w:pPr>
        <w:pStyle w:val="17"/>
        <w:numPr>
          <w:ilvl w:val="0"/>
          <w:numId w:val="1"/>
        </w:numPr>
        <w:spacing w:line="240" w:lineRule="auto"/>
        <w:ind w:leftChars="0"/>
        <w:rPr>
          <w:rFonts w:ascii="MS PGothic" w:hAnsi="MS PGothic" w:eastAsia="MS PGothic" w:cs="MS PGothic"/>
          <w:szCs w:val="24"/>
          <w:lang w:eastAsia="ja-JP"/>
        </w:rPr>
      </w:pPr>
      <w:r>
        <w:rPr>
          <w:rFonts w:ascii="MS PGothic" w:hAnsi="MS PGothic" w:eastAsia="MS PGothic" w:cs="MS PGothic"/>
          <w:szCs w:val="24"/>
          <w:lang w:eastAsia="ja-JP"/>
        </w:rPr>
        <w:t xml:space="preserve">Jacob, L., Bohlken, J., &amp; Kostev, K. (2021). What have we learned in the past year? A study on pharmacy purchases of psychiatric drugs from wholesalers in the days prior to the first and second COVID-19 lockdowns in Germany. </w:t>
      </w:r>
      <w:r>
        <w:rPr>
          <w:rFonts w:ascii="MS PGothic" w:hAnsi="MS PGothic" w:eastAsia="MS PGothic" w:cs="MS PGothic"/>
          <w:i/>
          <w:iCs/>
          <w:szCs w:val="24"/>
          <w:lang w:eastAsia="ja-JP"/>
        </w:rPr>
        <w:t>Journal of Psychiatric Research</w:t>
      </w:r>
      <w:r>
        <w:rPr>
          <w:rFonts w:ascii="MS PGothic" w:hAnsi="MS PGothic" w:eastAsia="MS PGothic" w:cs="MS PGothic"/>
          <w:szCs w:val="24"/>
          <w:lang w:eastAsia="ja-JP"/>
        </w:rPr>
        <w:t xml:space="preserve">, </w:t>
      </w:r>
      <w:r>
        <w:rPr>
          <w:rFonts w:ascii="MS PGothic" w:hAnsi="MS PGothic" w:eastAsia="MS PGothic" w:cs="MS PGothic"/>
          <w:i/>
          <w:iCs/>
          <w:szCs w:val="24"/>
          <w:lang w:eastAsia="ja-JP"/>
        </w:rPr>
        <w:t>140</w:t>
      </w:r>
      <w:r>
        <w:rPr>
          <w:rFonts w:ascii="MS PGothic" w:hAnsi="MS PGothic" w:eastAsia="MS PGothic" w:cs="MS PGothic"/>
          <w:szCs w:val="24"/>
          <w:lang w:eastAsia="ja-JP"/>
        </w:rPr>
        <w:t>, 346–349.</w:t>
      </w:r>
    </w:p>
    <w:p w14:paraId="7F3E594F">
      <w:pPr>
        <w:pStyle w:val="17"/>
        <w:numPr>
          <w:ilvl w:val="0"/>
          <w:numId w:val="1"/>
        </w:numPr>
        <w:spacing w:line="240" w:lineRule="auto"/>
        <w:ind w:leftChars="0"/>
        <w:rPr>
          <w:rFonts w:ascii="MS PGothic" w:hAnsi="MS PGothic" w:eastAsia="MS PGothic" w:cs="MS PGothic"/>
          <w:szCs w:val="24"/>
          <w:lang w:eastAsia="ja-JP"/>
        </w:rPr>
      </w:pPr>
      <w:r>
        <w:rPr>
          <w:rFonts w:ascii="MS PGothic" w:hAnsi="MS PGothic" w:eastAsia="MS PGothic" w:cs="MS PGothic"/>
          <w:szCs w:val="24"/>
          <w:lang w:eastAsia="ja-JP"/>
        </w:rPr>
        <w:t>Kanoh, H.  (</w:t>
      </w:r>
      <w:r>
        <w:rPr>
          <w:rFonts w:hint="eastAsia" w:ascii="MS PGothic" w:hAnsi="MS PGothic" w:eastAsia="MS PGothic" w:cs="MS PGothic"/>
          <w:szCs w:val="24"/>
          <w:lang w:eastAsia="ja-JP"/>
        </w:rPr>
        <w:t>2021</w:t>
      </w:r>
      <w:r>
        <w:rPr>
          <w:rFonts w:ascii="MS PGothic" w:hAnsi="MS PGothic" w:eastAsia="MS PGothic" w:cs="MS PGothic"/>
          <w:szCs w:val="24"/>
          <w:lang w:eastAsia="ja-JP"/>
        </w:rPr>
        <w:t xml:space="preserve">) </w:t>
      </w:r>
      <w:r>
        <w:rPr>
          <w:rFonts w:hint="eastAsia" w:ascii="MS PGothic" w:hAnsi="MS PGothic" w:eastAsia="MS PGothic" w:cs="MS PGothic"/>
          <w:szCs w:val="24"/>
          <w:lang w:eastAsia="ja-JP"/>
        </w:rPr>
        <w:t>Classification of the Transition Patterns of the Number of COVID-19 Patients，The World in Different Perspective Rebuilding Lessons after a Crisis，2-16.</w:t>
      </w:r>
    </w:p>
    <w:p w14:paraId="56948A83">
      <w:pPr>
        <w:pStyle w:val="17"/>
        <w:numPr>
          <w:ilvl w:val="0"/>
          <w:numId w:val="1"/>
        </w:numPr>
        <w:spacing w:line="240" w:lineRule="auto"/>
        <w:ind w:leftChars="0"/>
        <w:rPr>
          <w:rFonts w:ascii="MS PGothic" w:hAnsi="MS PGothic" w:eastAsia="MS PGothic" w:cs="MS PGothic"/>
          <w:szCs w:val="24"/>
          <w:lang w:eastAsia="ja-JP"/>
        </w:rPr>
      </w:pPr>
      <w:r>
        <w:rPr>
          <w:rFonts w:ascii="MS PGothic" w:hAnsi="MS PGothic" w:eastAsia="MS PGothic" w:cs="MS PGothic"/>
          <w:szCs w:val="24"/>
          <w:lang w:eastAsia="ja-JP"/>
        </w:rPr>
        <w:t>Kanoh, H.  (2022)</w:t>
      </w:r>
      <w:r>
        <w:rPr>
          <w:rFonts w:hint="eastAsia" w:ascii="MS PGothic" w:hAnsi="MS PGothic" w:eastAsia="MS PGothic" w:cs="MS PGothic"/>
          <w:szCs w:val="24"/>
          <w:lang w:eastAsia="ja-JP"/>
        </w:rPr>
        <w:t xml:space="preserve"> </w:t>
      </w:r>
      <w:r>
        <w:rPr>
          <w:rFonts w:ascii="MS PGothic" w:hAnsi="MS PGothic" w:eastAsia="MS PGothic" w:cs="MS PGothic"/>
          <w:szCs w:val="24"/>
          <w:lang w:eastAsia="ja-JP"/>
        </w:rPr>
        <w:t>The Japanese Students’ Behavioral Coronaphobia, Pedagogy for Online Learning Theory and Practice, 57-71</w:t>
      </w:r>
      <w:r>
        <w:rPr>
          <w:rFonts w:hint="eastAsia" w:ascii="MS PGothic" w:hAnsi="MS PGothic" w:eastAsia="MS PGothic" w:cs="MS PGothic"/>
          <w:szCs w:val="24"/>
          <w:lang w:eastAsia="ja-JP"/>
        </w:rPr>
        <w:t>.</w:t>
      </w:r>
    </w:p>
    <w:p w14:paraId="7848616F">
      <w:pPr>
        <w:pStyle w:val="17"/>
        <w:numPr>
          <w:ilvl w:val="0"/>
          <w:numId w:val="1"/>
        </w:numPr>
        <w:spacing w:line="240" w:lineRule="auto"/>
        <w:ind w:leftChars="0"/>
        <w:rPr>
          <w:rFonts w:ascii="MS PGothic" w:hAnsi="MS PGothic" w:eastAsia="MS PGothic" w:cs="MS PGothic"/>
          <w:szCs w:val="24"/>
          <w:lang w:eastAsia="ja-JP"/>
        </w:rPr>
      </w:pPr>
      <w:r>
        <w:rPr>
          <w:rFonts w:hint="eastAsia" w:ascii="MS PGothic" w:hAnsi="MS PGothic" w:eastAsia="MS PGothic" w:cs="MS PGothic"/>
          <w:szCs w:val="24"/>
          <w:lang w:eastAsia="ja-JP"/>
        </w:rPr>
        <w:t>Karazeybek</w:t>
      </w:r>
      <w:r>
        <w:rPr>
          <w:rFonts w:ascii="MS PGothic" w:hAnsi="MS PGothic" w:eastAsia="MS PGothic" w:cs="MS PGothic"/>
          <w:szCs w:val="24"/>
          <w:lang w:eastAsia="ja-JP"/>
        </w:rPr>
        <w:t xml:space="preserve">, E., Ozdemir, C., &amp; </w:t>
      </w:r>
      <w:r>
        <w:rPr>
          <w:rFonts w:hint="eastAsia" w:ascii="MS PGothic" w:hAnsi="MS PGothic" w:eastAsia="MS PGothic" w:cs="MS PGothic"/>
          <w:szCs w:val="24"/>
          <w:lang w:eastAsia="ja-JP"/>
        </w:rPr>
        <w:t>Aker</w:t>
      </w:r>
      <w:r>
        <w:rPr>
          <w:rFonts w:ascii="MS PGothic" w:hAnsi="MS PGothic" w:eastAsia="MS PGothic" w:cs="MS PGothic"/>
          <w:szCs w:val="24"/>
          <w:lang w:eastAsia="ja-JP"/>
        </w:rPr>
        <w:t xml:space="preserve">, F. Z. (2023). Impact of COVID-19 Pandemic on Coronaphobia of Nurses: An Analytical Cross-Sectional Study. </w:t>
      </w:r>
      <w:r>
        <w:rPr>
          <w:rFonts w:ascii="MS PGothic" w:hAnsi="MS PGothic" w:eastAsia="MS PGothic" w:cs="MS PGothic"/>
          <w:i/>
          <w:iCs/>
          <w:szCs w:val="24"/>
          <w:lang w:eastAsia="ja-JP"/>
        </w:rPr>
        <w:t>Turkiye Klinikleri Journal of Nursing Sciences</w:t>
      </w:r>
      <w:r>
        <w:rPr>
          <w:rFonts w:ascii="MS PGothic" w:hAnsi="MS PGothic" w:eastAsia="MS PGothic" w:cs="MS PGothic"/>
          <w:szCs w:val="24"/>
          <w:lang w:eastAsia="ja-JP"/>
        </w:rPr>
        <w:t xml:space="preserve">, </w:t>
      </w:r>
      <w:r>
        <w:rPr>
          <w:rFonts w:ascii="MS PGothic" w:hAnsi="MS PGothic" w:eastAsia="MS PGothic" w:cs="MS PGothic"/>
          <w:i/>
          <w:iCs/>
          <w:szCs w:val="24"/>
          <w:lang w:eastAsia="ja-JP"/>
        </w:rPr>
        <w:t>15</w:t>
      </w:r>
      <w:r>
        <w:rPr>
          <w:rFonts w:ascii="MS PGothic" w:hAnsi="MS PGothic" w:eastAsia="MS PGothic" w:cs="MS PGothic"/>
          <w:szCs w:val="24"/>
          <w:lang w:eastAsia="ja-JP"/>
        </w:rPr>
        <w:t>(3). https://doi.org/10.5336/nurses.2023-96196</w:t>
      </w:r>
    </w:p>
    <w:p w14:paraId="0BCED99C">
      <w:pPr>
        <w:pStyle w:val="17"/>
        <w:numPr>
          <w:ilvl w:val="0"/>
          <w:numId w:val="1"/>
        </w:numPr>
        <w:spacing w:line="240" w:lineRule="auto"/>
        <w:ind w:leftChars="0"/>
        <w:rPr>
          <w:rFonts w:ascii="MS PGothic" w:hAnsi="MS PGothic" w:eastAsia="MS PGothic" w:cs="MS PGothic"/>
          <w:szCs w:val="24"/>
          <w:lang w:eastAsia="ja-JP"/>
        </w:rPr>
      </w:pPr>
      <w:r>
        <w:rPr>
          <w:rFonts w:ascii="MS PGothic" w:hAnsi="MS PGothic" w:eastAsia="MS PGothic" w:cs="MS PGothic"/>
          <w:szCs w:val="24"/>
          <w:lang w:eastAsia="ja-JP"/>
        </w:rPr>
        <w:t xml:space="preserve">Kissler, S. M., Tedijanto, C., Goldstein, E., Grad, Y. H., &amp; Lipsitch, M. (2020). Projecting the transmission dynamics of SARS-CoV-2 through the postpandemic period. </w:t>
      </w:r>
      <w:r>
        <w:rPr>
          <w:rFonts w:ascii="MS PGothic" w:hAnsi="MS PGothic" w:eastAsia="MS PGothic" w:cs="MS PGothic"/>
          <w:i/>
          <w:iCs/>
          <w:szCs w:val="24"/>
          <w:lang w:eastAsia="ja-JP"/>
        </w:rPr>
        <w:t>Science</w:t>
      </w:r>
      <w:r>
        <w:rPr>
          <w:rFonts w:ascii="MS PGothic" w:hAnsi="MS PGothic" w:eastAsia="MS PGothic" w:cs="MS PGothic"/>
          <w:szCs w:val="24"/>
          <w:lang w:eastAsia="ja-JP"/>
        </w:rPr>
        <w:t xml:space="preserve">, </w:t>
      </w:r>
      <w:r>
        <w:rPr>
          <w:rFonts w:ascii="MS PGothic" w:hAnsi="MS PGothic" w:eastAsia="MS PGothic" w:cs="MS PGothic"/>
          <w:i/>
          <w:iCs/>
          <w:szCs w:val="24"/>
          <w:lang w:eastAsia="ja-JP"/>
        </w:rPr>
        <w:t>368</w:t>
      </w:r>
      <w:r>
        <w:rPr>
          <w:rFonts w:ascii="MS PGothic" w:hAnsi="MS PGothic" w:eastAsia="MS PGothic" w:cs="MS PGothic"/>
          <w:szCs w:val="24"/>
          <w:lang w:eastAsia="ja-JP"/>
        </w:rPr>
        <w:t>(6493), 860–868. https://doi.org/10.1126/SCIENCE.ABB5793</w:t>
      </w:r>
    </w:p>
    <w:p w14:paraId="197EF9EF">
      <w:pPr>
        <w:pStyle w:val="17"/>
        <w:numPr>
          <w:ilvl w:val="0"/>
          <w:numId w:val="1"/>
        </w:numPr>
        <w:spacing w:line="240" w:lineRule="auto"/>
        <w:ind w:leftChars="0"/>
        <w:rPr>
          <w:rFonts w:ascii="MS PGothic" w:hAnsi="MS PGothic" w:eastAsia="MS PGothic" w:cs="MS PGothic"/>
          <w:szCs w:val="24"/>
          <w:lang w:eastAsia="ja-JP"/>
        </w:rPr>
      </w:pPr>
      <w:r>
        <w:rPr>
          <w:rFonts w:ascii="MS PGothic" w:hAnsi="MS PGothic" w:eastAsia="MS PGothic" w:cs="MS PGothic"/>
          <w:szCs w:val="24"/>
          <w:lang w:eastAsia="ja-JP"/>
        </w:rPr>
        <w:t xml:space="preserve">Kulkarni, P., Prabhu, S., D, S. K., &amp; Ramraj, B. (2020). Covid-19-infodemic overtaking pandemic? Time to disseminate facts over fear. </w:t>
      </w:r>
      <w:r>
        <w:rPr>
          <w:rFonts w:ascii="MS PGothic" w:hAnsi="MS PGothic" w:eastAsia="MS PGothic" w:cs="MS PGothic"/>
          <w:i/>
          <w:iCs/>
          <w:szCs w:val="24"/>
          <w:lang w:eastAsia="ja-JP"/>
        </w:rPr>
        <w:t>Indian Journal of Community Health</w:t>
      </w:r>
      <w:r>
        <w:rPr>
          <w:rFonts w:ascii="MS PGothic" w:hAnsi="MS PGothic" w:eastAsia="MS PGothic" w:cs="MS PGothic"/>
          <w:szCs w:val="24"/>
          <w:lang w:eastAsia="ja-JP"/>
        </w:rPr>
        <w:t xml:space="preserve">, </w:t>
      </w:r>
      <w:r>
        <w:rPr>
          <w:rFonts w:ascii="MS PGothic" w:hAnsi="MS PGothic" w:eastAsia="MS PGothic" w:cs="MS PGothic"/>
          <w:i/>
          <w:iCs/>
          <w:szCs w:val="24"/>
          <w:lang w:eastAsia="ja-JP"/>
        </w:rPr>
        <w:t>32</w:t>
      </w:r>
      <w:r>
        <w:rPr>
          <w:rFonts w:ascii="MS PGothic" w:hAnsi="MS PGothic" w:eastAsia="MS PGothic" w:cs="MS PGothic"/>
          <w:szCs w:val="24"/>
          <w:lang w:eastAsia="ja-JP"/>
        </w:rPr>
        <w:t>(2 Special Issue), 264–268. https://doi.org/10.47203/IJCH.2020.V32I02SUPP.018</w:t>
      </w:r>
    </w:p>
    <w:p w14:paraId="37470B82">
      <w:pPr>
        <w:pStyle w:val="17"/>
        <w:numPr>
          <w:ilvl w:val="0"/>
          <w:numId w:val="1"/>
        </w:numPr>
        <w:spacing w:line="240" w:lineRule="auto"/>
        <w:ind w:leftChars="0"/>
        <w:rPr>
          <w:rFonts w:ascii="MS PGothic" w:hAnsi="MS PGothic" w:eastAsia="MS PGothic" w:cs="MS PGothic"/>
          <w:szCs w:val="24"/>
          <w:lang w:eastAsia="ja-JP"/>
        </w:rPr>
      </w:pPr>
      <w:r>
        <w:rPr>
          <w:rFonts w:ascii="MS PGothic" w:hAnsi="MS PGothic" w:eastAsia="MS PGothic" w:cs="MS PGothic"/>
          <w:szCs w:val="24"/>
          <w:lang w:eastAsia="ja-JP"/>
        </w:rPr>
        <w:t xml:space="preserve">Lee, S. A. (2020). Coronavirus Anxiety Scale: A brief mental health screener for COVID-19 related anxiety. </w:t>
      </w:r>
      <w:r>
        <w:rPr>
          <w:rFonts w:ascii="MS PGothic" w:hAnsi="MS PGothic" w:eastAsia="MS PGothic" w:cs="MS PGothic"/>
          <w:i/>
          <w:iCs/>
          <w:szCs w:val="24"/>
          <w:lang w:eastAsia="ja-JP"/>
        </w:rPr>
        <w:t>Death Studies</w:t>
      </w:r>
      <w:r>
        <w:rPr>
          <w:rFonts w:ascii="MS PGothic" w:hAnsi="MS PGothic" w:eastAsia="MS PGothic" w:cs="MS PGothic"/>
          <w:szCs w:val="24"/>
          <w:lang w:eastAsia="ja-JP"/>
        </w:rPr>
        <w:t xml:space="preserve">, </w:t>
      </w:r>
      <w:r>
        <w:rPr>
          <w:rFonts w:ascii="MS PGothic" w:hAnsi="MS PGothic" w:eastAsia="MS PGothic" w:cs="MS PGothic"/>
          <w:i/>
          <w:iCs/>
          <w:szCs w:val="24"/>
          <w:lang w:eastAsia="ja-JP"/>
        </w:rPr>
        <w:t>44</w:t>
      </w:r>
      <w:r>
        <w:rPr>
          <w:rFonts w:ascii="MS PGothic" w:hAnsi="MS PGothic" w:eastAsia="MS PGothic" w:cs="MS PGothic"/>
          <w:szCs w:val="24"/>
          <w:lang w:eastAsia="ja-JP"/>
        </w:rPr>
        <w:t>(7), 393–401. https://doi.org/10.1080/07481187.2020.1748481</w:t>
      </w:r>
    </w:p>
    <w:p w14:paraId="3B915138">
      <w:pPr>
        <w:pStyle w:val="17"/>
        <w:numPr>
          <w:ilvl w:val="0"/>
          <w:numId w:val="1"/>
        </w:numPr>
        <w:spacing w:line="240" w:lineRule="auto"/>
        <w:ind w:leftChars="0"/>
        <w:rPr>
          <w:rFonts w:ascii="MS PGothic" w:hAnsi="MS PGothic" w:eastAsia="MS PGothic" w:cs="MS PGothic"/>
          <w:szCs w:val="24"/>
          <w:lang w:eastAsia="ja-JP"/>
        </w:rPr>
      </w:pPr>
      <w:r>
        <w:rPr>
          <w:rFonts w:ascii="MS PGothic" w:hAnsi="MS PGothic" w:eastAsia="MS PGothic" w:cs="MS PGothic"/>
          <w:szCs w:val="24"/>
          <w:lang w:eastAsia="ja-JP"/>
        </w:rPr>
        <w:t xml:space="preserve">Li, W., Yang, Y., Liu, Z. H., Zhao, Y. J., Zhang, Q., Zhang, L., Cheung, T., &amp; Xiang, Y. T. (2020). Progression of mental health services during the COVID-19 outbreak in China. </w:t>
      </w:r>
      <w:r>
        <w:rPr>
          <w:rFonts w:ascii="MS PGothic" w:hAnsi="MS PGothic" w:eastAsia="MS PGothic" w:cs="MS PGothic"/>
          <w:i/>
          <w:iCs/>
          <w:szCs w:val="24"/>
          <w:lang w:eastAsia="ja-JP"/>
        </w:rPr>
        <w:t>International Journal of Biological Sciences</w:t>
      </w:r>
      <w:r>
        <w:rPr>
          <w:rFonts w:ascii="MS PGothic" w:hAnsi="MS PGothic" w:eastAsia="MS PGothic" w:cs="MS PGothic"/>
          <w:szCs w:val="24"/>
          <w:lang w:eastAsia="ja-JP"/>
        </w:rPr>
        <w:t xml:space="preserve">, </w:t>
      </w:r>
      <w:r>
        <w:rPr>
          <w:rFonts w:ascii="MS PGothic" w:hAnsi="MS PGothic" w:eastAsia="MS PGothic" w:cs="MS PGothic"/>
          <w:i/>
          <w:iCs/>
          <w:szCs w:val="24"/>
          <w:lang w:eastAsia="ja-JP"/>
        </w:rPr>
        <w:t>16</w:t>
      </w:r>
      <w:r>
        <w:rPr>
          <w:rFonts w:ascii="MS PGothic" w:hAnsi="MS PGothic" w:eastAsia="MS PGothic" w:cs="MS PGothic"/>
          <w:szCs w:val="24"/>
          <w:lang w:eastAsia="ja-JP"/>
        </w:rPr>
        <w:t>(10), 1732–1738. https://doi.org/10.7150/IJBS.45120</w:t>
      </w:r>
    </w:p>
    <w:p w14:paraId="50E5A6C3">
      <w:pPr>
        <w:pStyle w:val="17"/>
        <w:numPr>
          <w:ilvl w:val="0"/>
          <w:numId w:val="1"/>
        </w:numPr>
        <w:spacing w:line="240" w:lineRule="auto"/>
        <w:ind w:leftChars="0"/>
        <w:rPr>
          <w:rFonts w:ascii="MS PGothic" w:hAnsi="MS PGothic" w:eastAsia="MS PGothic" w:cs="MS PGothic"/>
          <w:szCs w:val="24"/>
          <w:lang w:eastAsia="ja-JP"/>
        </w:rPr>
      </w:pPr>
      <w:r>
        <w:rPr>
          <w:rFonts w:ascii="MS PGothic" w:hAnsi="MS PGothic" w:eastAsia="MS PGothic" w:cs="MS PGothic"/>
          <w:szCs w:val="24"/>
          <w:lang w:eastAsia="ja-JP"/>
        </w:rPr>
        <w:t xml:space="preserve">Lobos-Rivera, M. E., Marroquín-Carpio, W. C., Caycho-Rodríguez, T., Lee, S. A., Tejada Rodríguez, J. C., Flores-Monterrosa, A. N., Valencia, P. D., Carbajal-León, C., Vilca, L. W., Torales, J., &amp; Reyes-Bossio, M. (2023). Does the Coronavirus Anxiety Scale Measure Coronaphobia the Same Way for Mourners With and Without Dysfunctional Grief? </w:t>
      </w:r>
      <w:r>
        <w:rPr>
          <w:rFonts w:ascii="MS PGothic" w:hAnsi="MS PGothic" w:eastAsia="MS PGothic" w:cs="MS PGothic"/>
          <w:i/>
          <w:iCs/>
          <w:szCs w:val="24"/>
          <w:lang w:eastAsia="ja-JP"/>
        </w:rPr>
        <w:t>Illness Crisis and Loss</w:t>
      </w:r>
      <w:r>
        <w:rPr>
          <w:rFonts w:ascii="MS PGothic" w:hAnsi="MS PGothic" w:eastAsia="MS PGothic" w:cs="MS PGothic"/>
          <w:szCs w:val="24"/>
          <w:lang w:eastAsia="ja-JP"/>
        </w:rPr>
        <w:t>. https://doi.org/10.1177/10541373231174557</w:t>
      </w:r>
    </w:p>
    <w:p w14:paraId="153B6361">
      <w:pPr>
        <w:pStyle w:val="17"/>
        <w:numPr>
          <w:ilvl w:val="0"/>
          <w:numId w:val="1"/>
        </w:numPr>
        <w:spacing w:line="240" w:lineRule="auto"/>
        <w:ind w:leftChars="0"/>
        <w:rPr>
          <w:rFonts w:ascii="MS PGothic" w:hAnsi="MS PGothic" w:eastAsia="MS PGothic" w:cs="MS PGothic"/>
          <w:szCs w:val="24"/>
          <w:lang w:eastAsia="ja-JP"/>
        </w:rPr>
      </w:pPr>
      <w:r>
        <w:rPr>
          <w:rFonts w:ascii="MS PGothic" w:hAnsi="MS PGothic" w:eastAsia="MS PGothic" w:cs="MS PGothic"/>
          <w:szCs w:val="24"/>
          <w:lang w:eastAsia="ja-JP"/>
        </w:rPr>
        <w:t xml:space="preserve">Mertens, G., Gerritsen, L., Duijndam, S., Salemink, E., &amp; Engelhard, I. M. (2020). Fear of the coronavirus (COVID-19): Predictors in an online study conducted in March 2020. </w:t>
      </w:r>
      <w:r>
        <w:rPr>
          <w:rFonts w:ascii="MS PGothic" w:hAnsi="MS PGothic" w:eastAsia="MS PGothic" w:cs="MS PGothic"/>
          <w:i/>
          <w:iCs/>
          <w:szCs w:val="24"/>
          <w:lang w:eastAsia="ja-JP"/>
        </w:rPr>
        <w:t>Journal of Anxiety Disorders</w:t>
      </w:r>
      <w:r>
        <w:rPr>
          <w:rFonts w:ascii="MS PGothic" w:hAnsi="MS PGothic" w:eastAsia="MS PGothic" w:cs="MS PGothic"/>
          <w:szCs w:val="24"/>
          <w:lang w:eastAsia="ja-JP"/>
        </w:rPr>
        <w:t xml:space="preserve">, </w:t>
      </w:r>
      <w:r>
        <w:rPr>
          <w:rFonts w:ascii="MS PGothic" w:hAnsi="MS PGothic" w:eastAsia="MS PGothic" w:cs="MS PGothic"/>
          <w:i/>
          <w:iCs/>
          <w:szCs w:val="24"/>
          <w:lang w:eastAsia="ja-JP"/>
        </w:rPr>
        <w:t>74</w:t>
      </w:r>
      <w:r>
        <w:rPr>
          <w:rFonts w:ascii="MS PGothic" w:hAnsi="MS PGothic" w:eastAsia="MS PGothic" w:cs="MS PGothic"/>
          <w:szCs w:val="24"/>
          <w:lang w:eastAsia="ja-JP"/>
        </w:rPr>
        <w:t>. https://doi.org/10.1016/J.JANXDIS.2020.102258</w:t>
      </w:r>
    </w:p>
    <w:p w14:paraId="618CCF8E">
      <w:pPr>
        <w:pStyle w:val="17"/>
        <w:numPr>
          <w:ilvl w:val="0"/>
          <w:numId w:val="1"/>
        </w:numPr>
        <w:spacing w:line="240" w:lineRule="auto"/>
        <w:ind w:leftChars="0"/>
        <w:rPr>
          <w:rFonts w:ascii="MS PGothic" w:hAnsi="MS PGothic" w:eastAsia="MS PGothic" w:cs="MS PGothic"/>
          <w:szCs w:val="24"/>
          <w:lang w:eastAsia="ja-JP"/>
        </w:rPr>
      </w:pPr>
      <w:r>
        <w:rPr>
          <w:rFonts w:ascii="MS PGothic" w:hAnsi="MS PGothic" w:eastAsia="MS PGothic" w:cs="MS PGothic"/>
          <w:szCs w:val="24"/>
          <w:lang w:eastAsia="ja-JP"/>
        </w:rPr>
        <w:t xml:space="preserve">Mora-Magaña, I., Lee, S. A., Maldonado-Castellanos, I., Jiménez-Gutierrez, C., Mendez-Venegas, J., Maya-Del-Moral, A., Rosas-Munive, M. D., Mathis, A. A., &amp; Jobe, M. C. (2022). Coronaphobia among healthcare professionals in Mexico: A psychometric analysis. </w:t>
      </w:r>
      <w:r>
        <w:rPr>
          <w:rFonts w:ascii="MS PGothic" w:hAnsi="MS PGothic" w:eastAsia="MS PGothic" w:cs="MS PGothic"/>
          <w:i/>
          <w:iCs/>
          <w:szCs w:val="24"/>
          <w:lang w:eastAsia="ja-JP"/>
        </w:rPr>
        <w:t>Death Studies</w:t>
      </w:r>
      <w:r>
        <w:rPr>
          <w:rFonts w:ascii="MS PGothic" w:hAnsi="MS PGothic" w:eastAsia="MS PGothic" w:cs="MS PGothic"/>
          <w:szCs w:val="24"/>
          <w:lang w:eastAsia="ja-JP"/>
        </w:rPr>
        <w:t xml:space="preserve">, </w:t>
      </w:r>
      <w:r>
        <w:rPr>
          <w:rFonts w:ascii="MS PGothic" w:hAnsi="MS PGothic" w:eastAsia="MS PGothic" w:cs="MS PGothic"/>
          <w:i/>
          <w:iCs/>
          <w:szCs w:val="24"/>
          <w:lang w:eastAsia="ja-JP"/>
        </w:rPr>
        <w:t>46</w:t>
      </w:r>
      <w:r>
        <w:rPr>
          <w:rFonts w:ascii="MS PGothic" w:hAnsi="MS PGothic" w:eastAsia="MS PGothic" w:cs="MS PGothic"/>
          <w:szCs w:val="24"/>
          <w:lang w:eastAsia="ja-JP"/>
        </w:rPr>
        <w:t>(2). https://doi.org/10.1080/07481187.2020.1808762</w:t>
      </w:r>
    </w:p>
    <w:p w14:paraId="7203564C">
      <w:pPr>
        <w:pStyle w:val="17"/>
        <w:numPr>
          <w:ilvl w:val="0"/>
          <w:numId w:val="1"/>
        </w:numPr>
        <w:spacing w:line="240" w:lineRule="auto"/>
        <w:ind w:leftChars="0"/>
        <w:rPr>
          <w:rFonts w:ascii="MS PGothic" w:hAnsi="MS PGothic" w:eastAsia="MS PGothic" w:cs="MS PGothic"/>
          <w:szCs w:val="24"/>
          <w:lang w:eastAsia="ja-JP"/>
        </w:rPr>
      </w:pPr>
      <w:r>
        <w:rPr>
          <w:rFonts w:ascii="MS PGothic" w:hAnsi="MS PGothic" w:eastAsia="MS PGothic" w:cs="MS PGothic"/>
          <w:szCs w:val="24"/>
          <w:lang w:eastAsia="ja-JP"/>
        </w:rPr>
        <w:t xml:space="preserve">Naguy, A., Moodliar-Rensburg, S., &amp; Alamiri, B. (2020). Coronaphobia and chronophobia – A psychiatric perspective. </w:t>
      </w:r>
      <w:r>
        <w:rPr>
          <w:rFonts w:ascii="MS PGothic" w:hAnsi="MS PGothic" w:eastAsia="MS PGothic" w:cs="MS PGothic"/>
          <w:i/>
          <w:iCs/>
          <w:szCs w:val="24"/>
          <w:lang w:eastAsia="ja-JP"/>
        </w:rPr>
        <w:t>Asian Journal of Psychiatry</w:t>
      </w:r>
      <w:r>
        <w:rPr>
          <w:rFonts w:ascii="MS PGothic" w:hAnsi="MS PGothic" w:eastAsia="MS PGothic" w:cs="MS PGothic"/>
          <w:szCs w:val="24"/>
          <w:lang w:eastAsia="ja-JP"/>
        </w:rPr>
        <w:t xml:space="preserve">, </w:t>
      </w:r>
      <w:r>
        <w:rPr>
          <w:rFonts w:ascii="MS PGothic" w:hAnsi="MS PGothic" w:eastAsia="MS PGothic" w:cs="MS PGothic"/>
          <w:i/>
          <w:iCs/>
          <w:szCs w:val="24"/>
          <w:lang w:eastAsia="ja-JP"/>
        </w:rPr>
        <w:t>51</w:t>
      </w:r>
      <w:r>
        <w:rPr>
          <w:rFonts w:ascii="MS PGothic" w:hAnsi="MS PGothic" w:eastAsia="MS PGothic" w:cs="MS PGothic"/>
          <w:szCs w:val="24"/>
          <w:lang w:eastAsia="ja-JP"/>
        </w:rPr>
        <w:t>. https://doi.org/10.1016/J.AJP.2020.102050</w:t>
      </w:r>
    </w:p>
    <w:p w14:paraId="0512880A">
      <w:pPr>
        <w:pStyle w:val="17"/>
        <w:numPr>
          <w:ilvl w:val="0"/>
          <w:numId w:val="1"/>
        </w:numPr>
        <w:spacing w:line="240" w:lineRule="auto"/>
        <w:ind w:leftChars="0"/>
        <w:rPr>
          <w:rFonts w:ascii="MS PGothic" w:hAnsi="MS PGothic" w:eastAsia="MS PGothic" w:cs="MS PGothic"/>
          <w:szCs w:val="24"/>
          <w:lang w:eastAsia="ja-JP"/>
        </w:rPr>
      </w:pPr>
      <w:r>
        <w:rPr>
          <w:rFonts w:ascii="MS PGothic" w:hAnsi="MS PGothic" w:eastAsia="MS PGothic" w:cs="MS PGothic"/>
          <w:szCs w:val="24"/>
          <w:lang w:eastAsia="ja-JP"/>
        </w:rPr>
        <w:t xml:space="preserve">Padovan-Neto, F. E., Lee, S. A., Guimarães, R. P., Godoy, L. D., Costa, H. B., Zerbini, F. L. S., &amp; Fukusima, S. S. (2023). Brazilian Adaptation of the Coronavirus Anxiety Scale: A Psychometric Investigation of a Measure of Coronaphobia. </w:t>
      </w:r>
      <w:r>
        <w:rPr>
          <w:rFonts w:ascii="MS PGothic" w:hAnsi="MS PGothic" w:eastAsia="MS PGothic" w:cs="MS PGothic"/>
          <w:i/>
          <w:iCs/>
          <w:szCs w:val="24"/>
          <w:lang w:eastAsia="ja-JP"/>
        </w:rPr>
        <w:t>Omega (United States)</w:t>
      </w:r>
      <w:r>
        <w:rPr>
          <w:rFonts w:ascii="MS PGothic" w:hAnsi="MS PGothic" w:eastAsia="MS PGothic" w:cs="MS PGothic"/>
          <w:szCs w:val="24"/>
          <w:lang w:eastAsia="ja-JP"/>
        </w:rPr>
        <w:t xml:space="preserve">, </w:t>
      </w:r>
      <w:r>
        <w:rPr>
          <w:rFonts w:ascii="MS PGothic" w:hAnsi="MS PGothic" w:eastAsia="MS PGothic" w:cs="MS PGothic"/>
          <w:i/>
          <w:iCs/>
          <w:szCs w:val="24"/>
          <w:lang w:eastAsia="ja-JP"/>
        </w:rPr>
        <w:t>86</w:t>
      </w:r>
      <w:r>
        <w:rPr>
          <w:rFonts w:ascii="MS PGothic" w:hAnsi="MS PGothic" w:eastAsia="MS PGothic" w:cs="MS PGothic"/>
          <w:szCs w:val="24"/>
          <w:lang w:eastAsia="ja-JP"/>
        </w:rPr>
        <w:t>(3). https://doi.org/10.1177/0030222821991325</w:t>
      </w:r>
    </w:p>
    <w:p w14:paraId="32F9A6CC">
      <w:pPr>
        <w:pStyle w:val="17"/>
        <w:numPr>
          <w:ilvl w:val="0"/>
          <w:numId w:val="1"/>
        </w:numPr>
        <w:spacing w:line="240" w:lineRule="auto"/>
        <w:ind w:leftChars="0"/>
        <w:rPr>
          <w:rFonts w:ascii="MS PGothic" w:hAnsi="MS PGothic" w:eastAsia="MS PGothic" w:cs="MS PGothic"/>
          <w:szCs w:val="24"/>
          <w:lang w:eastAsia="ja-JP"/>
        </w:rPr>
      </w:pPr>
      <w:r>
        <w:rPr>
          <w:rFonts w:ascii="MS PGothic" w:hAnsi="MS PGothic" w:eastAsia="MS PGothic" w:cs="MS PGothic"/>
          <w:szCs w:val="24"/>
          <w:lang w:eastAsia="ja-JP"/>
        </w:rPr>
        <w:t xml:space="preserve">Roy, D., Tripathy, S., Kar, S. K., Sharma, N., Verma, S. K., &amp; Kaushal, V. (2020a). Study of knowledge, attitude, anxiety &amp; perceived mental healthcare need in Indian population during COVID-19 pandemic. </w:t>
      </w:r>
      <w:r>
        <w:rPr>
          <w:rFonts w:ascii="MS PGothic" w:hAnsi="MS PGothic" w:eastAsia="MS PGothic" w:cs="MS PGothic"/>
          <w:i/>
          <w:iCs/>
          <w:szCs w:val="24"/>
          <w:lang w:eastAsia="ja-JP"/>
        </w:rPr>
        <w:t>Asian Journal of Psychiatry</w:t>
      </w:r>
      <w:r>
        <w:rPr>
          <w:rFonts w:ascii="MS PGothic" w:hAnsi="MS PGothic" w:eastAsia="MS PGothic" w:cs="MS PGothic"/>
          <w:szCs w:val="24"/>
          <w:lang w:eastAsia="ja-JP"/>
        </w:rPr>
        <w:t xml:space="preserve">, </w:t>
      </w:r>
      <w:r>
        <w:rPr>
          <w:rFonts w:ascii="MS PGothic" w:hAnsi="MS PGothic" w:eastAsia="MS PGothic" w:cs="MS PGothic"/>
          <w:i/>
          <w:iCs/>
          <w:szCs w:val="24"/>
          <w:lang w:eastAsia="ja-JP"/>
        </w:rPr>
        <w:t>51</w:t>
      </w:r>
      <w:r>
        <w:rPr>
          <w:rFonts w:ascii="MS PGothic" w:hAnsi="MS PGothic" w:eastAsia="MS PGothic" w:cs="MS PGothic"/>
          <w:szCs w:val="24"/>
          <w:lang w:eastAsia="ja-JP"/>
        </w:rPr>
        <w:t>. https://doi.org/10.1016/</w:t>
      </w:r>
      <w:r>
        <w:rPr>
          <w:rFonts w:hint="eastAsia" w:ascii="MS PGothic" w:hAnsi="MS PGothic" w:eastAsia="MS PGothic" w:cs="MS PGothic"/>
          <w:szCs w:val="24"/>
          <w:lang w:eastAsia="ja-JP"/>
        </w:rPr>
        <w:t>j.ajp</w:t>
      </w:r>
      <w:r>
        <w:rPr>
          <w:rFonts w:ascii="MS PGothic" w:hAnsi="MS PGothic" w:eastAsia="MS PGothic" w:cs="MS PGothic"/>
          <w:szCs w:val="24"/>
          <w:lang w:eastAsia="ja-JP"/>
        </w:rPr>
        <w:t>.2020.102083</w:t>
      </w:r>
    </w:p>
    <w:p w14:paraId="1C1F88CE">
      <w:pPr>
        <w:pStyle w:val="17"/>
        <w:numPr>
          <w:ilvl w:val="0"/>
          <w:numId w:val="1"/>
        </w:numPr>
        <w:spacing w:line="240" w:lineRule="auto"/>
        <w:ind w:leftChars="0"/>
        <w:rPr>
          <w:rFonts w:ascii="MS PGothic" w:hAnsi="MS PGothic" w:eastAsia="MS PGothic" w:cs="MS PGothic"/>
          <w:szCs w:val="24"/>
          <w:lang w:eastAsia="ja-JP"/>
        </w:rPr>
      </w:pPr>
      <w:r>
        <w:rPr>
          <w:rFonts w:ascii="MS PGothic" w:hAnsi="MS PGothic" w:eastAsia="MS PGothic" w:cs="MS PGothic"/>
          <w:szCs w:val="24"/>
          <w:lang w:eastAsia="ja-JP"/>
        </w:rPr>
        <w:t xml:space="preserve">Sahoo, S., Mehra, A., Dua, D., Suri, V., Malhotra, P., Yaddanapudi, L. N., Puri, G. D., &amp; Grover, S. (2020). Psychological experience of patients admitted with SARS-CoV-2 infection. </w:t>
      </w:r>
      <w:r>
        <w:rPr>
          <w:rFonts w:ascii="MS PGothic" w:hAnsi="MS PGothic" w:eastAsia="MS PGothic" w:cs="MS PGothic"/>
          <w:i/>
          <w:iCs/>
          <w:szCs w:val="24"/>
          <w:lang w:eastAsia="ja-JP"/>
        </w:rPr>
        <w:t>Asian Journal of Psychiatry</w:t>
      </w:r>
      <w:r>
        <w:rPr>
          <w:rFonts w:ascii="MS PGothic" w:hAnsi="MS PGothic" w:eastAsia="MS PGothic" w:cs="MS PGothic"/>
          <w:szCs w:val="24"/>
          <w:lang w:eastAsia="ja-JP"/>
        </w:rPr>
        <w:t xml:space="preserve">, </w:t>
      </w:r>
      <w:r>
        <w:rPr>
          <w:rFonts w:ascii="MS PGothic" w:hAnsi="MS PGothic" w:eastAsia="MS PGothic" w:cs="MS PGothic"/>
          <w:i/>
          <w:iCs/>
          <w:szCs w:val="24"/>
          <w:lang w:eastAsia="ja-JP"/>
        </w:rPr>
        <w:t>54</w:t>
      </w:r>
      <w:r>
        <w:rPr>
          <w:rFonts w:ascii="MS PGothic" w:hAnsi="MS PGothic" w:eastAsia="MS PGothic" w:cs="MS PGothic"/>
          <w:szCs w:val="24"/>
          <w:lang w:eastAsia="ja-JP"/>
        </w:rPr>
        <w:t>.</w:t>
      </w:r>
    </w:p>
    <w:p w14:paraId="7B3C14F8">
      <w:pPr>
        <w:pStyle w:val="17"/>
        <w:numPr>
          <w:ilvl w:val="0"/>
          <w:numId w:val="1"/>
        </w:numPr>
        <w:spacing w:line="240" w:lineRule="auto"/>
        <w:ind w:leftChars="0"/>
        <w:rPr>
          <w:rFonts w:ascii="MS PGothic" w:hAnsi="MS PGothic" w:eastAsia="MS PGothic" w:cs="MS PGothic"/>
          <w:szCs w:val="24"/>
          <w:lang w:eastAsia="ja-JP"/>
        </w:rPr>
      </w:pPr>
      <w:r>
        <w:t xml:space="preserve">Steed, L., Beyene, K. A., Pedruzzi, R. A., Jackson, T., &amp; Chan, A. H. Y. (2020). COVID-19 and behavioral sciences. </w:t>
      </w:r>
      <w:r>
        <w:rPr>
          <w:i/>
          <w:iCs/>
        </w:rPr>
        <w:t>Frontiers in Psychology</w:t>
      </w:r>
      <w:r>
        <w:t>. Retrieved from https://www.frontiersin.org/research-topics/15897/covid-19-and-behavioral-sciences.</w:t>
      </w:r>
    </w:p>
    <w:p w14:paraId="00D002C8">
      <w:pPr>
        <w:pStyle w:val="17"/>
        <w:numPr>
          <w:ilvl w:val="0"/>
          <w:numId w:val="1"/>
        </w:numPr>
        <w:spacing w:line="240" w:lineRule="auto"/>
        <w:ind w:leftChars="0"/>
        <w:rPr>
          <w:rFonts w:ascii="MS PGothic" w:hAnsi="MS PGothic" w:eastAsia="MS PGothic" w:cs="MS PGothic"/>
          <w:szCs w:val="24"/>
          <w:lang w:eastAsia="ja-JP"/>
        </w:rPr>
      </w:pPr>
      <w:r>
        <w:rPr>
          <w:rFonts w:ascii="MS PGothic" w:hAnsi="MS PGothic" w:eastAsia="MS PGothic" w:cs="MS PGothic"/>
          <w:szCs w:val="24"/>
          <w:lang w:eastAsia="ja-JP"/>
        </w:rPr>
        <w:t xml:space="preserve">Tandon, R. (2020a). COVID-19 and mental health: Preserving humanity, maintaining sanity, and promoting health. </w:t>
      </w:r>
      <w:r>
        <w:rPr>
          <w:rFonts w:ascii="MS PGothic" w:hAnsi="MS PGothic" w:eastAsia="MS PGothic" w:cs="MS PGothic"/>
          <w:i/>
          <w:iCs/>
          <w:szCs w:val="24"/>
          <w:lang w:eastAsia="ja-JP"/>
        </w:rPr>
        <w:t>Asian Journal of Psychiatry</w:t>
      </w:r>
      <w:r>
        <w:rPr>
          <w:rFonts w:ascii="MS PGothic" w:hAnsi="MS PGothic" w:eastAsia="MS PGothic" w:cs="MS PGothic"/>
          <w:szCs w:val="24"/>
          <w:lang w:eastAsia="ja-JP"/>
        </w:rPr>
        <w:t xml:space="preserve">, </w:t>
      </w:r>
      <w:r>
        <w:rPr>
          <w:rFonts w:ascii="MS PGothic" w:hAnsi="MS PGothic" w:eastAsia="MS PGothic" w:cs="MS PGothic"/>
          <w:i/>
          <w:iCs/>
          <w:szCs w:val="24"/>
          <w:lang w:eastAsia="ja-JP"/>
        </w:rPr>
        <w:t>51</w:t>
      </w:r>
      <w:r>
        <w:rPr>
          <w:rFonts w:ascii="MS PGothic" w:hAnsi="MS PGothic" w:eastAsia="MS PGothic" w:cs="MS PGothic"/>
          <w:szCs w:val="24"/>
          <w:lang w:eastAsia="ja-JP"/>
        </w:rPr>
        <w:t>. https://doi.org/10.1016/</w:t>
      </w:r>
      <w:r>
        <w:rPr>
          <w:rFonts w:hint="eastAsia" w:ascii="MS PGothic" w:hAnsi="MS PGothic" w:eastAsia="MS PGothic" w:cs="MS PGothic"/>
          <w:szCs w:val="24"/>
          <w:lang w:eastAsia="ja-JP"/>
        </w:rPr>
        <w:t>j.ajp</w:t>
      </w:r>
      <w:r>
        <w:rPr>
          <w:rFonts w:ascii="MS PGothic" w:hAnsi="MS PGothic" w:eastAsia="MS PGothic" w:cs="MS PGothic"/>
          <w:szCs w:val="24"/>
          <w:lang w:eastAsia="ja-JP"/>
        </w:rPr>
        <w:t>.2020.102256</w:t>
      </w:r>
    </w:p>
    <w:p w14:paraId="03B1E356">
      <w:pPr>
        <w:pStyle w:val="17"/>
        <w:numPr>
          <w:ilvl w:val="0"/>
          <w:numId w:val="1"/>
        </w:numPr>
        <w:spacing w:line="240" w:lineRule="auto"/>
        <w:ind w:leftChars="0"/>
        <w:rPr>
          <w:rFonts w:ascii="MS PGothic" w:hAnsi="MS PGothic" w:eastAsia="MS PGothic" w:cs="MS PGothic"/>
          <w:szCs w:val="24"/>
          <w:lang w:eastAsia="ja-JP"/>
        </w:rPr>
      </w:pPr>
      <w:r>
        <w:rPr>
          <w:rFonts w:ascii="MS PGothic" w:hAnsi="MS PGothic" w:eastAsia="MS PGothic" w:cs="MS PGothic"/>
          <w:szCs w:val="24"/>
          <w:lang w:eastAsia="ja-JP"/>
        </w:rPr>
        <w:t>Tandon, R. (2020</w:t>
      </w:r>
      <w:r>
        <w:rPr>
          <w:rFonts w:hint="eastAsia" w:ascii="MS PGothic" w:hAnsi="MS PGothic" w:eastAsia="MS PGothic" w:cs="MS PGothic"/>
          <w:szCs w:val="24"/>
          <w:lang w:eastAsia="ja-JP"/>
        </w:rPr>
        <w:t>b</w:t>
      </w:r>
      <w:r>
        <w:rPr>
          <w:rFonts w:ascii="MS PGothic" w:hAnsi="MS PGothic" w:eastAsia="MS PGothic" w:cs="MS PGothic"/>
          <w:szCs w:val="24"/>
          <w:lang w:eastAsia="ja-JP"/>
        </w:rPr>
        <w:t xml:space="preserve">). The COVID-19 pandemic, personal reflections on editorial responsibility. </w:t>
      </w:r>
      <w:r>
        <w:rPr>
          <w:rFonts w:ascii="MS PGothic" w:hAnsi="MS PGothic" w:eastAsia="MS PGothic" w:cs="MS PGothic"/>
          <w:i/>
          <w:iCs/>
          <w:szCs w:val="24"/>
          <w:lang w:eastAsia="ja-JP"/>
        </w:rPr>
        <w:t>Asian Journal of Psychiatry</w:t>
      </w:r>
      <w:r>
        <w:rPr>
          <w:rFonts w:ascii="MS PGothic" w:hAnsi="MS PGothic" w:eastAsia="MS PGothic" w:cs="MS PGothic"/>
          <w:szCs w:val="24"/>
          <w:lang w:eastAsia="ja-JP"/>
        </w:rPr>
        <w:t xml:space="preserve">, </w:t>
      </w:r>
      <w:r>
        <w:rPr>
          <w:rFonts w:ascii="MS PGothic" w:hAnsi="MS PGothic" w:eastAsia="MS PGothic" w:cs="MS PGothic"/>
          <w:i/>
          <w:iCs/>
          <w:szCs w:val="24"/>
          <w:lang w:eastAsia="ja-JP"/>
        </w:rPr>
        <w:t>50</w:t>
      </w:r>
      <w:r>
        <w:rPr>
          <w:rFonts w:ascii="MS PGothic" w:hAnsi="MS PGothic" w:eastAsia="MS PGothic" w:cs="MS PGothic"/>
          <w:szCs w:val="24"/>
          <w:lang w:eastAsia="ja-JP"/>
        </w:rPr>
        <w:t>. https://doi.org/10.1016/</w:t>
      </w:r>
      <w:r>
        <w:rPr>
          <w:rFonts w:hint="eastAsia" w:ascii="MS PGothic" w:hAnsi="MS PGothic" w:eastAsia="MS PGothic" w:cs="MS PGothic"/>
          <w:szCs w:val="24"/>
          <w:lang w:eastAsia="ja-JP"/>
        </w:rPr>
        <w:t>j.ajp</w:t>
      </w:r>
      <w:r>
        <w:rPr>
          <w:rFonts w:ascii="MS PGothic" w:hAnsi="MS PGothic" w:eastAsia="MS PGothic" w:cs="MS PGothic"/>
          <w:szCs w:val="24"/>
          <w:lang w:eastAsia="ja-JP"/>
        </w:rPr>
        <w:t>.2020.102100</w:t>
      </w:r>
    </w:p>
    <w:p w14:paraId="588CB6EB">
      <w:pPr>
        <w:pStyle w:val="17"/>
        <w:numPr>
          <w:ilvl w:val="0"/>
          <w:numId w:val="1"/>
        </w:numPr>
        <w:spacing w:line="240" w:lineRule="auto"/>
        <w:ind w:leftChars="0"/>
        <w:rPr>
          <w:rFonts w:ascii="MS PGothic" w:hAnsi="MS PGothic" w:eastAsia="MS PGothic" w:cs="MS PGothic"/>
          <w:szCs w:val="24"/>
          <w:lang w:eastAsia="ja-JP"/>
        </w:rPr>
      </w:pPr>
      <w:r>
        <w:rPr>
          <w:rFonts w:ascii="MS PGothic" w:hAnsi="MS PGothic" w:eastAsia="MS PGothic" w:cs="MS PGothic"/>
          <w:szCs w:val="24"/>
          <w:lang w:eastAsia="ja-JP"/>
        </w:rPr>
        <w:t xml:space="preserve">Taşpınar, B., Taspinar, F., Gülmez, H., &amp; Kızılırmak Karataş, A. S. (2023). Investigation of coronaphobia in university students. </w:t>
      </w:r>
      <w:r>
        <w:rPr>
          <w:rFonts w:ascii="MS PGothic" w:hAnsi="MS PGothic" w:eastAsia="MS PGothic" w:cs="MS PGothic"/>
          <w:i/>
          <w:iCs/>
          <w:szCs w:val="24"/>
          <w:lang w:eastAsia="ja-JP"/>
        </w:rPr>
        <w:t>SDÜ Tıp Fakültesi Dergisi</w:t>
      </w:r>
      <w:r>
        <w:rPr>
          <w:rFonts w:ascii="MS PGothic" w:hAnsi="MS PGothic" w:eastAsia="MS PGothic" w:cs="MS PGothic"/>
          <w:szCs w:val="24"/>
          <w:lang w:eastAsia="ja-JP"/>
        </w:rPr>
        <w:t xml:space="preserve">, </w:t>
      </w:r>
      <w:r>
        <w:rPr>
          <w:rFonts w:ascii="MS PGothic" w:hAnsi="MS PGothic" w:eastAsia="MS PGothic" w:cs="MS PGothic"/>
          <w:i/>
          <w:iCs/>
          <w:szCs w:val="24"/>
          <w:lang w:eastAsia="ja-JP"/>
        </w:rPr>
        <w:t>30</w:t>
      </w:r>
      <w:r>
        <w:rPr>
          <w:rFonts w:ascii="MS PGothic" w:hAnsi="MS PGothic" w:eastAsia="MS PGothic" w:cs="MS PGothic"/>
          <w:szCs w:val="24"/>
          <w:lang w:eastAsia="ja-JP"/>
        </w:rPr>
        <w:t>(2). https://doi.org/10.17343/sdutfd.1210937</w:t>
      </w:r>
    </w:p>
    <w:p w14:paraId="295242C5">
      <w:pPr>
        <w:pStyle w:val="17"/>
        <w:numPr>
          <w:ilvl w:val="0"/>
          <w:numId w:val="1"/>
        </w:numPr>
        <w:spacing w:line="240" w:lineRule="auto"/>
        <w:ind w:leftChars="0"/>
        <w:rPr>
          <w:rFonts w:ascii="MS PGothic" w:hAnsi="MS PGothic" w:eastAsia="MS PGothic" w:cs="MS PGothic"/>
          <w:szCs w:val="24"/>
          <w:lang w:eastAsia="ja-JP"/>
        </w:rPr>
      </w:pPr>
      <w:r>
        <w:rPr>
          <w:rFonts w:ascii="MS PGothic" w:hAnsi="MS PGothic" w:eastAsia="MS PGothic" w:cs="MS PGothic"/>
          <w:szCs w:val="24"/>
          <w:lang w:eastAsia="ja-JP"/>
        </w:rPr>
        <w:t xml:space="preserve">The Lancet. (2020). COVID-19 in Brazil: “So what?” </w:t>
      </w:r>
      <w:r>
        <w:rPr>
          <w:rFonts w:ascii="MS PGothic" w:hAnsi="MS PGothic" w:eastAsia="MS PGothic" w:cs="MS PGothic"/>
          <w:i/>
          <w:iCs/>
          <w:szCs w:val="24"/>
          <w:lang w:eastAsia="ja-JP"/>
        </w:rPr>
        <w:t>The Lancet</w:t>
      </w:r>
      <w:r>
        <w:rPr>
          <w:rFonts w:ascii="MS PGothic" w:hAnsi="MS PGothic" w:eastAsia="MS PGothic" w:cs="MS PGothic"/>
          <w:szCs w:val="24"/>
          <w:lang w:eastAsia="ja-JP"/>
        </w:rPr>
        <w:t xml:space="preserve">, </w:t>
      </w:r>
      <w:r>
        <w:rPr>
          <w:rFonts w:ascii="MS PGothic" w:hAnsi="MS PGothic" w:eastAsia="MS PGothic" w:cs="MS PGothic"/>
          <w:i/>
          <w:iCs/>
          <w:szCs w:val="24"/>
          <w:lang w:eastAsia="ja-JP"/>
        </w:rPr>
        <w:t>395</w:t>
      </w:r>
      <w:r>
        <w:rPr>
          <w:rFonts w:ascii="MS PGothic" w:hAnsi="MS PGothic" w:eastAsia="MS PGothic" w:cs="MS PGothic"/>
          <w:szCs w:val="24"/>
          <w:lang w:eastAsia="ja-JP"/>
        </w:rPr>
        <w:t>(10235), 1461. https://doi.org/10.1016/S0140-6736(20)31095-3</w:t>
      </w:r>
    </w:p>
    <w:p w14:paraId="53D83A89">
      <w:pPr>
        <w:pStyle w:val="17"/>
        <w:numPr>
          <w:ilvl w:val="0"/>
          <w:numId w:val="1"/>
        </w:numPr>
        <w:spacing w:line="240" w:lineRule="auto"/>
        <w:ind w:leftChars="0"/>
        <w:rPr>
          <w:rFonts w:ascii="MS PGothic" w:hAnsi="MS PGothic" w:eastAsia="MS PGothic" w:cs="MS PGothic"/>
          <w:szCs w:val="24"/>
          <w:lang w:eastAsia="ja-JP"/>
        </w:rPr>
      </w:pPr>
      <w:r>
        <w:rPr>
          <w:rFonts w:ascii="MS PGothic" w:hAnsi="MS PGothic" w:eastAsia="MS PGothic" w:cs="MS PGothic"/>
          <w:szCs w:val="24"/>
          <w:lang w:eastAsia="ja-JP"/>
        </w:rPr>
        <w:t xml:space="preserve">Turan, G. B., Aksoy, M., Özer, Z., &amp; Demir, C. (2021). The association between coronaphobia and attitude towards COVID-19 Vaccine: A sample in the east of Turkey. </w:t>
      </w:r>
      <w:r>
        <w:rPr>
          <w:rFonts w:ascii="MS PGothic" w:hAnsi="MS PGothic" w:eastAsia="MS PGothic" w:cs="MS PGothic"/>
          <w:i/>
          <w:iCs/>
          <w:szCs w:val="24"/>
          <w:lang w:eastAsia="ja-JP"/>
        </w:rPr>
        <w:t>Encephale</w:t>
      </w:r>
      <w:r>
        <w:rPr>
          <w:rFonts w:ascii="MS PGothic" w:hAnsi="MS PGothic" w:eastAsia="MS PGothic" w:cs="MS PGothic"/>
          <w:szCs w:val="24"/>
          <w:lang w:eastAsia="ja-JP"/>
        </w:rPr>
        <w:t>.</w:t>
      </w:r>
    </w:p>
    <w:p w14:paraId="294A71BD">
      <w:pPr>
        <w:pStyle w:val="17"/>
        <w:numPr>
          <w:ilvl w:val="0"/>
          <w:numId w:val="1"/>
        </w:numPr>
        <w:spacing w:line="240" w:lineRule="auto"/>
        <w:ind w:leftChars="0"/>
        <w:rPr>
          <w:rFonts w:ascii="MS PGothic" w:hAnsi="MS PGothic" w:eastAsia="MS PGothic" w:cs="MS PGothic"/>
          <w:szCs w:val="24"/>
          <w:lang w:eastAsia="ja-JP"/>
        </w:rPr>
      </w:pPr>
      <w:r>
        <w:rPr>
          <w:rFonts w:ascii="MS PGothic" w:hAnsi="MS PGothic" w:eastAsia="MS PGothic" w:cs="MS PGothic"/>
          <w:i/>
          <w:iCs/>
          <w:szCs w:val="24"/>
          <w:lang w:eastAsia="ja-JP"/>
        </w:rPr>
        <w:t>Understanding coronaphobia - ScienceDirect</w:t>
      </w:r>
      <w:r>
        <w:rPr>
          <w:rFonts w:ascii="MS PGothic" w:hAnsi="MS PGothic" w:eastAsia="MS PGothic" w:cs="MS PGothic"/>
          <w:szCs w:val="24"/>
          <w:lang w:eastAsia="ja-JP"/>
        </w:rPr>
        <w:t>. (n.d.). Retrieved October 5, 2021, from https://www.sciencedirect.com/science/article/pii/S1876201820304974#bbib0010</w:t>
      </w:r>
    </w:p>
    <w:p w14:paraId="27FA1C94">
      <w:pPr>
        <w:pStyle w:val="17"/>
        <w:numPr>
          <w:ilvl w:val="0"/>
          <w:numId w:val="1"/>
        </w:numPr>
        <w:spacing w:line="240" w:lineRule="auto"/>
        <w:ind w:leftChars="0"/>
        <w:rPr>
          <w:rFonts w:ascii="MS PGothic" w:hAnsi="MS PGothic" w:eastAsia="MS PGothic" w:cs="MS PGothic"/>
          <w:szCs w:val="24"/>
          <w:lang w:eastAsia="ja-JP"/>
        </w:rPr>
      </w:pPr>
      <w:r>
        <w:rPr>
          <w:rFonts w:ascii="MS PGothic" w:hAnsi="MS PGothic" w:eastAsia="MS PGothic" w:cs="MS PGothic"/>
          <w:szCs w:val="24"/>
          <w:lang w:eastAsia="ja-JP"/>
        </w:rPr>
        <w:t xml:space="preserve">Vargová, L., Kačmár, P., Lačný, M., &amp; Baník, G. (2023). Measuring various aspects of coronavirus anxiety: a psychometric evaluation of Pandemic anxiety and Coronophobia scales from the latent and network perspective. </w:t>
      </w:r>
      <w:r>
        <w:rPr>
          <w:rFonts w:ascii="MS PGothic" w:hAnsi="MS PGothic" w:eastAsia="MS PGothic" w:cs="MS PGothic"/>
          <w:i/>
          <w:iCs/>
          <w:szCs w:val="24"/>
          <w:lang w:eastAsia="ja-JP"/>
        </w:rPr>
        <w:t>Current Psychology</w:t>
      </w:r>
      <w:r>
        <w:rPr>
          <w:rFonts w:ascii="MS PGothic" w:hAnsi="MS PGothic" w:eastAsia="MS PGothic" w:cs="MS PGothic"/>
          <w:szCs w:val="24"/>
          <w:lang w:eastAsia="ja-JP"/>
        </w:rPr>
        <w:t>. https://doi.org/10.1007/s12144-023-04277-x</w:t>
      </w:r>
    </w:p>
    <w:p w14:paraId="41272718">
      <w:pPr>
        <w:pStyle w:val="17"/>
        <w:numPr>
          <w:ilvl w:val="0"/>
          <w:numId w:val="1"/>
        </w:numPr>
        <w:spacing w:line="240" w:lineRule="auto"/>
        <w:ind w:leftChars="0"/>
        <w:rPr>
          <w:rFonts w:ascii="MS PGothic" w:hAnsi="MS PGothic" w:eastAsia="MS PGothic" w:cs="MS PGothic"/>
          <w:szCs w:val="24"/>
          <w:lang w:eastAsia="ja-JP"/>
        </w:rPr>
      </w:pPr>
      <w:r>
        <w:rPr>
          <w:rFonts w:ascii="MS PGothic" w:hAnsi="MS PGothic" w:eastAsia="MS PGothic" w:cs="MS PGothic"/>
          <w:szCs w:val="24"/>
          <w:lang w:eastAsia="ja-JP"/>
        </w:rPr>
        <w:t xml:space="preserve">Wang, C., Pan, R., Wan, X., Tan, Y., Xu, L., Ho, C. S., &amp; Ho, R. C. (2020). Immediate psychological responses and associated factors during the initial stage of the 2019 coronavirus disease (COVID-19) epidemic among the general population in China. </w:t>
      </w:r>
      <w:r>
        <w:rPr>
          <w:rFonts w:ascii="MS PGothic" w:hAnsi="MS PGothic" w:eastAsia="MS PGothic" w:cs="MS PGothic"/>
          <w:i/>
          <w:iCs/>
          <w:szCs w:val="24"/>
          <w:lang w:eastAsia="ja-JP"/>
        </w:rPr>
        <w:t>International Journal of Environmental Research and Public Health</w:t>
      </w:r>
      <w:r>
        <w:rPr>
          <w:rFonts w:ascii="MS PGothic" w:hAnsi="MS PGothic" w:eastAsia="MS PGothic" w:cs="MS PGothic"/>
          <w:szCs w:val="24"/>
          <w:lang w:eastAsia="ja-JP"/>
        </w:rPr>
        <w:t xml:space="preserve">, </w:t>
      </w:r>
      <w:r>
        <w:rPr>
          <w:rFonts w:ascii="MS PGothic" w:hAnsi="MS PGothic" w:eastAsia="MS PGothic" w:cs="MS PGothic"/>
          <w:i/>
          <w:iCs/>
          <w:szCs w:val="24"/>
          <w:lang w:eastAsia="ja-JP"/>
        </w:rPr>
        <w:t>17</w:t>
      </w:r>
      <w:r>
        <w:rPr>
          <w:rFonts w:ascii="MS PGothic" w:hAnsi="MS PGothic" w:eastAsia="MS PGothic" w:cs="MS PGothic"/>
          <w:szCs w:val="24"/>
          <w:lang w:eastAsia="ja-JP"/>
        </w:rPr>
        <w:t>(5). https://doi.org/10.3390/IJERPH17051729</w:t>
      </w:r>
    </w:p>
    <w:p w14:paraId="16138895">
      <w:pPr>
        <w:pStyle w:val="17"/>
        <w:numPr>
          <w:ilvl w:val="0"/>
          <w:numId w:val="1"/>
        </w:numPr>
        <w:spacing w:line="240" w:lineRule="auto"/>
        <w:ind w:leftChars="0"/>
        <w:rPr>
          <w:rFonts w:ascii="MS PGothic" w:hAnsi="MS PGothic" w:eastAsia="MS PGothic" w:cs="MS PGothic"/>
          <w:szCs w:val="24"/>
          <w:lang w:eastAsia="ja-JP"/>
        </w:rPr>
      </w:pPr>
      <w:r>
        <w:rPr>
          <w:rFonts w:ascii="MS PGothic" w:hAnsi="MS PGothic" w:eastAsia="MS PGothic" w:cs="MS PGothic"/>
          <w:szCs w:val="24"/>
          <w:lang w:eastAsia="ja-JP"/>
        </w:rPr>
        <w:t xml:space="preserve">Xiang, Y. T., Yang, Y., Li, W., Zhang, L., Zhang, Q., Cheung, T., &amp; Ng, C. H. (2020). Timely mental health care for the 2019 novel coronavirus outbreak is urgently needed. </w:t>
      </w:r>
      <w:r>
        <w:rPr>
          <w:rFonts w:ascii="MS PGothic" w:hAnsi="MS PGothic" w:eastAsia="MS PGothic" w:cs="MS PGothic"/>
          <w:i/>
          <w:iCs/>
          <w:szCs w:val="24"/>
          <w:lang w:eastAsia="ja-JP"/>
        </w:rPr>
        <w:t>The Lancet Psychiatry</w:t>
      </w:r>
      <w:r>
        <w:rPr>
          <w:rFonts w:ascii="MS PGothic" w:hAnsi="MS PGothic" w:eastAsia="MS PGothic" w:cs="MS PGothic"/>
          <w:szCs w:val="24"/>
          <w:lang w:eastAsia="ja-JP"/>
        </w:rPr>
        <w:t xml:space="preserve">, </w:t>
      </w:r>
      <w:r>
        <w:rPr>
          <w:rFonts w:ascii="MS PGothic" w:hAnsi="MS PGothic" w:eastAsia="MS PGothic" w:cs="MS PGothic"/>
          <w:i/>
          <w:iCs/>
          <w:szCs w:val="24"/>
          <w:lang w:eastAsia="ja-JP"/>
        </w:rPr>
        <w:t>7</w:t>
      </w:r>
      <w:r>
        <w:rPr>
          <w:rFonts w:ascii="MS PGothic" w:hAnsi="MS PGothic" w:eastAsia="MS PGothic" w:cs="MS PGothic"/>
          <w:szCs w:val="24"/>
          <w:lang w:eastAsia="ja-JP"/>
        </w:rPr>
        <w:t>(3), 228–229. https://doi.org/10.1016/S2215-0366(20)30046-8</w:t>
      </w:r>
    </w:p>
    <w:p w14:paraId="623B03C4">
      <w:pPr>
        <w:pStyle w:val="17"/>
        <w:numPr>
          <w:ilvl w:val="0"/>
          <w:numId w:val="1"/>
        </w:numPr>
        <w:spacing w:line="240" w:lineRule="auto"/>
        <w:ind w:leftChars="0"/>
        <w:rPr>
          <w:rFonts w:ascii="MS PGothic" w:hAnsi="MS PGothic" w:eastAsia="MS PGothic" w:cs="MS PGothic"/>
          <w:szCs w:val="24"/>
          <w:lang w:eastAsia="ja-JP"/>
        </w:rPr>
      </w:pPr>
      <w:r>
        <w:rPr>
          <w:rFonts w:ascii="MS PGothic" w:hAnsi="MS PGothic" w:eastAsia="MS PGothic" w:cs="MS PGothic"/>
          <w:szCs w:val="24"/>
          <w:lang w:eastAsia="ja-JP"/>
        </w:rPr>
        <w:t xml:space="preserve">Xu, R. H., Chan, H. H., Shi, L., Li, T., &amp; Wang, D. (2023). Moderating Effect of eHealth Literacy on the Associations of Coronaphobia With Loneliness, Irritability, Depression, and Stigma in Chinese Young Adults: Bayesian Structural Equation Model Study. </w:t>
      </w:r>
      <w:r>
        <w:rPr>
          <w:rFonts w:ascii="MS PGothic" w:hAnsi="MS PGothic" w:eastAsia="MS PGothic" w:cs="MS PGothic"/>
          <w:i/>
          <w:iCs/>
          <w:szCs w:val="24"/>
          <w:lang w:eastAsia="ja-JP"/>
        </w:rPr>
        <w:t>JMIR Public Health and Surveillance</w:t>
      </w:r>
      <w:r>
        <w:rPr>
          <w:rFonts w:ascii="MS PGothic" w:hAnsi="MS PGothic" w:eastAsia="MS PGothic" w:cs="MS PGothic"/>
          <w:szCs w:val="24"/>
          <w:lang w:eastAsia="ja-JP"/>
        </w:rPr>
        <w:t xml:space="preserve">, </w:t>
      </w:r>
      <w:r>
        <w:rPr>
          <w:rFonts w:ascii="MS PGothic" w:hAnsi="MS PGothic" w:eastAsia="MS PGothic" w:cs="MS PGothic"/>
          <w:i/>
          <w:iCs/>
          <w:szCs w:val="24"/>
          <w:lang w:eastAsia="ja-JP"/>
        </w:rPr>
        <w:t>9</w:t>
      </w:r>
      <w:r>
        <w:rPr>
          <w:rFonts w:ascii="MS PGothic" w:hAnsi="MS PGothic" w:eastAsia="MS PGothic" w:cs="MS PGothic"/>
          <w:szCs w:val="24"/>
          <w:lang w:eastAsia="ja-JP"/>
        </w:rPr>
        <w:t>. https://doi.org/10.2196/47556</w:t>
      </w:r>
    </w:p>
    <w:p w14:paraId="0D0C4E9F">
      <w:pPr>
        <w:pStyle w:val="17"/>
        <w:numPr>
          <w:ilvl w:val="0"/>
          <w:numId w:val="1"/>
        </w:numPr>
        <w:spacing w:line="240" w:lineRule="auto"/>
        <w:ind w:leftChars="0"/>
        <w:rPr>
          <w:rFonts w:ascii="MS PGothic" w:hAnsi="MS PGothic" w:eastAsia="MS PGothic" w:cs="MS PGothic"/>
          <w:szCs w:val="24"/>
          <w:lang w:eastAsia="ja-JP"/>
        </w:rPr>
      </w:pPr>
      <w:r>
        <w:rPr>
          <w:rFonts w:ascii="MS PGothic" w:hAnsi="MS PGothic" w:eastAsia="MS PGothic" w:cs="MS PGothic"/>
          <w:szCs w:val="24"/>
          <w:lang w:eastAsia="ja-JP"/>
        </w:rPr>
        <w:t xml:space="preserve">Yadav, H., &amp; Sagar, M. (2023). Exploring COVID-19 vaccine hesitancy and behavioral themes using social media big-data: a text mining approach. </w:t>
      </w:r>
      <w:r>
        <w:rPr>
          <w:rFonts w:ascii="MS PGothic" w:hAnsi="MS PGothic" w:eastAsia="MS PGothic" w:cs="MS PGothic"/>
          <w:i/>
          <w:iCs/>
          <w:szCs w:val="24"/>
          <w:lang w:eastAsia="ja-JP"/>
        </w:rPr>
        <w:t>Kybernetes</w:t>
      </w:r>
      <w:r>
        <w:rPr>
          <w:rFonts w:ascii="MS PGothic" w:hAnsi="MS PGothic" w:eastAsia="MS PGothic" w:cs="MS PGothic"/>
          <w:szCs w:val="24"/>
          <w:lang w:eastAsia="ja-JP"/>
        </w:rPr>
        <w:t xml:space="preserve">, </w:t>
      </w:r>
      <w:r>
        <w:rPr>
          <w:rFonts w:ascii="MS PGothic" w:hAnsi="MS PGothic" w:eastAsia="MS PGothic" w:cs="MS PGothic"/>
          <w:i/>
          <w:iCs/>
          <w:szCs w:val="24"/>
          <w:lang w:eastAsia="ja-JP"/>
        </w:rPr>
        <w:t>52</w:t>
      </w:r>
      <w:r>
        <w:rPr>
          <w:rFonts w:ascii="MS PGothic" w:hAnsi="MS PGothic" w:eastAsia="MS PGothic" w:cs="MS PGothic"/>
          <w:szCs w:val="24"/>
          <w:lang w:eastAsia="ja-JP"/>
        </w:rPr>
        <w:t>(7). https://doi.org/10.1108/K-06-2022-0810</w:t>
      </w:r>
    </w:p>
    <w:bookmarkEnd w:id="8"/>
    <w:p w14:paraId="4E5B2E16">
      <w:pPr>
        <w:autoSpaceDE w:val="0"/>
        <w:autoSpaceDN w:val="0"/>
        <w:ind w:hanging="480"/>
      </w:pPr>
    </w:p>
    <w:sectPr>
      <w:headerReference r:id="rId9" w:type="first"/>
      <w:footerReference r:id="rId12" w:type="first"/>
      <w:headerReference r:id="rId7" w:type="default"/>
      <w:footerReference r:id="rId10" w:type="default"/>
      <w:headerReference r:id="rId8" w:type="even"/>
      <w:footerReference r:id="rId11" w:type="even"/>
      <w:pgSz w:w="12240" w:h="15840"/>
      <w:pgMar w:top="1440" w:right="1440" w:bottom="1440" w:left="144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vaishnavi Choudam" w:date="2025-02-26T08:58:28Z" w:initials="">
    <w:p w14:paraId="294B111D">
      <w:pPr>
        <w:pStyle w:val="6"/>
        <w:rPr>
          <w:rFonts w:hint="default"/>
          <w:lang w:val="en-US"/>
        </w:rPr>
      </w:pPr>
      <w:r>
        <w:rPr>
          <w:rFonts w:hint="default"/>
          <w:lang w:val="en-US"/>
        </w:rPr>
        <w:t>10  items in a scale</w:t>
      </w:r>
    </w:p>
  </w:comment>
  <w:comment w:id="1" w:author="vaishnavi Choudam" w:date="2025-02-26T09:04:42Z" w:initials="">
    <w:p w14:paraId="1C82D075">
      <w:pPr>
        <w:pStyle w:val="6"/>
        <w:rPr>
          <w:rFonts w:hint="default"/>
          <w:lang w:val="en-US"/>
        </w:rPr>
      </w:pPr>
      <w:r>
        <w:rPr>
          <w:rFonts w:hint="default"/>
          <w:lang w:val="en-US"/>
        </w:rPr>
        <w:t>A single item can be called as a scale ????</w:t>
      </w:r>
    </w:p>
  </w:comment>
  <w:comment w:id="2" w:author="vaishnavi Choudam" w:date="2025-02-26T09:06:01Z" w:initials="">
    <w:p w14:paraId="706625F1">
      <w:pPr>
        <w:pStyle w:val="6"/>
        <w:rPr>
          <w:rFonts w:hint="default"/>
          <w:lang w:val="en-US"/>
        </w:rPr>
      </w:pPr>
      <w:r>
        <w:rPr>
          <w:rFonts w:hint="default"/>
          <w:lang w:val="en-US"/>
        </w:rPr>
        <w:t>Change it to 2022.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94B111D" w15:done="0"/>
  <w15:commentEx w15:paraId="1C82D075" w15:done="0"/>
  <w15:commentEx w15:paraId="706625F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MS Mincho">
    <w:panose1 w:val="02020609040205080304"/>
    <w:charset w:val="80"/>
    <w:family w:val="auto"/>
    <w:pitch w:val="default"/>
    <w:sig w:usb0="A00002BF" w:usb1="68C7FCFB" w:usb2="00000010" w:usb3="00000000" w:csb0="4002009F" w:csb1="DFD70000"/>
  </w:font>
  <w:font w:name="Tahoma">
    <w:panose1 w:val="020B0604030504040204"/>
    <w:charset w:val="00"/>
    <w:family w:val="swiss"/>
    <w:pitch w:val="default"/>
    <w:sig w:usb0="E1002EFF" w:usb1="C000605B" w:usb2="00000029" w:usb3="00000000" w:csb0="200101FF" w:csb1="20280000"/>
  </w:font>
  <w:font w:name="Yu Gothic">
    <w:panose1 w:val="020B0400000000000000"/>
    <w:charset w:val="80"/>
    <w:family w:val="swiss"/>
    <w:pitch w:val="default"/>
    <w:sig w:usb0="E00002FF" w:usb1="2AC7FDFF" w:usb2="00000016" w:usb3="00000000" w:csb0="2002009F" w:csb1="00000000"/>
  </w:font>
  <w:font w:name="MS PGothic">
    <w:panose1 w:val="020B0600070205080204"/>
    <w:charset w:val="80"/>
    <w:family w:val="swiss"/>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 w:name="Arial Unicode MS">
    <w:panose1 w:val="020B0604020202020204"/>
    <w:charset w:val="86"/>
    <w:family w:val="auto"/>
    <w:pitch w:val="default"/>
    <w:sig w:usb0="FFFFFFFF" w:usb1="E9FFFFFF" w:usb2="0000003F" w:usb3="00000000" w:csb0="603F01FF" w:csb1="FFFF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C8FAC">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1ABE6">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B7604">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480" w:lineRule="auto"/>
      </w:pPr>
      <w:r>
        <w:separator/>
      </w:r>
    </w:p>
  </w:footnote>
  <w:footnote w:type="continuationSeparator" w:id="1">
    <w:p>
      <w:pPr>
        <w:spacing w:line="48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007CA">
    <w:pPr>
      <w:pStyle w:val="9"/>
      <w:jc w:val="right"/>
    </w:pPr>
    <w:r>
      <w:pict>
        <v:shape id="PowerPlusWaterMarkObject788625158" o:spid="_x0000_s2051" o:spt="136" type="#_x0000_t136" style="position:absolute;left:0pt;height:65.95pt;width:593.8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Times New Roman;font-size:1pt;v-text-align:center;"/>
        </v:shape>
      </w:pict>
    </w:r>
    <w:sdt>
      <w:sdtPr>
        <w:id w:val="828555638"/>
        <w:docPartObj>
          <w:docPartGallery w:val="AutoText"/>
        </w:docPartObj>
      </w:sdtPr>
      <w:sdtContent>
        <w:r>
          <w:fldChar w:fldCharType="begin"/>
        </w:r>
        <w:r>
          <w:instrText xml:space="preserve"> PAGE   \* MERGEFORMAT </w:instrText>
        </w:r>
        <w:r>
          <w:fldChar w:fldCharType="separate"/>
        </w:r>
        <w:r>
          <w:t>2</w:t>
        </w:r>
        <w:r>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84253">
    <w:pPr>
      <w:pStyle w:val="9"/>
    </w:pPr>
    <w:r>
      <w:pict>
        <v:shape id="PowerPlusWaterMarkObject788625157" o:spid="_x0000_s2050" o:spt="136" type="#_x0000_t136" style="position:absolute;left:0pt;height:65.95pt;width:593.8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Times New Roman;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5FAB4">
    <w:pPr>
      <w:pStyle w:val="9"/>
    </w:pPr>
    <w:r>
      <w:pict>
        <v:shape id="PowerPlusWaterMarkObject788625156" o:spid="_x0000_s2049" o:spt="136" type="#_x0000_t136" style="position:absolute;left:0pt;height:65.95pt;width:593.8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f" xscale="f" string="UNDER PEER REVIEW" style="font-family:Times New Roman;font-size:1pt;v-text-align:center;"/>
        </v:shape>
      </w:pict>
    </w:r>
    <w:r>
      <w:ptab w:relativeTo="margin" w:alignment="right" w:leader="none"/>
    </w:r>
    <w:r>
      <w:fldChar w:fldCharType="begin"/>
    </w:r>
    <w:r>
      <w:instrText xml:space="preserve"> PAGE   \* MERGEFORMAT </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E336A"/>
    <w:multiLevelType w:val="multilevel"/>
    <w:tmpl w:val="269E336A"/>
    <w:lvl w:ilvl="0" w:tentative="0">
      <w:start w:val="1"/>
      <w:numFmt w:val="decimal"/>
      <w:lvlText w:val="[%1]"/>
      <w:lvlJc w:val="left"/>
      <w:pPr>
        <w:ind w:left="440" w:hanging="440"/>
      </w:pPr>
      <w:rPr>
        <w:rFonts w:hint="eastAsia"/>
      </w:rPr>
    </w:lvl>
    <w:lvl w:ilvl="1" w:tentative="0">
      <w:start w:val="1"/>
      <w:numFmt w:val="aiueoFullWidth"/>
      <w:lvlText w:val="(%2)"/>
      <w:lvlJc w:val="left"/>
      <w:pPr>
        <w:ind w:left="880" w:hanging="440"/>
      </w:pPr>
    </w:lvl>
    <w:lvl w:ilvl="2" w:tentative="0">
      <w:start w:val="1"/>
      <w:numFmt w:val="decimalEnclosedCircle"/>
      <w:lvlText w:val="%3"/>
      <w:lvlJc w:val="left"/>
      <w:pPr>
        <w:ind w:left="1320" w:hanging="440"/>
      </w:pPr>
    </w:lvl>
    <w:lvl w:ilvl="3" w:tentative="0">
      <w:start w:val="1"/>
      <w:numFmt w:val="decimal"/>
      <w:lvlText w:val="%4."/>
      <w:lvlJc w:val="left"/>
      <w:pPr>
        <w:ind w:left="1760" w:hanging="440"/>
      </w:pPr>
    </w:lvl>
    <w:lvl w:ilvl="4" w:tentative="0">
      <w:start w:val="1"/>
      <w:numFmt w:val="aiueoFullWidth"/>
      <w:lvlText w:val="(%5)"/>
      <w:lvlJc w:val="left"/>
      <w:pPr>
        <w:ind w:left="2200" w:hanging="440"/>
      </w:pPr>
    </w:lvl>
    <w:lvl w:ilvl="5" w:tentative="0">
      <w:start w:val="1"/>
      <w:numFmt w:val="decimalEnclosedCircle"/>
      <w:lvlText w:val="%6"/>
      <w:lvlJc w:val="left"/>
      <w:pPr>
        <w:ind w:left="2640" w:hanging="440"/>
      </w:pPr>
    </w:lvl>
    <w:lvl w:ilvl="6" w:tentative="0">
      <w:start w:val="1"/>
      <w:numFmt w:val="decimal"/>
      <w:lvlText w:val="%7."/>
      <w:lvlJc w:val="left"/>
      <w:pPr>
        <w:ind w:left="3080" w:hanging="440"/>
      </w:pPr>
    </w:lvl>
    <w:lvl w:ilvl="7" w:tentative="0">
      <w:start w:val="1"/>
      <w:numFmt w:val="aiueoFullWidth"/>
      <w:lvlText w:val="(%8)"/>
      <w:lvlJc w:val="left"/>
      <w:pPr>
        <w:ind w:left="3520" w:hanging="440"/>
      </w:pPr>
    </w:lvl>
    <w:lvl w:ilvl="8" w:tentative="0">
      <w:start w:val="1"/>
      <w:numFmt w:val="decimalEnclosedCircle"/>
      <w:lvlText w:val="%9"/>
      <w:lvlJc w:val="left"/>
      <w:pPr>
        <w:ind w:left="3960" w:hanging="44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vaishnavi Choudam">
    <w15:presenceInfo w15:providerId="WPS Office" w15:userId="3449138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doNotShadeFormData w:val="1"/>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C9A"/>
    <w:rsid w:val="000016AF"/>
    <w:rsid w:val="000105C2"/>
    <w:rsid w:val="00011112"/>
    <w:rsid w:val="00012280"/>
    <w:rsid w:val="00025920"/>
    <w:rsid w:val="00031CC0"/>
    <w:rsid w:val="000512AF"/>
    <w:rsid w:val="00062948"/>
    <w:rsid w:val="00063457"/>
    <w:rsid w:val="00064007"/>
    <w:rsid w:val="000771AE"/>
    <w:rsid w:val="0008778C"/>
    <w:rsid w:val="000B00ED"/>
    <w:rsid w:val="000B3BFC"/>
    <w:rsid w:val="000B5821"/>
    <w:rsid w:val="000B681B"/>
    <w:rsid w:val="000C3622"/>
    <w:rsid w:val="000C40F6"/>
    <w:rsid w:val="000C79B8"/>
    <w:rsid w:val="000D22B9"/>
    <w:rsid w:val="000F4B26"/>
    <w:rsid w:val="000F7B33"/>
    <w:rsid w:val="00110C0E"/>
    <w:rsid w:val="001138DF"/>
    <w:rsid w:val="00120C24"/>
    <w:rsid w:val="00124737"/>
    <w:rsid w:val="00126758"/>
    <w:rsid w:val="00132618"/>
    <w:rsid w:val="00135793"/>
    <w:rsid w:val="0015396C"/>
    <w:rsid w:val="00153B6C"/>
    <w:rsid w:val="001637DA"/>
    <w:rsid w:val="00164AC0"/>
    <w:rsid w:val="00182195"/>
    <w:rsid w:val="00187CD9"/>
    <w:rsid w:val="001959AE"/>
    <w:rsid w:val="001978D9"/>
    <w:rsid w:val="001A2E56"/>
    <w:rsid w:val="001B182D"/>
    <w:rsid w:val="001B459C"/>
    <w:rsid w:val="001E0514"/>
    <w:rsid w:val="001F205D"/>
    <w:rsid w:val="00260F2C"/>
    <w:rsid w:val="00264843"/>
    <w:rsid w:val="0027465A"/>
    <w:rsid w:val="00275449"/>
    <w:rsid w:val="00280DFE"/>
    <w:rsid w:val="00283774"/>
    <w:rsid w:val="00292C53"/>
    <w:rsid w:val="002B7CA2"/>
    <w:rsid w:val="002D53F1"/>
    <w:rsid w:val="002F5040"/>
    <w:rsid w:val="00300BDD"/>
    <w:rsid w:val="00301C9A"/>
    <w:rsid w:val="00305C5F"/>
    <w:rsid w:val="00314D7A"/>
    <w:rsid w:val="00314F71"/>
    <w:rsid w:val="00337072"/>
    <w:rsid w:val="003421A6"/>
    <w:rsid w:val="003547C4"/>
    <w:rsid w:val="0037144C"/>
    <w:rsid w:val="0039195D"/>
    <w:rsid w:val="003A0868"/>
    <w:rsid w:val="003B1477"/>
    <w:rsid w:val="003B5209"/>
    <w:rsid w:val="003D1898"/>
    <w:rsid w:val="003E7808"/>
    <w:rsid w:val="003E7E5D"/>
    <w:rsid w:val="00407220"/>
    <w:rsid w:val="004077DF"/>
    <w:rsid w:val="004502B3"/>
    <w:rsid w:val="00453102"/>
    <w:rsid w:val="00460F83"/>
    <w:rsid w:val="00461718"/>
    <w:rsid w:val="0046463E"/>
    <w:rsid w:val="004840C8"/>
    <w:rsid w:val="00491AFA"/>
    <w:rsid w:val="004930B3"/>
    <w:rsid w:val="004959CE"/>
    <w:rsid w:val="004972B8"/>
    <w:rsid w:val="004A13E7"/>
    <w:rsid w:val="004C1C4E"/>
    <w:rsid w:val="004E0213"/>
    <w:rsid w:val="004E6F74"/>
    <w:rsid w:val="004E75C1"/>
    <w:rsid w:val="00511D94"/>
    <w:rsid w:val="0053386F"/>
    <w:rsid w:val="00566989"/>
    <w:rsid w:val="00574E36"/>
    <w:rsid w:val="005806D3"/>
    <w:rsid w:val="00583333"/>
    <w:rsid w:val="005A6A2A"/>
    <w:rsid w:val="005B2106"/>
    <w:rsid w:val="005C3E0A"/>
    <w:rsid w:val="005D0304"/>
    <w:rsid w:val="005F6B31"/>
    <w:rsid w:val="00604A4A"/>
    <w:rsid w:val="0061169E"/>
    <w:rsid w:val="00621949"/>
    <w:rsid w:val="00624577"/>
    <w:rsid w:val="006340B5"/>
    <w:rsid w:val="006352EC"/>
    <w:rsid w:val="00643934"/>
    <w:rsid w:val="006742BF"/>
    <w:rsid w:val="00684FF0"/>
    <w:rsid w:val="006D507F"/>
    <w:rsid w:val="006E2084"/>
    <w:rsid w:val="007006DC"/>
    <w:rsid w:val="007138A1"/>
    <w:rsid w:val="007257D4"/>
    <w:rsid w:val="00725D7A"/>
    <w:rsid w:val="007271F7"/>
    <w:rsid w:val="00736D1C"/>
    <w:rsid w:val="00762798"/>
    <w:rsid w:val="00776B4D"/>
    <w:rsid w:val="007858BA"/>
    <w:rsid w:val="00787E75"/>
    <w:rsid w:val="00796D8B"/>
    <w:rsid w:val="007A0578"/>
    <w:rsid w:val="007B6833"/>
    <w:rsid w:val="007D223E"/>
    <w:rsid w:val="007E1213"/>
    <w:rsid w:val="007E45ED"/>
    <w:rsid w:val="007E6B61"/>
    <w:rsid w:val="00832D6E"/>
    <w:rsid w:val="0083579D"/>
    <w:rsid w:val="0083591D"/>
    <w:rsid w:val="008404C7"/>
    <w:rsid w:val="00852BF1"/>
    <w:rsid w:val="00854694"/>
    <w:rsid w:val="00866307"/>
    <w:rsid w:val="00871357"/>
    <w:rsid w:val="008B2B3E"/>
    <w:rsid w:val="008C19CB"/>
    <w:rsid w:val="008C2541"/>
    <w:rsid w:val="008C65ED"/>
    <w:rsid w:val="00900355"/>
    <w:rsid w:val="009041AF"/>
    <w:rsid w:val="00905709"/>
    <w:rsid w:val="00915BEA"/>
    <w:rsid w:val="009212A9"/>
    <w:rsid w:val="00922B1E"/>
    <w:rsid w:val="009279D1"/>
    <w:rsid w:val="00965615"/>
    <w:rsid w:val="00982EC4"/>
    <w:rsid w:val="009923C6"/>
    <w:rsid w:val="00992563"/>
    <w:rsid w:val="009A7C4E"/>
    <w:rsid w:val="009A7C56"/>
    <w:rsid w:val="009C33AA"/>
    <w:rsid w:val="009F0988"/>
    <w:rsid w:val="00A04CA3"/>
    <w:rsid w:val="00A12ED1"/>
    <w:rsid w:val="00A14F84"/>
    <w:rsid w:val="00A239F4"/>
    <w:rsid w:val="00A373A5"/>
    <w:rsid w:val="00A4722E"/>
    <w:rsid w:val="00A61BB5"/>
    <w:rsid w:val="00A659DD"/>
    <w:rsid w:val="00A75A57"/>
    <w:rsid w:val="00A879F7"/>
    <w:rsid w:val="00AA0036"/>
    <w:rsid w:val="00AA1055"/>
    <w:rsid w:val="00AA1755"/>
    <w:rsid w:val="00AC439C"/>
    <w:rsid w:val="00AC77C0"/>
    <w:rsid w:val="00AD1510"/>
    <w:rsid w:val="00AF410B"/>
    <w:rsid w:val="00B05AC7"/>
    <w:rsid w:val="00B16CEF"/>
    <w:rsid w:val="00B17873"/>
    <w:rsid w:val="00B201E4"/>
    <w:rsid w:val="00B52826"/>
    <w:rsid w:val="00B55370"/>
    <w:rsid w:val="00B556EE"/>
    <w:rsid w:val="00B659F9"/>
    <w:rsid w:val="00B66564"/>
    <w:rsid w:val="00B83591"/>
    <w:rsid w:val="00BC70C9"/>
    <w:rsid w:val="00BE0C93"/>
    <w:rsid w:val="00BE3F83"/>
    <w:rsid w:val="00C039E0"/>
    <w:rsid w:val="00C1054E"/>
    <w:rsid w:val="00C11A36"/>
    <w:rsid w:val="00C33C97"/>
    <w:rsid w:val="00C43533"/>
    <w:rsid w:val="00C74278"/>
    <w:rsid w:val="00C7795E"/>
    <w:rsid w:val="00C83015"/>
    <w:rsid w:val="00C90DEC"/>
    <w:rsid w:val="00CA6089"/>
    <w:rsid w:val="00CB0B17"/>
    <w:rsid w:val="00CC533D"/>
    <w:rsid w:val="00CE1054"/>
    <w:rsid w:val="00CF25ED"/>
    <w:rsid w:val="00CF3B71"/>
    <w:rsid w:val="00CF42F8"/>
    <w:rsid w:val="00D03CD1"/>
    <w:rsid w:val="00D23411"/>
    <w:rsid w:val="00D572B2"/>
    <w:rsid w:val="00D64153"/>
    <w:rsid w:val="00D737D3"/>
    <w:rsid w:val="00D74832"/>
    <w:rsid w:val="00D80D1C"/>
    <w:rsid w:val="00D95EE3"/>
    <w:rsid w:val="00DC0001"/>
    <w:rsid w:val="00DC26B9"/>
    <w:rsid w:val="00DD0E94"/>
    <w:rsid w:val="00DD5C30"/>
    <w:rsid w:val="00DE060C"/>
    <w:rsid w:val="00DE2F7A"/>
    <w:rsid w:val="00DF06A0"/>
    <w:rsid w:val="00E14AE9"/>
    <w:rsid w:val="00E414D3"/>
    <w:rsid w:val="00E703A3"/>
    <w:rsid w:val="00E860E7"/>
    <w:rsid w:val="00E879A8"/>
    <w:rsid w:val="00EA0950"/>
    <w:rsid w:val="00EA34FB"/>
    <w:rsid w:val="00EB329A"/>
    <w:rsid w:val="00EE2C99"/>
    <w:rsid w:val="00EF48F9"/>
    <w:rsid w:val="00F14C0D"/>
    <w:rsid w:val="00F32069"/>
    <w:rsid w:val="00F3380B"/>
    <w:rsid w:val="00F43BE3"/>
    <w:rsid w:val="00F4440A"/>
    <w:rsid w:val="00F7292D"/>
    <w:rsid w:val="00F75A50"/>
    <w:rsid w:val="00F837AD"/>
    <w:rsid w:val="00F90936"/>
    <w:rsid w:val="00F94A43"/>
    <w:rsid w:val="00FB0F8D"/>
    <w:rsid w:val="00FD6D14"/>
    <w:rsid w:val="00FE3F9B"/>
    <w:rsid w:val="1DEE7DF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80" w:lineRule="auto"/>
    </w:pPr>
    <w:rPr>
      <w:rFonts w:ascii="Times New Roman" w:hAnsi="Times New Roman" w:cs="Times New Roman" w:eastAsiaTheme="minorEastAsia"/>
      <w:sz w:val="24"/>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4"/>
    <w:semiHidden/>
    <w:unhideWhenUsed/>
    <w:uiPriority w:val="99"/>
    <w:pPr>
      <w:spacing w:line="240" w:lineRule="auto"/>
    </w:pPr>
    <w:rPr>
      <w:rFonts w:ascii="Tahoma" w:hAnsi="Tahoma" w:cs="Tahoma"/>
      <w:sz w:val="16"/>
      <w:szCs w:val="16"/>
    </w:rPr>
  </w:style>
  <w:style w:type="character" w:styleId="5">
    <w:name w:val="annotation reference"/>
    <w:basedOn w:val="2"/>
    <w:semiHidden/>
    <w:unhideWhenUsed/>
    <w:qFormat/>
    <w:uiPriority w:val="99"/>
    <w:rPr>
      <w:sz w:val="16"/>
      <w:szCs w:val="16"/>
    </w:rPr>
  </w:style>
  <w:style w:type="paragraph" w:styleId="6">
    <w:name w:val="annotation text"/>
    <w:basedOn w:val="1"/>
    <w:link w:val="16"/>
    <w:semiHidden/>
    <w:unhideWhenUsed/>
    <w:qFormat/>
    <w:uiPriority w:val="99"/>
  </w:style>
  <w:style w:type="character" w:styleId="7">
    <w:name w:val="FollowedHyperlink"/>
    <w:semiHidden/>
    <w:unhideWhenUsed/>
    <w:uiPriority w:val="99"/>
    <w:rPr>
      <w:color w:val="800080"/>
      <w:u w:val="single"/>
    </w:rPr>
  </w:style>
  <w:style w:type="paragraph" w:styleId="8">
    <w:name w:val="footer"/>
    <w:basedOn w:val="1"/>
    <w:link w:val="13"/>
    <w:unhideWhenUsed/>
    <w:qFormat/>
    <w:uiPriority w:val="99"/>
    <w:pPr>
      <w:tabs>
        <w:tab w:val="center" w:pos="4680"/>
        <w:tab w:val="right" w:pos="9360"/>
      </w:tabs>
      <w:spacing w:line="240" w:lineRule="auto"/>
    </w:pPr>
  </w:style>
  <w:style w:type="paragraph" w:styleId="9">
    <w:name w:val="header"/>
    <w:basedOn w:val="1"/>
    <w:link w:val="12"/>
    <w:unhideWhenUsed/>
    <w:qFormat/>
    <w:uiPriority w:val="99"/>
    <w:pPr>
      <w:tabs>
        <w:tab w:val="center" w:pos="4680"/>
        <w:tab w:val="right" w:pos="9360"/>
      </w:tabs>
      <w:spacing w:line="240" w:lineRule="auto"/>
    </w:pPr>
  </w:style>
  <w:style w:type="character" w:styleId="10">
    <w:name w:val="Hyperlink"/>
    <w:unhideWhenUsed/>
    <w:uiPriority w:val="99"/>
    <w:rPr>
      <w:color w:val="0000FF"/>
      <w:u w:val="single"/>
    </w:rPr>
  </w:style>
  <w:style w:type="character" w:styleId="11">
    <w:name w:val="page number"/>
    <w:basedOn w:val="2"/>
    <w:semiHidden/>
    <w:unhideWhenUsed/>
    <w:qFormat/>
    <w:uiPriority w:val="99"/>
  </w:style>
  <w:style w:type="character" w:customStyle="1" w:styleId="12">
    <w:name w:val="Header Char"/>
    <w:basedOn w:val="2"/>
    <w:link w:val="9"/>
    <w:qFormat/>
    <w:uiPriority w:val="99"/>
  </w:style>
  <w:style w:type="character" w:customStyle="1" w:styleId="13">
    <w:name w:val="Footer Char"/>
    <w:basedOn w:val="2"/>
    <w:link w:val="8"/>
    <w:qFormat/>
    <w:uiPriority w:val="99"/>
  </w:style>
  <w:style w:type="character" w:customStyle="1" w:styleId="14">
    <w:name w:val="Balloon Text Char"/>
    <w:link w:val="4"/>
    <w:semiHidden/>
    <w:qFormat/>
    <w:uiPriority w:val="99"/>
    <w:rPr>
      <w:rFonts w:ascii="Tahoma" w:hAnsi="Tahoma" w:cs="Tahoma"/>
      <w:sz w:val="16"/>
      <w:szCs w:val="16"/>
    </w:rPr>
  </w:style>
  <w:style w:type="character" w:styleId="15">
    <w:name w:val="Placeholder Text"/>
    <w:basedOn w:val="2"/>
    <w:semiHidden/>
    <w:qFormat/>
    <w:uiPriority w:val="99"/>
    <w:rPr>
      <w:color w:val="808080"/>
    </w:rPr>
  </w:style>
  <w:style w:type="character" w:customStyle="1" w:styleId="16">
    <w:name w:val="Comment Text Char"/>
    <w:basedOn w:val="2"/>
    <w:link w:val="6"/>
    <w:semiHidden/>
    <w:qFormat/>
    <w:uiPriority w:val="99"/>
    <w:rPr>
      <w:sz w:val="24"/>
      <w:szCs w:val="22"/>
    </w:rPr>
  </w:style>
  <w:style w:type="paragraph" w:styleId="17">
    <w:name w:val="List Paragraph"/>
    <w:basedOn w:val="1"/>
    <w:qFormat/>
    <w:uiPriority w:val="34"/>
    <w:pPr>
      <w:ind w:left="840" w:leftChars="4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9" Type="http://schemas.openxmlformats.org/officeDocument/2006/relationships/glossaryDocument" Target="glossary/document.xml"/><Relationship Id="rId28" Type="http://schemas.microsoft.com/office/2011/relationships/people" Target="people.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chart" Target="charts/chart1.xml"/><Relationship Id="rId22" Type="http://schemas.openxmlformats.org/officeDocument/2006/relationships/image" Target="media/image9.png"/><Relationship Id="rId21" Type="http://schemas.openxmlformats.org/officeDocument/2006/relationships/image" Target="media/image8.emf"/><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emf"/><Relationship Id="rId18" Type="http://schemas.openxmlformats.org/officeDocument/2006/relationships/image" Target="media/image5.emf"/><Relationship Id="rId17" Type="http://schemas.openxmlformats.org/officeDocument/2006/relationships/image" Target="media/image4.emf"/><Relationship Id="rId16" Type="http://schemas.openxmlformats.org/officeDocument/2006/relationships/image" Target="media/image3.emf"/><Relationship Id="rId15" Type="http://schemas.openxmlformats.org/officeDocument/2006/relationships/image" Target="media/image2.emf"/><Relationship Id="rId14" Type="http://schemas.openxmlformats.org/officeDocument/2006/relationships/image" Target="media/image1.emf"/><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file:///C:\Users\hirok\Documents\&#12467;&#12525;&#12490;\&#12467;&#12525;&#12490;&#12501;&#12457;&#12499;&#12450;&#35542;&#25991;\&#36074;&#21839;&#32025;&#12487;&#12540;&#1247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
        <c:rich>
          <a:bodyPr/>
          <a:lstStyle/>
          <a:p>
            <a:pPr>
              <a:defRPr/>
            </a:pPr>
          </a:p>
        </c:rich>
      </c:tx>
    </c:title>
    <c:autoTitleDeleted val="0"/>
    <c:plotArea>
      <c:layout/>
      <c:lineChart>
        <c:grouping val="standard"/>
        <c:varyColors val="0"/>
        <c:ser>
          <c:idx val="0"/>
          <c:order val="0"/>
          <c:spPr>
            <a:ln w="19050"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ja-JP"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{1,2,3,4,5,6}</c:f>
              <c:numCache>
                <c:formatCode>General</c:formatCode>
                <c:ptCount val="6"/>
                <c:pt idx="0">
                  <c:v>1</c:v>
                </c:pt>
                <c:pt idx="1">
                  <c:v>2</c:v>
                </c:pt>
                <c:pt idx="2">
                  <c:v>3</c:v>
                </c:pt>
                <c:pt idx="3">
                  <c:v>4</c:v>
                </c:pt>
                <c:pt idx="4">
                  <c:v>5</c:v>
                </c:pt>
                <c:pt idx="5">
                  <c:v>6</c:v>
                </c:pt>
              </c:numCache>
            </c:numRef>
          </c:cat>
          <c:val>
            <c:numRef>
              <c:f>{7.10834236186349,7.10430839002268,7.32199861207495,8.07581573896353,8.8659793814433,8.21319796954315}</c:f>
              <c:numCache>
                <c:formatCode>0.00</c:formatCode>
                <c:ptCount val="6"/>
                <c:pt idx="0">
                  <c:v>7.10834236186349</c:v>
                </c:pt>
                <c:pt idx="1">
                  <c:v>7.10430839002268</c:v>
                </c:pt>
                <c:pt idx="2">
                  <c:v>7.32199861207495</c:v>
                </c:pt>
                <c:pt idx="3">
                  <c:v>8.07581573896353</c:v>
                </c:pt>
                <c:pt idx="4">
                  <c:v>8.8659793814433</c:v>
                </c:pt>
                <c:pt idx="5">
                  <c:v>8.21319796954315</c:v>
                </c:pt>
              </c:numCache>
            </c:numRef>
          </c:val>
          <c:smooth val="0"/>
        </c:ser>
        <c:dLbls>
          <c:showLegendKey val="0"/>
          <c:showVal val="0"/>
          <c:showCatName val="0"/>
          <c:showSerName val="0"/>
          <c:showPercent val="0"/>
          <c:showBubbleSize val="0"/>
        </c:dLbls>
        <c:marker val="0"/>
        <c:smooth val="0"/>
        <c:axId val="610367400"/>
        <c:axId val="620314752"/>
      </c:lineChart>
      <c:catAx>
        <c:axId val="610367400"/>
        <c:scaling>
          <c:orientation val="minMax"/>
        </c:scaling>
        <c:delete val="0"/>
        <c:axPos val="b"/>
        <c:title>
          <c:tx>
            <c:rich>
              <a:bodyPr rot="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altLang="ja-JP" sz="1000" b="0" i="0" u="none" strike="noStrike" baseline="0">
                    <a:effectLst/>
                  </a:rPr>
                  <a:t>“Poetic justice”</a:t>
                </a:r>
                <a:r>
                  <a:rPr lang="en-US" baseline="0"/>
                  <a:t> score</a:t>
                </a:r>
                <a:endParaRPr lang="en-US"/>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p>
        </c:txPr>
        <c:crossAx val="620314752"/>
        <c:crosses val="autoZero"/>
        <c:auto val="1"/>
        <c:lblAlgn val="ctr"/>
        <c:lblOffset val="100"/>
        <c:noMultiLvlLbl val="0"/>
      </c:catAx>
      <c:valAx>
        <c:axId val="620314752"/>
        <c:scaling>
          <c:orientation val="minMax"/>
          <c:min val="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baseline="0"/>
                  <a:t>Coronaphobia score(2022)</a:t>
                </a:r>
                <a:endParaRPr lang="en-US"/>
              </a:p>
            </c:rich>
          </c:tx>
          <c:layout/>
          <c:overlay val="0"/>
          <c:spPr>
            <a:noFill/>
            <a:ln>
              <a:noFill/>
            </a:ln>
            <a:effectLst/>
          </c:sp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p>
        </c:txPr>
        <c:crossAx val="610367400"/>
        <c:crosses val="autoZero"/>
        <c:crossBetween val="between"/>
        <c:majorUnit val="0.5"/>
      </c:valAx>
      <c:spPr>
        <a:noFill/>
        <a:ln>
          <a:noFill/>
        </a:ln>
        <a:effectLst/>
      </c:spPr>
    </c:plotArea>
    <c:plotVisOnly val="1"/>
    <c:dispBlanksAs val="gap"/>
    <c:showDLblsOverMax val="0"/>
    <c:extLst>
      <c:ext uri="{0b15fc19-7d7d-44ad-8c2d-2c3a37ce22c3}">
        <chartProps xmlns="https://web.wps.cn/et/2018/main" chartId="{59383182-0411-427b-b858-33787229e3a6}"/>
      </c:ext>
    </c:extLst>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General"/>
          <w:gallery w:val="placeholder"/>
        </w:category>
        <w:types>
          <w:type w:val="bbPlcHdr"/>
        </w:types>
        <w:behaviors>
          <w:behavior w:val="content"/>
        </w:behaviors>
        <w:description w:val=""/>
        <w:guid w:val="{79EB69EA-AC7E-406E-AF59-34EE8E2CF3A7}"/>
      </w:docPartPr>
      <w:docPartBody>
        <w:p w14:paraId="27556104">
          <w:pPr>
            <w:contextualSpacing/>
          </w:pPr>
          <w:r>
            <w:fldChar w:fldCharType="begin">
              <w:ffData>
                <w:name w:val="Text4"/>
                <w:enabled/>
                <w:calcOnExit w:val="0"/>
                <w:textInput>
                  <w:default w:val="This is where you will insert the abstract of your paper. The abstract is a very brief summary of your paper.  The abstract should be one double-spaced paragraph that is NOT indented. It is usually no more than 150-250 words long. "/>
                </w:textInput>
              </w:ffData>
            </w:fldChar>
          </w:r>
          <w:r>
            <w:instrText xml:space="preserve"> FORMTEXT </w:instrText>
          </w:r>
          <w:r>
            <w:fldChar w:fldCharType="separate"/>
          </w:r>
          <w:r>
            <w:t xml:space="preserve">This is where you will insert the abstract of your paper. The abstract is a very brief summary of your paper.  The abstract should be one double-spaced paragraph that is NOT indented. It is usually no more than 150-250 words long. </w:t>
          </w:r>
          <w:r>
            <w:fldChar w:fldCharType="end"/>
          </w:r>
          <w:r>
            <w:t xml:space="preserve">Tell your reader the purpose of your paper in the abstract and describe the main points of your paper.  It’s usually easiest to write your abstract </w:t>
          </w:r>
          <w:r>
            <w:rPr>
              <w:i/>
            </w:rPr>
            <w:t>after</w:t>
          </w:r>
          <w:r>
            <w:t xml:space="preserve"> you’ve written the rest of your paper.</w:t>
          </w:r>
        </w:p>
        <w:p w14:paraId="311C3C8D">
          <w:pPr>
            <w:pStyle w:val="5"/>
          </w:pPr>
          <w:r>
            <w:rPr>
              <w:rStyle w:val="4"/>
            </w:rPr>
            <w:t>Click or tap here to enter text.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MS Mincho">
    <w:panose1 w:val="02020609040205080304"/>
    <w:charset w:val="80"/>
    <w:family w:val="auto"/>
    <w:pitch w:val="default"/>
    <w:sig w:usb0="A00002BF" w:usb1="68C7FCFB" w:usb2="00000010" w:usb3="00000000" w:csb0="4002009F" w:csb1="DFD70000"/>
  </w:font>
  <w:font w:name="Arial Unicode MS">
    <w:panose1 w:val="020B0604020202020204"/>
    <w:charset w:val="86"/>
    <w:family w:val="auto"/>
    <w:pitch w:val="default"/>
    <w:sig w:usb0="FFFFFFFF" w:usb1="E9FFFFFF" w:usb2="0000003F" w:usb3="00000000" w:csb0="603F01FF" w:csb1="FFFF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02C"/>
    <w:rsid w:val="0004102C"/>
    <w:rsid w:val="00056CC8"/>
    <w:rsid w:val="000F5DC7"/>
    <w:rsid w:val="001138DF"/>
    <w:rsid w:val="001674EF"/>
    <w:rsid w:val="00342E78"/>
    <w:rsid w:val="003F15C6"/>
    <w:rsid w:val="005C3E0A"/>
    <w:rsid w:val="006242BB"/>
    <w:rsid w:val="006905E3"/>
    <w:rsid w:val="006B339C"/>
    <w:rsid w:val="007C7249"/>
    <w:rsid w:val="008E2BEB"/>
    <w:rsid w:val="00980C51"/>
    <w:rsid w:val="009B3966"/>
    <w:rsid w:val="00A4736D"/>
    <w:rsid w:val="00A879F7"/>
    <w:rsid w:val="00B17873"/>
    <w:rsid w:val="00B637A2"/>
    <w:rsid w:val="00C1054E"/>
    <w:rsid w:val="00D23356"/>
    <w:rsid w:val="00D37A12"/>
    <w:rsid w:val="00FA64E4"/>
    <w:rsid w:val="00FB0F8D"/>
    <w:rsid w:val="00FF0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DefaultPlaceholder_-1854013440"/>
    <w:qFormat/>
    <w:uiPriority w:val="0"/>
    <w:pPr>
      <w:spacing w:after="0" w:line="480" w:lineRule="auto"/>
    </w:pPr>
    <w:rPr>
      <w:rFonts w:ascii="Times New Roman" w:hAnsi="Times New Roman" w:eastAsia="Calibri" w:cs="Times New Roman"/>
      <w:sz w:val="24"/>
      <w:szCs w:val="22"/>
      <w:lang w:val="en-US" w:eastAsia="en-US"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F2C527-8DF8-4158-AD99-FD3E0F476A0B}">
  <ds:schemaRefs/>
</ds:datastoreItem>
</file>

<file path=docProps/app.xml><?xml version="1.0" encoding="utf-8"?>
<Properties xmlns="http://schemas.openxmlformats.org/officeDocument/2006/extended-properties" xmlns:vt="http://schemas.openxmlformats.org/officeDocument/2006/docPropsVTypes">
  <Template>Normal</Template>
  <Company>Globeuniversity</Company>
  <Pages>19</Pages>
  <Words>4768</Words>
  <Characters>27181</Characters>
  <Lines>226</Lines>
  <Paragraphs>63</Paragraphs>
  <TotalTime>179</TotalTime>
  <ScaleCrop>false</ScaleCrop>
  <LinksUpToDate>false</LinksUpToDate>
  <CharactersWithSpaces>31886</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2025-02-06T15:01:00Z</dcterms:created>
  <dc:creator>tmp</dc:creator>
  <cp:lastModifiedBy>vaishnavi Choudam</cp:lastModifiedBy>
  <cp:lastPrinted>2024-01-27T11:35:00Z</cp:lastPrinted>
  <dcterms:modified xsi:type="dcterms:W3CDTF">2025-02-26T03:47:10Z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b13a654af6aae1c4bdca4b30e5602b3229a2e7ab1c5ca06ff97b22e7ced32272</vt:lpwstr>
  </property>
  <property fmtid="{D5CDD505-2E9C-101B-9397-08002B2CF9AE}" pid="3" name="KSOProductBuildVer">
    <vt:lpwstr>1033-12.2.0.19805</vt:lpwstr>
  </property>
  <property fmtid="{D5CDD505-2E9C-101B-9397-08002B2CF9AE}" pid="4" name="ICV">
    <vt:lpwstr>2E62387948014B3C9BBDFDC5B74FF089_12</vt:lpwstr>
  </property>
</Properties>
</file>