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45F24">
      <w:pPr>
        <w:pStyle w:val="19"/>
        <w:spacing w:after="0"/>
        <w:jc w:val="both"/>
        <w:rPr>
          <w:rFonts w:ascii="Arial" w:hAnsi="Arial" w:cs="Arial"/>
        </w:rPr>
      </w:pPr>
    </w:p>
    <w:p w14:paraId="5761CA9A">
      <w:pPr>
        <w:pStyle w:val="20"/>
        <w:jc w:val="both"/>
        <w:rPr>
          <w:rFonts w:ascii="Arial" w:hAnsi="Arial" w:cs="Arial"/>
          <w:bCs/>
          <w:i/>
          <w:iCs/>
          <w:kern w:val="28"/>
          <w:sz w:val="18"/>
          <w:szCs w:val="18"/>
          <w:u w:val="single"/>
        </w:rPr>
      </w:pPr>
      <w:r>
        <w:rPr>
          <w:rFonts w:ascii="Arial" w:hAnsi="Arial" w:cs="Arial"/>
          <w:bCs/>
          <w:i/>
          <w:iCs/>
          <w:kern w:val="28"/>
          <w:sz w:val="18"/>
          <w:szCs w:val="18"/>
          <w:u w:val="single"/>
        </w:rPr>
        <w:t>Review Article</w:t>
      </w:r>
    </w:p>
    <w:p w14:paraId="0140B913">
      <w:pPr>
        <w:pStyle w:val="20"/>
        <w:spacing w:line="240" w:lineRule="auto"/>
        <w:jc w:val="both"/>
        <w:rPr>
          <w:rFonts w:ascii="Arial" w:hAnsi="Arial" w:cs="Arial"/>
          <w:sz w:val="36"/>
        </w:rPr>
      </w:pPr>
      <w:r>
        <w:rPr>
          <w:rFonts w:ascii="Arial" w:hAnsi="Arial" w:cs="Arial"/>
          <w:bCs/>
          <w:iCs/>
          <w:kern w:val="28"/>
          <w:sz w:val="36"/>
        </w:rPr>
        <w:t>Harnessing Bacteria for Sustainable Pest Management: A Biological Approach</w:t>
      </w:r>
    </w:p>
    <w:p w14:paraId="66D40F18">
      <w:pPr>
        <w:pStyle w:val="21"/>
        <w:spacing w:after="0" w:line="240" w:lineRule="auto"/>
        <w:jc w:val="both"/>
        <w:rPr>
          <w:rFonts w:ascii="Arial" w:hAnsi="Arial" w:cs="Arial"/>
        </w:rPr>
      </w:pPr>
    </w:p>
    <w:p w14:paraId="7D025DED">
      <w:pPr>
        <w:pStyle w:val="21"/>
        <w:spacing w:after="0" w:line="240" w:lineRule="auto"/>
        <w:jc w:val="both"/>
        <w:rPr>
          <w:rFonts w:ascii="Arial" w:hAnsi="Arial" w:cs="Arial"/>
        </w:rPr>
      </w:pPr>
    </w:p>
    <w:p w14:paraId="1B4FEDCC">
      <w:pPr>
        <w:pStyle w:val="32"/>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62FB52AC">
      <w:pPr>
        <w:pStyle w:val="23"/>
        <w:spacing w:after="0"/>
        <w:jc w:val="both"/>
        <w:rPr>
          <w:rFonts w:ascii="Arial" w:hAnsi="Arial" w:cs="Arial"/>
        </w:rPr>
      </w:pPr>
      <w:r>
        <w:rPr>
          <w:rFonts w:ascii="Arial" w:hAnsi="Arial" w:cs="Arial"/>
        </w:rPr>
        <w:t xml:space="preserve">ABSTRACT </w:t>
      </w:r>
    </w:p>
    <w:p w14:paraId="5E9F7EDA">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9303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15D2277">
            <w:pPr>
              <w:pStyle w:val="22"/>
              <w:spacing w:after="0"/>
              <w:rPr>
                <w:rFonts w:ascii="Arial" w:hAnsi="Arial" w:eastAsia="Calibri" w:cs="Arial"/>
                <w:szCs w:val="22"/>
              </w:rPr>
            </w:pPr>
            <w:r>
              <w:rPr>
                <w:rFonts w:ascii="Arial" w:hAnsi="Arial" w:eastAsia="Calibri" w:cs="Arial"/>
                <w:szCs w:val="22"/>
              </w:rPr>
              <w:t xml:space="preserve">            Microbial pest management in agricultural crops presents an environmentally sustainable approach, aligning with the principles of Integrated Pest Management (IPM). This strategy emphasizes the use of beneficial microorganisms, particularly entomopathogenic bacteria (EPB), as</w:t>
            </w:r>
            <w:commentRangeStart w:id="0"/>
            <w:r>
              <w:rPr>
                <w:rFonts w:ascii="Arial" w:hAnsi="Arial" w:eastAsia="Calibri" w:cs="Arial"/>
                <w:szCs w:val="22"/>
                <w:highlight w:val="yellow"/>
              </w:rPr>
              <w:t xml:space="preserve"> </w:t>
            </w:r>
            <w:r>
              <w:rPr>
                <w:rFonts w:hint="default" w:ascii="Arial" w:hAnsi="Arial" w:eastAsia="Calibri" w:cs="Arial"/>
                <w:szCs w:val="22"/>
                <w:highlight w:val="yellow"/>
                <w:lang w:val="en-US"/>
              </w:rPr>
              <w:t>an</w:t>
            </w:r>
            <w:commentRangeEnd w:id="0"/>
            <w:r>
              <w:commentReference w:id="0"/>
            </w:r>
            <w:r>
              <w:rPr>
                <w:rFonts w:hint="default" w:ascii="Arial" w:hAnsi="Arial" w:eastAsia="Calibri" w:cs="Arial"/>
                <w:szCs w:val="22"/>
                <w:lang w:val="en-US"/>
              </w:rPr>
              <w:t xml:space="preserve"> </w:t>
            </w:r>
            <w:r>
              <w:rPr>
                <w:rFonts w:ascii="Arial" w:hAnsi="Arial" w:eastAsia="Calibri" w:cs="Arial"/>
                <w:szCs w:val="22"/>
              </w:rPr>
              <w:t xml:space="preserve">alternatives to chemical pesticides. The increasing adoption of microbial-based control methods reflects growing concerns over the environmental hazards and resistance associated with conventional insecticides. Various microbial agents, including bacteria, viruses, fungi, protozoa, and nematodes, have been explored for their effectiveness in pest suppression. Among these, entomopathogenic bacteria such as </w:t>
            </w:r>
            <w:r>
              <w:rPr>
                <w:rFonts w:ascii="Arial" w:hAnsi="Arial" w:eastAsia="Calibri" w:cs="Arial"/>
                <w:i/>
                <w:iCs/>
                <w:szCs w:val="22"/>
              </w:rPr>
              <w:t>Bacillus thuringiensis</w:t>
            </w:r>
            <w:r>
              <w:rPr>
                <w:rFonts w:ascii="Arial" w:hAnsi="Arial" w:eastAsia="Calibri" w:cs="Arial"/>
                <w:szCs w:val="22"/>
              </w:rPr>
              <w:t xml:space="preserve"> (Bt), </w:t>
            </w:r>
            <w:r>
              <w:rPr>
                <w:rFonts w:ascii="Arial" w:hAnsi="Arial" w:eastAsia="Calibri" w:cs="Arial"/>
                <w:i/>
                <w:iCs/>
                <w:szCs w:val="22"/>
              </w:rPr>
              <w:t>Photorhabdus</w:t>
            </w:r>
            <w:r>
              <w:rPr>
                <w:rFonts w:ascii="Arial" w:hAnsi="Arial" w:eastAsia="Calibri" w:cs="Arial"/>
                <w:szCs w:val="22"/>
              </w:rPr>
              <w:t xml:space="preserve">, and </w:t>
            </w:r>
            <w:r>
              <w:rPr>
                <w:rFonts w:ascii="Arial" w:hAnsi="Arial" w:eastAsia="Calibri" w:cs="Arial"/>
                <w:i/>
                <w:iCs/>
                <w:szCs w:val="22"/>
              </w:rPr>
              <w:t>Xenorhabdus</w:t>
            </w:r>
            <w:r>
              <w:rPr>
                <w:rFonts w:ascii="Arial" w:hAnsi="Arial" w:eastAsia="Calibri" w:cs="Arial"/>
                <w:szCs w:val="22"/>
              </w:rPr>
              <w:t xml:space="preserve"> have demonstrated significant potential due to their targeted insecticidal properties.</w:t>
            </w:r>
          </w:p>
          <w:p w14:paraId="7D000A57">
            <w:pPr>
              <w:pStyle w:val="22"/>
              <w:spacing w:after="0"/>
              <w:rPr>
                <w:rFonts w:ascii="Arial" w:hAnsi="Arial" w:eastAsia="Calibri" w:cs="Arial"/>
                <w:szCs w:val="22"/>
                <w:highlight w:val="yellow"/>
              </w:rPr>
            </w:pPr>
            <w:r>
              <w:rPr>
                <w:rFonts w:ascii="Arial" w:hAnsi="Arial" w:eastAsia="Calibri" w:cs="Arial"/>
                <w:szCs w:val="22"/>
              </w:rPr>
              <w:t xml:space="preserve">            </w:t>
            </w:r>
            <w:commentRangeStart w:id="1"/>
            <w:r>
              <w:rPr>
                <w:rFonts w:ascii="Arial" w:hAnsi="Arial" w:eastAsia="Calibri" w:cs="Arial"/>
                <w:szCs w:val="22"/>
                <w:highlight w:val="yellow"/>
              </w:rPr>
              <w:t xml:space="preserve">Bacteria-based pest control relies on specific mechanisms, including toxin production, host colonization, and microbial symbiosis, to regulate insect populations. </w:t>
            </w:r>
            <w:r>
              <w:rPr>
                <w:rFonts w:ascii="Arial" w:hAnsi="Arial" w:eastAsia="Calibri" w:cs="Arial"/>
                <w:i/>
                <w:iCs/>
                <w:szCs w:val="22"/>
                <w:highlight w:val="yellow"/>
              </w:rPr>
              <w:t>Bacillus thuringiensis</w:t>
            </w:r>
            <w:r>
              <w:rPr>
                <w:rFonts w:ascii="Arial" w:hAnsi="Arial" w:eastAsia="Calibri" w:cs="Arial"/>
                <w:szCs w:val="22"/>
                <w:highlight w:val="yellow"/>
              </w:rPr>
              <w:t xml:space="preserve">, the most extensively utilized microbial pesticide, produces Cry and Cyt toxins that disrupt insect gut function, leading to mortality. Other bacterial genera, including </w:t>
            </w:r>
            <w:r>
              <w:rPr>
                <w:rFonts w:ascii="Arial" w:hAnsi="Arial" w:eastAsia="Calibri" w:cs="Arial"/>
                <w:i/>
                <w:iCs/>
                <w:szCs w:val="22"/>
                <w:highlight w:val="yellow"/>
              </w:rPr>
              <w:t>Serratia</w:t>
            </w:r>
            <w:r>
              <w:rPr>
                <w:rFonts w:ascii="Arial" w:hAnsi="Arial" w:eastAsia="Calibri" w:cs="Arial"/>
                <w:szCs w:val="22"/>
                <w:highlight w:val="yellow"/>
              </w:rPr>
              <w:t xml:space="preserve"> and </w:t>
            </w:r>
            <w:r>
              <w:rPr>
                <w:rFonts w:ascii="Arial" w:hAnsi="Arial" w:eastAsia="Calibri" w:cs="Arial"/>
                <w:i/>
                <w:iCs/>
                <w:szCs w:val="22"/>
                <w:highlight w:val="yellow"/>
              </w:rPr>
              <w:t>Paenibacillus</w:t>
            </w:r>
            <w:r>
              <w:rPr>
                <w:rFonts w:ascii="Arial" w:hAnsi="Arial" w:eastAsia="Calibri" w:cs="Arial"/>
                <w:szCs w:val="22"/>
                <w:highlight w:val="yellow"/>
              </w:rPr>
              <w:t>, also exhibit insecticidal activities and play crucial roles in microbial pest control strategies. The classification of EPBs is based on their pathogenic nature (obligate vs. facultative), spore production ability (spore-forming vs. non-spore-forming), and cell wall composition (Gram-positive vs. Gram-negative). These characteristics determine their effectiveness, mode of action, and application in pest management programs.</w:t>
            </w:r>
            <w:commentRangeEnd w:id="1"/>
            <w:r>
              <w:commentReference w:id="1"/>
            </w:r>
          </w:p>
          <w:p w14:paraId="0599A704">
            <w:pPr>
              <w:pStyle w:val="22"/>
              <w:spacing w:after="0"/>
              <w:rPr>
                <w:rFonts w:ascii="Arial" w:hAnsi="Arial" w:eastAsia="Calibri" w:cs="Arial"/>
                <w:szCs w:val="22"/>
              </w:rPr>
            </w:pPr>
            <w:r>
              <w:rPr>
                <w:rFonts w:ascii="Arial" w:hAnsi="Arial" w:eastAsia="Calibri" w:cs="Arial"/>
                <w:szCs w:val="22"/>
              </w:rPr>
              <w:t xml:space="preserve">              The integration of bacterial biopesticides within IPM frameworks offers a sustainable alternative to chemical pesticides, reducing environmental contamination and promoting ecological balance. The specificity of bacterial control agents minimizes harm to non-target organisms, including pollinators and natural predators. However, challenges such as microbial persistence, formulation stability, and large-scale application need further research. Advances in microbial biotechnology, genomics, and regulatory support will enhance the effectiveness of bacterial-based pest management. Future developments in this field will be instrumental in fostering sustainable agriculture, mitigating pesticide resistance, and ensuring global food security in an environmentally responsible manner.</w:t>
            </w:r>
          </w:p>
          <w:p w14:paraId="5CAD8E12">
            <w:pPr>
              <w:pStyle w:val="22"/>
              <w:spacing w:after="0"/>
              <w:rPr>
                <w:rFonts w:ascii="Arial" w:hAnsi="Arial" w:eastAsia="Calibri" w:cs="Arial"/>
                <w:szCs w:val="22"/>
              </w:rPr>
            </w:pPr>
          </w:p>
        </w:tc>
      </w:tr>
    </w:tbl>
    <w:p w14:paraId="1A86482A">
      <w:pPr>
        <w:pStyle w:val="22"/>
        <w:spacing w:after="0"/>
        <w:rPr>
          <w:rFonts w:ascii="Arial" w:hAnsi="Arial" w:cs="Arial"/>
          <w:i/>
        </w:rPr>
      </w:pPr>
    </w:p>
    <w:p w14:paraId="2C8B4634">
      <w:pPr>
        <w:pStyle w:val="22"/>
        <w:spacing w:after="0"/>
        <w:rPr>
          <w:rFonts w:ascii="Arial" w:hAnsi="Arial" w:cs="Arial"/>
          <w:i/>
        </w:rPr>
      </w:pPr>
      <w:r>
        <w:rPr>
          <w:rFonts w:ascii="Arial" w:hAnsi="Arial" w:cs="Arial"/>
          <w:i/>
        </w:rPr>
        <w:t xml:space="preserve">Keywords: Entomopathogenic bacteria, microbial pest control, biopesticides, Integrated Pest Management (IPM), and sustainable agriculture </w:t>
      </w:r>
    </w:p>
    <w:p w14:paraId="761115A6">
      <w:pPr>
        <w:pStyle w:val="22"/>
        <w:spacing w:after="0"/>
        <w:rPr>
          <w:rFonts w:ascii="Arial" w:hAnsi="Arial" w:cs="Arial"/>
          <w:i/>
        </w:rPr>
      </w:pPr>
    </w:p>
    <w:p w14:paraId="18A6E9E7">
      <w:pPr>
        <w:pStyle w:val="23"/>
        <w:spacing w:after="0"/>
        <w:jc w:val="both"/>
        <w:rPr>
          <w:rFonts w:ascii="Arial" w:hAnsi="Arial" w:cs="Arial"/>
        </w:rPr>
      </w:pPr>
      <w:r>
        <w:rPr>
          <w:rFonts w:ascii="Arial" w:hAnsi="Arial" w:cs="Arial"/>
        </w:rPr>
        <w:t xml:space="preserve">1. INTRODUCTION </w:t>
      </w:r>
    </w:p>
    <w:p w14:paraId="566806BA">
      <w:pPr>
        <w:pStyle w:val="23"/>
        <w:spacing w:after="0"/>
        <w:jc w:val="both"/>
        <w:rPr>
          <w:rFonts w:ascii="Arial" w:hAnsi="Arial" w:cs="Arial"/>
        </w:rPr>
      </w:pPr>
    </w:p>
    <w:p w14:paraId="60A1FDF8">
      <w:pPr>
        <w:pStyle w:val="22"/>
        <w:ind w:firstLine="720"/>
        <w:rPr>
          <w:rFonts w:ascii="Arial" w:hAnsi="Arial" w:eastAsia="Calibri" w:cs="Arial"/>
          <w:szCs w:val="22"/>
        </w:rPr>
      </w:pPr>
      <w:r>
        <w:rPr>
          <w:rFonts w:ascii="Arial" w:hAnsi="Arial" w:eastAsia="Calibri" w:cs="Arial"/>
          <w:szCs w:val="22"/>
        </w:rPr>
        <w:t>The increasing demand for sustainable agricultural practices has led to a shift from chemical-based pest control to environmentally friendly alternatives. Among these, microbial pest management has gained significant attention as an effective strategy within the framework of Integrated Pest Management (IPM). Traditional chemical pesticides, though effective, pose several risks, including pesticide resistance, environmental contamination, and harmful effects on beneficial organisms. As a result, there has been a growing emphasis on harnessing beneficial microorganisms, particularly entomopathogenic bacteria (EPB), to control insect pests in a more sustainable manner.</w:t>
      </w:r>
    </w:p>
    <w:p w14:paraId="41990476">
      <w:pPr>
        <w:pStyle w:val="22"/>
        <w:spacing w:after="0"/>
        <w:ind w:firstLine="720"/>
        <w:rPr>
          <w:rFonts w:ascii="Arial" w:hAnsi="Arial" w:eastAsia="Calibri" w:cs="Arial"/>
          <w:szCs w:val="22"/>
        </w:rPr>
      </w:pPr>
      <w:r>
        <w:rPr>
          <w:rFonts w:ascii="Arial" w:hAnsi="Arial" w:eastAsia="Calibri" w:cs="Arial"/>
          <w:szCs w:val="22"/>
        </w:rPr>
        <w:t xml:space="preserve">Entomopathogenic bacteria are naturally occurring microorganisms capable of infecting and killing insect pests through various biological mechanisms. These bacteria either act as direct pathogens or produce insecticidal toxins that disrupt the physiological functions of target pests. One of the most widely studied and commercially utilized bacterial species is </w:t>
      </w:r>
      <w:r>
        <w:rPr>
          <w:rFonts w:ascii="Arial" w:hAnsi="Arial" w:eastAsia="Calibri" w:cs="Arial"/>
          <w:i/>
          <w:iCs/>
          <w:szCs w:val="22"/>
        </w:rPr>
        <w:t>Bacillus thuringiensis</w:t>
      </w:r>
      <w:r>
        <w:rPr>
          <w:rFonts w:ascii="Arial" w:hAnsi="Arial" w:eastAsia="Calibri" w:cs="Arial"/>
          <w:szCs w:val="22"/>
        </w:rPr>
        <w:t xml:space="preserve"> (Bt), known for its production of crystalline (Cry) toxins that specifically target insect larvae. In addition to Bt, other bacteria such as </w:t>
      </w:r>
      <w:r>
        <w:rPr>
          <w:rFonts w:ascii="Arial" w:hAnsi="Arial" w:eastAsia="Calibri" w:cs="Arial"/>
          <w:i/>
          <w:iCs/>
          <w:szCs w:val="22"/>
        </w:rPr>
        <w:t>Serratia</w:t>
      </w:r>
      <w:r>
        <w:rPr>
          <w:rFonts w:ascii="Arial" w:hAnsi="Arial" w:eastAsia="Calibri" w:cs="Arial"/>
          <w:szCs w:val="22"/>
        </w:rPr>
        <w:t xml:space="preserve">, </w:t>
      </w:r>
      <w:r>
        <w:rPr>
          <w:rFonts w:ascii="Arial" w:hAnsi="Arial" w:eastAsia="Calibri" w:cs="Arial"/>
          <w:i/>
          <w:iCs/>
          <w:szCs w:val="22"/>
        </w:rPr>
        <w:t>Paenibacillus</w:t>
      </w:r>
      <w:r>
        <w:rPr>
          <w:rFonts w:ascii="Arial" w:hAnsi="Arial" w:eastAsia="Calibri" w:cs="Arial"/>
          <w:szCs w:val="22"/>
        </w:rPr>
        <w:t xml:space="preserve">, </w:t>
      </w:r>
      <w:r>
        <w:rPr>
          <w:rFonts w:ascii="Arial" w:hAnsi="Arial" w:eastAsia="Calibri" w:cs="Arial"/>
          <w:i/>
          <w:iCs/>
          <w:szCs w:val="22"/>
        </w:rPr>
        <w:t>Photorhabdus</w:t>
      </w:r>
      <w:r>
        <w:rPr>
          <w:rFonts w:ascii="Arial" w:hAnsi="Arial" w:eastAsia="Calibri" w:cs="Arial"/>
          <w:szCs w:val="22"/>
        </w:rPr>
        <w:t xml:space="preserve">, and </w:t>
      </w:r>
      <w:r>
        <w:rPr>
          <w:rFonts w:ascii="Arial" w:hAnsi="Arial" w:eastAsia="Calibri" w:cs="Arial"/>
          <w:i/>
          <w:iCs/>
          <w:szCs w:val="22"/>
        </w:rPr>
        <w:t>Xenorhabdus</w:t>
      </w:r>
      <w:r>
        <w:rPr>
          <w:rFonts w:ascii="Arial" w:hAnsi="Arial" w:eastAsia="Calibri" w:cs="Arial"/>
          <w:szCs w:val="22"/>
        </w:rPr>
        <w:t xml:space="preserve"> have demonstrated potential for pest control, either independently or in symbiosis with entomopathogenic nematodes.</w:t>
      </w:r>
    </w:p>
    <w:p w14:paraId="264CF5E4">
      <w:pPr>
        <w:pStyle w:val="22"/>
        <w:spacing w:after="0"/>
        <w:rPr>
          <w:rFonts w:ascii="Arial" w:hAnsi="Arial" w:eastAsia="Calibri" w:cs="Arial"/>
          <w:szCs w:val="22"/>
        </w:rPr>
      </w:pPr>
      <w:r>
        <w:rPr>
          <w:rFonts w:ascii="Arial" w:hAnsi="Arial" w:eastAsia="Calibri" w:cs="Arial"/>
          <w:szCs w:val="22"/>
        </w:rPr>
        <w:t>The use of bacterial biopesticides presents multiple advantages, including specificity to target pests, biodegradability, and reduced risk of environmental pollution. Moreover, integrating bacterial agents into IPM strategies helps maintain ecological balance by preserving beneficial insects and reducing dependency on synthetic chemicals. However, despite these benefits, the large-scale adoption of microbial pest management faces challenges such as formulation stability, environmental persistence, and commercial viability. Continued research into microbial ecology, genetic improvement, and innovative delivery methods will be essential to overcoming these challenges and expanding the role of bacteria in sustainable pest management</w:t>
      </w:r>
    </w:p>
    <w:p w14:paraId="5EEF3FD9">
      <w:pPr>
        <w:pStyle w:val="22"/>
        <w:spacing w:after="0"/>
        <w:rPr>
          <w:rFonts w:ascii="Arial" w:hAnsi="Arial" w:cs="Arial"/>
        </w:rPr>
      </w:pPr>
    </w:p>
    <w:p w14:paraId="1B716078">
      <w:pPr>
        <w:pStyle w:val="22"/>
        <w:spacing w:after="0"/>
        <w:rPr>
          <w:rFonts w:ascii="Arial" w:hAnsi="Arial" w:cs="Arial"/>
        </w:rPr>
      </w:pPr>
    </w:p>
    <w:p w14:paraId="4CDA4D66">
      <w:pPr>
        <w:pStyle w:val="23"/>
        <w:rPr>
          <w:rFonts w:ascii="Arial" w:hAnsi="Arial" w:cs="Arial"/>
          <w:bCs/>
          <w:lang w:val="en-IN"/>
        </w:rPr>
      </w:pPr>
      <w:r>
        <w:rPr>
          <w:rFonts w:ascii="Arial" w:hAnsi="Arial" w:cs="Arial"/>
        </w:rPr>
        <w:t xml:space="preserve">2. </w:t>
      </w:r>
      <w:r>
        <w:rPr>
          <w:rFonts w:ascii="Arial" w:hAnsi="Arial" w:cs="Arial"/>
          <w:bCs/>
          <w:lang w:val="en-IN"/>
        </w:rPr>
        <w:t>Microbial Control Strategies for Insect Pest Management</w:t>
      </w:r>
    </w:p>
    <w:p w14:paraId="45063A0D">
      <w:pPr>
        <w:pStyle w:val="22"/>
        <w:spacing w:after="0"/>
        <w:ind w:firstLine="720"/>
        <w:rPr>
          <w:rFonts w:ascii="Arial" w:hAnsi="Arial" w:eastAsia="Calibri" w:cs="Arial"/>
          <w:szCs w:val="22"/>
          <w:lang w:val="en-IN"/>
        </w:rPr>
      </w:pPr>
      <w:r>
        <w:rPr>
          <w:rFonts w:ascii="Arial" w:hAnsi="Arial" w:eastAsia="Calibri" w:cs="Arial"/>
          <w:szCs w:val="22"/>
          <w:lang w:val="en-IN"/>
        </w:rPr>
        <w:t>Microbial pest management in agricultural crops embodies an environmentally friendly strategy consistent with the principles of Integrated Pest Management (IPM), which highlight sustainable practices to reduce environmental impact. In recent years, there has been a collaborative effort by the academic and industrial sectors to create and implement eco-friendly pest control methods within the IPM frameworks</w:t>
      </w:r>
      <w:r>
        <w:rPr>
          <w:rFonts w:ascii="Arial" w:hAnsi="Arial" w:eastAsia="Calibri" w:cs="Arial"/>
          <w:szCs w:val="22"/>
          <w:vertAlign w:val="superscript"/>
          <w:lang w:val="en-IN"/>
        </w:rPr>
        <w:t>1</w:t>
      </w:r>
      <w:r>
        <w:rPr>
          <w:rFonts w:ascii="Arial" w:hAnsi="Arial" w:eastAsia="Calibri" w:cs="Arial"/>
          <w:szCs w:val="22"/>
          <w:lang w:val="en-IN"/>
        </w:rPr>
        <w:t xml:space="preserve"> (Ruiu, 2015). This transition towards using microbial-based tactics for pest control demonstrates a growing acknowledgment of the constraints and potential dangers linked to traditional chemical insecticides, propelling the investigation and exploitation of beneficial microorganisms as feasible substitutes.</w:t>
      </w:r>
    </w:p>
    <w:p w14:paraId="78370CB5">
      <w:pPr>
        <w:pStyle w:val="22"/>
        <w:spacing w:after="0"/>
        <w:ind w:firstLine="720"/>
        <w:rPr>
          <w:rFonts w:ascii="Arial" w:hAnsi="Arial" w:eastAsia="Calibri" w:cs="Arial"/>
          <w:szCs w:val="22"/>
          <w:lang w:val="en-IN"/>
        </w:rPr>
      </w:pPr>
    </w:p>
    <w:p w14:paraId="1AEDE59C">
      <w:pPr>
        <w:pStyle w:val="22"/>
        <w:spacing w:after="0"/>
        <w:ind w:firstLine="720"/>
        <w:rPr>
          <w:rFonts w:ascii="Arial" w:hAnsi="Arial" w:eastAsia="Calibri" w:cs="Arial"/>
          <w:szCs w:val="22"/>
          <w:lang w:val="en-IN"/>
        </w:rPr>
      </w:pPr>
      <w:commentRangeStart w:id="2"/>
      <w:r>
        <w:rPr>
          <w:rFonts w:ascii="Arial" w:hAnsi="Arial" w:eastAsia="Calibri" w:cs="Arial"/>
          <w:szCs w:val="22"/>
          <w:lang w:val="en-IN"/>
        </w:rPr>
        <w:t>The adoption of beneficial microorganisms for insect pest regulation has gained momentum as an alternative option to chemical pesticides. The identification and utilization of various entomopathogenic microbial species, such as bacteria, viruses, protozoa, fungi, microsporidia, and nematodes, have emerged as economically feasible choices for pest management</w:t>
      </w:r>
      <w:r>
        <w:rPr>
          <w:rFonts w:ascii="Arial" w:hAnsi="Arial" w:eastAsia="Calibri" w:cs="Arial"/>
          <w:szCs w:val="22"/>
          <w:vertAlign w:val="superscript"/>
          <w:lang w:val="en-IN"/>
        </w:rPr>
        <w:t>2</w:t>
      </w:r>
      <w:r>
        <w:rPr>
          <w:rFonts w:ascii="Arial" w:hAnsi="Arial" w:eastAsia="Calibri" w:cs="Arial"/>
          <w:szCs w:val="22"/>
          <w:lang w:val="en-IN"/>
        </w:rPr>
        <w:t xml:space="preserve"> (Vega and Kaya, 2012). These microbial agents provide precise and specific regulation of pest populations while minimizing negative effects on non-target organisms and the environment. Notably, pathogenic microorganisms have been recognized as causal factors of diseases in different insect pests, highlighting their potential for incorporation into microbial control approaches</w:t>
      </w:r>
      <w:r>
        <w:rPr>
          <w:rFonts w:ascii="Arial" w:hAnsi="Arial" w:eastAsia="Calibri" w:cs="Arial"/>
          <w:szCs w:val="22"/>
          <w:vertAlign w:val="superscript"/>
          <w:lang w:val="en-IN"/>
        </w:rPr>
        <w:t>3,4,5</w:t>
      </w:r>
      <w:r>
        <w:rPr>
          <w:rFonts w:ascii="Arial" w:hAnsi="Arial" w:eastAsia="Calibri" w:cs="Arial"/>
          <w:szCs w:val="22"/>
          <w:lang w:val="en-IN"/>
        </w:rPr>
        <w:t xml:space="preserve"> (Rajendran and Gopalan, 1999; Markandeya </w:t>
      </w:r>
      <w:r>
        <w:rPr>
          <w:rFonts w:ascii="Arial" w:hAnsi="Arial" w:eastAsia="Calibri" w:cs="Arial"/>
          <w:i/>
          <w:iCs/>
          <w:szCs w:val="22"/>
          <w:lang w:val="en-IN"/>
        </w:rPr>
        <w:t>et al</w:t>
      </w:r>
      <w:r>
        <w:rPr>
          <w:rFonts w:ascii="Arial" w:hAnsi="Arial" w:eastAsia="Calibri" w:cs="Arial"/>
          <w:szCs w:val="22"/>
          <w:lang w:val="en-IN"/>
        </w:rPr>
        <w:t xml:space="preserve">., 2001; Neema </w:t>
      </w:r>
      <w:r>
        <w:rPr>
          <w:rFonts w:ascii="Arial" w:hAnsi="Arial" w:eastAsia="Calibri" w:cs="Arial"/>
          <w:i/>
          <w:iCs/>
          <w:szCs w:val="22"/>
          <w:lang w:val="en-IN"/>
        </w:rPr>
        <w:t>et al</w:t>
      </w:r>
      <w:r>
        <w:rPr>
          <w:rFonts w:ascii="Arial" w:hAnsi="Arial" w:eastAsia="Calibri" w:cs="Arial"/>
          <w:szCs w:val="22"/>
          <w:lang w:val="en-IN"/>
        </w:rPr>
        <w:t>., 2010). Several of these entomopathogens have been developed and approved as microbial pesticides by commercial enterprises and governmental bodies globally, indicating their increasing acceptance and utilization in agricultural pest management practices</w:t>
      </w:r>
      <w:r>
        <w:rPr>
          <w:rFonts w:ascii="Arial" w:hAnsi="Arial" w:eastAsia="Calibri" w:cs="Arial"/>
          <w:szCs w:val="22"/>
          <w:vertAlign w:val="superscript"/>
          <w:lang w:val="en-IN"/>
        </w:rPr>
        <w:t>6</w:t>
      </w:r>
      <w:r>
        <w:rPr>
          <w:rFonts w:ascii="Arial" w:hAnsi="Arial" w:eastAsia="Calibri" w:cs="Arial"/>
          <w:szCs w:val="22"/>
          <w:lang w:val="en-IN"/>
        </w:rPr>
        <w:t xml:space="preserve"> (EPA, 2013).</w:t>
      </w:r>
      <w:commentRangeEnd w:id="2"/>
      <w:r>
        <w:commentReference w:id="2"/>
      </w:r>
    </w:p>
    <w:p w14:paraId="18FD683C">
      <w:pPr>
        <w:pStyle w:val="22"/>
        <w:spacing w:after="0"/>
        <w:ind w:firstLine="720"/>
        <w:rPr>
          <w:rFonts w:ascii="Arial" w:hAnsi="Arial" w:eastAsia="Calibri" w:cs="Arial"/>
          <w:szCs w:val="22"/>
          <w:lang w:val="en-IN"/>
        </w:rPr>
      </w:pPr>
    </w:p>
    <w:p w14:paraId="338E3FD4">
      <w:pPr>
        <w:pStyle w:val="22"/>
        <w:spacing w:after="0"/>
        <w:ind w:firstLine="720"/>
        <w:rPr>
          <w:rFonts w:ascii="Arial" w:hAnsi="Arial" w:eastAsia="Calibri" w:cs="Arial"/>
          <w:szCs w:val="22"/>
          <w:lang w:val="en-IN"/>
        </w:rPr>
      </w:pPr>
      <w:r>
        <w:rPr>
          <w:rFonts w:ascii="Arial" w:hAnsi="Arial" w:eastAsia="Calibri" w:cs="Arial"/>
          <w:szCs w:val="22"/>
          <w:lang w:val="en-IN"/>
        </w:rPr>
        <w:t>The implementation of microbial-based strategies for insect pest management within IPM systems signifies a fundamental shift towards sustainable farming. By leveraging the inherent capabilities of beneficial microorganisms, such as entomopathogens, to suppress pest populations, farmers can lessen their dependence on synthetic chemicals and mitigate the emergence of pesticide resistance. Moreover, the targeted approach of microbial control reduces impacts on non-target organisms, including beneficial insects essential for pollination and ecological equilibrium. Looking ahead, continuous research and advancement in microbial control technologies, coupled with regulatory backing for their integration into pest management schemes, will be crucial for promoting sustainable agricultural practices and ensuring food security in an evolving environment.</w:t>
      </w:r>
    </w:p>
    <w:p w14:paraId="3B8E6179">
      <w:pPr>
        <w:pStyle w:val="22"/>
        <w:spacing w:after="0"/>
        <w:rPr>
          <w:rFonts w:ascii="Arial" w:hAnsi="Arial" w:eastAsia="Calibri" w:cs="Arial"/>
          <w:b/>
          <w:bCs/>
          <w:szCs w:val="22"/>
          <w:lang w:val="en-IN"/>
        </w:rPr>
      </w:pPr>
    </w:p>
    <w:p w14:paraId="73337DA8">
      <w:pPr>
        <w:pStyle w:val="22"/>
        <w:spacing w:after="0"/>
        <w:rPr>
          <w:rFonts w:ascii="Arial" w:hAnsi="Arial" w:eastAsia="Calibri" w:cs="Arial"/>
          <w:b/>
          <w:bCs/>
          <w:sz w:val="22"/>
          <w:szCs w:val="24"/>
          <w:lang w:val="en-IN"/>
        </w:rPr>
      </w:pPr>
      <w:r>
        <w:rPr>
          <w:rFonts w:ascii="Arial" w:hAnsi="Arial" w:eastAsia="Calibri" w:cs="Arial"/>
          <w:b/>
          <w:bCs/>
          <w:sz w:val="22"/>
          <w:szCs w:val="24"/>
          <w:lang w:val="en-IN"/>
        </w:rPr>
        <w:t>2.1. Bacteria as a microbial control agent</w:t>
      </w:r>
    </w:p>
    <w:p w14:paraId="6BE802AE">
      <w:pPr>
        <w:pStyle w:val="22"/>
        <w:spacing w:after="0"/>
        <w:rPr>
          <w:rFonts w:ascii="Arial" w:hAnsi="Arial" w:eastAsia="Calibri" w:cs="Arial"/>
          <w:b/>
          <w:bCs/>
          <w:sz w:val="22"/>
          <w:szCs w:val="24"/>
          <w:lang w:val="en-IN"/>
        </w:rPr>
      </w:pPr>
    </w:p>
    <w:p w14:paraId="1968877A">
      <w:pPr>
        <w:pStyle w:val="22"/>
        <w:spacing w:after="0"/>
        <w:ind w:firstLine="720"/>
        <w:rPr>
          <w:rFonts w:ascii="Arial" w:hAnsi="Arial" w:eastAsia="Calibri" w:cs="Arial"/>
          <w:szCs w:val="22"/>
          <w:lang w:val="en-IN"/>
        </w:rPr>
      </w:pPr>
      <w:r>
        <w:rPr>
          <w:rFonts w:ascii="Arial" w:hAnsi="Arial" w:eastAsia="Calibri" w:cs="Arial"/>
          <w:szCs w:val="22"/>
          <w:lang w:val="en-IN"/>
        </w:rPr>
        <w:t>Entomopathogenic bacteria (EPB), derived from the words "entomo" (insect) and "pathogenic" (causing disease), refer to a diverse group of bacteria capable of infecting and killing insects. These bacteria have evolved specialized mechanisms to colonize and invade insect hosts, leading to disease and ultimately death</w:t>
      </w:r>
      <w:r>
        <w:rPr>
          <w:rFonts w:ascii="Arial" w:hAnsi="Arial" w:eastAsia="Calibri" w:cs="Arial"/>
          <w:szCs w:val="22"/>
          <w:vertAlign w:val="superscript"/>
          <w:lang w:val="en-IN"/>
        </w:rPr>
        <w:t>7</w:t>
      </w:r>
      <w:r>
        <w:rPr>
          <w:rFonts w:ascii="Arial" w:hAnsi="Arial" w:eastAsia="Calibri" w:cs="Arial"/>
          <w:szCs w:val="22"/>
          <w:lang w:val="en-IN"/>
        </w:rPr>
        <w:t xml:space="preserve"> (Tanzini </w:t>
      </w:r>
      <w:r>
        <w:rPr>
          <w:rFonts w:ascii="Arial" w:hAnsi="Arial" w:eastAsia="Calibri" w:cs="Arial"/>
          <w:i/>
          <w:iCs/>
          <w:szCs w:val="22"/>
          <w:lang w:val="en-IN"/>
        </w:rPr>
        <w:t>et al</w:t>
      </w:r>
      <w:r>
        <w:rPr>
          <w:rFonts w:ascii="Arial" w:hAnsi="Arial" w:eastAsia="Calibri" w:cs="Arial"/>
          <w:szCs w:val="22"/>
          <w:lang w:val="en-IN"/>
        </w:rPr>
        <w:t xml:space="preserve">., 2001). One well-known example of entomopathogenic bacteria is </w:t>
      </w:r>
      <w:r>
        <w:rPr>
          <w:rFonts w:ascii="Arial" w:hAnsi="Arial" w:eastAsia="Calibri" w:cs="Arial"/>
          <w:i/>
          <w:iCs/>
          <w:szCs w:val="22"/>
          <w:lang w:val="en-IN"/>
        </w:rPr>
        <w:t>Bacillus thuringiensis</w:t>
      </w:r>
      <w:r>
        <w:rPr>
          <w:rFonts w:ascii="Arial" w:hAnsi="Arial" w:eastAsia="Calibri" w:cs="Arial"/>
          <w:szCs w:val="22"/>
          <w:lang w:val="en-IN"/>
        </w:rPr>
        <w:t xml:space="preserve"> (Bt), a Gram-positive bacterium that produces insecticidal proteins known as crystal toxins, these toxins, when ingested by susceptible insect larvae, disrupt gut function and lead to paralysis, ultimately causing mortality</w:t>
      </w:r>
      <w:r>
        <w:rPr>
          <w:rFonts w:ascii="Arial" w:hAnsi="Arial" w:eastAsia="Calibri" w:cs="Arial"/>
          <w:szCs w:val="22"/>
          <w:vertAlign w:val="superscript"/>
          <w:lang w:val="en-IN"/>
        </w:rPr>
        <w:t>8</w:t>
      </w:r>
      <w:r>
        <w:rPr>
          <w:rFonts w:ascii="Arial" w:hAnsi="Arial" w:eastAsia="Calibri" w:cs="Arial"/>
          <w:szCs w:val="22"/>
          <w:lang w:val="en-IN"/>
        </w:rPr>
        <w:t xml:space="preserve"> (El-Menofoy </w:t>
      </w:r>
      <w:r>
        <w:rPr>
          <w:rFonts w:ascii="Arial" w:hAnsi="Arial" w:eastAsia="Calibri" w:cs="Arial"/>
          <w:i/>
          <w:iCs/>
          <w:szCs w:val="22"/>
          <w:lang w:val="en-IN"/>
        </w:rPr>
        <w:t>et al</w:t>
      </w:r>
      <w:r>
        <w:rPr>
          <w:rFonts w:ascii="Arial" w:hAnsi="Arial" w:eastAsia="Calibri" w:cs="Arial"/>
          <w:szCs w:val="22"/>
          <w:lang w:val="en-IN"/>
        </w:rPr>
        <w:t xml:space="preserve">., 2014). The specificity of Bt toxins to certain insect species, coupled with their environmentally friendly nature, has made </w:t>
      </w:r>
      <w:r>
        <w:rPr>
          <w:rFonts w:ascii="Arial" w:hAnsi="Arial" w:eastAsia="Calibri" w:cs="Arial"/>
          <w:i/>
          <w:iCs/>
          <w:szCs w:val="22"/>
          <w:lang w:val="en-IN"/>
        </w:rPr>
        <w:t>B. thuringiensis</w:t>
      </w:r>
      <w:r>
        <w:rPr>
          <w:rFonts w:ascii="Arial" w:hAnsi="Arial" w:eastAsia="Calibri" w:cs="Arial"/>
          <w:szCs w:val="22"/>
          <w:lang w:val="en-IN"/>
        </w:rPr>
        <w:t xml:space="preserve"> a widely used biopesticide in agriculture. Most of entomopathogenic bacteria belong to families such as Bacillaceae, Enterobacteriaceae, Pseudomonadaceae, Streptococcaceae, and Micrococcaceae</w:t>
      </w:r>
      <w:r>
        <w:rPr>
          <w:rFonts w:ascii="Arial" w:hAnsi="Arial" w:eastAsia="Calibri" w:cs="Arial"/>
          <w:szCs w:val="22"/>
          <w:vertAlign w:val="superscript"/>
          <w:lang w:val="en-IN"/>
        </w:rPr>
        <w:t>9</w:t>
      </w:r>
      <w:r>
        <w:rPr>
          <w:rFonts w:ascii="Arial" w:hAnsi="Arial" w:eastAsia="Calibri" w:cs="Arial"/>
          <w:szCs w:val="22"/>
          <w:lang w:val="en-IN"/>
        </w:rPr>
        <w:t xml:space="preserve"> (Mampallil, 2017).</w:t>
      </w:r>
    </w:p>
    <w:p w14:paraId="45410C2F">
      <w:pPr>
        <w:pStyle w:val="22"/>
        <w:spacing w:after="0"/>
        <w:ind w:firstLine="720"/>
        <w:rPr>
          <w:rFonts w:ascii="Arial" w:hAnsi="Arial" w:eastAsia="Calibri" w:cs="Arial"/>
          <w:szCs w:val="22"/>
          <w:lang w:val="en-IN"/>
        </w:rPr>
      </w:pPr>
    </w:p>
    <w:p w14:paraId="5A220718">
      <w:pPr>
        <w:pStyle w:val="22"/>
        <w:spacing w:after="0"/>
        <w:ind w:firstLine="720"/>
        <w:rPr>
          <w:rFonts w:ascii="Arial" w:hAnsi="Arial" w:eastAsia="Calibri" w:cs="Arial"/>
          <w:szCs w:val="22"/>
          <w:lang w:val="en-IN"/>
        </w:rPr>
      </w:pPr>
      <w:r>
        <w:rPr>
          <w:rFonts w:ascii="Arial" w:hAnsi="Arial" w:eastAsia="Calibri" w:cs="Arial"/>
          <w:szCs w:val="22"/>
          <w:lang w:val="en-IN"/>
        </w:rPr>
        <w:t xml:space="preserve">The study of entomopathogenic bacteria has revealed a wealth of microbial diversity within this group, encompassing various genera and species with unique insecticidal properties. Besides </w:t>
      </w:r>
      <w:r>
        <w:rPr>
          <w:rFonts w:ascii="Arial" w:hAnsi="Arial" w:eastAsia="Calibri" w:cs="Arial"/>
          <w:i/>
          <w:iCs/>
          <w:szCs w:val="22"/>
          <w:lang w:val="en-IN"/>
        </w:rPr>
        <w:t>Bacillus thuringiensis</w:t>
      </w:r>
      <w:r>
        <w:rPr>
          <w:rFonts w:ascii="Arial" w:hAnsi="Arial" w:eastAsia="Calibri" w:cs="Arial"/>
          <w:szCs w:val="22"/>
          <w:lang w:val="en-IN"/>
        </w:rPr>
        <w:t xml:space="preserve">, other notable entomopathogenic bacteria include </w:t>
      </w:r>
      <w:r>
        <w:rPr>
          <w:rFonts w:ascii="Arial" w:hAnsi="Arial" w:eastAsia="Calibri" w:cs="Arial"/>
          <w:i/>
          <w:iCs/>
          <w:szCs w:val="22"/>
          <w:lang w:val="en-IN"/>
        </w:rPr>
        <w:t>Photorhabdus</w:t>
      </w:r>
      <w:r>
        <w:rPr>
          <w:rFonts w:ascii="Arial" w:hAnsi="Arial" w:eastAsia="Calibri" w:cs="Arial"/>
          <w:szCs w:val="22"/>
          <w:lang w:val="en-IN"/>
        </w:rPr>
        <w:t xml:space="preserve"> and </w:t>
      </w:r>
      <w:r>
        <w:rPr>
          <w:rFonts w:ascii="Arial" w:hAnsi="Arial" w:eastAsia="Calibri" w:cs="Arial"/>
          <w:i/>
          <w:iCs/>
          <w:szCs w:val="22"/>
          <w:lang w:val="en-IN"/>
        </w:rPr>
        <w:t>Xenorhabdus</w:t>
      </w:r>
      <w:r>
        <w:rPr>
          <w:rFonts w:ascii="Arial" w:hAnsi="Arial" w:eastAsia="Calibri" w:cs="Arial"/>
          <w:szCs w:val="22"/>
          <w:lang w:val="en-IN"/>
        </w:rPr>
        <w:t>, which are symbiotically associated with entomopathogenic nematodes</w:t>
      </w:r>
      <w:r>
        <w:rPr>
          <w:rFonts w:ascii="Arial" w:hAnsi="Arial" w:eastAsia="Calibri" w:cs="Arial"/>
          <w:szCs w:val="22"/>
          <w:vertAlign w:val="superscript"/>
          <w:lang w:val="en-IN"/>
        </w:rPr>
        <w:t>10</w:t>
      </w:r>
      <w:r>
        <w:rPr>
          <w:rFonts w:ascii="Arial" w:hAnsi="Arial" w:eastAsia="Calibri" w:cs="Arial"/>
          <w:szCs w:val="22"/>
          <w:lang w:val="en-IN"/>
        </w:rPr>
        <w:t>,</w:t>
      </w:r>
      <w:r>
        <w:rPr>
          <w:rFonts w:ascii="Arial" w:hAnsi="Arial" w:eastAsia="Calibri" w:cs="Arial"/>
          <w:szCs w:val="22"/>
          <w:vertAlign w:val="superscript"/>
          <w:lang w:val="en-IN"/>
        </w:rPr>
        <w:t>11</w:t>
      </w:r>
      <w:r>
        <w:rPr>
          <w:rFonts w:ascii="Arial" w:hAnsi="Arial" w:eastAsia="Calibri" w:cs="Arial"/>
          <w:szCs w:val="22"/>
          <w:lang w:val="en-IN"/>
        </w:rPr>
        <w:t xml:space="preserve"> (</w:t>
      </w:r>
      <w:bookmarkStart w:id="0" w:name="_Hlk85648417"/>
      <w:bookmarkStart w:id="1" w:name="_Hlk86611224"/>
      <w:r>
        <w:rPr>
          <w:rFonts w:ascii="Arial" w:hAnsi="Arial" w:eastAsia="Calibri" w:cs="Arial"/>
          <w:szCs w:val="22"/>
          <w:lang w:val="en-IN"/>
        </w:rPr>
        <w:t xml:space="preserve">Shawer </w:t>
      </w:r>
      <w:r>
        <w:rPr>
          <w:rFonts w:ascii="Arial" w:hAnsi="Arial" w:eastAsia="Calibri" w:cs="Arial"/>
          <w:i/>
          <w:iCs/>
          <w:szCs w:val="22"/>
          <w:lang w:val="en-IN"/>
        </w:rPr>
        <w:t>et al.</w:t>
      </w:r>
      <w:r>
        <w:rPr>
          <w:rFonts w:ascii="Arial" w:hAnsi="Arial" w:eastAsia="Calibri" w:cs="Arial"/>
          <w:szCs w:val="22"/>
          <w:lang w:val="en-IN"/>
        </w:rPr>
        <w:t>, 2018</w:t>
      </w:r>
      <w:bookmarkEnd w:id="0"/>
      <w:bookmarkEnd w:id="1"/>
      <w:r>
        <w:rPr>
          <w:rFonts w:ascii="Arial" w:hAnsi="Arial" w:eastAsia="Calibri" w:cs="Arial"/>
          <w:szCs w:val="22"/>
          <w:lang w:val="en-IN"/>
        </w:rPr>
        <w:t xml:space="preserve">; </w:t>
      </w:r>
      <w:bookmarkStart w:id="2" w:name="_Hlk85648393"/>
      <w:bookmarkStart w:id="3" w:name="_Hlk86611064"/>
      <w:r>
        <w:rPr>
          <w:rFonts w:ascii="Arial" w:hAnsi="Arial" w:eastAsia="Calibri" w:cs="Arial"/>
          <w:szCs w:val="22"/>
          <w:lang w:val="en-IN"/>
        </w:rPr>
        <w:t xml:space="preserve">Mahmood </w:t>
      </w:r>
      <w:r>
        <w:rPr>
          <w:rFonts w:ascii="Arial" w:hAnsi="Arial" w:eastAsia="Calibri" w:cs="Arial"/>
          <w:i/>
          <w:iCs/>
          <w:szCs w:val="22"/>
          <w:lang w:val="en-IN"/>
        </w:rPr>
        <w:t>et al.</w:t>
      </w:r>
      <w:r>
        <w:rPr>
          <w:rFonts w:ascii="Arial" w:hAnsi="Arial" w:eastAsia="Calibri" w:cs="Arial"/>
          <w:szCs w:val="22"/>
          <w:lang w:val="en-IN"/>
        </w:rPr>
        <w:t>, 2020</w:t>
      </w:r>
      <w:bookmarkEnd w:id="2"/>
      <w:bookmarkEnd w:id="3"/>
      <w:r>
        <w:rPr>
          <w:rFonts w:ascii="Arial" w:hAnsi="Arial" w:eastAsia="Calibri" w:cs="Arial"/>
          <w:szCs w:val="22"/>
          <w:lang w:val="en-IN"/>
        </w:rPr>
        <w:t>). These bacteria produce a range of toxins and antimicrobial compounds that contribute to insect mortality. Moreover, advances in molecular biology and genomics have facilitated the characterization and manipulation of entomopathogenic bacteria, allowing for the development of novel biocontrol strategies targeting specific insect pests while minimizing impacts on non-target organisms.</w:t>
      </w:r>
    </w:p>
    <w:p w14:paraId="58D29D70">
      <w:pPr>
        <w:pStyle w:val="22"/>
        <w:spacing w:after="0"/>
        <w:rPr>
          <w:rFonts w:ascii="Arial" w:hAnsi="Arial" w:eastAsia="Calibri" w:cs="Arial"/>
          <w:b/>
          <w:bCs/>
          <w:szCs w:val="22"/>
          <w:lang w:val="en-IN"/>
        </w:rPr>
      </w:pPr>
    </w:p>
    <w:p w14:paraId="66771143">
      <w:pPr>
        <w:pStyle w:val="22"/>
        <w:spacing w:after="0"/>
        <w:rPr>
          <w:rFonts w:ascii="Arial" w:hAnsi="Arial" w:eastAsia="Calibri" w:cs="Arial"/>
          <w:b/>
          <w:bCs/>
          <w:szCs w:val="22"/>
          <w:lang w:val="en-IN"/>
        </w:rPr>
      </w:pPr>
      <w:r>
        <w:rPr>
          <w:rFonts w:ascii="Arial" w:hAnsi="Arial" w:eastAsia="Calibri" w:cs="Arial"/>
          <w:b/>
          <w:bCs/>
          <w:szCs w:val="22"/>
          <w:lang w:val="en-IN"/>
        </w:rPr>
        <w:t xml:space="preserve">2.1.1. Classification of entomopathogenic bacteria  </w:t>
      </w:r>
    </w:p>
    <w:p w14:paraId="72CCBE7F">
      <w:pPr>
        <w:pStyle w:val="22"/>
        <w:spacing w:after="0"/>
        <w:rPr>
          <w:rFonts w:ascii="Arial" w:hAnsi="Arial" w:eastAsia="Calibri" w:cs="Arial"/>
          <w:b/>
          <w:bCs/>
          <w:szCs w:val="22"/>
          <w:lang w:val="en-IN"/>
        </w:rPr>
      </w:pPr>
    </w:p>
    <w:p w14:paraId="00DE269D">
      <w:pPr>
        <w:pStyle w:val="22"/>
        <w:spacing w:after="0"/>
        <w:ind w:firstLine="720"/>
        <w:rPr>
          <w:rFonts w:ascii="Arial" w:hAnsi="Arial" w:eastAsia="Calibri" w:cs="Arial"/>
          <w:szCs w:val="22"/>
          <w:lang w:val="en-IN"/>
        </w:rPr>
      </w:pPr>
      <w:commentRangeStart w:id="3"/>
      <w:r>
        <w:rPr>
          <w:rFonts w:ascii="Arial" w:hAnsi="Arial" w:eastAsia="Calibri" w:cs="Arial"/>
          <w:szCs w:val="22"/>
          <w:lang w:val="en-IN"/>
        </w:rPr>
        <w:t xml:space="preserve">Based on their pathogenicity, bacteria can be classified as either obligate or facultative pathogens. Obligate bacterial pathogens undergo their life cycles solely within the insect host, as demonstrated by species such as </w:t>
      </w:r>
      <w:r>
        <w:rPr>
          <w:rFonts w:ascii="Arial" w:hAnsi="Arial" w:eastAsia="Calibri" w:cs="Arial"/>
          <w:i/>
          <w:iCs/>
          <w:szCs w:val="22"/>
          <w:lang w:val="en-IN"/>
        </w:rPr>
        <w:t>Paenibacillus</w:t>
      </w:r>
      <w:r>
        <w:rPr>
          <w:rFonts w:ascii="Arial" w:hAnsi="Arial" w:eastAsia="Calibri" w:cs="Arial"/>
          <w:szCs w:val="22"/>
          <w:lang w:val="en-IN"/>
        </w:rPr>
        <w:t xml:space="preserve"> spp. In contrast, facultative bacteria possess the capacity to thrive both internally within the host and in the external environment, as observed in species like </w:t>
      </w:r>
      <w:r>
        <w:rPr>
          <w:rFonts w:ascii="Arial" w:hAnsi="Arial" w:eastAsia="Calibri" w:cs="Arial"/>
          <w:i/>
          <w:iCs/>
          <w:szCs w:val="22"/>
          <w:lang w:val="en-IN"/>
        </w:rPr>
        <w:t>Bacillus</w:t>
      </w:r>
      <w:r>
        <w:rPr>
          <w:rFonts w:ascii="Arial" w:hAnsi="Arial" w:eastAsia="Calibri" w:cs="Arial"/>
          <w:szCs w:val="22"/>
          <w:lang w:val="en-IN"/>
        </w:rPr>
        <w:t xml:space="preserve"> and </w:t>
      </w:r>
      <w:r>
        <w:rPr>
          <w:rFonts w:ascii="Arial" w:hAnsi="Arial" w:eastAsia="Calibri" w:cs="Arial"/>
          <w:i/>
          <w:iCs/>
          <w:szCs w:val="22"/>
          <w:lang w:val="en-IN"/>
        </w:rPr>
        <w:t>Serratia</w:t>
      </w:r>
      <w:r>
        <w:rPr>
          <w:rFonts w:ascii="Arial" w:hAnsi="Arial" w:eastAsia="Calibri" w:cs="Arial"/>
          <w:szCs w:val="22"/>
          <w:lang w:val="en-IN"/>
        </w:rPr>
        <w:t>.</w:t>
      </w:r>
      <w:commentRangeEnd w:id="3"/>
      <w:r>
        <w:commentReference w:id="3"/>
      </w:r>
    </w:p>
    <w:p w14:paraId="178B0C64">
      <w:pPr>
        <w:pStyle w:val="22"/>
        <w:spacing w:after="0"/>
        <w:rPr>
          <w:rFonts w:ascii="Arial" w:hAnsi="Arial" w:eastAsia="Calibri" w:cs="Arial"/>
          <w:szCs w:val="22"/>
          <w:lang w:val="en-IN"/>
        </w:rPr>
      </w:pPr>
    </w:p>
    <w:p w14:paraId="657BFE65">
      <w:pPr>
        <w:pStyle w:val="22"/>
        <w:spacing w:after="0"/>
        <w:ind w:firstLine="720"/>
        <w:rPr>
          <w:rFonts w:ascii="Arial" w:hAnsi="Arial" w:eastAsia="Calibri" w:cs="Arial"/>
          <w:szCs w:val="22"/>
          <w:lang w:val="en-IN"/>
        </w:rPr>
      </w:pPr>
      <w:r>
        <w:rPr>
          <w:rFonts w:ascii="Arial" w:hAnsi="Arial" w:eastAsia="Calibri" w:cs="Arial"/>
          <w:szCs w:val="22"/>
          <w:lang w:val="en-IN"/>
        </w:rPr>
        <w:t xml:space="preserve">Another classification of entomopathogenic bacteria is established on the basis of spore production. These bacteria can be distinguished into spore-producing and non-spore producing categories (e g., </w:t>
      </w:r>
      <w:r>
        <w:rPr>
          <w:rFonts w:ascii="Arial" w:hAnsi="Arial" w:eastAsia="Calibri" w:cs="Arial"/>
          <w:i/>
          <w:iCs/>
          <w:szCs w:val="22"/>
          <w:lang w:val="en-IN"/>
        </w:rPr>
        <w:t>Pseudomonas</w:t>
      </w:r>
      <w:r>
        <w:rPr>
          <w:rFonts w:ascii="Arial" w:hAnsi="Arial" w:eastAsia="Calibri" w:cs="Arial"/>
          <w:szCs w:val="22"/>
          <w:lang w:val="en-IN"/>
        </w:rPr>
        <w:t xml:space="preserve"> spp.). Within the spore producers, there exist obligate spore-producing bacteria (e g., </w:t>
      </w:r>
      <w:r>
        <w:rPr>
          <w:rFonts w:ascii="Arial" w:hAnsi="Arial" w:eastAsia="Calibri" w:cs="Arial"/>
          <w:i/>
          <w:iCs/>
          <w:szCs w:val="22"/>
          <w:lang w:val="en-IN"/>
        </w:rPr>
        <w:t>Bacillus papillae</w:t>
      </w:r>
      <w:r>
        <w:rPr>
          <w:rFonts w:ascii="Arial" w:hAnsi="Arial" w:eastAsia="Calibri" w:cs="Arial"/>
          <w:szCs w:val="22"/>
          <w:lang w:val="en-IN"/>
        </w:rPr>
        <w:t xml:space="preserve">) alongside facultative spore-producing bacteria. The facultative spore producers can be further subdivided into crystalliferous (e g., </w:t>
      </w:r>
      <w:r>
        <w:rPr>
          <w:rFonts w:ascii="Arial" w:hAnsi="Arial" w:eastAsia="Calibri" w:cs="Arial"/>
          <w:i/>
          <w:iCs/>
          <w:szCs w:val="22"/>
          <w:lang w:val="en-IN"/>
        </w:rPr>
        <w:t>Bacillus thuringiensis</w:t>
      </w:r>
      <w:r>
        <w:rPr>
          <w:rFonts w:ascii="Arial" w:hAnsi="Arial" w:eastAsia="Calibri" w:cs="Arial"/>
          <w:szCs w:val="22"/>
          <w:lang w:val="en-IN"/>
        </w:rPr>
        <w:t xml:space="preserve">) and non-crystalliferous (e g., </w:t>
      </w:r>
      <w:r>
        <w:rPr>
          <w:rFonts w:ascii="Arial" w:hAnsi="Arial" w:eastAsia="Calibri" w:cs="Arial"/>
          <w:i/>
          <w:iCs/>
          <w:szCs w:val="22"/>
          <w:lang w:val="en-IN"/>
        </w:rPr>
        <w:t>Bacillus cereus</w:t>
      </w:r>
      <w:r>
        <w:rPr>
          <w:rFonts w:ascii="Arial" w:hAnsi="Arial" w:eastAsia="Calibri" w:cs="Arial"/>
          <w:szCs w:val="22"/>
          <w:lang w:val="en-IN"/>
        </w:rPr>
        <w:t>).</w:t>
      </w:r>
    </w:p>
    <w:p w14:paraId="60DB4CB8">
      <w:pPr>
        <w:pStyle w:val="22"/>
        <w:spacing w:after="0"/>
        <w:rPr>
          <w:rFonts w:ascii="Arial" w:hAnsi="Arial" w:eastAsia="Calibri" w:cs="Arial"/>
          <w:szCs w:val="22"/>
          <w:lang w:val="en-IN"/>
        </w:rPr>
      </w:pPr>
      <w:r>
        <w:rPr>
          <w:rFonts w:ascii="Arial" w:hAnsi="Arial" w:eastAsia="Calibri" w:cs="Arial"/>
          <w:szCs w:val="22"/>
          <w:lang w:val="en-IN"/>
        </w:rPr>
        <w:t>Entomopathogenic bacteria are also classified under Eubacteria, which encompasses three primary divisions based on cell wall characteristics. These divisions encompass bacteria with Gram-negative type cell walls (Gracilicutes), Gram-positive type cell walls (Firmicutes), and Eubacteria lacking a cell wall (Tenericutes). This system of classification, rooted in cell wall structure, offers valuable insights into the diversity and evolutionary connections among entomopathogenic bacteria.</w:t>
      </w:r>
    </w:p>
    <w:p w14:paraId="2A62C3B9">
      <w:pPr>
        <w:pStyle w:val="22"/>
        <w:spacing w:after="0"/>
        <w:rPr>
          <w:rFonts w:ascii="Arial" w:hAnsi="Arial" w:eastAsia="Calibri" w:cs="Arial"/>
          <w:b/>
          <w:bCs/>
          <w:szCs w:val="22"/>
          <w:lang w:val="en-IN"/>
        </w:rPr>
      </w:pPr>
    </w:p>
    <w:p w14:paraId="581B26F4">
      <w:pPr>
        <w:pStyle w:val="22"/>
        <w:spacing w:after="0"/>
        <w:rPr>
          <w:rFonts w:ascii="Arial" w:hAnsi="Arial" w:eastAsia="Calibri" w:cs="Arial"/>
          <w:b/>
          <w:bCs/>
          <w:sz w:val="22"/>
          <w:szCs w:val="24"/>
          <w:lang w:val="en-IN"/>
        </w:rPr>
      </w:pPr>
      <w:r>
        <w:rPr>
          <w:rFonts w:ascii="Arial" w:hAnsi="Arial" w:eastAsia="Calibri" w:cs="Arial"/>
          <w:b/>
          <w:bCs/>
          <w:sz w:val="22"/>
          <w:szCs w:val="24"/>
          <w:lang w:val="en-IN"/>
        </w:rPr>
        <w:t xml:space="preserve">2.2. Major groups of entomopathogenic bacteria  </w:t>
      </w:r>
    </w:p>
    <w:p w14:paraId="62B1072B">
      <w:pPr>
        <w:pStyle w:val="22"/>
        <w:spacing w:after="0"/>
        <w:rPr>
          <w:rFonts w:ascii="Arial" w:hAnsi="Arial" w:eastAsia="Calibri" w:cs="Arial"/>
          <w:b/>
          <w:bCs/>
          <w:sz w:val="22"/>
          <w:szCs w:val="24"/>
          <w:lang w:val="en-IN"/>
        </w:rPr>
      </w:pPr>
    </w:p>
    <w:p w14:paraId="24B23F00">
      <w:pPr>
        <w:pStyle w:val="22"/>
        <w:spacing w:after="0"/>
        <w:ind w:firstLine="720"/>
        <w:rPr>
          <w:rFonts w:ascii="Arial" w:hAnsi="Arial" w:eastAsia="Calibri" w:cs="Arial"/>
          <w:szCs w:val="22"/>
          <w:lang w:val="en-IN"/>
        </w:rPr>
      </w:pPr>
      <w:r>
        <w:rPr>
          <w:rFonts w:ascii="Arial" w:hAnsi="Arial" w:eastAsia="Calibri" w:cs="Arial"/>
          <w:szCs w:val="22"/>
          <w:lang w:val="en-IN"/>
        </w:rPr>
        <w:t xml:space="preserve">Entomopathogenic bacteria belong to a variety of families, with notable representatives residing in the Bacillaceae, Paenibacillaceae, Pseudomonadaceae, and Enterobacteriaceae families. These families harbor a considerable number of entomopathogenic species, such as </w:t>
      </w:r>
      <w:r>
        <w:rPr>
          <w:rFonts w:ascii="Arial" w:hAnsi="Arial" w:eastAsia="Calibri" w:cs="Arial"/>
          <w:i/>
          <w:iCs/>
          <w:szCs w:val="22"/>
          <w:lang w:val="en-IN"/>
        </w:rPr>
        <w:t>Bacillus thuringiensis</w:t>
      </w:r>
      <w:r>
        <w:rPr>
          <w:rFonts w:ascii="Arial" w:hAnsi="Arial" w:eastAsia="Calibri" w:cs="Arial"/>
          <w:szCs w:val="22"/>
          <w:lang w:val="en-IN"/>
        </w:rPr>
        <w:t xml:space="preserve"> (Bt) in the Bacillaceae family, renowned for its synthesis of insecticidal proteins. The Paenibacillaceae family, on the other hand, includes organisms like </w:t>
      </w:r>
      <w:r>
        <w:rPr>
          <w:rFonts w:ascii="Arial" w:hAnsi="Arial" w:eastAsia="Calibri" w:cs="Arial"/>
          <w:i/>
          <w:iCs/>
          <w:szCs w:val="22"/>
          <w:lang w:val="en-IN"/>
        </w:rPr>
        <w:t>Paenibacillus</w:t>
      </w:r>
      <w:r>
        <w:rPr>
          <w:rFonts w:ascii="Arial" w:hAnsi="Arial" w:eastAsia="Calibri" w:cs="Arial"/>
          <w:szCs w:val="22"/>
          <w:lang w:val="en-IN"/>
        </w:rPr>
        <w:t xml:space="preserve">, which are obligatory insect pathogens that complete their life cycles inside the host. In the Pseudomonadaceae and Enterobacteriaceae families, species like </w:t>
      </w:r>
      <w:r>
        <w:rPr>
          <w:rFonts w:ascii="Arial" w:hAnsi="Arial" w:eastAsia="Calibri" w:cs="Arial"/>
          <w:i/>
          <w:iCs/>
          <w:szCs w:val="22"/>
          <w:lang w:val="en-IN"/>
        </w:rPr>
        <w:t>Pseudomonas</w:t>
      </w:r>
      <w:r>
        <w:rPr>
          <w:rFonts w:ascii="Arial" w:hAnsi="Arial" w:eastAsia="Calibri" w:cs="Arial"/>
          <w:szCs w:val="22"/>
          <w:lang w:val="en-IN"/>
        </w:rPr>
        <w:t xml:space="preserve"> and </w:t>
      </w:r>
      <w:r>
        <w:rPr>
          <w:rFonts w:ascii="Arial" w:hAnsi="Arial" w:eastAsia="Calibri" w:cs="Arial"/>
          <w:i/>
          <w:iCs/>
          <w:szCs w:val="22"/>
          <w:lang w:val="en-IN"/>
        </w:rPr>
        <w:t>Serratia</w:t>
      </w:r>
      <w:r>
        <w:rPr>
          <w:rFonts w:ascii="Arial" w:hAnsi="Arial" w:eastAsia="Calibri" w:cs="Arial"/>
          <w:szCs w:val="22"/>
          <w:lang w:val="en-IN"/>
        </w:rPr>
        <w:t xml:space="preserve"> exhibit entomopathogenic properties, establishing symbiotic associations with entomopathogenic nematodes to infect and eliminate insect hosts. Despite being less conspicuous, members of the Streptococcaceae and Micrococcaceae families also display a certain degree of entomopathogenicity. A comprehensive comprehension of the distribution and attributes of these principal categories of entomopathogenic bacteria is crucial for the formulation of efficient biocontrol tactics and the progression of sustainable pest management methodologies in agriculture.</w:t>
      </w:r>
    </w:p>
    <w:p w14:paraId="6527AD1A">
      <w:pPr>
        <w:pStyle w:val="22"/>
        <w:spacing w:after="0"/>
        <w:rPr>
          <w:rFonts w:ascii="Arial" w:hAnsi="Arial" w:eastAsia="Calibri" w:cs="Arial"/>
          <w:b/>
          <w:bCs/>
          <w:szCs w:val="22"/>
          <w:lang w:val="en-IN"/>
        </w:rPr>
      </w:pPr>
    </w:p>
    <w:p w14:paraId="3E28B0F0">
      <w:pPr>
        <w:pStyle w:val="22"/>
        <w:spacing w:after="0"/>
        <w:rPr>
          <w:rFonts w:ascii="Arial" w:hAnsi="Arial" w:eastAsia="Calibri" w:cs="Arial"/>
          <w:b/>
          <w:bCs/>
          <w:szCs w:val="22"/>
          <w:lang w:val="en-IN"/>
        </w:rPr>
      </w:pPr>
    </w:p>
    <w:p w14:paraId="3A18AFA5">
      <w:pPr>
        <w:pStyle w:val="22"/>
        <w:spacing w:after="0"/>
        <w:rPr>
          <w:rFonts w:ascii="Arial" w:hAnsi="Arial" w:eastAsia="Calibri" w:cs="Arial"/>
          <w:b/>
          <w:bCs/>
          <w:szCs w:val="22"/>
          <w:lang w:val="en-IN"/>
        </w:rPr>
      </w:pPr>
      <w:r>
        <w:rPr>
          <w:rFonts w:ascii="Arial" w:hAnsi="Arial" w:eastAsia="Calibri" w:cs="Arial"/>
          <w:b/>
          <w:bCs/>
          <w:szCs w:val="22"/>
          <w:lang w:val="en-IN"/>
        </w:rPr>
        <w:t>2.2.1. Family: Bacillaceae</w:t>
      </w:r>
    </w:p>
    <w:p w14:paraId="1E35DBD3">
      <w:pPr>
        <w:pStyle w:val="22"/>
        <w:spacing w:after="0"/>
        <w:rPr>
          <w:rFonts w:ascii="Arial" w:hAnsi="Arial" w:eastAsia="Calibri" w:cs="Arial"/>
          <w:szCs w:val="22"/>
          <w:lang w:val="en-IN"/>
        </w:rPr>
      </w:pPr>
    </w:p>
    <w:p w14:paraId="60171937">
      <w:pPr>
        <w:pStyle w:val="22"/>
        <w:spacing w:after="0"/>
        <w:rPr>
          <w:rFonts w:ascii="Arial" w:hAnsi="Arial" w:eastAsia="Calibri" w:cs="Arial"/>
          <w:szCs w:val="22"/>
          <w:lang w:val="en-IN"/>
        </w:rPr>
      </w:pPr>
      <w:r>
        <w:rPr>
          <w:rFonts w:ascii="Arial" w:hAnsi="Arial" w:eastAsia="Calibri" w:cs="Arial"/>
          <w:szCs w:val="22"/>
          <w:lang w:val="en-IN"/>
        </w:rPr>
        <w:t xml:space="preserve">The Bacillaceae family consists of Gram-positive, heterotrophic, rod-shaped bacteria capable of producing endospores. Notable members of this family include </w:t>
      </w:r>
      <w:r>
        <w:rPr>
          <w:rFonts w:ascii="Arial" w:hAnsi="Arial" w:eastAsia="Calibri" w:cs="Arial"/>
          <w:i/>
          <w:iCs/>
          <w:szCs w:val="22"/>
          <w:lang w:val="en-IN"/>
        </w:rPr>
        <w:t>Bacillus thuringiensis</w:t>
      </w:r>
      <w:r>
        <w:rPr>
          <w:rFonts w:ascii="Arial" w:hAnsi="Arial" w:eastAsia="Calibri" w:cs="Arial"/>
          <w:szCs w:val="22"/>
          <w:lang w:val="en-IN"/>
        </w:rPr>
        <w:t xml:space="preserve">, </w:t>
      </w:r>
      <w:r>
        <w:rPr>
          <w:rFonts w:ascii="Arial" w:hAnsi="Arial" w:eastAsia="Calibri" w:cs="Arial"/>
          <w:i/>
          <w:iCs/>
          <w:szCs w:val="22"/>
          <w:lang w:val="en-IN"/>
        </w:rPr>
        <w:t>Lysinibacillus sphaericus</w:t>
      </w:r>
      <w:r>
        <w:rPr>
          <w:rFonts w:ascii="Arial" w:hAnsi="Arial" w:eastAsia="Calibri" w:cs="Arial"/>
          <w:szCs w:val="22"/>
          <w:lang w:val="en-IN"/>
        </w:rPr>
        <w:t xml:space="preserve">, and </w:t>
      </w:r>
      <w:r>
        <w:rPr>
          <w:rFonts w:ascii="Arial" w:hAnsi="Arial" w:eastAsia="Calibri" w:cs="Arial"/>
          <w:i/>
          <w:iCs/>
          <w:szCs w:val="22"/>
          <w:lang w:val="en-IN"/>
        </w:rPr>
        <w:t>Bacillus pumilus</w:t>
      </w:r>
      <w:r>
        <w:rPr>
          <w:rFonts w:ascii="Arial" w:hAnsi="Arial" w:eastAsia="Calibri" w:cs="Arial"/>
          <w:szCs w:val="22"/>
          <w:lang w:val="en-IN"/>
        </w:rPr>
        <w:t>. These bacteria are renowned for their entomopathogenic properties and play key roles in biocontrol strategies targeting insect pests in agriculture and forestry.</w:t>
      </w:r>
    </w:p>
    <w:p w14:paraId="00EA810E">
      <w:pPr>
        <w:pStyle w:val="22"/>
        <w:spacing w:after="0"/>
        <w:rPr>
          <w:rFonts w:ascii="Arial" w:hAnsi="Arial" w:eastAsia="Calibri" w:cs="Arial"/>
          <w:b/>
          <w:bCs/>
          <w:szCs w:val="22"/>
          <w:lang w:val="en-IN"/>
        </w:rPr>
      </w:pPr>
    </w:p>
    <w:p w14:paraId="53514540">
      <w:pPr>
        <w:pStyle w:val="22"/>
        <w:spacing w:after="0"/>
        <w:rPr>
          <w:rFonts w:ascii="Arial" w:hAnsi="Arial" w:eastAsia="Calibri" w:cs="Arial"/>
          <w:i/>
          <w:iCs/>
          <w:szCs w:val="22"/>
          <w:lang w:val="en-IN"/>
        </w:rPr>
      </w:pPr>
      <w:r>
        <w:rPr>
          <w:rFonts w:ascii="Arial" w:hAnsi="Arial" w:eastAsia="Calibri" w:cs="Arial"/>
          <w:i/>
          <w:iCs/>
          <w:szCs w:val="22"/>
          <w:lang w:val="en-IN"/>
        </w:rPr>
        <w:t>2.2.1.1. Bacillus thuringiensis</w:t>
      </w:r>
    </w:p>
    <w:p w14:paraId="712F4FBC">
      <w:pPr>
        <w:pStyle w:val="22"/>
        <w:spacing w:after="0"/>
        <w:rPr>
          <w:rFonts w:ascii="Arial" w:hAnsi="Arial" w:eastAsia="Calibri" w:cs="Arial"/>
          <w:i/>
          <w:iCs/>
          <w:szCs w:val="22"/>
          <w:lang w:val="en-IN"/>
        </w:rPr>
      </w:pPr>
      <w:r>
        <w:rPr>
          <w:rFonts w:ascii="Arial" w:hAnsi="Arial" w:eastAsia="Calibri" w:cs="Arial"/>
          <w:i/>
          <w:iCs/>
          <w:szCs w:val="22"/>
          <w:lang w:val="en-IN"/>
        </w:rPr>
        <w:t xml:space="preserve"> </w:t>
      </w:r>
    </w:p>
    <w:p w14:paraId="3F12C9B2">
      <w:pPr>
        <w:pStyle w:val="22"/>
        <w:spacing w:after="0"/>
        <w:ind w:firstLine="720"/>
        <w:rPr>
          <w:rFonts w:ascii="Arial" w:hAnsi="Arial" w:eastAsia="Calibri" w:cs="Arial"/>
          <w:szCs w:val="22"/>
          <w:lang w:val="en-IN"/>
        </w:rPr>
      </w:pPr>
      <w:r>
        <w:rPr>
          <w:rFonts w:ascii="Arial" w:hAnsi="Arial" w:eastAsia="Calibri" w:cs="Arial"/>
          <w:i/>
          <w:iCs/>
          <w:szCs w:val="22"/>
          <w:lang w:val="en-IN"/>
        </w:rPr>
        <w:t>Bacillus thuringiensis</w:t>
      </w:r>
      <w:r>
        <w:rPr>
          <w:rFonts w:ascii="Arial" w:hAnsi="Arial" w:eastAsia="Calibri" w:cs="Arial"/>
          <w:szCs w:val="22"/>
          <w:lang w:val="en-IN"/>
        </w:rPr>
        <w:t xml:space="preserve"> (Bt) is a Gram-positive, rod-shaped bacterium that possesses the capacity to generate endospores, found widely in various habitats such as soil, aquatic environments, deceased insects, silo residues, and diverse plant materials. This bacterium is renowned for its production of insecticidal proteins, specifically Crystal (Cry) and cytolytic (Cyt) toxins, which are formed as parasporal crystalline inclusions during sporulation and stationary growth phases. Moreover, Bt strains have the capability to produce additional insecticidal proteins like vegetative insecticidal proteins (Vip) and secreted insecticidal proteins (Sip) during their vegetative growth stage.</w:t>
      </w:r>
    </w:p>
    <w:p w14:paraId="3D41DCAB">
      <w:pPr>
        <w:pStyle w:val="22"/>
        <w:spacing w:after="0"/>
        <w:ind w:firstLine="720"/>
        <w:rPr>
          <w:rFonts w:ascii="Arial" w:hAnsi="Arial" w:eastAsia="Calibri" w:cs="Arial"/>
          <w:szCs w:val="22"/>
          <w:lang w:val="en-IN"/>
        </w:rPr>
      </w:pPr>
    </w:p>
    <w:p w14:paraId="4ED088CE">
      <w:pPr>
        <w:pStyle w:val="22"/>
        <w:spacing w:after="0"/>
        <w:ind w:firstLine="720"/>
        <w:rPr>
          <w:rFonts w:ascii="Arial" w:hAnsi="Arial" w:eastAsia="Calibri" w:cs="Arial"/>
          <w:szCs w:val="22"/>
          <w:lang w:val="en-IN"/>
        </w:rPr>
      </w:pPr>
      <w:r>
        <w:rPr>
          <w:rFonts w:ascii="Arial" w:hAnsi="Arial" w:eastAsia="Calibri" w:cs="Arial"/>
          <w:szCs w:val="22"/>
          <w:lang w:val="en-IN"/>
        </w:rPr>
        <w:t xml:space="preserve">In order to establish a consistent naming and categorization system for toxins, the </w:t>
      </w:r>
      <w:commentRangeStart w:id="4"/>
      <w:r>
        <w:rPr>
          <w:rFonts w:ascii="Arial" w:hAnsi="Arial" w:eastAsia="Calibri" w:cs="Arial"/>
          <w:szCs w:val="22"/>
          <w:highlight w:val="yellow"/>
          <w:lang w:val="en-IN"/>
        </w:rPr>
        <w:t>Bacillus thuringiensis</w:t>
      </w:r>
      <w:commentRangeEnd w:id="4"/>
      <w:r>
        <w:commentReference w:id="4"/>
      </w:r>
      <w:r>
        <w:rPr>
          <w:rFonts w:ascii="Arial" w:hAnsi="Arial" w:eastAsia="Calibri" w:cs="Arial"/>
          <w:szCs w:val="22"/>
          <w:lang w:val="en-IN"/>
        </w:rPr>
        <w:t xml:space="preserve"> Toxin Nomenclature Committee devised a structured four-tier nomenclature based on amino acid sequence similarity for δ-endotoxins (Cry and Cyt) and excreted (Vip and Sip) Bt toxins. </w:t>
      </w:r>
      <w:commentRangeStart w:id="5"/>
      <w:r>
        <w:rPr>
          <w:rFonts w:ascii="Arial" w:hAnsi="Arial" w:eastAsia="Calibri" w:cs="Arial"/>
          <w:szCs w:val="22"/>
          <w:lang w:val="en-IN"/>
        </w:rPr>
        <w:t>Several theoretical frameworks, including the "classical," sequential binding, and signaling pathway models, have been postulated to elucidate the mechanism of action of three-domain Cry toxins</w:t>
      </w:r>
      <w:r>
        <w:rPr>
          <w:rFonts w:ascii="Arial" w:hAnsi="Arial" w:eastAsia="Calibri" w:cs="Arial"/>
          <w:szCs w:val="22"/>
          <w:vertAlign w:val="superscript"/>
          <w:lang w:val="en-IN"/>
        </w:rPr>
        <w:t>12</w:t>
      </w:r>
      <w:r>
        <w:rPr>
          <w:rFonts w:ascii="Arial" w:hAnsi="Arial" w:eastAsia="Calibri" w:cs="Arial"/>
          <w:szCs w:val="22"/>
          <w:lang w:val="en-IN"/>
        </w:rPr>
        <w:t xml:space="preserve"> (Palma </w:t>
      </w:r>
      <w:r>
        <w:rPr>
          <w:rFonts w:ascii="Arial" w:hAnsi="Arial" w:eastAsia="Calibri" w:cs="Arial"/>
          <w:i/>
          <w:iCs/>
          <w:szCs w:val="22"/>
          <w:lang w:val="en-IN"/>
        </w:rPr>
        <w:t>et al</w:t>
      </w:r>
      <w:r>
        <w:rPr>
          <w:rFonts w:ascii="Arial" w:hAnsi="Arial" w:eastAsia="Calibri" w:cs="Arial"/>
          <w:szCs w:val="22"/>
          <w:lang w:val="en-IN"/>
        </w:rPr>
        <w:t>., 2014).</w:t>
      </w:r>
      <w:commentRangeEnd w:id="5"/>
      <w:r>
        <w:commentReference w:id="5"/>
      </w:r>
    </w:p>
    <w:p w14:paraId="311D2A31">
      <w:pPr>
        <w:pStyle w:val="22"/>
        <w:spacing w:after="0"/>
        <w:ind w:firstLine="720"/>
        <w:rPr>
          <w:rFonts w:ascii="Arial" w:hAnsi="Arial" w:eastAsia="Calibri" w:cs="Arial"/>
          <w:szCs w:val="22"/>
          <w:lang w:val="en-IN"/>
        </w:rPr>
      </w:pPr>
      <w:r>
        <w:rPr>
          <w:rFonts w:ascii="Arial" w:hAnsi="Arial" w:eastAsia="Calibri" w:cs="Arial"/>
          <w:szCs w:val="22"/>
          <w:lang w:val="en-IN"/>
        </w:rPr>
        <w:t>Scholars such as</w:t>
      </w:r>
      <w:r>
        <w:rPr>
          <w:rFonts w:ascii="Arial" w:hAnsi="Arial" w:eastAsia="Calibri" w:cs="Arial"/>
          <w:szCs w:val="22"/>
          <w:vertAlign w:val="superscript"/>
          <w:lang w:val="en-IN"/>
        </w:rPr>
        <w:t>13</w:t>
      </w:r>
      <w:r>
        <w:rPr>
          <w:rFonts w:ascii="Arial" w:hAnsi="Arial" w:eastAsia="Calibri" w:cs="Arial"/>
          <w:szCs w:val="22"/>
          <w:lang w:val="en-IN"/>
        </w:rPr>
        <w:t xml:space="preserve"> Yang </w:t>
      </w:r>
      <w:r>
        <w:rPr>
          <w:rFonts w:ascii="Arial" w:hAnsi="Arial" w:eastAsia="Calibri" w:cs="Arial"/>
          <w:i/>
          <w:iCs/>
          <w:szCs w:val="22"/>
          <w:lang w:val="en-IN"/>
        </w:rPr>
        <w:t>et al</w:t>
      </w:r>
      <w:r>
        <w:rPr>
          <w:rFonts w:ascii="Arial" w:hAnsi="Arial" w:eastAsia="Calibri" w:cs="Arial"/>
          <w:szCs w:val="22"/>
          <w:lang w:val="en-IN"/>
        </w:rPr>
        <w:t>. (2018) have conducted research on the insecticidal properties and cooperative impacts of various Bt toxins against pests like the Oriental armyworm (</w:t>
      </w:r>
      <w:r>
        <w:rPr>
          <w:rFonts w:ascii="Arial" w:hAnsi="Arial" w:eastAsia="Calibri" w:cs="Arial"/>
          <w:i/>
          <w:iCs/>
          <w:szCs w:val="22"/>
          <w:lang w:val="en-IN"/>
        </w:rPr>
        <w:t>Mythimna separata</w:t>
      </w:r>
      <w:r>
        <w:rPr>
          <w:rFonts w:ascii="Arial" w:hAnsi="Arial" w:eastAsia="Calibri" w:cs="Arial"/>
          <w:szCs w:val="22"/>
          <w:lang w:val="en-IN"/>
        </w:rPr>
        <w:t>). Their results indicated that Vip3 proteins, in conjunction with Cry1A proteins and Cry2Aa, demonstrated substantial insectici</w:t>
      </w:r>
      <w:bookmarkStart w:id="5" w:name="_GoBack"/>
      <w:bookmarkEnd w:id="5"/>
      <w:r>
        <w:rPr>
          <w:rFonts w:ascii="Arial" w:hAnsi="Arial" w:eastAsia="Calibri" w:cs="Arial"/>
          <w:szCs w:val="22"/>
          <w:lang w:val="en-IN"/>
        </w:rPr>
        <w:t xml:space="preserve">dal efficacy, with LC50 values ranging from 1.6 to 7.4 µg/g. Another investigation by </w:t>
      </w:r>
      <w:r>
        <w:rPr>
          <w:rFonts w:ascii="Arial" w:hAnsi="Arial" w:eastAsia="Calibri" w:cs="Arial"/>
          <w:szCs w:val="22"/>
          <w:vertAlign w:val="superscript"/>
          <w:lang w:val="en-IN"/>
        </w:rPr>
        <w:t>14</w:t>
      </w:r>
      <w:r>
        <w:rPr>
          <w:rFonts w:ascii="Arial" w:hAnsi="Arial" w:eastAsia="Calibri" w:cs="Arial"/>
          <w:szCs w:val="22"/>
          <w:lang w:val="en-IN"/>
        </w:rPr>
        <w:t xml:space="preserve">Plata-Rueda </w:t>
      </w:r>
      <w:r>
        <w:rPr>
          <w:rFonts w:ascii="Arial" w:hAnsi="Arial" w:eastAsia="Calibri" w:cs="Arial"/>
          <w:i/>
          <w:iCs/>
          <w:szCs w:val="22"/>
          <w:lang w:val="en-IN"/>
        </w:rPr>
        <w:t>et al</w:t>
      </w:r>
      <w:r>
        <w:rPr>
          <w:rFonts w:ascii="Arial" w:hAnsi="Arial" w:eastAsia="Calibri" w:cs="Arial"/>
          <w:szCs w:val="22"/>
          <w:lang w:val="en-IN"/>
        </w:rPr>
        <w:t xml:space="preserve">. (2020) identified Bt strains such as ABTS-1857 var. aizawai, GC-91 var. aizawai, and HD-1 var. kurstaki as viable substitutes for organophosphate insecticides in managing </w:t>
      </w:r>
      <w:r>
        <w:rPr>
          <w:rFonts w:ascii="Arial" w:hAnsi="Arial" w:eastAsia="Calibri" w:cs="Arial"/>
          <w:i/>
          <w:iCs/>
          <w:szCs w:val="22"/>
          <w:lang w:val="en-IN"/>
        </w:rPr>
        <w:t>E. elaeasa</w:t>
      </w:r>
      <w:r>
        <w:rPr>
          <w:rFonts w:ascii="Arial" w:hAnsi="Arial" w:eastAsia="Calibri" w:cs="Arial"/>
          <w:szCs w:val="22"/>
          <w:lang w:val="en-IN"/>
        </w:rPr>
        <w:t xml:space="preserve"> in oil palm plantations, with LC50 values spanning from 0.84 to 1.25 mg/mL. These studies underscore the promising potential of Bt toxins in eco-friendly pest control strategies within the agricultural sector.</w:t>
      </w:r>
      <w:r>
        <w:commentReference w:id="6"/>
      </w:r>
    </w:p>
    <w:p w14:paraId="286C4BD0">
      <w:pPr>
        <w:pStyle w:val="22"/>
        <w:spacing w:after="0"/>
        <w:ind w:firstLine="720"/>
        <w:rPr>
          <w:rFonts w:ascii="Arial" w:hAnsi="Arial" w:eastAsia="Calibri" w:cs="Arial"/>
          <w:szCs w:val="22"/>
          <w:lang w:val="en-IN"/>
        </w:rPr>
      </w:pPr>
    </w:p>
    <w:p w14:paraId="46E86E18">
      <w:pPr>
        <w:pStyle w:val="22"/>
        <w:spacing w:after="0"/>
        <w:rPr>
          <w:rFonts w:ascii="Arial" w:hAnsi="Arial" w:eastAsia="Calibri" w:cs="Arial"/>
          <w:i/>
          <w:iCs/>
          <w:szCs w:val="22"/>
          <w:lang w:val="en-IN"/>
        </w:rPr>
      </w:pPr>
      <w:r>
        <w:rPr>
          <w:rFonts w:ascii="Arial" w:hAnsi="Arial" w:eastAsia="Calibri" w:cs="Arial"/>
          <w:i/>
          <w:iCs/>
          <w:szCs w:val="22"/>
          <w:lang w:val="en-IN"/>
        </w:rPr>
        <w:t>2.2.1.2. Lysinibacillus sphaericus</w:t>
      </w:r>
    </w:p>
    <w:p w14:paraId="0A047208">
      <w:pPr>
        <w:pStyle w:val="22"/>
        <w:spacing w:after="0"/>
        <w:ind w:firstLine="720"/>
        <w:rPr>
          <w:rFonts w:ascii="Arial" w:hAnsi="Arial" w:eastAsia="Calibri" w:cs="Arial"/>
          <w:i/>
          <w:iCs/>
          <w:szCs w:val="22"/>
          <w:lang w:val="en-IN"/>
        </w:rPr>
      </w:pPr>
    </w:p>
    <w:p w14:paraId="5DD475D2">
      <w:pPr>
        <w:pStyle w:val="22"/>
        <w:spacing w:after="0"/>
        <w:ind w:firstLine="720"/>
        <w:rPr>
          <w:rFonts w:ascii="Arial" w:hAnsi="Arial" w:eastAsia="Calibri" w:cs="Arial"/>
          <w:szCs w:val="22"/>
          <w:lang w:val="en-IN"/>
        </w:rPr>
      </w:pPr>
      <w:r>
        <w:rPr>
          <w:rFonts w:ascii="Arial" w:hAnsi="Arial" w:eastAsia="Calibri" w:cs="Arial"/>
          <w:i/>
          <w:iCs/>
          <w:szCs w:val="22"/>
          <w:lang w:val="en-IN"/>
        </w:rPr>
        <w:t>Lysinibacillus sphaericus</w:t>
      </w:r>
      <w:r>
        <w:rPr>
          <w:rFonts w:ascii="Arial" w:hAnsi="Arial" w:eastAsia="Calibri" w:cs="Arial"/>
          <w:szCs w:val="22"/>
          <w:lang w:val="en-IN"/>
        </w:rPr>
        <w:t xml:space="preserve"> (formerly known as </w:t>
      </w:r>
      <w:r>
        <w:rPr>
          <w:rFonts w:ascii="Arial" w:hAnsi="Arial" w:eastAsia="Calibri" w:cs="Arial"/>
          <w:i/>
          <w:iCs/>
          <w:szCs w:val="22"/>
          <w:lang w:val="en-IN"/>
        </w:rPr>
        <w:t>Bacillus sphaericus</w:t>
      </w:r>
      <w:r>
        <w:rPr>
          <w:rFonts w:ascii="Arial" w:hAnsi="Arial" w:eastAsia="Calibri" w:cs="Arial"/>
          <w:szCs w:val="22"/>
          <w:lang w:val="en-IN"/>
        </w:rPr>
        <w:t xml:space="preserve">) is a Gram-positive, mesophilic, rod-shaped bacterium commonly present in soil habitats. Various strains of </w:t>
      </w:r>
      <w:r>
        <w:rPr>
          <w:rFonts w:ascii="Arial" w:hAnsi="Arial" w:eastAsia="Calibri" w:cs="Arial"/>
          <w:i/>
          <w:iCs/>
          <w:szCs w:val="22"/>
          <w:lang w:val="en-IN"/>
        </w:rPr>
        <w:t>L. sphaericus</w:t>
      </w:r>
      <w:r>
        <w:rPr>
          <w:rFonts w:ascii="Arial" w:hAnsi="Arial" w:eastAsia="Calibri" w:cs="Arial"/>
          <w:szCs w:val="22"/>
          <w:lang w:val="en-IN"/>
        </w:rPr>
        <w:t xml:space="preserve"> produce toxins such as Bin (derived from Binary) and/or Mtx (derived from Mosquitocidal Toxin). The Bin and Cry48/49 toxins are manufactured and contained within parasporal bodies in the sporangium, while Mtx toxins are generated during the vegetative growth phase</w:t>
      </w:r>
      <w:r>
        <w:rPr>
          <w:rFonts w:ascii="Arial" w:hAnsi="Arial" w:eastAsia="Calibri" w:cs="Arial"/>
          <w:szCs w:val="22"/>
          <w:vertAlign w:val="superscript"/>
          <w:lang w:val="en-IN"/>
        </w:rPr>
        <w:t>15</w:t>
      </w:r>
      <w:r>
        <w:rPr>
          <w:rFonts w:ascii="Arial" w:hAnsi="Arial" w:eastAsia="Calibri" w:cs="Arial"/>
          <w:szCs w:val="22"/>
          <w:lang w:val="en-IN"/>
        </w:rPr>
        <w:t xml:space="preserve"> (Wirth </w:t>
      </w:r>
      <w:r>
        <w:rPr>
          <w:rFonts w:ascii="Arial" w:hAnsi="Arial" w:eastAsia="Calibri" w:cs="Arial"/>
          <w:i/>
          <w:iCs/>
          <w:szCs w:val="22"/>
          <w:lang w:val="en-IN"/>
        </w:rPr>
        <w:t>et al</w:t>
      </w:r>
      <w:r>
        <w:rPr>
          <w:rFonts w:ascii="Arial" w:hAnsi="Arial" w:eastAsia="Calibri" w:cs="Arial"/>
          <w:szCs w:val="22"/>
          <w:lang w:val="en-IN"/>
        </w:rPr>
        <w:t>., 2014).</w:t>
      </w:r>
    </w:p>
    <w:p w14:paraId="425C7AF0">
      <w:pPr>
        <w:pStyle w:val="22"/>
        <w:spacing w:after="0"/>
        <w:rPr>
          <w:rFonts w:ascii="Arial" w:hAnsi="Arial" w:eastAsia="Calibri" w:cs="Arial"/>
          <w:szCs w:val="22"/>
          <w:lang w:val="en-IN"/>
        </w:rPr>
      </w:pPr>
    </w:p>
    <w:p w14:paraId="3AB8D0BB">
      <w:pPr>
        <w:pStyle w:val="22"/>
        <w:spacing w:after="0"/>
        <w:ind w:firstLine="720"/>
        <w:rPr>
          <w:rFonts w:ascii="Arial" w:hAnsi="Arial" w:eastAsia="Calibri" w:cs="Arial"/>
          <w:szCs w:val="22"/>
          <w:lang w:val="en-IN"/>
        </w:rPr>
      </w:pPr>
      <w:r>
        <w:rPr>
          <w:rFonts w:ascii="Arial" w:hAnsi="Arial" w:eastAsia="Calibri" w:cs="Arial"/>
          <w:szCs w:val="22"/>
          <w:lang w:val="en-IN"/>
        </w:rPr>
        <w:t xml:space="preserve">Recent investigation by </w:t>
      </w:r>
      <w:r>
        <w:rPr>
          <w:rFonts w:ascii="Arial" w:hAnsi="Arial" w:eastAsia="Calibri" w:cs="Arial"/>
          <w:szCs w:val="22"/>
          <w:vertAlign w:val="superscript"/>
          <w:lang w:val="en-IN"/>
        </w:rPr>
        <w:t>16</w:t>
      </w:r>
      <w:r>
        <w:rPr>
          <w:rFonts w:ascii="Arial" w:hAnsi="Arial" w:eastAsia="Calibri" w:cs="Arial"/>
          <w:szCs w:val="22"/>
          <w:lang w:val="en-IN"/>
        </w:rPr>
        <w:t>Rojas</w:t>
      </w:r>
      <w:r>
        <w:rPr>
          <w:rFonts w:ascii="Cambria Math" w:hAnsi="Cambria Math" w:eastAsia="Calibri" w:cs="Cambria Math"/>
          <w:szCs w:val="22"/>
          <w:lang w:val="en-IN"/>
        </w:rPr>
        <w:t>‑</w:t>
      </w:r>
      <w:r>
        <w:rPr>
          <w:rFonts w:ascii="Arial" w:hAnsi="Arial" w:eastAsia="Calibri" w:cs="Arial"/>
          <w:szCs w:val="22"/>
          <w:lang w:val="en-IN"/>
        </w:rPr>
        <w:t xml:space="preserve">Pinz </w:t>
      </w:r>
      <w:r>
        <w:rPr>
          <w:rFonts w:ascii="Arial" w:hAnsi="Arial" w:eastAsia="Calibri" w:cs="Arial"/>
          <w:i/>
          <w:iCs/>
          <w:szCs w:val="22"/>
          <w:lang w:val="en-IN"/>
        </w:rPr>
        <w:t>et al</w:t>
      </w:r>
      <w:r>
        <w:rPr>
          <w:rFonts w:ascii="Arial" w:hAnsi="Arial" w:eastAsia="Calibri" w:cs="Arial"/>
          <w:szCs w:val="22"/>
          <w:lang w:val="en-IN"/>
        </w:rPr>
        <w:t xml:space="preserve">. (2018) illustrated that combined cultures of </w:t>
      </w:r>
      <w:r>
        <w:rPr>
          <w:rFonts w:ascii="Arial" w:hAnsi="Arial" w:eastAsia="Calibri" w:cs="Arial"/>
          <w:i/>
          <w:iCs/>
          <w:szCs w:val="22"/>
          <w:lang w:val="en-IN"/>
        </w:rPr>
        <w:t>Lysinibacillus sphaericus</w:t>
      </w:r>
      <w:r>
        <w:rPr>
          <w:rFonts w:ascii="Arial" w:hAnsi="Arial" w:eastAsia="Calibri" w:cs="Arial"/>
          <w:szCs w:val="22"/>
          <w:lang w:val="en-IN"/>
        </w:rPr>
        <w:t xml:space="preserve"> show notable larvicidal efficacy against </w:t>
      </w:r>
      <w:r>
        <w:rPr>
          <w:rFonts w:ascii="Arial" w:hAnsi="Arial" w:eastAsia="Calibri" w:cs="Arial"/>
          <w:i/>
          <w:iCs/>
          <w:szCs w:val="22"/>
          <w:lang w:val="en-IN"/>
        </w:rPr>
        <w:t>Aedes aegypti</w:t>
      </w:r>
      <w:r>
        <w:rPr>
          <w:rFonts w:ascii="Arial" w:hAnsi="Arial" w:eastAsia="Calibri" w:cs="Arial"/>
          <w:szCs w:val="22"/>
          <w:lang w:val="en-IN"/>
        </w:rPr>
        <w:t xml:space="preserve"> larvae, resulting in about 90% mortality. Notably, </w:t>
      </w:r>
      <w:r>
        <w:rPr>
          <w:rFonts w:ascii="Arial" w:hAnsi="Arial" w:eastAsia="Calibri" w:cs="Arial"/>
          <w:i/>
          <w:iCs/>
          <w:szCs w:val="22"/>
          <w:lang w:val="en-IN"/>
        </w:rPr>
        <w:t>A. aegypti</w:t>
      </w:r>
      <w:r>
        <w:rPr>
          <w:rFonts w:ascii="Arial" w:hAnsi="Arial" w:eastAsia="Calibri" w:cs="Arial"/>
          <w:szCs w:val="22"/>
          <w:lang w:val="en-IN"/>
        </w:rPr>
        <w:t xml:space="preserve"> larvae exhibited greater susceptibility to combined cultures in comparison to individual bacterial strains. The most efficient combined culture attained an LC</w:t>
      </w:r>
      <w:r>
        <w:rPr>
          <w:rFonts w:ascii="Arial" w:hAnsi="Arial" w:eastAsia="Calibri" w:cs="Arial"/>
          <w:szCs w:val="22"/>
          <w:vertAlign w:val="subscript"/>
          <w:lang w:val="en-IN"/>
        </w:rPr>
        <w:t>50</w:t>
      </w:r>
      <w:r>
        <w:rPr>
          <w:rFonts w:ascii="Arial" w:hAnsi="Arial" w:eastAsia="Calibri" w:cs="Arial"/>
          <w:szCs w:val="22"/>
          <w:lang w:val="en-IN"/>
        </w:rPr>
        <w:t xml:space="preserve"> of 1.21 × 10</w:t>
      </w:r>
      <w:r>
        <w:rPr>
          <w:rFonts w:ascii="Arial" w:hAnsi="Arial" w:eastAsia="Calibri" w:cs="Arial"/>
          <w:szCs w:val="22"/>
          <w:vertAlign w:val="superscript"/>
          <w:lang w:val="en-IN"/>
        </w:rPr>
        <w:t>5</w:t>
      </w:r>
      <w:r>
        <w:rPr>
          <w:rFonts w:ascii="Arial" w:hAnsi="Arial" w:eastAsia="Calibri" w:cs="Arial"/>
          <w:szCs w:val="22"/>
          <w:lang w:val="en-IN"/>
        </w:rPr>
        <w:t xml:space="preserve"> CFU/mL with Rockefeller larvae and 8.04 × 10</w:t>
      </w:r>
      <w:r>
        <w:rPr>
          <w:rFonts w:ascii="Arial" w:hAnsi="Arial" w:eastAsia="Calibri" w:cs="Arial"/>
          <w:szCs w:val="22"/>
          <w:vertAlign w:val="superscript"/>
          <w:lang w:val="en-IN"/>
        </w:rPr>
        <w:t>4</w:t>
      </w:r>
      <w:r>
        <w:rPr>
          <w:rFonts w:ascii="Arial" w:hAnsi="Arial" w:eastAsia="Calibri" w:cs="Arial"/>
          <w:szCs w:val="22"/>
          <w:lang w:val="en-IN"/>
        </w:rPr>
        <w:t xml:space="preserve"> CFU/mL with field-collected larvae. These results underscore the potential of </w:t>
      </w:r>
      <w:r>
        <w:rPr>
          <w:rFonts w:ascii="Arial" w:hAnsi="Arial" w:eastAsia="Calibri" w:cs="Arial"/>
          <w:i/>
          <w:iCs/>
          <w:szCs w:val="22"/>
          <w:lang w:val="en-IN"/>
        </w:rPr>
        <w:t>L. sphaericus</w:t>
      </w:r>
      <w:r>
        <w:rPr>
          <w:rFonts w:ascii="Arial" w:hAnsi="Arial" w:eastAsia="Calibri" w:cs="Arial"/>
          <w:szCs w:val="22"/>
          <w:lang w:val="en-IN"/>
        </w:rPr>
        <w:t xml:space="preserve"> as a biological agent for controlling mosquito vectors, providing a promising substitute to chemical insecticides in mosquito control initiatives.</w:t>
      </w:r>
    </w:p>
    <w:p w14:paraId="7596A1CE">
      <w:pPr>
        <w:pStyle w:val="22"/>
        <w:spacing w:after="0"/>
        <w:rPr>
          <w:rFonts w:ascii="Arial" w:hAnsi="Arial" w:eastAsia="Calibri" w:cs="Arial"/>
          <w:b/>
          <w:bCs/>
          <w:szCs w:val="22"/>
          <w:lang w:val="en-IN"/>
        </w:rPr>
      </w:pPr>
    </w:p>
    <w:p w14:paraId="5F2C6ECC">
      <w:pPr>
        <w:pStyle w:val="22"/>
        <w:spacing w:after="0"/>
        <w:rPr>
          <w:rFonts w:ascii="Arial" w:hAnsi="Arial" w:eastAsia="Calibri" w:cs="Arial"/>
          <w:i/>
          <w:iCs/>
          <w:szCs w:val="22"/>
          <w:lang w:val="en-IN"/>
        </w:rPr>
      </w:pPr>
      <w:r>
        <w:rPr>
          <w:rFonts w:ascii="Arial" w:hAnsi="Arial" w:eastAsia="Calibri" w:cs="Arial"/>
          <w:i/>
          <w:iCs/>
          <w:szCs w:val="22"/>
          <w:lang w:val="en-IN"/>
        </w:rPr>
        <w:t>2.2.1.3. Bacillus pumilus</w:t>
      </w:r>
    </w:p>
    <w:p w14:paraId="47A7DFF2">
      <w:pPr>
        <w:pStyle w:val="22"/>
        <w:spacing w:after="0"/>
        <w:rPr>
          <w:rFonts w:ascii="Arial" w:hAnsi="Arial" w:eastAsia="Calibri" w:cs="Arial"/>
          <w:i/>
          <w:iCs/>
          <w:szCs w:val="22"/>
          <w:lang w:val="en-IN"/>
        </w:rPr>
      </w:pPr>
    </w:p>
    <w:p w14:paraId="46A37248">
      <w:pPr>
        <w:pStyle w:val="22"/>
        <w:spacing w:after="0"/>
        <w:ind w:firstLine="720"/>
        <w:rPr>
          <w:rFonts w:ascii="Arial" w:hAnsi="Arial" w:eastAsia="Calibri" w:cs="Arial"/>
          <w:szCs w:val="22"/>
          <w:lang w:val="en-IN"/>
        </w:rPr>
      </w:pPr>
      <w:r>
        <w:rPr>
          <w:rFonts w:ascii="Arial" w:hAnsi="Arial" w:eastAsia="Calibri" w:cs="Arial"/>
          <w:szCs w:val="22"/>
          <w:lang w:val="en-IN"/>
        </w:rPr>
        <w:t xml:space="preserve">The strain 15.1 of </w:t>
      </w:r>
      <w:r>
        <w:rPr>
          <w:rFonts w:ascii="Arial" w:hAnsi="Arial" w:eastAsia="Calibri" w:cs="Arial"/>
          <w:i/>
          <w:iCs/>
          <w:szCs w:val="22"/>
          <w:lang w:val="en-IN"/>
        </w:rPr>
        <w:t>Bacillus pumilus</w:t>
      </w:r>
      <w:r>
        <w:rPr>
          <w:rFonts w:ascii="Arial" w:hAnsi="Arial" w:eastAsia="Calibri" w:cs="Arial"/>
          <w:szCs w:val="22"/>
          <w:lang w:val="en-IN"/>
        </w:rPr>
        <w:t xml:space="preserve"> has been recognized for its harmful effects on the larvae of the Mediterranean fruit fly (</w:t>
      </w:r>
      <w:r>
        <w:rPr>
          <w:rFonts w:ascii="Arial" w:hAnsi="Arial" w:eastAsia="Calibri" w:cs="Arial"/>
          <w:i/>
          <w:iCs/>
          <w:szCs w:val="22"/>
          <w:lang w:val="en-IN"/>
        </w:rPr>
        <w:t>Ceratitis capitata</w:t>
      </w:r>
      <w:r>
        <w:rPr>
          <w:rFonts w:ascii="Arial" w:hAnsi="Arial" w:eastAsia="Calibri" w:cs="Arial"/>
          <w:szCs w:val="22"/>
          <w:lang w:val="en-IN"/>
        </w:rPr>
        <w:t>), a highly damaging pest of fruits and vegetables on a global scale</w:t>
      </w:r>
      <w:r>
        <w:rPr>
          <w:rFonts w:ascii="Arial" w:hAnsi="Arial" w:eastAsia="Calibri" w:cs="Arial"/>
          <w:szCs w:val="22"/>
          <w:vertAlign w:val="superscript"/>
          <w:lang w:val="en-IN"/>
        </w:rPr>
        <w:t>17</w:t>
      </w:r>
      <w:r>
        <w:rPr>
          <w:rFonts w:ascii="Arial" w:hAnsi="Arial" w:eastAsia="Calibri" w:cs="Arial"/>
          <w:szCs w:val="22"/>
          <w:lang w:val="en-IN"/>
        </w:rPr>
        <w:t xml:space="preserve"> (Molina </w:t>
      </w:r>
      <w:r>
        <w:rPr>
          <w:rFonts w:ascii="Arial" w:hAnsi="Arial" w:eastAsia="Calibri" w:cs="Arial"/>
          <w:i/>
          <w:iCs/>
          <w:szCs w:val="22"/>
          <w:lang w:val="en-IN"/>
        </w:rPr>
        <w:t>et al</w:t>
      </w:r>
      <w:r>
        <w:rPr>
          <w:rFonts w:ascii="Arial" w:hAnsi="Arial" w:eastAsia="Calibri" w:cs="Arial"/>
          <w:szCs w:val="22"/>
          <w:lang w:val="en-IN"/>
        </w:rPr>
        <w:t xml:space="preserve">., 2010). Throughout the process of sporulation, this particular strain generates parasporal crystals that bear a resemblance to the cry proteins commonly linked with </w:t>
      </w:r>
      <w:r>
        <w:rPr>
          <w:rFonts w:ascii="Arial" w:hAnsi="Arial" w:eastAsia="Calibri" w:cs="Arial"/>
          <w:i/>
          <w:iCs/>
          <w:szCs w:val="22"/>
          <w:lang w:val="en-IN"/>
        </w:rPr>
        <w:t>Bacillus thuringiensis</w:t>
      </w:r>
      <w:r>
        <w:rPr>
          <w:rFonts w:ascii="Arial" w:hAnsi="Arial" w:eastAsia="Calibri" w:cs="Arial"/>
          <w:szCs w:val="22"/>
          <w:lang w:val="en-IN"/>
        </w:rPr>
        <w:t xml:space="preserve">. Moreover, the genome of </w:t>
      </w:r>
      <w:r>
        <w:rPr>
          <w:rFonts w:ascii="Arial" w:hAnsi="Arial" w:eastAsia="Calibri" w:cs="Arial"/>
          <w:i/>
          <w:iCs/>
          <w:szCs w:val="22"/>
          <w:lang w:val="en-IN"/>
        </w:rPr>
        <w:t>B. pumilus</w:t>
      </w:r>
      <w:r>
        <w:rPr>
          <w:rFonts w:ascii="Arial" w:hAnsi="Arial" w:eastAsia="Calibri" w:cs="Arial"/>
          <w:szCs w:val="22"/>
          <w:lang w:val="en-IN"/>
        </w:rPr>
        <w:t xml:space="preserve"> 15.1 harbors genes that encode a variety of entomopathogenic elements, such as chitinases, metalloproteases, and cytolysins</w:t>
      </w:r>
      <w:r>
        <w:rPr>
          <w:rFonts w:ascii="Arial" w:hAnsi="Arial" w:eastAsia="Calibri" w:cs="Arial"/>
          <w:szCs w:val="22"/>
          <w:vertAlign w:val="superscript"/>
          <w:lang w:val="en-IN"/>
        </w:rPr>
        <w:t>17</w:t>
      </w:r>
      <w:r>
        <w:rPr>
          <w:rFonts w:ascii="Arial" w:hAnsi="Arial" w:eastAsia="Calibri" w:cs="Arial"/>
          <w:szCs w:val="22"/>
          <w:lang w:val="en-IN"/>
        </w:rPr>
        <w:t xml:space="preserve">(Molina </w:t>
      </w:r>
      <w:r>
        <w:rPr>
          <w:rFonts w:ascii="Arial" w:hAnsi="Arial" w:eastAsia="Calibri" w:cs="Arial"/>
          <w:i/>
          <w:iCs/>
          <w:szCs w:val="22"/>
          <w:lang w:val="en-IN"/>
        </w:rPr>
        <w:t>et al</w:t>
      </w:r>
      <w:r>
        <w:rPr>
          <w:rFonts w:ascii="Arial" w:hAnsi="Arial" w:eastAsia="Calibri" w:cs="Arial"/>
          <w:szCs w:val="22"/>
          <w:lang w:val="en-IN"/>
        </w:rPr>
        <w:t xml:space="preserve">., 2010). This revelation highlights the capacity of </w:t>
      </w:r>
      <w:r>
        <w:rPr>
          <w:rFonts w:ascii="Arial" w:hAnsi="Arial" w:eastAsia="Calibri" w:cs="Arial"/>
          <w:i/>
          <w:iCs/>
          <w:szCs w:val="22"/>
          <w:lang w:val="en-IN"/>
        </w:rPr>
        <w:t>B. pumilus</w:t>
      </w:r>
      <w:r>
        <w:rPr>
          <w:rFonts w:ascii="Arial" w:hAnsi="Arial" w:eastAsia="Calibri" w:cs="Arial"/>
          <w:szCs w:val="22"/>
          <w:lang w:val="en-IN"/>
        </w:rPr>
        <w:t xml:space="preserve"> to serve as a biological control agent against economically important agricultural pests, thereby showcasing its diverse array of insecticidal genes and mechanisms.</w:t>
      </w:r>
    </w:p>
    <w:p w14:paraId="3CC56D58">
      <w:pPr>
        <w:pStyle w:val="22"/>
        <w:spacing w:after="0"/>
        <w:rPr>
          <w:rFonts w:ascii="Arial" w:hAnsi="Arial" w:eastAsia="Calibri" w:cs="Arial"/>
          <w:b/>
          <w:bCs/>
          <w:szCs w:val="22"/>
          <w:lang w:val="en-IN"/>
        </w:rPr>
      </w:pPr>
    </w:p>
    <w:p w14:paraId="07641CC3">
      <w:pPr>
        <w:pStyle w:val="22"/>
        <w:spacing w:after="0"/>
        <w:rPr>
          <w:rFonts w:ascii="Arial" w:hAnsi="Arial" w:eastAsia="Calibri" w:cs="Arial"/>
          <w:b/>
          <w:bCs/>
          <w:szCs w:val="22"/>
          <w:lang w:val="en-IN"/>
        </w:rPr>
      </w:pPr>
      <w:r>
        <w:rPr>
          <w:rFonts w:ascii="Arial" w:hAnsi="Arial" w:eastAsia="Calibri" w:cs="Arial"/>
          <w:b/>
          <w:bCs/>
          <w:szCs w:val="22"/>
          <w:lang w:val="en-IN"/>
        </w:rPr>
        <w:t>2.2.2. Family: Paenibacillaceae</w:t>
      </w:r>
    </w:p>
    <w:p w14:paraId="26B007D5">
      <w:pPr>
        <w:pStyle w:val="22"/>
        <w:spacing w:after="0"/>
        <w:ind w:firstLine="720"/>
        <w:rPr>
          <w:rFonts w:ascii="Arial" w:hAnsi="Arial" w:eastAsia="Calibri" w:cs="Arial"/>
          <w:szCs w:val="22"/>
          <w:lang w:val="en-IN"/>
        </w:rPr>
      </w:pPr>
      <w:r>
        <w:rPr>
          <w:rFonts w:ascii="Arial" w:hAnsi="Arial" w:eastAsia="Calibri" w:cs="Arial"/>
          <w:szCs w:val="22"/>
          <w:lang w:val="en-IN"/>
        </w:rPr>
        <w:t xml:space="preserve">The family Paenibacillaceae encompasses a diverse group of Gram-positive, spore-forming bacteria that are commonly found in soil and various environmental habitats. Members of this family, such as </w:t>
      </w:r>
      <w:r>
        <w:rPr>
          <w:rFonts w:ascii="Arial" w:hAnsi="Arial" w:eastAsia="Calibri" w:cs="Arial"/>
          <w:i/>
          <w:iCs/>
          <w:szCs w:val="22"/>
          <w:lang w:val="en-IN"/>
        </w:rPr>
        <w:t>Paenibacillus species</w:t>
      </w:r>
      <w:r>
        <w:rPr>
          <w:rFonts w:ascii="Arial" w:hAnsi="Arial" w:eastAsia="Calibri" w:cs="Arial"/>
          <w:szCs w:val="22"/>
          <w:lang w:val="en-IN"/>
        </w:rPr>
        <w:t xml:space="preserve">, are known for their versatile metabolic capabilities and ecological significance. They play important roles in nutrient cycling and plant-microbe interactions, including plant growth promotion and biocontrol of plant pathogens. Some </w:t>
      </w:r>
      <w:r>
        <w:rPr>
          <w:rFonts w:ascii="Arial" w:hAnsi="Arial" w:eastAsia="Calibri" w:cs="Arial"/>
          <w:i/>
          <w:iCs/>
          <w:szCs w:val="22"/>
          <w:lang w:val="en-IN"/>
        </w:rPr>
        <w:t>Paenibacillus</w:t>
      </w:r>
      <w:r>
        <w:rPr>
          <w:rFonts w:ascii="Arial" w:hAnsi="Arial" w:eastAsia="Calibri" w:cs="Arial"/>
          <w:szCs w:val="22"/>
          <w:lang w:val="en-IN"/>
        </w:rPr>
        <w:t xml:space="preserve"> species exhibit entomopathogenic properties, producing toxins and enzymes that can target and control insect pests.</w:t>
      </w:r>
    </w:p>
    <w:p w14:paraId="7505863F">
      <w:pPr>
        <w:pStyle w:val="22"/>
        <w:spacing w:after="0"/>
        <w:rPr>
          <w:rFonts w:ascii="Arial" w:hAnsi="Arial" w:eastAsia="Calibri" w:cs="Arial"/>
          <w:b/>
          <w:bCs/>
          <w:szCs w:val="22"/>
          <w:lang w:val="en-IN"/>
        </w:rPr>
      </w:pPr>
    </w:p>
    <w:p w14:paraId="4A29498D">
      <w:pPr>
        <w:pStyle w:val="22"/>
        <w:spacing w:after="0"/>
        <w:rPr>
          <w:rFonts w:ascii="Arial" w:hAnsi="Arial" w:eastAsia="Calibri" w:cs="Arial"/>
          <w:i/>
          <w:iCs/>
          <w:szCs w:val="22"/>
          <w:lang w:val="en-IN"/>
        </w:rPr>
      </w:pPr>
      <w:r>
        <w:rPr>
          <w:rFonts w:ascii="Arial" w:hAnsi="Arial" w:eastAsia="Calibri" w:cs="Arial"/>
          <w:i/>
          <w:iCs/>
          <w:szCs w:val="22"/>
          <w:lang w:val="en-IN"/>
        </w:rPr>
        <w:t>2.2.2.1. Paenibacillus spp.</w:t>
      </w:r>
    </w:p>
    <w:p w14:paraId="20FF70F1">
      <w:pPr>
        <w:pStyle w:val="22"/>
        <w:spacing w:after="0"/>
        <w:rPr>
          <w:rFonts w:ascii="Arial" w:hAnsi="Arial" w:eastAsia="Calibri" w:cs="Arial"/>
          <w:i/>
          <w:iCs/>
          <w:szCs w:val="22"/>
          <w:lang w:val="en-IN"/>
        </w:rPr>
      </w:pPr>
    </w:p>
    <w:p w14:paraId="2CF77187">
      <w:pPr>
        <w:pStyle w:val="22"/>
        <w:spacing w:after="0"/>
        <w:ind w:firstLine="720"/>
        <w:rPr>
          <w:rFonts w:ascii="Arial" w:hAnsi="Arial" w:eastAsia="Calibri" w:cs="Arial"/>
          <w:szCs w:val="22"/>
          <w:lang w:val="en-IN"/>
        </w:rPr>
      </w:pPr>
      <w:r>
        <w:rPr>
          <w:rFonts w:ascii="Arial" w:hAnsi="Arial" w:eastAsia="Calibri" w:cs="Arial"/>
          <w:i/>
          <w:iCs/>
          <w:szCs w:val="22"/>
          <w:lang w:val="en-IN"/>
        </w:rPr>
        <w:t>Paenibacillus</w:t>
      </w:r>
      <w:r>
        <w:rPr>
          <w:rFonts w:ascii="Arial" w:hAnsi="Arial" w:eastAsia="Calibri" w:cs="Arial"/>
          <w:szCs w:val="22"/>
          <w:lang w:val="en-IN"/>
        </w:rPr>
        <w:t xml:space="preserve"> species are spore-forming obligate pathogens that primarily target larvae of beetles from the Scarabaeidae family (order Coleoptera). In contrast to </w:t>
      </w:r>
      <w:r>
        <w:rPr>
          <w:rFonts w:ascii="Arial" w:hAnsi="Arial" w:eastAsia="Calibri" w:cs="Arial"/>
          <w:i/>
          <w:iCs/>
          <w:szCs w:val="22"/>
          <w:lang w:val="en-IN"/>
        </w:rPr>
        <w:t>Bacillus</w:t>
      </w:r>
      <w:r>
        <w:rPr>
          <w:rFonts w:ascii="Arial" w:hAnsi="Arial" w:eastAsia="Calibri" w:cs="Arial"/>
          <w:szCs w:val="22"/>
          <w:lang w:val="en-IN"/>
        </w:rPr>
        <w:t xml:space="preserve"> species, growth of </w:t>
      </w:r>
      <w:r>
        <w:rPr>
          <w:rFonts w:ascii="Arial" w:hAnsi="Arial" w:eastAsia="Calibri" w:cs="Arial"/>
          <w:i/>
          <w:iCs/>
          <w:szCs w:val="22"/>
          <w:lang w:val="en-IN"/>
        </w:rPr>
        <w:t>Paenibacillus</w:t>
      </w:r>
      <w:r>
        <w:rPr>
          <w:rFonts w:ascii="Arial" w:hAnsi="Arial" w:eastAsia="Calibri" w:cs="Arial"/>
          <w:szCs w:val="22"/>
          <w:lang w:val="en-IN"/>
        </w:rPr>
        <w:t xml:space="preserve"> spp. on nutrient media is restricted. These microorganisms are accountable for inducing "milky disease," which is characterized by the milky appearance of infected larvae's hemolymph</w:t>
      </w:r>
      <w:r>
        <w:rPr>
          <w:rFonts w:ascii="Arial" w:hAnsi="Arial" w:eastAsia="Calibri" w:cs="Arial"/>
          <w:szCs w:val="22"/>
          <w:vertAlign w:val="superscript"/>
          <w:lang w:val="en-IN"/>
        </w:rPr>
        <w:t>18</w:t>
      </w:r>
      <w:r>
        <w:rPr>
          <w:rFonts w:ascii="Arial" w:hAnsi="Arial" w:eastAsia="Calibri" w:cs="Arial"/>
          <w:szCs w:val="22"/>
          <w:lang w:val="en-IN"/>
        </w:rPr>
        <w:t xml:space="preserve"> (Abdelgaffar </w:t>
      </w:r>
      <w:r>
        <w:rPr>
          <w:rFonts w:ascii="Arial" w:hAnsi="Arial" w:eastAsia="Calibri" w:cs="Arial"/>
          <w:i/>
          <w:iCs/>
          <w:szCs w:val="22"/>
          <w:lang w:val="en-IN"/>
        </w:rPr>
        <w:t>et al</w:t>
      </w:r>
      <w:r>
        <w:rPr>
          <w:rFonts w:ascii="Arial" w:hAnsi="Arial" w:eastAsia="Calibri" w:cs="Arial"/>
          <w:szCs w:val="22"/>
          <w:lang w:val="en-IN"/>
        </w:rPr>
        <w:t xml:space="preserve">., 2022). Spores of </w:t>
      </w:r>
      <w:r>
        <w:rPr>
          <w:rFonts w:ascii="Arial" w:hAnsi="Arial" w:eastAsia="Calibri" w:cs="Arial"/>
          <w:i/>
          <w:iCs/>
          <w:szCs w:val="22"/>
          <w:lang w:val="en-IN"/>
        </w:rPr>
        <w:t>Paenibacillus</w:t>
      </w:r>
      <w:r>
        <w:rPr>
          <w:rFonts w:ascii="Arial" w:hAnsi="Arial" w:eastAsia="Calibri" w:cs="Arial"/>
          <w:szCs w:val="22"/>
          <w:lang w:val="en-IN"/>
        </w:rPr>
        <w:t xml:space="preserve"> have the ability to endure in soils for prolonged durations.</w:t>
      </w:r>
    </w:p>
    <w:p w14:paraId="7BE157F2">
      <w:pPr>
        <w:pStyle w:val="22"/>
        <w:spacing w:after="0"/>
        <w:rPr>
          <w:rFonts w:ascii="Arial" w:hAnsi="Arial" w:eastAsia="Calibri" w:cs="Arial"/>
          <w:szCs w:val="22"/>
          <w:lang w:val="en-IN"/>
        </w:rPr>
      </w:pPr>
    </w:p>
    <w:p w14:paraId="2BCB1093">
      <w:pPr>
        <w:pStyle w:val="22"/>
        <w:spacing w:after="0"/>
        <w:ind w:firstLine="720"/>
        <w:rPr>
          <w:rFonts w:ascii="Arial" w:hAnsi="Arial" w:eastAsia="Calibri" w:cs="Arial"/>
          <w:szCs w:val="22"/>
          <w:lang w:val="en-IN"/>
        </w:rPr>
      </w:pPr>
      <w:r>
        <w:rPr>
          <w:rFonts w:ascii="Arial" w:hAnsi="Arial" w:eastAsia="Calibri" w:cs="Arial"/>
          <w:szCs w:val="22"/>
          <w:lang w:val="en-IN"/>
        </w:rPr>
        <w:t xml:space="preserve">Infection by </w:t>
      </w:r>
      <w:r>
        <w:rPr>
          <w:rFonts w:ascii="Arial" w:hAnsi="Arial" w:eastAsia="Calibri" w:cs="Arial"/>
          <w:i/>
          <w:iCs/>
          <w:szCs w:val="22"/>
          <w:lang w:val="en-IN"/>
        </w:rPr>
        <w:t>Paenibacillus</w:t>
      </w:r>
      <w:r>
        <w:rPr>
          <w:rFonts w:ascii="Arial" w:hAnsi="Arial" w:eastAsia="Calibri" w:cs="Arial"/>
          <w:szCs w:val="22"/>
          <w:lang w:val="en-IN"/>
        </w:rPr>
        <w:t xml:space="preserve"> transpires subsequent to the ingestion of spores by the host larvae. Upon ingestion, the spores germinate, and the vegetative cells infiltrate the midgut epithelium, ultimately reaching the luminal side of the basal membrane. This instigates a process of multiplication within the larval host. Toxins generated by the parasporal bodies disrupt the gut epithelial barrier, thus aiding in the invasion of the hemocoel. Subsequent sporulation leads to the prevalence of refractive spores, resulting in the distinctive milky appearance in most instances. Nonetheless, infection by </w:t>
      </w:r>
      <w:r>
        <w:rPr>
          <w:rFonts w:ascii="Arial" w:hAnsi="Arial" w:eastAsia="Calibri" w:cs="Arial"/>
          <w:i/>
          <w:iCs/>
          <w:szCs w:val="22"/>
          <w:lang w:val="en-IN"/>
        </w:rPr>
        <w:t>P. lentimorbus</w:t>
      </w:r>
      <w:r>
        <w:rPr>
          <w:rFonts w:ascii="Arial" w:hAnsi="Arial" w:eastAsia="Calibri" w:cs="Arial"/>
          <w:szCs w:val="22"/>
          <w:lang w:val="en-IN"/>
        </w:rPr>
        <w:t xml:space="preserve"> in scarab larvae triggers hemolymph clotting, leading to the brown discoloration of the larvae</w:t>
      </w:r>
      <w:r>
        <w:rPr>
          <w:rFonts w:ascii="Arial" w:hAnsi="Arial" w:eastAsia="Calibri" w:cs="Arial"/>
          <w:szCs w:val="22"/>
          <w:vertAlign w:val="superscript"/>
          <w:lang w:val="en-IN"/>
        </w:rPr>
        <w:t>19</w:t>
      </w:r>
      <w:r>
        <w:rPr>
          <w:rFonts w:ascii="Arial" w:hAnsi="Arial" w:eastAsia="Calibri" w:cs="Arial"/>
          <w:szCs w:val="22"/>
          <w:lang w:val="en-IN"/>
        </w:rPr>
        <w:t xml:space="preserve"> (Glare </w:t>
      </w:r>
      <w:r>
        <w:rPr>
          <w:rFonts w:ascii="Arial" w:hAnsi="Arial" w:eastAsia="Calibri" w:cs="Arial"/>
          <w:i/>
          <w:iCs/>
          <w:szCs w:val="22"/>
          <w:lang w:val="en-IN"/>
        </w:rPr>
        <w:t>et al</w:t>
      </w:r>
      <w:r>
        <w:rPr>
          <w:rFonts w:ascii="Arial" w:hAnsi="Arial" w:eastAsia="Calibri" w:cs="Arial"/>
          <w:szCs w:val="22"/>
          <w:lang w:val="en-IN"/>
        </w:rPr>
        <w:t>., 2017).</w:t>
      </w:r>
    </w:p>
    <w:p w14:paraId="4CBAE8A0">
      <w:pPr>
        <w:pStyle w:val="22"/>
        <w:spacing w:after="0"/>
        <w:ind w:firstLine="720"/>
        <w:rPr>
          <w:rFonts w:ascii="Arial" w:hAnsi="Arial" w:eastAsia="Calibri" w:cs="Arial"/>
          <w:szCs w:val="22"/>
          <w:lang w:val="en-IN"/>
        </w:rPr>
      </w:pPr>
    </w:p>
    <w:p w14:paraId="2847AAA6">
      <w:pPr>
        <w:pStyle w:val="22"/>
        <w:spacing w:after="0"/>
        <w:rPr>
          <w:rFonts w:ascii="Arial" w:hAnsi="Arial" w:eastAsia="Calibri" w:cs="Arial"/>
          <w:i/>
          <w:iCs/>
          <w:szCs w:val="22"/>
          <w:lang w:val="en-IN"/>
        </w:rPr>
      </w:pPr>
      <w:r>
        <w:rPr>
          <w:rFonts w:ascii="Arial" w:hAnsi="Arial" w:eastAsia="Calibri" w:cs="Arial"/>
          <w:i/>
          <w:iCs/>
          <w:szCs w:val="22"/>
          <w:lang w:val="en-IN"/>
        </w:rPr>
        <w:t>2.2.2.2. Brevibacillus laterosporus</w:t>
      </w:r>
    </w:p>
    <w:p w14:paraId="46905761">
      <w:pPr>
        <w:pStyle w:val="22"/>
        <w:spacing w:after="0"/>
        <w:rPr>
          <w:rFonts w:ascii="Arial" w:hAnsi="Arial" w:eastAsia="Calibri" w:cs="Arial"/>
          <w:i/>
          <w:iCs/>
          <w:szCs w:val="22"/>
          <w:lang w:val="en-IN"/>
        </w:rPr>
      </w:pPr>
    </w:p>
    <w:p w14:paraId="606A7493">
      <w:pPr>
        <w:pStyle w:val="22"/>
        <w:spacing w:after="0"/>
        <w:ind w:firstLine="720"/>
        <w:rPr>
          <w:rFonts w:ascii="Arial" w:hAnsi="Arial" w:eastAsia="Calibri" w:cs="Arial"/>
          <w:szCs w:val="22"/>
          <w:lang w:val="en-IN"/>
        </w:rPr>
      </w:pPr>
      <w:r>
        <w:rPr>
          <w:rFonts w:ascii="Arial" w:hAnsi="Arial" w:eastAsia="Calibri" w:cs="Arial"/>
          <w:i/>
          <w:iCs/>
          <w:szCs w:val="22"/>
          <w:lang w:val="en-IN"/>
        </w:rPr>
        <w:t>Brevibacillus laterosporus</w:t>
      </w:r>
      <w:r>
        <w:rPr>
          <w:rFonts w:ascii="Arial" w:hAnsi="Arial" w:eastAsia="Calibri" w:cs="Arial"/>
          <w:szCs w:val="22"/>
          <w:lang w:val="en-IN"/>
        </w:rPr>
        <w:t xml:space="preserve"> is frequently encountered in terrestrial and aquatic habitats, displaying aerobic growth alongside the ability to engage in facultative anaerobic metabolism. This particular bacterium has the capacity to infect various insect orders, such as Coleoptera, Lepidoptera, and Diptera, and is characterized by the production of unique parasporal bodies shaped like canoes (CSPB), which are believed to play a crucial role in its insecticidal properties against mosquitoes</w:t>
      </w:r>
      <w:r>
        <w:rPr>
          <w:rFonts w:ascii="Arial" w:hAnsi="Arial" w:eastAsia="Calibri" w:cs="Arial"/>
          <w:szCs w:val="22"/>
          <w:vertAlign w:val="superscript"/>
          <w:lang w:val="en-IN"/>
        </w:rPr>
        <w:t>20</w:t>
      </w:r>
      <w:r>
        <w:rPr>
          <w:rFonts w:ascii="Arial" w:hAnsi="Arial" w:eastAsia="Calibri" w:cs="Arial"/>
          <w:szCs w:val="22"/>
          <w:lang w:val="en-IN"/>
        </w:rPr>
        <w:t xml:space="preserve"> (Ruiu </w:t>
      </w:r>
      <w:r>
        <w:rPr>
          <w:rFonts w:ascii="Arial" w:hAnsi="Arial" w:eastAsia="Calibri" w:cs="Arial"/>
          <w:i/>
          <w:iCs/>
          <w:szCs w:val="22"/>
          <w:lang w:val="en-IN"/>
        </w:rPr>
        <w:t>et al</w:t>
      </w:r>
      <w:r>
        <w:rPr>
          <w:rFonts w:ascii="Arial" w:hAnsi="Arial" w:eastAsia="Calibri" w:cs="Arial"/>
          <w:szCs w:val="22"/>
          <w:lang w:val="en-IN"/>
        </w:rPr>
        <w:t>., 2013).</w:t>
      </w:r>
    </w:p>
    <w:p w14:paraId="38BC8FAD">
      <w:pPr>
        <w:pStyle w:val="22"/>
        <w:spacing w:after="0"/>
        <w:rPr>
          <w:rFonts w:ascii="Arial" w:hAnsi="Arial" w:eastAsia="Calibri" w:cs="Arial"/>
          <w:szCs w:val="22"/>
          <w:lang w:val="en-IN"/>
        </w:rPr>
      </w:pPr>
    </w:p>
    <w:p w14:paraId="6F07162C">
      <w:pPr>
        <w:pStyle w:val="22"/>
        <w:spacing w:after="0"/>
        <w:ind w:firstLine="720"/>
        <w:rPr>
          <w:rFonts w:ascii="Arial" w:hAnsi="Arial" w:eastAsia="Calibri" w:cs="Arial"/>
          <w:szCs w:val="22"/>
          <w:lang w:val="en-IN"/>
        </w:rPr>
      </w:pPr>
      <w:r>
        <w:rPr>
          <w:rFonts w:ascii="Arial" w:hAnsi="Arial" w:eastAsia="Calibri" w:cs="Arial"/>
          <w:szCs w:val="22"/>
          <w:lang w:val="en-IN"/>
        </w:rPr>
        <w:t xml:space="preserve">Ormskirk </w:t>
      </w:r>
      <w:r>
        <w:rPr>
          <w:rFonts w:ascii="Arial" w:hAnsi="Arial" w:eastAsia="Calibri" w:cs="Arial"/>
          <w:i/>
          <w:iCs/>
          <w:szCs w:val="22"/>
          <w:lang w:val="en-IN"/>
        </w:rPr>
        <w:t>et al</w:t>
      </w:r>
      <w:r>
        <w:rPr>
          <w:rFonts w:ascii="Arial" w:hAnsi="Arial" w:eastAsia="Calibri" w:cs="Arial"/>
          <w:szCs w:val="22"/>
          <w:lang w:val="en-IN"/>
        </w:rPr>
        <w:t>. (2019) illustrated</w:t>
      </w:r>
      <w:r>
        <w:rPr>
          <w:rFonts w:ascii="Arial" w:hAnsi="Arial" w:eastAsia="Calibri" w:cs="Arial"/>
          <w:szCs w:val="22"/>
          <w:vertAlign w:val="superscript"/>
          <w:lang w:val="en-IN"/>
        </w:rPr>
        <w:t>21</w:t>
      </w:r>
      <w:r>
        <w:rPr>
          <w:rFonts w:ascii="Arial" w:hAnsi="Arial" w:eastAsia="Calibri" w:cs="Arial"/>
          <w:szCs w:val="22"/>
          <w:lang w:val="en-IN"/>
        </w:rPr>
        <w:t xml:space="preserve"> that the strain of </w:t>
      </w:r>
      <w:r>
        <w:rPr>
          <w:rFonts w:ascii="Arial" w:hAnsi="Arial" w:eastAsia="Calibri" w:cs="Arial"/>
          <w:i/>
          <w:iCs/>
          <w:szCs w:val="22"/>
          <w:lang w:val="en-IN"/>
        </w:rPr>
        <w:t>Brevibacillus laterosporus</w:t>
      </w:r>
      <w:r>
        <w:rPr>
          <w:rFonts w:ascii="Arial" w:hAnsi="Arial" w:eastAsia="Calibri" w:cs="Arial"/>
          <w:szCs w:val="22"/>
          <w:lang w:val="en-IN"/>
        </w:rPr>
        <w:t xml:space="preserve"> (Bl 1951), when extracted and utilized as an endophytic bacterium in Brassica plants, demonstrated toxic effects on diamondback moth (DBM) larvae upon consumption. While there was no significant impact on the herbivorous behaviour of DBM larvae, a noticeable decrease in DBM pupation was observed on plants inhabited by Bl 1951.</w:t>
      </w:r>
    </w:p>
    <w:p w14:paraId="74209CEC">
      <w:pPr>
        <w:pStyle w:val="22"/>
        <w:spacing w:after="0"/>
        <w:ind w:firstLine="720"/>
        <w:rPr>
          <w:rFonts w:ascii="Arial" w:hAnsi="Arial" w:eastAsia="Calibri" w:cs="Arial"/>
          <w:szCs w:val="22"/>
          <w:lang w:val="en-IN"/>
        </w:rPr>
      </w:pPr>
    </w:p>
    <w:p w14:paraId="7DEA8FF7">
      <w:pPr>
        <w:pStyle w:val="22"/>
        <w:spacing w:after="0"/>
        <w:ind w:firstLine="720"/>
        <w:rPr>
          <w:rFonts w:ascii="Arial" w:hAnsi="Arial" w:eastAsia="Calibri" w:cs="Arial"/>
          <w:szCs w:val="22"/>
          <w:lang w:val="en-IN"/>
        </w:rPr>
      </w:pPr>
      <w:r>
        <w:rPr>
          <w:rFonts w:ascii="Arial" w:hAnsi="Arial" w:eastAsia="Calibri" w:cs="Arial"/>
          <w:szCs w:val="22"/>
          <w:lang w:val="en-IN"/>
        </w:rPr>
        <w:t xml:space="preserve">In a separate investigation conducted by Bedini </w:t>
      </w:r>
      <w:r>
        <w:rPr>
          <w:rFonts w:ascii="Arial" w:hAnsi="Arial" w:eastAsia="Calibri" w:cs="Arial"/>
          <w:i/>
          <w:iCs/>
          <w:szCs w:val="22"/>
          <w:lang w:val="en-IN"/>
        </w:rPr>
        <w:t>et al</w:t>
      </w:r>
      <w:r>
        <w:rPr>
          <w:rFonts w:ascii="Arial" w:hAnsi="Arial" w:eastAsia="Calibri" w:cs="Arial"/>
          <w:szCs w:val="22"/>
          <w:lang w:val="en-IN"/>
        </w:rPr>
        <w:t>. (2020)</w:t>
      </w:r>
      <w:r>
        <w:rPr>
          <w:rFonts w:ascii="Arial" w:hAnsi="Arial" w:eastAsia="Calibri" w:cs="Arial"/>
          <w:szCs w:val="22"/>
          <w:vertAlign w:val="superscript"/>
          <w:lang w:val="en-IN"/>
        </w:rPr>
        <w:t>22</w:t>
      </w:r>
      <w:r>
        <w:rPr>
          <w:rFonts w:ascii="Arial" w:hAnsi="Arial" w:eastAsia="Calibri" w:cs="Arial"/>
          <w:szCs w:val="22"/>
          <w:lang w:val="en-IN"/>
        </w:rPr>
        <w:t xml:space="preserve">, it was discovered that spores of </w:t>
      </w:r>
      <w:r>
        <w:rPr>
          <w:rFonts w:ascii="Arial" w:hAnsi="Arial" w:eastAsia="Calibri" w:cs="Arial"/>
          <w:i/>
          <w:iCs/>
          <w:szCs w:val="22"/>
          <w:lang w:val="en-IN"/>
        </w:rPr>
        <w:t>B. laterosporus</w:t>
      </w:r>
      <w:r>
        <w:rPr>
          <w:rFonts w:ascii="Arial" w:hAnsi="Arial" w:eastAsia="Calibri" w:cs="Arial"/>
          <w:szCs w:val="22"/>
          <w:lang w:val="en-IN"/>
        </w:rPr>
        <w:t xml:space="preserve"> exhibited substantial insecticidal properties against common house mosquitoes (</w:t>
      </w:r>
      <w:r>
        <w:rPr>
          <w:rFonts w:ascii="Arial" w:hAnsi="Arial" w:eastAsia="Calibri" w:cs="Arial"/>
          <w:i/>
          <w:iCs/>
          <w:szCs w:val="22"/>
          <w:lang w:val="en-IN"/>
        </w:rPr>
        <w:t>Culex pipiens</w:t>
      </w:r>
      <w:r>
        <w:rPr>
          <w:rFonts w:ascii="Arial" w:hAnsi="Arial" w:eastAsia="Calibri" w:cs="Arial"/>
          <w:szCs w:val="22"/>
          <w:lang w:val="en-IN"/>
        </w:rPr>
        <w:t>) and yellow fever mosquitoes (</w:t>
      </w:r>
      <w:r>
        <w:rPr>
          <w:rFonts w:ascii="Arial" w:hAnsi="Arial" w:eastAsia="Calibri" w:cs="Arial"/>
          <w:i/>
          <w:iCs/>
          <w:szCs w:val="22"/>
          <w:lang w:val="en-IN"/>
        </w:rPr>
        <w:t>Aedes aegypti</w:t>
      </w:r>
      <w:r>
        <w:rPr>
          <w:rFonts w:ascii="Arial" w:hAnsi="Arial" w:eastAsia="Calibri" w:cs="Arial"/>
          <w:szCs w:val="22"/>
          <w:lang w:val="en-IN"/>
        </w:rPr>
        <w:t>), with LC50 values of 0.10 × 10</w:t>
      </w:r>
      <w:r>
        <w:rPr>
          <w:rFonts w:ascii="Arial" w:hAnsi="Arial" w:eastAsia="Calibri" w:cs="Arial"/>
          <w:szCs w:val="22"/>
          <w:vertAlign w:val="superscript"/>
          <w:lang w:val="en-IN"/>
        </w:rPr>
        <w:t>6</w:t>
      </w:r>
      <w:r>
        <w:rPr>
          <w:rFonts w:ascii="Arial" w:hAnsi="Arial" w:eastAsia="Calibri" w:cs="Arial"/>
          <w:szCs w:val="22"/>
          <w:lang w:val="en-IN"/>
        </w:rPr>
        <w:t xml:space="preserve"> spores mL</w:t>
      </w:r>
      <w:r>
        <w:rPr>
          <w:rFonts w:ascii="Arial" w:hAnsi="Arial" w:eastAsia="Calibri" w:cs="Arial"/>
          <w:szCs w:val="22"/>
          <w:vertAlign w:val="superscript"/>
          <w:lang w:val="en-IN"/>
        </w:rPr>
        <w:t>-1</w:t>
      </w:r>
      <w:r>
        <w:rPr>
          <w:rFonts w:ascii="Arial" w:hAnsi="Arial" w:eastAsia="Calibri" w:cs="Arial"/>
          <w:szCs w:val="22"/>
          <w:lang w:val="en-IN"/>
        </w:rPr>
        <w:t xml:space="preserve"> and 0.18 × 10</w:t>
      </w:r>
      <w:r>
        <w:rPr>
          <w:rFonts w:ascii="Arial" w:hAnsi="Arial" w:eastAsia="Calibri" w:cs="Arial"/>
          <w:szCs w:val="22"/>
          <w:vertAlign w:val="superscript"/>
          <w:lang w:val="en-IN"/>
        </w:rPr>
        <w:t>6</w:t>
      </w:r>
      <w:r>
        <w:rPr>
          <w:rFonts w:ascii="Arial" w:hAnsi="Arial" w:eastAsia="Calibri" w:cs="Arial"/>
          <w:szCs w:val="22"/>
          <w:lang w:val="en-IN"/>
        </w:rPr>
        <w:t xml:space="preserve"> spores mL</w:t>
      </w:r>
      <w:r>
        <w:rPr>
          <w:rFonts w:ascii="Arial" w:hAnsi="Arial" w:eastAsia="Calibri" w:cs="Arial"/>
          <w:szCs w:val="22"/>
          <w:vertAlign w:val="superscript"/>
          <w:lang w:val="en-IN"/>
        </w:rPr>
        <w:t>-1</w:t>
      </w:r>
      <w:r>
        <w:rPr>
          <w:rFonts w:ascii="Arial" w:hAnsi="Arial" w:eastAsia="Calibri" w:cs="Arial"/>
          <w:szCs w:val="22"/>
          <w:lang w:val="en-IN"/>
        </w:rPr>
        <w:t xml:space="preserve">, respectively. Notably, blow flies, especially </w:t>
      </w:r>
      <w:r>
        <w:rPr>
          <w:rFonts w:ascii="Arial" w:hAnsi="Arial" w:eastAsia="Calibri" w:cs="Arial"/>
          <w:i/>
          <w:iCs/>
          <w:szCs w:val="22"/>
          <w:lang w:val="en-IN"/>
        </w:rPr>
        <w:t>Calliphora vomitoria</w:t>
      </w:r>
      <w:r>
        <w:rPr>
          <w:rFonts w:ascii="Arial" w:hAnsi="Arial" w:eastAsia="Calibri" w:cs="Arial"/>
          <w:szCs w:val="22"/>
          <w:lang w:val="en-IN"/>
        </w:rPr>
        <w:t xml:space="preserve">, displayed greater susceptibility to </w:t>
      </w:r>
      <w:r>
        <w:rPr>
          <w:rFonts w:ascii="Arial" w:hAnsi="Arial" w:eastAsia="Calibri" w:cs="Arial"/>
          <w:i/>
          <w:iCs/>
          <w:szCs w:val="22"/>
          <w:lang w:val="en-IN"/>
        </w:rPr>
        <w:t>B. laterosporus</w:t>
      </w:r>
      <w:r>
        <w:rPr>
          <w:rFonts w:ascii="Arial" w:hAnsi="Arial" w:eastAsia="Calibri" w:cs="Arial"/>
          <w:szCs w:val="22"/>
          <w:lang w:val="en-IN"/>
        </w:rPr>
        <w:t xml:space="preserve"> spores in comparison to </w:t>
      </w:r>
      <w:r>
        <w:rPr>
          <w:rFonts w:ascii="Arial" w:hAnsi="Arial" w:eastAsia="Calibri" w:cs="Arial"/>
          <w:i/>
          <w:iCs/>
          <w:szCs w:val="22"/>
          <w:lang w:val="en-IN"/>
        </w:rPr>
        <w:t>Lucilia caesar</w:t>
      </w:r>
      <w:r>
        <w:rPr>
          <w:rFonts w:ascii="Arial" w:hAnsi="Arial" w:eastAsia="Calibri" w:cs="Arial"/>
          <w:szCs w:val="22"/>
          <w:lang w:val="en-IN"/>
        </w:rPr>
        <w:t>, as evidenced by LC50 values of 78.84 × 10</w:t>
      </w:r>
      <w:r>
        <w:rPr>
          <w:rFonts w:ascii="Arial" w:hAnsi="Arial" w:eastAsia="Calibri" w:cs="Arial"/>
          <w:szCs w:val="22"/>
          <w:vertAlign w:val="superscript"/>
          <w:lang w:val="en-IN"/>
        </w:rPr>
        <w:t>6</w:t>
      </w:r>
      <w:r>
        <w:rPr>
          <w:rFonts w:ascii="Arial" w:hAnsi="Arial" w:eastAsia="Calibri" w:cs="Arial"/>
          <w:szCs w:val="22"/>
          <w:lang w:val="en-IN"/>
        </w:rPr>
        <w:t xml:space="preserve"> spores mL</w:t>
      </w:r>
      <w:r>
        <w:rPr>
          <w:rFonts w:ascii="Arial" w:hAnsi="Arial" w:eastAsia="Calibri" w:cs="Arial"/>
          <w:szCs w:val="22"/>
          <w:vertAlign w:val="superscript"/>
          <w:lang w:val="en-IN"/>
        </w:rPr>
        <w:t>-1</w:t>
      </w:r>
      <w:r>
        <w:rPr>
          <w:rFonts w:ascii="Arial" w:hAnsi="Arial" w:eastAsia="Calibri" w:cs="Arial"/>
          <w:szCs w:val="22"/>
          <w:lang w:val="en-IN"/>
        </w:rPr>
        <w:t xml:space="preserve"> and 148.30 × 10</w:t>
      </w:r>
      <w:r>
        <w:rPr>
          <w:rFonts w:ascii="Arial" w:hAnsi="Arial" w:eastAsia="Calibri" w:cs="Arial"/>
          <w:szCs w:val="22"/>
          <w:vertAlign w:val="superscript"/>
          <w:lang w:val="en-IN"/>
        </w:rPr>
        <w:t>6</w:t>
      </w:r>
      <w:r>
        <w:rPr>
          <w:rFonts w:ascii="Arial" w:hAnsi="Arial" w:eastAsia="Calibri" w:cs="Arial"/>
          <w:szCs w:val="22"/>
          <w:lang w:val="en-IN"/>
        </w:rPr>
        <w:t xml:space="preserve"> spores mL</w:t>
      </w:r>
      <w:r>
        <w:rPr>
          <w:rFonts w:ascii="Arial" w:hAnsi="Arial" w:eastAsia="Calibri" w:cs="Arial"/>
          <w:szCs w:val="22"/>
          <w:vertAlign w:val="superscript"/>
          <w:lang w:val="en-IN"/>
        </w:rPr>
        <w:t>-1</w:t>
      </w:r>
      <w:r>
        <w:rPr>
          <w:rFonts w:ascii="Arial" w:hAnsi="Arial" w:eastAsia="Calibri" w:cs="Arial"/>
          <w:szCs w:val="22"/>
          <w:lang w:val="en-IN"/>
        </w:rPr>
        <w:t xml:space="preserve">, respectively. The efficacy of </w:t>
      </w:r>
      <w:r>
        <w:rPr>
          <w:rFonts w:ascii="Arial" w:hAnsi="Arial" w:eastAsia="Calibri" w:cs="Arial"/>
          <w:i/>
          <w:iCs/>
          <w:szCs w:val="22"/>
          <w:lang w:val="en-IN"/>
        </w:rPr>
        <w:t>B. laterosporus</w:t>
      </w:r>
      <w:r>
        <w:rPr>
          <w:rFonts w:ascii="Arial" w:hAnsi="Arial" w:eastAsia="Calibri" w:cs="Arial"/>
          <w:szCs w:val="22"/>
          <w:lang w:val="en-IN"/>
        </w:rPr>
        <w:t xml:space="preserve"> spores was diminished against the house fly (</w:t>
      </w:r>
      <w:r>
        <w:rPr>
          <w:rFonts w:ascii="Arial" w:hAnsi="Arial" w:eastAsia="Calibri" w:cs="Arial"/>
          <w:i/>
          <w:iCs/>
          <w:szCs w:val="22"/>
          <w:lang w:val="en-IN"/>
        </w:rPr>
        <w:t>Musca domestica</w:t>
      </w:r>
      <w:r>
        <w:rPr>
          <w:rFonts w:ascii="Arial" w:hAnsi="Arial" w:eastAsia="Calibri" w:cs="Arial"/>
          <w:szCs w:val="22"/>
          <w:lang w:val="en-IN"/>
        </w:rPr>
        <w:t>), exhibiting the least susceptibility among fruit flies.</w:t>
      </w:r>
    </w:p>
    <w:p w14:paraId="14FA629A">
      <w:pPr>
        <w:pStyle w:val="22"/>
        <w:spacing w:after="0"/>
        <w:rPr>
          <w:rFonts w:ascii="Arial" w:hAnsi="Arial" w:eastAsia="Calibri" w:cs="Arial"/>
          <w:b/>
          <w:bCs/>
          <w:szCs w:val="22"/>
          <w:lang w:val="en-IN"/>
        </w:rPr>
      </w:pPr>
    </w:p>
    <w:p w14:paraId="2AA1EBD8">
      <w:pPr>
        <w:pStyle w:val="22"/>
        <w:spacing w:after="0"/>
        <w:rPr>
          <w:rFonts w:ascii="Arial" w:hAnsi="Arial" w:eastAsia="Calibri" w:cs="Arial"/>
          <w:b/>
          <w:bCs/>
          <w:szCs w:val="22"/>
          <w:lang w:val="en-IN"/>
        </w:rPr>
      </w:pPr>
      <w:r>
        <w:rPr>
          <w:rFonts w:ascii="Arial" w:hAnsi="Arial" w:eastAsia="Calibri" w:cs="Arial"/>
          <w:b/>
          <w:bCs/>
          <w:szCs w:val="22"/>
          <w:lang w:val="en-IN"/>
        </w:rPr>
        <w:t>2.2.3.</w:t>
      </w:r>
      <w:r>
        <w:rPr>
          <w:rFonts w:ascii="Arial" w:hAnsi="Arial" w:eastAsia="Calibri" w:cs="Arial"/>
          <w:szCs w:val="22"/>
          <w:lang w:val="en-IN"/>
        </w:rPr>
        <w:t xml:space="preserve"> </w:t>
      </w:r>
      <w:r>
        <w:rPr>
          <w:rFonts w:ascii="Arial" w:hAnsi="Arial" w:eastAsia="Calibri" w:cs="Arial"/>
          <w:b/>
          <w:bCs/>
          <w:szCs w:val="22"/>
          <w:lang w:val="en-IN"/>
        </w:rPr>
        <w:t>Family: Enterobacteriaceae</w:t>
      </w:r>
    </w:p>
    <w:p w14:paraId="66AFBC65">
      <w:pPr>
        <w:pStyle w:val="22"/>
        <w:spacing w:after="0"/>
        <w:ind w:firstLine="720"/>
        <w:rPr>
          <w:rFonts w:ascii="Arial" w:hAnsi="Arial" w:eastAsia="Calibri" w:cs="Arial"/>
          <w:szCs w:val="22"/>
          <w:lang w:val="en-IN"/>
        </w:rPr>
      </w:pPr>
    </w:p>
    <w:p w14:paraId="20E193B7">
      <w:pPr>
        <w:pStyle w:val="22"/>
        <w:spacing w:after="0"/>
        <w:ind w:firstLine="720"/>
        <w:rPr>
          <w:rFonts w:ascii="Arial" w:hAnsi="Arial" w:eastAsia="Calibri" w:cs="Arial"/>
          <w:szCs w:val="22"/>
          <w:lang w:val="en-IN"/>
        </w:rPr>
      </w:pPr>
      <w:r>
        <w:rPr>
          <w:rFonts w:ascii="Arial" w:hAnsi="Arial" w:eastAsia="Calibri" w:cs="Arial"/>
          <w:szCs w:val="22"/>
          <w:lang w:val="en-IN"/>
        </w:rPr>
        <w:t xml:space="preserve">The family Enterobacteriaceae is a large family of Gram-negative bacteria that includes many important pathogens and commensals. These bacteria are commonly found in the gastrointestinal tract of animals, including humans, and in various environmental niches. Some members of the Enterobacteriaceae family are notable as entomopathogens, particularly in the context of integrated pest management (IPM). Certain species within this family, such as </w:t>
      </w:r>
      <w:r>
        <w:rPr>
          <w:rFonts w:ascii="Arial" w:hAnsi="Arial" w:eastAsia="Calibri" w:cs="Arial"/>
          <w:i/>
          <w:iCs/>
          <w:szCs w:val="22"/>
          <w:lang w:val="en-IN"/>
        </w:rPr>
        <w:t>Photorhabdus</w:t>
      </w:r>
      <w:r>
        <w:rPr>
          <w:rFonts w:ascii="Arial" w:hAnsi="Arial" w:eastAsia="Calibri" w:cs="Arial"/>
          <w:szCs w:val="22"/>
          <w:lang w:val="en-IN"/>
        </w:rPr>
        <w:t xml:space="preserve"> and </w:t>
      </w:r>
      <w:r>
        <w:rPr>
          <w:rFonts w:ascii="Arial" w:hAnsi="Arial" w:eastAsia="Calibri" w:cs="Arial"/>
          <w:i/>
          <w:iCs/>
          <w:szCs w:val="22"/>
          <w:lang w:val="en-IN"/>
        </w:rPr>
        <w:t>Serratia</w:t>
      </w:r>
      <w:r>
        <w:rPr>
          <w:rFonts w:ascii="Arial" w:hAnsi="Arial" w:eastAsia="Calibri" w:cs="Arial"/>
          <w:szCs w:val="22"/>
          <w:lang w:val="en-IN"/>
        </w:rPr>
        <w:t>, form symbiotic associations with entomopathogenic nematodes to infect and kill insects. The insecticidal properties of Enterobacteriaceae species have made them valuable contributors to biological control strategies targeting agricultural pests and disease vectors.</w:t>
      </w:r>
    </w:p>
    <w:p w14:paraId="06FBB6A2">
      <w:pPr>
        <w:pStyle w:val="22"/>
        <w:spacing w:after="0"/>
        <w:rPr>
          <w:rFonts w:ascii="Arial" w:hAnsi="Arial" w:eastAsia="Calibri" w:cs="Arial"/>
          <w:b/>
          <w:bCs/>
          <w:szCs w:val="22"/>
          <w:lang w:val="en-IN"/>
        </w:rPr>
      </w:pPr>
    </w:p>
    <w:p w14:paraId="08EC8995">
      <w:pPr>
        <w:pStyle w:val="22"/>
        <w:spacing w:after="0"/>
        <w:rPr>
          <w:rFonts w:ascii="Arial" w:hAnsi="Arial" w:eastAsia="Calibri" w:cs="Arial"/>
          <w:i/>
          <w:iCs/>
          <w:szCs w:val="22"/>
          <w:lang w:val="en-IN"/>
        </w:rPr>
      </w:pPr>
      <w:r>
        <w:rPr>
          <w:rFonts w:ascii="Arial" w:hAnsi="Arial" w:eastAsia="Calibri" w:cs="Arial"/>
          <w:i/>
          <w:iCs/>
          <w:szCs w:val="22"/>
          <w:lang w:val="en-IN"/>
        </w:rPr>
        <w:t>2.2.3.1. Serratia entomophila</w:t>
      </w:r>
    </w:p>
    <w:p w14:paraId="7566D225">
      <w:pPr>
        <w:pStyle w:val="22"/>
        <w:spacing w:after="0"/>
        <w:ind w:firstLine="720"/>
        <w:rPr>
          <w:rFonts w:ascii="Arial" w:hAnsi="Arial" w:eastAsia="Calibri" w:cs="Arial"/>
          <w:szCs w:val="22"/>
          <w:lang w:val="en-IN"/>
        </w:rPr>
      </w:pPr>
      <w:r>
        <w:rPr>
          <w:rFonts w:ascii="Arial" w:hAnsi="Arial" w:eastAsia="Calibri" w:cs="Arial"/>
          <w:i/>
          <w:iCs/>
          <w:szCs w:val="22"/>
          <w:lang w:val="en-IN"/>
        </w:rPr>
        <w:t>Serratia entomophila</w:t>
      </w:r>
      <w:r>
        <w:rPr>
          <w:rFonts w:ascii="Arial" w:hAnsi="Arial" w:eastAsia="Calibri" w:cs="Arial"/>
          <w:szCs w:val="22"/>
          <w:lang w:val="en-IN"/>
        </w:rPr>
        <w:t xml:space="preserve"> is the causative agent of amber disease affecting the New Zealand grass grub, </w:t>
      </w:r>
      <w:r>
        <w:rPr>
          <w:rFonts w:ascii="Arial" w:hAnsi="Arial" w:eastAsia="Calibri" w:cs="Arial"/>
          <w:i/>
          <w:iCs/>
          <w:szCs w:val="22"/>
          <w:lang w:val="en-IN"/>
        </w:rPr>
        <w:t>Costelytra zealandica</w:t>
      </w:r>
      <w:r>
        <w:rPr>
          <w:rFonts w:ascii="Arial" w:hAnsi="Arial" w:eastAsia="Calibri" w:cs="Arial"/>
          <w:szCs w:val="22"/>
          <w:lang w:val="en-IN"/>
        </w:rPr>
        <w:t xml:space="preserve"> (Coleoptera: Scarabaeidae). This disease only infects the larvae of this specific grub species and was first identified by </w:t>
      </w:r>
      <w:r>
        <w:rPr>
          <w:rFonts w:ascii="Arial" w:hAnsi="Arial" w:eastAsia="Calibri" w:cs="Arial"/>
          <w:szCs w:val="22"/>
          <w:vertAlign w:val="superscript"/>
          <w:lang w:val="en-IN"/>
        </w:rPr>
        <w:t>23</w:t>
      </w:r>
      <w:r>
        <w:rPr>
          <w:rFonts w:ascii="Arial" w:hAnsi="Arial" w:eastAsia="Calibri" w:cs="Arial"/>
          <w:szCs w:val="22"/>
          <w:lang w:val="en-IN"/>
        </w:rPr>
        <w:t xml:space="preserve">Trought </w:t>
      </w:r>
      <w:r>
        <w:rPr>
          <w:rFonts w:ascii="Arial" w:hAnsi="Arial" w:eastAsia="Calibri" w:cs="Arial"/>
          <w:i/>
          <w:iCs/>
          <w:szCs w:val="22"/>
          <w:lang w:val="en-IN"/>
        </w:rPr>
        <w:t>et al</w:t>
      </w:r>
      <w:r>
        <w:rPr>
          <w:rFonts w:ascii="Arial" w:hAnsi="Arial" w:eastAsia="Calibri" w:cs="Arial"/>
          <w:szCs w:val="22"/>
          <w:lang w:val="en-IN"/>
        </w:rPr>
        <w:t xml:space="preserve">. in 1982. Hurst </w:t>
      </w:r>
      <w:r>
        <w:rPr>
          <w:rFonts w:ascii="Arial" w:hAnsi="Arial" w:eastAsia="Calibri" w:cs="Arial"/>
          <w:i/>
          <w:iCs/>
          <w:szCs w:val="22"/>
          <w:lang w:val="en-IN"/>
        </w:rPr>
        <w:t>et al</w:t>
      </w:r>
      <w:r>
        <w:rPr>
          <w:rFonts w:ascii="Arial" w:hAnsi="Arial" w:eastAsia="Calibri" w:cs="Arial"/>
          <w:szCs w:val="22"/>
          <w:lang w:val="en-IN"/>
        </w:rPr>
        <w:t>. (2007)</w:t>
      </w:r>
      <w:r>
        <w:rPr>
          <w:rFonts w:ascii="Arial" w:hAnsi="Arial" w:eastAsia="Calibri" w:cs="Arial"/>
          <w:szCs w:val="22"/>
          <w:vertAlign w:val="superscript"/>
          <w:lang w:val="en-IN"/>
        </w:rPr>
        <w:t>24</w:t>
      </w:r>
      <w:r>
        <w:rPr>
          <w:rFonts w:ascii="Arial" w:hAnsi="Arial" w:eastAsia="Calibri" w:cs="Arial"/>
          <w:szCs w:val="22"/>
          <w:lang w:val="en-IN"/>
        </w:rPr>
        <w:t xml:space="preserve"> conducted studies isolating and characterizing the antifeeding prophage of </w:t>
      </w:r>
      <w:r>
        <w:rPr>
          <w:rFonts w:ascii="Arial" w:hAnsi="Arial" w:eastAsia="Calibri" w:cs="Arial"/>
          <w:i/>
          <w:iCs/>
          <w:szCs w:val="22"/>
          <w:lang w:val="en-IN"/>
        </w:rPr>
        <w:t>S. entomophila</w:t>
      </w:r>
      <w:r>
        <w:rPr>
          <w:rFonts w:ascii="Arial" w:hAnsi="Arial" w:eastAsia="Calibri" w:cs="Arial"/>
          <w:szCs w:val="22"/>
          <w:lang w:val="en-IN"/>
        </w:rPr>
        <w:t xml:space="preserve">, evaluating its insecticidal potential against </w:t>
      </w:r>
      <w:r>
        <w:rPr>
          <w:rFonts w:ascii="Arial" w:hAnsi="Arial" w:eastAsia="Calibri" w:cs="Arial"/>
          <w:i/>
          <w:iCs/>
          <w:szCs w:val="22"/>
          <w:lang w:val="en-IN"/>
        </w:rPr>
        <w:t>C. zealandica</w:t>
      </w:r>
      <w:r>
        <w:rPr>
          <w:rFonts w:ascii="Arial" w:hAnsi="Arial" w:eastAsia="Calibri" w:cs="Arial"/>
          <w:szCs w:val="22"/>
          <w:lang w:val="en-IN"/>
        </w:rPr>
        <w:t xml:space="preserve"> larvae. Their findings revealed that the antifeeding prophage induces cessation of larval feeding and a shift to amber coloration within 48 hours post-inoculation, with increased dose rates correlating with larval mortality. These studies underscore the specific interactions and potential applications of </w:t>
      </w:r>
      <w:r>
        <w:rPr>
          <w:rFonts w:ascii="Arial" w:hAnsi="Arial" w:eastAsia="Calibri" w:cs="Arial"/>
          <w:i/>
          <w:iCs/>
          <w:szCs w:val="22"/>
          <w:lang w:val="en-IN"/>
        </w:rPr>
        <w:t>S. entomophila</w:t>
      </w:r>
      <w:r>
        <w:rPr>
          <w:rFonts w:ascii="Arial" w:hAnsi="Arial" w:eastAsia="Calibri" w:cs="Arial"/>
          <w:szCs w:val="22"/>
          <w:lang w:val="en-IN"/>
        </w:rPr>
        <w:t xml:space="preserve"> as a biological control agent targeting </w:t>
      </w:r>
      <w:r>
        <w:rPr>
          <w:rFonts w:ascii="Arial" w:hAnsi="Arial" w:eastAsia="Calibri" w:cs="Arial"/>
          <w:i/>
          <w:iCs/>
          <w:szCs w:val="22"/>
          <w:lang w:val="en-IN"/>
        </w:rPr>
        <w:t>C. zealandica</w:t>
      </w:r>
      <w:r>
        <w:rPr>
          <w:rFonts w:ascii="Arial" w:hAnsi="Arial" w:eastAsia="Calibri" w:cs="Arial"/>
          <w:szCs w:val="22"/>
          <w:lang w:val="en-IN"/>
        </w:rPr>
        <w:t xml:space="preserve"> larvae.</w:t>
      </w:r>
    </w:p>
    <w:p w14:paraId="0498DE6A">
      <w:pPr>
        <w:pStyle w:val="22"/>
        <w:spacing w:after="0"/>
        <w:rPr>
          <w:rFonts w:ascii="Arial" w:hAnsi="Arial" w:eastAsia="Calibri" w:cs="Arial"/>
          <w:szCs w:val="22"/>
          <w:lang w:val="en-IN"/>
        </w:rPr>
      </w:pPr>
    </w:p>
    <w:p w14:paraId="77993D7B">
      <w:pPr>
        <w:pStyle w:val="22"/>
        <w:spacing w:after="0"/>
        <w:rPr>
          <w:rFonts w:ascii="Arial" w:hAnsi="Arial" w:eastAsia="Calibri" w:cs="Arial"/>
          <w:szCs w:val="22"/>
          <w:lang w:val="en-IN"/>
        </w:rPr>
      </w:pPr>
    </w:p>
    <w:p w14:paraId="4CD881A2">
      <w:pPr>
        <w:pStyle w:val="22"/>
        <w:spacing w:after="0"/>
        <w:rPr>
          <w:rFonts w:ascii="Arial" w:hAnsi="Arial" w:eastAsia="Calibri" w:cs="Arial"/>
          <w:i/>
          <w:iCs/>
          <w:szCs w:val="22"/>
          <w:lang w:val="en-IN"/>
        </w:rPr>
      </w:pPr>
      <w:r>
        <w:rPr>
          <w:rFonts w:ascii="Arial" w:hAnsi="Arial" w:eastAsia="Calibri" w:cs="Arial"/>
          <w:i/>
          <w:iCs/>
          <w:szCs w:val="22"/>
          <w:lang w:val="en-IN"/>
        </w:rPr>
        <w:t>2.2.3.2. Serratia marcescens</w:t>
      </w:r>
    </w:p>
    <w:p w14:paraId="20D5E229">
      <w:pPr>
        <w:pStyle w:val="22"/>
        <w:spacing w:after="0"/>
        <w:rPr>
          <w:rFonts w:ascii="Arial" w:hAnsi="Arial" w:eastAsia="Calibri" w:cs="Arial"/>
          <w:i/>
          <w:iCs/>
          <w:szCs w:val="22"/>
          <w:lang w:val="en-IN"/>
        </w:rPr>
      </w:pPr>
    </w:p>
    <w:p w14:paraId="28F1F7B3">
      <w:pPr>
        <w:pStyle w:val="22"/>
        <w:spacing w:after="0"/>
        <w:ind w:firstLine="720"/>
        <w:rPr>
          <w:rFonts w:ascii="Arial" w:hAnsi="Arial" w:eastAsia="Calibri" w:cs="Arial"/>
          <w:szCs w:val="22"/>
          <w:lang w:val="en-IN"/>
        </w:rPr>
      </w:pPr>
      <w:r>
        <w:rPr>
          <w:rFonts w:ascii="Arial" w:hAnsi="Arial" w:eastAsia="Calibri" w:cs="Arial"/>
          <w:i/>
          <w:iCs/>
          <w:szCs w:val="22"/>
          <w:lang w:val="en-IN"/>
        </w:rPr>
        <w:t>Serratia marcescens</w:t>
      </w:r>
      <w:r>
        <w:rPr>
          <w:rFonts w:ascii="Arial" w:hAnsi="Arial" w:eastAsia="Calibri" w:cs="Arial"/>
          <w:szCs w:val="22"/>
          <w:lang w:val="en-IN"/>
        </w:rPr>
        <w:t xml:space="preserve"> is a Gram-negative bacterium widely distributed in the environment and classified as aerobic within the family Enterobacteriaceae. This bacterium is known to infect both invertebrates and vertebrates, with a notable reputation as a pathogen of insects, leading to bacteremia and rapid insect mortality. Studies have demonstrated the insecticidal effects of </w:t>
      </w:r>
      <w:r>
        <w:rPr>
          <w:rFonts w:ascii="Arial" w:hAnsi="Arial" w:eastAsia="Calibri" w:cs="Arial"/>
          <w:i/>
          <w:iCs/>
          <w:szCs w:val="22"/>
          <w:lang w:val="en-IN"/>
        </w:rPr>
        <w:t>S. marcescens</w:t>
      </w:r>
      <w:r>
        <w:rPr>
          <w:rFonts w:ascii="Arial" w:hAnsi="Arial" w:eastAsia="Calibri" w:cs="Arial"/>
          <w:szCs w:val="22"/>
          <w:lang w:val="en-IN"/>
        </w:rPr>
        <w:t>, with findings showing significant mortality rates in various insect species. For example, Aswathy (2015)</w:t>
      </w:r>
      <w:r>
        <w:rPr>
          <w:rFonts w:ascii="Arial" w:hAnsi="Arial" w:eastAsia="Calibri" w:cs="Arial"/>
          <w:szCs w:val="22"/>
          <w:vertAlign w:val="superscript"/>
          <w:lang w:val="en-IN"/>
        </w:rPr>
        <w:t>25</w:t>
      </w:r>
      <w:r>
        <w:rPr>
          <w:rFonts w:ascii="Arial" w:hAnsi="Arial" w:eastAsia="Calibri" w:cs="Arial"/>
          <w:szCs w:val="22"/>
          <w:lang w:val="en-IN"/>
        </w:rPr>
        <w:t xml:space="preserve"> reported a mortality rate of 93.28% in epilachna beetle (</w:t>
      </w:r>
      <w:r>
        <w:rPr>
          <w:rFonts w:ascii="Arial" w:hAnsi="Arial" w:eastAsia="Calibri" w:cs="Arial"/>
          <w:i/>
          <w:iCs/>
          <w:szCs w:val="22"/>
          <w:lang w:val="en-IN"/>
        </w:rPr>
        <w:t>Henosepilachna vigintioctopunctata</w:t>
      </w:r>
      <w:r>
        <w:rPr>
          <w:rFonts w:ascii="Arial" w:hAnsi="Arial" w:eastAsia="Calibri" w:cs="Arial"/>
          <w:szCs w:val="22"/>
          <w:lang w:val="en-IN"/>
        </w:rPr>
        <w:t>) larvae isolated from brinjal. Similarly, Pu and Hou (2016)</w:t>
      </w:r>
      <w:r>
        <w:rPr>
          <w:rFonts w:ascii="Arial" w:hAnsi="Arial" w:eastAsia="Calibri" w:cs="Arial"/>
          <w:szCs w:val="22"/>
          <w:vertAlign w:val="superscript"/>
          <w:lang w:val="en-IN"/>
        </w:rPr>
        <w:t>26</w:t>
      </w:r>
      <w:r>
        <w:rPr>
          <w:rFonts w:ascii="Arial" w:hAnsi="Arial" w:eastAsia="Calibri" w:cs="Arial"/>
          <w:szCs w:val="22"/>
          <w:lang w:val="en-IN"/>
        </w:rPr>
        <w:t xml:space="preserve"> observed a mortality rate of 56.75% in fourth instar larvae of the red palm weevil (</w:t>
      </w:r>
      <w:r>
        <w:rPr>
          <w:rFonts w:ascii="Arial" w:hAnsi="Arial" w:eastAsia="Calibri" w:cs="Arial"/>
          <w:i/>
          <w:iCs/>
          <w:szCs w:val="22"/>
          <w:lang w:val="en-IN"/>
        </w:rPr>
        <w:t>Rhynchophorus ferrugineus</w:t>
      </w:r>
      <w:r>
        <w:rPr>
          <w:rFonts w:ascii="Arial" w:hAnsi="Arial" w:eastAsia="Calibri" w:cs="Arial"/>
          <w:szCs w:val="22"/>
          <w:lang w:val="en-IN"/>
        </w:rPr>
        <w:t xml:space="preserve">) caused by </w:t>
      </w:r>
      <w:r>
        <w:rPr>
          <w:rFonts w:ascii="Arial" w:hAnsi="Arial" w:eastAsia="Calibri" w:cs="Arial"/>
          <w:i/>
          <w:iCs/>
          <w:szCs w:val="22"/>
          <w:lang w:val="en-IN"/>
        </w:rPr>
        <w:t>S. marcescens</w:t>
      </w:r>
      <w:r>
        <w:rPr>
          <w:rFonts w:ascii="Arial" w:hAnsi="Arial" w:eastAsia="Calibri" w:cs="Arial"/>
          <w:szCs w:val="22"/>
          <w:lang w:val="en-IN"/>
        </w:rPr>
        <w:t xml:space="preserve">. These studies highlight the potential of </w:t>
      </w:r>
      <w:r>
        <w:rPr>
          <w:rFonts w:ascii="Arial" w:hAnsi="Arial" w:eastAsia="Calibri" w:cs="Arial"/>
          <w:i/>
          <w:iCs/>
          <w:szCs w:val="22"/>
          <w:lang w:val="en-IN"/>
        </w:rPr>
        <w:t>S. marcescens</w:t>
      </w:r>
      <w:r>
        <w:rPr>
          <w:rFonts w:ascii="Arial" w:hAnsi="Arial" w:eastAsia="Calibri" w:cs="Arial"/>
          <w:szCs w:val="22"/>
          <w:lang w:val="en-IN"/>
        </w:rPr>
        <w:t xml:space="preserve"> as an effective biological control agent against insect pests.</w:t>
      </w:r>
    </w:p>
    <w:p w14:paraId="40EA36F0">
      <w:pPr>
        <w:pStyle w:val="22"/>
        <w:spacing w:after="0"/>
        <w:rPr>
          <w:rFonts w:ascii="Arial" w:hAnsi="Arial" w:eastAsia="Calibri" w:cs="Arial"/>
          <w:b/>
          <w:bCs/>
          <w:szCs w:val="22"/>
          <w:lang w:val="en-IN"/>
        </w:rPr>
      </w:pPr>
    </w:p>
    <w:p w14:paraId="65B84B51">
      <w:pPr>
        <w:pStyle w:val="22"/>
        <w:spacing w:after="0"/>
        <w:rPr>
          <w:rFonts w:ascii="Arial" w:hAnsi="Arial" w:eastAsia="Calibri" w:cs="Arial"/>
          <w:i/>
          <w:iCs/>
          <w:szCs w:val="22"/>
          <w:lang w:val="en-IN"/>
        </w:rPr>
      </w:pPr>
      <w:r>
        <w:rPr>
          <w:rFonts w:ascii="Arial" w:hAnsi="Arial" w:eastAsia="Calibri" w:cs="Arial"/>
          <w:i/>
          <w:iCs/>
          <w:szCs w:val="22"/>
          <w:lang w:val="en-IN"/>
        </w:rPr>
        <w:t>2.2.3.3. Yersinia entomophaga</w:t>
      </w:r>
    </w:p>
    <w:p w14:paraId="46FD5520">
      <w:pPr>
        <w:pStyle w:val="22"/>
        <w:spacing w:after="0"/>
        <w:rPr>
          <w:rFonts w:ascii="Arial" w:hAnsi="Arial" w:eastAsia="Calibri" w:cs="Arial"/>
          <w:szCs w:val="22"/>
          <w:lang w:val="en-IN"/>
        </w:rPr>
      </w:pPr>
    </w:p>
    <w:p w14:paraId="6A2E5297">
      <w:pPr>
        <w:pStyle w:val="22"/>
        <w:spacing w:after="0"/>
        <w:ind w:firstLine="720"/>
        <w:rPr>
          <w:rFonts w:ascii="Arial" w:hAnsi="Arial" w:eastAsia="Calibri" w:cs="Arial"/>
          <w:szCs w:val="22"/>
          <w:lang w:val="en-IN"/>
        </w:rPr>
      </w:pPr>
      <w:r>
        <w:rPr>
          <w:rFonts w:ascii="Arial" w:hAnsi="Arial" w:eastAsia="Calibri" w:cs="Arial"/>
          <w:szCs w:val="22"/>
          <w:lang w:val="en-IN"/>
        </w:rPr>
        <w:t xml:space="preserve">The bacterial species </w:t>
      </w:r>
      <w:r>
        <w:rPr>
          <w:rFonts w:ascii="Arial" w:hAnsi="Arial" w:eastAsia="Calibri" w:cs="Arial"/>
          <w:i/>
          <w:iCs/>
          <w:szCs w:val="22"/>
          <w:lang w:val="en-IN"/>
        </w:rPr>
        <w:t>Yersinia entomophaga</w:t>
      </w:r>
      <w:r>
        <w:rPr>
          <w:rFonts w:ascii="Arial" w:hAnsi="Arial" w:eastAsia="Calibri" w:cs="Arial"/>
          <w:szCs w:val="22"/>
          <w:lang w:val="en-IN"/>
        </w:rPr>
        <w:t xml:space="preserve"> was initially discovered in infected larvae of the New Zealand grass grub, </w:t>
      </w:r>
      <w:r>
        <w:rPr>
          <w:rFonts w:ascii="Arial" w:hAnsi="Arial" w:eastAsia="Calibri" w:cs="Arial"/>
          <w:i/>
          <w:iCs/>
          <w:szCs w:val="22"/>
          <w:lang w:val="en-IN"/>
        </w:rPr>
        <w:t>Costelytra zealandica</w:t>
      </w:r>
      <w:r>
        <w:rPr>
          <w:rFonts w:ascii="Arial" w:hAnsi="Arial" w:eastAsia="Calibri" w:cs="Arial"/>
          <w:szCs w:val="22"/>
          <w:lang w:val="en-IN"/>
        </w:rPr>
        <w:t xml:space="preserve">. Following ingestion, </w:t>
      </w:r>
      <w:r>
        <w:rPr>
          <w:rFonts w:ascii="Arial" w:hAnsi="Arial" w:eastAsia="Calibri" w:cs="Arial"/>
          <w:i/>
          <w:iCs/>
          <w:szCs w:val="22"/>
          <w:lang w:val="en-IN"/>
        </w:rPr>
        <w:t>Y. entomophaga</w:t>
      </w:r>
      <w:r>
        <w:rPr>
          <w:rFonts w:ascii="Arial" w:hAnsi="Arial" w:eastAsia="Calibri" w:cs="Arial"/>
          <w:szCs w:val="22"/>
          <w:lang w:val="en-IN"/>
        </w:rPr>
        <w:t xml:space="preserve"> efficiently breaks down the larvae's gut epithelial membranes, leading to hemocoel invasion, septicemia, and eventual mortality. The lethal dose (LD50) of purified Tc protein from </w:t>
      </w:r>
      <w:r>
        <w:rPr>
          <w:rFonts w:ascii="Arial" w:hAnsi="Arial" w:eastAsia="Calibri" w:cs="Arial"/>
          <w:i/>
          <w:iCs/>
          <w:szCs w:val="22"/>
          <w:lang w:val="en-IN"/>
        </w:rPr>
        <w:t>Y. entomophaga</w:t>
      </w:r>
      <w:r>
        <w:rPr>
          <w:rFonts w:ascii="Arial" w:hAnsi="Arial" w:eastAsia="Calibri" w:cs="Arial"/>
          <w:szCs w:val="22"/>
          <w:lang w:val="en-IN"/>
        </w:rPr>
        <w:t xml:space="preserve"> has been determined as 50 ng for </w:t>
      </w:r>
      <w:r>
        <w:rPr>
          <w:rFonts w:ascii="Arial" w:hAnsi="Arial" w:eastAsia="Calibri" w:cs="Arial"/>
          <w:i/>
          <w:iCs/>
          <w:szCs w:val="22"/>
          <w:lang w:val="en-IN"/>
        </w:rPr>
        <w:t>C. zealandica</w:t>
      </w:r>
      <w:r>
        <w:rPr>
          <w:rFonts w:ascii="Arial" w:hAnsi="Arial" w:eastAsia="Calibri" w:cs="Arial"/>
          <w:szCs w:val="22"/>
          <w:lang w:val="en-IN"/>
        </w:rPr>
        <w:t xml:space="preserve"> larvae and 30 ng for larvae of the diamondback moth (</w:t>
      </w:r>
      <w:r>
        <w:rPr>
          <w:rFonts w:ascii="Arial" w:hAnsi="Arial" w:eastAsia="Calibri" w:cs="Arial"/>
          <w:i/>
          <w:iCs/>
          <w:szCs w:val="22"/>
          <w:lang w:val="en-IN"/>
        </w:rPr>
        <w:t>Plutella xylostella</w:t>
      </w:r>
      <w:r>
        <w:rPr>
          <w:rFonts w:ascii="Arial" w:hAnsi="Arial" w:eastAsia="Calibri" w:cs="Arial"/>
          <w:szCs w:val="22"/>
          <w:lang w:val="en-IN"/>
        </w:rPr>
        <w:t xml:space="preserve">) (Hurst </w:t>
      </w:r>
      <w:r>
        <w:rPr>
          <w:rFonts w:ascii="Arial" w:hAnsi="Arial" w:eastAsia="Calibri" w:cs="Arial"/>
          <w:i/>
          <w:iCs/>
          <w:szCs w:val="22"/>
          <w:lang w:val="en-IN"/>
        </w:rPr>
        <w:t>et al</w:t>
      </w:r>
      <w:r>
        <w:rPr>
          <w:rFonts w:ascii="Arial" w:hAnsi="Arial" w:eastAsia="Calibri" w:cs="Arial"/>
          <w:szCs w:val="22"/>
          <w:lang w:val="en-IN"/>
        </w:rPr>
        <w:t>., 2011)</w:t>
      </w:r>
      <w:r>
        <w:rPr>
          <w:rFonts w:ascii="Arial" w:hAnsi="Arial" w:eastAsia="Calibri" w:cs="Arial"/>
          <w:szCs w:val="22"/>
          <w:vertAlign w:val="superscript"/>
          <w:lang w:val="en-IN"/>
        </w:rPr>
        <w:t>27</w:t>
      </w:r>
      <w:r>
        <w:rPr>
          <w:rFonts w:ascii="Arial" w:hAnsi="Arial" w:eastAsia="Calibri" w:cs="Arial"/>
          <w:szCs w:val="22"/>
          <w:lang w:val="en-IN"/>
        </w:rPr>
        <w:t xml:space="preserve">. In a study by Hurst </w:t>
      </w:r>
      <w:r>
        <w:rPr>
          <w:rFonts w:ascii="Arial" w:hAnsi="Arial" w:eastAsia="Calibri" w:cs="Arial"/>
          <w:i/>
          <w:iCs/>
          <w:szCs w:val="22"/>
          <w:lang w:val="en-IN"/>
        </w:rPr>
        <w:t>et al</w:t>
      </w:r>
      <w:r>
        <w:rPr>
          <w:rFonts w:ascii="Arial" w:hAnsi="Arial" w:eastAsia="Calibri" w:cs="Arial"/>
          <w:szCs w:val="22"/>
          <w:lang w:val="en-IN"/>
        </w:rPr>
        <w:t>. (2020)</w:t>
      </w:r>
      <w:r>
        <w:rPr>
          <w:rFonts w:ascii="Arial" w:hAnsi="Arial" w:eastAsia="Calibri" w:cs="Arial"/>
          <w:szCs w:val="22"/>
          <w:vertAlign w:val="superscript"/>
          <w:lang w:val="en-IN"/>
        </w:rPr>
        <w:t>28</w:t>
      </w:r>
      <w:r>
        <w:rPr>
          <w:rFonts w:ascii="Arial" w:hAnsi="Arial" w:eastAsia="Calibri" w:cs="Arial"/>
          <w:szCs w:val="22"/>
          <w:lang w:val="en-IN"/>
        </w:rPr>
        <w:t xml:space="preserve">, a bait formulation of </w:t>
      </w:r>
      <w:r>
        <w:rPr>
          <w:rFonts w:ascii="Arial" w:hAnsi="Arial" w:eastAsia="Calibri" w:cs="Arial"/>
          <w:i/>
          <w:iCs/>
          <w:szCs w:val="22"/>
          <w:lang w:val="en-IN"/>
        </w:rPr>
        <w:t>Y. entomophaga</w:t>
      </w:r>
      <w:r>
        <w:rPr>
          <w:rFonts w:ascii="Arial" w:hAnsi="Arial" w:eastAsia="Calibri" w:cs="Arial"/>
          <w:szCs w:val="22"/>
          <w:lang w:val="en-IN"/>
        </w:rPr>
        <w:t xml:space="preserve"> was created to target porina moth (</w:t>
      </w:r>
      <w:r>
        <w:rPr>
          <w:rFonts w:ascii="Arial" w:hAnsi="Arial" w:eastAsia="Calibri" w:cs="Arial"/>
          <w:i/>
          <w:iCs/>
          <w:szCs w:val="22"/>
          <w:lang w:val="en-IN"/>
        </w:rPr>
        <w:t>Wiseana spp.</w:t>
      </w:r>
      <w:r>
        <w:rPr>
          <w:rFonts w:ascii="Arial" w:hAnsi="Arial" w:eastAsia="Calibri" w:cs="Arial"/>
          <w:szCs w:val="22"/>
          <w:lang w:val="en-IN"/>
        </w:rPr>
        <w:t xml:space="preserve">) larvae, resulting in a 65% decrease in larval density when applied at a rate of 87 kg per hectare. These results underscore the potential of </w:t>
      </w:r>
      <w:r>
        <w:rPr>
          <w:rFonts w:ascii="Arial" w:hAnsi="Arial" w:eastAsia="Calibri" w:cs="Arial"/>
          <w:i/>
          <w:iCs/>
          <w:szCs w:val="22"/>
          <w:lang w:val="en-IN"/>
        </w:rPr>
        <w:t>Y. entomophaga</w:t>
      </w:r>
      <w:r>
        <w:rPr>
          <w:rFonts w:ascii="Arial" w:hAnsi="Arial" w:eastAsia="Calibri" w:cs="Arial"/>
          <w:szCs w:val="22"/>
          <w:lang w:val="en-IN"/>
        </w:rPr>
        <w:t xml:space="preserve"> as a viable bioinsecticide for the control of significant agricultural pests.</w:t>
      </w:r>
    </w:p>
    <w:p w14:paraId="52C05DBA">
      <w:pPr>
        <w:pStyle w:val="22"/>
        <w:spacing w:after="0"/>
        <w:rPr>
          <w:rFonts w:ascii="Arial" w:hAnsi="Arial" w:eastAsia="Calibri" w:cs="Arial"/>
          <w:b/>
          <w:bCs/>
          <w:szCs w:val="22"/>
          <w:lang w:val="en-IN"/>
        </w:rPr>
      </w:pPr>
    </w:p>
    <w:p w14:paraId="0E2367D7">
      <w:pPr>
        <w:pStyle w:val="22"/>
        <w:spacing w:after="0"/>
        <w:rPr>
          <w:rFonts w:ascii="Arial" w:hAnsi="Arial" w:eastAsia="Calibri" w:cs="Arial"/>
          <w:b/>
          <w:bCs/>
          <w:szCs w:val="22"/>
          <w:lang w:val="en-IN"/>
        </w:rPr>
      </w:pPr>
      <w:r>
        <w:rPr>
          <w:rFonts w:ascii="Arial" w:hAnsi="Arial" w:eastAsia="Calibri" w:cs="Arial"/>
          <w:b/>
          <w:bCs/>
          <w:szCs w:val="22"/>
          <w:lang w:val="en-IN"/>
        </w:rPr>
        <w:t>2.2.4. Family:</w:t>
      </w:r>
      <w:r>
        <w:rPr>
          <w:rFonts w:ascii="Arial" w:hAnsi="Arial" w:eastAsia="Calibri" w:cs="Arial"/>
          <w:szCs w:val="22"/>
          <w:lang w:val="en-IN"/>
        </w:rPr>
        <w:t xml:space="preserve"> </w:t>
      </w:r>
      <w:r>
        <w:rPr>
          <w:rFonts w:ascii="Arial" w:hAnsi="Arial" w:eastAsia="Calibri" w:cs="Arial"/>
          <w:b/>
          <w:bCs/>
          <w:szCs w:val="22"/>
          <w:lang w:val="en-IN"/>
        </w:rPr>
        <w:t>Pseudomonadaceae</w:t>
      </w:r>
    </w:p>
    <w:p w14:paraId="7F4EE36B">
      <w:pPr>
        <w:pStyle w:val="22"/>
        <w:spacing w:after="0"/>
        <w:rPr>
          <w:rFonts w:ascii="Arial" w:hAnsi="Arial" w:eastAsia="Calibri" w:cs="Arial"/>
          <w:szCs w:val="22"/>
          <w:lang w:val="en-IN"/>
        </w:rPr>
      </w:pPr>
    </w:p>
    <w:p w14:paraId="7F5355AE">
      <w:pPr>
        <w:pStyle w:val="22"/>
        <w:spacing w:after="0"/>
        <w:ind w:firstLine="720"/>
        <w:rPr>
          <w:rFonts w:ascii="Arial" w:hAnsi="Arial" w:eastAsia="Calibri" w:cs="Arial"/>
          <w:szCs w:val="22"/>
          <w:lang w:val="en-IN"/>
        </w:rPr>
      </w:pPr>
      <w:r>
        <w:rPr>
          <w:rFonts w:ascii="Arial" w:hAnsi="Arial" w:eastAsia="Calibri" w:cs="Arial"/>
          <w:szCs w:val="22"/>
          <w:lang w:val="en-IN"/>
        </w:rPr>
        <w:t>Within the family Pseudomonadaceae, there exist aerobic, Gram-negative bacteria characterized by straight or curved rods with polar flagella. Numerous Pseudomonas species within this family have connections to insects, either as pathogens inducing insect diseases or as commensals inhabiting the insect's gut.</w:t>
      </w:r>
    </w:p>
    <w:p w14:paraId="74B679B7">
      <w:pPr>
        <w:pStyle w:val="22"/>
        <w:spacing w:after="0"/>
        <w:rPr>
          <w:rFonts w:ascii="Arial" w:hAnsi="Arial" w:eastAsia="Calibri" w:cs="Arial"/>
          <w:b/>
          <w:bCs/>
          <w:szCs w:val="22"/>
          <w:lang w:val="en-IN"/>
        </w:rPr>
      </w:pPr>
    </w:p>
    <w:p w14:paraId="3B0AE55A">
      <w:pPr>
        <w:pStyle w:val="22"/>
        <w:spacing w:after="0"/>
        <w:rPr>
          <w:rFonts w:ascii="Arial" w:hAnsi="Arial" w:eastAsia="Calibri" w:cs="Arial"/>
          <w:b/>
          <w:bCs/>
          <w:szCs w:val="22"/>
          <w:lang w:val="en-IN"/>
        </w:rPr>
      </w:pPr>
      <w:r>
        <w:rPr>
          <w:rFonts w:ascii="Arial" w:hAnsi="Arial" w:eastAsia="Calibri" w:cs="Arial"/>
          <w:szCs w:val="22"/>
          <w:lang w:val="en-IN"/>
        </w:rPr>
        <w:t xml:space="preserve">2.2.4.1. </w:t>
      </w:r>
      <w:r>
        <w:rPr>
          <w:rFonts w:ascii="Arial" w:hAnsi="Arial" w:eastAsia="Calibri" w:cs="Arial"/>
          <w:i/>
          <w:iCs/>
          <w:szCs w:val="22"/>
          <w:lang w:val="en-IN"/>
        </w:rPr>
        <w:t>Pseudomonas</w:t>
      </w:r>
      <w:r>
        <w:rPr>
          <w:rFonts w:ascii="Arial" w:hAnsi="Arial" w:eastAsia="Calibri" w:cs="Arial"/>
          <w:szCs w:val="22"/>
          <w:lang w:val="en-IN"/>
        </w:rPr>
        <w:t xml:space="preserve"> spp</w:t>
      </w:r>
      <w:r>
        <w:rPr>
          <w:rFonts w:ascii="Arial" w:hAnsi="Arial" w:eastAsia="Calibri" w:cs="Arial"/>
          <w:b/>
          <w:bCs/>
          <w:szCs w:val="22"/>
          <w:lang w:val="en-IN"/>
        </w:rPr>
        <w:t>.</w:t>
      </w:r>
    </w:p>
    <w:p w14:paraId="2639A26B">
      <w:pPr>
        <w:pStyle w:val="22"/>
        <w:spacing w:after="0"/>
        <w:ind w:firstLine="720"/>
        <w:rPr>
          <w:rFonts w:ascii="Arial" w:hAnsi="Arial" w:eastAsia="Calibri" w:cs="Arial"/>
          <w:i/>
          <w:iCs/>
          <w:szCs w:val="22"/>
          <w:lang w:val="en-IN"/>
        </w:rPr>
      </w:pPr>
    </w:p>
    <w:p w14:paraId="2C0D9253">
      <w:pPr>
        <w:pStyle w:val="22"/>
        <w:spacing w:after="0"/>
        <w:ind w:firstLine="720"/>
        <w:rPr>
          <w:rFonts w:ascii="Arial" w:hAnsi="Arial" w:eastAsia="Calibri" w:cs="Arial"/>
          <w:szCs w:val="22"/>
          <w:lang w:val="en-IN"/>
        </w:rPr>
      </w:pPr>
      <w:r>
        <w:rPr>
          <w:rFonts w:ascii="Arial" w:hAnsi="Arial" w:eastAsia="Calibri" w:cs="Arial"/>
          <w:i/>
          <w:iCs/>
          <w:szCs w:val="22"/>
          <w:lang w:val="en-IN"/>
        </w:rPr>
        <w:t>Pseudomonas entomophila</w:t>
      </w:r>
      <w:r>
        <w:rPr>
          <w:rFonts w:ascii="Arial" w:hAnsi="Arial" w:eastAsia="Calibri" w:cs="Arial"/>
          <w:szCs w:val="22"/>
          <w:lang w:val="en-IN"/>
        </w:rPr>
        <w:t xml:space="preserve"> distinguishes itself among Pseudomonas species due to its natural capacity to infect and kill insects upon consumption. First identified in 2005, </w:t>
      </w:r>
      <w:r>
        <w:rPr>
          <w:rFonts w:ascii="Arial" w:hAnsi="Arial" w:eastAsia="Calibri" w:cs="Arial"/>
          <w:i/>
          <w:iCs/>
          <w:szCs w:val="22"/>
          <w:lang w:val="en-IN"/>
        </w:rPr>
        <w:t>P. entomophila</w:t>
      </w:r>
      <w:r>
        <w:rPr>
          <w:rFonts w:ascii="Arial" w:hAnsi="Arial" w:eastAsia="Calibri" w:cs="Arial"/>
          <w:szCs w:val="22"/>
          <w:lang w:val="en-IN"/>
        </w:rPr>
        <w:t xml:space="preserve"> has emerged as a key model for investigating insect-microbe interactions. Initially isolated from a lone </w:t>
      </w:r>
      <w:r>
        <w:rPr>
          <w:rFonts w:ascii="Arial" w:hAnsi="Arial" w:eastAsia="Calibri" w:cs="Arial"/>
          <w:i/>
          <w:iCs/>
          <w:szCs w:val="22"/>
          <w:lang w:val="en-IN"/>
        </w:rPr>
        <w:t>Drosophila melanogaster</w:t>
      </w:r>
      <w:r>
        <w:rPr>
          <w:rFonts w:ascii="Arial" w:hAnsi="Arial" w:eastAsia="Calibri" w:cs="Arial"/>
          <w:szCs w:val="22"/>
          <w:lang w:val="en-IN"/>
        </w:rPr>
        <w:t xml:space="preserve"> female in Guadeloupe, this bacterium, designated as strain L48T, displayed entomopathogenic traits and was subsequently classified as </w:t>
      </w:r>
      <w:r>
        <w:rPr>
          <w:rFonts w:ascii="Arial" w:hAnsi="Arial" w:eastAsia="Calibri" w:cs="Arial"/>
          <w:i/>
          <w:iCs/>
          <w:szCs w:val="22"/>
          <w:lang w:val="en-IN"/>
        </w:rPr>
        <w:t>P. entomophila</w:t>
      </w:r>
      <w:r>
        <w:rPr>
          <w:rFonts w:ascii="Arial" w:hAnsi="Arial" w:eastAsia="Calibri" w:cs="Arial"/>
          <w:szCs w:val="22"/>
          <w:lang w:val="en-IN"/>
        </w:rPr>
        <w:t xml:space="preserve">. Ingestion of </w:t>
      </w:r>
      <w:r>
        <w:rPr>
          <w:rFonts w:ascii="Arial" w:hAnsi="Arial" w:eastAsia="Calibri" w:cs="Arial"/>
          <w:i/>
          <w:iCs/>
          <w:szCs w:val="22"/>
          <w:lang w:val="en-IN"/>
        </w:rPr>
        <w:t xml:space="preserve">P. entomophila </w:t>
      </w:r>
      <w:r>
        <w:rPr>
          <w:rFonts w:ascii="Arial" w:hAnsi="Arial" w:eastAsia="Calibri" w:cs="Arial"/>
          <w:szCs w:val="22"/>
          <w:lang w:val="en-IN"/>
        </w:rPr>
        <w:t xml:space="preserve">triggers a systemic immune response in susceptible insects, affecting both larvae and adult stages. Wang </w:t>
      </w:r>
      <w:r>
        <w:rPr>
          <w:rFonts w:ascii="Arial" w:hAnsi="Arial" w:eastAsia="Calibri" w:cs="Arial"/>
          <w:i/>
          <w:iCs/>
          <w:szCs w:val="22"/>
          <w:lang w:val="en-IN"/>
        </w:rPr>
        <w:t>et al</w:t>
      </w:r>
      <w:r>
        <w:rPr>
          <w:rFonts w:ascii="Arial" w:hAnsi="Arial" w:eastAsia="Calibri" w:cs="Arial"/>
          <w:szCs w:val="22"/>
          <w:lang w:val="en-IN"/>
        </w:rPr>
        <w:t>. (2021)</w:t>
      </w:r>
      <w:r>
        <w:rPr>
          <w:rFonts w:ascii="Arial" w:hAnsi="Arial" w:eastAsia="Calibri" w:cs="Arial"/>
          <w:szCs w:val="22"/>
          <w:vertAlign w:val="superscript"/>
          <w:lang w:val="en-IN"/>
        </w:rPr>
        <w:t>29</w:t>
      </w:r>
      <w:r>
        <w:rPr>
          <w:rFonts w:ascii="Arial" w:hAnsi="Arial" w:eastAsia="Calibri" w:cs="Arial"/>
          <w:szCs w:val="22"/>
          <w:lang w:val="en-IN"/>
        </w:rPr>
        <w:t xml:space="preserve"> discovered and characterized a strain of </w:t>
      </w:r>
      <w:r>
        <w:rPr>
          <w:rFonts w:ascii="Arial" w:hAnsi="Arial" w:eastAsia="Calibri" w:cs="Arial"/>
          <w:i/>
          <w:iCs/>
          <w:szCs w:val="22"/>
          <w:lang w:val="en-IN"/>
        </w:rPr>
        <w:t>P. entomophila</w:t>
      </w:r>
      <w:r>
        <w:rPr>
          <w:rFonts w:ascii="Arial" w:hAnsi="Arial" w:eastAsia="Calibri" w:cs="Arial"/>
          <w:szCs w:val="22"/>
          <w:lang w:val="en-IN"/>
        </w:rPr>
        <w:t xml:space="preserve"> (CSHH2) and conducted bioassays that exhibited substantial insecticidal effects against second instar larvae of </w:t>
      </w:r>
      <w:r>
        <w:rPr>
          <w:rFonts w:ascii="Arial" w:hAnsi="Arial" w:eastAsia="Calibri" w:cs="Arial"/>
          <w:i/>
          <w:iCs/>
          <w:szCs w:val="22"/>
          <w:lang w:val="en-IN"/>
        </w:rPr>
        <w:t>Monochamus alternatus</w:t>
      </w:r>
      <w:r>
        <w:rPr>
          <w:rFonts w:ascii="Arial" w:hAnsi="Arial" w:eastAsia="Calibri" w:cs="Arial"/>
          <w:szCs w:val="22"/>
          <w:lang w:val="en-IN"/>
        </w:rPr>
        <w:t>, with efficacy evident at 10 days post-treatment.</w:t>
      </w:r>
    </w:p>
    <w:p w14:paraId="19E65200">
      <w:pPr>
        <w:pStyle w:val="22"/>
        <w:spacing w:after="0"/>
        <w:rPr>
          <w:rFonts w:ascii="Arial" w:hAnsi="Arial" w:eastAsia="Calibri" w:cs="Arial"/>
          <w:szCs w:val="22"/>
          <w:lang w:val="en-IN"/>
        </w:rPr>
      </w:pPr>
    </w:p>
    <w:p w14:paraId="1FB351D2">
      <w:pPr>
        <w:pStyle w:val="22"/>
        <w:spacing w:after="0"/>
        <w:ind w:firstLine="720"/>
        <w:rPr>
          <w:rFonts w:ascii="Arial" w:hAnsi="Arial" w:eastAsia="Calibri" w:cs="Arial"/>
          <w:szCs w:val="22"/>
          <w:lang w:val="en-IN"/>
        </w:rPr>
      </w:pPr>
      <w:r>
        <w:rPr>
          <w:rFonts w:ascii="Arial" w:hAnsi="Arial" w:eastAsia="Calibri" w:cs="Arial"/>
          <w:szCs w:val="22"/>
          <w:lang w:val="en-IN"/>
        </w:rPr>
        <w:t xml:space="preserve">Various strains of </w:t>
      </w:r>
      <w:r>
        <w:rPr>
          <w:rFonts w:ascii="Arial" w:hAnsi="Arial" w:eastAsia="Calibri" w:cs="Arial"/>
          <w:i/>
          <w:iCs/>
          <w:szCs w:val="22"/>
          <w:lang w:val="en-IN"/>
        </w:rPr>
        <w:t>Pseudomonas</w:t>
      </w:r>
      <w:r>
        <w:rPr>
          <w:rFonts w:ascii="Arial" w:hAnsi="Arial" w:eastAsia="Calibri" w:cs="Arial"/>
          <w:szCs w:val="22"/>
          <w:lang w:val="en-IN"/>
        </w:rPr>
        <w:t xml:space="preserve"> species have been assessed for their entomopathogenic potential against fifth instar larvae of the migratory locust, </w:t>
      </w:r>
      <w:r>
        <w:rPr>
          <w:rFonts w:ascii="Arial" w:hAnsi="Arial" w:eastAsia="Calibri" w:cs="Arial"/>
          <w:i/>
          <w:iCs/>
          <w:szCs w:val="22"/>
          <w:lang w:val="en-IN"/>
        </w:rPr>
        <w:t>Locusta migratoria</w:t>
      </w:r>
      <w:r>
        <w:rPr>
          <w:rFonts w:ascii="Arial" w:hAnsi="Arial" w:eastAsia="Calibri" w:cs="Arial"/>
          <w:szCs w:val="22"/>
          <w:lang w:val="en-IN"/>
        </w:rPr>
        <w:t xml:space="preserve">. A week after treatment, nymphs treated with </w:t>
      </w:r>
      <w:r>
        <w:rPr>
          <w:rFonts w:ascii="Arial" w:hAnsi="Arial" w:eastAsia="Calibri" w:cs="Arial"/>
          <w:i/>
          <w:iCs/>
          <w:szCs w:val="22"/>
          <w:lang w:val="en-IN"/>
        </w:rPr>
        <w:t>Pseudomonas</w:t>
      </w:r>
      <w:r>
        <w:rPr>
          <w:rFonts w:ascii="Arial" w:hAnsi="Arial" w:eastAsia="Calibri" w:cs="Arial"/>
          <w:szCs w:val="22"/>
          <w:lang w:val="en-IN"/>
        </w:rPr>
        <w:t xml:space="preserve"> strains B3 (HF911369) and B4 (HF911366) displayed mortality rates of 100% and 98%, respectively</w:t>
      </w:r>
      <w:r>
        <w:rPr>
          <w:rFonts w:ascii="Arial" w:hAnsi="Arial" w:eastAsia="Calibri" w:cs="Arial"/>
          <w:szCs w:val="22"/>
          <w:vertAlign w:val="superscript"/>
          <w:lang w:val="en-IN"/>
        </w:rPr>
        <w:t>30</w:t>
      </w:r>
      <w:r>
        <w:rPr>
          <w:rFonts w:ascii="Arial" w:hAnsi="Arial" w:eastAsia="Calibri" w:cs="Arial"/>
          <w:szCs w:val="22"/>
          <w:lang w:val="en-IN"/>
        </w:rPr>
        <w:t xml:space="preserve"> (Mohandkaci </w:t>
      </w:r>
      <w:r>
        <w:rPr>
          <w:rFonts w:ascii="Arial" w:hAnsi="Arial" w:eastAsia="Calibri" w:cs="Arial"/>
          <w:i/>
          <w:iCs/>
          <w:szCs w:val="22"/>
          <w:lang w:val="en-IN"/>
        </w:rPr>
        <w:t>et al</w:t>
      </w:r>
      <w:r>
        <w:rPr>
          <w:rFonts w:ascii="Arial" w:hAnsi="Arial" w:eastAsia="Calibri" w:cs="Arial"/>
          <w:szCs w:val="22"/>
          <w:lang w:val="en-IN"/>
        </w:rPr>
        <w:t xml:space="preserve">., 2015). Furthermore, </w:t>
      </w:r>
      <w:r>
        <w:rPr>
          <w:rFonts w:ascii="Arial" w:hAnsi="Arial" w:eastAsia="Calibri" w:cs="Arial"/>
          <w:i/>
          <w:iCs/>
          <w:szCs w:val="22"/>
          <w:lang w:val="en-IN"/>
        </w:rPr>
        <w:t>Pseudomonas aeruginosa</w:t>
      </w:r>
      <w:r>
        <w:rPr>
          <w:rFonts w:ascii="Arial" w:hAnsi="Arial" w:eastAsia="Calibri" w:cs="Arial"/>
          <w:szCs w:val="22"/>
          <w:lang w:val="en-IN"/>
        </w:rPr>
        <w:t xml:space="preserve"> isolated from deceased larvae of the epilachna beetle (</w:t>
      </w:r>
      <w:r>
        <w:rPr>
          <w:rFonts w:ascii="Arial" w:hAnsi="Arial" w:eastAsia="Calibri" w:cs="Arial"/>
          <w:i/>
          <w:iCs/>
          <w:szCs w:val="22"/>
          <w:lang w:val="en-IN"/>
        </w:rPr>
        <w:t>Henosepilachna vigintioctopunctata</w:t>
      </w:r>
      <w:r>
        <w:rPr>
          <w:rFonts w:ascii="Arial" w:hAnsi="Arial" w:eastAsia="Calibri" w:cs="Arial"/>
          <w:szCs w:val="22"/>
          <w:lang w:val="en-IN"/>
        </w:rPr>
        <w:t xml:space="preserve">) was responsible for mortality in 73.01% of these grubs </w:t>
      </w:r>
      <w:r>
        <w:rPr>
          <w:rFonts w:ascii="Arial" w:hAnsi="Arial" w:eastAsia="Calibri" w:cs="Arial"/>
          <w:szCs w:val="22"/>
          <w:vertAlign w:val="superscript"/>
          <w:lang w:val="en-IN"/>
        </w:rPr>
        <w:t>25</w:t>
      </w:r>
      <w:r>
        <w:rPr>
          <w:rFonts w:ascii="Arial" w:hAnsi="Arial" w:eastAsia="Calibri" w:cs="Arial"/>
          <w:szCs w:val="22"/>
          <w:lang w:val="en-IN"/>
        </w:rPr>
        <w:t xml:space="preserve">(Aswathy, 2015). These results emphasize the potential efficacy of diverse </w:t>
      </w:r>
      <w:r>
        <w:rPr>
          <w:rFonts w:ascii="Arial" w:hAnsi="Arial" w:eastAsia="Calibri" w:cs="Arial"/>
          <w:i/>
          <w:iCs/>
          <w:szCs w:val="22"/>
          <w:lang w:val="en-IN"/>
        </w:rPr>
        <w:t xml:space="preserve">Pseudomonas </w:t>
      </w:r>
      <w:r>
        <w:rPr>
          <w:rFonts w:ascii="Arial" w:hAnsi="Arial" w:eastAsia="Calibri" w:cs="Arial"/>
          <w:szCs w:val="22"/>
          <w:lang w:val="en-IN"/>
        </w:rPr>
        <w:t>strains as efficient biocontrol agents against insect pests.</w:t>
      </w:r>
    </w:p>
    <w:p w14:paraId="0ACA374D">
      <w:pPr>
        <w:pStyle w:val="22"/>
        <w:spacing w:after="0"/>
        <w:rPr>
          <w:rFonts w:ascii="Arial" w:hAnsi="Arial" w:eastAsia="Calibri" w:cs="Arial"/>
          <w:b/>
          <w:bCs/>
          <w:szCs w:val="22"/>
          <w:lang w:val="en-IN"/>
        </w:rPr>
      </w:pPr>
    </w:p>
    <w:p w14:paraId="3D56ACB2">
      <w:pPr>
        <w:pStyle w:val="22"/>
        <w:spacing w:after="0"/>
        <w:rPr>
          <w:rFonts w:ascii="Arial" w:hAnsi="Arial" w:eastAsia="Calibri" w:cs="Arial"/>
          <w:b/>
          <w:bCs/>
          <w:szCs w:val="22"/>
          <w:lang w:val="en-IN"/>
        </w:rPr>
      </w:pPr>
      <w:r>
        <w:rPr>
          <w:rFonts w:ascii="Arial" w:hAnsi="Arial" w:eastAsia="Calibri" w:cs="Arial"/>
          <w:b/>
          <w:bCs/>
          <w:szCs w:val="22"/>
          <w:lang w:val="en-IN"/>
        </w:rPr>
        <w:t>2.2.5</w:t>
      </w:r>
      <w:r>
        <w:rPr>
          <w:rFonts w:ascii="Arial" w:hAnsi="Arial" w:eastAsia="Calibri" w:cs="Arial"/>
          <w:szCs w:val="22"/>
          <w:lang w:val="en-IN"/>
        </w:rPr>
        <w:t xml:space="preserve"> </w:t>
      </w:r>
      <w:r>
        <w:rPr>
          <w:rFonts w:ascii="Arial" w:hAnsi="Arial" w:eastAsia="Calibri" w:cs="Arial"/>
          <w:b/>
          <w:bCs/>
          <w:szCs w:val="22"/>
          <w:lang w:val="en-IN"/>
        </w:rPr>
        <w:t xml:space="preserve">Bacteria associated with nematodes </w:t>
      </w:r>
    </w:p>
    <w:p w14:paraId="3D88A4F7">
      <w:pPr>
        <w:pStyle w:val="22"/>
        <w:spacing w:after="0"/>
        <w:rPr>
          <w:rFonts w:ascii="Arial" w:hAnsi="Arial" w:eastAsia="Calibri" w:cs="Arial"/>
          <w:szCs w:val="22"/>
          <w:lang w:val="en-IN"/>
        </w:rPr>
      </w:pPr>
    </w:p>
    <w:p w14:paraId="412C0679">
      <w:pPr>
        <w:pStyle w:val="22"/>
        <w:spacing w:after="0"/>
        <w:ind w:firstLine="720"/>
        <w:rPr>
          <w:rFonts w:ascii="Arial" w:hAnsi="Arial" w:eastAsia="Calibri" w:cs="Arial"/>
          <w:szCs w:val="22"/>
          <w:lang w:val="en-IN"/>
        </w:rPr>
      </w:pPr>
      <w:r>
        <w:rPr>
          <w:rFonts w:ascii="Arial" w:hAnsi="Arial" w:eastAsia="Calibri" w:cs="Arial"/>
          <w:szCs w:val="22"/>
          <w:lang w:val="en-IN"/>
        </w:rPr>
        <w:t xml:space="preserve">Bacteria associated with nematodes play crucial roles in various ecological interactions, particularly in the context of entomopathogenic nematodes (EPNs). These nematodes form symbiotic associations with specific bacteria, primarily from the genera </w:t>
      </w:r>
      <w:r>
        <w:rPr>
          <w:rFonts w:ascii="Arial" w:hAnsi="Arial" w:eastAsia="Calibri" w:cs="Arial"/>
          <w:i/>
          <w:iCs/>
          <w:szCs w:val="22"/>
          <w:lang w:val="en-IN"/>
        </w:rPr>
        <w:t>Photorhabdus</w:t>
      </w:r>
      <w:r>
        <w:rPr>
          <w:rFonts w:ascii="Arial" w:hAnsi="Arial" w:eastAsia="Calibri" w:cs="Arial"/>
          <w:szCs w:val="22"/>
          <w:lang w:val="en-IN"/>
        </w:rPr>
        <w:t xml:space="preserve"> and </w:t>
      </w:r>
      <w:r>
        <w:rPr>
          <w:rFonts w:ascii="Arial" w:hAnsi="Arial" w:eastAsia="Calibri" w:cs="Arial"/>
          <w:i/>
          <w:iCs/>
          <w:szCs w:val="22"/>
          <w:lang w:val="en-IN"/>
        </w:rPr>
        <w:t>Xenorhabdus</w:t>
      </w:r>
      <w:r>
        <w:rPr>
          <w:rFonts w:ascii="Arial" w:hAnsi="Arial" w:eastAsia="Calibri" w:cs="Arial"/>
          <w:szCs w:val="22"/>
          <w:lang w:val="en-IN"/>
        </w:rPr>
        <w:t>, which are essential for the nematode's ability to infect and kill insect hosts. Upon entering an insect host, the nematode releases its associated bacteria, which then multiply and produce virulence factors that contribute to insect mortality.</w:t>
      </w:r>
    </w:p>
    <w:p w14:paraId="39998E9E">
      <w:pPr>
        <w:pStyle w:val="22"/>
        <w:spacing w:after="0"/>
        <w:rPr>
          <w:rFonts w:ascii="Arial" w:hAnsi="Arial" w:eastAsia="Calibri" w:cs="Arial"/>
          <w:b/>
          <w:bCs/>
          <w:szCs w:val="22"/>
          <w:lang w:val="en-IN"/>
        </w:rPr>
      </w:pPr>
    </w:p>
    <w:p w14:paraId="510139AE">
      <w:pPr>
        <w:pStyle w:val="22"/>
        <w:spacing w:after="0"/>
        <w:rPr>
          <w:rFonts w:ascii="Arial" w:hAnsi="Arial" w:eastAsia="Calibri" w:cs="Arial"/>
          <w:i/>
          <w:iCs/>
          <w:szCs w:val="22"/>
          <w:lang w:val="en-IN"/>
        </w:rPr>
      </w:pPr>
      <w:r>
        <w:rPr>
          <w:rFonts w:ascii="Arial" w:hAnsi="Arial" w:eastAsia="Calibri" w:cs="Arial"/>
          <w:i/>
          <w:iCs/>
          <w:szCs w:val="22"/>
          <w:lang w:val="en-IN"/>
        </w:rPr>
        <w:t>2.2.5.1. Photorhabdus luminescens</w:t>
      </w:r>
    </w:p>
    <w:p w14:paraId="09BB0D2F">
      <w:pPr>
        <w:pStyle w:val="22"/>
        <w:spacing w:after="0"/>
        <w:ind w:firstLine="720"/>
        <w:rPr>
          <w:rFonts w:ascii="Arial" w:hAnsi="Arial" w:eastAsia="Calibri" w:cs="Arial"/>
          <w:i/>
          <w:iCs/>
          <w:szCs w:val="22"/>
          <w:lang w:val="en-IN"/>
        </w:rPr>
      </w:pPr>
    </w:p>
    <w:p w14:paraId="370EAD5D">
      <w:pPr>
        <w:pStyle w:val="22"/>
        <w:spacing w:after="0"/>
        <w:ind w:firstLine="720"/>
        <w:rPr>
          <w:rFonts w:ascii="Arial" w:hAnsi="Arial" w:eastAsia="Calibri" w:cs="Arial"/>
          <w:szCs w:val="22"/>
          <w:lang w:val="en-IN"/>
        </w:rPr>
      </w:pPr>
      <w:r>
        <w:rPr>
          <w:rFonts w:ascii="Arial" w:hAnsi="Arial" w:eastAsia="Calibri" w:cs="Arial"/>
          <w:i/>
          <w:iCs/>
          <w:szCs w:val="22"/>
          <w:lang w:val="en-IN"/>
        </w:rPr>
        <w:t>Photorhabdus luminescens</w:t>
      </w:r>
      <w:r>
        <w:rPr>
          <w:rFonts w:ascii="Arial" w:hAnsi="Arial" w:eastAsia="Calibri" w:cs="Arial"/>
          <w:szCs w:val="22"/>
          <w:lang w:val="en-IN"/>
        </w:rPr>
        <w:t xml:space="preserve"> is categorized as a Gram-negative bacterium that engages in a mutualistic relationship and falls under the Gamma proteobacteria group. It is commonly found in the intestinal tract of entomopathogenic nematodes affiliated with the Heterorhabditidae family. The bacterium, alongside its symbiotic nematodes, exhibits significant pathogenicity towards insects. Following the invasion of an insect host by the nematode, </w:t>
      </w:r>
      <w:r>
        <w:rPr>
          <w:rFonts w:ascii="Arial" w:hAnsi="Arial" w:eastAsia="Calibri" w:cs="Arial"/>
          <w:i/>
          <w:iCs/>
          <w:szCs w:val="22"/>
          <w:lang w:val="en-IN"/>
        </w:rPr>
        <w:t>P. luminescens</w:t>
      </w:r>
      <w:r>
        <w:rPr>
          <w:rFonts w:ascii="Arial" w:hAnsi="Arial" w:eastAsia="Calibri" w:cs="Arial"/>
          <w:szCs w:val="22"/>
          <w:lang w:val="en-IN"/>
        </w:rPr>
        <w:t xml:space="preserve"> is discharged into the hemocoel, where it releases enzymes and high-molecular-weight toxin complexes (Tc) responsible for decomposing and transforming the insect's body into nourishing substances. This mechanism serves as a source of sustenance for both the nematode and the bacterium. Shawer </w:t>
      </w:r>
      <w:r>
        <w:rPr>
          <w:rFonts w:ascii="Arial" w:hAnsi="Arial" w:eastAsia="Calibri" w:cs="Arial"/>
          <w:i/>
          <w:iCs/>
          <w:szCs w:val="22"/>
          <w:lang w:val="en-IN"/>
        </w:rPr>
        <w:t>et al</w:t>
      </w:r>
      <w:r>
        <w:rPr>
          <w:rFonts w:ascii="Arial" w:hAnsi="Arial" w:eastAsia="Calibri" w:cs="Arial"/>
          <w:szCs w:val="22"/>
          <w:lang w:val="en-IN"/>
        </w:rPr>
        <w:t>. (2018)</w:t>
      </w:r>
      <w:r>
        <w:rPr>
          <w:rFonts w:ascii="Arial" w:hAnsi="Arial" w:eastAsia="Calibri" w:cs="Arial"/>
          <w:szCs w:val="22"/>
          <w:vertAlign w:val="superscript"/>
          <w:lang w:val="en-IN"/>
        </w:rPr>
        <w:t>31</w:t>
      </w:r>
      <w:r>
        <w:rPr>
          <w:rFonts w:ascii="Arial" w:hAnsi="Arial" w:eastAsia="Calibri" w:cs="Arial"/>
          <w:szCs w:val="22"/>
          <w:lang w:val="en-IN"/>
        </w:rPr>
        <w:t xml:space="preserve"> conducted a study showcasing the insecticidal efficacy of </w:t>
      </w:r>
      <w:r>
        <w:rPr>
          <w:rFonts w:ascii="Arial" w:hAnsi="Arial" w:eastAsia="Calibri" w:cs="Arial"/>
          <w:i/>
          <w:iCs/>
          <w:szCs w:val="22"/>
          <w:lang w:val="en-IN"/>
        </w:rPr>
        <w:t>P. luminescens</w:t>
      </w:r>
      <w:r>
        <w:rPr>
          <w:rFonts w:ascii="Arial" w:hAnsi="Arial" w:eastAsia="Calibri" w:cs="Arial"/>
          <w:szCs w:val="22"/>
          <w:lang w:val="en-IN"/>
        </w:rPr>
        <w:t xml:space="preserve"> against </w:t>
      </w:r>
      <w:r>
        <w:rPr>
          <w:rFonts w:ascii="Arial" w:hAnsi="Arial" w:eastAsia="Calibri" w:cs="Arial"/>
          <w:i/>
          <w:iCs/>
          <w:szCs w:val="22"/>
          <w:lang w:val="en-IN"/>
        </w:rPr>
        <w:t>Drosophila suzukii</w:t>
      </w:r>
      <w:r>
        <w:rPr>
          <w:rFonts w:ascii="Arial" w:hAnsi="Arial" w:eastAsia="Calibri" w:cs="Arial"/>
          <w:szCs w:val="22"/>
          <w:lang w:val="en-IN"/>
        </w:rPr>
        <w:t xml:space="preserve"> at different concentrations, resulting in mortality rates varying from 86.7% to 100% across distinct developmental phases of the insect. These outcomes underscore the potent insecticidal attributes of </w:t>
      </w:r>
      <w:r>
        <w:rPr>
          <w:rFonts w:ascii="Arial" w:hAnsi="Arial" w:eastAsia="Calibri" w:cs="Arial"/>
          <w:i/>
          <w:iCs/>
          <w:szCs w:val="22"/>
          <w:lang w:val="en-IN"/>
        </w:rPr>
        <w:t>P. luminescens</w:t>
      </w:r>
      <w:r>
        <w:rPr>
          <w:rFonts w:ascii="Arial" w:hAnsi="Arial" w:eastAsia="Calibri" w:cs="Arial"/>
          <w:szCs w:val="22"/>
          <w:lang w:val="en-IN"/>
        </w:rPr>
        <w:t xml:space="preserve"> and its significance in the realm of biological tactics targeting insect pests.</w:t>
      </w:r>
    </w:p>
    <w:p w14:paraId="0FFB9846">
      <w:pPr>
        <w:pStyle w:val="22"/>
        <w:spacing w:after="0"/>
        <w:rPr>
          <w:rFonts w:ascii="Arial" w:hAnsi="Arial" w:eastAsia="Calibri" w:cs="Arial"/>
          <w:b/>
          <w:bCs/>
          <w:szCs w:val="22"/>
          <w:lang w:val="en-IN"/>
        </w:rPr>
      </w:pPr>
    </w:p>
    <w:p w14:paraId="491DAADE">
      <w:pPr>
        <w:pStyle w:val="22"/>
        <w:spacing w:after="0"/>
        <w:rPr>
          <w:rFonts w:ascii="Arial" w:hAnsi="Arial" w:eastAsia="Calibri" w:cs="Arial"/>
          <w:i/>
          <w:iCs/>
          <w:szCs w:val="22"/>
          <w:lang w:val="en-IN"/>
        </w:rPr>
      </w:pPr>
      <w:r>
        <w:rPr>
          <w:rFonts w:ascii="Arial" w:hAnsi="Arial" w:eastAsia="Calibri" w:cs="Arial"/>
          <w:i/>
          <w:iCs/>
          <w:szCs w:val="22"/>
          <w:lang w:val="en-IN"/>
        </w:rPr>
        <w:t>2.2.5.2. Xenorhabdus nematophilus</w:t>
      </w:r>
    </w:p>
    <w:p w14:paraId="2269C6D8">
      <w:pPr>
        <w:pStyle w:val="22"/>
        <w:spacing w:after="0"/>
        <w:rPr>
          <w:rFonts w:ascii="Arial" w:hAnsi="Arial" w:eastAsia="Calibri" w:cs="Arial"/>
          <w:i/>
          <w:iCs/>
          <w:szCs w:val="22"/>
          <w:lang w:val="en-IN"/>
        </w:rPr>
      </w:pPr>
    </w:p>
    <w:p w14:paraId="1230D793">
      <w:pPr>
        <w:pStyle w:val="22"/>
        <w:spacing w:after="0"/>
        <w:ind w:firstLine="720"/>
        <w:rPr>
          <w:rFonts w:ascii="Arial" w:hAnsi="Arial" w:eastAsia="Calibri" w:cs="Arial"/>
          <w:i/>
          <w:iCs/>
          <w:szCs w:val="22"/>
          <w:lang w:val="en-IN"/>
        </w:rPr>
      </w:pPr>
      <w:r>
        <w:rPr>
          <w:rFonts w:ascii="Arial" w:hAnsi="Arial" w:eastAsia="Calibri" w:cs="Arial"/>
          <w:i/>
          <w:iCs/>
          <w:szCs w:val="22"/>
          <w:lang w:val="en-IN"/>
        </w:rPr>
        <w:t xml:space="preserve">Xenorhabdus nematophilus </w:t>
      </w:r>
      <w:r>
        <w:rPr>
          <w:rFonts w:ascii="Arial" w:hAnsi="Arial" w:eastAsia="Calibri" w:cs="Arial"/>
          <w:szCs w:val="22"/>
          <w:lang w:val="en-IN"/>
        </w:rPr>
        <w:t>is identified as a Gram-negative bacterium primarily inhabiting the digestive system of soil nematodes affiliated with the genus</w:t>
      </w:r>
      <w:r>
        <w:rPr>
          <w:rFonts w:ascii="Arial" w:hAnsi="Arial" w:eastAsia="Calibri" w:cs="Arial"/>
          <w:i/>
          <w:iCs/>
          <w:szCs w:val="22"/>
          <w:lang w:val="en-IN"/>
        </w:rPr>
        <w:t xml:space="preserve"> Steinernema, </w:t>
      </w:r>
      <w:r>
        <w:rPr>
          <w:rFonts w:ascii="Arial" w:hAnsi="Arial" w:eastAsia="Calibri" w:cs="Arial"/>
          <w:szCs w:val="22"/>
          <w:lang w:val="en-IN"/>
        </w:rPr>
        <w:t xml:space="preserve">thereby establishing a symbiotic bond. This mutualistic relationship between the bacterium and nematode proves to be highly lethal for numerous insect species, notably inducing mortality in insect larvae. In a research endeavor by </w:t>
      </w:r>
      <w:r>
        <w:rPr>
          <w:rFonts w:ascii="Arial" w:hAnsi="Arial" w:eastAsia="Calibri" w:cs="Arial"/>
          <w:szCs w:val="22"/>
          <w:vertAlign w:val="superscript"/>
          <w:lang w:val="en-IN"/>
        </w:rPr>
        <w:t>32</w:t>
      </w:r>
      <w:r>
        <w:rPr>
          <w:rFonts w:ascii="Arial" w:hAnsi="Arial" w:eastAsia="Calibri" w:cs="Arial"/>
          <w:szCs w:val="22"/>
          <w:lang w:val="en-IN"/>
        </w:rPr>
        <w:t xml:space="preserve">Mahmood </w:t>
      </w:r>
      <w:r>
        <w:rPr>
          <w:rFonts w:ascii="Arial" w:hAnsi="Arial" w:eastAsia="Calibri" w:cs="Arial"/>
          <w:i/>
          <w:iCs/>
          <w:szCs w:val="22"/>
          <w:lang w:val="en-IN"/>
        </w:rPr>
        <w:t>et al</w:t>
      </w:r>
      <w:r>
        <w:rPr>
          <w:rFonts w:ascii="Arial" w:hAnsi="Arial" w:eastAsia="Calibri" w:cs="Arial"/>
          <w:szCs w:val="22"/>
          <w:lang w:val="en-IN"/>
        </w:rPr>
        <w:t>. (2020), the insecticidal potential of chitinase protein discharged by</w:t>
      </w:r>
      <w:r>
        <w:rPr>
          <w:rFonts w:ascii="Arial" w:hAnsi="Arial" w:eastAsia="Calibri" w:cs="Arial"/>
          <w:i/>
          <w:iCs/>
          <w:szCs w:val="22"/>
          <w:lang w:val="en-IN"/>
        </w:rPr>
        <w:t xml:space="preserve"> X. nematophilus </w:t>
      </w:r>
      <w:r>
        <w:rPr>
          <w:rFonts w:ascii="Arial" w:hAnsi="Arial" w:eastAsia="Calibri" w:cs="Arial"/>
          <w:szCs w:val="22"/>
          <w:lang w:val="en-IN"/>
        </w:rPr>
        <w:t>was assessed concerning its impact on</w:t>
      </w:r>
      <w:r>
        <w:rPr>
          <w:rFonts w:ascii="Arial" w:hAnsi="Arial" w:eastAsia="Calibri" w:cs="Arial"/>
          <w:i/>
          <w:iCs/>
          <w:szCs w:val="22"/>
          <w:lang w:val="en-IN"/>
        </w:rPr>
        <w:t xml:space="preserve"> Helicoverpa armigera. </w:t>
      </w:r>
      <w:r>
        <w:rPr>
          <w:rFonts w:ascii="Arial" w:hAnsi="Arial" w:eastAsia="Calibri" w:cs="Arial"/>
          <w:szCs w:val="22"/>
          <w:lang w:val="en-IN"/>
        </w:rPr>
        <w:t>Substantial levels of mortality were documented when</w:t>
      </w:r>
      <w:r>
        <w:rPr>
          <w:rFonts w:ascii="Arial" w:hAnsi="Arial" w:eastAsia="Calibri" w:cs="Arial"/>
          <w:i/>
          <w:iCs/>
          <w:szCs w:val="22"/>
          <w:lang w:val="en-IN"/>
        </w:rPr>
        <w:t xml:space="preserve"> H. armigera </w:t>
      </w:r>
      <w:r>
        <w:rPr>
          <w:rFonts w:ascii="Arial" w:hAnsi="Arial" w:eastAsia="Calibri" w:cs="Arial"/>
          <w:szCs w:val="22"/>
          <w:lang w:val="en-IN"/>
        </w:rPr>
        <w:t>larvae were subjected to chitinase at concentrations of 20 µg g-1 and 40 µg g-1 of their diet. At a concentration of 20 μg g-1 of diet of chitinase protein, a noteworthy 9-fold decrease in larval weight was noticeable in comparison to larvae nourished with 2.5 μg g-1 of diet of chitinase protein. These findings shed light on the potential of</w:t>
      </w:r>
      <w:r>
        <w:rPr>
          <w:rFonts w:ascii="Arial" w:hAnsi="Arial" w:eastAsia="Calibri" w:cs="Arial"/>
          <w:i/>
          <w:iCs/>
          <w:szCs w:val="22"/>
          <w:lang w:val="en-IN"/>
        </w:rPr>
        <w:t xml:space="preserve"> X. nematophilus </w:t>
      </w:r>
      <w:r>
        <w:rPr>
          <w:rFonts w:ascii="Arial" w:hAnsi="Arial" w:eastAsia="Calibri" w:cs="Arial"/>
          <w:szCs w:val="22"/>
          <w:lang w:val="en-IN"/>
        </w:rPr>
        <w:t>and its associated proteins in the context of biological strategies aimed at controlling insect pests.</w:t>
      </w:r>
    </w:p>
    <w:p w14:paraId="72D6DA02">
      <w:pPr>
        <w:pStyle w:val="22"/>
        <w:spacing w:after="0"/>
        <w:rPr>
          <w:rFonts w:ascii="Arial" w:hAnsi="Arial" w:eastAsia="Calibri" w:cs="Arial"/>
          <w:b/>
          <w:bCs/>
          <w:szCs w:val="22"/>
          <w:lang w:val="en-IN"/>
        </w:rPr>
      </w:pPr>
    </w:p>
    <w:p w14:paraId="76CADC78">
      <w:pPr>
        <w:pStyle w:val="22"/>
        <w:spacing w:after="0"/>
        <w:rPr>
          <w:rFonts w:ascii="Arial" w:hAnsi="Arial" w:eastAsia="Calibri" w:cs="Arial"/>
          <w:b/>
          <w:bCs/>
          <w:szCs w:val="22"/>
          <w:lang w:val="en-IN"/>
        </w:rPr>
      </w:pPr>
      <w:r>
        <w:rPr>
          <w:rFonts w:ascii="Arial" w:hAnsi="Arial" w:eastAsia="Calibri" w:cs="Arial"/>
          <w:b/>
          <w:bCs/>
          <w:szCs w:val="22"/>
          <w:lang w:val="en-IN"/>
        </w:rPr>
        <w:t xml:space="preserve">2.2.6. Plant associated bacteria </w:t>
      </w:r>
    </w:p>
    <w:p w14:paraId="4B525C79">
      <w:pPr>
        <w:pStyle w:val="22"/>
        <w:spacing w:after="0"/>
        <w:ind w:firstLine="720"/>
        <w:rPr>
          <w:rFonts w:ascii="Arial" w:hAnsi="Arial" w:eastAsia="Calibri" w:cs="Arial"/>
          <w:szCs w:val="22"/>
          <w:lang w:val="en-IN"/>
        </w:rPr>
      </w:pPr>
    </w:p>
    <w:p w14:paraId="5F78DF07">
      <w:pPr>
        <w:pStyle w:val="22"/>
        <w:spacing w:after="0"/>
        <w:ind w:firstLine="720"/>
        <w:rPr>
          <w:rFonts w:ascii="Arial" w:hAnsi="Arial" w:eastAsia="Calibri" w:cs="Arial"/>
          <w:szCs w:val="22"/>
          <w:lang w:val="en-IN"/>
        </w:rPr>
      </w:pPr>
      <w:r>
        <w:rPr>
          <w:rFonts w:ascii="Arial" w:hAnsi="Arial" w:eastAsia="Calibri" w:cs="Arial"/>
          <w:szCs w:val="22"/>
          <w:lang w:val="en-IN"/>
        </w:rPr>
        <w:t>Bacteria dwelling within plants in their native settings are denoted by various terms contingent on their precise locations within the plant structure. These designations encompass rhizosphere bacteria, endophytic bacteria, and phylloplane bacteria, which inhabit the root zone, internal plant tissues, and leaf surfaces, respectively. The induction of resistance in plants, characterized by an augmentation of their defense mechanisms, transpires through two principal pathways: pathogen-induced Systemic Acquired Resistance (SAR) and Induced Systemic Resistance (ISR) facilitated by beneficial bacteria</w:t>
      </w:r>
      <w:r>
        <w:rPr>
          <w:rFonts w:ascii="Arial" w:hAnsi="Arial" w:eastAsia="Calibri" w:cs="Arial"/>
          <w:szCs w:val="22"/>
          <w:vertAlign w:val="superscript"/>
          <w:lang w:val="en-IN"/>
        </w:rPr>
        <w:t>33</w:t>
      </w:r>
      <w:r>
        <w:rPr>
          <w:rFonts w:ascii="Arial" w:hAnsi="Arial" w:eastAsia="Calibri" w:cs="Arial"/>
          <w:szCs w:val="22"/>
          <w:lang w:val="en-IN"/>
        </w:rPr>
        <w:t xml:space="preserve"> (Van Loon </w:t>
      </w:r>
      <w:r>
        <w:rPr>
          <w:rFonts w:ascii="Arial" w:hAnsi="Arial" w:eastAsia="Calibri" w:cs="Arial"/>
          <w:i/>
          <w:iCs/>
          <w:szCs w:val="22"/>
          <w:lang w:val="en-IN"/>
        </w:rPr>
        <w:t>et al</w:t>
      </w:r>
      <w:r>
        <w:rPr>
          <w:rFonts w:ascii="Arial" w:hAnsi="Arial" w:eastAsia="Calibri" w:cs="Arial"/>
          <w:szCs w:val="22"/>
          <w:lang w:val="en-IN"/>
        </w:rPr>
        <w:t>., 1998). The jasmonate (JA) family, inclusive of JA and its analogs, assumes a pivotal role in triggering defensive reactions against insect assaults in plants.</w:t>
      </w:r>
    </w:p>
    <w:p w14:paraId="05C7CDB7">
      <w:pPr>
        <w:pStyle w:val="22"/>
        <w:spacing w:after="0"/>
        <w:rPr>
          <w:rFonts w:ascii="Arial" w:hAnsi="Arial" w:eastAsia="Calibri" w:cs="Arial"/>
          <w:b/>
          <w:bCs/>
          <w:szCs w:val="22"/>
          <w:lang w:val="en-IN"/>
        </w:rPr>
      </w:pPr>
    </w:p>
    <w:p w14:paraId="3B10FE10">
      <w:pPr>
        <w:pStyle w:val="22"/>
        <w:spacing w:after="0"/>
        <w:rPr>
          <w:rFonts w:ascii="Arial" w:hAnsi="Arial" w:eastAsia="Calibri" w:cs="Arial"/>
          <w:b/>
          <w:bCs/>
          <w:szCs w:val="22"/>
          <w:lang w:val="en-IN"/>
        </w:rPr>
      </w:pPr>
      <w:r>
        <w:rPr>
          <w:rFonts w:ascii="Arial" w:hAnsi="Arial" w:eastAsia="Calibri" w:cs="Arial"/>
          <w:b/>
          <w:bCs/>
          <w:szCs w:val="22"/>
          <w:lang w:val="en-IN"/>
        </w:rPr>
        <w:t>2.2.7.</w:t>
      </w:r>
      <w:r>
        <w:rPr>
          <w:rFonts w:ascii="Arial" w:hAnsi="Arial" w:eastAsia="Calibri" w:cs="Arial"/>
          <w:szCs w:val="22"/>
          <w:lang w:val="en-IN"/>
        </w:rPr>
        <w:t xml:space="preserve"> </w:t>
      </w:r>
      <w:r>
        <w:rPr>
          <w:rFonts w:ascii="Arial" w:hAnsi="Arial" w:eastAsia="Calibri" w:cs="Arial"/>
          <w:b/>
          <w:bCs/>
          <w:szCs w:val="22"/>
          <w:lang w:val="en-IN"/>
        </w:rPr>
        <w:t>Rhizosphere bacteria</w:t>
      </w:r>
    </w:p>
    <w:p w14:paraId="0F732771">
      <w:pPr>
        <w:pStyle w:val="22"/>
        <w:spacing w:after="0"/>
        <w:rPr>
          <w:rFonts w:ascii="Arial" w:hAnsi="Arial" w:eastAsia="Calibri" w:cs="Arial"/>
          <w:b/>
          <w:bCs/>
          <w:szCs w:val="22"/>
          <w:lang w:val="en-IN"/>
        </w:rPr>
      </w:pPr>
    </w:p>
    <w:p w14:paraId="15EF8295">
      <w:pPr>
        <w:pStyle w:val="22"/>
        <w:spacing w:after="0"/>
        <w:ind w:firstLine="720"/>
        <w:rPr>
          <w:rFonts w:ascii="Arial" w:hAnsi="Arial" w:eastAsia="Calibri" w:cs="Arial"/>
          <w:szCs w:val="22"/>
          <w:lang w:val="en-IN"/>
        </w:rPr>
      </w:pPr>
      <w:r>
        <w:rPr>
          <w:rFonts w:ascii="Arial" w:hAnsi="Arial" w:eastAsia="Calibri" w:cs="Arial"/>
          <w:szCs w:val="22"/>
          <w:lang w:val="en-IN"/>
        </w:rPr>
        <w:t xml:space="preserve">Bacteria thriving in close association with the rhizosphere are commonly known as rhizosphere bacteria. Among these, approximately 2 to 5 percent demonstrate advantageous effects on plant growth, leading to their classification as plant growth-promoting rhizobacteria (PGPR). Research indicates that PGPRs like </w:t>
      </w:r>
      <w:r>
        <w:rPr>
          <w:rFonts w:ascii="Arial" w:hAnsi="Arial" w:eastAsia="Calibri" w:cs="Arial"/>
          <w:i/>
          <w:iCs/>
          <w:szCs w:val="22"/>
          <w:lang w:val="en-IN"/>
        </w:rPr>
        <w:t xml:space="preserve">Pseudomonas, Bacillus, </w:t>
      </w:r>
      <w:r>
        <w:rPr>
          <w:rFonts w:ascii="Arial" w:hAnsi="Arial" w:eastAsia="Calibri" w:cs="Arial"/>
          <w:szCs w:val="22"/>
          <w:lang w:val="en-IN"/>
        </w:rPr>
        <w:t>and</w:t>
      </w:r>
      <w:r>
        <w:rPr>
          <w:rFonts w:ascii="Arial" w:hAnsi="Arial" w:eastAsia="Calibri" w:cs="Arial"/>
          <w:i/>
          <w:iCs/>
          <w:szCs w:val="22"/>
          <w:lang w:val="en-IN"/>
        </w:rPr>
        <w:t xml:space="preserve"> Serratia </w:t>
      </w:r>
      <w:r>
        <w:rPr>
          <w:rFonts w:ascii="Arial" w:hAnsi="Arial" w:eastAsia="Calibri" w:cs="Arial"/>
          <w:szCs w:val="22"/>
          <w:lang w:val="en-IN"/>
        </w:rPr>
        <w:t xml:space="preserve">are proficient at establishing themselves in roots and providing a protective function against various crop pests. Remarkably, specific strains of plant growth-promoting </w:t>
      </w:r>
      <w:r>
        <w:rPr>
          <w:rFonts w:ascii="Arial" w:hAnsi="Arial" w:eastAsia="Calibri" w:cs="Arial"/>
          <w:i/>
          <w:iCs/>
          <w:szCs w:val="22"/>
          <w:lang w:val="en-IN"/>
        </w:rPr>
        <w:t>Pseudomonas fluorescens</w:t>
      </w:r>
      <w:r>
        <w:rPr>
          <w:rFonts w:ascii="Arial" w:hAnsi="Arial" w:eastAsia="Calibri" w:cs="Arial"/>
          <w:szCs w:val="22"/>
          <w:lang w:val="en-IN"/>
        </w:rPr>
        <w:t>, such as Pf1, TDK 1, and PY 15, have shown a significant reduction in leaf folder damage in rice plants. This reduction is linked to the enhanced activity of enzymes like polyphenol oxidase, lipoxygenase, chitinase, and proteinase inhibitors in plants treated with PGPR</w:t>
      </w:r>
      <w:r>
        <w:rPr>
          <w:rFonts w:ascii="Arial" w:hAnsi="Arial" w:eastAsia="Calibri" w:cs="Arial"/>
          <w:szCs w:val="22"/>
          <w:vertAlign w:val="superscript"/>
          <w:lang w:val="en-IN"/>
        </w:rPr>
        <w:t>34</w:t>
      </w:r>
      <w:r>
        <w:rPr>
          <w:rFonts w:ascii="Arial" w:hAnsi="Arial" w:eastAsia="Calibri" w:cs="Arial"/>
          <w:szCs w:val="22"/>
          <w:lang w:val="en-IN"/>
        </w:rPr>
        <w:t xml:space="preserve"> (Saravankumar </w:t>
      </w:r>
      <w:r>
        <w:rPr>
          <w:rFonts w:ascii="Arial" w:hAnsi="Arial" w:eastAsia="Calibri" w:cs="Arial"/>
          <w:i/>
          <w:iCs/>
          <w:szCs w:val="22"/>
          <w:lang w:val="en-IN"/>
        </w:rPr>
        <w:t>et al</w:t>
      </w:r>
      <w:r>
        <w:rPr>
          <w:rFonts w:ascii="Arial" w:hAnsi="Arial" w:eastAsia="Calibri" w:cs="Arial"/>
          <w:szCs w:val="22"/>
          <w:lang w:val="en-IN"/>
        </w:rPr>
        <w:t xml:space="preserve">., 2007). Moreover, cowpea plants treated with PGPR displayed a notable increase in the mortality rate of cowpea aphids compared to untreated controls, with </w:t>
      </w:r>
      <w:r>
        <w:rPr>
          <w:rFonts w:ascii="Arial" w:hAnsi="Arial" w:eastAsia="Calibri" w:cs="Arial"/>
          <w:i/>
          <w:iCs/>
          <w:szCs w:val="22"/>
          <w:lang w:val="en-IN"/>
        </w:rPr>
        <w:t>Bacillus subtilis</w:t>
      </w:r>
      <w:r>
        <w:rPr>
          <w:rFonts w:ascii="Arial" w:hAnsi="Arial" w:eastAsia="Calibri" w:cs="Arial"/>
          <w:szCs w:val="22"/>
          <w:lang w:val="en-IN"/>
        </w:rPr>
        <w:t xml:space="preserve"> identified as the most potent among the various PGPRs tested.</w:t>
      </w:r>
    </w:p>
    <w:p w14:paraId="1D846A48">
      <w:pPr>
        <w:pStyle w:val="22"/>
        <w:spacing w:after="0"/>
        <w:rPr>
          <w:rFonts w:ascii="Arial" w:hAnsi="Arial" w:eastAsia="Calibri" w:cs="Arial"/>
          <w:b/>
          <w:bCs/>
          <w:szCs w:val="22"/>
          <w:lang w:val="en-IN"/>
        </w:rPr>
      </w:pPr>
    </w:p>
    <w:p w14:paraId="20714EA5">
      <w:pPr>
        <w:pStyle w:val="22"/>
        <w:spacing w:after="0"/>
        <w:rPr>
          <w:rFonts w:ascii="Arial" w:hAnsi="Arial" w:eastAsia="Calibri" w:cs="Arial"/>
          <w:b/>
          <w:bCs/>
          <w:szCs w:val="22"/>
          <w:lang w:val="en-IN"/>
        </w:rPr>
      </w:pPr>
      <w:r>
        <w:rPr>
          <w:rFonts w:ascii="Arial" w:hAnsi="Arial" w:eastAsia="Calibri" w:cs="Arial"/>
          <w:b/>
          <w:bCs/>
          <w:szCs w:val="22"/>
          <w:lang w:val="en-IN"/>
        </w:rPr>
        <w:t>2.2.8. Endophytic bacteria</w:t>
      </w:r>
    </w:p>
    <w:p w14:paraId="79D3FD7C">
      <w:pPr>
        <w:pStyle w:val="22"/>
        <w:spacing w:after="0"/>
        <w:ind w:firstLine="720"/>
        <w:rPr>
          <w:rFonts w:ascii="Arial" w:hAnsi="Arial" w:eastAsia="Calibri" w:cs="Arial"/>
          <w:szCs w:val="22"/>
          <w:lang w:val="en-IN"/>
        </w:rPr>
      </w:pPr>
    </w:p>
    <w:p w14:paraId="35E2D27B">
      <w:pPr>
        <w:pStyle w:val="22"/>
        <w:spacing w:after="0"/>
        <w:ind w:firstLine="720"/>
        <w:rPr>
          <w:rFonts w:ascii="Arial" w:hAnsi="Arial" w:eastAsia="Calibri" w:cs="Arial"/>
          <w:b/>
          <w:bCs/>
          <w:szCs w:val="22"/>
          <w:lang w:val="en-IN"/>
        </w:rPr>
      </w:pPr>
      <w:r>
        <w:rPr>
          <w:rFonts w:ascii="Arial" w:hAnsi="Arial" w:eastAsia="Calibri" w:cs="Arial"/>
          <w:szCs w:val="22"/>
          <w:lang w:val="en-IN"/>
        </w:rPr>
        <w:t>Endophytic bacteria are those inhabiting the internal regions of plants, particularly within leaves, branches, and stems, without</w:t>
      </w:r>
      <w:r>
        <w:rPr>
          <w:rFonts w:ascii="Arial" w:hAnsi="Arial" w:eastAsia="Calibri" w:cs="Arial"/>
          <w:b/>
          <w:bCs/>
          <w:szCs w:val="22"/>
          <w:lang w:val="en-IN"/>
        </w:rPr>
        <w:t xml:space="preserve"> </w:t>
      </w:r>
      <w:r>
        <w:rPr>
          <w:rFonts w:ascii="Arial" w:hAnsi="Arial" w:eastAsia="Calibri" w:cs="Arial"/>
          <w:szCs w:val="22"/>
          <w:lang w:val="en-IN"/>
        </w:rPr>
        <w:t xml:space="preserve">causing evident harm to their host. The presence of endophytic microorganisms in host plants can enhance plant vigor by offering protection against insect pests and diseases, promoting growth, and boosting resistance under stressful conditions. For example, endophytic strains of </w:t>
      </w:r>
      <w:r>
        <w:rPr>
          <w:rFonts w:ascii="Arial" w:hAnsi="Arial" w:eastAsia="Calibri" w:cs="Arial"/>
          <w:i/>
          <w:iCs/>
          <w:szCs w:val="22"/>
          <w:lang w:val="en-IN"/>
        </w:rPr>
        <w:t>Bacillus</w:t>
      </w:r>
      <w:r>
        <w:rPr>
          <w:rFonts w:ascii="Arial" w:hAnsi="Arial" w:eastAsia="Calibri" w:cs="Arial"/>
          <w:szCs w:val="22"/>
          <w:lang w:val="en-IN"/>
        </w:rPr>
        <w:t xml:space="preserve"> </w:t>
      </w:r>
      <w:r>
        <w:rPr>
          <w:rFonts w:ascii="Arial" w:hAnsi="Arial" w:eastAsia="Calibri" w:cs="Arial"/>
          <w:i/>
          <w:iCs/>
          <w:szCs w:val="22"/>
          <w:lang w:val="en-IN"/>
        </w:rPr>
        <w:t>thuringiensis</w:t>
      </w:r>
      <w:r>
        <w:rPr>
          <w:rFonts w:ascii="Arial" w:hAnsi="Arial" w:eastAsia="Calibri" w:cs="Arial"/>
          <w:szCs w:val="22"/>
          <w:lang w:val="en-IN"/>
        </w:rPr>
        <w:t xml:space="preserve">, such as S1905 and S2122, induced 100% mortality in third instar caterpillars of the diamondback moth, </w:t>
      </w:r>
      <w:r>
        <w:rPr>
          <w:rFonts w:ascii="Arial" w:hAnsi="Arial" w:eastAsia="Calibri" w:cs="Arial"/>
          <w:i/>
          <w:iCs/>
          <w:szCs w:val="22"/>
          <w:lang w:val="en-IN"/>
        </w:rPr>
        <w:t>Plutella xylostella</w:t>
      </w:r>
      <w:r>
        <w:rPr>
          <w:rFonts w:ascii="Arial" w:hAnsi="Arial" w:eastAsia="Calibri" w:cs="Arial"/>
          <w:szCs w:val="22"/>
          <w:lang w:val="en-IN"/>
        </w:rPr>
        <w:t>, while strain S2124 led to 58.33% mortality</w:t>
      </w:r>
      <w:r>
        <w:rPr>
          <w:rFonts w:ascii="Arial" w:hAnsi="Arial" w:eastAsia="Calibri" w:cs="Arial"/>
          <w:szCs w:val="22"/>
          <w:vertAlign w:val="superscript"/>
          <w:lang w:val="en-IN"/>
        </w:rPr>
        <w:t>35</w:t>
      </w:r>
      <w:r>
        <w:rPr>
          <w:rFonts w:ascii="Arial" w:hAnsi="Arial" w:eastAsia="Calibri" w:cs="Arial"/>
          <w:szCs w:val="22"/>
          <w:lang w:val="en-IN"/>
        </w:rPr>
        <w:t xml:space="preserve"> (Praca, 2012). These findings underscore the potential of endophytic bacteria in contributing to plant health and strategies for pest management.</w:t>
      </w:r>
    </w:p>
    <w:p w14:paraId="054B07FA">
      <w:pPr>
        <w:pStyle w:val="22"/>
        <w:spacing w:after="0"/>
        <w:rPr>
          <w:rFonts w:ascii="Arial" w:hAnsi="Arial" w:eastAsia="Calibri" w:cs="Arial"/>
          <w:b/>
          <w:bCs/>
          <w:szCs w:val="22"/>
          <w:lang w:val="en-IN"/>
        </w:rPr>
      </w:pPr>
    </w:p>
    <w:p w14:paraId="59B1778C">
      <w:pPr>
        <w:pStyle w:val="22"/>
        <w:spacing w:after="0"/>
        <w:rPr>
          <w:rFonts w:ascii="Arial" w:hAnsi="Arial" w:eastAsia="Calibri" w:cs="Arial"/>
          <w:b/>
          <w:bCs/>
          <w:szCs w:val="22"/>
          <w:lang w:val="en-IN"/>
        </w:rPr>
      </w:pPr>
      <w:r>
        <w:rPr>
          <w:rFonts w:ascii="Arial" w:hAnsi="Arial" w:eastAsia="Calibri" w:cs="Arial"/>
          <w:b/>
          <w:bCs/>
          <w:szCs w:val="22"/>
          <w:lang w:val="en-IN"/>
        </w:rPr>
        <w:t xml:space="preserve">2.2.9. Phylloplane bacteria </w:t>
      </w:r>
    </w:p>
    <w:p w14:paraId="367E9B07">
      <w:pPr>
        <w:pStyle w:val="22"/>
        <w:spacing w:after="0"/>
        <w:rPr>
          <w:rFonts w:ascii="Arial" w:hAnsi="Arial" w:eastAsia="Calibri" w:cs="Arial"/>
          <w:szCs w:val="22"/>
          <w:lang w:val="en-IN"/>
        </w:rPr>
      </w:pPr>
    </w:p>
    <w:p w14:paraId="08441EEA">
      <w:pPr>
        <w:pStyle w:val="22"/>
        <w:spacing w:after="0"/>
        <w:ind w:firstLine="720"/>
        <w:rPr>
          <w:rFonts w:ascii="Arial" w:hAnsi="Arial" w:eastAsia="Calibri" w:cs="Arial"/>
          <w:szCs w:val="22"/>
          <w:lang w:val="en-IN"/>
        </w:rPr>
      </w:pPr>
      <w:r>
        <w:rPr>
          <w:rFonts w:ascii="Arial" w:hAnsi="Arial" w:eastAsia="Calibri" w:cs="Arial"/>
          <w:szCs w:val="22"/>
          <w:lang w:val="en-IN"/>
        </w:rPr>
        <w:t xml:space="preserve">Phylloplane bacteria flourish on leaf surfaces, often colonizing specific sites like trichomes, stomata, and junctions of epidermal cell walls. While many phylloplane bacteria establish commensal relationships with their host plants, some possess the ability to produce extracellular chitinase enzymes. These enzymes can degrade the peritrophic membrane of chewing insects, rendering these bacteria effective biocontrol agents. For instance, </w:t>
      </w:r>
      <w:r>
        <w:rPr>
          <w:rFonts w:ascii="Arial" w:hAnsi="Arial" w:eastAsia="Calibri" w:cs="Arial"/>
          <w:i/>
          <w:iCs/>
          <w:szCs w:val="22"/>
          <w:lang w:val="en-IN"/>
        </w:rPr>
        <w:t>Bacillus thuringiensis</w:t>
      </w:r>
      <w:r>
        <w:rPr>
          <w:rFonts w:ascii="Arial" w:hAnsi="Arial" w:eastAsia="Calibri" w:cs="Arial"/>
          <w:szCs w:val="22"/>
          <w:lang w:val="en-IN"/>
        </w:rPr>
        <w:t>, isolated by Gonzalez and Molla (2011)</w:t>
      </w:r>
      <w:r>
        <w:rPr>
          <w:rFonts w:ascii="Arial" w:hAnsi="Arial" w:eastAsia="Calibri" w:cs="Arial"/>
          <w:szCs w:val="22"/>
          <w:vertAlign w:val="superscript"/>
          <w:lang w:val="en-IN"/>
        </w:rPr>
        <w:t>36</w:t>
      </w:r>
      <w:r>
        <w:rPr>
          <w:rFonts w:ascii="Arial" w:hAnsi="Arial" w:eastAsia="Calibri" w:cs="Arial"/>
          <w:szCs w:val="22"/>
          <w:lang w:val="en-IN"/>
        </w:rPr>
        <w:t xml:space="preserve"> from the phylloplane of tomato plants, exhibited effective control against the tomato leaf miner, </w:t>
      </w:r>
      <w:r>
        <w:rPr>
          <w:rFonts w:ascii="Arial" w:hAnsi="Arial" w:eastAsia="Calibri" w:cs="Arial"/>
          <w:i/>
          <w:iCs/>
          <w:szCs w:val="22"/>
          <w:lang w:val="en-IN"/>
        </w:rPr>
        <w:t>Tuta absoluta</w:t>
      </w:r>
      <w:r>
        <w:rPr>
          <w:rFonts w:ascii="Arial" w:hAnsi="Arial" w:eastAsia="Calibri" w:cs="Arial"/>
          <w:szCs w:val="22"/>
          <w:lang w:val="en-IN"/>
        </w:rPr>
        <w:t>. This showcases the potential of phylloplane bacteria as natural agents for managing insect pests on agricultural crops.</w:t>
      </w:r>
    </w:p>
    <w:p w14:paraId="38629D72">
      <w:pPr>
        <w:pStyle w:val="22"/>
        <w:spacing w:after="0"/>
        <w:rPr>
          <w:rFonts w:ascii="Arial" w:hAnsi="Arial" w:eastAsia="Calibri" w:cs="Arial"/>
          <w:szCs w:val="22"/>
          <w:lang w:val="en-IN"/>
        </w:rPr>
      </w:pPr>
    </w:p>
    <w:p w14:paraId="3A3EFF39">
      <w:pPr>
        <w:pStyle w:val="22"/>
        <w:spacing w:after="0"/>
        <w:rPr>
          <w:rFonts w:ascii="Arial" w:hAnsi="Arial" w:eastAsia="Calibri" w:cs="Arial"/>
          <w:b/>
          <w:bCs/>
          <w:szCs w:val="22"/>
          <w:lang w:val="en-IN"/>
        </w:rPr>
      </w:pPr>
      <w:r>
        <w:rPr>
          <w:rFonts w:ascii="Arial" w:hAnsi="Arial" w:eastAsia="Calibri" w:cs="Arial"/>
          <w:b/>
          <w:bCs/>
          <w:szCs w:val="22"/>
          <w:lang w:val="en-IN"/>
        </w:rPr>
        <w:t xml:space="preserve">2.2.10. Modified bacteria </w:t>
      </w:r>
    </w:p>
    <w:p w14:paraId="58E4AA9D">
      <w:pPr>
        <w:pStyle w:val="22"/>
        <w:spacing w:after="0"/>
        <w:rPr>
          <w:rFonts w:ascii="Arial" w:hAnsi="Arial" w:eastAsia="Calibri" w:cs="Arial"/>
          <w:b/>
          <w:bCs/>
          <w:szCs w:val="22"/>
          <w:lang w:val="en-IN"/>
        </w:rPr>
      </w:pPr>
    </w:p>
    <w:p w14:paraId="1DD1FB43">
      <w:pPr>
        <w:pStyle w:val="22"/>
        <w:spacing w:after="0"/>
        <w:ind w:firstLine="720"/>
        <w:rPr>
          <w:rFonts w:ascii="Arial" w:hAnsi="Arial" w:eastAsia="Calibri" w:cs="Arial"/>
          <w:szCs w:val="22"/>
          <w:lang w:val="en-IN"/>
        </w:rPr>
      </w:pPr>
      <w:r>
        <w:rPr>
          <w:rFonts w:ascii="Arial" w:hAnsi="Arial" w:eastAsia="Calibri" w:cs="Arial"/>
          <w:szCs w:val="22"/>
          <w:lang w:val="en-IN"/>
        </w:rPr>
        <w:t xml:space="preserve">The field of genetic engineering presents significant potential for advancing the development of engineered entomopathogens with enhanced resilience to environmental challenges. Yang </w:t>
      </w:r>
      <w:r>
        <w:rPr>
          <w:rFonts w:ascii="Arial" w:hAnsi="Arial" w:eastAsia="Calibri" w:cs="Arial"/>
          <w:i/>
          <w:iCs/>
          <w:szCs w:val="22"/>
          <w:lang w:val="en-IN"/>
        </w:rPr>
        <w:t>et al</w:t>
      </w:r>
      <w:r>
        <w:rPr>
          <w:rFonts w:ascii="Arial" w:hAnsi="Arial" w:eastAsia="Calibri" w:cs="Arial"/>
          <w:szCs w:val="22"/>
          <w:lang w:val="en-IN"/>
        </w:rPr>
        <w:t>. (2018)</w:t>
      </w:r>
      <w:r>
        <w:rPr>
          <w:rFonts w:ascii="Arial" w:hAnsi="Arial" w:eastAsia="Calibri" w:cs="Arial"/>
          <w:szCs w:val="22"/>
          <w:vertAlign w:val="superscript"/>
          <w:lang w:val="en-IN"/>
        </w:rPr>
        <w:t>37</w:t>
      </w:r>
      <w:r>
        <w:rPr>
          <w:rFonts w:ascii="Arial" w:hAnsi="Arial" w:eastAsia="Calibri" w:cs="Arial"/>
          <w:szCs w:val="22"/>
          <w:lang w:val="en-IN"/>
        </w:rPr>
        <w:t xml:space="preserve"> showcased this potential by introducing the insecticidal gene cry218 from </w:t>
      </w:r>
      <w:r>
        <w:rPr>
          <w:rFonts w:ascii="Arial" w:hAnsi="Arial" w:eastAsia="Calibri" w:cs="Arial"/>
          <w:i/>
          <w:iCs/>
          <w:szCs w:val="22"/>
          <w:lang w:val="en-IN"/>
        </w:rPr>
        <w:t>B. thuringiensis</w:t>
      </w:r>
      <w:r>
        <w:rPr>
          <w:rFonts w:ascii="Arial" w:hAnsi="Arial" w:eastAsia="Calibri" w:cs="Arial"/>
          <w:szCs w:val="22"/>
          <w:lang w:val="en-IN"/>
        </w:rPr>
        <w:t xml:space="preserve"> into a poplar bacterial endophyte, </w:t>
      </w:r>
      <w:r>
        <w:rPr>
          <w:rFonts w:ascii="Arial" w:hAnsi="Arial" w:eastAsia="Calibri" w:cs="Arial"/>
          <w:i/>
          <w:iCs/>
          <w:szCs w:val="22"/>
          <w:lang w:val="en-IN"/>
        </w:rPr>
        <w:t>Burkholderia pyrrocinia</w:t>
      </w:r>
      <w:r>
        <w:rPr>
          <w:rFonts w:ascii="Arial" w:hAnsi="Arial" w:eastAsia="Calibri" w:cs="Arial"/>
          <w:szCs w:val="22"/>
          <w:lang w:val="en-IN"/>
        </w:rPr>
        <w:t xml:space="preserve"> JK-SH007, resulting in increased toxicity expression. Similarly, the fusion of </w:t>
      </w:r>
      <w:r>
        <w:rPr>
          <w:rFonts w:ascii="Arial" w:hAnsi="Arial" w:eastAsia="Calibri" w:cs="Arial"/>
          <w:i/>
          <w:iCs/>
          <w:szCs w:val="22"/>
          <w:lang w:val="en-IN"/>
        </w:rPr>
        <w:t>B. thuringiensis</w:t>
      </w:r>
      <w:r>
        <w:rPr>
          <w:rFonts w:ascii="Arial" w:hAnsi="Arial" w:eastAsia="Calibri" w:cs="Arial"/>
          <w:szCs w:val="22"/>
          <w:lang w:val="en-IN"/>
        </w:rPr>
        <w:t xml:space="preserve"> (Bt) with </w:t>
      </w:r>
      <w:r>
        <w:rPr>
          <w:rFonts w:ascii="Arial" w:hAnsi="Arial" w:eastAsia="Calibri" w:cs="Arial"/>
          <w:i/>
          <w:iCs/>
          <w:szCs w:val="22"/>
          <w:lang w:val="en-IN"/>
        </w:rPr>
        <w:t>B. licheniformis</w:t>
      </w:r>
      <w:r>
        <w:rPr>
          <w:rFonts w:ascii="Arial" w:hAnsi="Arial" w:eastAsia="Calibri" w:cs="Arial"/>
          <w:szCs w:val="22"/>
          <w:lang w:val="en-IN"/>
        </w:rPr>
        <w:t xml:space="preserve"> and </w:t>
      </w:r>
      <w:r>
        <w:rPr>
          <w:rFonts w:ascii="Arial" w:hAnsi="Arial" w:eastAsia="Calibri" w:cs="Arial"/>
          <w:i/>
          <w:iCs/>
          <w:szCs w:val="22"/>
          <w:lang w:val="en-IN"/>
        </w:rPr>
        <w:t>S. marcescens</w:t>
      </w:r>
      <w:r>
        <w:rPr>
          <w:rFonts w:ascii="Arial" w:hAnsi="Arial" w:eastAsia="Calibri" w:cs="Arial"/>
          <w:szCs w:val="22"/>
          <w:lang w:val="en-IN"/>
        </w:rPr>
        <w:t xml:space="preserve"> contributed to heightened mortality rates when applied to the larval stage of </w:t>
      </w:r>
      <w:r>
        <w:rPr>
          <w:rFonts w:ascii="Arial" w:hAnsi="Arial" w:eastAsia="Calibri" w:cs="Arial"/>
          <w:i/>
          <w:iCs/>
          <w:szCs w:val="22"/>
          <w:lang w:val="en-IN"/>
        </w:rPr>
        <w:t>Tuta absoluta</w:t>
      </w:r>
      <w:r>
        <w:rPr>
          <w:rFonts w:ascii="Arial" w:hAnsi="Arial" w:eastAsia="Calibri" w:cs="Arial"/>
          <w:szCs w:val="22"/>
          <w:lang w:val="en-IN"/>
        </w:rPr>
        <w:t xml:space="preserve"> (Atia </w:t>
      </w:r>
      <w:r>
        <w:rPr>
          <w:rFonts w:ascii="Arial" w:hAnsi="Arial" w:eastAsia="Calibri" w:cs="Arial"/>
          <w:i/>
          <w:iCs/>
          <w:szCs w:val="22"/>
          <w:lang w:val="en-IN"/>
        </w:rPr>
        <w:t>et al</w:t>
      </w:r>
      <w:r>
        <w:rPr>
          <w:rFonts w:ascii="Arial" w:hAnsi="Arial" w:eastAsia="Calibri" w:cs="Arial"/>
          <w:szCs w:val="22"/>
          <w:lang w:val="en-IN"/>
        </w:rPr>
        <w:t>., 2019). These studies underscore how genetic engineering can be utilized to bolster the effectiveness and resilience of entomopathogens against specific insect pests.</w:t>
      </w:r>
    </w:p>
    <w:p w14:paraId="7E75B0A1">
      <w:pPr>
        <w:pStyle w:val="22"/>
        <w:spacing w:after="0"/>
        <w:rPr>
          <w:rFonts w:ascii="Arial" w:hAnsi="Arial" w:eastAsia="Calibri" w:cs="Arial"/>
          <w:szCs w:val="22"/>
          <w:lang w:val="en-IN"/>
        </w:rPr>
      </w:pPr>
    </w:p>
    <w:p w14:paraId="1BA0ECBE">
      <w:pPr>
        <w:pStyle w:val="22"/>
        <w:spacing w:after="0"/>
        <w:rPr>
          <w:rFonts w:ascii="Arial" w:hAnsi="Arial" w:eastAsia="Calibri" w:cs="Arial"/>
          <w:b/>
          <w:bCs/>
          <w:sz w:val="22"/>
          <w:szCs w:val="24"/>
          <w:lang w:val="en-IN"/>
        </w:rPr>
      </w:pPr>
      <w:r>
        <w:rPr>
          <w:rFonts w:ascii="Arial" w:hAnsi="Arial" w:eastAsia="Calibri" w:cs="Arial"/>
          <w:b/>
          <w:bCs/>
          <w:sz w:val="22"/>
          <w:szCs w:val="24"/>
          <w:lang w:val="en-IN"/>
        </w:rPr>
        <w:t>2.3.</w:t>
      </w:r>
      <w:r>
        <w:rPr>
          <w:rFonts w:ascii="Arial" w:hAnsi="Arial" w:eastAsia="Calibri" w:cs="Arial"/>
          <w:sz w:val="22"/>
          <w:szCs w:val="24"/>
          <w:lang w:val="en-IN"/>
        </w:rPr>
        <w:t xml:space="preserve"> </w:t>
      </w:r>
      <w:r>
        <w:rPr>
          <w:rFonts w:ascii="Arial" w:hAnsi="Arial" w:eastAsia="Calibri" w:cs="Arial"/>
          <w:b/>
          <w:bCs/>
          <w:sz w:val="22"/>
          <w:szCs w:val="24"/>
          <w:lang w:val="en-IN"/>
        </w:rPr>
        <w:t>Effect of bacterial enzymes in the integrated pest management (IPM)</w:t>
      </w:r>
    </w:p>
    <w:p w14:paraId="43AC95E7">
      <w:pPr>
        <w:pStyle w:val="22"/>
        <w:spacing w:after="0"/>
        <w:rPr>
          <w:rFonts w:ascii="Arial" w:hAnsi="Arial" w:eastAsia="Calibri" w:cs="Arial"/>
          <w:szCs w:val="22"/>
          <w:lang w:val="en-IN"/>
        </w:rPr>
      </w:pPr>
    </w:p>
    <w:p w14:paraId="07A6FFBB">
      <w:pPr>
        <w:pStyle w:val="22"/>
        <w:spacing w:after="0"/>
        <w:ind w:firstLine="720"/>
        <w:rPr>
          <w:rFonts w:ascii="Arial" w:hAnsi="Arial" w:eastAsia="Calibri" w:cs="Arial"/>
          <w:szCs w:val="22"/>
          <w:lang w:val="en-IN"/>
        </w:rPr>
      </w:pPr>
      <w:r>
        <w:rPr>
          <w:rFonts w:ascii="Arial" w:hAnsi="Arial" w:eastAsia="Calibri" w:cs="Arial"/>
          <w:szCs w:val="22"/>
          <w:lang w:val="en-IN"/>
        </w:rPr>
        <w:t>Bacterial enzymes are emerging as a valuable component of IPM strategies. These enzymes, produced by various bacteria, have the unique ability to target and break down specific molecules essential for pest survival. This targeted approach offers several advantages over traditional chemical pesticides.</w:t>
      </w:r>
    </w:p>
    <w:p w14:paraId="2CAD6015">
      <w:pPr>
        <w:pStyle w:val="22"/>
        <w:spacing w:after="0"/>
        <w:ind w:firstLine="720"/>
        <w:rPr>
          <w:rFonts w:ascii="Arial" w:hAnsi="Arial" w:eastAsia="Calibri" w:cs="Arial"/>
          <w:b/>
          <w:bCs/>
          <w:szCs w:val="22"/>
          <w:lang w:val="en-IN"/>
        </w:rPr>
      </w:pPr>
      <w:r>
        <w:rPr>
          <w:rFonts w:ascii="Arial" w:hAnsi="Arial" w:eastAsia="Calibri" w:cs="Arial"/>
          <w:szCs w:val="22"/>
          <w:lang w:val="en-IN"/>
        </w:rPr>
        <w:t>The efficacy of entomopathogenic bacteria is heavily reliant on their appropriate deployment within the field. An illustration of this is seen when utilizing substances that function through ingestion, such as Bt-based products, where precise timing is essential to ensure the stability of bacterial toxins in the surroundings until they are ingested by the targeted insect phase</w:t>
      </w:r>
      <w:r>
        <w:rPr>
          <w:rFonts w:ascii="Arial" w:hAnsi="Arial" w:eastAsia="Calibri" w:cs="Arial"/>
          <w:szCs w:val="22"/>
          <w:vertAlign w:val="superscript"/>
          <w:lang w:val="en-IN"/>
        </w:rPr>
        <w:t>2</w:t>
      </w:r>
      <w:r>
        <w:rPr>
          <w:rFonts w:ascii="Arial" w:hAnsi="Arial" w:eastAsia="Calibri" w:cs="Arial"/>
          <w:szCs w:val="22"/>
          <w:lang w:val="en-IN"/>
        </w:rPr>
        <w:t xml:space="preserve"> (Vega and Kaya, 2012). Ensuring adequate coverage of surfaces like foliage visited or consumed by insects represents another crucial element. This requirement has stimulated the advancement of specialized techniques for processing and formulating bacteria-based bioinsecticides, with the aim of optimizing shelf-life, enhancing dispersion and adhesion, minimizing spray drift, and, most importantly, boosting effectiveness. The sector has introduced a variety of enhancers and supplements for microbial formulations, including dispersants, surfactants, wetting agents, spreaders, drift regulators, pH stabilizers, antifoaming agents, carriers, feeding stimulants, and attractants</w:t>
      </w:r>
      <w:r>
        <w:rPr>
          <w:rFonts w:ascii="Arial" w:hAnsi="Arial" w:eastAsia="Calibri" w:cs="Arial"/>
          <w:szCs w:val="22"/>
          <w:vertAlign w:val="superscript"/>
          <w:lang w:val="en-IN"/>
        </w:rPr>
        <w:t>39</w:t>
      </w:r>
      <w:r>
        <w:rPr>
          <w:rFonts w:ascii="Arial" w:hAnsi="Arial" w:eastAsia="Calibri" w:cs="Arial"/>
          <w:szCs w:val="22"/>
          <w:lang w:val="en-IN"/>
        </w:rPr>
        <w:t xml:space="preserve"> (Brar </w:t>
      </w:r>
      <w:r>
        <w:rPr>
          <w:rFonts w:ascii="Arial" w:hAnsi="Arial" w:eastAsia="Calibri" w:cs="Arial"/>
          <w:i/>
          <w:iCs/>
          <w:szCs w:val="22"/>
          <w:lang w:val="en-IN"/>
        </w:rPr>
        <w:t>et al</w:t>
      </w:r>
      <w:r>
        <w:rPr>
          <w:rFonts w:ascii="Arial" w:hAnsi="Arial" w:eastAsia="Calibri" w:cs="Arial"/>
          <w:szCs w:val="22"/>
          <w:lang w:val="en-IN"/>
        </w:rPr>
        <w:t xml:space="preserve">., 2006). </w:t>
      </w:r>
      <w:commentRangeStart w:id="7"/>
      <w:r>
        <w:rPr>
          <w:rFonts w:ascii="Arial" w:hAnsi="Arial" w:eastAsia="Calibri" w:cs="Arial"/>
          <w:szCs w:val="22"/>
          <w:lang w:val="en-IN"/>
        </w:rPr>
        <w:t>Depending on the intended use and environmental circumstances, a variety of solid and liquid formulations are accessible. Solid formulations comprise dusts, granules, briquettes, and wettable powders (WPs), whereas liquid suspensions may involve suspension concentrates (SCs), emulsions, and encapsulations. Cutting-edge technologies like microencapsulation’s and microgranules are designed to prolong residual impacts.</w:t>
      </w:r>
      <w:commentRangeEnd w:id="7"/>
      <w:r>
        <w:commentReference w:id="7"/>
      </w:r>
    </w:p>
    <w:p w14:paraId="2B09BDDD">
      <w:pPr>
        <w:pStyle w:val="22"/>
        <w:spacing w:after="0"/>
        <w:rPr>
          <w:rFonts w:ascii="Arial" w:hAnsi="Arial" w:eastAsia="Calibri" w:cs="Arial"/>
          <w:szCs w:val="22"/>
          <w:lang w:val="en-IN"/>
        </w:rPr>
      </w:pPr>
    </w:p>
    <w:p w14:paraId="124BD37C">
      <w:pPr>
        <w:pStyle w:val="22"/>
        <w:spacing w:after="0"/>
        <w:ind w:firstLine="720"/>
        <w:rPr>
          <w:rFonts w:ascii="Arial" w:hAnsi="Arial" w:eastAsia="Calibri" w:cs="Arial"/>
          <w:b/>
          <w:bCs/>
          <w:szCs w:val="22"/>
          <w:lang w:val="en-IN"/>
        </w:rPr>
      </w:pPr>
      <w:r>
        <w:rPr>
          <w:rFonts w:ascii="Arial" w:hAnsi="Arial" w:eastAsia="Calibri" w:cs="Arial"/>
          <w:szCs w:val="22"/>
          <w:lang w:val="en-IN"/>
        </w:rPr>
        <w:t>Bacterial enzymes are often highly specific to their target pest. Unlike broad-spectrum chemical insecticides that can harm beneficial insects and pollinators, bacterial enzymes only affect the targeted pest species. This specificity minimizes collateral damage to the ecosystem and promotes biodiversity</w:t>
      </w:r>
      <w:r>
        <w:rPr>
          <w:rFonts w:ascii="Arial" w:hAnsi="Arial" w:eastAsia="Calibri" w:cs="Arial"/>
          <w:szCs w:val="22"/>
          <w:vertAlign w:val="superscript"/>
          <w:lang w:val="en-IN"/>
        </w:rPr>
        <w:t>1</w:t>
      </w:r>
      <w:r>
        <w:rPr>
          <w:rFonts w:ascii="Arial" w:hAnsi="Arial" w:eastAsia="Calibri" w:cs="Arial"/>
          <w:szCs w:val="22"/>
          <w:lang w:val="en-IN"/>
        </w:rPr>
        <w:t xml:space="preserve"> (Ruiu, 2015). Additionally, some bacterial enzymes can degrade the protective coatings of insects or disrupt their digestive processes, leading to death</w:t>
      </w:r>
      <w:r>
        <w:rPr>
          <w:rFonts w:ascii="Arial" w:hAnsi="Arial" w:eastAsia="Calibri" w:cs="Arial"/>
          <w:szCs w:val="22"/>
          <w:vertAlign w:val="superscript"/>
          <w:lang w:val="en-IN"/>
        </w:rPr>
        <w:t>12</w:t>
      </w:r>
      <w:r>
        <w:rPr>
          <w:rFonts w:ascii="Arial" w:hAnsi="Arial" w:eastAsia="Calibri" w:cs="Arial"/>
          <w:szCs w:val="22"/>
          <w:lang w:val="en-IN"/>
        </w:rPr>
        <w:t xml:space="preserve"> (Palma </w:t>
      </w:r>
      <w:r>
        <w:rPr>
          <w:rFonts w:ascii="Arial" w:hAnsi="Arial" w:eastAsia="Calibri" w:cs="Arial"/>
          <w:i/>
          <w:iCs/>
          <w:szCs w:val="22"/>
          <w:lang w:val="en-IN"/>
        </w:rPr>
        <w:t>et al</w:t>
      </w:r>
      <w:r>
        <w:rPr>
          <w:rFonts w:ascii="Arial" w:hAnsi="Arial" w:eastAsia="Calibri" w:cs="Arial"/>
          <w:szCs w:val="22"/>
          <w:lang w:val="en-IN"/>
        </w:rPr>
        <w:t>., 2014).</w:t>
      </w:r>
    </w:p>
    <w:p w14:paraId="4B4557B3">
      <w:pPr>
        <w:pStyle w:val="22"/>
        <w:spacing w:after="0"/>
        <w:rPr>
          <w:rFonts w:ascii="Arial" w:hAnsi="Arial" w:eastAsia="Calibri" w:cs="Arial"/>
          <w:szCs w:val="22"/>
          <w:lang w:val="en-IN"/>
        </w:rPr>
      </w:pPr>
    </w:p>
    <w:p w14:paraId="01FCE4F6">
      <w:pPr>
        <w:pStyle w:val="22"/>
        <w:spacing w:after="0"/>
        <w:ind w:firstLine="720"/>
        <w:rPr>
          <w:rFonts w:ascii="Arial" w:hAnsi="Arial" w:eastAsia="Calibri" w:cs="Arial"/>
          <w:szCs w:val="22"/>
          <w:lang w:val="en-IN"/>
        </w:rPr>
      </w:pPr>
      <w:r>
        <w:rPr>
          <w:rFonts w:ascii="Arial" w:hAnsi="Arial" w:eastAsia="Calibri" w:cs="Arial"/>
          <w:szCs w:val="22"/>
          <w:lang w:val="en-IN"/>
        </w:rPr>
        <w:t>Bacterial enzymes are often biodegradable and pose minimal risk of environmental contamination. Unlike chemical pesticides that can persist in the environment for long periods, bacterial enzymes are naturally broken down by microorganisms in the soil. This reduces the risk of long-term environmental damage and ensures the safety of food production systems. Furthermore, research is ongoing to develop new formulations that enhance the shelf life and effectiveness of these enzymes in field applications. Integrating bacterial enzymes with other IPM strategies like monitoring and habitat manipulation holds great promise for sustainable pest control in the future</w:t>
      </w:r>
      <w:r>
        <w:rPr>
          <w:rFonts w:ascii="Arial" w:hAnsi="Arial" w:eastAsia="Calibri" w:cs="Arial"/>
          <w:szCs w:val="22"/>
          <w:vertAlign w:val="superscript"/>
          <w:lang w:val="en-IN"/>
        </w:rPr>
        <w:t>40</w:t>
      </w:r>
      <w:r>
        <w:rPr>
          <w:rFonts w:ascii="Arial" w:hAnsi="Arial" w:eastAsia="Calibri" w:cs="Arial"/>
          <w:szCs w:val="22"/>
          <w:lang w:val="en-IN"/>
        </w:rPr>
        <w:t xml:space="preserve"> (Rai </w:t>
      </w:r>
      <w:r>
        <w:rPr>
          <w:rFonts w:ascii="Arial" w:hAnsi="Arial" w:eastAsia="Calibri" w:cs="Arial"/>
          <w:i/>
          <w:iCs/>
          <w:szCs w:val="22"/>
          <w:lang w:val="en-IN"/>
        </w:rPr>
        <w:t>et al</w:t>
      </w:r>
      <w:r>
        <w:rPr>
          <w:rFonts w:ascii="Arial" w:hAnsi="Arial" w:eastAsia="Calibri" w:cs="Arial"/>
          <w:szCs w:val="22"/>
          <w:lang w:val="en-IN"/>
        </w:rPr>
        <w:t>., 2014).</w:t>
      </w:r>
    </w:p>
    <w:p w14:paraId="49F7E4EA">
      <w:pPr>
        <w:pStyle w:val="22"/>
        <w:spacing w:after="0"/>
        <w:ind w:firstLine="720"/>
        <w:rPr>
          <w:rFonts w:ascii="Arial" w:hAnsi="Arial" w:eastAsia="Calibri" w:cs="Arial"/>
          <w:szCs w:val="22"/>
          <w:lang w:val="en-IN"/>
        </w:rPr>
      </w:pPr>
    </w:p>
    <w:p w14:paraId="5DE86B96">
      <w:pPr>
        <w:pStyle w:val="22"/>
        <w:spacing w:after="0"/>
        <w:ind w:firstLine="720"/>
        <w:rPr>
          <w:rFonts w:ascii="Arial" w:hAnsi="Arial" w:eastAsia="Calibri" w:cs="Arial"/>
          <w:szCs w:val="22"/>
          <w:lang w:val="en-IN"/>
        </w:rPr>
      </w:pPr>
      <w:r>
        <w:rPr>
          <w:rFonts w:ascii="Arial" w:hAnsi="Arial" w:eastAsia="Calibri" w:cs="Arial"/>
          <w:szCs w:val="22"/>
          <w:lang w:val="en-IN"/>
        </w:rPr>
        <w:t>The spectrum of entomopathogenic bacteria-based active ingredients endorsed for commercial purposes, in conjunction with their respective commercial items, is undergoing substantial growth on a global scale. This progression is resulting in the expansion of their market into fresh sectors, thereby broadening their application in pest control, a domain that historically had been confined to specific contexts like forests, public health, and shielded crops</w:t>
      </w:r>
      <w:r>
        <w:rPr>
          <w:rFonts w:ascii="Arial" w:hAnsi="Arial" w:eastAsia="Calibri" w:cs="Arial"/>
          <w:szCs w:val="22"/>
          <w:vertAlign w:val="superscript"/>
          <w:lang w:val="en-IN"/>
        </w:rPr>
        <w:t>41</w:t>
      </w:r>
      <w:r>
        <w:rPr>
          <w:rFonts w:ascii="Arial" w:hAnsi="Arial" w:eastAsia="Calibri" w:cs="Arial"/>
          <w:szCs w:val="22"/>
          <w:lang w:val="en-IN"/>
        </w:rPr>
        <w:t xml:space="preserve"> (Glare </w:t>
      </w:r>
      <w:r>
        <w:rPr>
          <w:rFonts w:ascii="Arial" w:hAnsi="Arial" w:eastAsia="Calibri" w:cs="Arial"/>
          <w:i/>
          <w:iCs/>
          <w:szCs w:val="22"/>
          <w:lang w:val="en-IN"/>
        </w:rPr>
        <w:t>et al</w:t>
      </w:r>
      <w:r>
        <w:rPr>
          <w:rFonts w:ascii="Arial" w:hAnsi="Arial" w:eastAsia="Calibri" w:cs="Arial"/>
          <w:szCs w:val="22"/>
          <w:lang w:val="en-IN"/>
        </w:rPr>
        <w:t>., 2012).</w:t>
      </w:r>
    </w:p>
    <w:p w14:paraId="72545077">
      <w:pPr>
        <w:pStyle w:val="22"/>
        <w:spacing w:after="0"/>
        <w:ind w:firstLine="720"/>
        <w:rPr>
          <w:rFonts w:ascii="Arial" w:hAnsi="Arial" w:eastAsia="Calibri" w:cs="Arial"/>
          <w:szCs w:val="22"/>
          <w:lang w:val="en-IN"/>
        </w:rPr>
      </w:pPr>
    </w:p>
    <w:p w14:paraId="38743881">
      <w:pPr>
        <w:pStyle w:val="22"/>
        <w:spacing w:after="0"/>
        <w:rPr>
          <w:rFonts w:ascii="Arial" w:hAnsi="Arial" w:eastAsia="Calibri" w:cs="Arial"/>
          <w:b/>
          <w:sz w:val="22"/>
          <w:szCs w:val="24"/>
          <w:lang w:val="en-IN"/>
        </w:rPr>
      </w:pPr>
      <w:r>
        <w:rPr>
          <w:rFonts w:ascii="Arial" w:hAnsi="Arial" w:eastAsia="Calibri" w:cs="Arial"/>
          <w:b/>
          <w:bCs/>
          <w:sz w:val="22"/>
          <w:szCs w:val="24"/>
          <w:lang w:val="en-IN"/>
        </w:rPr>
        <w:t>2.4.</w:t>
      </w:r>
      <w:r>
        <w:rPr>
          <w:rFonts w:ascii="Arial" w:hAnsi="Arial" w:eastAsia="Calibri" w:cs="Arial"/>
          <w:sz w:val="22"/>
          <w:szCs w:val="24"/>
          <w:lang w:val="en-IN"/>
        </w:rPr>
        <w:t xml:space="preserve"> </w:t>
      </w:r>
      <w:r>
        <w:rPr>
          <w:rFonts w:ascii="Arial" w:hAnsi="Arial" w:eastAsia="Calibri" w:cs="Arial"/>
          <w:b/>
          <w:sz w:val="22"/>
          <w:szCs w:val="24"/>
          <w:lang w:val="en-IN"/>
        </w:rPr>
        <w:t>Entomopathogenic bacteria with other entomopathogens, botanical and chemical Pesticides</w:t>
      </w:r>
    </w:p>
    <w:p w14:paraId="2E2DF62A">
      <w:pPr>
        <w:pStyle w:val="22"/>
        <w:spacing w:after="0"/>
        <w:rPr>
          <w:rFonts w:ascii="Arial" w:hAnsi="Arial" w:eastAsia="Calibri" w:cs="Arial"/>
          <w:b/>
          <w:sz w:val="22"/>
          <w:szCs w:val="24"/>
          <w:lang w:val="en-IN"/>
        </w:rPr>
      </w:pPr>
    </w:p>
    <w:p w14:paraId="5DA883A1">
      <w:pPr>
        <w:pStyle w:val="22"/>
        <w:spacing w:after="0"/>
        <w:ind w:firstLine="720"/>
        <w:rPr>
          <w:rFonts w:ascii="Arial" w:hAnsi="Arial" w:eastAsia="Calibri" w:cs="Arial"/>
          <w:bCs/>
          <w:i/>
          <w:iCs/>
          <w:szCs w:val="22"/>
          <w:lang w:val="en-IN"/>
        </w:rPr>
      </w:pPr>
      <w:r>
        <w:rPr>
          <w:rFonts w:ascii="Arial" w:hAnsi="Arial" w:eastAsia="Calibri" w:cs="Arial"/>
          <w:bCs/>
          <w:szCs w:val="22"/>
          <w:lang w:val="en-IN"/>
        </w:rPr>
        <w:t xml:space="preserve">The combination of </w:t>
      </w:r>
      <w:r>
        <w:rPr>
          <w:rFonts w:ascii="Arial" w:hAnsi="Arial" w:eastAsia="Calibri" w:cs="Arial"/>
          <w:bCs/>
          <w:i/>
          <w:iCs/>
          <w:szCs w:val="22"/>
          <w:lang w:val="en-IN"/>
        </w:rPr>
        <w:t>Beauveria bassiana</w:t>
      </w:r>
      <w:r>
        <w:rPr>
          <w:rFonts w:ascii="Arial" w:hAnsi="Arial" w:eastAsia="Calibri" w:cs="Arial"/>
          <w:bCs/>
          <w:szCs w:val="22"/>
          <w:lang w:val="en-IN"/>
        </w:rPr>
        <w:t xml:space="preserve"> with </w:t>
      </w:r>
      <w:r>
        <w:rPr>
          <w:rFonts w:ascii="Arial" w:hAnsi="Arial" w:eastAsia="Calibri" w:cs="Arial"/>
          <w:bCs/>
          <w:i/>
          <w:iCs/>
          <w:szCs w:val="22"/>
          <w:lang w:val="en-IN"/>
        </w:rPr>
        <w:t>Bacillus thuringiensis</w:t>
      </w:r>
      <w:r>
        <w:rPr>
          <w:rFonts w:ascii="Arial" w:hAnsi="Arial" w:eastAsia="Calibri" w:cs="Arial"/>
          <w:bCs/>
          <w:szCs w:val="22"/>
          <w:lang w:val="en-IN"/>
        </w:rPr>
        <w:t xml:space="preserve"> subsp. </w:t>
      </w:r>
      <w:r>
        <w:rPr>
          <w:rFonts w:ascii="Arial" w:hAnsi="Arial" w:eastAsia="Calibri" w:cs="Arial"/>
          <w:bCs/>
          <w:i/>
          <w:iCs/>
          <w:szCs w:val="22"/>
          <w:lang w:val="en-IN"/>
        </w:rPr>
        <w:t xml:space="preserve">tenebrionis </w:t>
      </w:r>
      <w:r>
        <w:rPr>
          <w:rFonts w:ascii="Arial" w:hAnsi="Arial" w:eastAsia="Calibri" w:cs="Arial"/>
          <w:bCs/>
          <w:szCs w:val="22"/>
          <w:lang w:val="en-IN"/>
        </w:rPr>
        <w:t xml:space="preserve">showed increased control efficacy ranging from 6% to 35% against the Colorado potato beetle, </w:t>
      </w:r>
      <w:r>
        <w:rPr>
          <w:rFonts w:ascii="Arial" w:hAnsi="Arial" w:eastAsia="Calibri" w:cs="Arial"/>
          <w:bCs/>
          <w:i/>
          <w:iCs/>
          <w:szCs w:val="22"/>
          <w:lang w:val="en-IN"/>
        </w:rPr>
        <w:t>Leptinotarsa decemlineata</w:t>
      </w:r>
      <w:r>
        <w:rPr>
          <w:rFonts w:ascii="Arial" w:hAnsi="Arial" w:eastAsia="Calibri" w:cs="Arial"/>
          <w:bCs/>
          <w:szCs w:val="22"/>
          <w:lang w:val="en-IN"/>
        </w:rPr>
        <w:t>, based on field studies conducted in the United States</w:t>
      </w:r>
      <w:r>
        <w:rPr>
          <w:rFonts w:ascii="Arial" w:hAnsi="Arial" w:eastAsia="Calibri" w:cs="Arial"/>
          <w:bCs/>
          <w:szCs w:val="22"/>
          <w:vertAlign w:val="superscript"/>
          <w:lang w:val="en-IN"/>
        </w:rPr>
        <w:t>42</w:t>
      </w:r>
      <w:r>
        <w:rPr>
          <w:rFonts w:ascii="Arial" w:hAnsi="Arial" w:eastAsia="Calibri" w:cs="Arial"/>
          <w:bCs/>
          <w:szCs w:val="22"/>
          <w:lang w:val="en-IN"/>
        </w:rPr>
        <w:t xml:space="preserve"> (Wraight and Ramos, 2005). Similarly, in Kazakhstan, improved mortality rates within a shorter timeframe were achieved by combining </w:t>
      </w:r>
      <w:r>
        <w:rPr>
          <w:rFonts w:ascii="Arial" w:hAnsi="Arial" w:eastAsia="Calibri" w:cs="Arial"/>
          <w:bCs/>
          <w:i/>
          <w:iCs/>
          <w:szCs w:val="22"/>
          <w:lang w:val="en-IN"/>
        </w:rPr>
        <w:t>B. thuringiensis</w:t>
      </w:r>
      <w:r>
        <w:rPr>
          <w:rFonts w:ascii="Arial" w:hAnsi="Arial" w:eastAsia="Calibri" w:cs="Arial"/>
          <w:bCs/>
          <w:szCs w:val="22"/>
          <w:lang w:val="en-IN"/>
        </w:rPr>
        <w:t xml:space="preserve"> subsp. morrisoni (Btm) with lower concentrations of </w:t>
      </w:r>
      <w:r>
        <w:rPr>
          <w:rFonts w:ascii="Arial" w:hAnsi="Arial" w:eastAsia="Calibri" w:cs="Arial"/>
          <w:bCs/>
          <w:i/>
          <w:iCs/>
          <w:szCs w:val="22"/>
          <w:lang w:val="en-IN"/>
        </w:rPr>
        <w:t>Metarhizium anisopliae</w:t>
      </w:r>
      <w:r>
        <w:rPr>
          <w:rFonts w:ascii="Arial" w:hAnsi="Arial" w:eastAsia="Calibri" w:cs="Arial"/>
          <w:bCs/>
          <w:szCs w:val="22"/>
          <w:lang w:val="en-IN"/>
        </w:rPr>
        <w:t xml:space="preserve"> or </w:t>
      </w:r>
      <w:r>
        <w:rPr>
          <w:rFonts w:ascii="Arial" w:hAnsi="Arial" w:eastAsia="Calibri" w:cs="Arial"/>
          <w:bCs/>
          <w:i/>
          <w:iCs/>
          <w:szCs w:val="22"/>
          <w:lang w:val="en-IN"/>
        </w:rPr>
        <w:t>B. bassiana</w:t>
      </w:r>
      <w:r>
        <w:rPr>
          <w:rFonts w:ascii="Arial" w:hAnsi="Arial" w:eastAsia="Calibri" w:cs="Arial"/>
          <w:bCs/>
          <w:szCs w:val="22"/>
          <w:lang w:val="en-IN"/>
        </w:rPr>
        <w:t xml:space="preserve"> against </w:t>
      </w:r>
      <w:r>
        <w:rPr>
          <w:rFonts w:ascii="Arial" w:hAnsi="Arial" w:eastAsia="Calibri" w:cs="Arial"/>
          <w:bCs/>
          <w:i/>
          <w:iCs/>
          <w:szCs w:val="22"/>
          <w:lang w:val="en-IN"/>
        </w:rPr>
        <w:t>L. decemlineata</w:t>
      </w:r>
      <w:r>
        <w:rPr>
          <w:rFonts w:ascii="Arial" w:hAnsi="Arial" w:eastAsia="Calibri" w:cs="Arial"/>
          <w:bCs/>
          <w:szCs w:val="22"/>
          <w:vertAlign w:val="superscript"/>
          <w:lang w:val="en-IN"/>
        </w:rPr>
        <w:t>43</w:t>
      </w:r>
      <w:r>
        <w:rPr>
          <w:rFonts w:ascii="Arial" w:hAnsi="Arial" w:eastAsia="Calibri" w:cs="Arial"/>
          <w:bCs/>
          <w:szCs w:val="22"/>
          <w:lang w:val="en-IN"/>
        </w:rPr>
        <w:t xml:space="preserve"> (Kryukov </w:t>
      </w:r>
      <w:r>
        <w:rPr>
          <w:rFonts w:ascii="Arial" w:hAnsi="Arial" w:eastAsia="Calibri" w:cs="Arial"/>
          <w:bCs/>
          <w:i/>
          <w:iCs/>
          <w:szCs w:val="22"/>
          <w:lang w:val="en-IN"/>
        </w:rPr>
        <w:t>et al</w:t>
      </w:r>
      <w:r>
        <w:rPr>
          <w:rFonts w:ascii="Arial" w:hAnsi="Arial" w:eastAsia="Calibri" w:cs="Arial"/>
          <w:bCs/>
          <w:szCs w:val="22"/>
          <w:lang w:val="en-IN"/>
        </w:rPr>
        <w:t xml:space="preserve">., 2009). Yaroslavtseva </w:t>
      </w:r>
      <w:r>
        <w:rPr>
          <w:rFonts w:ascii="Arial" w:hAnsi="Arial" w:eastAsia="Calibri" w:cs="Arial"/>
          <w:bCs/>
          <w:i/>
          <w:iCs/>
          <w:szCs w:val="22"/>
          <w:lang w:val="en-IN"/>
        </w:rPr>
        <w:t>et al</w:t>
      </w:r>
      <w:r>
        <w:rPr>
          <w:rFonts w:ascii="Arial" w:hAnsi="Arial" w:eastAsia="Calibri" w:cs="Arial"/>
          <w:bCs/>
          <w:szCs w:val="22"/>
          <w:lang w:val="en-IN"/>
        </w:rPr>
        <w:t>. (2017)</w:t>
      </w:r>
      <w:r>
        <w:rPr>
          <w:rFonts w:ascii="Arial" w:hAnsi="Arial" w:eastAsia="Calibri" w:cs="Arial"/>
          <w:bCs/>
          <w:szCs w:val="22"/>
          <w:vertAlign w:val="superscript"/>
          <w:lang w:val="en-IN"/>
        </w:rPr>
        <w:t>44</w:t>
      </w:r>
      <w:r>
        <w:rPr>
          <w:rFonts w:ascii="Arial" w:hAnsi="Arial" w:eastAsia="Calibri" w:cs="Arial"/>
          <w:bCs/>
          <w:szCs w:val="22"/>
          <w:lang w:val="en-IN"/>
        </w:rPr>
        <w:t xml:space="preserve"> demonstrated that sub-lethal doses of Bt var. </w:t>
      </w:r>
      <w:r>
        <w:rPr>
          <w:rFonts w:ascii="Arial" w:hAnsi="Arial" w:eastAsia="Calibri" w:cs="Arial"/>
          <w:bCs/>
          <w:i/>
          <w:iCs/>
          <w:szCs w:val="22"/>
          <w:lang w:val="en-IN"/>
        </w:rPr>
        <w:t>tenebrionis</w:t>
      </w:r>
      <w:r>
        <w:rPr>
          <w:rFonts w:ascii="Arial" w:hAnsi="Arial" w:eastAsia="Calibri" w:cs="Arial"/>
          <w:bCs/>
          <w:szCs w:val="22"/>
          <w:lang w:val="en-IN"/>
        </w:rPr>
        <w:t xml:space="preserve"> significantly suppressed cellular immunity and inhibited detoxification enzymes in </w:t>
      </w:r>
      <w:r>
        <w:rPr>
          <w:rFonts w:ascii="Arial" w:hAnsi="Arial" w:eastAsia="Calibri" w:cs="Arial"/>
          <w:bCs/>
          <w:i/>
          <w:iCs/>
          <w:szCs w:val="22"/>
          <w:lang w:val="en-IN"/>
        </w:rPr>
        <w:t>L. decemlineata</w:t>
      </w:r>
      <w:r>
        <w:rPr>
          <w:rFonts w:ascii="Arial" w:hAnsi="Arial" w:eastAsia="Calibri" w:cs="Arial"/>
          <w:bCs/>
          <w:szCs w:val="22"/>
          <w:lang w:val="en-IN"/>
        </w:rPr>
        <w:t xml:space="preserve">, resulting in a synergistic effect when combined with </w:t>
      </w:r>
      <w:r>
        <w:rPr>
          <w:rFonts w:ascii="Arial" w:hAnsi="Arial" w:eastAsia="Calibri" w:cs="Arial"/>
          <w:bCs/>
          <w:i/>
          <w:iCs/>
          <w:szCs w:val="22"/>
          <w:lang w:val="en-IN"/>
        </w:rPr>
        <w:t>M. robertsii.</w:t>
      </w:r>
    </w:p>
    <w:p w14:paraId="24CE9E5E">
      <w:pPr>
        <w:pStyle w:val="22"/>
        <w:spacing w:after="0"/>
        <w:rPr>
          <w:rFonts w:ascii="Arial" w:hAnsi="Arial" w:eastAsia="Calibri" w:cs="Arial"/>
          <w:bCs/>
          <w:szCs w:val="22"/>
          <w:lang w:val="en-IN"/>
        </w:rPr>
      </w:pPr>
    </w:p>
    <w:p w14:paraId="1A808ADE">
      <w:pPr>
        <w:pStyle w:val="22"/>
        <w:spacing w:after="0"/>
        <w:ind w:firstLine="720"/>
        <w:rPr>
          <w:rFonts w:ascii="Arial" w:hAnsi="Arial" w:eastAsia="Calibri" w:cs="Arial"/>
          <w:bCs/>
          <w:szCs w:val="22"/>
          <w:lang w:val="en-IN"/>
        </w:rPr>
      </w:pPr>
      <w:r>
        <w:rPr>
          <w:rFonts w:ascii="Arial" w:hAnsi="Arial" w:eastAsia="Calibri" w:cs="Arial"/>
          <w:bCs/>
          <w:szCs w:val="22"/>
          <w:lang w:val="en-IN"/>
        </w:rPr>
        <w:t xml:space="preserve">In another study by </w:t>
      </w:r>
      <w:r>
        <w:rPr>
          <w:rFonts w:ascii="Arial" w:hAnsi="Arial" w:eastAsia="Calibri" w:cs="Arial"/>
          <w:bCs/>
          <w:szCs w:val="22"/>
          <w:vertAlign w:val="superscript"/>
          <w:lang w:val="en-IN"/>
        </w:rPr>
        <w:t>45</w:t>
      </w:r>
      <w:r>
        <w:rPr>
          <w:rFonts w:ascii="Arial" w:hAnsi="Arial" w:eastAsia="Calibri" w:cs="Arial"/>
          <w:bCs/>
          <w:szCs w:val="22"/>
          <w:lang w:val="en-IN"/>
        </w:rPr>
        <w:t xml:space="preserve">Nouri-Ganbalani </w:t>
      </w:r>
      <w:r>
        <w:rPr>
          <w:rFonts w:ascii="Arial" w:hAnsi="Arial" w:eastAsia="Calibri" w:cs="Arial"/>
          <w:bCs/>
          <w:i/>
          <w:iCs/>
          <w:szCs w:val="22"/>
          <w:lang w:val="en-IN"/>
        </w:rPr>
        <w:t>et al</w:t>
      </w:r>
      <w:r>
        <w:rPr>
          <w:rFonts w:ascii="Arial" w:hAnsi="Arial" w:eastAsia="Calibri" w:cs="Arial"/>
          <w:bCs/>
          <w:szCs w:val="22"/>
          <w:lang w:val="en-IN"/>
        </w:rPr>
        <w:t xml:space="preserve">. (2016), the combination of </w:t>
      </w:r>
      <w:r>
        <w:rPr>
          <w:rFonts w:ascii="Arial" w:hAnsi="Arial" w:eastAsia="Calibri" w:cs="Arial"/>
          <w:bCs/>
          <w:i/>
          <w:iCs/>
          <w:szCs w:val="22"/>
          <w:lang w:val="en-IN"/>
        </w:rPr>
        <w:t>Bacillus thuringiensis</w:t>
      </w:r>
      <w:r>
        <w:rPr>
          <w:rFonts w:ascii="Arial" w:hAnsi="Arial" w:eastAsia="Calibri" w:cs="Arial"/>
          <w:bCs/>
          <w:szCs w:val="22"/>
          <w:lang w:val="en-IN"/>
        </w:rPr>
        <w:t xml:space="preserve"> (Bt) and neem at LC50 concentrations (490 μg a.i/mL for Bt and 241 μg a.i/mL for neem) exhibited synergistic effects against </w:t>
      </w:r>
      <w:r>
        <w:rPr>
          <w:rFonts w:ascii="Arial" w:hAnsi="Arial" w:eastAsia="Calibri" w:cs="Arial"/>
          <w:bCs/>
          <w:i/>
          <w:iCs/>
          <w:szCs w:val="22"/>
          <w:lang w:val="en-IN"/>
        </w:rPr>
        <w:t>Plodia interpunctella</w:t>
      </w:r>
      <w:r>
        <w:rPr>
          <w:rFonts w:ascii="Arial" w:hAnsi="Arial" w:eastAsia="Calibri" w:cs="Arial"/>
          <w:bCs/>
          <w:szCs w:val="22"/>
          <w:lang w:val="en-IN"/>
        </w:rPr>
        <w:t xml:space="preserve">, while the LC30 combination showed additive interactions. Niu </w:t>
      </w:r>
      <w:r>
        <w:rPr>
          <w:rFonts w:ascii="Arial" w:hAnsi="Arial" w:eastAsia="Calibri" w:cs="Arial"/>
          <w:bCs/>
          <w:i/>
          <w:iCs/>
          <w:szCs w:val="22"/>
          <w:lang w:val="en-IN"/>
        </w:rPr>
        <w:t>et al</w:t>
      </w:r>
      <w:r>
        <w:rPr>
          <w:rFonts w:ascii="Arial" w:hAnsi="Arial" w:eastAsia="Calibri" w:cs="Arial"/>
          <w:bCs/>
          <w:szCs w:val="22"/>
          <w:lang w:val="en-IN"/>
        </w:rPr>
        <w:t>. (2018)</w:t>
      </w:r>
      <w:r>
        <w:rPr>
          <w:rFonts w:ascii="Arial" w:hAnsi="Arial" w:eastAsia="Calibri" w:cs="Arial"/>
          <w:bCs/>
          <w:szCs w:val="22"/>
          <w:vertAlign w:val="superscript"/>
          <w:lang w:val="en-IN"/>
        </w:rPr>
        <w:t>46</w:t>
      </w:r>
      <w:r>
        <w:rPr>
          <w:rFonts w:ascii="Arial" w:hAnsi="Arial" w:eastAsia="Calibri" w:cs="Arial"/>
          <w:bCs/>
          <w:szCs w:val="22"/>
          <w:lang w:val="en-IN"/>
        </w:rPr>
        <w:t xml:space="preserve"> reported both additive and synergistic interactions between </w:t>
      </w:r>
      <w:r>
        <w:rPr>
          <w:rFonts w:ascii="Arial" w:hAnsi="Arial" w:eastAsia="Calibri" w:cs="Arial"/>
          <w:bCs/>
          <w:i/>
          <w:iCs/>
          <w:szCs w:val="22"/>
          <w:lang w:val="en-IN"/>
        </w:rPr>
        <w:t>Serratia marcescens</w:t>
      </w:r>
      <w:r>
        <w:rPr>
          <w:rFonts w:ascii="Arial" w:hAnsi="Arial" w:eastAsia="Calibri" w:cs="Arial"/>
          <w:bCs/>
          <w:szCs w:val="22"/>
          <w:lang w:val="en-IN"/>
        </w:rPr>
        <w:t xml:space="preserve"> and spirotetramat/thiamethoxam, depending on concentration, in laboratory and greenhouse studies against third instar nymphs of the brown plant hopper, </w:t>
      </w:r>
      <w:r>
        <w:rPr>
          <w:rFonts w:ascii="Arial" w:hAnsi="Arial" w:eastAsia="Calibri" w:cs="Arial"/>
          <w:bCs/>
          <w:i/>
          <w:iCs/>
          <w:szCs w:val="22"/>
          <w:lang w:val="en-IN"/>
        </w:rPr>
        <w:t>Nilaparvata lugens</w:t>
      </w:r>
      <w:r>
        <w:rPr>
          <w:rFonts w:ascii="Arial" w:hAnsi="Arial" w:eastAsia="Calibri" w:cs="Arial"/>
          <w:bCs/>
          <w:szCs w:val="22"/>
          <w:lang w:val="en-IN"/>
        </w:rPr>
        <w:t xml:space="preserve">. In India, Singh </w:t>
      </w:r>
      <w:r>
        <w:rPr>
          <w:rFonts w:ascii="Arial" w:hAnsi="Arial" w:eastAsia="Calibri" w:cs="Arial"/>
          <w:bCs/>
          <w:i/>
          <w:iCs/>
          <w:szCs w:val="22"/>
          <w:lang w:val="en-IN"/>
        </w:rPr>
        <w:t>et al</w:t>
      </w:r>
      <w:r>
        <w:rPr>
          <w:rFonts w:ascii="Arial" w:hAnsi="Arial" w:eastAsia="Calibri" w:cs="Arial"/>
          <w:bCs/>
          <w:szCs w:val="22"/>
          <w:lang w:val="en-IN"/>
        </w:rPr>
        <w:t>. (2016)</w:t>
      </w:r>
      <w:r>
        <w:rPr>
          <w:rFonts w:ascii="Arial" w:hAnsi="Arial" w:eastAsia="Calibri" w:cs="Arial"/>
          <w:bCs/>
          <w:szCs w:val="22"/>
          <w:vertAlign w:val="superscript"/>
          <w:lang w:val="en-IN"/>
        </w:rPr>
        <w:t>47</w:t>
      </w:r>
      <w:r>
        <w:rPr>
          <w:rFonts w:ascii="Arial" w:hAnsi="Arial" w:eastAsia="Calibri" w:cs="Arial"/>
          <w:bCs/>
          <w:szCs w:val="22"/>
          <w:lang w:val="en-IN"/>
        </w:rPr>
        <w:t xml:space="preserve"> found that a chitinase-producing bacterium, </w:t>
      </w:r>
      <w:r>
        <w:rPr>
          <w:rFonts w:ascii="Arial" w:hAnsi="Arial" w:eastAsia="Calibri" w:cs="Arial"/>
          <w:bCs/>
          <w:i/>
          <w:iCs/>
          <w:szCs w:val="22"/>
          <w:lang w:val="en-IN"/>
        </w:rPr>
        <w:t>Paenibacillus sp</w:t>
      </w:r>
      <w:r>
        <w:rPr>
          <w:rFonts w:ascii="Arial" w:hAnsi="Arial" w:eastAsia="Calibri" w:cs="Arial"/>
          <w:bCs/>
          <w:szCs w:val="22"/>
          <w:lang w:val="en-IN"/>
        </w:rPr>
        <w:t xml:space="preserve">. D1, and chitinase extracted from this bacterium exhibited a synergistic interaction with acephate against the cotton bollworm, </w:t>
      </w:r>
      <w:r>
        <w:rPr>
          <w:rFonts w:ascii="Arial" w:hAnsi="Arial" w:eastAsia="Calibri" w:cs="Arial"/>
          <w:bCs/>
          <w:i/>
          <w:iCs/>
          <w:szCs w:val="22"/>
          <w:lang w:val="en-IN"/>
        </w:rPr>
        <w:t>Helicoverpa armigera</w:t>
      </w:r>
      <w:r>
        <w:rPr>
          <w:rFonts w:ascii="Arial" w:hAnsi="Arial" w:eastAsia="Calibri" w:cs="Arial"/>
          <w:bCs/>
          <w:szCs w:val="22"/>
          <w:lang w:val="en-IN"/>
        </w:rPr>
        <w:t>, in laboratory studies.</w:t>
      </w:r>
    </w:p>
    <w:p w14:paraId="26A902E1">
      <w:pPr>
        <w:pStyle w:val="22"/>
        <w:spacing w:after="0"/>
        <w:rPr>
          <w:rFonts w:ascii="Arial" w:hAnsi="Arial" w:eastAsia="Calibri" w:cs="Arial"/>
          <w:bCs/>
          <w:szCs w:val="22"/>
          <w:lang w:val="en-IN"/>
        </w:rPr>
      </w:pPr>
    </w:p>
    <w:p w14:paraId="505C2955">
      <w:pPr>
        <w:pStyle w:val="27"/>
        <w:spacing w:after="0"/>
        <w:jc w:val="both"/>
        <w:rPr>
          <w:rFonts w:ascii="Arial" w:hAnsi="Arial" w:cs="Arial"/>
        </w:rPr>
      </w:pPr>
      <w:r>
        <w:rPr>
          <w:rFonts w:ascii="Arial" w:hAnsi="Arial" w:cs="Arial"/>
        </w:rPr>
        <w:t>4. Conclusion</w:t>
      </w:r>
    </w:p>
    <w:p w14:paraId="022E1C75">
      <w:pPr>
        <w:spacing w:before="100" w:beforeAutospacing="1" w:after="100" w:afterAutospacing="1"/>
        <w:ind w:firstLine="720"/>
        <w:jc w:val="both"/>
        <w:rPr>
          <w:rFonts w:ascii="Arial" w:hAnsi="Arial" w:cs="Arial"/>
          <w:lang w:bidi="ml-IN"/>
        </w:rPr>
      </w:pPr>
      <w:r>
        <w:rPr>
          <w:rFonts w:ascii="Arial" w:hAnsi="Arial" w:cs="Arial"/>
          <w:lang w:bidi="ml-IN"/>
        </w:rPr>
        <w:t xml:space="preserve">The use of entomopathogenic bacteria in pest management represents a promising and sustainable alternative to conventional chemical pesticides. These microorganisms, particularly </w:t>
      </w:r>
      <w:r>
        <w:rPr>
          <w:rFonts w:ascii="Arial" w:hAnsi="Arial" w:cs="Arial"/>
          <w:i/>
          <w:iCs/>
          <w:lang w:bidi="ml-IN"/>
        </w:rPr>
        <w:t>Bacillus thuringiensis</w:t>
      </w:r>
      <w:r>
        <w:rPr>
          <w:rFonts w:ascii="Arial" w:hAnsi="Arial" w:cs="Arial"/>
          <w:lang w:bidi="ml-IN"/>
        </w:rPr>
        <w:t xml:space="preserve">, </w:t>
      </w:r>
      <w:r>
        <w:rPr>
          <w:rFonts w:ascii="Arial" w:hAnsi="Arial" w:cs="Arial"/>
          <w:i/>
          <w:iCs/>
          <w:lang w:bidi="ml-IN"/>
        </w:rPr>
        <w:t>Serratia</w:t>
      </w:r>
      <w:r>
        <w:rPr>
          <w:rFonts w:ascii="Arial" w:hAnsi="Arial" w:cs="Arial"/>
          <w:lang w:bidi="ml-IN"/>
        </w:rPr>
        <w:t xml:space="preserve">, </w:t>
      </w:r>
      <w:r>
        <w:rPr>
          <w:rFonts w:ascii="Arial" w:hAnsi="Arial" w:cs="Arial"/>
          <w:i/>
          <w:iCs/>
          <w:lang w:bidi="ml-IN"/>
        </w:rPr>
        <w:t>Paenibacillus</w:t>
      </w:r>
      <w:r>
        <w:rPr>
          <w:rFonts w:ascii="Arial" w:hAnsi="Arial" w:cs="Arial"/>
          <w:lang w:bidi="ml-IN"/>
        </w:rPr>
        <w:t xml:space="preserve">, </w:t>
      </w:r>
      <w:r>
        <w:rPr>
          <w:rFonts w:ascii="Arial" w:hAnsi="Arial" w:cs="Arial"/>
          <w:i/>
          <w:iCs/>
          <w:lang w:bidi="ml-IN"/>
        </w:rPr>
        <w:t>Photorhabdus</w:t>
      </w:r>
      <w:r>
        <w:rPr>
          <w:rFonts w:ascii="Arial" w:hAnsi="Arial" w:cs="Arial"/>
          <w:lang w:bidi="ml-IN"/>
        </w:rPr>
        <w:t xml:space="preserve">, and </w:t>
      </w:r>
      <w:r>
        <w:rPr>
          <w:rFonts w:ascii="Arial" w:hAnsi="Arial" w:cs="Arial"/>
          <w:i/>
          <w:iCs/>
          <w:lang w:bidi="ml-IN"/>
        </w:rPr>
        <w:t>Xenorhabdus</w:t>
      </w:r>
      <w:r>
        <w:rPr>
          <w:rFonts w:ascii="Arial" w:hAnsi="Arial" w:cs="Arial"/>
          <w:lang w:bidi="ml-IN"/>
        </w:rPr>
        <w:t>, have demonstrated significant potential in controlling insect pests through targeted mechanisms, minimizing harm to non-target organisms and reducing environmental pollution. The integration of bacterial-based biopesticides into Integrated Pest Management (IPM) frameworks enhances the sustainability of agricultural practices while addressing concerns related to pesticide resistance and ecological imbalance.</w:t>
      </w:r>
    </w:p>
    <w:p w14:paraId="3E065CAA">
      <w:pPr>
        <w:spacing w:before="100" w:beforeAutospacing="1" w:after="100" w:afterAutospacing="1"/>
        <w:ind w:firstLine="720"/>
        <w:jc w:val="both"/>
        <w:rPr>
          <w:rFonts w:ascii="Arial" w:hAnsi="Arial" w:cs="Arial"/>
          <w:lang w:bidi="ml-IN"/>
        </w:rPr>
      </w:pPr>
      <w:r>
        <w:rPr>
          <w:rFonts w:ascii="Arial" w:hAnsi="Arial" w:cs="Arial"/>
          <w:lang w:bidi="ml-IN"/>
        </w:rPr>
        <w:t>Despite their advantages, the large-scale adoption of bacterial biopesticides faces challenges such as formulation stability, environmental persistence, and commercial feasibility. Advancements in microbial biotechnology, genetic engineering, and innovative application techniques are essential to overcoming these limitations. With continued research and regulatory support, bacterial-based pest control strategies can play a pivotal role in ensuring long-term agricultural sustainability, improving food security, and mitigating the adverse effects of chemical pesticides on the environment. By embracing microbial solutions, modern agriculture can achieve a balance between effective pest management and ecological preservation.</w:t>
      </w:r>
      <w:r>
        <w:commentReference w:id="8"/>
      </w:r>
    </w:p>
    <w:p w14:paraId="609A0F4C">
      <w:pPr>
        <w:pStyle w:val="27"/>
        <w:spacing w:after="0"/>
        <w:jc w:val="both"/>
        <w:rPr>
          <w:rFonts w:ascii="Arial" w:hAnsi="Arial" w:cs="Arial"/>
        </w:rPr>
      </w:pPr>
    </w:p>
    <w:p w14:paraId="7AAA950A">
      <w:pPr>
        <w:pStyle w:val="27"/>
        <w:spacing w:after="0"/>
        <w:jc w:val="both"/>
        <w:rPr>
          <w:rFonts w:ascii="Arial" w:hAnsi="Arial" w:cs="Arial"/>
        </w:rPr>
      </w:pPr>
    </w:p>
    <w:p w14:paraId="02465764">
      <w:pPr>
        <w:pStyle w:val="22"/>
        <w:spacing w:after="0"/>
        <w:rPr>
          <w:rFonts w:ascii="Arial" w:hAnsi="Arial" w:cs="Arial"/>
        </w:rPr>
      </w:pPr>
    </w:p>
    <w:p w14:paraId="7B02ECB9">
      <w:pPr>
        <w:pStyle w:val="29"/>
        <w:spacing w:after="0"/>
        <w:jc w:val="both"/>
        <w:rPr>
          <w:rFonts w:ascii="Arial" w:hAnsi="Arial" w:cs="Arial"/>
        </w:rPr>
      </w:pPr>
    </w:p>
    <w:p w14:paraId="75B50D3C">
      <w:pPr>
        <w:pStyle w:val="29"/>
        <w:spacing w:after="0"/>
        <w:jc w:val="both"/>
        <w:rPr>
          <w:rFonts w:ascii="Arial" w:hAnsi="Arial" w:cs="Arial"/>
        </w:rPr>
      </w:pPr>
    </w:p>
    <w:p w14:paraId="7C8183B6">
      <w:pPr>
        <w:pStyle w:val="29"/>
        <w:spacing w:after="0"/>
        <w:jc w:val="both"/>
        <w:rPr>
          <w:rFonts w:ascii="Arial" w:hAnsi="Arial" w:cs="Arial"/>
        </w:rPr>
      </w:pPr>
    </w:p>
    <w:p w14:paraId="7550D0C7">
      <w:pPr>
        <w:pStyle w:val="22"/>
        <w:spacing w:after="0"/>
        <w:rPr>
          <w:b/>
          <w:bCs/>
          <w:lang w:val="en-IN"/>
        </w:rPr>
      </w:pPr>
      <w:bookmarkStart w:id="4" w:name="_Hlk190953099"/>
      <w:r>
        <w:rPr>
          <w:b/>
          <w:bCs/>
          <w:lang w:val="en-IN"/>
        </w:rPr>
        <w:t>REFERENCES</w:t>
      </w:r>
    </w:p>
    <w:p w14:paraId="2A423220">
      <w:pPr>
        <w:pStyle w:val="22"/>
        <w:spacing w:after="0"/>
        <w:rPr>
          <w:b/>
          <w:bCs/>
          <w:lang w:val="en-IN"/>
        </w:rPr>
      </w:pPr>
    </w:p>
    <w:p w14:paraId="38665BAD">
      <w:pPr>
        <w:pStyle w:val="22"/>
        <w:numPr>
          <w:ilvl w:val="0"/>
          <w:numId w:val="2"/>
        </w:numPr>
        <w:spacing w:after="0"/>
        <w:rPr>
          <w:lang w:val="en-IN"/>
        </w:rPr>
      </w:pPr>
      <w:r>
        <w:rPr>
          <w:lang w:val="en-IN"/>
        </w:rPr>
        <w:t>Ruiu, L. (2015). Insect pathogenic bacteria in integrated pest management. Insects, 6(2): pp.352-367.</w:t>
      </w:r>
    </w:p>
    <w:p w14:paraId="49D7DF94">
      <w:pPr>
        <w:pStyle w:val="22"/>
        <w:numPr>
          <w:ilvl w:val="0"/>
          <w:numId w:val="2"/>
        </w:numPr>
        <w:spacing w:after="0"/>
        <w:rPr>
          <w:lang w:val="en-IN"/>
        </w:rPr>
      </w:pPr>
      <w:r>
        <w:rPr>
          <w:lang w:val="en-IN"/>
        </w:rPr>
        <w:t>Vega, F.E. and Kaya, H.K. (2012). Insect pathology. Academic press, Elsevier, London, UK, p. 504.</w:t>
      </w:r>
    </w:p>
    <w:p w14:paraId="79A90189">
      <w:pPr>
        <w:pStyle w:val="22"/>
        <w:numPr>
          <w:ilvl w:val="0"/>
          <w:numId w:val="2"/>
        </w:numPr>
        <w:spacing w:after="0"/>
        <w:rPr>
          <w:lang w:val="en-IN"/>
        </w:rPr>
      </w:pPr>
      <w:r>
        <w:rPr>
          <w:lang w:val="en-IN"/>
        </w:rPr>
        <w:t xml:space="preserve">Rajendran, B. and Gopalan, M. (1999). Effects of biopathogens </w:t>
      </w:r>
      <w:r>
        <w:rPr>
          <w:i/>
          <w:iCs/>
          <w:lang w:val="en-IN"/>
        </w:rPr>
        <w:t>(Bacillus thuringiensis</w:t>
      </w:r>
      <w:r>
        <w:rPr>
          <w:lang w:val="en-IN"/>
        </w:rPr>
        <w:t xml:space="preserve"> Berliner and </w:t>
      </w:r>
      <w:r>
        <w:rPr>
          <w:i/>
          <w:iCs/>
          <w:lang w:val="en-IN"/>
        </w:rPr>
        <w:t>Beauveria bassiana</w:t>
      </w:r>
      <w:r>
        <w:rPr>
          <w:lang w:val="en-IN"/>
        </w:rPr>
        <w:t xml:space="preserve"> Vuillemin) on different stages of eggplant spotted beetle, </w:t>
      </w:r>
      <w:r>
        <w:rPr>
          <w:i/>
          <w:iCs/>
          <w:lang w:val="en-IN"/>
        </w:rPr>
        <w:t>Henosepilanchna vigintioctopunctata</w:t>
      </w:r>
      <w:r>
        <w:rPr>
          <w:lang w:val="en-IN"/>
        </w:rPr>
        <w:t xml:space="preserve"> (Fabr) (Coleoptera: Coccinellidae). </w:t>
      </w:r>
      <w:r>
        <w:rPr>
          <w:i/>
          <w:iCs/>
          <w:lang w:val="en-IN"/>
        </w:rPr>
        <w:t>J. Entomol. Res</w:t>
      </w:r>
      <w:r>
        <w:rPr>
          <w:lang w:val="en-IN"/>
        </w:rPr>
        <w:t>.23(1): 9-14.</w:t>
      </w:r>
    </w:p>
    <w:p w14:paraId="63ACDDA1">
      <w:pPr>
        <w:pStyle w:val="22"/>
        <w:numPr>
          <w:ilvl w:val="0"/>
          <w:numId w:val="2"/>
        </w:numPr>
        <w:spacing w:after="0"/>
        <w:rPr>
          <w:lang w:val="en-IN"/>
        </w:rPr>
      </w:pPr>
      <w:r>
        <w:rPr>
          <w:lang w:val="en-IN"/>
        </w:rPr>
        <w:t xml:space="preserve">Markandeya, V., Chandurkar, P.S., and Divakar, B.J. 2001. Leaf area protection due to </w:t>
      </w:r>
      <w:r>
        <w:rPr>
          <w:i/>
          <w:iCs/>
          <w:lang w:val="en-IN"/>
        </w:rPr>
        <w:t>Bacillus thuringiensis</w:t>
      </w:r>
      <w:r>
        <w:rPr>
          <w:lang w:val="en-IN"/>
        </w:rPr>
        <w:t xml:space="preserve"> Berliner against </w:t>
      </w:r>
      <w:r>
        <w:rPr>
          <w:i/>
          <w:iCs/>
          <w:lang w:val="en-IN"/>
        </w:rPr>
        <w:t>Henosepilanchna vigintioctopunctata</w:t>
      </w:r>
      <w:r>
        <w:rPr>
          <w:lang w:val="en-IN"/>
        </w:rPr>
        <w:t xml:space="preserve"> L. infesting brinjal. </w:t>
      </w:r>
      <w:r>
        <w:rPr>
          <w:i/>
          <w:iCs/>
          <w:lang w:val="en-IN"/>
        </w:rPr>
        <w:t>Indian J. Plant Prot.</w:t>
      </w:r>
      <w:r>
        <w:rPr>
          <w:lang w:val="en-IN"/>
        </w:rPr>
        <w:t xml:space="preserve"> 29(1-2): 134-135.</w:t>
      </w:r>
    </w:p>
    <w:p w14:paraId="79BF42E0">
      <w:pPr>
        <w:pStyle w:val="22"/>
        <w:numPr>
          <w:ilvl w:val="0"/>
          <w:numId w:val="2"/>
        </w:numPr>
        <w:spacing w:after="0"/>
        <w:rPr>
          <w:lang w:val="en-IN"/>
        </w:rPr>
      </w:pPr>
      <w:r>
        <w:rPr>
          <w:lang w:val="en-IN"/>
        </w:rPr>
        <w:t xml:space="preserve">Neema, P.M., Girija, D., and Mathew, M.P. (2010). Bioefficacy of native </w:t>
      </w:r>
      <w:r>
        <w:rPr>
          <w:i/>
          <w:iCs/>
          <w:lang w:val="en-IN"/>
        </w:rPr>
        <w:t>Bacillus thuringiensis</w:t>
      </w:r>
      <w:r>
        <w:rPr>
          <w:lang w:val="en-IN"/>
        </w:rPr>
        <w:t xml:space="preserve"> isolates from the Western Ghats of Kerala on pumkin caterpillar </w:t>
      </w:r>
      <w:r>
        <w:rPr>
          <w:i/>
          <w:iCs/>
          <w:lang w:val="en-IN"/>
        </w:rPr>
        <w:t>Diaphania indica</w:t>
      </w:r>
      <w:r>
        <w:rPr>
          <w:lang w:val="en-IN"/>
        </w:rPr>
        <w:t xml:space="preserve"> (Saund.) (Lepidoptera:Pyralidae). </w:t>
      </w:r>
      <w:r>
        <w:rPr>
          <w:i/>
          <w:iCs/>
          <w:lang w:val="en-IN"/>
        </w:rPr>
        <w:t>Entomon.</w:t>
      </w:r>
      <w:r>
        <w:rPr>
          <w:lang w:val="en-IN"/>
        </w:rPr>
        <w:t xml:space="preserve"> 35(4):217-224.</w:t>
      </w:r>
    </w:p>
    <w:p w14:paraId="39757FF7">
      <w:pPr>
        <w:pStyle w:val="22"/>
        <w:numPr>
          <w:ilvl w:val="0"/>
          <w:numId w:val="2"/>
        </w:numPr>
        <w:spacing w:after="0"/>
        <w:rPr>
          <w:lang w:val="en-IN"/>
        </w:rPr>
      </w:pPr>
      <w:r>
        <w:rPr>
          <w:lang w:val="en-IN"/>
        </w:rPr>
        <w:t xml:space="preserve">EPA [Environmental Protection Agency]. (2013). Regulating biopesticides [Online]. Available: </w:t>
      </w:r>
      <w:r>
        <w:fldChar w:fldCharType="begin"/>
      </w:r>
      <w:r>
        <w:instrText xml:space="preserve"> HYPERLINK "https://www.epa.gov/opp00001/biopesticides" </w:instrText>
      </w:r>
      <w:r>
        <w:fldChar w:fldCharType="separate"/>
      </w:r>
      <w:r>
        <w:rPr>
          <w:rStyle w:val="14"/>
          <w:lang w:val="en-IN"/>
        </w:rPr>
        <w:t>https://www.epa.gov/opp00001/biopesticides</w:t>
      </w:r>
      <w:r>
        <w:rPr>
          <w:rStyle w:val="14"/>
          <w:lang w:val="en-IN"/>
        </w:rPr>
        <w:fldChar w:fldCharType="end"/>
      </w:r>
      <w:r>
        <w:rPr>
          <w:lang w:val="en-IN"/>
        </w:rPr>
        <w:t>. [12 March 2024].</w:t>
      </w:r>
    </w:p>
    <w:p w14:paraId="6BBAF27B">
      <w:pPr>
        <w:pStyle w:val="22"/>
        <w:numPr>
          <w:ilvl w:val="0"/>
          <w:numId w:val="2"/>
        </w:numPr>
        <w:spacing w:after="0"/>
        <w:rPr>
          <w:lang w:val="en-IN"/>
        </w:rPr>
      </w:pPr>
      <w:r>
        <w:rPr>
          <w:lang w:val="en-IN"/>
        </w:rPr>
        <w:t xml:space="preserve">Tanzini, M., Alves, S., Setten, A., and Augusto, N. (2001). Compatibilidad de agent estensoactivos com </w:t>
      </w:r>
      <w:r>
        <w:rPr>
          <w:i/>
          <w:iCs/>
          <w:lang w:val="en-IN"/>
        </w:rPr>
        <w:t>Beauveria bassiana</w:t>
      </w:r>
      <w:r>
        <w:rPr>
          <w:lang w:val="en-IN"/>
        </w:rPr>
        <w:t xml:space="preserve"> and </w:t>
      </w:r>
      <w:r>
        <w:rPr>
          <w:i/>
          <w:iCs/>
          <w:lang w:val="en-IN"/>
        </w:rPr>
        <w:t>Metarhizium anisopliae</w:t>
      </w:r>
      <w:r>
        <w:rPr>
          <w:lang w:val="en-IN"/>
        </w:rPr>
        <w:t xml:space="preserve">. </w:t>
      </w:r>
      <w:r>
        <w:rPr>
          <w:i/>
          <w:iCs/>
          <w:lang w:val="en-IN"/>
        </w:rPr>
        <w:t>Manejo Integrado de Plagas.</w:t>
      </w:r>
      <w:r>
        <w:rPr>
          <w:lang w:val="en-IN"/>
        </w:rPr>
        <w:t xml:space="preserve"> 59: 15–18.</w:t>
      </w:r>
    </w:p>
    <w:p w14:paraId="7DF54B05">
      <w:pPr>
        <w:pStyle w:val="22"/>
        <w:numPr>
          <w:ilvl w:val="0"/>
          <w:numId w:val="2"/>
        </w:numPr>
        <w:spacing w:after="0"/>
        <w:rPr>
          <w:lang w:val="en-IN"/>
        </w:rPr>
      </w:pPr>
      <w:r>
        <w:rPr>
          <w:lang w:val="en-IN"/>
        </w:rPr>
        <w:t xml:space="preserve">El-Menofy, W.H., Osman, G.H., Assaeedi A., and Salama, M.S. (2014). Construction of a novel recombinant Baculovirus containing Cry1 Ab Insecticidal Protein from </w:t>
      </w:r>
      <w:r>
        <w:rPr>
          <w:i/>
          <w:iCs/>
          <w:lang w:val="en-IN"/>
        </w:rPr>
        <w:t>Bacillus thuringiensis</w:t>
      </w:r>
      <w:r>
        <w:rPr>
          <w:lang w:val="en-IN"/>
        </w:rPr>
        <w:t xml:space="preserve">. </w:t>
      </w:r>
      <w:r>
        <w:rPr>
          <w:i/>
          <w:iCs/>
          <w:lang w:val="en-IN"/>
        </w:rPr>
        <w:t>Bio. Online Proceed</w:t>
      </w:r>
      <w:r>
        <w:rPr>
          <w:lang w:val="en-IN"/>
        </w:rPr>
        <w:t>. J.4:7-14.</w:t>
      </w:r>
    </w:p>
    <w:p w14:paraId="464C0636">
      <w:pPr>
        <w:pStyle w:val="22"/>
        <w:numPr>
          <w:ilvl w:val="0"/>
          <w:numId w:val="2"/>
        </w:numPr>
        <w:spacing w:after="0"/>
        <w:rPr>
          <w:lang w:val="en-IN"/>
        </w:rPr>
      </w:pPr>
      <w:r>
        <w:rPr>
          <w:lang w:val="en-IN"/>
        </w:rPr>
        <w:t xml:space="preserve">Mampallil, J.L. (2017). Management of major chewing pests, </w:t>
      </w:r>
      <w:r>
        <w:rPr>
          <w:i/>
          <w:iCs/>
          <w:lang w:val="en-IN"/>
        </w:rPr>
        <w:t>Henosepilachna septima</w:t>
      </w:r>
      <w:r>
        <w:rPr>
          <w:lang w:val="en-IN"/>
        </w:rPr>
        <w:t xml:space="preserve"> (Dieke) and </w:t>
      </w:r>
      <w:r>
        <w:rPr>
          <w:i/>
          <w:iCs/>
          <w:lang w:val="en-IN"/>
        </w:rPr>
        <w:t>Diaphania indica</w:t>
      </w:r>
      <w:r>
        <w:rPr>
          <w:lang w:val="en-IN"/>
        </w:rPr>
        <w:t xml:space="preserve"> (Saund) infesting bitter gourd with bioagents MSc. </w:t>
      </w:r>
      <w:r>
        <w:rPr>
          <w:i/>
          <w:iCs/>
          <w:lang w:val="en-IN"/>
        </w:rPr>
        <w:t>Thesis,</w:t>
      </w:r>
      <w:r>
        <w:rPr>
          <w:lang w:val="en-IN"/>
        </w:rPr>
        <w:t xml:space="preserve"> Kerala Agricultural University, 130p.</w:t>
      </w:r>
    </w:p>
    <w:p w14:paraId="6D972825">
      <w:pPr>
        <w:pStyle w:val="22"/>
        <w:numPr>
          <w:ilvl w:val="0"/>
          <w:numId w:val="2"/>
        </w:numPr>
        <w:spacing w:after="0"/>
        <w:rPr>
          <w:lang w:val="en-IN"/>
        </w:rPr>
      </w:pPr>
      <w:r>
        <w:rPr>
          <w:lang w:val="en-IN"/>
        </w:rPr>
        <w:t xml:space="preserve">Shawer, R., Donati, I., Cellini, A., Spinelli, F. and Mori, N. (2018). Insecticidal Activity of </w:t>
      </w:r>
      <w:r>
        <w:rPr>
          <w:i/>
          <w:iCs/>
          <w:lang w:val="en-IN"/>
        </w:rPr>
        <w:t>Photorhabdus luminescens</w:t>
      </w:r>
      <w:r>
        <w:rPr>
          <w:lang w:val="en-IN"/>
        </w:rPr>
        <w:t xml:space="preserve"> against </w:t>
      </w:r>
      <w:r>
        <w:rPr>
          <w:i/>
          <w:iCs/>
          <w:lang w:val="en-IN"/>
        </w:rPr>
        <w:t>Drosophila suzukii</w:t>
      </w:r>
      <w:r>
        <w:rPr>
          <w:lang w:val="en-IN"/>
        </w:rPr>
        <w:t xml:space="preserve">. </w:t>
      </w:r>
      <w:r>
        <w:rPr>
          <w:i/>
          <w:iCs/>
          <w:lang w:val="en-IN"/>
        </w:rPr>
        <w:t>Insects.</w:t>
      </w:r>
      <w:r>
        <w:rPr>
          <w:lang w:val="en-IN"/>
        </w:rPr>
        <w:t xml:space="preserve"> 9(4): 148- 153.</w:t>
      </w:r>
    </w:p>
    <w:p w14:paraId="5AEC0E2C">
      <w:pPr>
        <w:pStyle w:val="22"/>
        <w:numPr>
          <w:ilvl w:val="0"/>
          <w:numId w:val="2"/>
        </w:numPr>
        <w:spacing w:after="0"/>
        <w:rPr>
          <w:lang w:val="en-IN"/>
        </w:rPr>
      </w:pPr>
      <w:r>
        <w:rPr>
          <w:lang w:val="en-IN"/>
        </w:rPr>
        <w:t xml:space="preserve">Mahmood, S., Kumar, M., Kumari, P., Mahapatro, G.K., Banerjee, N., and Sarin, N. B. (2020). Novel insecticidal chitinase from the insect pathogen </w:t>
      </w:r>
      <w:r>
        <w:rPr>
          <w:i/>
          <w:iCs/>
          <w:lang w:val="en-IN"/>
        </w:rPr>
        <w:t>Xenorhabdus nematophila, Int. J. Biol. Macromolecules,</w:t>
      </w:r>
      <w:r>
        <w:rPr>
          <w:lang w:val="en-IN"/>
        </w:rPr>
        <w:t xml:space="preserve"> 159:394-401.</w:t>
      </w:r>
    </w:p>
    <w:p w14:paraId="2CE89C35">
      <w:pPr>
        <w:pStyle w:val="22"/>
        <w:numPr>
          <w:ilvl w:val="0"/>
          <w:numId w:val="2"/>
        </w:numPr>
        <w:spacing w:after="0"/>
        <w:rPr>
          <w:lang w:val="en-IN"/>
        </w:rPr>
      </w:pPr>
      <w:r>
        <w:rPr>
          <w:lang w:val="en-IN"/>
        </w:rPr>
        <w:t xml:space="preserve">Palma, L., Muñoz, D., Berry, C., Murillo, J., and Caballero, P. (2014). </w:t>
      </w:r>
      <w:r>
        <w:rPr>
          <w:i/>
          <w:iCs/>
          <w:lang w:val="en-IN"/>
        </w:rPr>
        <w:t>Bacillus thuringiensis</w:t>
      </w:r>
      <w:r>
        <w:rPr>
          <w:lang w:val="en-IN"/>
        </w:rPr>
        <w:t xml:space="preserve"> toxins: An overview of their biocidal activity. </w:t>
      </w:r>
      <w:r>
        <w:rPr>
          <w:i/>
          <w:iCs/>
          <w:lang w:val="en-IN"/>
        </w:rPr>
        <w:t>Toxins</w:t>
      </w:r>
      <w:r>
        <w:rPr>
          <w:lang w:val="en-IN"/>
        </w:rPr>
        <w:t xml:space="preserve"> 6(12) :3296–3325.</w:t>
      </w:r>
    </w:p>
    <w:p w14:paraId="72BD5825">
      <w:pPr>
        <w:pStyle w:val="22"/>
        <w:numPr>
          <w:ilvl w:val="0"/>
          <w:numId w:val="2"/>
        </w:numPr>
        <w:spacing w:after="0"/>
        <w:rPr>
          <w:lang w:val="en-IN"/>
        </w:rPr>
      </w:pPr>
      <w:r>
        <w:rPr>
          <w:lang w:val="en-IN"/>
        </w:rPr>
        <w:t xml:space="preserve">Yang L., Choufei W., Zhong X., Bingli G., and Liqin Z. (2018). Engineering the bacterial endophyte </w:t>
      </w:r>
      <w:r>
        <w:rPr>
          <w:i/>
          <w:iCs/>
          <w:lang w:val="en-IN"/>
        </w:rPr>
        <w:t>Burkholderia pyrrocinia</w:t>
      </w:r>
      <w:r>
        <w:rPr>
          <w:lang w:val="en-IN"/>
        </w:rPr>
        <w:t xml:space="preserve"> JK-SH007 for the control of lepidoptera larvae by introducing the cry218 genes of </w:t>
      </w:r>
      <w:r>
        <w:rPr>
          <w:i/>
          <w:iCs/>
          <w:lang w:val="en-IN"/>
        </w:rPr>
        <w:t>Bacillus thuringiensis. Biotechnol. Equip.</w:t>
      </w:r>
      <w:r>
        <w:rPr>
          <w:lang w:val="en-IN"/>
        </w:rPr>
        <w:t xml:space="preserve"> 31(6):1167-1172.</w:t>
      </w:r>
    </w:p>
    <w:p w14:paraId="64EB7ACD">
      <w:pPr>
        <w:pStyle w:val="22"/>
        <w:numPr>
          <w:ilvl w:val="0"/>
          <w:numId w:val="2"/>
        </w:numPr>
        <w:spacing w:after="0"/>
        <w:rPr>
          <w:lang w:val="en-IN"/>
        </w:rPr>
      </w:pPr>
      <w:r>
        <w:rPr>
          <w:lang w:val="en-IN"/>
        </w:rPr>
        <w:t xml:space="preserve">Plata-Rueda, A., Quintero, H. A., Eduardo, S. J. and Mart Ã¬nez, L. C. (2020). Insecticidal Activity of </w:t>
      </w:r>
      <w:r>
        <w:rPr>
          <w:i/>
          <w:iCs/>
          <w:lang w:val="en-IN"/>
        </w:rPr>
        <w:t>Bacillus thuringiensis</w:t>
      </w:r>
      <w:r>
        <w:rPr>
          <w:lang w:val="en-IN"/>
        </w:rPr>
        <w:t xml:space="preserve"> strains on the Nettle Caterpillar, </w:t>
      </w:r>
      <w:r>
        <w:rPr>
          <w:i/>
          <w:iCs/>
          <w:lang w:val="en-IN"/>
        </w:rPr>
        <w:t>Euprosterna elaeasa</w:t>
      </w:r>
      <w:r>
        <w:rPr>
          <w:lang w:val="en-IN"/>
        </w:rPr>
        <w:t xml:space="preserve"> (Lepidoptera: Limacodidae). </w:t>
      </w:r>
      <w:r>
        <w:rPr>
          <w:i/>
          <w:iCs/>
          <w:lang w:val="en-IN"/>
        </w:rPr>
        <w:t>Insects.</w:t>
      </w:r>
      <w:r>
        <w:rPr>
          <w:lang w:val="en-IN"/>
        </w:rPr>
        <w:t xml:space="preserve"> 11(5): 310-320.</w:t>
      </w:r>
    </w:p>
    <w:p w14:paraId="38D2F1F3">
      <w:pPr>
        <w:pStyle w:val="22"/>
        <w:numPr>
          <w:ilvl w:val="0"/>
          <w:numId w:val="2"/>
        </w:numPr>
        <w:spacing w:after="0"/>
        <w:rPr>
          <w:lang w:val="en-IN"/>
        </w:rPr>
      </w:pPr>
      <w:r>
        <w:rPr>
          <w:lang w:val="en-IN"/>
        </w:rPr>
        <w:t xml:space="preserve">Wirth, M. C., Berry, C., Walton, W. E. and Federici, B. A. (2014). Mtx toxins from </w:t>
      </w:r>
      <w:r>
        <w:rPr>
          <w:i/>
          <w:iCs/>
          <w:lang w:val="en-IN"/>
        </w:rPr>
        <w:t>Lysinibacillus sphaericus</w:t>
      </w:r>
      <w:r>
        <w:rPr>
          <w:lang w:val="en-IN"/>
        </w:rPr>
        <w:t xml:space="preserve"> enhance mosquitocidal cry-toxin activity and suppress cry-resistance in </w:t>
      </w:r>
      <w:r>
        <w:rPr>
          <w:i/>
          <w:iCs/>
          <w:lang w:val="en-IN"/>
        </w:rPr>
        <w:t>Culex quinquefasciatus. J. Invertebr. Pathol.</w:t>
      </w:r>
      <w:r>
        <w:rPr>
          <w:lang w:val="en-IN"/>
        </w:rPr>
        <w:t xml:space="preserve"> 115: 62–67.</w:t>
      </w:r>
    </w:p>
    <w:p w14:paraId="0F98CB33">
      <w:pPr>
        <w:pStyle w:val="22"/>
        <w:numPr>
          <w:ilvl w:val="0"/>
          <w:numId w:val="2"/>
        </w:numPr>
        <w:spacing w:after="0"/>
        <w:rPr>
          <w:lang w:val="en-IN"/>
        </w:rPr>
      </w:pPr>
      <w:r>
        <w:rPr>
          <w:lang w:val="en-IN"/>
        </w:rPr>
        <w:t xml:space="preserve">Rojas-Pinzón, P. A., Silva-Fernández, J. J. and Dussán, J. (2018). Laboratory and simulated-field bioassays for assessing mixed cultures of </w:t>
      </w:r>
      <w:r>
        <w:rPr>
          <w:i/>
          <w:iCs/>
          <w:lang w:val="en-IN"/>
        </w:rPr>
        <w:t>Lysinibacillus sphaericus</w:t>
      </w:r>
      <w:r>
        <w:rPr>
          <w:lang w:val="en-IN"/>
        </w:rPr>
        <w:t xml:space="preserve"> against </w:t>
      </w:r>
      <w:r>
        <w:rPr>
          <w:i/>
          <w:iCs/>
          <w:lang w:val="en-IN"/>
        </w:rPr>
        <w:t>Aedes aegypti</w:t>
      </w:r>
      <w:r>
        <w:rPr>
          <w:lang w:val="en-IN"/>
        </w:rPr>
        <w:t xml:space="preserve"> (Diptera: Culicidae) larvae resistant to temephos. </w:t>
      </w:r>
      <w:r>
        <w:rPr>
          <w:i/>
          <w:iCs/>
          <w:lang w:val="en-IN"/>
        </w:rPr>
        <w:t>Appl. Entomol. Zool.</w:t>
      </w:r>
      <w:r>
        <w:rPr>
          <w:lang w:val="en-IN"/>
        </w:rPr>
        <w:t xml:space="preserve"> 53: 183–191.</w:t>
      </w:r>
    </w:p>
    <w:p w14:paraId="73B827C9">
      <w:pPr>
        <w:pStyle w:val="22"/>
        <w:numPr>
          <w:ilvl w:val="0"/>
          <w:numId w:val="2"/>
        </w:numPr>
        <w:spacing w:after="0"/>
        <w:rPr>
          <w:lang w:val="en-IN"/>
        </w:rPr>
      </w:pPr>
      <w:r>
        <w:rPr>
          <w:lang w:val="en-IN"/>
        </w:rPr>
        <w:t xml:space="preserve">Molina C. A., Cana-Roca J. F., Osuna, A. and Vilchez, S. (2010). Selection of a Bacillus pumilus strain highly active against </w:t>
      </w:r>
      <w:r>
        <w:rPr>
          <w:i/>
          <w:iCs/>
          <w:lang w:val="en-IN"/>
        </w:rPr>
        <w:t>Ceratitis capitata</w:t>
      </w:r>
      <w:r>
        <w:rPr>
          <w:lang w:val="en-IN"/>
        </w:rPr>
        <w:t xml:space="preserve"> (Wiedemann) larvae. </w:t>
      </w:r>
      <w:r>
        <w:rPr>
          <w:i/>
          <w:iCs/>
          <w:lang w:val="en-IN"/>
        </w:rPr>
        <w:t>Appl. Environ. Microbiol.</w:t>
      </w:r>
      <w:r>
        <w:rPr>
          <w:lang w:val="en-IN"/>
        </w:rPr>
        <w:t xml:space="preserve"> 76:1320-1327.</w:t>
      </w:r>
    </w:p>
    <w:p w14:paraId="7ADB3610">
      <w:pPr>
        <w:pStyle w:val="22"/>
        <w:numPr>
          <w:ilvl w:val="0"/>
          <w:numId w:val="2"/>
        </w:numPr>
        <w:spacing w:after="0"/>
        <w:rPr>
          <w:lang w:val="en-IN"/>
        </w:rPr>
      </w:pPr>
      <w:r>
        <w:rPr>
          <w:lang w:val="en-IN"/>
        </w:rPr>
        <w:t xml:space="preserve">Abdelgaffar, H., Jackson, T., Jurat-Fuentes, J.L., Rowley, A.F., Coates, C.J., and Whitten, M.M. (2022). Bacterial diseases of insects. </w:t>
      </w:r>
      <w:r>
        <w:rPr>
          <w:i/>
          <w:iCs/>
          <w:lang w:val="en-IN"/>
        </w:rPr>
        <w:t>Invertebrate Pathology</w:t>
      </w:r>
      <w:r>
        <w:rPr>
          <w:lang w:val="en-IN"/>
        </w:rPr>
        <w:t>, p.286.</w:t>
      </w:r>
    </w:p>
    <w:p w14:paraId="46B60151">
      <w:pPr>
        <w:pStyle w:val="22"/>
        <w:numPr>
          <w:ilvl w:val="0"/>
          <w:numId w:val="2"/>
        </w:numPr>
        <w:spacing w:after="0"/>
        <w:rPr>
          <w:lang w:val="en-IN"/>
        </w:rPr>
      </w:pPr>
      <w:r>
        <w:rPr>
          <w:lang w:val="en-IN"/>
        </w:rPr>
        <w:t xml:space="preserve">Glare, T. R., Jurat-Fuentes, J. L. and O’Callaghan, M.  (2017). Basic and applied research: entomopathogenic bacteria. In: Lacey, L. A. </w:t>
      </w:r>
      <w:r>
        <w:rPr>
          <w:i/>
          <w:iCs/>
          <w:lang w:val="en-IN"/>
        </w:rPr>
        <w:t>Microbial Control of Insect and Mite Pests</w:t>
      </w:r>
      <w:r>
        <w:rPr>
          <w:lang w:val="en-IN"/>
        </w:rPr>
        <w:t xml:space="preserve">., Academic Press, London, UK, pp. 47-67. </w:t>
      </w:r>
    </w:p>
    <w:p w14:paraId="4F5D63DB">
      <w:pPr>
        <w:pStyle w:val="22"/>
        <w:numPr>
          <w:ilvl w:val="0"/>
          <w:numId w:val="2"/>
        </w:numPr>
        <w:spacing w:after="0"/>
        <w:rPr>
          <w:lang w:val="en-IN"/>
        </w:rPr>
      </w:pPr>
      <w:r>
        <w:rPr>
          <w:lang w:val="en-IN"/>
        </w:rPr>
        <w:t xml:space="preserve">Ruiu, L., Satta, A. and Floris, I. (2013). Emerging entomopathogenic bacteria for insect pest management.  </w:t>
      </w:r>
      <w:r>
        <w:rPr>
          <w:i/>
          <w:iCs/>
          <w:lang w:val="en-IN"/>
        </w:rPr>
        <w:t>Bull. Insectol.</w:t>
      </w:r>
      <w:r>
        <w:rPr>
          <w:lang w:val="en-IN"/>
        </w:rPr>
        <w:t xml:space="preserve"> 66:181–186.</w:t>
      </w:r>
    </w:p>
    <w:p w14:paraId="4CCCA3D2">
      <w:pPr>
        <w:pStyle w:val="22"/>
        <w:numPr>
          <w:ilvl w:val="0"/>
          <w:numId w:val="2"/>
        </w:numPr>
        <w:spacing w:after="0"/>
        <w:rPr>
          <w:lang w:val="en-IN"/>
        </w:rPr>
      </w:pPr>
      <w:r>
        <w:rPr>
          <w:lang w:val="en-IN"/>
        </w:rPr>
        <w:t xml:space="preserve">Ormskirk, M. M., Narciso, J., Hampton, J. G., Glare, T. R. and Chen, Q. S. (2019). Endophytic ability of the insecticidal bacterium </w:t>
      </w:r>
      <w:r>
        <w:rPr>
          <w:i/>
          <w:iCs/>
          <w:lang w:val="en-IN"/>
        </w:rPr>
        <w:t>Brevibacillus laterosporus</w:t>
      </w:r>
      <w:r>
        <w:rPr>
          <w:lang w:val="en-IN"/>
        </w:rPr>
        <w:t xml:space="preserve"> in Brassica. </w:t>
      </w:r>
      <w:r>
        <w:rPr>
          <w:i/>
          <w:iCs/>
          <w:lang w:val="en-IN"/>
        </w:rPr>
        <w:t>PLOS ONE</w:t>
      </w:r>
      <w:r>
        <w:rPr>
          <w:lang w:val="en-IN"/>
        </w:rPr>
        <w:t>. 14(5):1-18.</w:t>
      </w:r>
    </w:p>
    <w:p w14:paraId="61B59245">
      <w:pPr>
        <w:pStyle w:val="22"/>
        <w:numPr>
          <w:ilvl w:val="0"/>
          <w:numId w:val="2"/>
        </w:numPr>
        <w:spacing w:after="0"/>
        <w:rPr>
          <w:lang w:val="en-IN"/>
        </w:rPr>
      </w:pPr>
      <w:r>
        <w:rPr>
          <w:lang w:val="en-IN"/>
        </w:rPr>
        <w:t xml:space="preserve">Bedini, S., Muniz, E. R., Tani, C., Conti, B., and Ruiu, L. (2020). Insecticidal potential of </w:t>
      </w:r>
      <w:r>
        <w:rPr>
          <w:i/>
          <w:iCs/>
          <w:lang w:val="en-IN"/>
        </w:rPr>
        <w:t>Brevibacillus laterosporus</w:t>
      </w:r>
      <w:r>
        <w:rPr>
          <w:lang w:val="en-IN"/>
        </w:rPr>
        <w:t xml:space="preserve"> against dipteran pest species in a wide ecological range. </w:t>
      </w:r>
      <w:r>
        <w:rPr>
          <w:i/>
          <w:iCs/>
          <w:lang w:val="en-IN"/>
        </w:rPr>
        <w:t>J. Invertebr Pathol.</w:t>
      </w:r>
      <w:r>
        <w:rPr>
          <w:lang w:val="en-IN"/>
        </w:rPr>
        <w:t xml:space="preserve"> [e-journal] 177. Available: https://doi.org/10.1016/j.jip.2020.107493. ISSN: 1096-0805 [ 21 September 2021].</w:t>
      </w:r>
    </w:p>
    <w:p w14:paraId="0DB938E3">
      <w:pPr>
        <w:pStyle w:val="22"/>
        <w:numPr>
          <w:ilvl w:val="0"/>
          <w:numId w:val="2"/>
        </w:numPr>
        <w:spacing w:after="0"/>
        <w:rPr>
          <w:lang w:val="en-IN"/>
        </w:rPr>
      </w:pPr>
      <w:r>
        <w:rPr>
          <w:lang w:val="en-IN"/>
        </w:rPr>
        <w:t>Trough….</w:t>
      </w:r>
    </w:p>
    <w:p w14:paraId="15C80B73">
      <w:pPr>
        <w:pStyle w:val="22"/>
        <w:numPr>
          <w:ilvl w:val="0"/>
          <w:numId w:val="2"/>
        </w:numPr>
        <w:spacing w:after="0"/>
        <w:rPr>
          <w:lang w:val="en-IN"/>
        </w:rPr>
      </w:pPr>
      <w:r>
        <w:rPr>
          <w:lang w:val="en-IN"/>
        </w:rPr>
        <w:t xml:space="preserve">Hurst, M. R. H., Beard, S. S., Jackson T. A. and Jones, S. M. (2007). Isolation and characterization of the </w:t>
      </w:r>
      <w:r>
        <w:rPr>
          <w:i/>
          <w:iCs/>
          <w:lang w:val="en-IN"/>
        </w:rPr>
        <w:t>Serratia entomophila</w:t>
      </w:r>
      <w:r>
        <w:rPr>
          <w:lang w:val="en-IN"/>
        </w:rPr>
        <w:t xml:space="preserve"> antifeeding prophage</w:t>
      </w:r>
      <w:r>
        <w:rPr>
          <w:i/>
          <w:iCs/>
          <w:lang w:val="en-IN"/>
        </w:rPr>
        <w:t>. Int J Syst Evol Microbiol.</w:t>
      </w:r>
      <w:r>
        <w:rPr>
          <w:lang w:val="en-IN"/>
        </w:rPr>
        <w:t xml:space="preserve"> 270(1), 42–48. </w:t>
      </w:r>
    </w:p>
    <w:p w14:paraId="366BE9FC">
      <w:pPr>
        <w:pStyle w:val="22"/>
        <w:numPr>
          <w:ilvl w:val="0"/>
          <w:numId w:val="2"/>
        </w:numPr>
        <w:spacing w:after="0"/>
        <w:rPr>
          <w:lang w:val="en-IN"/>
        </w:rPr>
      </w:pPr>
      <w:r>
        <w:rPr>
          <w:lang w:val="en-IN"/>
        </w:rPr>
        <w:t xml:space="preserve">Aswathy V. (2015). Management of epilachna beetle, </w:t>
      </w:r>
      <w:r>
        <w:rPr>
          <w:i/>
          <w:iCs/>
          <w:lang w:val="en-IN"/>
        </w:rPr>
        <w:t>Henosepilachna vigintioctopunctata</w:t>
      </w:r>
      <w:r>
        <w:rPr>
          <w:lang w:val="en-IN"/>
        </w:rPr>
        <w:t xml:space="preserve"> (Fab.) with phylloplane and pathogenic microorganisms. M. Sc. (Ag) </w:t>
      </w:r>
      <w:r>
        <w:rPr>
          <w:i/>
          <w:iCs/>
          <w:lang w:val="en-IN"/>
        </w:rPr>
        <w:t>thesis</w:t>
      </w:r>
      <w:r>
        <w:rPr>
          <w:lang w:val="en-IN"/>
        </w:rPr>
        <w:t>, Kerala Agricultural University, Thrissur, 56p.</w:t>
      </w:r>
    </w:p>
    <w:p w14:paraId="64FC2CA8">
      <w:pPr>
        <w:pStyle w:val="22"/>
        <w:numPr>
          <w:ilvl w:val="0"/>
          <w:numId w:val="2"/>
        </w:numPr>
        <w:spacing w:after="0"/>
        <w:rPr>
          <w:lang w:val="en-IN"/>
        </w:rPr>
      </w:pPr>
      <w:r>
        <w:rPr>
          <w:lang w:val="en-IN"/>
        </w:rPr>
        <w:t xml:space="preserve">Pu, Y. C. and Hou, Y. M. (2016). Isolation and identification of bacterial strains with insecticidal activities from </w:t>
      </w:r>
      <w:r>
        <w:rPr>
          <w:i/>
          <w:iCs/>
          <w:lang w:val="en-IN"/>
        </w:rPr>
        <w:t>Rhynchophorus ferrugineus</w:t>
      </w:r>
      <w:r>
        <w:rPr>
          <w:lang w:val="en-IN"/>
        </w:rPr>
        <w:t xml:space="preserve"> Oliver (Coleoptera: Curculionidae). </w:t>
      </w:r>
      <w:r>
        <w:rPr>
          <w:i/>
          <w:iCs/>
          <w:lang w:val="en-IN"/>
        </w:rPr>
        <w:t>J. Appl. Entomol.</w:t>
      </w:r>
      <w:r>
        <w:rPr>
          <w:lang w:val="en-IN"/>
        </w:rPr>
        <w:t xml:space="preserve"> 140(8):617-626.</w:t>
      </w:r>
    </w:p>
    <w:p w14:paraId="394A0724">
      <w:pPr>
        <w:pStyle w:val="22"/>
        <w:numPr>
          <w:ilvl w:val="0"/>
          <w:numId w:val="2"/>
        </w:numPr>
        <w:spacing w:after="0"/>
        <w:rPr>
          <w:lang w:val="en-IN"/>
        </w:rPr>
      </w:pPr>
      <w:r>
        <w:rPr>
          <w:lang w:val="en-IN"/>
        </w:rPr>
        <w:t xml:space="preserve">Hurst, M. R., Becher, S. A., Young, S. D., Nelson, T. L. and Glare, T. R. (2011). </w:t>
      </w:r>
      <w:r>
        <w:rPr>
          <w:i/>
          <w:iCs/>
          <w:lang w:val="en-IN"/>
        </w:rPr>
        <w:t>Yersinia entomophaga</w:t>
      </w:r>
      <w:r>
        <w:rPr>
          <w:lang w:val="en-IN"/>
        </w:rPr>
        <w:t xml:space="preserve"> </w:t>
      </w:r>
      <w:r>
        <w:rPr>
          <w:i/>
          <w:iCs/>
          <w:lang w:val="en-IN"/>
        </w:rPr>
        <w:t>sp</w:t>
      </w:r>
      <w:r>
        <w:rPr>
          <w:lang w:val="en-IN"/>
        </w:rPr>
        <w:t xml:space="preserve">. isolated from the New Zealand grass grub Costelytra zealandica. </w:t>
      </w:r>
      <w:r>
        <w:rPr>
          <w:i/>
          <w:iCs/>
          <w:lang w:val="en-IN"/>
        </w:rPr>
        <w:t>Int J Syst Evol Microbiol.</w:t>
      </w:r>
      <w:r>
        <w:rPr>
          <w:lang w:val="en-IN"/>
        </w:rPr>
        <w:t xml:space="preserve"> 61:844-849.</w:t>
      </w:r>
    </w:p>
    <w:p w14:paraId="6800CF4F">
      <w:pPr>
        <w:pStyle w:val="22"/>
        <w:numPr>
          <w:ilvl w:val="0"/>
          <w:numId w:val="2"/>
        </w:numPr>
        <w:spacing w:after="0"/>
        <w:rPr>
          <w:lang w:val="en-IN"/>
        </w:rPr>
      </w:pPr>
      <w:r>
        <w:rPr>
          <w:lang w:val="en-IN"/>
        </w:rPr>
        <w:t xml:space="preserve">Hurst, M. R., Swaminathan, J., Wright, D. A., Hardwick, S., Ferguson, C. M., Beattie, A., Richards, N. K., Harper, L., Moss, R. A., Cave, V. M., Koten, C., and McNeill, M. R. (2020). Development of a </w:t>
      </w:r>
      <w:r>
        <w:rPr>
          <w:i/>
          <w:iCs/>
          <w:lang w:val="en-IN"/>
        </w:rPr>
        <w:t>Yersinia entomophaga</w:t>
      </w:r>
      <w:r>
        <w:rPr>
          <w:lang w:val="en-IN"/>
        </w:rPr>
        <w:t xml:space="preserve"> bait for control of larvae of the porina moth (</w:t>
      </w:r>
      <w:r>
        <w:rPr>
          <w:i/>
          <w:iCs/>
          <w:lang w:val="en-IN"/>
        </w:rPr>
        <w:t>Wiseana spp</w:t>
      </w:r>
      <w:r>
        <w:rPr>
          <w:lang w:val="en-IN"/>
        </w:rPr>
        <w:t xml:space="preserve">.), a pest of New Zealand improved grassland systems. </w:t>
      </w:r>
      <w:r>
        <w:rPr>
          <w:i/>
          <w:iCs/>
          <w:lang w:val="en-IN"/>
        </w:rPr>
        <w:t>Pest Manag. Sci.</w:t>
      </w:r>
      <w:r>
        <w:rPr>
          <w:lang w:val="en-IN"/>
        </w:rPr>
        <w:t xml:space="preserve"> 76(1):350-359. </w:t>
      </w:r>
    </w:p>
    <w:p w14:paraId="021E04BC">
      <w:pPr>
        <w:pStyle w:val="22"/>
        <w:numPr>
          <w:ilvl w:val="0"/>
          <w:numId w:val="2"/>
        </w:numPr>
        <w:spacing w:after="0"/>
        <w:rPr>
          <w:lang w:val="en-IN"/>
        </w:rPr>
      </w:pPr>
      <w:r>
        <w:rPr>
          <w:lang w:val="en-IN"/>
        </w:rPr>
        <w:t xml:space="preserve">Wang, S., Han, H., Guo, Y., Carballar-Lejarazú, R., Sheng, L., Liang, G., Hu, X., Wang, R., Zhang F., and Wu, S. (2021). Isolation and identification of </w:t>
      </w:r>
      <w:r>
        <w:rPr>
          <w:i/>
          <w:iCs/>
          <w:lang w:val="en-IN"/>
        </w:rPr>
        <w:t>Pseudomonas entomophila</w:t>
      </w:r>
      <w:r>
        <w:rPr>
          <w:lang w:val="en-IN"/>
        </w:rPr>
        <w:t xml:space="preserve"> from </w:t>
      </w:r>
      <w:r>
        <w:rPr>
          <w:i/>
          <w:iCs/>
          <w:lang w:val="en-IN"/>
        </w:rPr>
        <w:t>Pinus massoniana</w:t>
      </w:r>
      <w:r>
        <w:rPr>
          <w:lang w:val="en-IN"/>
        </w:rPr>
        <w:t xml:space="preserve"> and its insecticidal activity against </w:t>
      </w:r>
      <w:r>
        <w:rPr>
          <w:i/>
          <w:iCs/>
          <w:lang w:val="en-IN"/>
        </w:rPr>
        <w:t>Monochamus alternatus</w:t>
      </w:r>
      <w:r>
        <w:rPr>
          <w:lang w:val="en-IN"/>
        </w:rPr>
        <w:t xml:space="preserve">, </w:t>
      </w:r>
      <w:r>
        <w:rPr>
          <w:i/>
          <w:iCs/>
          <w:lang w:val="en-IN"/>
        </w:rPr>
        <w:t>Biocontrol Sci. Technol.</w:t>
      </w:r>
      <w:r>
        <w:rPr>
          <w:lang w:val="en-IN"/>
        </w:rPr>
        <w:t xml:space="preserve"> 12(1):1-15.</w:t>
      </w:r>
    </w:p>
    <w:p w14:paraId="54A85D83">
      <w:pPr>
        <w:pStyle w:val="22"/>
        <w:numPr>
          <w:ilvl w:val="0"/>
          <w:numId w:val="2"/>
        </w:numPr>
        <w:spacing w:after="0"/>
        <w:rPr>
          <w:lang w:val="en-IN"/>
        </w:rPr>
      </w:pPr>
      <w:r>
        <w:rPr>
          <w:lang w:val="en-IN"/>
        </w:rPr>
        <w:t xml:space="preserve">Mohandkaci, H.O., Khemili, S., Benzena, F. and Halouane, F. (2015). Isolation and identification of entomopathogenic bacteria from Algerian desert soil and their effects against migratory locust, </w:t>
      </w:r>
      <w:r>
        <w:rPr>
          <w:i/>
          <w:iCs/>
          <w:lang w:val="en-IN"/>
        </w:rPr>
        <w:t>Locusta migratoria</w:t>
      </w:r>
      <w:r>
        <w:rPr>
          <w:lang w:val="en-IN"/>
        </w:rPr>
        <w:t xml:space="preserve"> (L.). </w:t>
      </w:r>
      <w:r>
        <w:rPr>
          <w:i/>
          <w:iCs/>
          <w:lang w:val="en-IN"/>
        </w:rPr>
        <w:t>Egyptian J Biol. Pest Control</w:t>
      </w:r>
      <w:r>
        <w:rPr>
          <w:lang w:val="en-IN"/>
        </w:rPr>
        <w:t>. 25(3):739-746.</w:t>
      </w:r>
    </w:p>
    <w:p w14:paraId="5A1853CA">
      <w:pPr>
        <w:pStyle w:val="22"/>
        <w:numPr>
          <w:ilvl w:val="0"/>
          <w:numId w:val="2"/>
        </w:numPr>
        <w:spacing w:after="0"/>
        <w:rPr>
          <w:lang w:val="en-IN"/>
        </w:rPr>
      </w:pPr>
      <w:r>
        <w:rPr>
          <w:lang w:val="en-IN"/>
        </w:rPr>
        <w:t xml:space="preserve">Van Loon, C., Bakker, P. and Pieterse C. M. J. (1998). Systemic resistance induced by rhizosphere bacteria. </w:t>
      </w:r>
      <w:r>
        <w:rPr>
          <w:i/>
          <w:iCs/>
          <w:lang w:val="en-IN"/>
        </w:rPr>
        <w:t>Annu. Rev. Phytopathol.</w:t>
      </w:r>
      <w:r>
        <w:rPr>
          <w:lang w:val="en-IN"/>
        </w:rPr>
        <w:t xml:space="preserve"> 36:453-83.</w:t>
      </w:r>
    </w:p>
    <w:p w14:paraId="72535E1F">
      <w:pPr>
        <w:pStyle w:val="22"/>
        <w:numPr>
          <w:ilvl w:val="0"/>
          <w:numId w:val="2"/>
        </w:numPr>
        <w:spacing w:after="0"/>
        <w:rPr>
          <w:lang w:val="en-IN"/>
        </w:rPr>
      </w:pPr>
      <w:r>
        <w:rPr>
          <w:lang w:val="en-IN"/>
        </w:rPr>
        <w:t xml:space="preserve">Saravanakumar, D., Lavanya, N., Muthumeena, B., Raguchander, T., Suresh, S. and Samiyappan, R. (2007). </w:t>
      </w:r>
      <w:r>
        <w:rPr>
          <w:i/>
          <w:iCs/>
          <w:lang w:val="en-IN"/>
        </w:rPr>
        <w:t>Pseudomonas fluorescens</w:t>
      </w:r>
      <w:r>
        <w:rPr>
          <w:lang w:val="en-IN"/>
        </w:rPr>
        <w:t xml:space="preserve"> enhances resistance and natural enemy population in rice plant against leaf folder. </w:t>
      </w:r>
      <w:r>
        <w:rPr>
          <w:i/>
          <w:iCs/>
          <w:lang w:val="en-IN"/>
        </w:rPr>
        <w:t>J Appl. Entomol.</w:t>
      </w:r>
      <w:r>
        <w:rPr>
          <w:lang w:val="en-IN"/>
        </w:rPr>
        <w:t xml:space="preserve"> 132:469-479.</w:t>
      </w:r>
    </w:p>
    <w:p w14:paraId="034EC121">
      <w:pPr>
        <w:pStyle w:val="22"/>
        <w:numPr>
          <w:ilvl w:val="0"/>
          <w:numId w:val="2"/>
        </w:numPr>
        <w:spacing w:after="0"/>
        <w:rPr>
          <w:lang w:val="en-IN"/>
        </w:rPr>
      </w:pPr>
      <w:r>
        <w:rPr>
          <w:lang w:val="en-IN"/>
        </w:rPr>
        <w:t xml:space="preserve">Praca, L. B. (2012). Interactions between </w:t>
      </w:r>
      <w:r>
        <w:rPr>
          <w:i/>
          <w:iCs/>
          <w:lang w:val="en-IN"/>
        </w:rPr>
        <w:t>Bacillus thuringiensis</w:t>
      </w:r>
      <w:r>
        <w:rPr>
          <w:lang w:val="en-IN"/>
        </w:rPr>
        <w:t xml:space="preserve"> strains and hybrids of cabbage for the control of </w:t>
      </w:r>
      <w:r>
        <w:rPr>
          <w:i/>
          <w:iCs/>
          <w:lang w:val="en-IN"/>
        </w:rPr>
        <w:t>Plutella xylostella</w:t>
      </w:r>
      <w:r>
        <w:rPr>
          <w:lang w:val="en-IN"/>
        </w:rPr>
        <w:t xml:space="preserve"> and plant growth promotion. </w:t>
      </w:r>
      <w:r>
        <w:rPr>
          <w:i/>
          <w:iCs/>
          <w:lang w:val="en-IN"/>
        </w:rPr>
        <w:t>M. Sc. thesis</w:t>
      </w:r>
      <w:r>
        <w:rPr>
          <w:lang w:val="en-IN"/>
        </w:rPr>
        <w:t>, Faculty of Agronomy and veterinary medicine, University of Brasilia, Brasilia., 141p.</w:t>
      </w:r>
    </w:p>
    <w:p w14:paraId="7F53B7D2">
      <w:pPr>
        <w:pStyle w:val="22"/>
        <w:numPr>
          <w:ilvl w:val="0"/>
          <w:numId w:val="2"/>
        </w:numPr>
        <w:spacing w:after="0"/>
        <w:rPr>
          <w:lang w:val="en-IN"/>
        </w:rPr>
      </w:pPr>
      <w:r>
        <w:rPr>
          <w:lang w:val="en-IN"/>
        </w:rPr>
        <w:t xml:space="preserve">González-Cabrera, J., Mollá, O., Montón, H., and Urbaneja, A. (2011). Efficacy of </w:t>
      </w:r>
      <w:r>
        <w:rPr>
          <w:i/>
          <w:iCs/>
          <w:lang w:val="en-IN"/>
        </w:rPr>
        <w:t>Bacillus thuringiensis</w:t>
      </w:r>
      <w:r>
        <w:rPr>
          <w:lang w:val="en-IN"/>
        </w:rPr>
        <w:t xml:space="preserve"> (Berliner) in controlling the tomato borer, </w:t>
      </w:r>
      <w:r>
        <w:rPr>
          <w:i/>
          <w:iCs/>
          <w:lang w:val="en-IN"/>
        </w:rPr>
        <w:t>Tuta absoluta</w:t>
      </w:r>
      <w:r>
        <w:rPr>
          <w:lang w:val="en-IN"/>
        </w:rPr>
        <w:t xml:space="preserve"> (Meyrick) (Lepidoptera: Gelechiidae). </w:t>
      </w:r>
      <w:r>
        <w:rPr>
          <w:i/>
          <w:iCs/>
          <w:lang w:val="en-IN"/>
        </w:rPr>
        <w:t>Biocontrol.</w:t>
      </w:r>
      <w:r>
        <w:rPr>
          <w:lang w:val="en-IN"/>
        </w:rPr>
        <w:t xml:space="preserve"> 56(1): 71–80.</w:t>
      </w:r>
    </w:p>
    <w:p w14:paraId="49BFF345">
      <w:pPr>
        <w:pStyle w:val="22"/>
        <w:numPr>
          <w:ilvl w:val="0"/>
          <w:numId w:val="2"/>
        </w:numPr>
        <w:spacing w:after="0"/>
        <w:rPr>
          <w:lang w:val="en-IN"/>
        </w:rPr>
      </w:pPr>
      <w:r>
        <w:rPr>
          <w:lang w:val="en-IN"/>
        </w:rPr>
        <w:t xml:space="preserve">Atia, H. H., Kamal, M. I., El Sayed, A. I., El- Adl, A. M., and Zaied, K.A. (2019). Additive effect of chitinase genes in transconjugants of entomopathogens </w:t>
      </w:r>
      <w:r>
        <w:rPr>
          <w:i/>
          <w:iCs/>
          <w:lang w:val="en-IN"/>
        </w:rPr>
        <w:t>Bacillus thuringiensis</w:t>
      </w:r>
      <w:r>
        <w:rPr>
          <w:lang w:val="en-IN"/>
        </w:rPr>
        <w:t xml:space="preserve"> to improve biological control of </w:t>
      </w:r>
      <w:r>
        <w:rPr>
          <w:i/>
          <w:iCs/>
          <w:lang w:val="en-IN"/>
        </w:rPr>
        <w:t>Tuta absoluta. J. Agric. Chem. Biotechnol.</w:t>
      </w:r>
      <w:r>
        <w:rPr>
          <w:lang w:val="en-IN"/>
        </w:rPr>
        <w:t xml:space="preserve"> 10 (8): 159 – 170.\</w:t>
      </w:r>
    </w:p>
    <w:p w14:paraId="63E471E9">
      <w:pPr>
        <w:pStyle w:val="22"/>
        <w:numPr>
          <w:ilvl w:val="0"/>
          <w:numId w:val="2"/>
        </w:numPr>
        <w:spacing w:after="0"/>
        <w:rPr>
          <w:lang w:val="en-IN"/>
        </w:rPr>
      </w:pPr>
      <w:r>
        <w:rPr>
          <w:lang w:val="en-IN"/>
        </w:rPr>
        <w:t xml:space="preserve">Brar, S.K., Verma, M., Tyagi, R.D. and Valéro, J.R., (2006). Recent advances in downstream processing and formulations of </w:t>
      </w:r>
      <w:r>
        <w:rPr>
          <w:i/>
          <w:iCs/>
          <w:lang w:val="en-IN"/>
        </w:rPr>
        <w:t>Bacillus thuringiensis</w:t>
      </w:r>
      <w:r>
        <w:rPr>
          <w:lang w:val="en-IN"/>
        </w:rPr>
        <w:t xml:space="preserve"> based biopesticides. </w:t>
      </w:r>
      <w:r>
        <w:rPr>
          <w:i/>
          <w:iCs/>
          <w:lang w:val="en-IN"/>
        </w:rPr>
        <w:t>Process biochem.</w:t>
      </w:r>
      <w:r>
        <w:rPr>
          <w:lang w:val="en-IN"/>
        </w:rPr>
        <w:t xml:space="preserve"> 41(2): pp.323-342.</w:t>
      </w:r>
    </w:p>
    <w:p w14:paraId="4DF2DB4C">
      <w:pPr>
        <w:pStyle w:val="22"/>
        <w:numPr>
          <w:ilvl w:val="0"/>
          <w:numId w:val="2"/>
        </w:numPr>
        <w:spacing w:after="0"/>
        <w:rPr>
          <w:lang w:val="en-IN"/>
        </w:rPr>
      </w:pPr>
      <w:r>
        <w:rPr>
          <w:lang w:val="en-IN"/>
        </w:rPr>
        <w:t xml:space="preserve">Rai, A.B., Halder, J., and Kodandaram, M.H. (2014). Emerging insect pest problems in vegetable crops and their management in India: An appraisal Pest Managemrnt. </w:t>
      </w:r>
      <w:r>
        <w:rPr>
          <w:i/>
          <w:iCs/>
          <w:lang w:val="en-IN"/>
        </w:rPr>
        <w:t>Hortic. Ecosyst.</w:t>
      </w:r>
      <w:r>
        <w:rPr>
          <w:lang w:val="en-IN"/>
        </w:rPr>
        <w:t xml:space="preserve"> 20(2): 113-122.</w:t>
      </w:r>
    </w:p>
    <w:p w14:paraId="78D3E2C6">
      <w:pPr>
        <w:pStyle w:val="22"/>
        <w:numPr>
          <w:ilvl w:val="0"/>
          <w:numId w:val="2"/>
        </w:numPr>
        <w:spacing w:after="0"/>
        <w:rPr>
          <w:lang w:val="en-IN"/>
        </w:rPr>
      </w:pPr>
      <w:r>
        <w:rPr>
          <w:lang w:val="en-IN"/>
        </w:rPr>
        <w:t xml:space="preserve">Glare, T., Caradus, J., Gelernter, W., Jackson, T., Keyhani, N., Köhl, J., Marrone, P., Morin, L., and Stewart, A. (2012). Have biopesticides come of age?. </w:t>
      </w:r>
      <w:r>
        <w:rPr>
          <w:i/>
          <w:iCs/>
          <w:lang w:val="en-IN"/>
        </w:rPr>
        <w:t>Trends in biotechnol.</w:t>
      </w:r>
      <w:r>
        <w:rPr>
          <w:lang w:val="en-IN"/>
        </w:rPr>
        <w:t xml:space="preserve"> 30(5): pp.250-258.</w:t>
      </w:r>
    </w:p>
    <w:p w14:paraId="73AFC2E8">
      <w:pPr>
        <w:pStyle w:val="22"/>
        <w:numPr>
          <w:ilvl w:val="0"/>
          <w:numId w:val="2"/>
        </w:numPr>
        <w:spacing w:after="0"/>
        <w:rPr>
          <w:lang w:val="en-IN"/>
        </w:rPr>
      </w:pPr>
      <w:r>
        <w:rPr>
          <w:lang w:val="en-IN"/>
        </w:rPr>
        <w:t xml:space="preserve">Wraight, S. P. and Ramos, M. E. (2005). Synergistic interaction between </w:t>
      </w:r>
      <w:r>
        <w:rPr>
          <w:i/>
          <w:iCs/>
          <w:lang w:val="en-IN"/>
        </w:rPr>
        <w:t>Beauveria bassiana</w:t>
      </w:r>
      <w:r>
        <w:rPr>
          <w:lang w:val="en-IN"/>
        </w:rPr>
        <w:t xml:space="preserve"> and </w:t>
      </w:r>
      <w:r>
        <w:rPr>
          <w:i/>
          <w:iCs/>
          <w:lang w:val="en-IN"/>
        </w:rPr>
        <w:t>Bacillus thuringiensis</w:t>
      </w:r>
      <w:r>
        <w:rPr>
          <w:lang w:val="en-IN"/>
        </w:rPr>
        <w:t xml:space="preserve"> tenebrionis based biopesticides applied against field populations of Colorado potato beetle larvae. </w:t>
      </w:r>
      <w:r>
        <w:rPr>
          <w:i/>
          <w:iCs/>
          <w:lang w:val="en-IN"/>
        </w:rPr>
        <w:t>J. Invertebr. Pathol.</w:t>
      </w:r>
      <w:r>
        <w:rPr>
          <w:lang w:val="en-IN"/>
        </w:rPr>
        <w:t xml:space="preserve"> 90: 139–150.</w:t>
      </w:r>
    </w:p>
    <w:p w14:paraId="38D53D96">
      <w:pPr>
        <w:pStyle w:val="22"/>
        <w:numPr>
          <w:ilvl w:val="0"/>
          <w:numId w:val="2"/>
        </w:numPr>
        <w:spacing w:after="0"/>
        <w:rPr>
          <w:lang w:val="en-IN"/>
        </w:rPr>
      </w:pPr>
      <w:r>
        <w:rPr>
          <w:lang w:val="en-IN"/>
        </w:rPr>
        <w:t xml:space="preserve">Kryukov, V.Y., Khodyrev, V.P., Yaroslavtseva, O.N., Kamenova, A.S., Duisembekov, B.A., and Glupov, V. V. (2009). Synergistic action of entomopathogenic hyphomycetes and the bacteria </w:t>
      </w:r>
      <w:r>
        <w:rPr>
          <w:i/>
          <w:iCs/>
          <w:lang w:val="en-IN"/>
        </w:rPr>
        <w:t>Bacillus thuringiensis</w:t>
      </w:r>
      <w:r>
        <w:rPr>
          <w:lang w:val="en-IN"/>
        </w:rPr>
        <w:t xml:space="preserve"> sp morrisoni in the infection of Colorado potato beetle </w:t>
      </w:r>
      <w:r>
        <w:rPr>
          <w:i/>
          <w:iCs/>
          <w:lang w:val="en-IN"/>
        </w:rPr>
        <w:t>Leptinotarsa decemlineata. Appl. Biochem. Microbiol.</w:t>
      </w:r>
      <w:r>
        <w:rPr>
          <w:lang w:val="en-IN"/>
        </w:rPr>
        <w:t xml:space="preserve"> 45:511–516.</w:t>
      </w:r>
    </w:p>
    <w:p w14:paraId="67A86E58">
      <w:pPr>
        <w:pStyle w:val="22"/>
        <w:numPr>
          <w:ilvl w:val="0"/>
          <w:numId w:val="2"/>
        </w:numPr>
        <w:spacing w:after="0"/>
        <w:rPr>
          <w:lang w:val="en-IN"/>
        </w:rPr>
      </w:pPr>
      <w:r>
        <w:rPr>
          <w:lang w:val="en-IN"/>
        </w:rPr>
        <w:t xml:space="preserve">Yaroslavtseva, O. N., Dubovskiy, I. M., Khodyrev, V. P., Duisembekov, B. A., Kryukov, V. Y., and Glupov, V. V. (2017). Immunological mechanisms of synergy between fungus </w:t>
      </w:r>
      <w:r>
        <w:rPr>
          <w:i/>
          <w:iCs/>
          <w:lang w:val="en-IN"/>
        </w:rPr>
        <w:t>Metarhizium robertsii</w:t>
      </w:r>
      <w:r>
        <w:rPr>
          <w:lang w:val="en-IN"/>
        </w:rPr>
        <w:t xml:space="preserve"> and bacteria </w:t>
      </w:r>
      <w:r>
        <w:rPr>
          <w:i/>
          <w:iCs/>
          <w:lang w:val="en-IN"/>
        </w:rPr>
        <w:t>Bacillus thuringiensis</w:t>
      </w:r>
      <w:r>
        <w:rPr>
          <w:lang w:val="en-IN"/>
        </w:rPr>
        <w:t xml:space="preserve"> ssp. morrisoni on Colorado potato beetle larvae. </w:t>
      </w:r>
      <w:r>
        <w:rPr>
          <w:i/>
          <w:iCs/>
          <w:lang w:val="en-IN"/>
        </w:rPr>
        <w:t>J. Insect Physiol.</w:t>
      </w:r>
      <w:r>
        <w:rPr>
          <w:lang w:val="en-IN"/>
        </w:rPr>
        <w:t xml:space="preserve"> 96: 14–20.</w:t>
      </w:r>
    </w:p>
    <w:p w14:paraId="439E116B">
      <w:pPr>
        <w:pStyle w:val="22"/>
        <w:numPr>
          <w:ilvl w:val="0"/>
          <w:numId w:val="2"/>
        </w:numPr>
        <w:spacing w:after="0"/>
        <w:rPr>
          <w:lang w:val="en-IN"/>
        </w:rPr>
      </w:pPr>
      <w:r>
        <w:rPr>
          <w:lang w:val="en-IN"/>
        </w:rPr>
        <w:t xml:space="preserve">Nouri-Ganbalani, G., Borzoui, E., Abdolmaleki, A., Abedi, Z. and George, K. (2016). Individual and combined effects of </w:t>
      </w:r>
      <w:r>
        <w:rPr>
          <w:i/>
          <w:iCs/>
          <w:lang w:val="en-IN"/>
        </w:rPr>
        <w:t>Bacillus thuringiensis</w:t>
      </w:r>
      <w:r>
        <w:rPr>
          <w:lang w:val="en-IN"/>
        </w:rPr>
        <w:t xml:space="preserve"> and azadirachtin on </w:t>
      </w:r>
      <w:r>
        <w:rPr>
          <w:i/>
          <w:iCs/>
          <w:lang w:val="en-IN"/>
        </w:rPr>
        <w:t>Plodia interpunctella</w:t>
      </w:r>
      <w:r>
        <w:rPr>
          <w:lang w:val="en-IN"/>
        </w:rPr>
        <w:t xml:space="preserve"> hübner (lepidoptera: pyralidae). </w:t>
      </w:r>
      <w:r>
        <w:rPr>
          <w:i/>
          <w:iCs/>
          <w:lang w:val="en-IN"/>
        </w:rPr>
        <w:t>J. Insect Sci.</w:t>
      </w:r>
      <w:r>
        <w:rPr>
          <w:lang w:val="en-IN"/>
        </w:rPr>
        <w:t xml:space="preserve"> 16(1): 1–8. </w:t>
      </w:r>
    </w:p>
    <w:p w14:paraId="220EFB7B">
      <w:pPr>
        <w:pStyle w:val="22"/>
        <w:numPr>
          <w:ilvl w:val="0"/>
          <w:numId w:val="2"/>
        </w:numPr>
        <w:spacing w:after="0"/>
        <w:rPr>
          <w:lang w:val="en-IN"/>
        </w:rPr>
      </w:pPr>
      <w:r>
        <w:rPr>
          <w:lang w:val="en-IN"/>
        </w:rPr>
        <w:t xml:space="preserve">Niu, H., Wang, N., Liu, B., Xiao, L., Wang, L., and Guo, H. (2018). Synergistic and additive inter actions of </w:t>
      </w:r>
      <w:r>
        <w:rPr>
          <w:i/>
          <w:iCs/>
          <w:lang w:val="en-IN"/>
        </w:rPr>
        <w:t>Serratia marcescens</w:t>
      </w:r>
      <w:r>
        <w:rPr>
          <w:lang w:val="en-IN"/>
        </w:rPr>
        <w:t xml:space="preserve"> S-JS1 to the chemical insecticides for controlling </w:t>
      </w:r>
      <w:r>
        <w:rPr>
          <w:i/>
          <w:iCs/>
          <w:lang w:val="en-IN"/>
        </w:rPr>
        <w:t>Nilaparvata lugens</w:t>
      </w:r>
      <w:r>
        <w:rPr>
          <w:lang w:val="en-IN"/>
        </w:rPr>
        <w:t xml:space="preserve"> (Hemiptera: Delphacidae). </w:t>
      </w:r>
      <w:r>
        <w:rPr>
          <w:i/>
          <w:iCs/>
          <w:lang w:val="en-IN"/>
        </w:rPr>
        <w:t>J. Econ. Entomol.</w:t>
      </w:r>
      <w:r>
        <w:rPr>
          <w:lang w:val="en-IN"/>
        </w:rPr>
        <w:t>111(2):823-828.</w:t>
      </w:r>
    </w:p>
    <w:p w14:paraId="33D26DB5">
      <w:pPr>
        <w:pStyle w:val="22"/>
        <w:numPr>
          <w:ilvl w:val="0"/>
          <w:numId w:val="2"/>
        </w:numPr>
        <w:spacing w:after="0"/>
        <w:rPr>
          <w:lang w:val="en-IN"/>
        </w:rPr>
      </w:pPr>
      <w:r>
        <w:rPr>
          <w:lang w:val="en-IN"/>
        </w:rPr>
        <w:t xml:space="preserve">Singh, A. K., Singh, A., and Joshi, P. (2016). Combined application of chitinolytic bacterium </w:t>
      </w:r>
      <w:r>
        <w:rPr>
          <w:i/>
          <w:iCs/>
          <w:lang w:val="en-IN"/>
        </w:rPr>
        <w:t>Paenibacillus</w:t>
      </w:r>
      <w:r>
        <w:rPr>
          <w:lang w:val="en-IN"/>
        </w:rPr>
        <w:t xml:space="preserve"> sp. D1 with low doses of chemical pesticides for better control </w:t>
      </w:r>
      <w:r>
        <w:rPr>
          <w:i/>
          <w:iCs/>
          <w:lang w:val="en-IN"/>
        </w:rPr>
        <w:t>of Helicoverpa armigera. Int. J. Pest Manag.</w:t>
      </w:r>
      <w:r>
        <w:rPr>
          <w:lang w:val="en-IN"/>
        </w:rPr>
        <w:t xml:space="preserve"> 62: 222–227.</w:t>
      </w:r>
      <w:bookmarkEnd w:id="4"/>
    </w:p>
    <w:sectPr>
      <w:type w:val="continuous"/>
      <w:pgSz w:w="12240" w:h="15840"/>
      <w:pgMar w:top="1440" w:right="2016" w:bottom="2016" w:left="2016" w:header="720" w:footer="1123"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5-02-22T20:00:01Z" w:initials="L">
    <w:p w14:paraId="58A8D69E">
      <w:pPr>
        <w:pStyle w:val="9"/>
        <w:rPr>
          <w:rFonts w:hint="default"/>
          <w:lang w:val="en-US"/>
        </w:rPr>
      </w:pPr>
      <w:r>
        <w:rPr>
          <w:rFonts w:hint="default"/>
          <w:lang w:val="en-US"/>
        </w:rPr>
        <w:t>Inserted ‘an’</w:t>
      </w:r>
    </w:p>
  </w:comment>
  <w:comment w:id="1" w:author="Lenovo" w:date="2025-02-22T20:01:53Z" w:initials="L">
    <w:p w14:paraId="786370BA">
      <w:pPr>
        <w:pStyle w:val="9"/>
        <w:rPr>
          <w:rFonts w:hint="default"/>
          <w:lang w:val="en-US"/>
        </w:rPr>
      </w:pPr>
      <w:r>
        <w:rPr>
          <w:rFonts w:hint="default"/>
          <w:lang w:val="en-US"/>
        </w:rPr>
        <w:t>You can insert this paragrapg inyour introduction part, kindly make up your abstract in a precise manner</w:t>
      </w:r>
    </w:p>
  </w:comment>
  <w:comment w:id="2" w:author="Lenovo" w:date="2025-02-22T20:04:27Z" w:initials="L">
    <w:p w14:paraId="7680FBA6">
      <w:pPr>
        <w:pStyle w:val="9"/>
        <w:rPr>
          <w:rFonts w:hint="default"/>
          <w:lang w:val="en-US"/>
        </w:rPr>
      </w:pPr>
      <w:r>
        <w:rPr>
          <w:rFonts w:hint="default"/>
          <w:lang w:val="en-US"/>
        </w:rPr>
        <w:t>Recent references is missing, kindly insert it</w:t>
      </w:r>
    </w:p>
  </w:comment>
  <w:comment w:id="3" w:author="Lenovo" w:date="2025-02-22T20:12:08Z" w:initials="L">
    <w:p w14:paraId="1443855A">
      <w:pPr>
        <w:pStyle w:val="9"/>
        <w:rPr>
          <w:rFonts w:hint="default"/>
          <w:lang w:val="en-US"/>
        </w:rPr>
      </w:pPr>
      <w:r>
        <w:rPr>
          <w:rFonts w:hint="default"/>
          <w:lang w:val="en-US"/>
        </w:rPr>
        <w:t>Where is reference on classification of EPB?</w:t>
      </w:r>
    </w:p>
  </w:comment>
  <w:comment w:id="4" w:author="Lenovo" w:date="2025-02-22T20:06:35Z" w:initials="L">
    <w:p w14:paraId="54C893DB">
      <w:pPr>
        <w:pStyle w:val="9"/>
        <w:rPr>
          <w:rFonts w:hint="default"/>
          <w:lang w:val="en-US"/>
        </w:rPr>
      </w:pPr>
      <w:r>
        <w:rPr>
          <w:rFonts w:hint="default"/>
          <w:lang w:val="en-US"/>
        </w:rPr>
        <w:t>Write in italics</w:t>
      </w:r>
    </w:p>
  </w:comment>
  <w:comment w:id="5" w:author="Lenovo" w:date="2025-02-22T20:07:32Z" w:initials="L">
    <w:p w14:paraId="5AC5DE50">
      <w:pPr>
        <w:pStyle w:val="9"/>
        <w:rPr>
          <w:rFonts w:hint="default"/>
          <w:lang w:val="en-US"/>
        </w:rPr>
      </w:pPr>
      <w:r>
        <w:rPr>
          <w:rFonts w:hint="default"/>
          <w:lang w:val="en-US"/>
        </w:rPr>
        <w:t>Is there any recent references regarding exploitation of Bt toxins for pest suppression? If yes, kindly incorporate it</w:t>
      </w:r>
    </w:p>
  </w:comment>
  <w:comment w:id="6" w:author="Lenovo" w:date="2025-02-22T20:17:27Z" w:initials="L">
    <w:p w14:paraId="444A5933">
      <w:pPr>
        <w:pStyle w:val="9"/>
        <w:rPr>
          <w:rFonts w:hint="default"/>
          <w:b w:val="0"/>
          <w:bCs w:val="0"/>
          <w:lang w:val="en-US"/>
        </w:rPr>
      </w:pPr>
      <w:r>
        <w:rPr>
          <w:rFonts w:hint="default"/>
          <w:b w:val="0"/>
          <w:bCs w:val="0"/>
          <w:lang w:val="en-US"/>
        </w:rPr>
        <w:t>Kindly provide Table on Bt toxins exploited for suppressing pests with references</w:t>
      </w:r>
    </w:p>
  </w:comment>
  <w:comment w:id="7" w:author="Lenovo" w:date="2025-02-22T20:16:19Z" w:initials="L">
    <w:p w14:paraId="615A8600">
      <w:pPr>
        <w:pStyle w:val="9"/>
        <w:rPr>
          <w:rFonts w:hint="default"/>
          <w:lang w:val="en-US"/>
        </w:rPr>
      </w:pPr>
      <w:r>
        <w:rPr>
          <w:rFonts w:hint="default"/>
          <w:lang w:val="en-US"/>
        </w:rPr>
        <w:t>Reference?</w:t>
      </w:r>
    </w:p>
  </w:comment>
  <w:comment w:id="8" w:author="Lenovo" w:date="2025-02-22T20:10:57Z" w:initials="L">
    <w:p w14:paraId="461665EF">
      <w:pPr>
        <w:pStyle w:val="9"/>
        <w:numPr>
          <w:ilvl w:val="0"/>
          <w:numId w:val="0"/>
        </w:numPr>
        <w:ind w:leftChars="0"/>
        <w:rPr>
          <w:rFonts w:hint="default"/>
          <w:lang w:val="en-US"/>
        </w:rPr>
      </w:pPr>
      <w:r>
        <w:rPr>
          <w:rFonts w:hint="default"/>
          <w:lang w:val="en-US"/>
        </w:rPr>
        <w:t>Kindly incorporate the utility and importance of work for farmers as well as research purpose</w:t>
      </w:r>
    </w:p>
    <w:p w14:paraId="5373DACA">
      <w:pPr>
        <w:pStyle w:val="9"/>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A8D69E" w15:done="0"/>
  <w15:commentEx w15:paraId="786370BA" w15:done="0"/>
  <w15:commentEx w15:paraId="7680FBA6" w15:done="0"/>
  <w15:commentEx w15:paraId="1443855A" w15:done="0"/>
  <w15:commentEx w15:paraId="54C893DB" w15:done="0"/>
  <w15:commentEx w15:paraId="5AC5DE50" w15:done="0"/>
  <w15:commentEx w15:paraId="444A5933" w15:done="0"/>
  <w15:commentEx w15:paraId="615A8600" w15:done="0"/>
  <w15:commentEx w15:paraId="5373DA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AB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A2A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A1AB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9EB78">
    <w:pPr>
      <w:pStyle w:val="13"/>
    </w:pPr>
    <w:r>
      <w:pict>
        <v:shape id="PowerPlusWaterMarkObject696960736"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EA9A3">
    <w:pPr>
      <w:pStyle w:val="13"/>
    </w:pPr>
    <w:r>
      <w:pict>
        <v:shape id="PowerPlusWaterMarkObject696960735"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D4D6">
    <w:pPr>
      <w:ind w:left="2160"/>
      <w:jc w:val="center"/>
      <w:rPr>
        <w:rFonts w:ascii="Times New Roman" w:hAnsi="Times New Roman" w:eastAsia="Calibri"/>
        <w:i/>
        <w:sz w:val="18"/>
        <w:szCs w:val="22"/>
      </w:rPr>
    </w:pPr>
    <w:r>
      <w:pict>
        <v:shape id="PowerPlusWaterMarkObject696960734"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1059D22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0DF4BA0">
    <w:pPr>
      <w:jc w:val="center"/>
      <w:rPr>
        <w:rFonts w:ascii="Times New Roman" w:hAnsi="Times New Roman" w:eastAsia="Calibri"/>
        <w:i/>
        <w:sz w:val="18"/>
        <w:szCs w:val="22"/>
      </w:rPr>
    </w:pPr>
    <w:r>
      <w:rPr>
        <w:rFonts w:ascii="Times New Roman" w:hAnsi="Times New Roman" w:eastAsia="Calibri"/>
        <w:i/>
        <w:sz w:val="18"/>
        <w:szCs w:val="22"/>
      </w:rPr>
      <w:t>.</w:t>
    </w:r>
  </w:p>
  <w:p w14:paraId="71651AD4">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EC331D3">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315B3A67">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13DC5797">
    <w:pPr>
      <w:pStyle w:val="13"/>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E6EA8"/>
    <w:multiLevelType w:val="multilevel"/>
    <w:tmpl w:val="402E6E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2"/>
  </w:compat>
  <w:rsids>
    <w:rsidRoot w:val="00AA6219"/>
    <w:rsid w:val="00000F8F"/>
    <w:rsid w:val="00030174"/>
    <w:rsid w:val="0004579C"/>
    <w:rsid w:val="00090444"/>
    <w:rsid w:val="000A47FA"/>
    <w:rsid w:val="000A65D3"/>
    <w:rsid w:val="000B1E33"/>
    <w:rsid w:val="000D689F"/>
    <w:rsid w:val="000E7B7B"/>
    <w:rsid w:val="000E7D62"/>
    <w:rsid w:val="000F7638"/>
    <w:rsid w:val="00103357"/>
    <w:rsid w:val="001051FA"/>
    <w:rsid w:val="00123C9F"/>
    <w:rsid w:val="00126190"/>
    <w:rsid w:val="00130F17"/>
    <w:rsid w:val="001320BF"/>
    <w:rsid w:val="00142DD9"/>
    <w:rsid w:val="001560BD"/>
    <w:rsid w:val="00163BC4"/>
    <w:rsid w:val="00191062"/>
    <w:rsid w:val="00192B72"/>
    <w:rsid w:val="001A29D8"/>
    <w:rsid w:val="001A5CAA"/>
    <w:rsid w:val="001B0427"/>
    <w:rsid w:val="001D3A51"/>
    <w:rsid w:val="001E109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E9D"/>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3BD8"/>
    <w:rsid w:val="00440F43"/>
    <w:rsid w:val="00441B6F"/>
    <w:rsid w:val="00446221"/>
    <w:rsid w:val="00450E62"/>
    <w:rsid w:val="004539DB"/>
    <w:rsid w:val="00471A80"/>
    <w:rsid w:val="004D305E"/>
    <w:rsid w:val="004D4277"/>
    <w:rsid w:val="00502516"/>
    <w:rsid w:val="00505F06"/>
    <w:rsid w:val="00506828"/>
    <w:rsid w:val="0053056E"/>
    <w:rsid w:val="00554FDA"/>
    <w:rsid w:val="00587E62"/>
    <w:rsid w:val="005C784C"/>
    <w:rsid w:val="005D17F6"/>
    <w:rsid w:val="005D3530"/>
    <w:rsid w:val="005E5539"/>
    <w:rsid w:val="00602BF5"/>
    <w:rsid w:val="00617FDD"/>
    <w:rsid w:val="00622765"/>
    <w:rsid w:val="006242F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41B9"/>
    <w:rsid w:val="007F7B32"/>
    <w:rsid w:val="00804BC2"/>
    <w:rsid w:val="008109B8"/>
    <w:rsid w:val="0081431A"/>
    <w:rsid w:val="0083216F"/>
    <w:rsid w:val="00860000"/>
    <w:rsid w:val="00863BD3"/>
    <w:rsid w:val="008641ED"/>
    <w:rsid w:val="00866D66"/>
    <w:rsid w:val="008671C6"/>
    <w:rsid w:val="00875803"/>
    <w:rsid w:val="00880ABA"/>
    <w:rsid w:val="0089173F"/>
    <w:rsid w:val="008A63D4"/>
    <w:rsid w:val="008B459E"/>
    <w:rsid w:val="008E13AE"/>
    <w:rsid w:val="008E1506"/>
    <w:rsid w:val="008E710C"/>
    <w:rsid w:val="008F69D6"/>
    <w:rsid w:val="00902823"/>
    <w:rsid w:val="00915CA6"/>
    <w:rsid w:val="0092471E"/>
    <w:rsid w:val="00927834"/>
    <w:rsid w:val="00943679"/>
    <w:rsid w:val="009500A6"/>
    <w:rsid w:val="00951A03"/>
    <w:rsid w:val="00957C18"/>
    <w:rsid w:val="009659BA"/>
    <w:rsid w:val="00980FE3"/>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7433"/>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62BD"/>
    <w:rsid w:val="00DC2A65"/>
    <w:rsid w:val="00DC66AB"/>
    <w:rsid w:val="00DE15F0"/>
    <w:rsid w:val="00DE5663"/>
    <w:rsid w:val="00DE78AA"/>
    <w:rsid w:val="00E053D0"/>
    <w:rsid w:val="00E15994"/>
    <w:rsid w:val="00E25EF3"/>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10AB1917"/>
    <w:rsid w:val="78CD02B6"/>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qFormat/>
    <w:uiPriority w:val="0"/>
    <w:pPr>
      <w:spacing w:after="120"/>
    </w:pPr>
    <w:rPr>
      <w:sz w:val="16"/>
      <w:szCs w:val="16"/>
    </w:rPr>
  </w:style>
  <w:style w:type="character" w:styleId="8">
    <w:name w:val="annotation reference"/>
    <w:basedOn w:val="3"/>
    <w:unhideWhenUsed/>
    <w:qFormat/>
    <w:uiPriority w:val="99"/>
    <w:rPr>
      <w:sz w:val="16"/>
      <w:szCs w:val="16"/>
    </w:rPr>
  </w:style>
  <w:style w:type="paragraph" w:styleId="9">
    <w:name w:val="annotation text"/>
    <w:basedOn w:val="1"/>
    <w:link w:val="60"/>
    <w:unhideWhenUsed/>
    <w:qFormat/>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Normal (Web)"/>
    <w:basedOn w:val="1"/>
    <w:semiHidden/>
    <w:unhideWhenUsed/>
    <w:qFormat/>
    <w:uiPriority w:val="99"/>
    <w:rPr>
      <w:rFonts w:ascii="Times New Roman" w:hAnsi="Times New Roman"/>
      <w:sz w:val="24"/>
      <w:szCs w:val="24"/>
    </w:rPr>
  </w:style>
  <w:style w:type="paragraph" w:styleId="17">
    <w:name w:val="Signature"/>
    <w:basedOn w:val="1"/>
    <w:qFormat/>
    <w:uiPriority w:val="0"/>
    <w:pPr>
      <w:ind w:left="4320"/>
    </w:pPr>
  </w:style>
  <w:style w:type="table" w:styleId="18">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uiPriority w:val="0"/>
    <w:rPr>
      <w:sz w:val="22"/>
    </w:rPr>
  </w:style>
  <w:style w:type="paragraph" w:customStyle="1" w:styleId="35">
    <w:name w:val="Contact Head"/>
    <w:basedOn w:val="24"/>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qFormat/>
    <w:uiPriority w:val="0"/>
    <w:pPr>
      <w:keepNext/>
      <w:spacing w:after="240"/>
    </w:pPr>
    <w:rPr>
      <w:caps/>
    </w:rPr>
  </w:style>
  <w:style w:type="paragraph" w:customStyle="1" w:styleId="38">
    <w:name w:val="Head4"/>
    <w:basedOn w:val="36"/>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uiPriority w:val="0"/>
    <w:pPr>
      <w:jc w:val="left"/>
    </w:pPr>
  </w:style>
  <w:style w:type="paragraph" w:customStyle="1" w:styleId="41">
    <w:name w:val="Appendix"/>
    <w:basedOn w:val="24"/>
    <w:qFormat/>
    <w:uiPriority w:val="0"/>
    <w:rPr>
      <w:sz w:val="22"/>
    </w:rPr>
  </w:style>
  <w:style w:type="paragraph" w:customStyle="1" w:styleId="42">
    <w:name w:val="Term"/>
    <w:basedOn w:val="22"/>
    <w:uiPriority w:val="0"/>
    <w:pPr>
      <w:spacing w:after="0"/>
    </w:pPr>
    <w:rPr>
      <w:b/>
    </w:rPr>
  </w:style>
  <w:style w:type="paragraph" w:customStyle="1" w:styleId="43">
    <w:name w:val="Definition"/>
    <w:basedOn w:val="22"/>
    <w:uiPriority w:val="0"/>
  </w:style>
  <w:style w:type="character" w:customStyle="1" w:styleId="44">
    <w:name w:val="Bold"/>
    <w:qFormat/>
    <w:uiPriority w:val="0"/>
    <w:rPr>
      <w:b/>
    </w:rPr>
  </w:style>
  <w:style w:type="character" w:customStyle="1" w:styleId="45">
    <w:name w:val="Italic"/>
    <w:uiPriority w:val="0"/>
    <w:rPr>
      <w:i/>
    </w:rPr>
  </w:style>
  <w:style w:type="character" w:customStyle="1" w:styleId="46">
    <w:name w:val="Underline"/>
    <w:qFormat/>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qFormat/>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9"/>
    <w:qFormat/>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B2C80-F905-432C-9B33-8508C331783A}">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14</Pages>
  <Words>7352</Words>
  <Characters>41907</Characters>
  <Lines>349</Lines>
  <Paragraphs>98</Paragraphs>
  <TotalTime>9</TotalTime>
  <ScaleCrop>false</ScaleCrop>
  <LinksUpToDate>false</LinksUpToDate>
  <CharactersWithSpaces>49161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Lenovo</cp:lastModifiedBy>
  <cp:lastPrinted>1999-07-06T11:00:00Z</cp:lastPrinted>
  <dcterms:modified xsi:type="dcterms:W3CDTF">2025-02-22T14:50:12Z</dcterms:modified>
  <dc:title>Paper Template</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17DF598EB3DA4D83BE269A04FF87DDAE_12</vt:lpwstr>
  </property>
</Properties>
</file>