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9CFD6" w14:textId="4E3C5A79" w:rsidR="00C3091F" w:rsidRDefault="00C3091F" w:rsidP="00F444C5">
      <w:pPr>
        <w:spacing w:after="0" w:line="360" w:lineRule="auto"/>
        <w:jc w:val="center"/>
        <w:rPr>
          <w:rFonts w:eastAsia="Times New Roman" w:cs="Times New Roman"/>
          <w:b/>
          <w:bCs/>
          <w:kern w:val="0"/>
          <w:sz w:val="22"/>
          <w14:ligatures w14:val="none"/>
        </w:rPr>
      </w:pPr>
      <w:r w:rsidRPr="00C3091F">
        <w:rPr>
          <w:rFonts w:eastAsia="Times New Roman" w:cs="Times New Roman"/>
          <w:b/>
          <w:bCs/>
          <w:kern w:val="0"/>
          <w:sz w:val="22"/>
          <w14:ligatures w14:val="none"/>
        </w:rPr>
        <w:t>Original Research Article</w:t>
      </w:r>
    </w:p>
    <w:p w14:paraId="275524A2" w14:textId="77777777" w:rsidR="00C3091F" w:rsidRDefault="00C3091F" w:rsidP="00F444C5">
      <w:pPr>
        <w:spacing w:after="0" w:line="360" w:lineRule="auto"/>
        <w:jc w:val="center"/>
        <w:rPr>
          <w:rFonts w:eastAsia="Times New Roman" w:cs="Times New Roman"/>
          <w:b/>
          <w:bCs/>
          <w:kern w:val="0"/>
          <w:sz w:val="22"/>
          <w14:ligatures w14:val="none"/>
        </w:rPr>
      </w:pPr>
    </w:p>
    <w:p w14:paraId="3158F158" w14:textId="7D971031" w:rsidR="00691E26" w:rsidRDefault="00FD71AD" w:rsidP="00F444C5">
      <w:pPr>
        <w:spacing w:after="0" w:line="360" w:lineRule="auto"/>
        <w:jc w:val="center"/>
        <w:rPr>
          <w:rFonts w:eastAsia="Times New Roman" w:cs="Times New Roman"/>
          <w:b/>
          <w:bCs/>
          <w:kern w:val="0"/>
          <w:sz w:val="22"/>
          <w14:ligatures w14:val="none"/>
        </w:rPr>
      </w:pPr>
      <w:r w:rsidRPr="00C40790">
        <w:rPr>
          <w:rFonts w:eastAsia="Times New Roman" w:cs="Times New Roman"/>
          <w:b/>
          <w:bCs/>
          <w:kern w:val="0"/>
          <w:sz w:val="22"/>
          <w14:ligatures w14:val="none"/>
        </w:rPr>
        <w:t>Nexus between population and economic growth: Evidence from sub</w:t>
      </w:r>
      <w:r w:rsidR="00E17D5E" w:rsidRPr="00C40790">
        <w:rPr>
          <w:rFonts w:eastAsia="Times New Roman" w:cs="Times New Roman"/>
          <w:b/>
          <w:bCs/>
          <w:kern w:val="0"/>
          <w:sz w:val="22"/>
          <w14:ligatures w14:val="none"/>
        </w:rPr>
        <w:t>-</w:t>
      </w:r>
      <w:r w:rsidRPr="00C40790">
        <w:rPr>
          <w:rFonts w:eastAsia="Times New Roman" w:cs="Times New Roman"/>
          <w:b/>
          <w:bCs/>
          <w:kern w:val="0"/>
          <w:sz w:val="22"/>
          <w14:ligatures w14:val="none"/>
        </w:rPr>
        <w:t>national</w:t>
      </w:r>
      <w:r w:rsidR="003C6806">
        <w:rPr>
          <w:rFonts w:eastAsia="Times New Roman" w:cs="Times New Roman"/>
          <w:b/>
          <w:bCs/>
          <w:kern w:val="0"/>
          <w:sz w:val="22"/>
          <w14:ligatures w14:val="none"/>
        </w:rPr>
        <w:t xml:space="preserve"> </w:t>
      </w:r>
      <w:r w:rsidRPr="00C40790">
        <w:rPr>
          <w:rFonts w:eastAsia="Times New Roman" w:cs="Times New Roman"/>
          <w:b/>
          <w:bCs/>
          <w:kern w:val="0"/>
          <w:sz w:val="22"/>
          <w14:ligatures w14:val="none"/>
        </w:rPr>
        <w:t>governments in Kenya</w:t>
      </w:r>
    </w:p>
    <w:p w14:paraId="55697591" w14:textId="77777777" w:rsidR="00D4665C" w:rsidRPr="00C40790" w:rsidRDefault="00D4665C" w:rsidP="00F444C5">
      <w:pPr>
        <w:spacing w:after="0" w:line="360" w:lineRule="auto"/>
        <w:jc w:val="center"/>
        <w:rPr>
          <w:rFonts w:eastAsia="Times New Roman" w:cs="Times New Roman"/>
          <w:b/>
          <w:bCs/>
          <w:kern w:val="0"/>
          <w:sz w:val="22"/>
          <w14:ligatures w14:val="none"/>
        </w:rPr>
      </w:pPr>
    </w:p>
    <w:p w14:paraId="4A448E19" w14:textId="77777777" w:rsidR="00A87A66" w:rsidRDefault="00A87A66" w:rsidP="008D478F">
      <w:pPr>
        <w:spacing w:after="0" w:line="360" w:lineRule="auto"/>
        <w:rPr>
          <w:rFonts w:eastAsia="Times New Roman" w:cs="Times New Roman"/>
          <w:b/>
          <w:bCs/>
          <w:kern w:val="0"/>
          <w:sz w:val="22"/>
          <w14:ligatures w14:val="none"/>
        </w:rPr>
      </w:pPr>
    </w:p>
    <w:p w14:paraId="1154CBD3" w14:textId="3837A869" w:rsidR="00F337D6" w:rsidRPr="00C40790" w:rsidRDefault="00FD71AD" w:rsidP="008D478F">
      <w:pPr>
        <w:spacing w:after="0" w:line="360" w:lineRule="auto"/>
        <w:rPr>
          <w:rFonts w:eastAsia="Times New Roman" w:cs="Times New Roman"/>
          <w:b/>
          <w:bCs/>
          <w:kern w:val="0"/>
          <w:sz w:val="22"/>
          <w14:ligatures w14:val="none"/>
        </w:rPr>
      </w:pPr>
      <w:bookmarkStart w:id="0" w:name="_GoBack"/>
      <w:bookmarkEnd w:id="0"/>
      <w:r w:rsidRPr="00C40790">
        <w:rPr>
          <w:rFonts w:eastAsia="Times New Roman" w:cs="Times New Roman"/>
          <w:b/>
          <w:bCs/>
          <w:kern w:val="0"/>
          <w:sz w:val="22"/>
          <w14:ligatures w14:val="none"/>
        </w:rPr>
        <w:t xml:space="preserve">Abstract </w:t>
      </w:r>
    </w:p>
    <w:p w14:paraId="428152A7" w14:textId="75C8C63D" w:rsidR="00985E9D" w:rsidRDefault="00FD71AD" w:rsidP="00ED6E27">
      <w:pPr>
        <w:spacing w:after="0" w:line="360" w:lineRule="auto"/>
        <w:rPr>
          <w:rFonts w:cs="Times New Roman"/>
          <w:sz w:val="22"/>
        </w:rPr>
      </w:pPr>
      <w:bookmarkStart w:id="1" w:name="_Hlk192230729"/>
      <w:r w:rsidRPr="00C40790">
        <w:rPr>
          <w:rFonts w:cs="Times New Roman"/>
          <w:sz w:val="22"/>
        </w:rPr>
        <w:t xml:space="preserve">Human capital plays a crucial role at all levels of economic development, as a larger population is likely to enhance per capita income and welfare in developing economies. </w:t>
      </w:r>
      <w:r w:rsidR="00876353" w:rsidRPr="00C40790">
        <w:rPr>
          <w:rFonts w:cs="Times New Roman"/>
          <w:sz w:val="22"/>
        </w:rPr>
        <w:t>However, strategies to stimulate population-driven growth in Kenya, especially at the subnational</w:t>
      </w:r>
      <w:r w:rsidR="009A771A" w:rsidRPr="00C40790">
        <w:rPr>
          <w:rFonts w:cs="Times New Roman"/>
          <w:sz w:val="22"/>
        </w:rPr>
        <w:t xml:space="preserve"> government level</w:t>
      </w:r>
      <w:r w:rsidR="00876353" w:rsidRPr="00C40790">
        <w:rPr>
          <w:rFonts w:cs="Times New Roman"/>
          <w:sz w:val="22"/>
        </w:rPr>
        <w:t>, remain a topic of debate among economists and demographers.</w:t>
      </w:r>
      <w:r w:rsidR="00CC4211" w:rsidRPr="00C40790">
        <w:rPr>
          <w:rFonts w:cs="Times New Roman"/>
          <w:sz w:val="22"/>
        </w:rPr>
        <w:t xml:space="preserve"> </w:t>
      </w:r>
      <w:r w:rsidR="00030A8C" w:rsidRPr="00C40790">
        <w:rPr>
          <w:rFonts w:cs="Times New Roman"/>
          <w:sz w:val="22"/>
        </w:rPr>
        <w:t>E</w:t>
      </w:r>
      <w:r w:rsidRPr="00C40790">
        <w:rPr>
          <w:rFonts w:cs="Times New Roman"/>
          <w:sz w:val="22"/>
        </w:rPr>
        <w:t xml:space="preserve">ndogenous growth models theoretically identify population growth as a significant determinant of progress due to its contributions to technological advancement and labor supply. Nonetheless, economic growth can also influence population growth, given their interdependent relationship. This research aims to address that knowledge gap by employing innovative analytical techniques on existing data at the subnational level, specifically focusing on the </w:t>
      </w:r>
      <w:r w:rsidR="00ED6E27" w:rsidRPr="00C40790">
        <w:rPr>
          <w:rFonts w:cs="Times New Roman"/>
          <w:sz w:val="22"/>
        </w:rPr>
        <w:t>nexus</w:t>
      </w:r>
      <w:r w:rsidRPr="00C40790">
        <w:rPr>
          <w:rFonts w:cs="Times New Roman"/>
          <w:sz w:val="22"/>
        </w:rPr>
        <w:t xml:space="preserve"> between population and economic growth. Utilizing </w:t>
      </w:r>
      <w:r w:rsidR="000C094C" w:rsidRPr="00C40790">
        <w:rPr>
          <w:rFonts w:cs="Times New Roman"/>
          <w:sz w:val="22"/>
        </w:rPr>
        <w:t xml:space="preserve">panel </w:t>
      </w:r>
      <w:r w:rsidRPr="00C40790">
        <w:rPr>
          <w:rFonts w:cs="Times New Roman"/>
          <w:sz w:val="22"/>
        </w:rPr>
        <w:t>data from 47</w:t>
      </w:r>
      <w:r w:rsidR="009A771A" w:rsidRPr="00C40790">
        <w:rPr>
          <w:rFonts w:cs="Times New Roman"/>
          <w:sz w:val="22"/>
        </w:rPr>
        <w:t xml:space="preserve"> subnational governments in Kenya during</w:t>
      </w:r>
      <w:r w:rsidRPr="00C40790">
        <w:rPr>
          <w:rFonts w:cs="Times New Roman"/>
          <w:sz w:val="22"/>
        </w:rPr>
        <w:t xml:space="preserve"> the period from 2014 to 2022, the study estimated a </w:t>
      </w:r>
      <w:r w:rsidR="00B319B5" w:rsidRPr="00C40790">
        <w:rPr>
          <w:rFonts w:cs="Times New Roman"/>
          <w:sz w:val="22"/>
        </w:rPr>
        <w:t xml:space="preserve">generalized method of moments (GMM) </w:t>
      </w:r>
      <w:r w:rsidRPr="00C40790">
        <w:rPr>
          <w:rFonts w:cs="Times New Roman"/>
          <w:sz w:val="22"/>
        </w:rPr>
        <w:t xml:space="preserve">model and applied the Wald test to establish causality. </w:t>
      </w:r>
      <w:r w:rsidR="00ED6E27" w:rsidRPr="00C40790">
        <w:rPr>
          <w:rFonts w:cs="Times New Roman"/>
          <w:sz w:val="22"/>
        </w:rPr>
        <w:t xml:space="preserve"> </w:t>
      </w:r>
      <w:r w:rsidR="00012933" w:rsidRPr="00C40790">
        <w:rPr>
          <w:rFonts w:cs="Times New Roman"/>
          <w:sz w:val="22"/>
        </w:rPr>
        <w:t xml:space="preserve">Results </w:t>
      </w:r>
      <w:r w:rsidR="00012933">
        <w:rPr>
          <w:rFonts w:cs="Times New Roman"/>
          <w:sz w:val="22"/>
        </w:rPr>
        <w:t>from</w:t>
      </w:r>
      <w:r w:rsidR="00ED6E27" w:rsidRPr="00C40790">
        <w:rPr>
          <w:rFonts w:cs="Times New Roman"/>
          <w:sz w:val="22"/>
        </w:rPr>
        <w:t xml:space="preserve"> Wald causality test reveals the existence of bi-directional causality between population and economic growth.</w:t>
      </w:r>
      <w:r w:rsidR="00B319B5" w:rsidRPr="00C40790">
        <w:rPr>
          <w:rFonts w:cs="Times New Roman"/>
          <w:sz w:val="22"/>
        </w:rPr>
        <w:t xml:space="preserve"> </w:t>
      </w:r>
      <w:r w:rsidR="00C11159" w:rsidRPr="00C11159">
        <w:rPr>
          <w:rFonts w:cs="Times New Roman"/>
          <w:sz w:val="22"/>
        </w:rPr>
        <w:t>The analysis reveals that at the sub-national level in Kenya, population expansion will be helpful for the economy, in generating higher economic growth, and vice versa.</w:t>
      </w:r>
      <w:r w:rsidR="00C11159">
        <w:rPr>
          <w:rFonts w:cs="Times New Roman"/>
          <w:sz w:val="22"/>
        </w:rPr>
        <w:t xml:space="preserve"> </w:t>
      </w:r>
      <w:r w:rsidR="00B319B5" w:rsidRPr="00C40790">
        <w:rPr>
          <w:rFonts w:cs="Times New Roman"/>
          <w:sz w:val="22"/>
        </w:rPr>
        <w:t xml:space="preserve">Equally, </w:t>
      </w:r>
      <w:r w:rsidR="007B4DBD" w:rsidRPr="00C40790">
        <w:rPr>
          <w:rFonts w:cs="Times New Roman"/>
          <w:sz w:val="22"/>
        </w:rPr>
        <w:t xml:space="preserve">reciprocal relationship underscores the complex interplay between demographic dynamics and economic development. </w:t>
      </w:r>
      <w:r w:rsidR="00AC1A9A">
        <w:rPr>
          <w:rFonts w:cs="Times New Roman"/>
          <w:sz w:val="22"/>
        </w:rPr>
        <w:t>County</w:t>
      </w:r>
      <w:r w:rsidR="00492E68">
        <w:rPr>
          <w:rFonts w:cs="Times New Roman"/>
          <w:sz w:val="22"/>
        </w:rPr>
        <w:t xml:space="preserve"> g</w:t>
      </w:r>
      <w:r w:rsidR="00492E68" w:rsidRPr="00492E68">
        <w:rPr>
          <w:rFonts w:cs="Times New Roman"/>
          <w:sz w:val="22"/>
        </w:rPr>
        <w:t xml:space="preserve">overnments are urged to adopt population policies and social and economic development policies that are mutually reinforcing. </w:t>
      </w:r>
    </w:p>
    <w:p w14:paraId="7B97AF92" w14:textId="77777777" w:rsidR="00F444C5" w:rsidRPr="00C40790" w:rsidRDefault="00F444C5" w:rsidP="00ED6E27">
      <w:pPr>
        <w:spacing w:after="0" w:line="360" w:lineRule="auto"/>
        <w:rPr>
          <w:rFonts w:cs="Times New Roman"/>
          <w:sz w:val="22"/>
        </w:rPr>
      </w:pPr>
    </w:p>
    <w:bookmarkEnd w:id="1"/>
    <w:p w14:paraId="73E68AE6" w14:textId="1EA33D52" w:rsidR="00F337D6" w:rsidRPr="00C40790" w:rsidRDefault="00FD71AD" w:rsidP="008D478F">
      <w:pPr>
        <w:spacing w:after="0" w:line="360" w:lineRule="auto"/>
        <w:rPr>
          <w:rFonts w:eastAsia="Times New Roman" w:cs="Times New Roman"/>
          <w:kern w:val="0"/>
          <w:sz w:val="22"/>
          <w14:ligatures w14:val="none"/>
        </w:rPr>
      </w:pPr>
      <w:r w:rsidRPr="00C40790">
        <w:rPr>
          <w:rFonts w:eastAsia="Times New Roman" w:cs="Times New Roman"/>
          <w:b/>
          <w:bCs/>
          <w:kern w:val="36"/>
          <w:sz w:val="22"/>
          <w14:ligatures w14:val="none"/>
        </w:rPr>
        <w:t>Keywords</w:t>
      </w:r>
      <w:r w:rsidRPr="00C40790">
        <w:rPr>
          <w:rFonts w:eastAsia="Times New Roman" w:cs="Times New Roman"/>
          <w:kern w:val="36"/>
          <w:sz w:val="22"/>
          <w14:ligatures w14:val="none"/>
        </w:rPr>
        <w:t xml:space="preserve">: </w:t>
      </w:r>
      <w:r w:rsidRPr="00C40790">
        <w:rPr>
          <w:rFonts w:eastAsia="Times New Roman" w:cs="Times New Roman"/>
          <w:kern w:val="0"/>
          <w:sz w:val="22"/>
          <w14:ligatures w14:val="none"/>
        </w:rPr>
        <w:t xml:space="preserve">Population growth, </w:t>
      </w:r>
      <w:r w:rsidR="00EF3D20" w:rsidRPr="00C40790">
        <w:rPr>
          <w:rFonts w:eastAsia="Times New Roman" w:cs="Times New Roman"/>
          <w:kern w:val="0"/>
          <w:sz w:val="22"/>
          <w14:ligatures w14:val="none"/>
        </w:rPr>
        <w:t>e</w:t>
      </w:r>
      <w:r w:rsidRPr="00C40790">
        <w:rPr>
          <w:rFonts w:eastAsia="Times New Roman" w:cs="Times New Roman"/>
          <w:kern w:val="0"/>
          <w:sz w:val="22"/>
          <w14:ligatures w14:val="none"/>
        </w:rPr>
        <w:t xml:space="preserve">conomic growth, pane causality, </w:t>
      </w:r>
      <w:r w:rsidR="00EF3D20" w:rsidRPr="00C40790">
        <w:rPr>
          <w:rFonts w:eastAsia="Times New Roman" w:cs="Times New Roman"/>
          <w:kern w:val="0"/>
          <w:sz w:val="22"/>
          <w14:ligatures w14:val="none"/>
        </w:rPr>
        <w:t>heterogeneity</w:t>
      </w:r>
      <w:r w:rsidR="003B4C36" w:rsidRPr="00C40790">
        <w:rPr>
          <w:rFonts w:eastAsia="Times New Roman" w:cs="Times New Roman"/>
          <w:kern w:val="0"/>
          <w:sz w:val="22"/>
          <w14:ligatures w14:val="none"/>
        </w:rPr>
        <w:t xml:space="preserve">, </w:t>
      </w:r>
      <w:r w:rsidR="00D33161" w:rsidRPr="00C40790">
        <w:rPr>
          <w:rFonts w:eastAsia="Times New Roman" w:cs="Times New Roman"/>
          <w:kern w:val="0"/>
          <w:sz w:val="22"/>
          <w14:ligatures w14:val="none"/>
        </w:rPr>
        <w:t>decentralization</w:t>
      </w:r>
      <w:r w:rsidR="003B4C36" w:rsidRPr="00C40790">
        <w:rPr>
          <w:rFonts w:eastAsia="Times New Roman" w:cs="Times New Roman"/>
          <w:kern w:val="0"/>
          <w:sz w:val="22"/>
          <w14:ligatures w14:val="none"/>
        </w:rPr>
        <w:t xml:space="preserve"> </w:t>
      </w:r>
      <w:r w:rsidR="00EF3D20" w:rsidRPr="00C40790">
        <w:rPr>
          <w:rFonts w:eastAsia="Times New Roman" w:cs="Times New Roman"/>
          <w:kern w:val="0"/>
          <w:sz w:val="22"/>
          <w14:ligatures w14:val="none"/>
        </w:rPr>
        <w:t xml:space="preserve"> </w:t>
      </w:r>
      <w:r w:rsidRPr="00C40790">
        <w:rPr>
          <w:rFonts w:eastAsia="Times New Roman" w:cs="Times New Roman"/>
          <w:kern w:val="0"/>
          <w:sz w:val="22"/>
          <w14:ligatures w14:val="none"/>
        </w:rPr>
        <w:t xml:space="preserve"> </w:t>
      </w:r>
    </w:p>
    <w:p w14:paraId="6E6BA18C" w14:textId="77777777" w:rsidR="00F337D6" w:rsidRPr="00C40790" w:rsidRDefault="00F337D6" w:rsidP="008D478F">
      <w:pPr>
        <w:spacing w:after="0" w:line="360" w:lineRule="auto"/>
        <w:rPr>
          <w:rFonts w:eastAsia="Times New Roman" w:cs="Times New Roman"/>
          <w:kern w:val="0"/>
          <w:sz w:val="22"/>
          <w14:ligatures w14:val="none"/>
        </w:rPr>
      </w:pPr>
    </w:p>
    <w:p w14:paraId="32216BC6" w14:textId="6F93BBD0" w:rsidR="00F337D6" w:rsidRPr="00C40790" w:rsidRDefault="00FD71AD" w:rsidP="008D478F">
      <w:pPr>
        <w:spacing w:after="0" w:line="360" w:lineRule="auto"/>
        <w:rPr>
          <w:rFonts w:eastAsia="Times New Roman" w:cs="Times New Roman"/>
          <w:kern w:val="0"/>
          <w:sz w:val="22"/>
          <w14:ligatures w14:val="none"/>
        </w:rPr>
      </w:pPr>
      <w:r w:rsidRPr="00C40790">
        <w:rPr>
          <w:rFonts w:eastAsia="Times New Roman" w:cs="Times New Roman"/>
          <w:b/>
          <w:bCs/>
          <w:kern w:val="0"/>
          <w:sz w:val="22"/>
          <w14:ligatures w14:val="none"/>
        </w:rPr>
        <w:t>JEL codes</w:t>
      </w:r>
      <w:r w:rsidRPr="00C40790">
        <w:rPr>
          <w:rFonts w:eastAsia="Times New Roman" w:cs="Times New Roman"/>
          <w:kern w:val="0"/>
          <w:sz w:val="22"/>
          <w14:ligatures w14:val="none"/>
        </w:rPr>
        <w:t xml:space="preserve">:  </w:t>
      </w:r>
      <w:r w:rsidR="00EA2A63">
        <w:rPr>
          <w:rFonts w:eastAsia="Times New Roman" w:cs="Times New Roman"/>
          <w:kern w:val="0"/>
          <w:sz w:val="22"/>
          <w14:ligatures w14:val="none"/>
        </w:rPr>
        <w:t xml:space="preserve"> H70; </w:t>
      </w:r>
      <w:r w:rsidRPr="00C40790">
        <w:rPr>
          <w:rFonts w:eastAsia="Times New Roman" w:cs="Times New Roman"/>
          <w:kern w:val="0"/>
          <w:sz w:val="22"/>
          <w14:ligatures w14:val="none"/>
        </w:rPr>
        <w:t>J10; O40; R23</w:t>
      </w:r>
    </w:p>
    <w:p w14:paraId="49903029" w14:textId="77777777" w:rsidR="002134EE" w:rsidRPr="00C40790" w:rsidRDefault="002134EE" w:rsidP="008D478F">
      <w:pPr>
        <w:spacing w:after="0" w:line="360" w:lineRule="auto"/>
        <w:rPr>
          <w:rFonts w:eastAsia="Times New Roman" w:cs="Times New Roman"/>
          <w:kern w:val="0"/>
          <w:sz w:val="22"/>
          <w14:ligatures w14:val="none"/>
        </w:rPr>
      </w:pPr>
    </w:p>
    <w:p w14:paraId="14568A30" w14:textId="27C49944" w:rsidR="00294A04" w:rsidRPr="00C40790" w:rsidRDefault="00FD71AD" w:rsidP="008D478F">
      <w:pPr>
        <w:spacing w:after="0" w:line="360" w:lineRule="auto"/>
        <w:rPr>
          <w:rFonts w:cs="Times New Roman"/>
          <w:b/>
          <w:bCs/>
          <w:sz w:val="22"/>
        </w:rPr>
      </w:pPr>
      <w:r w:rsidRPr="00C40790">
        <w:rPr>
          <w:rFonts w:cs="Times New Roman"/>
          <w:b/>
          <w:bCs/>
          <w:sz w:val="22"/>
        </w:rPr>
        <w:t>1 Introduction</w:t>
      </w:r>
    </w:p>
    <w:p w14:paraId="371EB04B" w14:textId="31422EFD" w:rsidR="00294A04" w:rsidRPr="00C40790" w:rsidRDefault="00FD71AD" w:rsidP="008D478F">
      <w:pPr>
        <w:spacing w:line="360" w:lineRule="auto"/>
        <w:rPr>
          <w:rFonts w:cs="Times New Roman"/>
          <w:sz w:val="22"/>
        </w:rPr>
      </w:pPr>
      <w:r w:rsidRPr="00C40790">
        <w:rPr>
          <w:rFonts w:cs="Times New Roman"/>
          <w:sz w:val="22"/>
        </w:rPr>
        <w:t xml:space="preserve">The intricate relationship between population growth and economic development has been a focal point of extensive scholarly inquiry, yielding diverse and often inconclusive findings. Classical economists, such as Malthus (1798), argue that population growth positively influences economic expansion by augmenting </w:t>
      </w:r>
      <w:proofErr w:type="spellStart"/>
      <w:r w:rsidRPr="00C40790">
        <w:rPr>
          <w:rFonts w:cs="Times New Roman"/>
          <w:sz w:val="22"/>
        </w:rPr>
        <w:t>labour</w:t>
      </w:r>
      <w:proofErr w:type="spellEnd"/>
      <w:r w:rsidRPr="00C40790">
        <w:rPr>
          <w:rFonts w:cs="Times New Roman"/>
          <w:sz w:val="22"/>
        </w:rPr>
        <w:t xml:space="preserve"> supply and enhancing consumption demand. Conversely, modern growth theories highlight the importance of human capital, technological advancements, and robust institutional frameworks as critical </w:t>
      </w:r>
      <w:r w:rsidRPr="00C40790">
        <w:rPr>
          <w:rFonts w:cs="Times New Roman"/>
          <w:sz w:val="22"/>
        </w:rPr>
        <w:lastRenderedPageBreak/>
        <w:t xml:space="preserve">determinants of economic outcomes </w:t>
      </w:r>
      <w:r w:rsidRPr="00C40790">
        <w:rPr>
          <w:rFonts w:cs="Times New Roman"/>
          <w:sz w:val="22"/>
        </w:rPr>
        <w:fldChar w:fldCharType="begin"/>
      </w:r>
      <w:r w:rsidRPr="00C40790">
        <w:rPr>
          <w:rFonts w:cs="Times New Roman"/>
          <w:sz w:val="22"/>
        </w:rPr>
        <w:instrText xml:space="preserve"> ADDIN EN.CITE &lt;EndNote&gt;&lt;Cite&gt;&lt;Author&gt;MUHAMMAD&lt;/Author&gt;&lt;Year&gt;2025&lt;/Year&gt;&lt;RecNum&gt;7&lt;/RecNum&gt;&lt;DisplayText&gt;(MUHAMMAD 2025)&lt;/DisplayText&gt;&lt;record&gt;&lt;rec-number&gt;7&lt;/rec-number&gt;&lt;foreign-keys&gt;&lt;key app="EN" db-id="xfprwewrufv55ce2z235e9fcereprsaewaxz" timestamp="1740902433"&gt;7&lt;/key&gt;&lt;/foreign-keys&gt;&lt;ref-type name="Journal Article"&gt;17&lt;/ref-type&gt;&lt;contributors&gt;&lt;authors&gt;&lt;author&gt;MUHAMMAD, IBRAHIM SAHABI&lt;/author&gt;&lt;/authors&gt;&lt;/contributors&gt;&lt;titles&gt;&lt;title&gt;ROLE OF REVENUE CONTRIBUTIONS TO ECONOMIC GROWTH IN NIGERIA: 1994–2022&lt;/title&gt;&lt;secondary-title&gt;Journal of Management Science and Career Development&lt;/secondary-title&gt;&lt;/titles&gt;&lt;periodical&gt;&lt;full-title&gt;Journal of Management Science and Career Development&lt;/full-title&gt;&lt;/periodical&gt;&lt;dates&gt;&lt;year&gt;2025&lt;/year&gt;&lt;/dates&gt;&lt;isbn&gt;3027-0405&lt;/isbn&gt;&lt;urls&gt;&lt;/urls&gt;&lt;/record&gt;&lt;/Cite&gt;&lt;/EndNote&gt;</w:instrText>
      </w:r>
      <w:r w:rsidRPr="00C40790">
        <w:rPr>
          <w:rFonts w:cs="Times New Roman"/>
          <w:sz w:val="22"/>
        </w:rPr>
        <w:fldChar w:fldCharType="separate"/>
      </w:r>
      <w:r w:rsidRPr="00C40790">
        <w:rPr>
          <w:rFonts w:cs="Times New Roman"/>
          <w:noProof/>
          <w:sz w:val="22"/>
        </w:rPr>
        <w:t>(Muhammad, 2025)</w:t>
      </w:r>
      <w:r w:rsidRPr="00C40790">
        <w:rPr>
          <w:rFonts w:cs="Times New Roman"/>
          <w:sz w:val="22"/>
        </w:rPr>
        <w:fldChar w:fldCharType="end"/>
      </w:r>
      <w:r w:rsidRPr="00C40790">
        <w:rPr>
          <w:rFonts w:cs="Times New Roman"/>
          <w:sz w:val="22"/>
        </w:rPr>
        <w:t xml:space="preserve">. There exists a body of literature suggesting that accelerated population growth may impede economic progress by exerting strain on resources and elevating dependency ratios </w:t>
      </w:r>
      <w:r w:rsidRPr="00C40790">
        <w:rPr>
          <w:rFonts w:cs="Times New Roman"/>
          <w:sz w:val="22"/>
        </w:rPr>
        <w:fldChar w:fldCharType="begin"/>
      </w:r>
      <w:r w:rsidRPr="00C40790">
        <w:rPr>
          <w:rFonts w:cs="Times New Roman"/>
          <w:sz w:val="22"/>
        </w:rPr>
        <w:instrText xml:space="preserve"> ADDIN EN.CITE &lt;EndNote&gt;&lt;Cite&gt;&lt;Author&gt;Ella&lt;/Author&gt;&lt;Year&gt;2025&lt;/Year&gt;&lt;RecNum&gt;9&lt;/RecNum&gt;&lt;DisplayText&gt;(Ella 2025)&lt;/DisplayText&gt;&lt;record&gt;&lt;rec-number&gt;9&lt;/rec-number&gt;&lt;foreign-keys&gt;&lt;key app="EN" db-id="xfprwewrufv55ce2z235e9fcereprsaewaxz" timestamp="1740902759"&gt;9&lt;/key&gt;&lt;/foreign-keys&gt;&lt;ref-type name="Book Section"&gt;5&lt;/ref-type&gt;&lt;contributors&gt;&lt;authors&gt;&lt;author&gt;Ella, Claude Mbarga&lt;/author&gt;&lt;/authors&gt;&lt;/contributors&gt;&lt;titles&gt;&lt;title&gt;Demographic Dividend for Rural Development in the Commune of Endom, Cameroon&lt;/title&gt;&lt;secondary-title&gt;Contemporary Rural Development Programs&lt;/secondary-title&gt;&lt;/titles&gt;&lt;dates&gt;&lt;year&gt;2025&lt;/year&gt;&lt;/dates&gt;&lt;publisher&gt;IntechOpen&lt;/publisher&gt;&lt;isbn&gt;1837682747&lt;/isbn&gt;&lt;urls&gt;&lt;/urls&gt;&lt;/record&gt;&lt;/Cite&gt;&lt;/EndNote&gt;</w:instrText>
      </w:r>
      <w:r w:rsidRPr="00C40790">
        <w:rPr>
          <w:rFonts w:cs="Times New Roman"/>
          <w:sz w:val="22"/>
        </w:rPr>
        <w:fldChar w:fldCharType="separate"/>
      </w:r>
      <w:r w:rsidRPr="00C40790">
        <w:rPr>
          <w:rFonts w:cs="Times New Roman"/>
          <w:noProof/>
          <w:sz w:val="22"/>
        </w:rPr>
        <w:t>(Ella, 2025)</w:t>
      </w:r>
      <w:r w:rsidRPr="00C40790">
        <w:rPr>
          <w:rFonts w:cs="Times New Roman"/>
          <w:sz w:val="22"/>
        </w:rPr>
        <w:fldChar w:fldCharType="end"/>
      </w:r>
      <w:r w:rsidRPr="00C40790">
        <w:rPr>
          <w:rFonts w:cs="Times New Roman"/>
          <w:sz w:val="22"/>
        </w:rPr>
        <w:t xml:space="preserve">. In contrast, some researchers contend that population growth can stimulate innovation and foster economies of scale </w:t>
      </w:r>
      <w:r w:rsidRPr="00C40790">
        <w:rPr>
          <w:rFonts w:cs="Times New Roman"/>
          <w:sz w:val="22"/>
        </w:rPr>
        <w:fldChar w:fldCharType="begin"/>
      </w:r>
      <w:r w:rsidRPr="00C40790">
        <w:rPr>
          <w:rFonts w:cs="Times New Roman"/>
          <w:sz w:val="22"/>
        </w:rPr>
        <w:instrText xml:space="preserve"> ADDIN EN.CITE &lt;EndNote&gt;&lt;Cite&gt;&lt;Author&gt;Council&lt;/Author&gt;&lt;Year&gt;1986&lt;/Year&gt;&lt;RecNum&gt;10&lt;/RecNum&gt;&lt;DisplayText&gt;(Council, Behavioral et al. 1986)&lt;/DisplayText&gt;&lt;record&gt;&lt;rec-number&gt;10&lt;/rec-number&gt;&lt;foreign-keys&gt;&lt;key app="EN" db-id="xfprwewrufv55ce2z235e9fcereprsaewaxz" timestamp="1740903050"&gt;10&lt;/key&gt;&lt;/foreign-keys&gt;&lt;ref-type name="Book"&gt;6&lt;/ref-type&gt;&lt;contributors&gt;&lt;authors&gt;&lt;author&gt;National Research Council&lt;/author&gt;&lt;author&gt;Division of Behavioral&lt;/author&gt;&lt;author&gt;Social Sciences&lt;/author&gt;&lt;author&gt;Committee on Population&lt;/author&gt;&lt;author&gt;Working Group on Population Growth&lt;/author&gt;&lt;/authors&gt;&lt;/contributors&gt;&lt;titles&gt;&lt;title&gt;Population growth and economic development: Policy questions&lt;/title&gt;&lt;/titles&gt;&lt;dates&gt;&lt;year&gt;1986&lt;/year&gt;&lt;/dates&gt;&lt;publisher&gt;National Academies Press&lt;/publisher&gt;&lt;isbn&gt;0309036410&lt;/isbn&gt;&lt;urls&gt;&lt;/urls&gt;&lt;/record&gt;&lt;/Cite&gt;&lt;/EndNote&gt;</w:instrText>
      </w:r>
      <w:r w:rsidRPr="00C40790">
        <w:rPr>
          <w:rFonts w:cs="Times New Roman"/>
          <w:sz w:val="22"/>
        </w:rPr>
        <w:fldChar w:fldCharType="separate"/>
      </w:r>
      <w:r w:rsidRPr="00C40790">
        <w:rPr>
          <w:rFonts w:cs="Times New Roman"/>
          <w:noProof/>
          <w:sz w:val="22"/>
        </w:rPr>
        <w:t>(National Research Council, 1986)</w:t>
      </w:r>
      <w:r w:rsidRPr="00C40790">
        <w:rPr>
          <w:rFonts w:cs="Times New Roman"/>
          <w:sz w:val="22"/>
        </w:rPr>
        <w:fldChar w:fldCharType="end"/>
      </w:r>
      <w:r w:rsidRPr="00C40790">
        <w:rPr>
          <w:rFonts w:cs="Times New Roman"/>
          <w:sz w:val="22"/>
        </w:rPr>
        <w:t>.</w:t>
      </w:r>
    </w:p>
    <w:p w14:paraId="43571EC7" w14:textId="5311770D" w:rsidR="00294A04" w:rsidRPr="00C40790" w:rsidRDefault="00FD71AD" w:rsidP="008D478F">
      <w:pPr>
        <w:spacing w:line="360" w:lineRule="auto"/>
        <w:rPr>
          <w:rFonts w:cs="Times New Roman"/>
          <w:sz w:val="22"/>
        </w:rPr>
      </w:pPr>
      <w:r w:rsidRPr="00C40790">
        <w:rPr>
          <w:rFonts w:cs="Times New Roman"/>
          <w:sz w:val="22"/>
        </w:rPr>
        <w:t xml:space="preserve">Globally, high-income countries have largely reaped the benefits of stable population growth in tandem with significant technological advancements and capital accumulation </w:t>
      </w:r>
      <w:r w:rsidRPr="00C40790">
        <w:rPr>
          <w:rFonts w:cs="Times New Roman"/>
          <w:sz w:val="22"/>
        </w:rPr>
        <w:fldChar w:fldCharType="begin"/>
      </w:r>
      <w:r w:rsidRPr="00C40790">
        <w:rPr>
          <w:rFonts w:cs="Times New Roman"/>
          <w:sz w:val="22"/>
        </w:rPr>
        <w:instrText xml:space="preserve"> ADDIN EN.CITE &lt;EndNote&gt;&lt;Cite&gt;&lt;Author&gt;Baffour Gyau&lt;/Author&gt;&lt;Year&gt;2025&lt;/Year&gt;&lt;RecNum&gt;12&lt;/RecNum&gt;&lt;DisplayText&gt;(Baffour Gyau, Li et al. 2025)&lt;/DisplayText&gt;&lt;record&gt;&lt;rec-number&gt;12&lt;/rec-number&gt;&lt;foreign-keys&gt;&lt;key app="EN" db-id="xfprwewrufv55ce2z235e9fcereprsaewaxz" timestamp="1740903298"&gt;12&lt;/key&gt;&lt;/foreign-keys&gt;&lt;ref-type name="Journal Article"&gt;17&lt;/ref-type&gt;&lt;contributors&gt;&lt;authors&gt;&lt;author&gt;Baffour Gyau, Emmanuel&lt;/author&gt;&lt;author&gt;Li, Yaya&lt;/author&gt;&lt;author&gt;Appiah, Michael&lt;/author&gt;&lt;/authors&gt;&lt;/contributors&gt;&lt;titles&gt;&lt;title&gt;Global digital transformation: discovering the impact of digitalization on income inequality in OECD countries, the moderating role of globalization&lt;/title&gt;&lt;secondary-title&gt;Economic Change and Restructuring&lt;/secondary-title&gt;&lt;/titles&gt;&lt;periodical&gt;&lt;full-title&gt;Economic Change and Restructuring&lt;/full-title&gt;&lt;/periodical&gt;&lt;pages&gt;6&lt;/pages&gt;&lt;volume&gt;58&lt;/volume&gt;&lt;number&gt;1&lt;/number&gt;&lt;dates&gt;&lt;year&gt;2025&lt;/year&gt;&lt;/dates&gt;&lt;isbn&gt;1573-9414&lt;/isbn&gt;&lt;urls&gt;&lt;/urls&gt;&lt;/record&gt;&lt;/Cite&gt;&lt;/EndNote&gt;</w:instrText>
      </w:r>
      <w:r w:rsidRPr="00C40790">
        <w:rPr>
          <w:rFonts w:cs="Times New Roman"/>
          <w:sz w:val="22"/>
        </w:rPr>
        <w:fldChar w:fldCharType="separate"/>
      </w:r>
      <w:r w:rsidRPr="00C40790">
        <w:rPr>
          <w:rFonts w:cs="Times New Roman"/>
          <w:noProof/>
          <w:sz w:val="22"/>
        </w:rPr>
        <w:t>(Baffour Gyau et al., 2025)</w:t>
      </w:r>
      <w:r w:rsidRPr="00C40790">
        <w:rPr>
          <w:rFonts w:cs="Times New Roman"/>
          <w:sz w:val="22"/>
        </w:rPr>
        <w:fldChar w:fldCharType="end"/>
      </w:r>
      <w:r w:rsidRPr="00C40790">
        <w:rPr>
          <w:rFonts w:cs="Times New Roman"/>
          <w:sz w:val="22"/>
        </w:rPr>
        <w:t xml:space="preserve">. In stark contrast, numerous developing nations encounter substantial challenges in transforming demographic expansion into sustained economic growth, often hindered by structural inefficiencies, pervasive unemployment, and pronounced inequality </w:t>
      </w:r>
      <w:r w:rsidRPr="00C40790">
        <w:rPr>
          <w:rFonts w:cs="Times New Roman"/>
          <w:sz w:val="22"/>
        </w:rPr>
        <w:fldChar w:fldCharType="begin"/>
      </w:r>
      <w:r w:rsidRPr="00C40790">
        <w:rPr>
          <w:rFonts w:cs="Times New Roman"/>
          <w:sz w:val="22"/>
        </w:rPr>
        <w:instrText xml:space="preserve"> ADDIN EN.CITE &lt;EndNote&gt;&lt;Cite&gt;&lt;Author&gt;Marslev&lt;/Author&gt;&lt;Year&gt;2025&lt;/Year&gt;&lt;RecNum&gt;13&lt;/RecNum&gt;&lt;DisplayText&gt;(Marslev and Whitfield 2025)&lt;/DisplayText&gt;&lt;record&gt;&lt;rec-number&gt;13&lt;/rec-number&gt;&lt;foreign-keys&gt;&lt;key app="EN" db-id="xfprwewrufv55ce2z235e9fcereprsaewaxz" timestamp="1740903400"&gt;13&lt;/key&gt;&lt;/foreign-keys&gt;&lt;ref-type name="Journal Article"&gt;17&lt;/ref-type&gt;&lt;contributors&gt;&lt;authors&gt;&lt;author&gt;Marslev, Kristoffer&lt;/author&gt;&lt;author&gt;Whitfield, Lindsay&lt;/author&gt;&lt;/authors&gt;&lt;/contributors&gt;&lt;titles&gt;&lt;title&gt;Why do labor regimes change? Worker power, the supplier squeeze, and structural transformation in the global apparel industry&lt;/title&gt;&lt;secondary-title&gt;Journal of Economic Geography&lt;/secondary-title&gt;&lt;/titles&gt;&lt;periodical&gt;&lt;full-title&gt;Journal of Economic Geography&lt;/full-title&gt;&lt;/periodical&gt;&lt;pages&gt;lbae049&lt;/pages&gt;&lt;dates&gt;&lt;year&gt;2025&lt;/year&gt;&lt;/dates&gt;&lt;isbn&gt;1468-2702&lt;/isbn&gt;&lt;urls&gt;&lt;/urls&gt;&lt;/record&gt;&lt;/Cite&gt;&lt;/EndNote&gt;</w:instrText>
      </w:r>
      <w:r w:rsidRPr="00C40790">
        <w:rPr>
          <w:rFonts w:cs="Times New Roman"/>
          <w:sz w:val="22"/>
        </w:rPr>
        <w:fldChar w:fldCharType="separate"/>
      </w:r>
      <w:r w:rsidRPr="00C40790">
        <w:rPr>
          <w:rFonts w:cs="Times New Roman"/>
          <w:noProof/>
          <w:sz w:val="22"/>
        </w:rPr>
        <w:t>(Marslev &amp; Whitfield, 2025)</w:t>
      </w:r>
      <w:r w:rsidRPr="00C40790">
        <w:rPr>
          <w:rFonts w:cs="Times New Roman"/>
          <w:sz w:val="22"/>
        </w:rPr>
        <w:fldChar w:fldCharType="end"/>
      </w:r>
      <w:r w:rsidRPr="00C40790">
        <w:rPr>
          <w:rFonts w:cs="Times New Roman"/>
          <w:sz w:val="22"/>
        </w:rPr>
        <w:t xml:space="preserve">. Africa, characterized by rapid population growth, exemplifies this dichotomy, where economic disparities persist across the continent </w:t>
      </w:r>
      <w:r w:rsidRPr="00C40790">
        <w:rPr>
          <w:rFonts w:cs="Times New Roman"/>
          <w:sz w:val="22"/>
        </w:rPr>
        <w:fldChar w:fldCharType="begin"/>
      </w:r>
      <w:r w:rsidRPr="00C40790">
        <w:rPr>
          <w:rFonts w:cs="Times New Roman"/>
          <w:sz w:val="22"/>
        </w:rPr>
        <w:instrText xml:space="preserve"> ADDIN EN.CITE &lt;EndNote&gt;&lt;Cite&gt;&lt;Author&gt;Simane&lt;/Author&gt;&lt;Year&gt;2025&lt;/Year&gt;&lt;RecNum&gt;14&lt;/RecNum&gt;&lt;DisplayText&gt;(Simane, Kapwata et al. 2025)&lt;/DisplayText&gt;&lt;record&gt;&lt;rec-number&gt;14&lt;/rec-number&gt;&lt;foreign-keys&gt;&lt;key app="EN" db-id="xfprwewrufv55ce2z235e9fcereprsaewaxz" timestamp="1740903467"&gt;14&lt;/key&gt;&lt;/foreign-keys&gt;&lt;ref-type name="Journal Article"&gt;17&lt;/ref-type&gt;&lt;contributors&gt;&lt;authors&gt;&lt;author&gt;Simane, Belay&lt;/author&gt;&lt;author&gt;Kapwata, Thandi&lt;/author&gt;&lt;author&gt;Naidoo, Natasha&lt;/author&gt;&lt;author&gt;Cissé, Guéladio&lt;/author&gt;&lt;author&gt;Wright, Caradee Y&lt;/author&gt;&lt;author&gt;Berhane, Kiros&lt;/author&gt;&lt;/authors&gt;&lt;/contributors&gt;&lt;titles&gt;&lt;title&gt;Ensuring Africa’s Food Security by 2050: The Role of Population Growth, Climate-Resilient Strategies, and Putative Pathways to Resilience&lt;/title&gt;&lt;secondary-title&gt;Foods&lt;/secondary-title&gt;&lt;/titles&gt;&lt;periodical&gt;&lt;full-title&gt;Foods&lt;/full-title&gt;&lt;/periodical&gt;&lt;pages&gt;262&lt;/pages&gt;&lt;volume&gt;14&lt;/volume&gt;&lt;number&gt;2&lt;/number&gt;&lt;dates&gt;&lt;year&gt;2025&lt;/year&gt;&lt;/dates&gt;&lt;isbn&gt;2304-8158&lt;/isbn&gt;&lt;urls&gt;&lt;/urls&gt;&lt;/record&gt;&lt;/Cite&gt;&lt;/EndNote&gt;</w:instrText>
      </w:r>
      <w:r w:rsidRPr="00C40790">
        <w:rPr>
          <w:rFonts w:cs="Times New Roman"/>
          <w:sz w:val="22"/>
        </w:rPr>
        <w:fldChar w:fldCharType="separate"/>
      </w:r>
      <w:r w:rsidRPr="00C40790">
        <w:rPr>
          <w:rFonts w:cs="Times New Roman"/>
          <w:noProof/>
          <w:sz w:val="22"/>
        </w:rPr>
        <w:t>(Simane et al., 2025)</w:t>
      </w:r>
      <w:r w:rsidRPr="00C40790">
        <w:rPr>
          <w:rFonts w:cs="Times New Roman"/>
          <w:sz w:val="22"/>
        </w:rPr>
        <w:fldChar w:fldCharType="end"/>
      </w:r>
      <w:r w:rsidRPr="00C40790">
        <w:rPr>
          <w:rFonts w:cs="Times New Roman"/>
          <w:sz w:val="22"/>
        </w:rPr>
        <w:t>. Given Africa's demographic trajectory, policymakers must prioritize investments in human capital development, industrialization, and regional integration to facilitate meaningful economic progress (Chowdhury et al., 2025). Notably, some African nations, such as Rwanda and Botswana, have successfully navigated a transition from population-driven growth to sustained economic development through strategic investments in education, governance reforms, and private-sector initiatives (</w:t>
      </w:r>
      <w:proofErr w:type="spellStart"/>
      <w:r w:rsidRPr="00C40790">
        <w:rPr>
          <w:rFonts w:cs="Times New Roman"/>
          <w:sz w:val="22"/>
        </w:rPr>
        <w:t>Muzioreva</w:t>
      </w:r>
      <w:proofErr w:type="spellEnd"/>
      <w:r w:rsidRPr="00C40790">
        <w:rPr>
          <w:rFonts w:cs="Times New Roman"/>
          <w:sz w:val="22"/>
        </w:rPr>
        <w:t xml:space="preserve"> &amp; Gumbo, 2024). Kenya serves as a case study in this context, experiencing significant demographic and economic transformations at both national and subnational levels, marked by considerable disparities in growth across its 47 counties </w:t>
      </w:r>
      <w:r w:rsidRPr="00C40790">
        <w:rPr>
          <w:rFonts w:cs="Times New Roman"/>
          <w:sz w:val="22"/>
        </w:rPr>
        <w:fldChar w:fldCharType="begin"/>
      </w:r>
      <w:r w:rsidRPr="00C40790">
        <w:rPr>
          <w:rFonts w:cs="Times New Roman"/>
          <w:sz w:val="22"/>
        </w:rPr>
        <w:instrText xml:space="preserve"> ADDIN EN.CITE &lt;EndNote&gt;&lt;Cite&gt;&lt;Author&gt;Okutse&lt;/Author&gt;&lt;Year&gt;2025&lt;/Year&gt;&lt;RecNum&gt;15&lt;/RecNum&gt;&lt;DisplayText&gt;(Okutse and Athiany 2025)&lt;/DisplayText&gt;&lt;record&gt;&lt;rec-number&gt;15&lt;/rec-number&gt;&lt;foreign-keys&gt;&lt;key app="EN" db-id="xfprwewrufv55ce2z235e9fcereprsaewaxz" timestamp="1740903630"&gt;15&lt;/key&gt;&lt;/foreign-keys&gt;&lt;ref-type name="Journal Article"&gt;17&lt;/ref-type&gt;&lt;contributors&gt;&lt;authors&gt;&lt;author&gt;Okutse, Amos O&lt;/author&gt;&lt;author&gt;Athiany, Henry&lt;/author&gt;&lt;/authors&gt;&lt;/contributors&gt;&lt;titles&gt;&lt;title&gt;Socioeconomic disparities in child malnutrition: trends, determinants, and policy implications from the Kenya demographic and health survey (2014-2022)&lt;/title&gt;&lt;secondary-title&gt;BMC Public Health&lt;/secondary-title&gt;&lt;/titles&gt;&lt;periodical&gt;&lt;full-title&gt;BMC Public Health&lt;/full-title&gt;&lt;/periodical&gt;&lt;pages&gt;1-17&lt;/pages&gt;&lt;volume&gt;25&lt;/volume&gt;&lt;number&gt;1&lt;/number&gt;&lt;dates&gt;&lt;year&gt;2025&lt;/year&gt;&lt;/dates&gt;&lt;isbn&gt;1471-2458&lt;/isbn&gt;&lt;urls&gt;&lt;/urls&gt;&lt;/record&gt;&lt;/Cite&gt;&lt;/EndNote&gt;</w:instrText>
      </w:r>
      <w:r w:rsidRPr="00C40790">
        <w:rPr>
          <w:rFonts w:cs="Times New Roman"/>
          <w:sz w:val="22"/>
        </w:rPr>
        <w:fldChar w:fldCharType="separate"/>
      </w:r>
      <w:r w:rsidRPr="00C40790">
        <w:rPr>
          <w:rFonts w:cs="Times New Roman"/>
          <w:noProof/>
          <w:sz w:val="22"/>
        </w:rPr>
        <w:t>(</w:t>
      </w:r>
      <w:bookmarkStart w:id="2" w:name="_Hlk192240299"/>
      <w:r w:rsidRPr="00C40790">
        <w:rPr>
          <w:rFonts w:cs="Times New Roman"/>
          <w:noProof/>
          <w:sz w:val="22"/>
        </w:rPr>
        <w:t>Okutse &amp; Athiany, 2025)</w:t>
      </w:r>
      <w:bookmarkEnd w:id="2"/>
      <w:r w:rsidRPr="00C40790">
        <w:rPr>
          <w:rFonts w:cs="Times New Roman"/>
          <w:sz w:val="22"/>
        </w:rPr>
        <w:fldChar w:fldCharType="end"/>
      </w:r>
      <w:r w:rsidRPr="00C40790">
        <w:rPr>
          <w:rFonts w:cs="Times New Roman"/>
          <w:sz w:val="22"/>
        </w:rPr>
        <w:t>.</w:t>
      </w:r>
    </w:p>
    <w:p w14:paraId="5B9FD583" w14:textId="77777777" w:rsidR="00AC1A9A" w:rsidRDefault="00AC1A9A" w:rsidP="008D478F">
      <w:pPr>
        <w:spacing w:line="360" w:lineRule="auto"/>
        <w:rPr>
          <w:rFonts w:cs="Times New Roman"/>
          <w:sz w:val="22"/>
        </w:rPr>
      </w:pPr>
      <w:r w:rsidRPr="00AC1A9A">
        <w:rPr>
          <w:rFonts w:cs="Times New Roman"/>
          <w:sz w:val="22"/>
        </w:rPr>
        <w:t>Twelve years ago, the Kenyan electorate chose to decentralize governance, marking the beginning of a new leadership framework with 47 governors and their teams assuming authority in newly established counties. These county governments have since sought to establish a cooperative relationship with the national government regarding the distribution of power and revenue. However, they have faced political, fiscal, and administrative challenges in their efforts to deliver services to the Kenyan people</w:t>
      </w:r>
      <w:r>
        <w:rPr>
          <w:rFonts w:cs="Times New Roman"/>
          <w:sz w:val="22"/>
        </w:rPr>
        <w:t xml:space="preserve"> (</w:t>
      </w:r>
      <w:proofErr w:type="spellStart"/>
      <w:r>
        <w:rPr>
          <w:rFonts w:cs="Times New Roman"/>
          <w:sz w:val="22"/>
        </w:rPr>
        <w:t>Gisore</w:t>
      </w:r>
      <w:proofErr w:type="spellEnd"/>
      <w:r>
        <w:rPr>
          <w:rFonts w:cs="Times New Roman"/>
          <w:sz w:val="22"/>
        </w:rPr>
        <w:t xml:space="preserve">, 2021). </w:t>
      </w:r>
    </w:p>
    <w:p w14:paraId="63B4FC5B" w14:textId="28D93453" w:rsidR="00294A04" w:rsidRPr="00C40790" w:rsidRDefault="00AC1A9A" w:rsidP="008D478F">
      <w:pPr>
        <w:spacing w:line="360" w:lineRule="auto"/>
        <w:rPr>
          <w:rFonts w:cs="Times New Roman"/>
          <w:sz w:val="22"/>
        </w:rPr>
      </w:pPr>
      <w:r w:rsidRPr="00AC1A9A">
        <w:rPr>
          <w:rFonts w:cs="Times New Roman"/>
          <w:sz w:val="22"/>
        </w:rPr>
        <w:t>County Governments play a crucial role in augmenting the</w:t>
      </w:r>
      <w:r>
        <w:rPr>
          <w:rFonts w:cs="Times New Roman"/>
          <w:sz w:val="22"/>
        </w:rPr>
        <w:t xml:space="preserve"> </w:t>
      </w:r>
      <w:r w:rsidR="00B44E71">
        <w:rPr>
          <w:rFonts w:cs="Times New Roman"/>
          <w:sz w:val="22"/>
        </w:rPr>
        <w:t>public finance</w:t>
      </w:r>
      <w:r>
        <w:rPr>
          <w:rFonts w:cs="Times New Roman"/>
          <w:sz w:val="22"/>
        </w:rPr>
        <w:t xml:space="preserve">, </w:t>
      </w:r>
      <w:r w:rsidRPr="00AC1A9A">
        <w:rPr>
          <w:rFonts w:cs="Times New Roman"/>
          <w:sz w:val="22"/>
        </w:rPr>
        <w:t>support development of infrastructure</w:t>
      </w:r>
      <w:r>
        <w:rPr>
          <w:rFonts w:cs="Times New Roman"/>
          <w:sz w:val="22"/>
        </w:rPr>
        <w:t xml:space="preserve"> and influence population policies and planning. </w:t>
      </w:r>
      <w:r w:rsidR="00FD71AD" w:rsidRPr="00C40790">
        <w:rPr>
          <w:rFonts w:cs="Times New Roman"/>
          <w:sz w:val="22"/>
        </w:rPr>
        <w:t>Kenya's counties exhibit varying demographic and economic profiles, underscoring the disparities in population growth, economic dynamics, and overall development outcomes. Population growth patterns across counties are inconsistent, with certain regions experiencing considerable increases attributed to urbanization and the proliferation of economic opportunities</w:t>
      </w:r>
      <w:r w:rsidRPr="00AC1A9A">
        <w:rPr>
          <w:rFonts w:cs="Times New Roman"/>
          <w:noProof/>
          <w:sz w:val="22"/>
        </w:rPr>
        <w:t xml:space="preserve"> </w:t>
      </w:r>
      <w:r>
        <w:rPr>
          <w:rFonts w:cs="Times New Roman"/>
          <w:noProof/>
          <w:sz w:val="22"/>
        </w:rPr>
        <w:t>(</w:t>
      </w:r>
      <w:r w:rsidRPr="00C40790">
        <w:rPr>
          <w:rFonts w:cs="Times New Roman"/>
          <w:noProof/>
          <w:sz w:val="22"/>
        </w:rPr>
        <w:t>Okutse &amp; Athiany, 2025)</w:t>
      </w:r>
      <w:r w:rsidR="00FD71AD" w:rsidRPr="00C40790">
        <w:rPr>
          <w:rFonts w:cs="Times New Roman"/>
          <w:sz w:val="22"/>
        </w:rPr>
        <w:t>. In contrast, others exhibit slower growth rates due to environmental challenges and socioeconomic barriers (</w:t>
      </w:r>
      <w:proofErr w:type="spellStart"/>
      <w:r w:rsidR="00FD71AD" w:rsidRPr="00C40790">
        <w:rPr>
          <w:rFonts w:cs="Times New Roman"/>
          <w:sz w:val="22"/>
        </w:rPr>
        <w:t>Kibet</w:t>
      </w:r>
      <w:proofErr w:type="spellEnd"/>
      <w:r w:rsidR="00FD71AD" w:rsidRPr="00C40790">
        <w:rPr>
          <w:rFonts w:cs="Times New Roman"/>
          <w:sz w:val="22"/>
        </w:rPr>
        <w:t xml:space="preserve"> et al., 2019). Urbanized counties such as Nairobi, Kiambu, and Nakuru have experienced pronounced population increases, primarily fueled by urban expansion, industrial growth, and employment opportunities </w:t>
      </w:r>
      <w:r w:rsidR="00FD71AD" w:rsidRPr="00C40790">
        <w:rPr>
          <w:rFonts w:cs="Times New Roman"/>
          <w:sz w:val="22"/>
        </w:rPr>
        <w:fldChar w:fldCharType="begin"/>
      </w:r>
      <w:r w:rsidR="00FD71AD" w:rsidRPr="00C40790">
        <w:rPr>
          <w:rFonts w:cs="Times New Roman"/>
          <w:sz w:val="22"/>
        </w:rPr>
        <w:instrText xml:space="preserve"> ADDIN EN.CITE &lt;EndNote&gt;&lt;Cite&gt;&lt;Author&gt;REBECAH&lt;/Author&gt;&lt;Year&gt;2023&lt;/Year&gt;&lt;RecNum&gt;31&lt;/RecNum&gt;&lt;DisplayText&gt;(REBECAH 2023)&lt;/DisplayText&gt;&lt;record&gt;&lt;rec-number&gt;31&lt;/rec-number&gt;&lt;foreign-keys&gt;&lt;key app="EN" db-id="xfprwewrufv55ce2z235e9fcereprsaewaxz" timestamp="1740905871"&gt;31&lt;/key&gt;&lt;/foreign-keys&gt;&lt;ref-type name="Thesis"&gt;32&lt;/ref-type&gt;&lt;contributors&gt;&lt;authors&gt;&lt;author&gt;REBECAH, AVIKOSHE&lt;/author&gt;&lt;/authors&gt;&lt;/contributors&gt;&lt;titles&gt;&lt;title&gt;INFLUENCE OF SELECTED ECONOMIC FACTORS ON VOLATILITY OF HOUSING PRICES IN NAKURU AND KIAMBU COUNTIES, KENYA&lt;/title&gt;&lt;/titles&gt;&lt;dates&gt;&lt;year&gt;2023&lt;/year&gt;&lt;/dates&gt;&lt;publisher&gt;Kabarak University&lt;/publisher&gt;&lt;urls&gt;&lt;/urls&gt;&lt;/record&gt;&lt;/Cite&gt;&lt;/EndNote&gt;</w:instrText>
      </w:r>
      <w:r w:rsidR="00FD71AD" w:rsidRPr="00C40790">
        <w:rPr>
          <w:rFonts w:cs="Times New Roman"/>
          <w:sz w:val="22"/>
        </w:rPr>
        <w:fldChar w:fldCharType="separate"/>
      </w:r>
      <w:r w:rsidR="00FD71AD" w:rsidRPr="00C40790">
        <w:rPr>
          <w:rFonts w:cs="Times New Roman"/>
          <w:noProof/>
          <w:sz w:val="22"/>
        </w:rPr>
        <w:t>(Rebecah, 2023)</w:t>
      </w:r>
      <w:r w:rsidR="00FD71AD" w:rsidRPr="00C40790">
        <w:rPr>
          <w:rFonts w:cs="Times New Roman"/>
          <w:sz w:val="22"/>
        </w:rPr>
        <w:fldChar w:fldCharType="end"/>
      </w:r>
      <w:r w:rsidR="00FD71AD" w:rsidRPr="00C40790">
        <w:rPr>
          <w:rFonts w:cs="Times New Roman"/>
          <w:sz w:val="22"/>
        </w:rPr>
        <w:t xml:space="preserve">. These counties benefit from relatively developed infrastructure, diversified economic activities, and enhanced market access, </w:t>
      </w:r>
      <w:r w:rsidR="00FD71AD" w:rsidRPr="00C40790">
        <w:rPr>
          <w:rFonts w:cs="Times New Roman"/>
          <w:sz w:val="22"/>
        </w:rPr>
        <w:lastRenderedPageBreak/>
        <w:t xml:space="preserve">thereby attracting both internal migrants and foreign investments. Conversely, arid and semi-arid counties, including Turkana, </w:t>
      </w:r>
      <w:proofErr w:type="spellStart"/>
      <w:r w:rsidR="00FD71AD" w:rsidRPr="00C40790">
        <w:rPr>
          <w:rFonts w:cs="Times New Roman"/>
          <w:sz w:val="22"/>
        </w:rPr>
        <w:t>Marsabit</w:t>
      </w:r>
      <w:proofErr w:type="spellEnd"/>
      <w:r w:rsidR="00FD71AD" w:rsidRPr="00C40790">
        <w:rPr>
          <w:rFonts w:cs="Times New Roman"/>
          <w:sz w:val="22"/>
        </w:rPr>
        <w:t xml:space="preserve">, and Samburu, have encountered stagnant population growth due to adverse climatic conditions, limited infrastructural development, and low economic activity </w:t>
      </w:r>
      <w:r w:rsidR="00FD71AD" w:rsidRPr="00C40790">
        <w:rPr>
          <w:rFonts w:cs="Times New Roman"/>
          <w:sz w:val="22"/>
        </w:rPr>
        <w:fldChar w:fldCharType="begin"/>
      </w:r>
      <w:r w:rsidR="00FD71AD" w:rsidRPr="00C40790">
        <w:rPr>
          <w:rFonts w:cs="Times New Roman"/>
          <w:sz w:val="22"/>
        </w:rPr>
        <w:instrText xml:space="preserve"> ADDIN EN.CITE &lt;EndNote&gt;&lt;Cite&gt;&lt;Author&gt;Ogeya&lt;/Author&gt;&lt;Year&gt;2018&lt;/Year&gt;&lt;RecNum&gt;33&lt;/RecNum&gt;&lt;DisplayText&gt;(Ogeya, Nyambane et al. 2018)&lt;/DisplayText&gt;&lt;record&gt;&lt;rec-number&gt;33&lt;/rec-number&gt;&lt;foreign-keys&gt;&lt;key app="EN" db-id="xfprwewrufv55ce2z235e9fcereprsaewaxz" timestamp="1740906067"&gt;33&lt;/key&gt;&lt;/foreign-keys&gt;&lt;ref-type name="Book"&gt;6&lt;/ref-type&gt;&lt;contributors&gt;&lt;authors&gt;&lt;author&gt;Ogeya, Mbeo&lt;/author&gt;&lt;author&gt;Nyambane, Anne&lt;/author&gt;&lt;author&gt;Wanjiru, Hannah&lt;/author&gt;&lt;/authors&gt;&lt;/contributors&gt;&lt;titles&gt;&lt;title&gt;Technical report: Nordic Green to Scale for countries: Unlocking the potential of climate solutions in Kenya and Ethiopia&lt;/title&gt;&lt;/titles&gt;&lt;dates&gt;&lt;year&gt;2018&lt;/year&gt;&lt;/dates&gt;&lt;publisher&gt;Nordic Council of Ministers&lt;/publisher&gt;&lt;isbn&gt;9289358548&lt;/isbn&gt;&lt;urls&gt;&lt;/urls&gt;&lt;/record&gt;&lt;/Cite&gt;&lt;/EndNote&gt;</w:instrText>
      </w:r>
      <w:r w:rsidR="00FD71AD" w:rsidRPr="00C40790">
        <w:rPr>
          <w:rFonts w:cs="Times New Roman"/>
          <w:sz w:val="22"/>
        </w:rPr>
        <w:fldChar w:fldCharType="separate"/>
      </w:r>
      <w:r w:rsidR="00FD71AD" w:rsidRPr="00C40790">
        <w:rPr>
          <w:rFonts w:cs="Times New Roman"/>
          <w:noProof/>
          <w:sz w:val="22"/>
        </w:rPr>
        <w:t>(Ogeya et al., 2018)</w:t>
      </w:r>
      <w:r w:rsidR="00FD71AD" w:rsidRPr="00C40790">
        <w:rPr>
          <w:rFonts w:cs="Times New Roman"/>
          <w:sz w:val="22"/>
        </w:rPr>
        <w:fldChar w:fldCharType="end"/>
      </w:r>
      <w:r w:rsidR="00FD71AD" w:rsidRPr="00C40790">
        <w:rPr>
          <w:rFonts w:cs="Times New Roman"/>
          <w:sz w:val="22"/>
        </w:rPr>
        <w:t>. Consequently, population growth in these regions has not corresponded with substantial economic expansion, as evidenced by Gross County Product (GCP) metrics (KNBS, 2023).</w:t>
      </w:r>
    </w:p>
    <w:p w14:paraId="31421590" w14:textId="5C6131E0" w:rsidR="00294A04" w:rsidRPr="00C40790" w:rsidRDefault="00FD71AD" w:rsidP="008D478F">
      <w:pPr>
        <w:spacing w:after="0" w:line="360" w:lineRule="auto"/>
        <w:rPr>
          <w:rFonts w:cs="Times New Roman"/>
          <w:sz w:val="22"/>
        </w:rPr>
      </w:pPr>
      <w:r w:rsidRPr="00C40790">
        <w:rPr>
          <w:rFonts w:cs="Times New Roman"/>
          <w:sz w:val="22"/>
        </w:rPr>
        <w:t>Economic growth across counties has also demonstrated significant variance, with urban and industrialized regions contributing disproportionately to the national GDP relative to rural and agriculture-dependent areas. Nairobi, for instance, remains the economic hub of Kenya, accounting for approximately 27% of the national GDP in 2022 (KNBS, 2023). The county's economic framework is predominantly driven by sectors such as financial services, infrastructure, manufacturing, trade, and real estate. Nevertheless, agricultural productivity is vulnerable to external shocks, including climate change, land fragmentation, and market inefficiencies, which present challenges for sustainable economic growth in the long term.</w:t>
      </w:r>
    </w:p>
    <w:p w14:paraId="4F4209C2" w14:textId="77777777" w:rsidR="00294A04" w:rsidRPr="00C40790" w:rsidRDefault="00294A04" w:rsidP="008D478F">
      <w:pPr>
        <w:spacing w:after="0" w:line="360" w:lineRule="auto"/>
        <w:rPr>
          <w:rFonts w:cs="Times New Roman"/>
          <w:sz w:val="22"/>
        </w:rPr>
      </w:pPr>
    </w:p>
    <w:p w14:paraId="2FF0E23D" w14:textId="47241048" w:rsidR="00294A04" w:rsidRPr="00C40790" w:rsidRDefault="00FD71AD" w:rsidP="008D478F">
      <w:pPr>
        <w:spacing w:after="0" w:line="360" w:lineRule="auto"/>
        <w:rPr>
          <w:rFonts w:cs="Times New Roman"/>
          <w:sz w:val="22"/>
        </w:rPr>
      </w:pPr>
      <w:r w:rsidRPr="00C40790">
        <w:rPr>
          <w:rFonts w:cs="Times New Roman"/>
          <w:sz w:val="22"/>
        </w:rPr>
        <w:t xml:space="preserve">The impact of population growth on economic development at the county level is contingent upon factors such as </w:t>
      </w:r>
      <w:proofErr w:type="spellStart"/>
      <w:r w:rsidRPr="00C40790">
        <w:rPr>
          <w:rFonts w:cs="Times New Roman"/>
          <w:sz w:val="22"/>
        </w:rPr>
        <w:t>labour</w:t>
      </w:r>
      <w:proofErr w:type="spellEnd"/>
      <w:r w:rsidRPr="00C40790">
        <w:rPr>
          <w:rFonts w:cs="Times New Roman"/>
          <w:sz w:val="22"/>
        </w:rPr>
        <w:t xml:space="preserve"> market capacity, public service provision, and resource allocation. Rapid population growth in counties such as Nairobi and Mombasa has generated substantial challenges, including urban congestion, inadequate housing, and heightened pressure on social services </w:t>
      </w:r>
      <w:r w:rsidRPr="00C40790">
        <w:rPr>
          <w:rFonts w:cs="Times New Roman"/>
          <w:sz w:val="22"/>
        </w:rPr>
        <w:fldChar w:fldCharType="begin"/>
      </w:r>
      <w:r w:rsidRPr="00C40790">
        <w:rPr>
          <w:rFonts w:cs="Times New Roman"/>
          <w:sz w:val="22"/>
        </w:rPr>
        <w:instrText xml:space="preserve"> ADDIN EN.CITE &lt;EndNote&gt;&lt;Cite&gt;&lt;Author&gt;Oluchiri&lt;/Author&gt;&lt;Year&gt;2025&lt;/Year&gt;&lt;RecNum&gt;35&lt;/RecNum&gt;&lt;DisplayText&gt;(Oluchiri 2025)&lt;/DisplayText&gt;&lt;record&gt;&lt;rec-number&gt;35&lt;/rec-number&gt;&lt;foreign-keys&gt;&lt;key app="EN" db-id="xfprwewrufv55ce2z235e9fcereprsaewaxz" timestamp="1740906420"&gt;35&lt;/key&gt;&lt;/foreign-keys&gt;&lt;ref-type name="Journal Article"&gt;17&lt;/ref-type&gt;&lt;contributors&gt;&lt;authors&gt;&lt;author&gt;Oluchiri, Stanley Omuterema&lt;/author&gt;&lt;/authors&gt;&lt;/contributors&gt;&lt;titles&gt;&lt;title&gt;Urban Flooding in the Cities of Kisumu, Mombasa, and Nairobi, Kenya: Causes, Vulnerability Factors, and Management&lt;/title&gt;&lt;secondary-title&gt;African Journal of Empirical Research&lt;/secondary-title&gt;&lt;/titles&gt;&lt;periodical&gt;&lt;full-title&gt;African Journal of Empirical Research&lt;/full-title&gt;&lt;/periodical&gt;&lt;pages&gt;342-351&lt;/pages&gt;&lt;volume&gt;6&lt;/volume&gt;&lt;number&gt;1&lt;/number&gt;&lt;dates&gt;&lt;year&gt;2025&lt;/year&gt;&lt;/dates&gt;&lt;isbn&gt;2709-2607&lt;/isbn&gt;&lt;urls&gt;&lt;/urls&gt;&lt;/record&gt;&lt;/Cite&gt;&lt;/EndNote&gt;</w:instrText>
      </w:r>
      <w:r w:rsidRPr="00C40790">
        <w:rPr>
          <w:rFonts w:cs="Times New Roman"/>
          <w:sz w:val="22"/>
        </w:rPr>
        <w:fldChar w:fldCharType="separate"/>
      </w:r>
      <w:r w:rsidRPr="00C40790">
        <w:rPr>
          <w:rFonts w:cs="Times New Roman"/>
          <w:noProof/>
          <w:sz w:val="22"/>
        </w:rPr>
        <w:t>(Oluchiri, 2025)</w:t>
      </w:r>
      <w:r w:rsidRPr="00C40790">
        <w:rPr>
          <w:rFonts w:cs="Times New Roman"/>
          <w:sz w:val="22"/>
        </w:rPr>
        <w:fldChar w:fldCharType="end"/>
      </w:r>
      <w:r w:rsidRPr="00C40790">
        <w:rPr>
          <w:rFonts w:cs="Times New Roman"/>
          <w:sz w:val="22"/>
        </w:rPr>
        <w:t xml:space="preserve">. While some counties have adeptly harnessed population growth for economic advancement, others grapple with issues such as high unemployment rates, low productivity, and infrastructural deficits </w:t>
      </w:r>
      <w:r w:rsidRPr="00C40790">
        <w:rPr>
          <w:rFonts w:cs="Times New Roman"/>
          <w:sz w:val="22"/>
        </w:rPr>
        <w:fldChar w:fldCharType="begin"/>
      </w:r>
      <w:r w:rsidRPr="00C40790">
        <w:rPr>
          <w:rFonts w:cs="Times New Roman"/>
          <w:sz w:val="22"/>
        </w:rPr>
        <w:instrText xml:space="preserve"> ADDIN EN.CITE &lt;EndNote&gt;&lt;Cite&gt;&lt;Author&gt;Kipkogei&lt;/Author&gt;&lt;Year&gt;2025&lt;/Year&gt;&lt;RecNum&gt;30&lt;/RecNum&gt;&lt;DisplayText&gt;(Kipkogei, Han et al. 2025)&lt;/DisplayText&gt;&lt;record&gt;&lt;rec-number&gt;30&lt;/rec-number&gt;&lt;foreign-keys&gt;&lt;key app="EN" db-id="xfprwewrufv55ce2z235e9fcereprsaewaxz" timestamp="1740905681"&gt;30&lt;/key&gt;&lt;/foreign-keys&gt;&lt;ref-type name="Journal Article"&gt;17&lt;/ref-type&gt;&lt;contributors&gt;&lt;authors&gt;&lt;author&gt;Kipkogei, Shadrack&lt;/author&gt;&lt;author&gt;Han, Jiqin&lt;/author&gt;&lt;author&gt;Mwalupaso, Gershom&lt;/author&gt;&lt;author&gt;Tanui, John&lt;/author&gt;&lt;author&gt;Brenya, Robert&lt;/author&gt;&lt;/authors&gt;&lt;/contributors&gt;&lt;titles&gt;&lt;title&gt;The synergistic effects of microcredit access and agricultural technology adoption on maize farmer’s income in Kenya&lt;/title&gt;&lt;secondary-title&gt;PLoS One&lt;/secondary-title&gt;&lt;/titles&gt;&lt;periodical&gt;&lt;full-title&gt;PLoS One&lt;/full-title&gt;&lt;/periodical&gt;&lt;pages&gt;e0316014&lt;/pages&gt;&lt;volume&gt;20&lt;/volume&gt;&lt;number&gt;1&lt;/number&gt;&lt;dates&gt;&lt;year&gt;2025&lt;/year&gt;&lt;/dates&gt;&lt;isbn&gt;1932-6203&lt;/isbn&gt;&lt;urls&gt;&lt;/urls&gt;&lt;/record&gt;&lt;/Cite&gt;&lt;/EndNote&gt;</w:instrText>
      </w:r>
      <w:r w:rsidRPr="00C40790">
        <w:rPr>
          <w:rFonts w:cs="Times New Roman"/>
          <w:sz w:val="22"/>
        </w:rPr>
        <w:fldChar w:fldCharType="separate"/>
      </w:r>
      <w:r w:rsidRPr="00C40790">
        <w:rPr>
          <w:rFonts w:cs="Times New Roman"/>
          <w:noProof/>
          <w:sz w:val="22"/>
        </w:rPr>
        <w:t>(Kipkogei et al., 2025)</w:t>
      </w:r>
      <w:r w:rsidRPr="00C40790">
        <w:rPr>
          <w:rFonts w:cs="Times New Roman"/>
          <w:sz w:val="22"/>
        </w:rPr>
        <w:fldChar w:fldCharType="end"/>
      </w:r>
      <w:r w:rsidRPr="00C40790">
        <w:rPr>
          <w:rFonts w:cs="Times New Roman"/>
          <w:sz w:val="22"/>
        </w:rPr>
        <w:t>. A nuanced understanding of the interplay between population growth and economic growth at the subnational level is vital for policymakers, particularly in the context of devolution initiatives aimed at promoting equitable resource distribution and fostering regional economic development.</w:t>
      </w:r>
    </w:p>
    <w:p w14:paraId="61FC70C3" w14:textId="59D3AFFF" w:rsidR="00294A04" w:rsidRPr="00C40790" w:rsidRDefault="00FD71AD" w:rsidP="008D478F">
      <w:pPr>
        <w:spacing w:after="0" w:line="360" w:lineRule="auto"/>
        <w:rPr>
          <w:rFonts w:cs="Times New Roman"/>
          <w:b/>
          <w:bCs/>
          <w:sz w:val="22"/>
        </w:rPr>
      </w:pPr>
      <w:r w:rsidRPr="00C40790">
        <w:rPr>
          <w:rFonts w:cs="Times New Roman"/>
          <w:b/>
          <w:bCs/>
          <w:sz w:val="22"/>
        </w:rPr>
        <w:t>2 Literature Review</w:t>
      </w:r>
    </w:p>
    <w:p w14:paraId="230C0E3E" w14:textId="7D96E009" w:rsidR="00294A04" w:rsidRPr="00C40790" w:rsidRDefault="00FD71AD" w:rsidP="008D478F">
      <w:pPr>
        <w:spacing w:line="360" w:lineRule="auto"/>
        <w:rPr>
          <w:rFonts w:cs="Times New Roman"/>
          <w:b/>
          <w:bCs/>
          <w:sz w:val="22"/>
        </w:rPr>
      </w:pPr>
      <w:r w:rsidRPr="00C40790">
        <w:rPr>
          <w:rFonts w:cs="Times New Roman"/>
          <w:b/>
          <w:bCs/>
          <w:sz w:val="22"/>
        </w:rPr>
        <w:t>2.1 Theoretical Literature</w:t>
      </w:r>
    </w:p>
    <w:p w14:paraId="13098FFC" w14:textId="60111113" w:rsidR="00294A04" w:rsidRPr="00C40790" w:rsidRDefault="00FD71AD" w:rsidP="008D478F">
      <w:pPr>
        <w:spacing w:line="360" w:lineRule="auto"/>
        <w:rPr>
          <w:rFonts w:cs="Times New Roman"/>
          <w:sz w:val="22"/>
        </w:rPr>
      </w:pPr>
      <w:r w:rsidRPr="00C40790">
        <w:rPr>
          <w:rFonts w:cs="Times New Roman"/>
          <w:sz w:val="22"/>
        </w:rPr>
        <w:t xml:space="preserve">Endogenous growth theory, as articulated by Romer (1986) and Lucas (1988), posits that economic growth is fundamentally driven by factors such as human capital, technological innovation, and knowledge accumulation. This theory asserts that population growth can exert a positive influence on economic development, contingent upon investments in education, research, and innovation. In contrast to traditional economic growth models, endogenous growth theory emphasizes the significance of policy and institutional frameworks in sustaining long-term economic growth trajectories. </w:t>
      </w:r>
    </w:p>
    <w:p w14:paraId="2DA26886" w14:textId="09C90090" w:rsidR="00294A04" w:rsidRPr="00C40790" w:rsidRDefault="00FD71AD" w:rsidP="008D478F">
      <w:pPr>
        <w:spacing w:line="360" w:lineRule="auto"/>
        <w:rPr>
          <w:rFonts w:cs="Times New Roman"/>
          <w:sz w:val="22"/>
        </w:rPr>
      </w:pPr>
      <w:r w:rsidRPr="00C40790">
        <w:rPr>
          <w:rFonts w:cs="Times New Roman"/>
          <w:sz w:val="22"/>
        </w:rPr>
        <w:t xml:space="preserve">The Solow-Swan growth model (Solow, 1956) contends that economic growth is primarily fueled by capital accumulation, expansion of the </w:t>
      </w:r>
      <w:proofErr w:type="spellStart"/>
      <w:r w:rsidRPr="00C40790">
        <w:rPr>
          <w:rFonts w:cs="Times New Roman"/>
          <w:sz w:val="22"/>
        </w:rPr>
        <w:t>labour</w:t>
      </w:r>
      <w:proofErr w:type="spellEnd"/>
      <w:r w:rsidRPr="00C40790">
        <w:rPr>
          <w:rFonts w:cs="Times New Roman"/>
          <w:sz w:val="22"/>
        </w:rPr>
        <w:t xml:space="preserve"> force, and technological progress. Although population growth enhances the </w:t>
      </w:r>
      <w:proofErr w:type="spellStart"/>
      <w:r w:rsidRPr="00C40790">
        <w:rPr>
          <w:rFonts w:cs="Times New Roman"/>
          <w:sz w:val="22"/>
        </w:rPr>
        <w:t>labour</w:t>
      </w:r>
      <w:proofErr w:type="spellEnd"/>
      <w:r w:rsidRPr="00C40790">
        <w:rPr>
          <w:rFonts w:cs="Times New Roman"/>
          <w:sz w:val="22"/>
        </w:rPr>
        <w:t xml:space="preserve"> supply, unchecked growth may lead to capital dilution, ultimately resulting in </w:t>
      </w:r>
      <w:r w:rsidRPr="00C40790">
        <w:rPr>
          <w:rFonts w:cs="Times New Roman"/>
          <w:sz w:val="22"/>
        </w:rPr>
        <w:lastRenderedPageBreak/>
        <w:t>diminished per capita income. This model underscores the critical roles of savings, investment, and technological advancement in fostering sustained economic growth.</w:t>
      </w:r>
    </w:p>
    <w:p w14:paraId="4A90A6EF" w14:textId="77777777" w:rsidR="00294A04" w:rsidRDefault="00FD71AD" w:rsidP="008D478F">
      <w:pPr>
        <w:spacing w:line="360" w:lineRule="auto"/>
        <w:rPr>
          <w:rFonts w:cs="Times New Roman"/>
          <w:sz w:val="22"/>
        </w:rPr>
      </w:pPr>
      <w:r w:rsidRPr="00C40790">
        <w:rPr>
          <w:rFonts w:cs="Times New Roman"/>
          <w:sz w:val="22"/>
        </w:rPr>
        <w:t xml:space="preserve">Unified Growth Theory, developed by </w:t>
      </w:r>
      <w:proofErr w:type="spellStart"/>
      <w:r w:rsidRPr="00C40790">
        <w:rPr>
          <w:rFonts w:cs="Times New Roman"/>
          <w:sz w:val="22"/>
        </w:rPr>
        <w:t>Galor</w:t>
      </w:r>
      <w:proofErr w:type="spellEnd"/>
      <w:r w:rsidRPr="00C40790">
        <w:rPr>
          <w:rFonts w:cs="Times New Roman"/>
          <w:sz w:val="22"/>
        </w:rPr>
        <w:t xml:space="preserve"> and Weil (2000), integrates elements from Malthusian theory, demographic transition theory, and endogenous growth theory. It elucidates the process through which economies transition from stagnation to sustained growth, driven by technological advancements that enhance productivity and living standards. The theory posits that as societies evolve from agrarian to industrial economies, fertility rates decline, human capital accumulation escalates, and economic performance improves.</w:t>
      </w:r>
    </w:p>
    <w:p w14:paraId="5D6C4EF1" w14:textId="0981B00E" w:rsidR="00600685" w:rsidRDefault="00FD71AD" w:rsidP="008D478F">
      <w:pPr>
        <w:spacing w:line="360" w:lineRule="auto"/>
        <w:rPr>
          <w:rFonts w:cs="Times New Roman"/>
          <w:sz w:val="22"/>
        </w:rPr>
      </w:pPr>
      <w:r w:rsidRPr="00600685">
        <w:rPr>
          <w:rFonts w:cs="Times New Roman"/>
          <w:sz w:val="22"/>
        </w:rPr>
        <w:t xml:space="preserve">Decentralization can be a crucial strategy for delivering services at the sub-national level of government. According to </w:t>
      </w:r>
      <w:proofErr w:type="spellStart"/>
      <w:r w:rsidRPr="00600685">
        <w:rPr>
          <w:rFonts w:cs="Times New Roman"/>
          <w:sz w:val="22"/>
        </w:rPr>
        <w:t>Tiebout</w:t>
      </w:r>
      <w:proofErr w:type="spellEnd"/>
      <w:r w:rsidRPr="00600685">
        <w:rPr>
          <w:rFonts w:cs="Times New Roman"/>
          <w:sz w:val="22"/>
        </w:rPr>
        <w:t xml:space="preserve"> (1956), the theory of decentralization involves the distribution of resources, decision-making, enhancement of public services and service delivery, as well as facilitating information exchange. Musgrave (1959), in his theory of finance, argues that decentralization boosts a nation's productive capacity by increasing efficiency, enhancing accountability, reducing corruption, decreasing bureaucracy, and minimizing conflicts between government officials and civil servants. In later research, Musgrave (1956) posits that the government's role is to maximize social welfare through fiscal decentralization, whereby the allocation of public goods is managed by sub-national governments. This approach results in a more effective distribution of public services and goods at the lowest levels of government (</w:t>
      </w:r>
      <w:proofErr w:type="spellStart"/>
      <w:r w:rsidRPr="00600685">
        <w:rPr>
          <w:rFonts w:cs="Times New Roman"/>
          <w:sz w:val="22"/>
        </w:rPr>
        <w:t>Gisore</w:t>
      </w:r>
      <w:proofErr w:type="spellEnd"/>
      <w:r w:rsidRPr="00600685">
        <w:rPr>
          <w:rFonts w:cs="Times New Roman"/>
          <w:sz w:val="22"/>
        </w:rPr>
        <w:t>, 2021). Fiscal decentralization, in this context, refers to the transfer of fiscal powers and responsibilities from the central government to sub-national governments, emphasizing the importance of financial decentralization in achieving the optimal supply of local public goods, ultimately contributing to human development and economic growth. Furthermore, decentralization can help manage population imbalances in various ways. For example, decentralization reforms in many states have positively impacted the reduction of spatial inequalities and promoted rural development (Faye et al., 2024).</w:t>
      </w:r>
    </w:p>
    <w:p w14:paraId="57368A05" w14:textId="60D5059E" w:rsidR="00294A04" w:rsidRPr="00C40790" w:rsidRDefault="00FD71AD" w:rsidP="008D478F">
      <w:pPr>
        <w:spacing w:line="360" w:lineRule="auto"/>
        <w:rPr>
          <w:rFonts w:cs="Times New Roman"/>
          <w:b/>
          <w:bCs/>
          <w:sz w:val="22"/>
        </w:rPr>
      </w:pPr>
      <w:r w:rsidRPr="00C40790">
        <w:rPr>
          <w:rFonts w:cs="Times New Roman"/>
          <w:b/>
          <w:bCs/>
          <w:sz w:val="22"/>
        </w:rPr>
        <w:t>2.</w:t>
      </w:r>
      <w:r w:rsidR="00030A8C" w:rsidRPr="00C40790">
        <w:rPr>
          <w:rFonts w:cs="Times New Roman"/>
          <w:b/>
          <w:bCs/>
          <w:sz w:val="22"/>
        </w:rPr>
        <w:t>2</w:t>
      </w:r>
      <w:r w:rsidRPr="00C40790">
        <w:rPr>
          <w:rFonts w:cs="Times New Roman"/>
          <w:b/>
          <w:bCs/>
          <w:sz w:val="22"/>
        </w:rPr>
        <w:t xml:space="preserve"> Empirical Literature</w:t>
      </w:r>
    </w:p>
    <w:p w14:paraId="2BAE3D98" w14:textId="22F6AB2B" w:rsidR="00294A04" w:rsidRPr="00C40790" w:rsidRDefault="00FD71AD" w:rsidP="008D478F">
      <w:pPr>
        <w:spacing w:line="360" w:lineRule="auto"/>
        <w:rPr>
          <w:rFonts w:cs="Times New Roman"/>
          <w:sz w:val="22"/>
        </w:rPr>
      </w:pPr>
      <w:r w:rsidRPr="00C40790">
        <w:rPr>
          <w:rFonts w:cs="Times New Roman"/>
          <w:sz w:val="22"/>
        </w:rPr>
        <w:t>Empirical studies have provided significant insights into the relationship between population growth and economic performance. Barro (1996), in his analysis of 98 countries, identified a negative correlation between higher population growth rates and per capita income, particularly in developing nations. In a similar vein, Kelley and Schmidt (2005) examined data from 88 countries and concluded that rapid population growth impeded economic development by diminishing capital accumulation and elevating dependency ratios.</w:t>
      </w:r>
    </w:p>
    <w:p w14:paraId="32E5B150" w14:textId="390748BC" w:rsidR="00294A04" w:rsidRPr="00C40790" w:rsidRDefault="00FD71AD" w:rsidP="008D478F">
      <w:pPr>
        <w:spacing w:line="360" w:lineRule="auto"/>
        <w:rPr>
          <w:rFonts w:cs="Times New Roman"/>
          <w:sz w:val="22"/>
        </w:rPr>
      </w:pPr>
      <w:r w:rsidRPr="00C40790">
        <w:rPr>
          <w:rFonts w:cs="Times New Roman"/>
          <w:sz w:val="22"/>
        </w:rPr>
        <w:t xml:space="preserve">Sachs and Warner (1997) investigated the phenomenon of economic stagnation in Africa, suggesting that rapid population growth was a contributing factor to the sluggish pace of economic development, </w:t>
      </w:r>
      <w:r w:rsidRPr="00C40790">
        <w:rPr>
          <w:rFonts w:cs="Times New Roman"/>
          <w:sz w:val="22"/>
        </w:rPr>
        <w:lastRenderedPageBreak/>
        <w:t>attributable to inadequate infrastructure and limited job creation opportunities. Gyimah-</w:t>
      </w:r>
      <w:proofErr w:type="spellStart"/>
      <w:r w:rsidRPr="00C40790">
        <w:rPr>
          <w:rFonts w:cs="Times New Roman"/>
          <w:sz w:val="22"/>
        </w:rPr>
        <w:t>Brempong</w:t>
      </w:r>
      <w:proofErr w:type="spellEnd"/>
      <w:r w:rsidRPr="00C40790">
        <w:rPr>
          <w:rFonts w:cs="Times New Roman"/>
          <w:sz w:val="22"/>
        </w:rPr>
        <w:t xml:space="preserve"> and Wilson (2004) further explored the relationship between fertility rates and economic growth in Sub-Saharan Africa, revealing that elevated birth rates increased dependency ratios, thereby constraining savings and investment.</w:t>
      </w:r>
    </w:p>
    <w:p w14:paraId="6696ECD9" w14:textId="6C114332" w:rsidR="0094132C" w:rsidRPr="00C40790" w:rsidRDefault="00FD71AD" w:rsidP="008D478F">
      <w:pPr>
        <w:spacing w:line="360" w:lineRule="auto"/>
        <w:rPr>
          <w:rFonts w:cs="Times New Roman"/>
          <w:sz w:val="22"/>
        </w:rPr>
      </w:pPr>
      <w:r w:rsidRPr="00C40790">
        <w:rPr>
          <w:rFonts w:cs="Times New Roman"/>
          <w:sz w:val="22"/>
        </w:rPr>
        <w:t xml:space="preserve">In a study focused on Kenya, </w:t>
      </w:r>
      <w:bookmarkStart w:id="3" w:name="_Hlk192230926"/>
      <w:proofErr w:type="spellStart"/>
      <w:r w:rsidRPr="00C40790">
        <w:rPr>
          <w:rFonts w:cs="Times New Roman"/>
          <w:sz w:val="22"/>
        </w:rPr>
        <w:t>Thuku</w:t>
      </w:r>
      <w:proofErr w:type="spellEnd"/>
      <w:r w:rsidRPr="00C40790">
        <w:rPr>
          <w:rFonts w:cs="Times New Roman"/>
          <w:sz w:val="22"/>
        </w:rPr>
        <w:t xml:space="preserve"> et al. (2013) </w:t>
      </w:r>
      <w:bookmarkEnd w:id="3"/>
      <w:r w:rsidRPr="00C40790">
        <w:rPr>
          <w:rFonts w:cs="Times New Roman"/>
          <w:sz w:val="22"/>
        </w:rPr>
        <w:t xml:space="preserve">found that rapid population growth resulted in resource depletion and high unemployment, which hindered growth in per capita income. Conversely, </w:t>
      </w:r>
      <w:bookmarkStart w:id="4" w:name="_Hlk192231061"/>
      <w:r w:rsidRPr="00C40790">
        <w:rPr>
          <w:rFonts w:cs="Times New Roman"/>
          <w:sz w:val="22"/>
        </w:rPr>
        <w:t>KIPPRA (2021)</w:t>
      </w:r>
      <w:bookmarkEnd w:id="4"/>
      <w:r w:rsidRPr="00C40790">
        <w:rPr>
          <w:rFonts w:cs="Times New Roman"/>
          <w:sz w:val="22"/>
        </w:rPr>
        <w:t xml:space="preserve"> assessed population trends and economic performance in Kenya, revealing that counties experiencing significant urban population growth, such as Nairobi and Nakuru, witnessed marked economic expansion attributed to increased </w:t>
      </w:r>
      <w:proofErr w:type="spellStart"/>
      <w:r w:rsidRPr="00C40790">
        <w:rPr>
          <w:rFonts w:cs="Times New Roman"/>
          <w:sz w:val="22"/>
        </w:rPr>
        <w:t>labour</w:t>
      </w:r>
      <w:proofErr w:type="spellEnd"/>
      <w:r w:rsidRPr="00C40790">
        <w:rPr>
          <w:rFonts w:cs="Times New Roman"/>
          <w:sz w:val="22"/>
        </w:rPr>
        <w:t xml:space="preserve"> supply and heightened consumer demand. Additionally, the World Bank (2023) indicated that urban counties contribute more substantially to GDP than their rural counterparts, reflecting disparities in </w:t>
      </w:r>
      <w:proofErr w:type="spellStart"/>
      <w:r w:rsidRPr="00C40790">
        <w:rPr>
          <w:rFonts w:cs="Times New Roman"/>
          <w:sz w:val="22"/>
        </w:rPr>
        <w:t>labour</w:t>
      </w:r>
      <w:proofErr w:type="spellEnd"/>
      <w:r w:rsidRPr="00C40790">
        <w:rPr>
          <w:rFonts w:cs="Times New Roman"/>
          <w:sz w:val="22"/>
        </w:rPr>
        <w:t xml:space="preserve"> productivity and access to economic opportunities.</w:t>
      </w:r>
    </w:p>
    <w:p w14:paraId="1B67F58C" w14:textId="6DE904B4" w:rsidR="00DA6395" w:rsidRPr="00C40790" w:rsidRDefault="00FD71AD" w:rsidP="008D478F">
      <w:pPr>
        <w:spacing w:line="360" w:lineRule="auto"/>
        <w:rPr>
          <w:rFonts w:cs="Times New Roman"/>
          <w:b/>
          <w:bCs/>
          <w:sz w:val="22"/>
        </w:rPr>
      </w:pPr>
      <w:r w:rsidRPr="00C40790">
        <w:rPr>
          <w:rFonts w:cs="Times New Roman"/>
          <w:b/>
          <w:bCs/>
          <w:sz w:val="22"/>
        </w:rPr>
        <w:t xml:space="preserve">3 </w:t>
      </w:r>
      <w:r w:rsidR="006728C1" w:rsidRPr="00C40790">
        <w:rPr>
          <w:rFonts w:cs="Times New Roman"/>
          <w:b/>
          <w:bCs/>
          <w:sz w:val="22"/>
        </w:rPr>
        <w:t xml:space="preserve">Methodology </w:t>
      </w:r>
    </w:p>
    <w:p w14:paraId="0CA77ED2" w14:textId="391EF79E" w:rsidR="00DA6395" w:rsidRPr="00C40790" w:rsidRDefault="00FD71AD" w:rsidP="008D478F">
      <w:pPr>
        <w:tabs>
          <w:tab w:val="left" w:pos="1930"/>
        </w:tabs>
        <w:spacing w:line="360" w:lineRule="auto"/>
        <w:rPr>
          <w:rFonts w:cs="Times New Roman"/>
          <w:b/>
          <w:bCs/>
          <w:sz w:val="22"/>
        </w:rPr>
      </w:pPr>
      <w:r w:rsidRPr="00C40790">
        <w:rPr>
          <w:rFonts w:cs="Times New Roman"/>
          <w:b/>
          <w:bCs/>
          <w:sz w:val="22"/>
        </w:rPr>
        <w:t xml:space="preserve">3.1 </w:t>
      </w:r>
      <w:r w:rsidR="006728C1" w:rsidRPr="00C40790">
        <w:rPr>
          <w:rFonts w:cs="Times New Roman"/>
          <w:b/>
          <w:bCs/>
          <w:sz w:val="22"/>
        </w:rPr>
        <w:t xml:space="preserve">Data Issues </w:t>
      </w:r>
    </w:p>
    <w:p w14:paraId="172EF1D6" w14:textId="4805B1BE" w:rsidR="006F38AC" w:rsidRPr="00603C92" w:rsidRDefault="00FD71AD" w:rsidP="008D478F">
      <w:pPr>
        <w:tabs>
          <w:tab w:val="left" w:pos="1930"/>
        </w:tabs>
        <w:spacing w:line="360" w:lineRule="auto"/>
        <w:rPr>
          <w:rFonts w:cs="Times New Roman"/>
          <w:sz w:val="22"/>
        </w:rPr>
      </w:pPr>
      <w:r w:rsidRPr="00C40790">
        <w:rPr>
          <w:rFonts w:cs="Times New Roman"/>
          <w:sz w:val="22"/>
        </w:rPr>
        <w:t xml:space="preserve">The study examines and analyzes the relationship between population growth and economic development in Kenya. In this context, population dynamics are represented by the population growth rate, while economic growth is denoted by the growth rates of the Gross County Product (GCP), which reflects the gross domestic product per county. The analysis is conducted at the subnational level to guide policies and resource allocation aimed at enhancing economic development. The study utilizes annual panel data from 47 counties covering the period from 2014 to 2022, resulting in a total of 423 observations. Employing panel data enables a more robust analysis by combining time series data across different counties, thus enhancing the statistical power of Granger-type causality tests. </w:t>
      </w:r>
      <w:r w:rsidR="00603C92">
        <w:t>Data on county population estimates were obtained from annual statistical abstracts reports, while the county economic growth (Gross County Product) data was obtained from the 2019 and 202</w:t>
      </w:r>
      <w:r w:rsidR="00433EC1">
        <w:t>3</w:t>
      </w:r>
      <w:r w:rsidR="00603C92">
        <w:t xml:space="preserve"> Kenya National Bureau of Statistics (KNBS) reports.</w:t>
      </w:r>
      <w:r w:rsidR="00603C92">
        <w:rPr>
          <w:rFonts w:cs="Times New Roman"/>
          <w:sz w:val="22"/>
        </w:rPr>
        <w:t xml:space="preserve"> </w:t>
      </w:r>
      <w:r w:rsidRPr="00C40790">
        <w:rPr>
          <w:rFonts w:cs="Times New Roman"/>
          <w:sz w:val="22"/>
        </w:rPr>
        <w:t>This database is widely recognized as a consistent and reliable resource for studies on economic development in Kenya. All secondary data utilized in this study are annual and span the years 2014 to 2022.</w:t>
      </w:r>
    </w:p>
    <w:p w14:paraId="36572B5A" w14:textId="5E26B1FF" w:rsidR="004151C7" w:rsidRPr="00C40790" w:rsidRDefault="00FD71AD" w:rsidP="008D478F">
      <w:pPr>
        <w:tabs>
          <w:tab w:val="left" w:pos="1930"/>
        </w:tabs>
        <w:spacing w:line="360" w:lineRule="auto"/>
        <w:rPr>
          <w:rFonts w:cs="Times New Roman"/>
          <w:b/>
          <w:bCs/>
          <w:sz w:val="22"/>
        </w:rPr>
      </w:pPr>
      <w:r w:rsidRPr="00C40790">
        <w:rPr>
          <w:rFonts w:cs="Times New Roman"/>
          <w:b/>
          <w:bCs/>
          <w:sz w:val="22"/>
        </w:rPr>
        <w:t xml:space="preserve">3.2 </w:t>
      </w:r>
      <w:r w:rsidR="006728C1" w:rsidRPr="00C40790">
        <w:rPr>
          <w:rFonts w:cs="Times New Roman"/>
          <w:b/>
          <w:bCs/>
          <w:sz w:val="22"/>
        </w:rPr>
        <w:t xml:space="preserve">Model Specification </w:t>
      </w:r>
    </w:p>
    <w:p w14:paraId="28DC619B" w14:textId="6D4BC64E" w:rsidR="004151C7" w:rsidRPr="00C40790" w:rsidRDefault="00FD71AD" w:rsidP="008D478F">
      <w:pPr>
        <w:spacing w:after="0" w:line="360" w:lineRule="auto"/>
        <w:rPr>
          <w:rFonts w:eastAsia="Times New Roman" w:cs="Times New Roman"/>
          <w:kern w:val="0"/>
          <w:sz w:val="22"/>
          <w14:ligatures w14:val="none"/>
        </w:rPr>
      </w:pPr>
      <w:r w:rsidRPr="00C40790">
        <w:rPr>
          <w:rFonts w:eastAsia="Times New Roman" w:cs="Times New Roman"/>
          <w:kern w:val="0"/>
          <w:sz w:val="22"/>
          <w14:ligatures w14:val="none"/>
        </w:rPr>
        <w:t xml:space="preserve">The study establishes its theoretical framework based on endogenous growth theory, originally introduced by Romer (1986, 1990) and later refined by Jones (1995) to address the counterfactual implication that economic growth rates are solely dependent on population size. In this modified model, the growth rate of the economy is linked to the growth rate of the population. This logically suggests a positive correlation </w:t>
      </w:r>
      <w:r w:rsidRPr="00C40790">
        <w:rPr>
          <w:rFonts w:eastAsia="Times New Roman" w:cs="Times New Roman"/>
          <w:kern w:val="0"/>
          <w:sz w:val="22"/>
          <w14:ligatures w14:val="none"/>
        </w:rPr>
        <w:lastRenderedPageBreak/>
        <w:t>between the growth of per capita income and the population growth rate (</w:t>
      </w:r>
      <w:proofErr w:type="spellStart"/>
      <w:r w:rsidRPr="00C40790">
        <w:rPr>
          <w:rFonts w:eastAsia="Times New Roman" w:cs="Times New Roman"/>
          <w:kern w:val="0"/>
          <w:sz w:val="22"/>
          <w14:ligatures w14:val="none"/>
        </w:rPr>
        <w:t>Cayssials</w:t>
      </w:r>
      <w:proofErr w:type="spellEnd"/>
      <w:r w:rsidRPr="00C40790">
        <w:rPr>
          <w:rFonts w:eastAsia="Times New Roman" w:cs="Times New Roman"/>
          <w:kern w:val="0"/>
          <w:sz w:val="22"/>
          <w14:ligatures w14:val="none"/>
        </w:rPr>
        <w:t xml:space="preserve"> et al., 2024). Endogenous growth models allow for demographics to influence per capita macroeconomic outcomes. According to endogenous growth theory, economic growth is primarily driven by a country's population growth, labor force, and internal innovation. In this context, the population growth rate is treated as an endogenous factor, meaning that policy changes can influence the long-run growth rate of the economy through their effects on fertility. However, because the mechanism by which policy impacts growth is fertility, the effects of such policies on long-run growth can often contradict conventional wisdom (Jones, 1998).</w:t>
      </w:r>
    </w:p>
    <w:p w14:paraId="2387DF1D" w14:textId="36B958BD" w:rsidR="005D3299" w:rsidRPr="00C40790" w:rsidRDefault="00FD71AD" w:rsidP="008D478F">
      <w:pPr>
        <w:spacing w:after="0" w:line="360" w:lineRule="auto"/>
        <w:rPr>
          <w:rFonts w:eastAsia="Times New Roman" w:cs="Times New Roman"/>
          <w:kern w:val="0"/>
          <w:sz w:val="22"/>
          <w14:ligatures w14:val="none"/>
        </w:rPr>
      </w:pPr>
      <w:r w:rsidRPr="00C40790">
        <w:rPr>
          <w:rFonts w:eastAsia="Times New Roman" w:cs="Times New Roman"/>
          <w:kern w:val="0"/>
          <w:sz w:val="22"/>
          <w14:ligatures w14:val="none"/>
        </w:rPr>
        <w:t xml:space="preserve">The general </w:t>
      </w:r>
      <w:r w:rsidR="004151C7" w:rsidRPr="00C40790">
        <w:rPr>
          <w:rFonts w:eastAsia="Times New Roman" w:cs="Times New Roman"/>
          <w:kern w:val="0"/>
          <w:sz w:val="22"/>
          <w14:ligatures w14:val="none"/>
        </w:rPr>
        <w:t>growth</w:t>
      </w:r>
      <w:r w:rsidRPr="00C40790">
        <w:rPr>
          <w:rFonts w:eastAsia="Times New Roman" w:cs="Times New Roman"/>
          <w:kern w:val="0"/>
          <w:sz w:val="22"/>
          <w14:ligatures w14:val="none"/>
        </w:rPr>
        <w:t xml:space="preserve"> function deriving from this theoretical model states:</w:t>
      </w:r>
    </w:p>
    <w:p w14:paraId="184D6F7E" w14:textId="77777777" w:rsidR="00D3413A" w:rsidRPr="00C40790" w:rsidRDefault="00D3413A" w:rsidP="008D478F">
      <w:pPr>
        <w:spacing w:after="0" w:line="360" w:lineRule="auto"/>
        <w:rPr>
          <w:rFonts w:eastAsia="Times New Roman" w:cs="Times New Roman"/>
          <w:kern w:val="0"/>
          <w:sz w:val="22"/>
          <w14:ligatures w14:val="none"/>
        </w:rPr>
      </w:pPr>
    </w:p>
    <w:p w14:paraId="0254EF61" w14:textId="5968FBC6" w:rsidR="00525600" w:rsidRPr="00C40790" w:rsidRDefault="00FD71AD" w:rsidP="008D478F">
      <w:pPr>
        <w:spacing w:after="0" w:line="360" w:lineRule="auto"/>
        <w:rPr>
          <w:rFonts w:cs="Times New Roman"/>
          <w:iCs/>
          <w:sz w:val="22"/>
        </w:rPr>
      </w:pPr>
      <m:oMath>
        <m:r>
          <w:rPr>
            <w:rFonts w:ascii="Cambria Math" w:hAnsi="Cambria Math" w:cs="Times New Roman"/>
            <w:sz w:val="22"/>
          </w:rPr>
          <m:t>GCP = ƒ</m:t>
        </m:r>
        <m:d>
          <m:dPr>
            <m:ctrlPr>
              <w:rPr>
                <w:rFonts w:ascii="Cambria Math" w:hAnsi="Cambria Math" w:cs="Times New Roman"/>
                <w:i/>
                <w:iCs/>
                <w:sz w:val="22"/>
              </w:rPr>
            </m:ctrlPr>
          </m:dPr>
          <m:e>
            <m:r>
              <w:rPr>
                <w:rFonts w:ascii="Cambria Math" w:hAnsi="Cambria Math" w:cs="Times New Roman"/>
                <w:sz w:val="22"/>
              </w:rPr>
              <m:t xml:space="preserve"> POP</m:t>
            </m:r>
          </m:e>
        </m:d>
        <m:r>
          <w:rPr>
            <w:rFonts w:ascii="Cambria Math" w:hAnsi="Cambria Math" w:cs="Times New Roman"/>
            <w:sz w:val="22"/>
          </w:rPr>
          <m:t>,</m:t>
        </m:r>
      </m:oMath>
      <w:r w:rsidRPr="00C40790">
        <w:rPr>
          <w:rFonts w:eastAsiaTheme="minorEastAsia" w:cs="Times New Roman"/>
          <w:sz w:val="22"/>
        </w:rPr>
        <w:tab/>
      </w:r>
      <w:r w:rsidRPr="00C40790">
        <w:rPr>
          <w:rFonts w:eastAsiaTheme="minorEastAsia" w:cs="Times New Roman"/>
          <w:sz w:val="22"/>
        </w:rPr>
        <w:tab/>
      </w:r>
      <w:r w:rsidRPr="00C40790">
        <w:rPr>
          <w:rFonts w:eastAsiaTheme="minorEastAsia" w:cs="Times New Roman"/>
          <w:sz w:val="22"/>
        </w:rPr>
        <w:tab/>
      </w:r>
      <w:r w:rsidRPr="00C40790">
        <w:rPr>
          <w:rFonts w:eastAsiaTheme="minorEastAsia" w:cs="Times New Roman"/>
          <w:sz w:val="22"/>
        </w:rPr>
        <w:tab/>
        <w:t>(1)</w:t>
      </w:r>
    </w:p>
    <w:p w14:paraId="6E5A4C8B" w14:textId="0F1A2E37" w:rsidR="00DA1CC2" w:rsidRPr="00C40790" w:rsidRDefault="00FD71AD" w:rsidP="008D478F">
      <w:pPr>
        <w:spacing w:before="240" w:after="0" w:line="360" w:lineRule="auto"/>
        <w:rPr>
          <w:rFonts w:eastAsia="Times New Roman" w:cs="Times New Roman"/>
          <w:kern w:val="0"/>
          <w:sz w:val="22"/>
          <w14:ligatures w14:val="none"/>
        </w:rPr>
      </w:pPr>
      <w:r w:rsidRPr="00C40790">
        <w:rPr>
          <w:rFonts w:eastAsia="Times New Roman" w:cs="Times New Roman"/>
          <w:kern w:val="0"/>
          <w:sz w:val="22"/>
          <w14:ligatures w14:val="none"/>
        </w:rPr>
        <w:t>In this study, economic growth is characterized by the GCP growth rate (</w:t>
      </w:r>
      <w:r w:rsidRPr="00C40790">
        <w:rPr>
          <w:rFonts w:eastAsia="Times New Roman" w:cs="Times New Roman"/>
          <w:i/>
          <w:iCs/>
          <w:kern w:val="0"/>
          <w:sz w:val="22"/>
          <w14:ligatures w14:val="none"/>
        </w:rPr>
        <w:t>GCP</w:t>
      </w:r>
      <w:r w:rsidRPr="00C40790">
        <w:rPr>
          <w:rFonts w:eastAsia="Times New Roman" w:cs="Times New Roman"/>
          <w:kern w:val="0"/>
          <w:sz w:val="22"/>
          <w14:ligatures w14:val="none"/>
        </w:rPr>
        <w:t>), which captures economic growth</w:t>
      </w:r>
      <w:r w:rsidR="00525600" w:rsidRPr="00C40790">
        <w:rPr>
          <w:rFonts w:eastAsia="Times New Roman" w:cs="Times New Roman"/>
          <w:kern w:val="0"/>
          <w:sz w:val="22"/>
          <w14:ligatures w14:val="none"/>
        </w:rPr>
        <w:t xml:space="preserve"> at the sub-national level</w:t>
      </w:r>
      <w:r w:rsidRPr="00C40790">
        <w:rPr>
          <w:rFonts w:eastAsia="Times New Roman" w:cs="Times New Roman"/>
          <w:kern w:val="0"/>
          <w:sz w:val="22"/>
          <w14:ligatures w14:val="none"/>
        </w:rPr>
        <w:t xml:space="preserve">. The exogenous variable population is denoted by the population (POP) growth rate as captured in theory. </w:t>
      </w:r>
    </w:p>
    <w:p w14:paraId="7E055F1E" w14:textId="77777777" w:rsidR="00DA1CC2" w:rsidRPr="00C40790" w:rsidRDefault="00DA1CC2" w:rsidP="008D478F">
      <w:pPr>
        <w:spacing w:after="0" w:line="360" w:lineRule="auto"/>
        <w:rPr>
          <w:rFonts w:eastAsia="Times New Roman" w:cs="Times New Roman"/>
          <w:kern w:val="0"/>
          <w:sz w:val="22"/>
          <w14:ligatures w14:val="none"/>
        </w:rPr>
      </w:pPr>
    </w:p>
    <w:p w14:paraId="129D4F25" w14:textId="035E1AA7" w:rsidR="005D3299" w:rsidRPr="00C40790" w:rsidRDefault="00FD71AD" w:rsidP="008D478F">
      <w:pPr>
        <w:spacing w:after="0" w:line="360" w:lineRule="auto"/>
        <w:rPr>
          <w:rFonts w:eastAsia="Times New Roman" w:cs="Times New Roman"/>
          <w:kern w:val="0"/>
          <w:sz w:val="22"/>
          <w14:ligatures w14:val="none"/>
        </w:rPr>
      </w:pPr>
      <w:r w:rsidRPr="00C40790">
        <w:rPr>
          <w:rFonts w:eastAsia="Times New Roman" w:cs="Times New Roman"/>
          <w:kern w:val="0"/>
          <w:sz w:val="22"/>
          <w14:ligatures w14:val="none"/>
        </w:rPr>
        <w:t>Based on that, the specified model for this study is depicted in Equation 2:</w:t>
      </w:r>
    </w:p>
    <w:p w14:paraId="375B4630" w14:textId="77777777" w:rsidR="00D3413A" w:rsidRPr="00C40790" w:rsidRDefault="00D3413A" w:rsidP="008D478F">
      <w:pPr>
        <w:spacing w:after="0" w:line="360" w:lineRule="auto"/>
        <w:rPr>
          <w:rFonts w:eastAsia="Times New Roman" w:cs="Times New Roman"/>
          <w:kern w:val="0"/>
          <w:sz w:val="22"/>
          <w14:ligatures w14:val="none"/>
        </w:rPr>
      </w:pPr>
    </w:p>
    <w:bookmarkStart w:id="5" w:name="_Hlk190515562"/>
    <w:bookmarkEnd w:id="5"/>
    <w:p w14:paraId="524008EB" w14:textId="6E6C04B2" w:rsidR="00525600" w:rsidRPr="00C40790" w:rsidRDefault="005859ED" w:rsidP="008D478F">
      <w:pPr>
        <w:spacing w:after="0" w:line="360" w:lineRule="auto"/>
        <w:rPr>
          <w:rFonts w:cs="Times New Roman"/>
          <w:sz w:val="22"/>
          <w:vertAlign w:val="subscript"/>
        </w:rPr>
      </w:pPr>
      <m:oMath>
        <m:sSub>
          <m:sSubPr>
            <m:ctrlPr>
              <w:rPr>
                <w:rFonts w:ascii="Cambria Math" w:hAnsi="Cambria Math" w:cs="Times New Roman"/>
                <w:i/>
                <w:sz w:val="22"/>
              </w:rPr>
            </m:ctrlPr>
          </m:sSubPr>
          <m:e>
            <m:r>
              <w:rPr>
                <w:rFonts w:ascii="Cambria Math" w:hAnsi="Cambria Math" w:cs="Times New Roman"/>
                <w:sz w:val="22"/>
              </w:rPr>
              <m:t>GCP</m:t>
            </m:r>
          </m:e>
          <m:sub>
            <m:r>
              <w:rPr>
                <w:rFonts w:ascii="Cambria Math" w:hAnsi="Cambria Math" w:cs="Times New Roman"/>
                <w:sz w:val="22"/>
              </w:rPr>
              <m:t>it</m:t>
            </m:r>
          </m:sub>
        </m:sSub>
        <m:r>
          <w:rPr>
            <w:rFonts w:ascii="Cambria Math" w:hAnsi="Cambria Math" w:cs="Times New Roman"/>
            <w:sz w:val="22"/>
          </w:rPr>
          <m:t xml:space="preserve"> =</m:t>
        </m:r>
        <m:r>
          <w:rPr>
            <w:rFonts w:ascii="Cambria Math" w:hAnsi="Cambria Math" w:cs="Times New Roman"/>
            <w:sz w:val="22"/>
          </w:rPr>
          <m:t>α</m:t>
        </m:r>
        <m:r>
          <w:rPr>
            <w:rFonts w:ascii="Cambria Math" w:hAnsi="Cambria Math" w:cs="Times New Roman"/>
            <w:sz w:val="22"/>
          </w:rPr>
          <m:t>+</m:t>
        </m:r>
        <m:sSub>
          <m:sSubPr>
            <m:ctrlPr>
              <w:rPr>
                <w:rFonts w:ascii="Cambria Math" w:hAnsi="Cambria Math" w:cs="Times New Roman"/>
                <w:i/>
                <w:sz w:val="22"/>
              </w:rPr>
            </m:ctrlPr>
          </m:sSubPr>
          <m:e>
            <m:r>
              <w:rPr>
                <w:rFonts w:ascii="Cambria Math" w:hAnsi="Cambria Math" w:cs="Times New Roman"/>
                <w:sz w:val="22"/>
              </w:rPr>
              <m:t>δ</m:t>
            </m:r>
          </m:e>
          <m:sub>
            <m:r>
              <w:rPr>
                <w:rFonts w:ascii="Cambria Math" w:hAnsi="Cambria Math" w:cs="Times New Roman"/>
                <w:sz w:val="22"/>
              </w:rPr>
              <m:t>1</m:t>
            </m:r>
          </m:sub>
        </m:sSub>
        <m:sSub>
          <m:sSubPr>
            <m:ctrlPr>
              <w:rPr>
                <w:rFonts w:ascii="Cambria Math" w:hAnsi="Cambria Math" w:cs="Times New Roman"/>
                <w:i/>
                <w:sz w:val="22"/>
              </w:rPr>
            </m:ctrlPr>
          </m:sSubPr>
          <m:e>
            <m:r>
              <w:rPr>
                <w:rFonts w:ascii="Cambria Math" w:hAnsi="Cambria Math" w:cs="Times New Roman"/>
                <w:sz w:val="22"/>
              </w:rPr>
              <m:t>POP</m:t>
            </m:r>
          </m:e>
          <m:sub>
            <m:r>
              <w:rPr>
                <w:rFonts w:ascii="Cambria Math" w:hAnsi="Cambria Math" w:cs="Times New Roman"/>
                <w:sz w:val="22"/>
              </w:rPr>
              <m:t>it</m:t>
            </m:r>
          </m:sub>
        </m:sSub>
        <m:r>
          <w:rPr>
            <w:rFonts w:ascii="Cambria Math" w:hAnsi="Cambria Math" w:cs="Times New Roman"/>
            <w:sz w:val="22"/>
            <w:vertAlign w:val="subscript"/>
          </w:rPr>
          <m:t>+</m:t>
        </m:r>
        <m:r>
          <w:rPr>
            <w:rFonts w:ascii="Cambria Math" w:hAnsi="Cambria Math" w:cs="Times New Roman"/>
            <w:sz w:val="22"/>
          </w:rPr>
          <m:t xml:space="preserve">+ </m:t>
        </m:r>
        <m:sSub>
          <m:sSubPr>
            <m:ctrlPr>
              <w:rPr>
                <w:rFonts w:ascii="Cambria Math" w:hAnsi="Cambria Math" w:cs="Times New Roman"/>
                <w:i/>
                <w:sz w:val="22"/>
                <w:vertAlign w:val="subscript"/>
              </w:rPr>
            </m:ctrlPr>
          </m:sSubPr>
          <m:e>
            <m:r>
              <w:rPr>
                <w:rFonts w:ascii="Cambria Math" w:hAnsi="Cambria Math" w:cs="Times New Roman"/>
                <w:sz w:val="22"/>
              </w:rPr>
              <m:t>ε</m:t>
            </m:r>
          </m:e>
          <m:sub>
            <m:r>
              <w:rPr>
                <w:rFonts w:ascii="Cambria Math" w:hAnsi="Cambria Math" w:cs="Times New Roman"/>
                <w:sz w:val="22"/>
                <w:vertAlign w:val="subscript"/>
              </w:rPr>
              <m:t>it</m:t>
            </m:r>
          </m:sub>
        </m:sSub>
        <m:r>
          <w:rPr>
            <w:rFonts w:ascii="Cambria Math" w:hAnsi="Cambria Math" w:cs="Times New Roman"/>
            <w:sz w:val="22"/>
            <w:vertAlign w:val="subscript"/>
          </w:rPr>
          <m:t>,</m:t>
        </m:r>
      </m:oMath>
      <w:r w:rsidR="006728C1" w:rsidRPr="00C40790">
        <w:rPr>
          <w:rFonts w:cs="Times New Roman"/>
          <w:sz w:val="22"/>
          <w:vertAlign w:val="subscript"/>
        </w:rPr>
        <w:t xml:space="preserve">         </w:t>
      </w:r>
      <w:r w:rsidR="006728C1" w:rsidRPr="00C40790">
        <w:rPr>
          <w:rFonts w:cs="Times New Roman"/>
          <w:sz w:val="22"/>
          <w:vertAlign w:val="subscript"/>
        </w:rPr>
        <w:tab/>
      </w:r>
      <w:r w:rsidR="006728C1" w:rsidRPr="00C40790">
        <w:rPr>
          <w:rFonts w:cs="Times New Roman"/>
          <w:sz w:val="22"/>
        </w:rPr>
        <w:t>(2)</w:t>
      </w:r>
      <w:r w:rsidR="006728C1" w:rsidRPr="00C40790">
        <w:rPr>
          <w:rFonts w:cs="Times New Roman"/>
          <w:sz w:val="22"/>
          <w:vertAlign w:val="subscript"/>
        </w:rPr>
        <w:t xml:space="preserve"> </w:t>
      </w:r>
    </w:p>
    <w:p w14:paraId="490DD5C9" w14:textId="77777777" w:rsidR="005D3299" w:rsidRPr="00C40790" w:rsidRDefault="005D3299" w:rsidP="008D478F">
      <w:pPr>
        <w:spacing w:after="0" w:line="360" w:lineRule="auto"/>
        <w:ind w:firstLine="709"/>
        <w:rPr>
          <w:rFonts w:eastAsia="Calibri" w:cs="Times New Roman"/>
          <w:i/>
          <w:iCs/>
          <w:sz w:val="22"/>
          <w:highlight w:val="yellow"/>
        </w:rPr>
      </w:pPr>
    </w:p>
    <w:p w14:paraId="02027EAC" w14:textId="2B8FBC90" w:rsidR="00B00763" w:rsidRPr="00C40790" w:rsidRDefault="00FD71AD" w:rsidP="008D478F">
      <w:pPr>
        <w:spacing w:after="0" w:line="360" w:lineRule="auto"/>
        <w:rPr>
          <w:rFonts w:eastAsia="Calibri" w:cs="Times New Roman"/>
          <w:sz w:val="22"/>
        </w:rPr>
      </w:pPr>
      <w:r w:rsidRPr="00C40790">
        <w:rPr>
          <w:rFonts w:eastAsia="Calibri" w:cs="Times New Roman"/>
          <w:sz w:val="22"/>
        </w:rPr>
        <w:t xml:space="preserve">Where </w:t>
      </w:r>
      <w:r w:rsidR="00DA1CC2" w:rsidRPr="00C40790">
        <w:rPr>
          <w:rFonts w:eastAsia="Calibri" w:cs="Times New Roman"/>
          <w:sz w:val="22"/>
        </w:rPr>
        <w:t>economic growth (GCP) is</w:t>
      </w:r>
      <w:r w:rsidRPr="00C40790">
        <w:rPr>
          <w:rFonts w:eastAsia="Calibri" w:cs="Times New Roman"/>
          <w:sz w:val="22"/>
        </w:rPr>
        <w:t xml:space="preserve"> </w:t>
      </w:r>
      <w:r w:rsidR="00DA1CC2" w:rsidRPr="00C40790">
        <w:rPr>
          <w:rFonts w:eastAsia="Calibri" w:cs="Times New Roman"/>
          <w:sz w:val="22"/>
        </w:rPr>
        <w:t xml:space="preserve">the GCP growth rate and the POP-Population growth rate. </w:t>
      </w:r>
      <w:r w:rsidRPr="00C40790">
        <w:rPr>
          <w:rFonts w:eastAsia="Calibri" w:cs="Times New Roman"/>
          <w:sz w:val="22"/>
        </w:rPr>
        <w:t xml:space="preserve">Further, δ represents the model coefficient for the independent variable, </w:t>
      </w:r>
      <w:r w:rsidRPr="00C40790">
        <w:rPr>
          <w:rFonts w:eastAsia="Times New Roman" w:cs="Times New Roman"/>
          <w:sz w:val="22"/>
        </w:rPr>
        <w:t>indicating the autonomous variable,</w:t>
      </w:r>
      <w:r w:rsidRPr="00C40790">
        <w:rPr>
          <w:rFonts w:eastAsia="Calibri" w:cs="Times New Roman"/>
          <w:sz w:val="22"/>
        </w:rPr>
        <w:t xml:space="preserve"> ε is the error term in the model subscript t is the time dimension</w:t>
      </w:r>
      <w:r w:rsidR="00525600" w:rsidRPr="00C40790">
        <w:rPr>
          <w:rFonts w:eastAsia="Calibri" w:cs="Times New Roman"/>
          <w:sz w:val="22"/>
        </w:rPr>
        <w:t xml:space="preserve">, and </w:t>
      </w:r>
      <w:proofErr w:type="spellStart"/>
      <w:r w:rsidR="00525600" w:rsidRPr="00C40790">
        <w:rPr>
          <w:rFonts w:eastAsia="Calibri" w:cs="Times New Roman"/>
          <w:sz w:val="22"/>
        </w:rPr>
        <w:t>i</w:t>
      </w:r>
      <w:proofErr w:type="spellEnd"/>
      <w:r w:rsidR="00525600" w:rsidRPr="00C40790">
        <w:rPr>
          <w:rFonts w:eastAsia="Calibri" w:cs="Times New Roman"/>
          <w:sz w:val="22"/>
        </w:rPr>
        <w:t xml:space="preserve"> is the county dimension.</w:t>
      </w:r>
    </w:p>
    <w:p w14:paraId="420D22C8" w14:textId="0CF324BD" w:rsidR="00004309" w:rsidRPr="00C40790" w:rsidRDefault="00FD71AD" w:rsidP="008D478F">
      <w:pPr>
        <w:spacing w:line="360" w:lineRule="auto"/>
        <w:rPr>
          <w:rFonts w:cs="Times New Roman"/>
          <w:b/>
          <w:bCs/>
          <w:sz w:val="22"/>
        </w:rPr>
      </w:pPr>
      <w:r w:rsidRPr="00C40790">
        <w:rPr>
          <w:rFonts w:cs="Times New Roman"/>
          <w:b/>
          <w:bCs/>
          <w:sz w:val="22"/>
        </w:rPr>
        <w:t xml:space="preserve">3.3 </w:t>
      </w:r>
      <w:r w:rsidR="006728C1" w:rsidRPr="00C40790">
        <w:rPr>
          <w:rFonts w:cs="Times New Roman"/>
          <w:b/>
          <w:bCs/>
          <w:sz w:val="22"/>
        </w:rPr>
        <w:t xml:space="preserve">Data Analysis </w:t>
      </w:r>
    </w:p>
    <w:p w14:paraId="04F2E79D" w14:textId="6A665D8E" w:rsidR="00EB7BAE" w:rsidRPr="00C40790" w:rsidRDefault="00FD71AD" w:rsidP="008D478F">
      <w:pPr>
        <w:spacing w:after="0" w:line="360" w:lineRule="auto"/>
        <w:rPr>
          <w:rFonts w:eastAsia="Times New Roman" w:cs="Times New Roman"/>
          <w:kern w:val="0"/>
          <w:sz w:val="22"/>
          <w14:ligatures w14:val="none"/>
        </w:rPr>
      </w:pPr>
      <w:r w:rsidRPr="00C40790">
        <w:rPr>
          <w:rFonts w:eastAsia="Times New Roman" w:cs="Times New Roman"/>
          <w:kern w:val="0"/>
          <w:sz w:val="22"/>
          <w14:ligatures w14:val="none"/>
        </w:rPr>
        <w:t xml:space="preserve">The study utilizes a three-stage </w:t>
      </w:r>
      <w:r w:rsidR="00F7349F" w:rsidRPr="00C40790">
        <w:rPr>
          <w:rFonts w:eastAsia="Times New Roman" w:cs="Times New Roman"/>
          <w:kern w:val="0"/>
          <w:sz w:val="22"/>
          <w14:ligatures w14:val="none"/>
        </w:rPr>
        <w:t xml:space="preserve">panel </w:t>
      </w:r>
      <w:r w:rsidRPr="00C40790">
        <w:rPr>
          <w:rFonts w:eastAsia="Times New Roman" w:cs="Times New Roman"/>
          <w:kern w:val="0"/>
          <w:sz w:val="22"/>
          <w14:ligatures w14:val="none"/>
        </w:rPr>
        <w:t>analytical framework proposed by Mahmoud (2007</w:t>
      </w:r>
      <w:r w:rsidR="00F7349F" w:rsidRPr="00C40790">
        <w:rPr>
          <w:rFonts w:eastAsia="Times New Roman" w:cs="Times New Roman"/>
          <w:kern w:val="0"/>
          <w:sz w:val="22"/>
          <w14:ligatures w14:val="none"/>
        </w:rPr>
        <w:t xml:space="preserve">), </w:t>
      </w:r>
      <w:bookmarkStart w:id="6" w:name="_Hlk191924156"/>
      <w:proofErr w:type="spellStart"/>
      <w:r w:rsidR="00F7349F" w:rsidRPr="00C40790">
        <w:rPr>
          <w:rFonts w:eastAsia="Times New Roman" w:cs="Times New Roman"/>
          <w:kern w:val="0"/>
          <w:sz w:val="22"/>
          <w14:ligatures w14:val="none"/>
        </w:rPr>
        <w:t>Anagnostou</w:t>
      </w:r>
      <w:proofErr w:type="spellEnd"/>
      <w:r w:rsidR="00F7349F" w:rsidRPr="00C40790">
        <w:rPr>
          <w:rFonts w:eastAsia="Times New Roman" w:cs="Times New Roman"/>
          <w:kern w:val="0"/>
          <w:sz w:val="22"/>
          <w14:ligatures w14:val="none"/>
        </w:rPr>
        <w:t xml:space="preserve"> et al. </w:t>
      </w:r>
      <w:bookmarkEnd w:id="6"/>
      <w:r w:rsidR="00F7349F" w:rsidRPr="00C40790">
        <w:rPr>
          <w:rFonts w:eastAsia="Times New Roman" w:cs="Times New Roman"/>
          <w:kern w:val="0"/>
          <w:sz w:val="22"/>
          <w14:ligatures w14:val="none"/>
        </w:rPr>
        <w:t xml:space="preserve">(2016) </w:t>
      </w:r>
      <w:r w:rsidR="00E55092" w:rsidRPr="00C40790">
        <w:rPr>
          <w:rFonts w:eastAsia="Times New Roman" w:cs="Times New Roman"/>
          <w:kern w:val="0"/>
          <w:sz w:val="22"/>
          <w14:ligatures w14:val="none"/>
        </w:rPr>
        <w:t>and</w:t>
      </w:r>
      <w:r w:rsidR="00E55092" w:rsidRPr="00C40790">
        <w:rPr>
          <w:rFonts w:cs="Times New Roman"/>
          <w:sz w:val="22"/>
        </w:rPr>
        <w:t xml:space="preserve"> </w:t>
      </w:r>
      <w:proofErr w:type="spellStart"/>
      <w:r w:rsidR="00E55092" w:rsidRPr="00C40790">
        <w:rPr>
          <w:rFonts w:eastAsia="Times New Roman" w:cs="Times New Roman"/>
          <w:kern w:val="0"/>
          <w:sz w:val="22"/>
          <w14:ligatures w14:val="none"/>
        </w:rPr>
        <w:t>Brida</w:t>
      </w:r>
      <w:proofErr w:type="spellEnd"/>
      <w:r w:rsidR="00E55092" w:rsidRPr="00C40790">
        <w:rPr>
          <w:rFonts w:eastAsia="Times New Roman" w:cs="Times New Roman"/>
          <w:kern w:val="0"/>
          <w:sz w:val="22"/>
          <w14:ligatures w14:val="none"/>
        </w:rPr>
        <w:t xml:space="preserve"> et al. (2024) </w:t>
      </w:r>
      <w:r w:rsidRPr="00C40790">
        <w:rPr>
          <w:rFonts w:eastAsia="Times New Roman" w:cs="Times New Roman"/>
          <w:kern w:val="0"/>
          <w:sz w:val="22"/>
          <w14:ligatures w14:val="none"/>
        </w:rPr>
        <w:t xml:space="preserve">to explore the causal relationship between population growth and economic growth (GCP) through panel data within a heterogeneous model. In the first stage, the analysis begins by assessing the order of integration for both POP and GCP. To enhance the reliability of these tests, we will employ recently developed panel unit root techniques, particularly considering the relatively short time frame of the individual series. In the second stage, we apply a heterogeneous panel cointegration test to investigate the long-term relationships among the variables after confirming their order of integration. Finally, in the third stage, we evaluate short-run cointegration using dynamic heterogeneous panel causality. Heterogeneous panel causality tests are conducted to ascertain the direction of causation between the two </w:t>
      </w:r>
      <w:r w:rsidRPr="00C40790">
        <w:rPr>
          <w:rFonts w:eastAsia="Times New Roman" w:cs="Times New Roman"/>
          <w:kern w:val="0"/>
          <w:sz w:val="22"/>
          <w14:ligatures w14:val="none"/>
        </w:rPr>
        <w:lastRenderedPageBreak/>
        <w:t>variables, as assuming a homogeneous panel in the presence of heterogeneous country effects could result in biased conclusions.</w:t>
      </w:r>
    </w:p>
    <w:p w14:paraId="5A76CBFF" w14:textId="4EA55AFC" w:rsidR="00E158C6" w:rsidRPr="00C40790" w:rsidRDefault="00FD71AD" w:rsidP="008D478F">
      <w:pPr>
        <w:spacing w:before="240" w:line="360" w:lineRule="auto"/>
        <w:rPr>
          <w:rFonts w:cs="Times New Roman"/>
          <w:b/>
          <w:bCs/>
          <w:sz w:val="22"/>
        </w:rPr>
      </w:pPr>
      <w:r w:rsidRPr="00C40790">
        <w:rPr>
          <w:rFonts w:cs="Times New Roman"/>
          <w:b/>
          <w:bCs/>
          <w:sz w:val="22"/>
        </w:rPr>
        <w:t>3.3.1 Heterogeneous</w:t>
      </w:r>
      <w:r w:rsidR="006728C1" w:rsidRPr="00C40790">
        <w:rPr>
          <w:rFonts w:cs="Times New Roman"/>
          <w:b/>
          <w:bCs/>
          <w:sz w:val="22"/>
        </w:rPr>
        <w:t xml:space="preserve"> Panel Unit Root Test</w:t>
      </w:r>
    </w:p>
    <w:p w14:paraId="401878BB" w14:textId="6E2EA500" w:rsidR="00EB7BAE" w:rsidRPr="00C40790" w:rsidRDefault="00FD71AD" w:rsidP="008D478F">
      <w:pPr>
        <w:spacing w:before="240" w:line="360" w:lineRule="auto"/>
        <w:rPr>
          <w:rFonts w:cs="Times New Roman"/>
          <w:sz w:val="22"/>
        </w:rPr>
      </w:pPr>
      <w:r w:rsidRPr="00C40790">
        <w:rPr>
          <w:rFonts w:cs="Times New Roman"/>
          <w:sz w:val="22"/>
        </w:rPr>
        <w:t xml:space="preserve">Panel unit root tests are commonly employed to assess the order of integration in the variables within a dataset. Recent literature indicates that these panel-based unit root tests exhibit greater power compared to tests conducted on individual time series. Among the various panel unit root tests developed in the literature, the Levin, Lin, and Chu (LLC) test (2002) and the </w:t>
      </w:r>
      <w:proofErr w:type="spellStart"/>
      <w:r w:rsidRPr="00C40790">
        <w:rPr>
          <w:rFonts w:cs="Times New Roman"/>
          <w:sz w:val="22"/>
        </w:rPr>
        <w:t>Im</w:t>
      </w:r>
      <w:proofErr w:type="spellEnd"/>
      <w:r w:rsidRPr="00C40790">
        <w:rPr>
          <w:rFonts w:cs="Times New Roman"/>
          <w:sz w:val="22"/>
        </w:rPr>
        <w:t xml:space="preserve">, </w:t>
      </w:r>
      <w:proofErr w:type="spellStart"/>
      <w:r w:rsidRPr="00C40790">
        <w:rPr>
          <w:rFonts w:cs="Times New Roman"/>
          <w:sz w:val="22"/>
        </w:rPr>
        <w:t>Pesaran</w:t>
      </w:r>
      <w:proofErr w:type="spellEnd"/>
      <w:r w:rsidRPr="00C40790">
        <w:rPr>
          <w:rFonts w:cs="Times New Roman"/>
          <w:sz w:val="22"/>
        </w:rPr>
        <w:t>, and Shin (IPS) test (2003) stand out as the most widely used. Both tests are grounded in the Augmented Dickey-Fuller (ADF) principle</w:t>
      </w:r>
      <w:r w:rsidR="00F7349F" w:rsidRPr="00C40790">
        <w:rPr>
          <w:rFonts w:cs="Times New Roman"/>
          <w:sz w:val="22"/>
        </w:rPr>
        <w:t xml:space="preserve"> (</w:t>
      </w:r>
      <w:proofErr w:type="spellStart"/>
      <w:r w:rsidR="00F7349F" w:rsidRPr="00C40790">
        <w:rPr>
          <w:rFonts w:cs="Times New Roman"/>
          <w:sz w:val="22"/>
        </w:rPr>
        <w:t>Anagnostou</w:t>
      </w:r>
      <w:proofErr w:type="spellEnd"/>
      <w:r w:rsidR="00F7349F" w:rsidRPr="00C40790">
        <w:rPr>
          <w:rFonts w:cs="Times New Roman"/>
          <w:sz w:val="22"/>
        </w:rPr>
        <w:t xml:space="preserve"> et al., 2016)</w:t>
      </w:r>
      <w:r w:rsidRPr="00C40790">
        <w:rPr>
          <w:rFonts w:cs="Times New Roman"/>
          <w:sz w:val="22"/>
        </w:rPr>
        <w:t>. However, the LLC test assumes homogeneity in the dynamics of the autoregressive coefficients across all members of the panel, whereas the IPS test is more flexible, accommodating heterogeneity in these dynamics. This heterogeneity arises from variations in economic conditions and development levels across countries. Given the brief duration of the individual series, we have greater confidence in implementing the more robust IPS panel test. The specification for the IPS unit root test is as follows:</w:t>
      </w:r>
    </w:p>
    <w:p w14:paraId="5F28C714" w14:textId="7FFED927" w:rsidR="00086E32" w:rsidRPr="00C40790" w:rsidRDefault="00FD71AD" w:rsidP="008D478F">
      <w:pPr>
        <w:autoSpaceDE w:val="0"/>
        <w:autoSpaceDN w:val="0"/>
        <w:adjustRightInd w:val="0"/>
        <w:spacing w:after="0" w:line="360" w:lineRule="auto"/>
        <w:rPr>
          <w:rFonts w:eastAsia="Calibri" w:cs="Times New Roman"/>
          <w:sz w:val="22"/>
        </w:rPr>
      </w:pPr>
      <m:oMath>
        <m:r>
          <w:rPr>
            <w:rFonts w:ascii="Cambria Math" w:eastAsia="Calibri" w:hAnsi="Cambria Math" w:cs="Times New Roman"/>
            <w:noProof/>
            <w:sz w:val="22"/>
            <w:lang w:eastAsia="en-GB"/>
          </w:rPr>
          <m:t>∆</m:t>
        </m:r>
        <m:sSub>
          <m:sSubPr>
            <m:ctrlPr>
              <w:rPr>
                <w:rFonts w:ascii="Cambria Math" w:eastAsia="Calibri" w:hAnsi="Cambria Math" w:cs="Times New Roman"/>
                <w:i/>
                <w:noProof/>
                <w:sz w:val="22"/>
                <w:lang w:eastAsia="en-GB"/>
              </w:rPr>
            </m:ctrlPr>
          </m:sSubPr>
          <m:e>
            <m:r>
              <w:rPr>
                <w:rFonts w:ascii="Cambria Math" w:eastAsia="Calibri" w:hAnsi="Cambria Math" w:cs="Times New Roman"/>
                <w:noProof/>
                <w:sz w:val="22"/>
                <w:lang w:eastAsia="en-GB"/>
              </w:rPr>
              <m:t>X</m:t>
            </m:r>
          </m:e>
          <m:sub>
            <m:r>
              <w:rPr>
                <w:rFonts w:ascii="Cambria Math" w:eastAsia="Calibri" w:hAnsi="Cambria Math" w:cs="Times New Roman"/>
                <w:noProof/>
                <w:sz w:val="22"/>
                <w:lang w:eastAsia="en-GB"/>
              </w:rPr>
              <m:t>it</m:t>
            </m:r>
          </m:sub>
        </m:sSub>
        <m:r>
          <w:rPr>
            <w:rFonts w:ascii="Cambria Math" w:eastAsia="Calibri" w:hAnsi="Cambria Math" w:cs="Times New Roman"/>
            <w:noProof/>
            <w:sz w:val="22"/>
            <w:lang w:eastAsia="en-GB"/>
          </w:rPr>
          <m:t>=</m:t>
        </m:r>
        <m:sSub>
          <m:sSubPr>
            <m:ctrlPr>
              <w:rPr>
                <w:rFonts w:ascii="Cambria Math" w:eastAsia="Calibri" w:hAnsi="Cambria Math" w:cs="Times New Roman"/>
                <w:i/>
                <w:noProof/>
                <w:sz w:val="22"/>
                <w:lang w:eastAsia="en-GB"/>
              </w:rPr>
            </m:ctrlPr>
          </m:sSubPr>
          <m:e>
            <m:r>
              <w:rPr>
                <w:rFonts w:ascii="Cambria Math" w:eastAsia="Calibri" w:hAnsi="Cambria Math" w:cs="Times New Roman"/>
                <w:noProof/>
                <w:sz w:val="22"/>
                <w:lang w:eastAsia="en-GB"/>
              </w:rPr>
              <m:t>α</m:t>
            </m:r>
          </m:e>
          <m:sub>
            <m:r>
              <w:rPr>
                <w:rFonts w:ascii="Cambria Math" w:eastAsia="Calibri" w:hAnsi="Cambria Math" w:cs="Times New Roman"/>
                <w:noProof/>
                <w:sz w:val="22"/>
                <w:lang w:eastAsia="en-GB"/>
              </w:rPr>
              <m:t>i</m:t>
            </m:r>
          </m:sub>
        </m:sSub>
        <m:sSub>
          <m:sSubPr>
            <m:ctrlPr>
              <w:rPr>
                <w:rFonts w:ascii="Cambria Math" w:eastAsia="Calibri" w:hAnsi="Cambria Math" w:cs="Times New Roman"/>
                <w:i/>
                <w:noProof/>
                <w:sz w:val="22"/>
                <w:lang w:eastAsia="en-GB"/>
              </w:rPr>
            </m:ctrlPr>
          </m:sSubPr>
          <m:e>
            <m:r>
              <w:rPr>
                <w:rFonts w:ascii="Cambria Math" w:eastAsia="Calibri" w:hAnsi="Cambria Math" w:cs="Times New Roman"/>
                <w:noProof/>
                <w:sz w:val="22"/>
                <w:lang w:eastAsia="en-GB"/>
              </w:rPr>
              <m:t>+β</m:t>
            </m:r>
          </m:e>
          <m:sub>
            <m:r>
              <w:rPr>
                <w:rFonts w:ascii="Cambria Math" w:eastAsia="Calibri" w:hAnsi="Cambria Math" w:cs="Times New Roman"/>
                <w:noProof/>
                <w:sz w:val="22"/>
                <w:lang w:eastAsia="en-GB"/>
              </w:rPr>
              <m:t>i</m:t>
            </m:r>
          </m:sub>
        </m:sSub>
        <m:sSub>
          <m:sSubPr>
            <m:ctrlPr>
              <w:rPr>
                <w:rFonts w:ascii="Cambria Math" w:eastAsia="Calibri" w:hAnsi="Cambria Math" w:cs="Times New Roman"/>
                <w:i/>
                <w:noProof/>
                <w:sz w:val="22"/>
                <w:lang w:eastAsia="en-GB"/>
              </w:rPr>
            </m:ctrlPr>
          </m:sSubPr>
          <m:e>
            <m:r>
              <w:rPr>
                <w:rFonts w:ascii="Cambria Math" w:eastAsia="Calibri" w:hAnsi="Cambria Math" w:cs="Times New Roman"/>
                <w:noProof/>
                <w:sz w:val="22"/>
                <w:lang w:eastAsia="en-GB"/>
              </w:rPr>
              <m:t>X</m:t>
            </m:r>
          </m:e>
          <m:sub>
            <m:r>
              <w:rPr>
                <w:rFonts w:ascii="Cambria Math" w:eastAsia="Calibri" w:hAnsi="Cambria Math" w:cs="Times New Roman"/>
                <w:noProof/>
                <w:sz w:val="22"/>
                <w:lang w:eastAsia="en-GB"/>
              </w:rPr>
              <m:t>t-1</m:t>
            </m:r>
          </m:sub>
        </m:sSub>
        <m:r>
          <w:rPr>
            <w:rFonts w:ascii="Cambria Math" w:eastAsia="Calibri" w:hAnsi="Cambria Math" w:cs="Times New Roman"/>
            <w:noProof/>
            <w:sz w:val="22"/>
            <w:lang w:eastAsia="en-GB"/>
          </w:rPr>
          <m:t>+</m:t>
        </m:r>
        <m:nary>
          <m:naryPr>
            <m:chr m:val="∑"/>
            <m:limLoc m:val="undOvr"/>
            <m:ctrlPr>
              <w:rPr>
                <w:rFonts w:ascii="Cambria Math" w:eastAsia="Calibri" w:hAnsi="Cambria Math" w:cs="Times New Roman"/>
                <w:i/>
                <w:noProof/>
                <w:sz w:val="22"/>
                <w:lang w:eastAsia="en-GB"/>
              </w:rPr>
            </m:ctrlPr>
          </m:naryPr>
          <m:sub>
            <m:r>
              <w:rPr>
                <w:rFonts w:ascii="Cambria Math" w:eastAsia="Calibri" w:hAnsi="Cambria Math" w:cs="Times New Roman"/>
                <w:noProof/>
                <w:sz w:val="22"/>
                <w:lang w:eastAsia="en-GB"/>
              </w:rPr>
              <m:t>j=1</m:t>
            </m:r>
          </m:sub>
          <m:sup>
            <m:r>
              <w:rPr>
                <w:rFonts w:ascii="Cambria Math" w:eastAsia="Calibri" w:hAnsi="Cambria Math" w:cs="Times New Roman"/>
                <w:noProof/>
                <w:sz w:val="22"/>
                <w:lang w:eastAsia="en-GB"/>
              </w:rPr>
              <m:t>k</m:t>
            </m:r>
          </m:sup>
          <m:e>
            <m:sSub>
              <m:sSubPr>
                <m:ctrlPr>
                  <w:rPr>
                    <w:rFonts w:ascii="Cambria Math" w:eastAsia="Calibri" w:hAnsi="Cambria Math" w:cs="Times New Roman"/>
                    <w:i/>
                    <w:noProof/>
                    <w:sz w:val="22"/>
                    <w:lang w:eastAsia="en-GB"/>
                  </w:rPr>
                </m:ctrlPr>
              </m:sSubPr>
              <m:e>
                <m:r>
                  <w:rPr>
                    <w:rFonts w:ascii="Cambria Math" w:eastAsia="Calibri" w:hAnsi="Cambria Math" w:cs="Times New Roman"/>
                    <w:noProof/>
                    <w:sz w:val="22"/>
                    <w:lang w:eastAsia="en-GB"/>
                  </w:rPr>
                  <m:t>γ</m:t>
                </m:r>
              </m:e>
              <m:sub>
                <m:r>
                  <w:rPr>
                    <w:rFonts w:ascii="Cambria Math" w:eastAsia="Calibri" w:hAnsi="Cambria Math" w:cs="Times New Roman"/>
                    <w:noProof/>
                    <w:sz w:val="22"/>
                    <w:lang w:eastAsia="en-GB"/>
                  </w:rPr>
                  <m:t xml:space="preserve">i,j </m:t>
                </m:r>
              </m:sub>
            </m:sSub>
          </m:e>
        </m:nary>
        <m:r>
          <w:rPr>
            <w:rFonts w:ascii="Cambria Math" w:eastAsia="Calibri" w:hAnsi="Cambria Math" w:cs="Times New Roman"/>
            <w:noProof/>
            <w:sz w:val="22"/>
            <w:lang w:eastAsia="en-GB"/>
          </w:rPr>
          <m:t>∆</m:t>
        </m:r>
        <m:sSub>
          <m:sSubPr>
            <m:ctrlPr>
              <w:rPr>
                <w:rFonts w:ascii="Cambria Math" w:eastAsia="Calibri" w:hAnsi="Cambria Math" w:cs="Times New Roman"/>
                <w:i/>
                <w:noProof/>
                <w:sz w:val="22"/>
                <w:lang w:eastAsia="en-GB"/>
              </w:rPr>
            </m:ctrlPr>
          </m:sSubPr>
          <m:e>
            <m:r>
              <w:rPr>
                <w:rFonts w:ascii="Cambria Math" w:eastAsia="Calibri" w:hAnsi="Cambria Math" w:cs="Times New Roman"/>
                <w:noProof/>
                <w:sz w:val="22"/>
                <w:lang w:eastAsia="en-GB"/>
              </w:rPr>
              <m:t>X</m:t>
            </m:r>
          </m:e>
          <m:sub>
            <m:r>
              <w:rPr>
                <w:rFonts w:ascii="Cambria Math" w:eastAsia="Calibri" w:hAnsi="Cambria Math" w:cs="Times New Roman"/>
                <w:noProof/>
                <w:sz w:val="22"/>
                <w:lang w:eastAsia="en-GB"/>
              </w:rPr>
              <m:t>t-j</m:t>
            </m:r>
          </m:sub>
        </m:sSub>
        <m:r>
          <w:rPr>
            <w:rFonts w:ascii="Cambria Math" w:eastAsia="Calibri" w:hAnsi="Cambria Math" w:cs="Times New Roman"/>
            <w:noProof/>
            <w:sz w:val="22"/>
            <w:lang w:eastAsia="en-GB"/>
          </w:rPr>
          <m:t>+</m:t>
        </m:r>
        <m:r>
          <w:rPr>
            <w:rFonts w:ascii="Cambria Math" w:eastAsia="Calibri" w:hAnsi="Cambria Math" w:cs="Times New Roman"/>
            <w:sz w:val="22"/>
          </w:rPr>
          <m:t xml:space="preserve"> </m:t>
        </m:r>
        <m:sSub>
          <m:sSubPr>
            <m:ctrlPr>
              <w:rPr>
                <w:rFonts w:ascii="Cambria Math" w:eastAsia="Calibri" w:hAnsi="Cambria Math" w:cs="Times New Roman"/>
                <w:i/>
                <w:sz w:val="22"/>
                <w:vertAlign w:val="subscript"/>
              </w:rPr>
            </m:ctrlPr>
          </m:sSubPr>
          <m:e>
            <m:r>
              <w:rPr>
                <w:rFonts w:ascii="Cambria Math" w:eastAsia="Calibri" w:hAnsi="Cambria Math" w:cs="Times New Roman"/>
                <w:sz w:val="22"/>
              </w:rPr>
              <m:t>ε</m:t>
            </m:r>
          </m:e>
          <m:sub>
            <m:r>
              <w:rPr>
                <w:rFonts w:ascii="Cambria Math" w:eastAsia="Calibri" w:hAnsi="Cambria Math" w:cs="Times New Roman"/>
                <w:sz w:val="22"/>
                <w:vertAlign w:val="subscript"/>
              </w:rPr>
              <m:t>it</m:t>
            </m:r>
          </m:sub>
        </m:sSub>
        <m:r>
          <w:rPr>
            <w:rFonts w:ascii="Cambria Math" w:eastAsia="Calibri" w:hAnsi="Cambria Math" w:cs="Times New Roman"/>
            <w:sz w:val="22"/>
            <w:vertAlign w:val="subscript"/>
          </w:rPr>
          <m:t>,</m:t>
        </m:r>
      </m:oMath>
      <w:r w:rsidRPr="00C40790">
        <w:rPr>
          <w:rFonts w:eastAsia="Times New Roman" w:cs="Times New Roman"/>
          <w:sz w:val="22"/>
          <w:vertAlign w:val="subscript"/>
        </w:rPr>
        <w:tab/>
      </w:r>
      <w:r w:rsidRPr="00C40790">
        <w:rPr>
          <w:rFonts w:eastAsia="Times New Roman" w:cs="Times New Roman"/>
          <w:sz w:val="22"/>
          <w:vertAlign w:val="subscript"/>
        </w:rPr>
        <w:tab/>
      </w:r>
      <w:r w:rsidRPr="00C40790">
        <w:rPr>
          <w:rFonts w:eastAsia="Times New Roman" w:cs="Times New Roman"/>
          <w:sz w:val="22"/>
          <w:vertAlign w:val="subscript"/>
        </w:rPr>
        <w:tab/>
      </w:r>
      <w:r w:rsidRPr="00C40790">
        <w:rPr>
          <w:rFonts w:eastAsia="Times New Roman" w:cs="Times New Roman"/>
          <w:sz w:val="22"/>
          <w:vertAlign w:val="subscript"/>
        </w:rPr>
        <w:tab/>
      </w:r>
      <w:r w:rsidRPr="00C40790">
        <w:rPr>
          <w:rFonts w:eastAsia="Times New Roman" w:cs="Times New Roman"/>
          <w:sz w:val="22"/>
        </w:rPr>
        <w:t>(3)</w:t>
      </w:r>
    </w:p>
    <w:p w14:paraId="4C372E9E" w14:textId="6721E0FD" w:rsidR="00004309" w:rsidRPr="00C40790" w:rsidRDefault="00FD71AD" w:rsidP="008D478F">
      <w:pPr>
        <w:autoSpaceDE w:val="0"/>
        <w:autoSpaceDN w:val="0"/>
        <w:adjustRightInd w:val="0"/>
        <w:spacing w:after="0" w:line="360" w:lineRule="auto"/>
        <w:rPr>
          <w:rFonts w:cs="Times New Roman"/>
          <w:sz w:val="22"/>
        </w:rPr>
      </w:pPr>
      <w:r w:rsidRPr="00C40790">
        <w:rPr>
          <w:rFonts w:eastAsiaTheme="minorEastAsia" w:cs="Times New Roman"/>
          <w:sz w:val="22"/>
          <w:vertAlign w:val="subscript"/>
        </w:rPr>
        <w:tab/>
      </w:r>
      <w:r w:rsidRPr="00C40790">
        <w:rPr>
          <w:rFonts w:eastAsiaTheme="minorEastAsia" w:cs="Times New Roman"/>
          <w:sz w:val="22"/>
          <w:vertAlign w:val="subscript"/>
        </w:rPr>
        <w:tab/>
      </w:r>
      <w:r w:rsidRPr="00C40790">
        <w:rPr>
          <w:rFonts w:eastAsiaTheme="minorEastAsia" w:cs="Times New Roman"/>
          <w:sz w:val="22"/>
          <w:vertAlign w:val="subscript"/>
        </w:rPr>
        <w:tab/>
      </w:r>
      <w:r w:rsidRPr="00C40790">
        <w:rPr>
          <w:rFonts w:eastAsiaTheme="minorEastAsia" w:cs="Times New Roman"/>
          <w:sz w:val="22"/>
          <w:vertAlign w:val="subscript"/>
        </w:rPr>
        <w:tab/>
        <w:t xml:space="preserve">                                   </w:t>
      </w:r>
    </w:p>
    <w:p w14:paraId="65CA334C" w14:textId="73F899CD" w:rsidR="00004309" w:rsidRPr="00C40790" w:rsidRDefault="00FD71AD" w:rsidP="008D478F">
      <w:pPr>
        <w:autoSpaceDE w:val="0"/>
        <w:autoSpaceDN w:val="0"/>
        <w:adjustRightInd w:val="0"/>
        <w:spacing w:after="0" w:line="360" w:lineRule="auto"/>
        <w:rPr>
          <w:rFonts w:cs="Times New Roman"/>
          <w:sz w:val="22"/>
        </w:rPr>
      </w:pPr>
      <w:r w:rsidRPr="00C40790">
        <w:rPr>
          <w:rFonts w:cs="Times New Roman"/>
          <w:sz w:val="22"/>
        </w:rPr>
        <w:t xml:space="preserve">Where </w:t>
      </w:r>
      <w:r w:rsidR="00086E32" w:rsidRPr="00C40790">
        <w:rPr>
          <w:rFonts w:cs="Times New Roman"/>
          <w:sz w:val="22"/>
        </w:rPr>
        <w:t>Δ</w:t>
      </w:r>
      <w:r w:rsidRPr="00C40790">
        <w:rPr>
          <w:rFonts w:cs="Times New Roman"/>
          <w:sz w:val="22"/>
        </w:rPr>
        <w:t xml:space="preserve"> is the first difference </w:t>
      </w:r>
      <w:r w:rsidR="00086E32" w:rsidRPr="00C40790">
        <w:rPr>
          <w:rFonts w:cs="Times New Roman"/>
          <w:sz w:val="22"/>
        </w:rPr>
        <w:t>operator, is</w:t>
      </w:r>
      <w:r w:rsidRPr="00C40790">
        <w:rPr>
          <w:rFonts w:cs="Times New Roman"/>
          <w:sz w:val="22"/>
        </w:rPr>
        <w:t xml:space="preserve"> the dependent variable, and is the stochastic term.</w:t>
      </w:r>
    </w:p>
    <w:p w14:paraId="35CDE428" w14:textId="77777777" w:rsidR="00004309" w:rsidRPr="00C40790" w:rsidRDefault="00004309" w:rsidP="008D478F">
      <w:pPr>
        <w:autoSpaceDE w:val="0"/>
        <w:autoSpaceDN w:val="0"/>
        <w:adjustRightInd w:val="0"/>
        <w:spacing w:after="0" w:line="360" w:lineRule="auto"/>
        <w:rPr>
          <w:rFonts w:cs="Times New Roman"/>
          <w:sz w:val="22"/>
        </w:rPr>
      </w:pPr>
    </w:p>
    <w:p w14:paraId="55F09961" w14:textId="2542D83D" w:rsidR="00E158C6" w:rsidRPr="00C40790" w:rsidRDefault="00FD71AD" w:rsidP="008D478F">
      <w:pPr>
        <w:spacing w:line="360" w:lineRule="auto"/>
        <w:rPr>
          <w:rFonts w:cs="Times New Roman"/>
          <w:b/>
          <w:bCs/>
          <w:sz w:val="22"/>
        </w:rPr>
      </w:pPr>
      <w:r w:rsidRPr="00C40790">
        <w:rPr>
          <w:rFonts w:cs="Times New Roman"/>
          <w:b/>
          <w:bCs/>
          <w:sz w:val="22"/>
        </w:rPr>
        <w:t>3.</w:t>
      </w:r>
      <w:r w:rsidR="00030A8C" w:rsidRPr="00C40790">
        <w:rPr>
          <w:rFonts w:cs="Times New Roman"/>
          <w:b/>
          <w:bCs/>
          <w:sz w:val="22"/>
        </w:rPr>
        <w:t>3.</w:t>
      </w:r>
      <w:r w:rsidRPr="00C40790">
        <w:rPr>
          <w:rFonts w:cs="Times New Roman"/>
          <w:b/>
          <w:bCs/>
          <w:sz w:val="22"/>
        </w:rPr>
        <w:t>2. Heterogeneous Panel Cointegration</w:t>
      </w:r>
    </w:p>
    <w:p w14:paraId="09EF9C75" w14:textId="4441ADCA" w:rsidR="008C5757" w:rsidRPr="00C40790" w:rsidRDefault="00FD71AD" w:rsidP="008D478F">
      <w:pPr>
        <w:spacing w:after="0" w:line="360" w:lineRule="auto"/>
        <w:rPr>
          <w:rFonts w:eastAsia="Times New Roman" w:cs="Times New Roman"/>
          <w:kern w:val="0"/>
          <w:sz w:val="22"/>
          <w14:ligatures w14:val="none"/>
        </w:rPr>
      </w:pPr>
      <w:r w:rsidRPr="00C40790">
        <w:rPr>
          <w:rFonts w:eastAsia="Times New Roman" w:cs="Times New Roman"/>
          <w:kern w:val="0"/>
          <w:sz w:val="22"/>
          <w14:ligatures w14:val="none"/>
        </w:rPr>
        <w:t xml:space="preserve">Once the integration of order one is confirmed, the subsequent step is to conduct a cointegration analysis to determine whether a long-run relationship exists among the set of integrated variables under consideration. Cointegration suggests a long-term equilibrium relationship among economic variables. Acknowledging the limitations of traditional methodologies, this study employed two types of heterogeneous panel cointegration tests developed by </w:t>
      </w:r>
      <w:proofErr w:type="spellStart"/>
      <w:r w:rsidRPr="00C40790">
        <w:rPr>
          <w:rFonts w:eastAsia="Times New Roman" w:cs="Times New Roman"/>
          <w:kern w:val="0"/>
          <w:sz w:val="22"/>
          <w14:ligatures w14:val="none"/>
        </w:rPr>
        <w:t>Pedroni</w:t>
      </w:r>
      <w:proofErr w:type="spellEnd"/>
      <w:r w:rsidRPr="00C40790">
        <w:rPr>
          <w:rFonts w:eastAsia="Times New Roman" w:cs="Times New Roman"/>
          <w:kern w:val="0"/>
          <w:sz w:val="22"/>
          <w14:ligatures w14:val="none"/>
        </w:rPr>
        <w:t xml:space="preserve"> (1999). These tests not only utilize panel data to address the issue of small sample sizes but also allow for variability across individual cross-sections by accommodating heterogeneity in both the intercepts and slopes of the cointegrating equation.</w:t>
      </w:r>
    </w:p>
    <w:p w14:paraId="2DF73452" w14:textId="7353AD7D" w:rsidR="0078137D" w:rsidRPr="00C40790" w:rsidRDefault="00FD71AD" w:rsidP="008D478F">
      <w:pPr>
        <w:spacing w:line="360" w:lineRule="auto"/>
        <w:rPr>
          <w:rFonts w:cs="Times New Roman"/>
          <w:b/>
          <w:bCs/>
          <w:sz w:val="22"/>
        </w:rPr>
      </w:pPr>
      <w:r w:rsidRPr="00C40790">
        <w:rPr>
          <w:rFonts w:cs="Times New Roman"/>
          <w:b/>
          <w:bCs/>
          <w:sz w:val="22"/>
        </w:rPr>
        <w:t>3.3</w:t>
      </w:r>
      <w:r w:rsidR="00030A8C" w:rsidRPr="00C40790">
        <w:rPr>
          <w:rFonts w:cs="Times New Roman"/>
          <w:b/>
          <w:bCs/>
          <w:sz w:val="22"/>
        </w:rPr>
        <w:t>.3</w:t>
      </w:r>
      <w:r w:rsidRPr="00C40790">
        <w:rPr>
          <w:rFonts w:cs="Times New Roman"/>
          <w:b/>
          <w:bCs/>
          <w:sz w:val="22"/>
        </w:rPr>
        <w:t xml:space="preserve"> Heterogen</w:t>
      </w:r>
      <w:r w:rsidR="00FD40D6" w:rsidRPr="00C40790">
        <w:rPr>
          <w:rFonts w:cs="Times New Roman"/>
          <w:b/>
          <w:bCs/>
          <w:sz w:val="22"/>
        </w:rPr>
        <w:t>e</w:t>
      </w:r>
      <w:r w:rsidRPr="00C40790">
        <w:rPr>
          <w:rFonts w:cs="Times New Roman"/>
          <w:b/>
          <w:bCs/>
          <w:sz w:val="22"/>
        </w:rPr>
        <w:t>ous Panel</w:t>
      </w:r>
      <w:r w:rsidR="00FD40D6" w:rsidRPr="00C40790">
        <w:rPr>
          <w:rFonts w:cs="Times New Roman"/>
          <w:b/>
          <w:bCs/>
          <w:sz w:val="22"/>
        </w:rPr>
        <w:t xml:space="preserve"> Causality </w:t>
      </w:r>
    </w:p>
    <w:p w14:paraId="4911A75F" w14:textId="10CC874B" w:rsidR="00EB7BAE" w:rsidRPr="00C40790" w:rsidRDefault="00FD71AD" w:rsidP="008D478F">
      <w:pPr>
        <w:tabs>
          <w:tab w:val="left" w:pos="1930"/>
        </w:tabs>
        <w:spacing w:line="360" w:lineRule="auto"/>
        <w:rPr>
          <w:rFonts w:cs="Times New Roman"/>
          <w:sz w:val="22"/>
        </w:rPr>
      </w:pPr>
      <w:proofErr w:type="spellStart"/>
      <w:r w:rsidRPr="00C40790">
        <w:rPr>
          <w:rFonts w:cs="Times New Roman"/>
          <w:sz w:val="22"/>
        </w:rPr>
        <w:t>Pedroni's</w:t>
      </w:r>
      <w:proofErr w:type="spellEnd"/>
      <w:r w:rsidRPr="00C40790">
        <w:rPr>
          <w:rFonts w:cs="Times New Roman"/>
          <w:sz w:val="22"/>
        </w:rPr>
        <w:t xml:space="preserve"> heterogeneous panel cointegration method focuses solely on detecting the existence of long-run relationships between variables. While the tests can indicate whether such long-run links are present or absent, they do not reveal the direction of causality when the variables are found to be cointegrated. Traditionally, causality is examined using the standard two-step Engle and Granger (1969) causality </w:t>
      </w:r>
      <w:r w:rsidRPr="00C40790">
        <w:rPr>
          <w:rFonts w:cs="Times New Roman"/>
          <w:sz w:val="22"/>
        </w:rPr>
        <w:lastRenderedPageBreak/>
        <w:t xml:space="preserve">procedure. However, in a panel context, conventional estimation techniques can lead to inconsistent parameter estimates due to measurement errors and omitted variable issues. Consequently, this study utilized the GMM model and employed the Wald test to establish causality. The economic literature outlines various estimation methods suitable for time series data models that encounter expected endogeneity challenges. Among these, the most widely used econometric approach for estimating dynamic panel models is the GMM developed by Arellano and Bond, which employs lagged explanatory variables as internal instruments. The GMM technique's primary advantages include its ability to manage endogeneity concerns surrounding regressors, correct for heteroscedasticity and serial correlation, account for simultaneity issues, address specification bias, and eliminate country-fixed effects along with unobserved heterogeneity (Mahmoud, 2007). This study adopted the GMM estimation for the dynamic panel model procedure, and J-tests or </w:t>
      </w:r>
      <w:proofErr w:type="spellStart"/>
      <w:r w:rsidRPr="00C40790">
        <w:rPr>
          <w:rFonts w:cs="Times New Roman"/>
          <w:sz w:val="22"/>
        </w:rPr>
        <w:t>Sargan</w:t>
      </w:r>
      <w:proofErr w:type="spellEnd"/>
      <w:r w:rsidRPr="00C40790">
        <w:rPr>
          <w:rFonts w:cs="Times New Roman"/>
          <w:sz w:val="22"/>
        </w:rPr>
        <w:t xml:space="preserve"> or Hansen tests for over-identifying restrictions were conducted to verify the validity of the exclusion restrictions within the GMM.</w:t>
      </w:r>
    </w:p>
    <w:p w14:paraId="45786D1B" w14:textId="0E07C8C2" w:rsidR="00780479" w:rsidRPr="00C40790" w:rsidRDefault="00FD71AD" w:rsidP="008D478F">
      <w:pPr>
        <w:spacing w:line="360" w:lineRule="auto"/>
        <w:rPr>
          <w:rFonts w:cs="Times New Roman"/>
          <w:b/>
          <w:bCs/>
          <w:sz w:val="22"/>
        </w:rPr>
      </w:pPr>
      <w:r w:rsidRPr="00C40790">
        <w:rPr>
          <w:rFonts w:cs="Times New Roman"/>
          <w:b/>
          <w:bCs/>
          <w:sz w:val="22"/>
        </w:rPr>
        <w:t xml:space="preserve">4 </w:t>
      </w:r>
      <w:r w:rsidR="006728C1" w:rsidRPr="00C40790">
        <w:rPr>
          <w:rFonts w:cs="Times New Roman"/>
          <w:b/>
          <w:bCs/>
          <w:sz w:val="22"/>
        </w:rPr>
        <w:t>Results and Discussion</w:t>
      </w:r>
    </w:p>
    <w:p w14:paraId="03A840D5" w14:textId="04533E53" w:rsidR="006A5515" w:rsidRPr="00C40790" w:rsidRDefault="00FD71AD" w:rsidP="008D478F">
      <w:pPr>
        <w:spacing w:line="360" w:lineRule="auto"/>
        <w:rPr>
          <w:rFonts w:cs="Times New Roman"/>
          <w:b/>
          <w:bCs/>
          <w:sz w:val="22"/>
        </w:rPr>
      </w:pPr>
      <w:r w:rsidRPr="00C40790">
        <w:rPr>
          <w:rFonts w:cs="Times New Roman"/>
          <w:b/>
          <w:bCs/>
          <w:sz w:val="22"/>
        </w:rPr>
        <w:t>4.1 Panel Unit Root Test</w:t>
      </w:r>
    </w:p>
    <w:p w14:paraId="42EBEFE9" w14:textId="77777777" w:rsidR="002A485A" w:rsidRPr="00C40790" w:rsidRDefault="00FD71AD" w:rsidP="008D478F">
      <w:pPr>
        <w:spacing w:line="360" w:lineRule="auto"/>
        <w:rPr>
          <w:rFonts w:cs="Times New Roman"/>
          <w:sz w:val="22"/>
        </w:rPr>
      </w:pPr>
      <w:r w:rsidRPr="00C40790">
        <w:rPr>
          <w:rFonts w:cs="Times New Roman"/>
          <w:sz w:val="22"/>
        </w:rPr>
        <w:t xml:space="preserve">The analysis begins with an examination of the statistical properties of the data series employed. Initially, the order of integration (stationarity) for both the population and economic growth series is assessed using the </w:t>
      </w:r>
      <w:proofErr w:type="spellStart"/>
      <w:r w:rsidRPr="00C40790">
        <w:rPr>
          <w:rFonts w:cs="Times New Roman"/>
          <w:sz w:val="22"/>
        </w:rPr>
        <w:t>Im</w:t>
      </w:r>
      <w:proofErr w:type="spellEnd"/>
      <w:r w:rsidRPr="00C40790">
        <w:rPr>
          <w:rFonts w:cs="Times New Roman"/>
          <w:sz w:val="22"/>
        </w:rPr>
        <w:t xml:space="preserve">, </w:t>
      </w:r>
      <w:proofErr w:type="spellStart"/>
      <w:r w:rsidRPr="00C40790">
        <w:rPr>
          <w:rFonts w:cs="Times New Roman"/>
          <w:sz w:val="22"/>
        </w:rPr>
        <w:t>Pesaran</w:t>
      </w:r>
      <w:proofErr w:type="spellEnd"/>
      <w:r w:rsidRPr="00C40790">
        <w:rPr>
          <w:rFonts w:cs="Times New Roman"/>
          <w:sz w:val="22"/>
        </w:rPr>
        <w:t>, and Shin Wald statistics (IPS). The lag lengths for these series were determined based on the Akaike Information Criteria (AIC). The results of the unit root test are presented in Table 1.</w:t>
      </w:r>
    </w:p>
    <w:p w14:paraId="27F3BA07" w14:textId="77A3DA95" w:rsidR="00B70E8A" w:rsidRPr="00C40790" w:rsidRDefault="00FD71AD" w:rsidP="008D478F">
      <w:pPr>
        <w:spacing w:line="360" w:lineRule="auto"/>
        <w:rPr>
          <w:rFonts w:cs="Times New Roman"/>
          <w:b/>
          <w:bCs/>
          <w:sz w:val="22"/>
        </w:rPr>
      </w:pPr>
      <w:r w:rsidRPr="00C40790">
        <w:rPr>
          <w:rFonts w:cs="Times New Roman"/>
          <w:b/>
          <w:bCs/>
          <w:sz w:val="22"/>
        </w:rPr>
        <w:t xml:space="preserve">Table </w:t>
      </w:r>
      <w:r w:rsidR="00C50111" w:rsidRPr="00C40790">
        <w:rPr>
          <w:rFonts w:cs="Times New Roman"/>
          <w:b/>
          <w:bCs/>
          <w:sz w:val="22"/>
        </w:rPr>
        <w:t xml:space="preserve">1: IPS Unit Root Test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609"/>
        <w:gridCol w:w="1086"/>
        <w:gridCol w:w="1032"/>
        <w:gridCol w:w="1608"/>
        <w:gridCol w:w="1086"/>
        <w:gridCol w:w="1034"/>
      </w:tblGrid>
      <w:tr w:rsidR="002C384B" w14:paraId="5F00CFC1" w14:textId="77777777" w:rsidTr="00145D56">
        <w:trPr>
          <w:trHeight w:val="383"/>
        </w:trPr>
        <w:tc>
          <w:tcPr>
            <w:tcW w:w="1013" w:type="pct"/>
            <w:vMerge w:val="restart"/>
          </w:tcPr>
          <w:p w14:paraId="40CBDBEE" w14:textId="4D1E46ED" w:rsidR="005058FC" w:rsidRPr="00C40790" w:rsidRDefault="00FD71AD" w:rsidP="008D478F">
            <w:pPr>
              <w:spacing w:after="0" w:line="240" w:lineRule="auto"/>
              <w:rPr>
                <w:rFonts w:eastAsia="Calibri" w:cs="Times New Roman"/>
                <w:sz w:val="22"/>
              </w:rPr>
            </w:pPr>
            <w:r w:rsidRPr="00C40790">
              <w:rPr>
                <w:rFonts w:eastAsia="Calibri" w:cs="Times New Roman"/>
                <w:sz w:val="22"/>
              </w:rPr>
              <w:t>Variable</w:t>
            </w:r>
          </w:p>
        </w:tc>
        <w:tc>
          <w:tcPr>
            <w:tcW w:w="1441" w:type="pct"/>
            <w:gridSpan w:val="2"/>
          </w:tcPr>
          <w:p w14:paraId="67C121FC" w14:textId="77777777" w:rsidR="005058FC" w:rsidRPr="00C40790" w:rsidRDefault="00FD71AD" w:rsidP="008D478F">
            <w:pPr>
              <w:spacing w:after="0" w:line="240" w:lineRule="auto"/>
              <w:rPr>
                <w:rFonts w:eastAsia="Calibri" w:cs="Times New Roman"/>
                <w:sz w:val="22"/>
              </w:rPr>
            </w:pPr>
            <w:r w:rsidRPr="00C40790">
              <w:rPr>
                <w:rFonts w:eastAsia="Calibri" w:cs="Times New Roman"/>
                <w:sz w:val="22"/>
              </w:rPr>
              <w:t>Level</w:t>
            </w:r>
          </w:p>
        </w:tc>
        <w:tc>
          <w:tcPr>
            <w:tcW w:w="552" w:type="pct"/>
            <w:vMerge w:val="restart"/>
          </w:tcPr>
          <w:p w14:paraId="7741A94B" w14:textId="7EDF070C" w:rsidR="005058FC" w:rsidRPr="00C40790" w:rsidRDefault="00FD71AD" w:rsidP="008D478F">
            <w:pPr>
              <w:spacing w:after="0" w:line="240" w:lineRule="auto"/>
              <w:rPr>
                <w:rFonts w:eastAsia="Calibri" w:cs="Times New Roman"/>
                <w:sz w:val="22"/>
              </w:rPr>
            </w:pPr>
            <w:r w:rsidRPr="00C40790">
              <w:rPr>
                <w:rFonts w:eastAsia="Calibri" w:cs="Times New Roman"/>
                <w:sz w:val="22"/>
              </w:rPr>
              <w:t>Variable</w:t>
            </w:r>
          </w:p>
        </w:tc>
        <w:tc>
          <w:tcPr>
            <w:tcW w:w="1441" w:type="pct"/>
            <w:gridSpan w:val="2"/>
          </w:tcPr>
          <w:p w14:paraId="2D089FE7" w14:textId="77777777" w:rsidR="005058FC" w:rsidRPr="00C40790" w:rsidRDefault="00FD71AD" w:rsidP="008D478F">
            <w:pPr>
              <w:spacing w:after="0" w:line="240" w:lineRule="auto"/>
              <w:rPr>
                <w:rFonts w:eastAsia="Calibri" w:cs="Times New Roman"/>
                <w:sz w:val="22"/>
              </w:rPr>
            </w:pPr>
            <w:r w:rsidRPr="00C40790">
              <w:rPr>
                <w:rFonts w:eastAsia="Calibri" w:cs="Times New Roman"/>
                <w:sz w:val="22"/>
              </w:rPr>
              <w:t>First difference</w:t>
            </w:r>
          </w:p>
        </w:tc>
        <w:tc>
          <w:tcPr>
            <w:tcW w:w="553" w:type="pct"/>
            <w:vMerge w:val="restart"/>
          </w:tcPr>
          <w:p w14:paraId="3EEB2BEC" w14:textId="39470236" w:rsidR="005058FC" w:rsidRPr="00C40790" w:rsidRDefault="00FD71AD" w:rsidP="008D478F">
            <w:pPr>
              <w:spacing w:after="0" w:line="240" w:lineRule="auto"/>
              <w:rPr>
                <w:rFonts w:eastAsia="Calibri" w:cs="Times New Roman"/>
                <w:sz w:val="22"/>
              </w:rPr>
            </w:pPr>
            <w:r w:rsidRPr="00C40790">
              <w:rPr>
                <w:rFonts w:eastAsia="Calibri" w:cs="Times New Roman"/>
                <w:sz w:val="22"/>
              </w:rPr>
              <w:t xml:space="preserve">Decision  </w:t>
            </w:r>
          </w:p>
        </w:tc>
      </w:tr>
      <w:tr w:rsidR="002C384B" w14:paraId="1FB30F59" w14:textId="77777777" w:rsidTr="00145D56">
        <w:trPr>
          <w:trHeight w:val="305"/>
        </w:trPr>
        <w:tc>
          <w:tcPr>
            <w:tcW w:w="1013" w:type="pct"/>
            <w:vMerge/>
          </w:tcPr>
          <w:p w14:paraId="3D2F02D8" w14:textId="77777777" w:rsidR="005058FC" w:rsidRPr="00C40790" w:rsidRDefault="005058FC" w:rsidP="008D478F">
            <w:pPr>
              <w:spacing w:after="0" w:line="240" w:lineRule="auto"/>
              <w:rPr>
                <w:rFonts w:eastAsia="Calibri" w:cs="Times New Roman"/>
                <w:sz w:val="22"/>
              </w:rPr>
            </w:pPr>
          </w:p>
        </w:tc>
        <w:tc>
          <w:tcPr>
            <w:tcW w:w="860" w:type="pct"/>
          </w:tcPr>
          <w:p w14:paraId="4F8CE93E" w14:textId="77777777" w:rsidR="005058FC" w:rsidRPr="00C40790" w:rsidRDefault="00FD71AD" w:rsidP="008D478F">
            <w:pPr>
              <w:spacing w:after="0" w:line="240" w:lineRule="auto"/>
              <w:rPr>
                <w:rFonts w:eastAsia="Calibri" w:cs="Times New Roman"/>
                <w:sz w:val="22"/>
              </w:rPr>
            </w:pPr>
            <w:r w:rsidRPr="00C40790">
              <w:rPr>
                <w:rFonts w:eastAsia="Calibri" w:cs="Times New Roman"/>
                <w:sz w:val="22"/>
              </w:rPr>
              <w:t>Statistics</w:t>
            </w:r>
          </w:p>
        </w:tc>
        <w:tc>
          <w:tcPr>
            <w:tcW w:w="581" w:type="pct"/>
          </w:tcPr>
          <w:p w14:paraId="6BDCC204" w14:textId="77777777" w:rsidR="005058FC" w:rsidRPr="00C40790" w:rsidRDefault="00FD71AD" w:rsidP="008D478F">
            <w:pPr>
              <w:spacing w:after="0" w:line="240" w:lineRule="auto"/>
              <w:rPr>
                <w:rFonts w:eastAsia="Calibri" w:cs="Times New Roman"/>
                <w:sz w:val="22"/>
              </w:rPr>
            </w:pPr>
            <w:r w:rsidRPr="00C40790">
              <w:rPr>
                <w:rFonts w:eastAsia="Calibri" w:cs="Times New Roman"/>
                <w:sz w:val="22"/>
              </w:rPr>
              <w:t>Prob.</w:t>
            </w:r>
          </w:p>
        </w:tc>
        <w:tc>
          <w:tcPr>
            <w:tcW w:w="552" w:type="pct"/>
            <w:vMerge/>
          </w:tcPr>
          <w:p w14:paraId="0F0C1322" w14:textId="77777777" w:rsidR="005058FC" w:rsidRPr="00C40790" w:rsidRDefault="005058FC" w:rsidP="008D478F">
            <w:pPr>
              <w:spacing w:after="0" w:line="240" w:lineRule="auto"/>
              <w:rPr>
                <w:rFonts w:eastAsia="Calibri" w:cs="Times New Roman"/>
                <w:sz w:val="22"/>
              </w:rPr>
            </w:pPr>
          </w:p>
        </w:tc>
        <w:tc>
          <w:tcPr>
            <w:tcW w:w="860" w:type="pct"/>
          </w:tcPr>
          <w:p w14:paraId="5D46C69B" w14:textId="77777777" w:rsidR="005058FC" w:rsidRPr="00C40790" w:rsidRDefault="00FD71AD" w:rsidP="008D478F">
            <w:pPr>
              <w:spacing w:after="0" w:line="240" w:lineRule="auto"/>
              <w:rPr>
                <w:rFonts w:eastAsia="Calibri" w:cs="Times New Roman"/>
                <w:sz w:val="22"/>
              </w:rPr>
            </w:pPr>
            <w:r w:rsidRPr="00C40790">
              <w:rPr>
                <w:rFonts w:eastAsia="Calibri" w:cs="Times New Roman"/>
                <w:sz w:val="22"/>
              </w:rPr>
              <w:t>Statistics</w:t>
            </w:r>
          </w:p>
        </w:tc>
        <w:tc>
          <w:tcPr>
            <w:tcW w:w="581" w:type="pct"/>
          </w:tcPr>
          <w:p w14:paraId="7F3E1E8B" w14:textId="77777777" w:rsidR="005058FC" w:rsidRPr="00C40790" w:rsidRDefault="00FD71AD" w:rsidP="008D478F">
            <w:pPr>
              <w:spacing w:after="0" w:line="240" w:lineRule="auto"/>
              <w:rPr>
                <w:rFonts w:eastAsia="Calibri" w:cs="Times New Roman"/>
                <w:sz w:val="22"/>
              </w:rPr>
            </w:pPr>
            <w:r w:rsidRPr="00C40790">
              <w:rPr>
                <w:rFonts w:eastAsia="Calibri" w:cs="Times New Roman"/>
                <w:sz w:val="22"/>
              </w:rPr>
              <w:t>Prob.</w:t>
            </w:r>
          </w:p>
        </w:tc>
        <w:tc>
          <w:tcPr>
            <w:tcW w:w="553" w:type="pct"/>
            <w:vMerge/>
          </w:tcPr>
          <w:p w14:paraId="0D26AC77" w14:textId="77777777" w:rsidR="005058FC" w:rsidRPr="00C40790" w:rsidRDefault="005058FC" w:rsidP="008D478F">
            <w:pPr>
              <w:spacing w:after="0" w:line="240" w:lineRule="auto"/>
              <w:rPr>
                <w:rFonts w:eastAsia="Calibri" w:cs="Times New Roman"/>
                <w:sz w:val="22"/>
              </w:rPr>
            </w:pPr>
          </w:p>
        </w:tc>
      </w:tr>
      <w:tr w:rsidR="002C384B" w14:paraId="3984A5B9" w14:textId="77777777" w:rsidTr="00145D56">
        <w:trPr>
          <w:trHeight w:val="278"/>
        </w:trPr>
        <w:tc>
          <w:tcPr>
            <w:tcW w:w="1013" w:type="pct"/>
          </w:tcPr>
          <w:p w14:paraId="33609310" w14:textId="7F9B62FA" w:rsidR="005058FC" w:rsidRPr="00C40790" w:rsidRDefault="00FD71AD" w:rsidP="008D478F">
            <w:pPr>
              <w:spacing w:after="0" w:line="240" w:lineRule="auto"/>
              <w:rPr>
                <w:rFonts w:eastAsia="Calibri" w:cs="Times New Roman"/>
                <w:sz w:val="22"/>
              </w:rPr>
            </w:pPr>
            <w:r w:rsidRPr="00C40790">
              <w:rPr>
                <w:rFonts w:eastAsia="Calibri" w:cs="Times New Roman"/>
                <w:sz w:val="22"/>
              </w:rPr>
              <w:t>GCP</w:t>
            </w:r>
          </w:p>
        </w:tc>
        <w:tc>
          <w:tcPr>
            <w:tcW w:w="860" w:type="pct"/>
          </w:tcPr>
          <w:p w14:paraId="1AF69C77" w14:textId="2D6C335F" w:rsidR="005058FC" w:rsidRPr="00C40790" w:rsidRDefault="00FD71AD" w:rsidP="008D478F">
            <w:pPr>
              <w:autoSpaceDE w:val="0"/>
              <w:autoSpaceDN w:val="0"/>
              <w:adjustRightInd w:val="0"/>
              <w:spacing w:after="0" w:line="240" w:lineRule="auto"/>
              <w:rPr>
                <w:rFonts w:eastAsia="Calibri" w:cs="Times New Roman"/>
                <w:sz w:val="22"/>
              </w:rPr>
            </w:pPr>
            <w:r w:rsidRPr="00C40790">
              <w:rPr>
                <w:rFonts w:cs="Times New Roman"/>
                <w:sz w:val="22"/>
              </w:rPr>
              <w:t xml:space="preserve"> 1.7696</w:t>
            </w:r>
          </w:p>
        </w:tc>
        <w:tc>
          <w:tcPr>
            <w:tcW w:w="581" w:type="pct"/>
          </w:tcPr>
          <w:p w14:paraId="01DD37EF" w14:textId="3DCFF439" w:rsidR="005058FC" w:rsidRPr="00C40790" w:rsidRDefault="00FD71AD" w:rsidP="008D478F">
            <w:pPr>
              <w:autoSpaceDE w:val="0"/>
              <w:autoSpaceDN w:val="0"/>
              <w:adjustRightInd w:val="0"/>
              <w:spacing w:after="0" w:line="240" w:lineRule="auto"/>
              <w:rPr>
                <w:rFonts w:eastAsia="Calibri" w:cs="Times New Roman"/>
                <w:sz w:val="22"/>
              </w:rPr>
            </w:pPr>
            <w:r w:rsidRPr="00C40790">
              <w:rPr>
                <w:rFonts w:eastAsia="Calibri" w:cs="Times New Roman"/>
                <w:sz w:val="22"/>
              </w:rPr>
              <w:t>0.9616</w:t>
            </w:r>
          </w:p>
        </w:tc>
        <w:tc>
          <w:tcPr>
            <w:tcW w:w="552" w:type="pct"/>
          </w:tcPr>
          <w:p w14:paraId="1EB76FDE" w14:textId="75223F7B" w:rsidR="005058FC" w:rsidRPr="00C40790" w:rsidRDefault="005058FC" w:rsidP="008D478F">
            <w:pPr>
              <w:spacing w:after="0" w:line="240" w:lineRule="auto"/>
              <w:rPr>
                <w:rFonts w:eastAsia="Calibri" w:cs="Times New Roman"/>
                <w:iCs/>
                <w:sz w:val="22"/>
              </w:rPr>
            </w:pPr>
          </w:p>
        </w:tc>
        <w:tc>
          <w:tcPr>
            <w:tcW w:w="860" w:type="pct"/>
          </w:tcPr>
          <w:p w14:paraId="7E4B5949" w14:textId="07DEAB2C" w:rsidR="005058FC" w:rsidRPr="00C40790" w:rsidRDefault="00FD71AD" w:rsidP="008D478F">
            <w:pPr>
              <w:autoSpaceDE w:val="0"/>
              <w:autoSpaceDN w:val="0"/>
              <w:adjustRightInd w:val="0"/>
              <w:spacing w:after="0" w:line="240" w:lineRule="auto"/>
              <w:rPr>
                <w:rFonts w:eastAsia="Calibri" w:cs="Times New Roman"/>
                <w:sz w:val="22"/>
              </w:rPr>
            </w:pPr>
            <w:r w:rsidRPr="00C40790">
              <w:rPr>
                <w:rFonts w:cs="Times New Roman"/>
                <w:sz w:val="22"/>
              </w:rPr>
              <w:t>-9.5792</w:t>
            </w:r>
            <w:r w:rsidR="00145D56" w:rsidRPr="00C40790">
              <w:rPr>
                <w:rFonts w:cs="Times New Roman"/>
                <w:sz w:val="22"/>
              </w:rPr>
              <w:t>***</w:t>
            </w:r>
          </w:p>
        </w:tc>
        <w:tc>
          <w:tcPr>
            <w:tcW w:w="581" w:type="pct"/>
          </w:tcPr>
          <w:p w14:paraId="2BAD3ADC" w14:textId="4CBE1A22" w:rsidR="005058FC" w:rsidRPr="00C40790" w:rsidRDefault="00FD71AD" w:rsidP="008D478F">
            <w:pPr>
              <w:autoSpaceDE w:val="0"/>
              <w:autoSpaceDN w:val="0"/>
              <w:adjustRightInd w:val="0"/>
              <w:spacing w:after="0" w:line="240" w:lineRule="auto"/>
              <w:rPr>
                <w:rFonts w:eastAsia="Calibri" w:cs="Times New Roman"/>
                <w:sz w:val="22"/>
              </w:rPr>
            </w:pPr>
            <w:r w:rsidRPr="00C40790">
              <w:rPr>
                <w:rFonts w:eastAsia="Calibri" w:cs="Times New Roman"/>
                <w:sz w:val="22"/>
              </w:rPr>
              <w:t>0.0000</w:t>
            </w:r>
          </w:p>
        </w:tc>
        <w:tc>
          <w:tcPr>
            <w:tcW w:w="553" w:type="pct"/>
          </w:tcPr>
          <w:p w14:paraId="2FB7CEC8" w14:textId="4A483F1A" w:rsidR="005058FC" w:rsidRPr="00C40790" w:rsidRDefault="00FD71AD" w:rsidP="008D478F">
            <w:pPr>
              <w:spacing w:after="0" w:line="240" w:lineRule="auto"/>
              <w:rPr>
                <w:rFonts w:eastAsia="Calibri" w:cs="Times New Roman"/>
                <w:sz w:val="22"/>
              </w:rPr>
            </w:pPr>
            <w:r w:rsidRPr="00C40790">
              <w:rPr>
                <w:rFonts w:eastAsia="Calibri" w:cs="Times New Roman"/>
                <w:sz w:val="22"/>
              </w:rPr>
              <w:t>I(1)</w:t>
            </w:r>
          </w:p>
        </w:tc>
      </w:tr>
      <w:tr w:rsidR="002C384B" w14:paraId="7EF64E2E" w14:textId="77777777" w:rsidTr="00145D56">
        <w:trPr>
          <w:trHeight w:val="242"/>
        </w:trPr>
        <w:tc>
          <w:tcPr>
            <w:tcW w:w="1013" w:type="pct"/>
          </w:tcPr>
          <w:p w14:paraId="30D68698" w14:textId="29F8A1E9" w:rsidR="00145D56" w:rsidRPr="00C40790" w:rsidRDefault="00FD71AD" w:rsidP="008D478F">
            <w:pPr>
              <w:spacing w:after="0" w:line="240" w:lineRule="auto"/>
              <w:rPr>
                <w:rFonts w:eastAsia="Calibri" w:cs="Times New Roman"/>
                <w:sz w:val="22"/>
              </w:rPr>
            </w:pPr>
            <w:r w:rsidRPr="00C40790">
              <w:rPr>
                <w:rFonts w:eastAsia="Calibri" w:cs="Times New Roman"/>
                <w:sz w:val="22"/>
              </w:rPr>
              <w:t>POP</w:t>
            </w:r>
          </w:p>
        </w:tc>
        <w:tc>
          <w:tcPr>
            <w:tcW w:w="860" w:type="pct"/>
          </w:tcPr>
          <w:p w14:paraId="30F64DA3" w14:textId="2AFB933D" w:rsidR="00145D56" w:rsidRPr="00C40790" w:rsidRDefault="00FD71AD" w:rsidP="008D478F">
            <w:pPr>
              <w:autoSpaceDE w:val="0"/>
              <w:autoSpaceDN w:val="0"/>
              <w:adjustRightInd w:val="0"/>
              <w:spacing w:after="0" w:line="240" w:lineRule="auto"/>
              <w:rPr>
                <w:rFonts w:eastAsia="Calibri" w:cs="Times New Roman"/>
                <w:sz w:val="22"/>
              </w:rPr>
            </w:pPr>
            <w:r w:rsidRPr="00C40790">
              <w:rPr>
                <w:rFonts w:cs="Times New Roman"/>
                <w:sz w:val="22"/>
              </w:rPr>
              <w:t xml:space="preserve"> 0.9365</w:t>
            </w:r>
          </w:p>
        </w:tc>
        <w:tc>
          <w:tcPr>
            <w:tcW w:w="581" w:type="pct"/>
          </w:tcPr>
          <w:p w14:paraId="740D2693" w14:textId="0BC53F68" w:rsidR="00145D56" w:rsidRPr="00C40790" w:rsidRDefault="00FD71AD" w:rsidP="008D478F">
            <w:pPr>
              <w:autoSpaceDE w:val="0"/>
              <w:autoSpaceDN w:val="0"/>
              <w:adjustRightInd w:val="0"/>
              <w:spacing w:after="0" w:line="240" w:lineRule="auto"/>
              <w:rPr>
                <w:rFonts w:eastAsia="Calibri" w:cs="Times New Roman"/>
                <w:sz w:val="22"/>
              </w:rPr>
            </w:pPr>
            <w:r w:rsidRPr="00C40790">
              <w:rPr>
                <w:rFonts w:eastAsia="Calibri" w:cs="Times New Roman"/>
                <w:sz w:val="22"/>
              </w:rPr>
              <w:t>0.8255</w:t>
            </w:r>
          </w:p>
        </w:tc>
        <w:tc>
          <w:tcPr>
            <w:tcW w:w="552" w:type="pct"/>
          </w:tcPr>
          <w:p w14:paraId="378DD6BB" w14:textId="3DEA5209" w:rsidR="00145D56" w:rsidRPr="00C40790" w:rsidRDefault="00145D56" w:rsidP="008D478F">
            <w:pPr>
              <w:spacing w:after="0" w:line="240" w:lineRule="auto"/>
              <w:rPr>
                <w:rFonts w:eastAsia="Calibri" w:cs="Times New Roman"/>
                <w:iCs/>
                <w:sz w:val="22"/>
              </w:rPr>
            </w:pPr>
          </w:p>
        </w:tc>
        <w:tc>
          <w:tcPr>
            <w:tcW w:w="860" w:type="pct"/>
          </w:tcPr>
          <w:p w14:paraId="57738B30" w14:textId="5E0F312E" w:rsidR="00145D56" w:rsidRPr="00C40790" w:rsidRDefault="00FD71AD" w:rsidP="008D478F">
            <w:pPr>
              <w:autoSpaceDE w:val="0"/>
              <w:autoSpaceDN w:val="0"/>
              <w:adjustRightInd w:val="0"/>
              <w:spacing w:after="0" w:line="240" w:lineRule="auto"/>
              <w:rPr>
                <w:rFonts w:eastAsia="Calibri" w:cs="Times New Roman"/>
                <w:sz w:val="22"/>
              </w:rPr>
            </w:pPr>
            <w:r w:rsidRPr="00C40790">
              <w:rPr>
                <w:rFonts w:cs="Times New Roman"/>
                <w:sz w:val="22"/>
              </w:rPr>
              <w:t>-7.4563***</w:t>
            </w:r>
          </w:p>
        </w:tc>
        <w:tc>
          <w:tcPr>
            <w:tcW w:w="581" w:type="pct"/>
          </w:tcPr>
          <w:p w14:paraId="06AFA6AE" w14:textId="193A2CF9" w:rsidR="00145D56" w:rsidRPr="00C40790" w:rsidRDefault="00FD71AD" w:rsidP="008D478F">
            <w:pPr>
              <w:autoSpaceDE w:val="0"/>
              <w:autoSpaceDN w:val="0"/>
              <w:adjustRightInd w:val="0"/>
              <w:spacing w:after="0" w:line="240" w:lineRule="auto"/>
              <w:rPr>
                <w:rFonts w:eastAsia="Calibri" w:cs="Times New Roman"/>
                <w:sz w:val="22"/>
              </w:rPr>
            </w:pPr>
            <w:r w:rsidRPr="00C40790">
              <w:rPr>
                <w:rFonts w:eastAsia="Calibri" w:cs="Times New Roman"/>
                <w:sz w:val="22"/>
              </w:rPr>
              <w:t>0.0000</w:t>
            </w:r>
          </w:p>
        </w:tc>
        <w:tc>
          <w:tcPr>
            <w:tcW w:w="553" w:type="pct"/>
          </w:tcPr>
          <w:p w14:paraId="1B9A0674" w14:textId="1759597B" w:rsidR="00145D56" w:rsidRPr="00C40790" w:rsidRDefault="00FD71AD" w:rsidP="008D478F">
            <w:pPr>
              <w:spacing w:after="0" w:line="240" w:lineRule="auto"/>
              <w:rPr>
                <w:rFonts w:eastAsia="Calibri" w:cs="Times New Roman"/>
                <w:sz w:val="22"/>
              </w:rPr>
            </w:pPr>
            <w:r w:rsidRPr="00C40790">
              <w:rPr>
                <w:rFonts w:eastAsia="Calibri" w:cs="Times New Roman"/>
                <w:sz w:val="22"/>
              </w:rPr>
              <w:t>I(1)</w:t>
            </w:r>
          </w:p>
        </w:tc>
      </w:tr>
      <w:tr w:rsidR="002C384B" w14:paraId="4142A7DD" w14:textId="77777777" w:rsidTr="00145D56">
        <w:trPr>
          <w:trHeight w:val="242"/>
        </w:trPr>
        <w:tc>
          <w:tcPr>
            <w:tcW w:w="5000" w:type="pct"/>
            <w:gridSpan w:val="7"/>
          </w:tcPr>
          <w:p w14:paraId="0EE56F8B" w14:textId="0BD8994C" w:rsidR="007D4D58" w:rsidRPr="00C40790" w:rsidRDefault="00FD71AD" w:rsidP="008D478F">
            <w:pPr>
              <w:spacing w:after="0" w:line="240" w:lineRule="auto"/>
              <w:rPr>
                <w:rFonts w:eastAsia="Calibri" w:cs="Times New Roman"/>
                <w:sz w:val="22"/>
              </w:rPr>
            </w:pPr>
            <w:r w:rsidRPr="00C40790">
              <w:rPr>
                <w:rFonts w:eastAsia="Calibri" w:cs="Times New Roman"/>
                <w:sz w:val="22"/>
              </w:rPr>
              <w:t>Note:  *** and ** significant at a 1% and 5% level</w:t>
            </w:r>
          </w:p>
          <w:p w14:paraId="0AE2FE4E" w14:textId="14C5AA0D" w:rsidR="00145D56" w:rsidRPr="00C40790" w:rsidRDefault="00FD71AD" w:rsidP="008D478F">
            <w:pPr>
              <w:spacing w:after="0" w:line="240" w:lineRule="auto"/>
              <w:rPr>
                <w:rFonts w:eastAsia="Calibri" w:cs="Times New Roman"/>
                <w:sz w:val="22"/>
              </w:rPr>
            </w:pPr>
            <w:r w:rsidRPr="00C40790">
              <w:rPr>
                <w:rFonts w:eastAsia="Calibri" w:cs="Times New Roman"/>
                <w:sz w:val="22"/>
              </w:rPr>
              <w:t>Null hypothesis: The variable has a unit root</w:t>
            </w:r>
          </w:p>
        </w:tc>
      </w:tr>
    </w:tbl>
    <w:p w14:paraId="36348EA7" w14:textId="77777777" w:rsidR="005058FC" w:rsidRPr="00C40790" w:rsidRDefault="005058FC" w:rsidP="008D478F">
      <w:pPr>
        <w:spacing w:line="360" w:lineRule="auto"/>
        <w:rPr>
          <w:rFonts w:cs="Times New Roman"/>
          <w:sz w:val="22"/>
        </w:rPr>
      </w:pPr>
    </w:p>
    <w:p w14:paraId="55FF0F65" w14:textId="77777777" w:rsidR="002A485A" w:rsidRPr="00C40790" w:rsidRDefault="00FD71AD" w:rsidP="008D478F">
      <w:pPr>
        <w:spacing w:line="360" w:lineRule="auto"/>
        <w:rPr>
          <w:rFonts w:cs="Times New Roman"/>
          <w:sz w:val="22"/>
        </w:rPr>
      </w:pPr>
      <w:r w:rsidRPr="00C40790">
        <w:rPr>
          <w:rFonts w:cs="Times New Roman"/>
          <w:sz w:val="22"/>
        </w:rPr>
        <w:t>The results of the IPS test indicate that all series analyzed at their original levels do not reject the null hypothesis of a unit root for the individual series. However, when examining the first differences of all series, the null hypothesis of unit roots is firmly rejected at the 1% significance level. This evidence strongly suggests that the series is stationary only after taking the first difference. In summary, the IPS unit root analysis confirms that both population and economic growth exhibit non-stationarity at level I(1).</w:t>
      </w:r>
    </w:p>
    <w:p w14:paraId="1422807D" w14:textId="24474129" w:rsidR="00B70E8A" w:rsidRPr="00C40790" w:rsidRDefault="00FD71AD" w:rsidP="008D478F">
      <w:pPr>
        <w:spacing w:line="360" w:lineRule="auto"/>
        <w:rPr>
          <w:rFonts w:cs="Times New Roman"/>
          <w:b/>
          <w:bCs/>
          <w:sz w:val="22"/>
        </w:rPr>
      </w:pPr>
      <w:r w:rsidRPr="00C40790">
        <w:rPr>
          <w:rFonts w:cs="Times New Roman"/>
          <w:b/>
          <w:bCs/>
          <w:sz w:val="22"/>
        </w:rPr>
        <w:t xml:space="preserve">4.2 Panel Data Cointegration Test </w:t>
      </w:r>
    </w:p>
    <w:p w14:paraId="3BCD598D" w14:textId="77777777" w:rsidR="002A485A" w:rsidRPr="00C40790" w:rsidRDefault="00FD71AD" w:rsidP="008D478F">
      <w:pPr>
        <w:spacing w:line="360" w:lineRule="auto"/>
        <w:rPr>
          <w:rFonts w:cs="Times New Roman"/>
          <w:sz w:val="22"/>
        </w:rPr>
      </w:pPr>
      <w:r w:rsidRPr="00C40790">
        <w:rPr>
          <w:rFonts w:cs="Times New Roman"/>
          <w:sz w:val="22"/>
        </w:rPr>
        <w:lastRenderedPageBreak/>
        <w:t xml:space="preserve">To determine whether a long-term relationship exists between population and economic growth, the next step in assessing the relationship between these two variables is to test for cointegration after confirming that both are integrated of the first order. We employed </w:t>
      </w:r>
      <w:proofErr w:type="spellStart"/>
      <w:r w:rsidRPr="00C40790">
        <w:rPr>
          <w:rFonts w:cs="Times New Roman"/>
          <w:sz w:val="22"/>
        </w:rPr>
        <w:t>Pedroni's</w:t>
      </w:r>
      <w:proofErr w:type="spellEnd"/>
      <w:r w:rsidRPr="00C40790">
        <w:rPr>
          <w:rFonts w:cs="Times New Roman"/>
          <w:sz w:val="22"/>
        </w:rPr>
        <w:t xml:space="preserve"> heterogeneous panel test to investigate the long-term association between them. The results of the heterogeneous panel cointegration test, using the </w:t>
      </w:r>
      <w:proofErr w:type="spellStart"/>
      <w:r w:rsidRPr="00C40790">
        <w:rPr>
          <w:rFonts w:cs="Times New Roman"/>
          <w:sz w:val="22"/>
        </w:rPr>
        <w:t>Pedroni</w:t>
      </w:r>
      <w:proofErr w:type="spellEnd"/>
      <w:r w:rsidRPr="00C40790">
        <w:rPr>
          <w:rFonts w:cs="Times New Roman"/>
          <w:sz w:val="22"/>
        </w:rPr>
        <w:t xml:space="preserve"> methodology, are presented in Table 2.</w:t>
      </w:r>
    </w:p>
    <w:p w14:paraId="3B2AA282" w14:textId="1AA57B85" w:rsidR="00780479" w:rsidRPr="00C40790" w:rsidRDefault="00FD71AD" w:rsidP="008D478F">
      <w:pPr>
        <w:spacing w:line="360" w:lineRule="auto"/>
        <w:rPr>
          <w:rFonts w:cs="Times New Roman"/>
          <w:b/>
          <w:bCs/>
          <w:sz w:val="22"/>
        </w:rPr>
      </w:pPr>
      <w:r w:rsidRPr="00C40790">
        <w:rPr>
          <w:rFonts w:cs="Times New Roman"/>
          <w:b/>
          <w:bCs/>
          <w:sz w:val="22"/>
        </w:rPr>
        <w:t>Table</w:t>
      </w:r>
      <w:r w:rsidR="003D60E9" w:rsidRPr="00C40790">
        <w:rPr>
          <w:rFonts w:cs="Times New Roman"/>
          <w:b/>
          <w:bCs/>
          <w:sz w:val="22"/>
        </w:rPr>
        <w:t xml:space="preserve"> 2</w:t>
      </w:r>
      <w:r w:rsidRPr="00C40790">
        <w:rPr>
          <w:rFonts w:cs="Times New Roman"/>
          <w:b/>
          <w:bCs/>
          <w:sz w:val="22"/>
        </w:rPr>
        <w:t xml:space="preserve">: </w:t>
      </w:r>
      <w:proofErr w:type="spellStart"/>
      <w:r w:rsidR="000B7F13" w:rsidRPr="00C40790">
        <w:rPr>
          <w:rFonts w:cs="Times New Roman"/>
          <w:b/>
          <w:bCs/>
          <w:sz w:val="22"/>
        </w:rPr>
        <w:t>Pedroni</w:t>
      </w:r>
      <w:proofErr w:type="spellEnd"/>
      <w:r w:rsidR="000B7F13" w:rsidRPr="00C40790">
        <w:rPr>
          <w:rFonts w:cs="Times New Roman"/>
          <w:b/>
          <w:bCs/>
          <w:sz w:val="22"/>
        </w:rPr>
        <w:t xml:space="preserve"> </w:t>
      </w:r>
      <w:r w:rsidRPr="00C40790">
        <w:rPr>
          <w:rFonts w:cs="Times New Roman"/>
          <w:b/>
          <w:bCs/>
          <w:sz w:val="22"/>
        </w:rPr>
        <w:t xml:space="preserve">residual </w:t>
      </w:r>
      <w:r w:rsidR="000B7F13" w:rsidRPr="00C40790">
        <w:rPr>
          <w:rFonts w:cs="Times New Roman"/>
          <w:b/>
          <w:bCs/>
          <w:sz w:val="22"/>
        </w:rPr>
        <w:t xml:space="preserve">cointegration test </w:t>
      </w:r>
    </w:p>
    <w:tbl>
      <w:tblPr>
        <w:tblStyle w:val="TableGrid"/>
        <w:tblW w:w="5000" w:type="pct"/>
        <w:tblLook w:val="04A0" w:firstRow="1" w:lastRow="0" w:firstColumn="1" w:lastColumn="0" w:noHBand="0" w:noVBand="1"/>
      </w:tblPr>
      <w:tblGrid>
        <w:gridCol w:w="2393"/>
        <w:gridCol w:w="1676"/>
        <w:gridCol w:w="1008"/>
        <w:gridCol w:w="1288"/>
        <w:gridCol w:w="1008"/>
        <w:gridCol w:w="1977"/>
      </w:tblGrid>
      <w:tr w:rsidR="002C384B" w14:paraId="3590BB43" w14:textId="77777777" w:rsidTr="00C87F19">
        <w:tc>
          <w:tcPr>
            <w:tcW w:w="1280" w:type="pct"/>
          </w:tcPr>
          <w:p w14:paraId="1CC3E143" w14:textId="639E07B8" w:rsidR="00C87F19" w:rsidRPr="00C40790" w:rsidRDefault="00FD71AD" w:rsidP="00AC7DC6">
            <w:pPr>
              <w:rPr>
                <w:rFonts w:cs="Times New Roman"/>
                <w:sz w:val="22"/>
              </w:rPr>
            </w:pPr>
            <w:r w:rsidRPr="00C40790">
              <w:rPr>
                <w:rFonts w:cs="Times New Roman"/>
                <w:sz w:val="22"/>
              </w:rPr>
              <w:t xml:space="preserve">Test statistics </w:t>
            </w:r>
          </w:p>
        </w:tc>
        <w:tc>
          <w:tcPr>
            <w:tcW w:w="896" w:type="pct"/>
          </w:tcPr>
          <w:p w14:paraId="21A58C93" w14:textId="0EE839B6" w:rsidR="00C87F19" w:rsidRPr="00C40790" w:rsidRDefault="00FD71AD" w:rsidP="00AC7DC6">
            <w:pPr>
              <w:rPr>
                <w:rFonts w:cs="Times New Roman"/>
                <w:sz w:val="22"/>
              </w:rPr>
            </w:pPr>
            <w:r w:rsidRPr="00C40790">
              <w:rPr>
                <w:rFonts w:cs="Times New Roman"/>
                <w:sz w:val="22"/>
              </w:rPr>
              <w:t>Statistics</w:t>
            </w:r>
          </w:p>
        </w:tc>
        <w:tc>
          <w:tcPr>
            <w:tcW w:w="539" w:type="pct"/>
          </w:tcPr>
          <w:p w14:paraId="670EB6F2" w14:textId="7DFAAC0B" w:rsidR="00C87F19" w:rsidRPr="00C40790" w:rsidRDefault="00FD71AD" w:rsidP="00AC7DC6">
            <w:pPr>
              <w:rPr>
                <w:rFonts w:cs="Times New Roman"/>
                <w:sz w:val="22"/>
              </w:rPr>
            </w:pPr>
            <w:r w:rsidRPr="00C40790">
              <w:rPr>
                <w:rFonts w:cs="Times New Roman"/>
                <w:sz w:val="22"/>
              </w:rPr>
              <w:t>Prob.</w:t>
            </w:r>
          </w:p>
        </w:tc>
        <w:tc>
          <w:tcPr>
            <w:tcW w:w="689" w:type="pct"/>
          </w:tcPr>
          <w:p w14:paraId="53DF663F" w14:textId="506781D0" w:rsidR="00C87F19" w:rsidRPr="00C40790" w:rsidRDefault="00FD71AD" w:rsidP="00AC7DC6">
            <w:pPr>
              <w:rPr>
                <w:rFonts w:cs="Times New Roman"/>
                <w:sz w:val="22"/>
              </w:rPr>
            </w:pPr>
            <w:r w:rsidRPr="00C40790">
              <w:rPr>
                <w:rFonts w:cs="Times New Roman"/>
                <w:sz w:val="22"/>
              </w:rPr>
              <w:t xml:space="preserve">Weighted </w:t>
            </w:r>
          </w:p>
          <w:p w14:paraId="3A8D500F" w14:textId="3B9EBDAD" w:rsidR="00C87F19" w:rsidRPr="00C40790" w:rsidRDefault="00FD71AD" w:rsidP="00AC7DC6">
            <w:pPr>
              <w:rPr>
                <w:rFonts w:cs="Times New Roman"/>
                <w:sz w:val="22"/>
              </w:rPr>
            </w:pPr>
            <w:r w:rsidRPr="00C40790">
              <w:rPr>
                <w:rFonts w:cs="Times New Roman"/>
                <w:sz w:val="22"/>
              </w:rPr>
              <w:t>Statistics</w:t>
            </w:r>
          </w:p>
        </w:tc>
        <w:tc>
          <w:tcPr>
            <w:tcW w:w="539" w:type="pct"/>
          </w:tcPr>
          <w:p w14:paraId="5A4529BD" w14:textId="689BC9EF" w:rsidR="00C87F19" w:rsidRPr="00C40790" w:rsidRDefault="00FD71AD" w:rsidP="00AC7DC6">
            <w:pPr>
              <w:rPr>
                <w:rFonts w:cs="Times New Roman"/>
                <w:sz w:val="22"/>
              </w:rPr>
            </w:pPr>
            <w:r w:rsidRPr="00C40790">
              <w:rPr>
                <w:rFonts w:cs="Times New Roman"/>
                <w:sz w:val="22"/>
              </w:rPr>
              <w:t>Prob.</w:t>
            </w:r>
          </w:p>
        </w:tc>
        <w:tc>
          <w:tcPr>
            <w:tcW w:w="1057" w:type="pct"/>
          </w:tcPr>
          <w:p w14:paraId="1B7A1552" w14:textId="0BC1582F" w:rsidR="00C87F19" w:rsidRPr="00C40790" w:rsidRDefault="00FD71AD" w:rsidP="00AC7DC6">
            <w:pPr>
              <w:rPr>
                <w:rFonts w:cs="Times New Roman"/>
                <w:sz w:val="22"/>
              </w:rPr>
            </w:pPr>
            <w:r w:rsidRPr="00C40790">
              <w:rPr>
                <w:rFonts w:cs="Times New Roman"/>
                <w:sz w:val="22"/>
              </w:rPr>
              <w:t xml:space="preserve">Decision </w:t>
            </w:r>
          </w:p>
        </w:tc>
      </w:tr>
      <w:tr w:rsidR="002C384B" w14:paraId="40397119" w14:textId="77777777" w:rsidTr="00C87F19">
        <w:tc>
          <w:tcPr>
            <w:tcW w:w="1280" w:type="pct"/>
          </w:tcPr>
          <w:p w14:paraId="0C6CD654" w14:textId="39B940DB" w:rsidR="00C87F19" w:rsidRPr="00C40790" w:rsidRDefault="00FD71AD" w:rsidP="00AC7DC6">
            <w:pPr>
              <w:rPr>
                <w:rFonts w:cs="Times New Roman"/>
                <w:sz w:val="22"/>
              </w:rPr>
            </w:pPr>
            <w:r w:rsidRPr="00C40790">
              <w:rPr>
                <w:rFonts w:cs="Times New Roman"/>
                <w:sz w:val="22"/>
              </w:rPr>
              <w:t>Panel v-Statistic</w:t>
            </w:r>
          </w:p>
        </w:tc>
        <w:tc>
          <w:tcPr>
            <w:tcW w:w="896" w:type="pct"/>
          </w:tcPr>
          <w:p w14:paraId="466717F3" w14:textId="4FC324ED" w:rsidR="00C87F19" w:rsidRPr="00C40790" w:rsidRDefault="00FD71AD" w:rsidP="00AC7DC6">
            <w:pPr>
              <w:rPr>
                <w:rFonts w:cs="Times New Roman"/>
                <w:sz w:val="22"/>
              </w:rPr>
            </w:pPr>
            <w:r w:rsidRPr="00C40790">
              <w:rPr>
                <w:rFonts w:cs="Times New Roman"/>
                <w:sz w:val="22"/>
              </w:rPr>
              <w:t xml:space="preserve"> 0.6566</w:t>
            </w:r>
          </w:p>
        </w:tc>
        <w:tc>
          <w:tcPr>
            <w:tcW w:w="539" w:type="pct"/>
          </w:tcPr>
          <w:p w14:paraId="7C0EB165" w14:textId="2DAFAD5E" w:rsidR="00C87F19" w:rsidRPr="00C40790" w:rsidRDefault="00FD71AD" w:rsidP="00AC7DC6">
            <w:pPr>
              <w:rPr>
                <w:rFonts w:cs="Times New Roman"/>
                <w:sz w:val="22"/>
              </w:rPr>
            </w:pPr>
            <w:r w:rsidRPr="00C40790">
              <w:rPr>
                <w:rFonts w:cs="Times New Roman"/>
                <w:sz w:val="22"/>
              </w:rPr>
              <w:t xml:space="preserve"> 0.2557</w:t>
            </w:r>
          </w:p>
        </w:tc>
        <w:tc>
          <w:tcPr>
            <w:tcW w:w="689" w:type="pct"/>
          </w:tcPr>
          <w:p w14:paraId="5AB87403" w14:textId="41878BB5" w:rsidR="00C87F19" w:rsidRPr="00C40790" w:rsidRDefault="00FD71AD" w:rsidP="00AC7DC6">
            <w:pPr>
              <w:rPr>
                <w:rFonts w:cs="Times New Roman"/>
                <w:sz w:val="22"/>
              </w:rPr>
            </w:pPr>
            <w:r w:rsidRPr="00C40790">
              <w:rPr>
                <w:rFonts w:cs="Times New Roman"/>
                <w:sz w:val="22"/>
              </w:rPr>
              <w:t>-3.0009</w:t>
            </w:r>
          </w:p>
        </w:tc>
        <w:tc>
          <w:tcPr>
            <w:tcW w:w="539" w:type="pct"/>
          </w:tcPr>
          <w:p w14:paraId="71478EE6" w14:textId="15406490" w:rsidR="00C87F19" w:rsidRPr="00C40790" w:rsidRDefault="00FD71AD" w:rsidP="00AC7DC6">
            <w:pPr>
              <w:rPr>
                <w:rFonts w:cs="Times New Roman"/>
                <w:sz w:val="22"/>
              </w:rPr>
            </w:pPr>
            <w:r w:rsidRPr="00C40790">
              <w:rPr>
                <w:rFonts w:cs="Times New Roman"/>
                <w:sz w:val="22"/>
              </w:rPr>
              <w:t xml:space="preserve"> 0.9987</w:t>
            </w:r>
          </w:p>
        </w:tc>
        <w:tc>
          <w:tcPr>
            <w:tcW w:w="1057" w:type="pct"/>
          </w:tcPr>
          <w:p w14:paraId="3AE36228" w14:textId="0DA606E4" w:rsidR="00C87F19" w:rsidRPr="00C40790" w:rsidRDefault="00FD71AD" w:rsidP="00AC7DC6">
            <w:pPr>
              <w:rPr>
                <w:rFonts w:cs="Times New Roman"/>
                <w:sz w:val="22"/>
              </w:rPr>
            </w:pPr>
            <w:r w:rsidRPr="00C40790">
              <w:rPr>
                <w:rFonts w:cs="Times New Roman"/>
                <w:sz w:val="22"/>
              </w:rPr>
              <w:t xml:space="preserve">No cointegration </w:t>
            </w:r>
          </w:p>
        </w:tc>
      </w:tr>
      <w:tr w:rsidR="002C384B" w14:paraId="77203803" w14:textId="77777777" w:rsidTr="00C87F19">
        <w:tc>
          <w:tcPr>
            <w:tcW w:w="1280" w:type="pct"/>
          </w:tcPr>
          <w:p w14:paraId="76B49A61" w14:textId="12F9E8A1" w:rsidR="00C87F19" w:rsidRPr="00C40790" w:rsidRDefault="00FD71AD" w:rsidP="00AC7DC6">
            <w:pPr>
              <w:rPr>
                <w:rFonts w:cs="Times New Roman"/>
                <w:sz w:val="22"/>
              </w:rPr>
            </w:pPr>
            <w:r w:rsidRPr="00C40790">
              <w:rPr>
                <w:rFonts w:cs="Times New Roman"/>
                <w:sz w:val="22"/>
              </w:rPr>
              <w:t>Panel rho-Statistic</w:t>
            </w:r>
          </w:p>
        </w:tc>
        <w:tc>
          <w:tcPr>
            <w:tcW w:w="896" w:type="pct"/>
          </w:tcPr>
          <w:p w14:paraId="09937453" w14:textId="375341B6" w:rsidR="00C87F19" w:rsidRPr="00C40790" w:rsidRDefault="00FD71AD" w:rsidP="00AC7DC6">
            <w:pPr>
              <w:rPr>
                <w:rFonts w:cs="Times New Roman"/>
                <w:sz w:val="22"/>
              </w:rPr>
            </w:pPr>
            <w:r w:rsidRPr="00C40790">
              <w:rPr>
                <w:rFonts w:cs="Times New Roman"/>
                <w:sz w:val="22"/>
              </w:rPr>
              <w:t>-7.0380***</w:t>
            </w:r>
          </w:p>
        </w:tc>
        <w:tc>
          <w:tcPr>
            <w:tcW w:w="539" w:type="pct"/>
          </w:tcPr>
          <w:p w14:paraId="78E25C01" w14:textId="64BBECD6" w:rsidR="00C87F19" w:rsidRPr="00C40790" w:rsidRDefault="00FD71AD" w:rsidP="00AC7DC6">
            <w:pPr>
              <w:rPr>
                <w:rFonts w:cs="Times New Roman"/>
                <w:sz w:val="22"/>
              </w:rPr>
            </w:pPr>
            <w:r w:rsidRPr="00C40790">
              <w:rPr>
                <w:rFonts w:cs="Times New Roman"/>
                <w:sz w:val="22"/>
              </w:rPr>
              <w:t xml:space="preserve"> 0.0000</w:t>
            </w:r>
          </w:p>
        </w:tc>
        <w:tc>
          <w:tcPr>
            <w:tcW w:w="689" w:type="pct"/>
          </w:tcPr>
          <w:p w14:paraId="1EF099FC" w14:textId="1F9F086E" w:rsidR="00C87F19" w:rsidRPr="00C40790" w:rsidRDefault="00FD71AD" w:rsidP="00AC7DC6">
            <w:pPr>
              <w:rPr>
                <w:rFonts w:cs="Times New Roman"/>
                <w:sz w:val="22"/>
              </w:rPr>
            </w:pPr>
            <w:r w:rsidRPr="00C40790">
              <w:rPr>
                <w:rFonts w:cs="Times New Roman"/>
                <w:sz w:val="22"/>
              </w:rPr>
              <w:t>-3.9261</w:t>
            </w:r>
          </w:p>
        </w:tc>
        <w:tc>
          <w:tcPr>
            <w:tcW w:w="539" w:type="pct"/>
          </w:tcPr>
          <w:p w14:paraId="0F5029B3" w14:textId="0E5B2E17" w:rsidR="00C87F19" w:rsidRPr="00C40790" w:rsidRDefault="00FD71AD" w:rsidP="00AC7DC6">
            <w:pPr>
              <w:rPr>
                <w:rFonts w:cs="Times New Roman"/>
                <w:sz w:val="22"/>
              </w:rPr>
            </w:pPr>
            <w:r w:rsidRPr="00C40790">
              <w:rPr>
                <w:rFonts w:cs="Times New Roman"/>
                <w:sz w:val="22"/>
              </w:rPr>
              <w:t xml:space="preserve"> 0.0000</w:t>
            </w:r>
          </w:p>
        </w:tc>
        <w:tc>
          <w:tcPr>
            <w:tcW w:w="1057" w:type="pct"/>
          </w:tcPr>
          <w:p w14:paraId="1FF4384A" w14:textId="303EB2B2" w:rsidR="00C87F19" w:rsidRPr="00C40790" w:rsidRDefault="00FD71AD" w:rsidP="00AC7DC6">
            <w:pPr>
              <w:rPr>
                <w:rFonts w:cs="Times New Roman"/>
                <w:sz w:val="22"/>
              </w:rPr>
            </w:pPr>
            <w:r w:rsidRPr="00C40790">
              <w:rPr>
                <w:rFonts w:cs="Times New Roman"/>
                <w:sz w:val="22"/>
              </w:rPr>
              <w:t xml:space="preserve">cointegration </w:t>
            </w:r>
          </w:p>
        </w:tc>
      </w:tr>
      <w:tr w:rsidR="002C384B" w14:paraId="082E2C04" w14:textId="77777777" w:rsidTr="00C87F19">
        <w:tc>
          <w:tcPr>
            <w:tcW w:w="1280" w:type="pct"/>
          </w:tcPr>
          <w:p w14:paraId="2A11AFB8" w14:textId="185E1E84" w:rsidR="00C87F19" w:rsidRPr="00C40790" w:rsidRDefault="00FD71AD" w:rsidP="00AC7DC6">
            <w:pPr>
              <w:rPr>
                <w:rFonts w:cs="Times New Roman"/>
                <w:sz w:val="22"/>
              </w:rPr>
            </w:pPr>
            <w:r w:rsidRPr="00C40790">
              <w:rPr>
                <w:rFonts w:cs="Times New Roman"/>
                <w:sz w:val="22"/>
              </w:rPr>
              <w:t>Panel PP-Statistic</w:t>
            </w:r>
          </w:p>
        </w:tc>
        <w:tc>
          <w:tcPr>
            <w:tcW w:w="896" w:type="pct"/>
          </w:tcPr>
          <w:p w14:paraId="038EFD97" w14:textId="100CC0DB" w:rsidR="00C87F19" w:rsidRPr="00C40790" w:rsidRDefault="00FD71AD" w:rsidP="00AC7DC6">
            <w:pPr>
              <w:rPr>
                <w:rFonts w:cs="Times New Roman"/>
                <w:sz w:val="22"/>
              </w:rPr>
            </w:pPr>
            <w:r w:rsidRPr="00C40790">
              <w:rPr>
                <w:rFonts w:cs="Times New Roman"/>
                <w:sz w:val="22"/>
              </w:rPr>
              <w:t>-26.2031***</w:t>
            </w:r>
          </w:p>
        </w:tc>
        <w:tc>
          <w:tcPr>
            <w:tcW w:w="539" w:type="pct"/>
          </w:tcPr>
          <w:p w14:paraId="1FA331DF" w14:textId="3C8B7DC5" w:rsidR="00C87F19" w:rsidRPr="00C40790" w:rsidRDefault="00FD71AD" w:rsidP="00AC7DC6">
            <w:pPr>
              <w:rPr>
                <w:rFonts w:cs="Times New Roman"/>
                <w:sz w:val="22"/>
              </w:rPr>
            </w:pPr>
            <w:r w:rsidRPr="00C40790">
              <w:rPr>
                <w:rFonts w:cs="Times New Roman"/>
                <w:sz w:val="22"/>
              </w:rPr>
              <w:t xml:space="preserve"> 0.0000</w:t>
            </w:r>
          </w:p>
        </w:tc>
        <w:tc>
          <w:tcPr>
            <w:tcW w:w="689" w:type="pct"/>
          </w:tcPr>
          <w:p w14:paraId="52BCEB56" w14:textId="33132C1E" w:rsidR="00C87F19" w:rsidRPr="00C40790" w:rsidRDefault="00FD71AD" w:rsidP="00AC7DC6">
            <w:pPr>
              <w:rPr>
                <w:rFonts w:cs="Times New Roman"/>
                <w:sz w:val="22"/>
              </w:rPr>
            </w:pPr>
            <w:r w:rsidRPr="00C40790">
              <w:rPr>
                <w:rFonts w:cs="Times New Roman"/>
                <w:sz w:val="22"/>
              </w:rPr>
              <w:t>-15.5911</w:t>
            </w:r>
          </w:p>
        </w:tc>
        <w:tc>
          <w:tcPr>
            <w:tcW w:w="539" w:type="pct"/>
          </w:tcPr>
          <w:p w14:paraId="349D2C57" w14:textId="09B702FC" w:rsidR="00C87F19" w:rsidRPr="00C40790" w:rsidRDefault="00FD71AD" w:rsidP="00AC7DC6">
            <w:pPr>
              <w:rPr>
                <w:rFonts w:cs="Times New Roman"/>
                <w:sz w:val="22"/>
              </w:rPr>
            </w:pPr>
            <w:r w:rsidRPr="00C40790">
              <w:rPr>
                <w:rFonts w:cs="Times New Roman"/>
                <w:sz w:val="22"/>
              </w:rPr>
              <w:t xml:space="preserve"> 0.0000</w:t>
            </w:r>
          </w:p>
        </w:tc>
        <w:tc>
          <w:tcPr>
            <w:tcW w:w="1057" w:type="pct"/>
          </w:tcPr>
          <w:p w14:paraId="7945DCA2" w14:textId="4693EB8E" w:rsidR="00C87F19" w:rsidRPr="00C40790" w:rsidRDefault="00FD71AD" w:rsidP="00AC7DC6">
            <w:pPr>
              <w:rPr>
                <w:rFonts w:cs="Times New Roman"/>
                <w:sz w:val="22"/>
              </w:rPr>
            </w:pPr>
            <w:r w:rsidRPr="00C40790">
              <w:rPr>
                <w:rFonts w:cs="Times New Roman"/>
                <w:sz w:val="22"/>
              </w:rPr>
              <w:t xml:space="preserve">cointegration </w:t>
            </w:r>
          </w:p>
        </w:tc>
      </w:tr>
      <w:tr w:rsidR="002C384B" w14:paraId="58FDFC28" w14:textId="77777777" w:rsidTr="00C87F19">
        <w:tc>
          <w:tcPr>
            <w:tcW w:w="1280" w:type="pct"/>
          </w:tcPr>
          <w:p w14:paraId="6E5B3DFD" w14:textId="6DC56001" w:rsidR="00C87F19" w:rsidRPr="00C40790" w:rsidRDefault="00FD71AD" w:rsidP="00AC7DC6">
            <w:pPr>
              <w:rPr>
                <w:rFonts w:cs="Times New Roman"/>
                <w:sz w:val="22"/>
              </w:rPr>
            </w:pPr>
            <w:r w:rsidRPr="00C40790">
              <w:rPr>
                <w:rFonts w:cs="Times New Roman"/>
                <w:sz w:val="22"/>
              </w:rPr>
              <w:t>Panel ADF-Statistic</w:t>
            </w:r>
          </w:p>
        </w:tc>
        <w:tc>
          <w:tcPr>
            <w:tcW w:w="896" w:type="pct"/>
          </w:tcPr>
          <w:p w14:paraId="3D65F704" w14:textId="7FD62027" w:rsidR="00C87F19" w:rsidRPr="00C40790" w:rsidRDefault="00FD71AD" w:rsidP="00AC7DC6">
            <w:pPr>
              <w:rPr>
                <w:rFonts w:cs="Times New Roman"/>
                <w:sz w:val="22"/>
              </w:rPr>
            </w:pPr>
            <w:r w:rsidRPr="00C40790">
              <w:rPr>
                <w:rFonts w:cs="Times New Roman"/>
                <w:sz w:val="22"/>
              </w:rPr>
              <w:t>-4.5905***</w:t>
            </w:r>
          </w:p>
        </w:tc>
        <w:tc>
          <w:tcPr>
            <w:tcW w:w="539" w:type="pct"/>
          </w:tcPr>
          <w:p w14:paraId="0BC221B5" w14:textId="366B1704" w:rsidR="00C87F19" w:rsidRPr="00C40790" w:rsidRDefault="00FD71AD" w:rsidP="00AC7DC6">
            <w:pPr>
              <w:rPr>
                <w:rFonts w:cs="Times New Roman"/>
                <w:sz w:val="22"/>
              </w:rPr>
            </w:pPr>
            <w:r w:rsidRPr="00C40790">
              <w:rPr>
                <w:rFonts w:cs="Times New Roman"/>
                <w:sz w:val="22"/>
              </w:rPr>
              <w:t xml:space="preserve"> 0.0000</w:t>
            </w:r>
          </w:p>
        </w:tc>
        <w:tc>
          <w:tcPr>
            <w:tcW w:w="689" w:type="pct"/>
          </w:tcPr>
          <w:p w14:paraId="3193DAA5" w14:textId="1DBA6681" w:rsidR="00C87F19" w:rsidRPr="00C40790" w:rsidRDefault="00FD71AD" w:rsidP="00AC7DC6">
            <w:pPr>
              <w:rPr>
                <w:rFonts w:cs="Times New Roman"/>
                <w:sz w:val="22"/>
              </w:rPr>
            </w:pPr>
            <w:r w:rsidRPr="00C40790">
              <w:rPr>
                <w:rFonts w:cs="Times New Roman"/>
                <w:sz w:val="22"/>
              </w:rPr>
              <w:t>-5.9985</w:t>
            </w:r>
          </w:p>
        </w:tc>
        <w:tc>
          <w:tcPr>
            <w:tcW w:w="539" w:type="pct"/>
          </w:tcPr>
          <w:p w14:paraId="1037C722" w14:textId="5E346669" w:rsidR="00C87F19" w:rsidRPr="00C40790" w:rsidRDefault="00FD71AD" w:rsidP="00AC7DC6">
            <w:pPr>
              <w:rPr>
                <w:rFonts w:cs="Times New Roman"/>
                <w:sz w:val="22"/>
              </w:rPr>
            </w:pPr>
            <w:r w:rsidRPr="00C40790">
              <w:rPr>
                <w:rFonts w:cs="Times New Roman"/>
                <w:sz w:val="22"/>
              </w:rPr>
              <w:t xml:space="preserve"> 0.0000</w:t>
            </w:r>
          </w:p>
        </w:tc>
        <w:tc>
          <w:tcPr>
            <w:tcW w:w="1057" w:type="pct"/>
          </w:tcPr>
          <w:p w14:paraId="77CEF0EF" w14:textId="49E62E6F" w:rsidR="00C87F19" w:rsidRPr="00C40790" w:rsidRDefault="00FD71AD" w:rsidP="00AC7DC6">
            <w:pPr>
              <w:rPr>
                <w:rFonts w:cs="Times New Roman"/>
                <w:sz w:val="22"/>
              </w:rPr>
            </w:pPr>
            <w:r w:rsidRPr="00C40790">
              <w:rPr>
                <w:rFonts w:cs="Times New Roman"/>
                <w:sz w:val="22"/>
              </w:rPr>
              <w:t xml:space="preserve">cointegration </w:t>
            </w:r>
          </w:p>
        </w:tc>
      </w:tr>
      <w:tr w:rsidR="002C384B" w14:paraId="51A5128E" w14:textId="77777777" w:rsidTr="00C87F19">
        <w:tc>
          <w:tcPr>
            <w:tcW w:w="1280" w:type="pct"/>
          </w:tcPr>
          <w:p w14:paraId="22BF63C6" w14:textId="77777777" w:rsidR="00C87F19" w:rsidRPr="00C40790" w:rsidRDefault="00C87F19" w:rsidP="00AC7DC6">
            <w:pPr>
              <w:rPr>
                <w:rFonts w:cs="Times New Roman"/>
                <w:sz w:val="22"/>
              </w:rPr>
            </w:pPr>
          </w:p>
        </w:tc>
        <w:tc>
          <w:tcPr>
            <w:tcW w:w="896" w:type="pct"/>
          </w:tcPr>
          <w:p w14:paraId="23636338" w14:textId="77777777" w:rsidR="00C87F19" w:rsidRPr="00C40790" w:rsidRDefault="00C87F19" w:rsidP="00AC7DC6">
            <w:pPr>
              <w:rPr>
                <w:rFonts w:cs="Times New Roman"/>
                <w:sz w:val="22"/>
              </w:rPr>
            </w:pPr>
          </w:p>
        </w:tc>
        <w:tc>
          <w:tcPr>
            <w:tcW w:w="539" w:type="pct"/>
          </w:tcPr>
          <w:p w14:paraId="36E22F57" w14:textId="77777777" w:rsidR="00C87F19" w:rsidRPr="00C40790" w:rsidRDefault="00C87F19" w:rsidP="00AC7DC6">
            <w:pPr>
              <w:rPr>
                <w:rFonts w:cs="Times New Roman"/>
                <w:sz w:val="22"/>
              </w:rPr>
            </w:pPr>
          </w:p>
        </w:tc>
        <w:tc>
          <w:tcPr>
            <w:tcW w:w="689" w:type="pct"/>
          </w:tcPr>
          <w:p w14:paraId="1E3EE7D6" w14:textId="77777777" w:rsidR="00C87F19" w:rsidRPr="00C40790" w:rsidRDefault="00C87F19" w:rsidP="00AC7DC6">
            <w:pPr>
              <w:rPr>
                <w:rFonts w:cs="Times New Roman"/>
                <w:sz w:val="22"/>
              </w:rPr>
            </w:pPr>
          </w:p>
        </w:tc>
        <w:tc>
          <w:tcPr>
            <w:tcW w:w="539" w:type="pct"/>
          </w:tcPr>
          <w:p w14:paraId="6E50BE4D" w14:textId="77777777" w:rsidR="00C87F19" w:rsidRPr="00C40790" w:rsidRDefault="00C87F19" w:rsidP="00AC7DC6">
            <w:pPr>
              <w:rPr>
                <w:rFonts w:cs="Times New Roman"/>
                <w:sz w:val="22"/>
              </w:rPr>
            </w:pPr>
          </w:p>
        </w:tc>
        <w:tc>
          <w:tcPr>
            <w:tcW w:w="1057" w:type="pct"/>
          </w:tcPr>
          <w:p w14:paraId="12C60471" w14:textId="1E90377C" w:rsidR="00C87F19" w:rsidRPr="00C40790" w:rsidRDefault="00C87F19" w:rsidP="00AC7DC6">
            <w:pPr>
              <w:rPr>
                <w:rFonts w:cs="Times New Roman"/>
                <w:sz w:val="22"/>
              </w:rPr>
            </w:pPr>
          </w:p>
        </w:tc>
      </w:tr>
      <w:tr w:rsidR="002C384B" w14:paraId="59DF48C9" w14:textId="77777777" w:rsidTr="00C87F19">
        <w:tc>
          <w:tcPr>
            <w:tcW w:w="1280" w:type="pct"/>
            <w:vAlign w:val="bottom"/>
          </w:tcPr>
          <w:p w14:paraId="6A493836" w14:textId="161B4C55" w:rsidR="00C87F19" w:rsidRPr="00C40790" w:rsidRDefault="00FD71AD" w:rsidP="00AC7DC6">
            <w:pPr>
              <w:rPr>
                <w:rFonts w:cs="Times New Roman"/>
                <w:sz w:val="22"/>
              </w:rPr>
            </w:pPr>
            <w:r w:rsidRPr="00C40790">
              <w:rPr>
                <w:rFonts w:cs="Times New Roman"/>
                <w:kern w:val="0"/>
                <w:sz w:val="22"/>
              </w:rPr>
              <w:t>Group rho-Statistic</w:t>
            </w:r>
          </w:p>
        </w:tc>
        <w:tc>
          <w:tcPr>
            <w:tcW w:w="896" w:type="pct"/>
            <w:vAlign w:val="bottom"/>
          </w:tcPr>
          <w:p w14:paraId="15FE6A81" w14:textId="13BC8F80" w:rsidR="00C87F19" w:rsidRPr="00C40790" w:rsidRDefault="00FD71AD" w:rsidP="00AC7DC6">
            <w:pPr>
              <w:rPr>
                <w:rFonts w:cs="Times New Roman"/>
                <w:sz w:val="22"/>
              </w:rPr>
            </w:pPr>
            <w:r w:rsidRPr="00C40790">
              <w:rPr>
                <w:rFonts w:cs="Times New Roman"/>
                <w:kern w:val="0"/>
                <w:sz w:val="22"/>
              </w:rPr>
              <w:t>-0.6147</w:t>
            </w:r>
          </w:p>
        </w:tc>
        <w:tc>
          <w:tcPr>
            <w:tcW w:w="539" w:type="pct"/>
            <w:vAlign w:val="bottom"/>
          </w:tcPr>
          <w:p w14:paraId="5C488624" w14:textId="70889078" w:rsidR="00C87F19" w:rsidRPr="00C40790" w:rsidRDefault="00FD71AD" w:rsidP="00AC7DC6">
            <w:pPr>
              <w:rPr>
                <w:rFonts w:cs="Times New Roman"/>
                <w:sz w:val="22"/>
              </w:rPr>
            </w:pPr>
            <w:r w:rsidRPr="00C40790">
              <w:rPr>
                <w:rFonts w:cs="Times New Roman"/>
                <w:kern w:val="0"/>
                <w:sz w:val="22"/>
              </w:rPr>
              <w:t> 0.2694</w:t>
            </w:r>
          </w:p>
        </w:tc>
        <w:tc>
          <w:tcPr>
            <w:tcW w:w="689" w:type="pct"/>
          </w:tcPr>
          <w:p w14:paraId="654F0485" w14:textId="77777777" w:rsidR="00C87F19" w:rsidRPr="00C40790" w:rsidRDefault="00C87F19" w:rsidP="00AC7DC6">
            <w:pPr>
              <w:rPr>
                <w:rFonts w:cs="Times New Roman"/>
                <w:sz w:val="22"/>
              </w:rPr>
            </w:pPr>
          </w:p>
        </w:tc>
        <w:tc>
          <w:tcPr>
            <w:tcW w:w="539" w:type="pct"/>
          </w:tcPr>
          <w:p w14:paraId="236D3C4F" w14:textId="77777777" w:rsidR="00C87F19" w:rsidRPr="00C40790" w:rsidRDefault="00C87F19" w:rsidP="00AC7DC6">
            <w:pPr>
              <w:rPr>
                <w:rFonts w:cs="Times New Roman"/>
                <w:sz w:val="22"/>
              </w:rPr>
            </w:pPr>
          </w:p>
        </w:tc>
        <w:tc>
          <w:tcPr>
            <w:tcW w:w="1057" w:type="pct"/>
          </w:tcPr>
          <w:p w14:paraId="52672410" w14:textId="60A46C54" w:rsidR="00C87F19" w:rsidRPr="00C40790" w:rsidRDefault="00FD71AD" w:rsidP="00AC7DC6">
            <w:pPr>
              <w:rPr>
                <w:rFonts w:cs="Times New Roman"/>
                <w:sz w:val="22"/>
              </w:rPr>
            </w:pPr>
            <w:r w:rsidRPr="00C40790">
              <w:rPr>
                <w:rFonts w:cs="Times New Roman"/>
                <w:sz w:val="22"/>
              </w:rPr>
              <w:t xml:space="preserve">No cointegration </w:t>
            </w:r>
          </w:p>
        </w:tc>
      </w:tr>
      <w:tr w:rsidR="002C384B" w14:paraId="15123D6F" w14:textId="77777777" w:rsidTr="00C87F19">
        <w:tc>
          <w:tcPr>
            <w:tcW w:w="1280" w:type="pct"/>
            <w:vAlign w:val="bottom"/>
          </w:tcPr>
          <w:p w14:paraId="6D714756" w14:textId="421B431B" w:rsidR="00C87F19" w:rsidRPr="00C40790" w:rsidRDefault="00FD71AD" w:rsidP="00AC7DC6">
            <w:pPr>
              <w:rPr>
                <w:rFonts w:cs="Times New Roman"/>
                <w:sz w:val="22"/>
              </w:rPr>
            </w:pPr>
            <w:r w:rsidRPr="00C40790">
              <w:rPr>
                <w:rFonts w:cs="Times New Roman"/>
                <w:kern w:val="0"/>
                <w:sz w:val="22"/>
              </w:rPr>
              <w:t>Group PP-Statistic</w:t>
            </w:r>
          </w:p>
        </w:tc>
        <w:tc>
          <w:tcPr>
            <w:tcW w:w="896" w:type="pct"/>
            <w:vAlign w:val="bottom"/>
          </w:tcPr>
          <w:p w14:paraId="2DCA9E90" w14:textId="43D9DF17" w:rsidR="00C87F19" w:rsidRPr="00C40790" w:rsidRDefault="00FD71AD" w:rsidP="00AC7DC6">
            <w:pPr>
              <w:rPr>
                <w:rFonts w:cs="Times New Roman"/>
                <w:sz w:val="22"/>
              </w:rPr>
            </w:pPr>
            <w:r w:rsidRPr="00C40790">
              <w:rPr>
                <w:rFonts w:cs="Times New Roman"/>
                <w:kern w:val="0"/>
                <w:sz w:val="22"/>
              </w:rPr>
              <w:t>-22.7690***</w:t>
            </w:r>
          </w:p>
        </w:tc>
        <w:tc>
          <w:tcPr>
            <w:tcW w:w="539" w:type="pct"/>
            <w:vAlign w:val="bottom"/>
          </w:tcPr>
          <w:p w14:paraId="5131B894" w14:textId="75879099" w:rsidR="00C87F19" w:rsidRPr="00C40790" w:rsidRDefault="00FD71AD" w:rsidP="00AC7DC6">
            <w:pPr>
              <w:rPr>
                <w:rFonts w:cs="Times New Roman"/>
                <w:sz w:val="22"/>
              </w:rPr>
            </w:pPr>
            <w:r w:rsidRPr="00C40790">
              <w:rPr>
                <w:rFonts w:cs="Times New Roman"/>
                <w:kern w:val="0"/>
                <w:sz w:val="22"/>
              </w:rPr>
              <w:t> 0.0000</w:t>
            </w:r>
          </w:p>
        </w:tc>
        <w:tc>
          <w:tcPr>
            <w:tcW w:w="689" w:type="pct"/>
          </w:tcPr>
          <w:p w14:paraId="7B82DD6E" w14:textId="77777777" w:rsidR="00C87F19" w:rsidRPr="00C40790" w:rsidRDefault="00C87F19" w:rsidP="00AC7DC6">
            <w:pPr>
              <w:rPr>
                <w:rFonts w:cs="Times New Roman"/>
                <w:sz w:val="22"/>
              </w:rPr>
            </w:pPr>
          </w:p>
        </w:tc>
        <w:tc>
          <w:tcPr>
            <w:tcW w:w="539" w:type="pct"/>
          </w:tcPr>
          <w:p w14:paraId="6675B2BB" w14:textId="77777777" w:rsidR="00C87F19" w:rsidRPr="00C40790" w:rsidRDefault="00C87F19" w:rsidP="00AC7DC6">
            <w:pPr>
              <w:rPr>
                <w:rFonts w:cs="Times New Roman"/>
                <w:sz w:val="22"/>
              </w:rPr>
            </w:pPr>
          </w:p>
        </w:tc>
        <w:tc>
          <w:tcPr>
            <w:tcW w:w="1057" w:type="pct"/>
          </w:tcPr>
          <w:p w14:paraId="2F8B7B9F" w14:textId="47A989D3" w:rsidR="00C87F19" w:rsidRPr="00C40790" w:rsidRDefault="00FD71AD" w:rsidP="00AC7DC6">
            <w:pPr>
              <w:rPr>
                <w:rFonts w:cs="Times New Roman"/>
                <w:sz w:val="22"/>
              </w:rPr>
            </w:pPr>
            <w:r w:rsidRPr="00C40790">
              <w:rPr>
                <w:rFonts w:cs="Times New Roman"/>
                <w:sz w:val="22"/>
              </w:rPr>
              <w:t xml:space="preserve">cointegration </w:t>
            </w:r>
          </w:p>
        </w:tc>
      </w:tr>
      <w:tr w:rsidR="002C384B" w14:paraId="451AA82F" w14:textId="77777777" w:rsidTr="00C87F19">
        <w:tc>
          <w:tcPr>
            <w:tcW w:w="1280" w:type="pct"/>
            <w:vAlign w:val="bottom"/>
          </w:tcPr>
          <w:p w14:paraId="35B3C85D" w14:textId="6CC328F4" w:rsidR="00C87F19" w:rsidRPr="00C40790" w:rsidRDefault="00FD71AD" w:rsidP="00AC7DC6">
            <w:pPr>
              <w:rPr>
                <w:rFonts w:cs="Times New Roman"/>
                <w:sz w:val="22"/>
              </w:rPr>
            </w:pPr>
            <w:r w:rsidRPr="00C40790">
              <w:rPr>
                <w:rFonts w:cs="Times New Roman"/>
                <w:kern w:val="0"/>
                <w:sz w:val="22"/>
              </w:rPr>
              <w:t>Group ADF-Statistic</w:t>
            </w:r>
          </w:p>
        </w:tc>
        <w:tc>
          <w:tcPr>
            <w:tcW w:w="896" w:type="pct"/>
            <w:vAlign w:val="bottom"/>
          </w:tcPr>
          <w:p w14:paraId="4D1A5620" w14:textId="4CA8E334" w:rsidR="00C87F19" w:rsidRPr="00C40790" w:rsidRDefault="00FD71AD" w:rsidP="00AC7DC6">
            <w:pPr>
              <w:rPr>
                <w:rFonts w:cs="Times New Roman"/>
                <w:sz w:val="22"/>
              </w:rPr>
            </w:pPr>
            <w:r w:rsidRPr="00C40790">
              <w:rPr>
                <w:rFonts w:cs="Times New Roman"/>
                <w:kern w:val="0"/>
                <w:sz w:val="22"/>
              </w:rPr>
              <w:t>-7.3175***</w:t>
            </w:r>
          </w:p>
        </w:tc>
        <w:tc>
          <w:tcPr>
            <w:tcW w:w="539" w:type="pct"/>
            <w:vAlign w:val="bottom"/>
          </w:tcPr>
          <w:p w14:paraId="0666E843" w14:textId="25405709" w:rsidR="00C87F19" w:rsidRPr="00C40790" w:rsidRDefault="00FD71AD" w:rsidP="00AC7DC6">
            <w:pPr>
              <w:rPr>
                <w:rFonts w:cs="Times New Roman"/>
                <w:sz w:val="22"/>
              </w:rPr>
            </w:pPr>
            <w:r w:rsidRPr="00C40790">
              <w:rPr>
                <w:rFonts w:cs="Times New Roman"/>
                <w:kern w:val="0"/>
                <w:sz w:val="22"/>
              </w:rPr>
              <w:t> 0.0000</w:t>
            </w:r>
          </w:p>
        </w:tc>
        <w:tc>
          <w:tcPr>
            <w:tcW w:w="689" w:type="pct"/>
          </w:tcPr>
          <w:p w14:paraId="34E915A0" w14:textId="77777777" w:rsidR="00C87F19" w:rsidRPr="00C40790" w:rsidRDefault="00C87F19" w:rsidP="00AC7DC6">
            <w:pPr>
              <w:rPr>
                <w:rFonts w:cs="Times New Roman"/>
                <w:sz w:val="22"/>
              </w:rPr>
            </w:pPr>
          </w:p>
        </w:tc>
        <w:tc>
          <w:tcPr>
            <w:tcW w:w="539" w:type="pct"/>
          </w:tcPr>
          <w:p w14:paraId="6CEF794F" w14:textId="77777777" w:rsidR="00C87F19" w:rsidRPr="00C40790" w:rsidRDefault="00C87F19" w:rsidP="00AC7DC6">
            <w:pPr>
              <w:rPr>
                <w:rFonts w:cs="Times New Roman"/>
                <w:sz w:val="22"/>
              </w:rPr>
            </w:pPr>
          </w:p>
        </w:tc>
        <w:tc>
          <w:tcPr>
            <w:tcW w:w="1057" w:type="pct"/>
          </w:tcPr>
          <w:p w14:paraId="3A6EBB77" w14:textId="3BEE9567" w:rsidR="00C87F19" w:rsidRPr="00C40790" w:rsidRDefault="00FD71AD" w:rsidP="00AC7DC6">
            <w:pPr>
              <w:rPr>
                <w:rFonts w:cs="Times New Roman"/>
                <w:sz w:val="22"/>
              </w:rPr>
            </w:pPr>
            <w:r w:rsidRPr="00C40790">
              <w:rPr>
                <w:rFonts w:cs="Times New Roman"/>
                <w:sz w:val="22"/>
              </w:rPr>
              <w:t xml:space="preserve">cointegration </w:t>
            </w:r>
          </w:p>
        </w:tc>
      </w:tr>
      <w:tr w:rsidR="002C384B" w14:paraId="238C3261" w14:textId="77777777" w:rsidTr="00C87F19">
        <w:tc>
          <w:tcPr>
            <w:tcW w:w="5000" w:type="pct"/>
            <w:gridSpan w:val="6"/>
          </w:tcPr>
          <w:p w14:paraId="2B799A57" w14:textId="397BDFB5" w:rsidR="00C87F19" w:rsidRPr="00C40790" w:rsidRDefault="00FD71AD" w:rsidP="00AC7DC6">
            <w:pPr>
              <w:rPr>
                <w:rFonts w:cs="Times New Roman"/>
                <w:sz w:val="22"/>
              </w:rPr>
            </w:pPr>
            <w:r w:rsidRPr="00C40790">
              <w:rPr>
                <w:rFonts w:cs="Times New Roman"/>
                <w:sz w:val="22"/>
              </w:rPr>
              <w:t>Note:</w:t>
            </w:r>
            <w:r w:rsidR="007D4D58" w:rsidRPr="00C40790">
              <w:rPr>
                <w:rFonts w:cs="Times New Roman"/>
                <w:sz w:val="22"/>
              </w:rPr>
              <w:t xml:space="preserve"> </w:t>
            </w:r>
            <w:r w:rsidRPr="00C40790">
              <w:rPr>
                <w:rFonts w:cs="Times New Roman"/>
                <w:sz w:val="22"/>
              </w:rPr>
              <w:t xml:space="preserve">*** and ** </w:t>
            </w:r>
            <w:r w:rsidR="007D4D58" w:rsidRPr="00C40790">
              <w:rPr>
                <w:rFonts w:cs="Times New Roman"/>
                <w:sz w:val="22"/>
              </w:rPr>
              <w:t xml:space="preserve">significant </w:t>
            </w:r>
            <w:r w:rsidRPr="00C40790">
              <w:rPr>
                <w:rFonts w:cs="Times New Roman"/>
                <w:sz w:val="22"/>
              </w:rPr>
              <w:t xml:space="preserve">at a 1% and 5% level </w:t>
            </w:r>
          </w:p>
          <w:p w14:paraId="4F0F9321" w14:textId="4917F0CE" w:rsidR="00C87F19" w:rsidRPr="00C40790" w:rsidRDefault="00FD71AD" w:rsidP="00AC7DC6">
            <w:pPr>
              <w:rPr>
                <w:rFonts w:cs="Times New Roman"/>
                <w:sz w:val="22"/>
              </w:rPr>
            </w:pPr>
            <w:r w:rsidRPr="00C40790">
              <w:rPr>
                <w:rFonts w:cs="Times New Roman"/>
                <w:sz w:val="22"/>
              </w:rPr>
              <w:t>Null hypothesis: No cointegration</w:t>
            </w:r>
          </w:p>
        </w:tc>
      </w:tr>
    </w:tbl>
    <w:p w14:paraId="31AAEC5F" w14:textId="77777777" w:rsidR="003D60E9" w:rsidRPr="00C40790" w:rsidRDefault="003D60E9" w:rsidP="008D478F">
      <w:pPr>
        <w:spacing w:line="360" w:lineRule="auto"/>
        <w:rPr>
          <w:rFonts w:cs="Times New Roman"/>
          <w:sz w:val="22"/>
        </w:rPr>
      </w:pPr>
    </w:p>
    <w:p w14:paraId="6BA39A21" w14:textId="77777777" w:rsidR="002A485A" w:rsidRPr="00C40790" w:rsidRDefault="00FD71AD" w:rsidP="008D478F">
      <w:pPr>
        <w:spacing w:line="360" w:lineRule="auto"/>
        <w:rPr>
          <w:rFonts w:cs="Times New Roman"/>
          <w:sz w:val="22"/>
        </w:rPr>
      </w:pPr>
      <w:r w:rsidRPr="00C40790">
        <w:rPr>
          <w:rFonts w:cs="Times New Roman"/>
          <w:sz w:val="22"/>
        </w:rPr>
        <w:t xml:space="preserve">Five out of seven of </w:t>
      </w:r>
      <w:proofErr w:type="spellStart"/>
      <w:r w:rsidRPr="00C40790">
        <w:rPr>
          <w:rFonts w:cs="Times New Roman"/>
          <w:sz w:val="22"/>
        </w:rPr>
        <w:t>Pedroni's</w:t>
      </w:r>
      <w:proofErr w:type="spellEnd"/>
      <w:r w:rsidRPr="00C40790">
        <w:rPr>
          <w:rFonts w:cs="Times New Roman"/>
          <w:sz w:val="22"/>
        </w:rPr>
        <w:t xml:space="preserve"> statistics significantly reject the null hypothesis of no cointegration, as evidenced by the test results presented in Table 2. This indicates that population and economic growth are likely to move together in the long run. In other words, after controlling for country-specific variables, there remains a long-term steady-state correlation between these two variables within the panel of Kenyan counties. Given the established cointegration relationship, we can conclude that a long-run association exists between the two variables, despite their non-stationarity.</w:t>
      </w:r>
    </w:p>
    <w:p w14:paraId="3B6CEB7D" w14:textId="55B2EF4C" w:rsidR="00BC4B44" w:rsidRPr="00C40790" w:rsidRDefault="00FD71AD" w:rsidP="00BC4B44">
      <w:pPr>
        <w:spacing w:line="360" w:lineRule="auto"/>
        <w:rPr>
          <w:rFonts w:cs="Times New Roman"/>
          <w:b/>
          <w:bCs/>
          <w:sz w:val="22"/>
        </w:rPr>
      </w:pPr>
      <w:r w:rsidRPr="00C40790">
        <w:rPr>
          <w:rFonts w:cs="Times New Roman"/>
          <w:b/>
          <w:bCs/>
          <w:sz w:val="22"/>
        </w:rPr>
        <w:t xml:space="preserve">4.3 </w:t>
      </w:r>
      <w:r w:rsidR="00D5539E" w:rsidRPr="00C40790">
        <w:rPr>
          <w:rFonts w:cs="Times New Roman"/>
          <w:b/>
          <w:bCs/>
          <w:sz w:val="22"/>
        </w:rPr>
        <w:t xml:space="preserve">Panel </w:t>
      </w:r>
      <w:r w:rsidRPr="00C40790">
        <w:rPr>
          <w:rFonts w:cs="Times New Roman"/>
          <w:b/>
          <w:bCs/>
          <w:sz w:val="22"/>
        </w:rPr>
        <w:t>Causality Tests</w:t>
      </w:r>
    </w:p>
    <w:p w14:paraId="72601439" w14:textId="64DE1B11" w:rsidR="00BC4B44" w:rsidRDefault="00FD71AD" w:rsidP="008D478F">
      <w:pPr>
        <w:spacing w:line="360" w:lineRule="auto"/>
        <w:rPr>
          <w:rFonts w:cs="Times New Roman"/>
          <w:sz w:val="22"/>
        </w:rPr>
      </w:pPr>
      <w:bookmarkStart w:id="7" w:name="_Hlk191640692"/>
      <w:r w:rsidRPr="00C40790">
        <w:rPr>
          <w:rFonts w:cs="Times New Roman"/>
          <w:sz w:val="22"/>
        </w:rPr>
        <w:t xml:space="preserve">After establishing the long-run relationship among the study variables, the research advances to test for causality. </w:t>
      </w:r>
      <w:bookmarkStart w:id="8" w:name="_Hlk192231737"/>
      <w:r w:rsidRPr="00C40790">
        <w:rPr>
          <w:rFonts w:cs="Times New Roman"/>
          <w:sz w:val="22"/>
        </w:rPr>
        <w:t>The Generalized Method of Moments (GMM) was estimated, and the Wald test was utilized to assess causality.</w:t>
      </w:r>
      <w:bookmarkEnd w:id="8"/>
      <w:r w:rsidR="00A16D11" w:rsidRPr="00C40790">
        <w:rPr>
          <w:rFonts w:cs="Times New Roman"/>
          <w:sz w:val="22"/>
        </w:rPr>
        <w:t xml:space="preserve"> </w:t>
      </w:r>
      <w:r w:rsidRPr="00C40790">
        <w:rPr>
          <w:rFonts w:cs="Times New Roman"/>
          <w:sz w:val="22"/>
        </w:rPr>
        <w:t xml:space="preserve">The tests conducted to determine the appropriate lag length and suitable estimation instruments are summarized in the accompanying table. Initially, the optimal lag structure was identified using the Wald test, which rejected the hypothesis of no second lag in both the GCP and POP equations, supporting the use of two lag structures. Subsequently, the </w:t>
      </w:r>
      <w:proofErr w:type="spellStart"/>
      <w:r w:rsidRPr="00C40790">
        <w:rPr>
          <w:rFonts w:cs="Times New Roman"/>
          <w:sz w:val="22"/>
        </w:rPr>
        <w:t>Sargan</w:t>
      </w:r>
      <w:proofErr w:type="spellEnd"/>
      <w:r w:rsidRPr="00C40790">
        <w:rPr>
          <w:rFonts w:cs="Times New Roman"/>
          <w:sz w:val="22"/>
        </w:rPr>
        <w:t xml:space="preserve"> or J-test was employed to validate the choice of instruments in the estimation model. The computed p-values for the </w:t>
      </w:r>
      <w:proofErr w:type="spellStart"/>
      <w:r w:rsidRPr="00C40790">
        <w:rPr>
          <w:rFonts w:cs="Times New Roman"/>
          <w:sz w:val="22"/>
        </w:rPr>
        <w:t>Sargan</w:t>
      </w:r>
      <w:proofErr w:type="spellEnd"/>
      <w:r w:rsidRPr="00C40790">
        <w:rPr>
          <w:rFonts w:cs="Times New Roman"/>
          <w:sz w:val="22"/>
        </w:rPr>
        <w:t xml:space="preserve"> or J-test concerning the over-identifying restrictions in the GMM for the two models were 0.423 and 0.261, indicating that the models are appropriate, as optimal values fall between 0.20 and 0.30, thereby confirming the validity of the </w:t>
      </w:r>
      <w:r w:rsidRPr="00C40790">
        <w:rPr>
          <w:rFonts w:cs="Times New Roman"/>
          <w:sz w:val="22"/>
        </w:rPr>
        <w:lastRenderedPageBreak/>
        <w:t xml:space="preserve">over-identifying restrictions. The results of the Wald test and the estimated coefficients for the null hypothesis of no causation are </w:t>
      </w:r>
      <w:r w:rsidR="00D5539E" w:rsidRPr="00C40790">
        <w:rPr>
          <w:rFonts w:cs="Times New Roman"/>
          <w:sz w:val="22"/>
        </w:rPr>
        <w:t>shown</w:t>
      </w:r>
      <w:r w:rsidRPr="00C40790">
        <w:rPr>
          <w:rFonts w:cs="Times New Roman"/>
          <w:sz w:val="22"/>
        </w:rPr>
        <w:t xml:space="preserve"> in Table </w:t>
      </w:r>
      <w:r w:rsidR="00C043B7" w:rsidRPr="00C40790">
        <w:rPr>
          <w:rFonts w:cs="Times New Roman"/>
          <w:sz w:val="22"/>
        </w:rPr>
        <w:t>3</w:t>
      </w:r>
      <w:r w:rsidRPr="00C40790">
        <w:rPr>
          <w:rFonts w:cs="Times New Roman"/>
          <w:sz w:val="22"/>
        </w:rPr>
        <w:t>.</w:t>
      </w:r>
    </w:p>
    <w:p w14:paraId="17B0BBF4" w14:textId="77777777" w:rsidR="00F444C5" w:rsidRDefault="00F444C5" w:rsidP="008D478F">
      <w:pPr>
        <w:spacing w:line="360" w:lineRule="auto"/>
        <w:rPr>
          <w:rFonts w:cs="Times New Roman"/>
          <w:sz w:val="22"/>
        </w:rPr>
      </w:pPr>
    </w:p>
    <w:p w14:paraId="0D110964" w14:textId="77777777" w:rsidR="00F444C5" w:rsidRDefault="00F444C5" w:rsidP="008D478F">
      <w:pPr>
        <w:spacing w:line="360" w:lineRule="auto"/>
        <w:rPr>
          <w:rFonts w:cs="Times New Roman"/>
          <w:sz w:val="22"/>
        </w:rPr>
      </w:pPr>
    </w:p>
    <w:p w14:paraId="1C6D3DB1" w14:textId="77777777" w:rsidR="00F444C5" w:rsidRDefault="00F444C5" w:rsidP="008D478F">
      <w:pPr>
        <w:spacing w:line="360" w:lineRule="auto"/>
        <w:rPr>
          <w:rFonts w:cs="Times New Roman"/>
          <w:sz w:val="22"/>
        </w:rPr>
      </w:pPr>
    </w:p>
    <w:p w14:paraId="4937B53A" w14:textId="77777777" w:rsidR="00F444C5" w:rsidRPr="00C40790" w:rsidRDefault="00F444C5" w:rsidP="008D478F">
      <w:pPr>
        <w:spacing w:line="360" w:lineRule="auto"/>
        <w:rPr>
          <w:rFonts w:cs="Times New Roman"/>
          <w:sz w:val="22"/>
        </w:rPr>
      </w:pPr>
    </w:p>
    <w:p w14:paraId="3BD130E0" w14:textId="53731059" w:rsidR="00443DCD" w:rsidRPr="00C40790" w:rsidRDefault="00FD71AD" w:rsidP="008D478F">
      <w:pPr>
        <w:spacing w:line="360" w:lineRule="auto"/>
        <w:rPr>
          <w:rFonts w:cs="Times New Roman"/>
          <w:b/>
          <w:bCs/>
          <w:sz w:val="22"/>
        </w:rPr>
      </w:pPr>
      <w:r w:rsidRPr="00C40790">
        <w:rPr>
          <w:rFonts w:cs="Times New Roman"/>
          <w:b/>
          <w:bCs/>
          <w:sz w:val="22"/>
        </w:rPr>
        <w:t>Table</w:t>
      </w:r>
      <w:r w:rsidR="00A858D2" w:rsidRPr="00C40790">
        <w:rPr>
          <w:rFonts w:cs="Times New Roman"/>
          <w:b/>
          <w:bCs/>
          <w:sz w:val="22"/>
        </w:rPr>
        <w:t xml:space="preserve"> </w:t>
      </w:r>
      <w:r w:rsidR="00C043B7" w:rsidRPr="00C40790">
        <w:rPr>
          <w:rFonts w:cs="Times New Roman"/>
          <w:b/>
          <w:bCs/>
          <w:sz w:val="22"/>
        </w:rPr>
        <w:t>3</w:t>
      </w:r>
      <w:r w:rsidRPr="00C40790">
        <w:rPr>
          <w:rFonts w:cs="Times New Roman"/>
          <w:b/>
          <w:bCs/>
          <w:sz w:val="22"/>
        </w:rPr>
        <w:t xml:space="preserve">: </w:t>
      </w:r>
      <w:r w:rsidR="00D5539E" w:rsidRPr="00C40790">
        <w:rPr>
          <w:rFonts w:cs="Times New Roman"/>
          <w:b/>
          <w:bCs/>
          <w:sz w:val="22"/>
        </w:rPr>
        <w:t>Panel Causality</w:t>
      </w:r>
      <w:r w:rsidRPr="00C40790">
        <w:rPr>
          <w:rFonts w:cs="Times New Roman"/>
          <w:b/>
          <w:bCs/>
          <w:sz w:val="22"/>
        </w:rPr>
        <w:t xml:space="preserve"> </w:t>
      </w:r>
      <w:r w:rsidR="00D5539E" w:rsidRPr="00C40790">
        <w:rPr>
          <w:rFonts w:cs="Times New Roman"/>
          <w:b/>
          <w:bCs/>
          <w:sz w:val="22"/>
        </w:rPr>
        <w:t>R</w:t>
      </w:r>
      <w:r w:rsidRPr="00C40790">
        <w:rPr>
          <w:rFonts w:cs="Times New Roman"/>
          <w:b/>
          <w:bCs/>
          <w:sz w:val="22"/>
        </w:rPr>
        <w:t xml:space="preserve">esults </w:t>
      </w:r>
    </w:p>
    <w:tbl>
      <w:tblPr>
        <w:tblStyle w:val="TableGrid"/>
        <w:tblW w:w="5000" w:type="pct"/>
        <w:tblLook w:val="04A0" w:firstRow="1" w:lastRow="0" w:firstColumn="1" w:lastColumn="0" w:noHBand="0" w:noVBand="1"/>
      </w:tblPr>
      <w:tblGrid>
        <w:gridCol w:w="3184"/>
        <w:gridCol w:w="3084"/>
        <w:gridCol w:w="3082"/>
      </w:tblGrid>
      <w:tr w:rsidR="002C384B" w14:paraId="2165615E" w14:textId="77777777" w:rsidTr="00F444C5">
        <w:tc>
          <w:tcPr>
            <w:tcW w:w="1703" w:type="pct"/>
          </w:tcPr>
          <w:p w14:paraId="6A33CA99" w14:textId="77777777" w:rsidR="00C043B7" w:rsidRPr="00C40790" w:rsidRDefault="00FD71AD" w:rsidP="00F444C5">
            <w:pPr>
              <w:rPr>
                <w:sz w:val="22"/>
              </w:rPr>
            </w:pPr>
            <w:r w:rsidRPr="00C40790">
              <w:rPr>
                <w:sz w:val="22"/>
              </w:rPr>
              <w:t xml:space="preserve">Estimated coefficient  </w:t>
            </w:r>
          </w:p>
        </w:tc>
        <w:tc>
          <w:tcPr>
            <w:tcW w:w="3297" w:type="pct"/>
            <w:gridSpan w:val="2"/>
          </w:tcPr>
          <w:p w14:paraId="5FF05122" w14:textId="77777777" w:rsidR="00C043B7" w:rsidRPr="00C40790" w:rsidRDefault="00FD71AD" w:rsidP="00F444C5">
            <w:pPr>
              <w:rPr>
                <w:sz w:val="22"/>
              </w:rPr>
            </w:pPr>
            <w:r w:rsidRPr="00C40790">
              <w:rPr>
                <w:sz w:val="22"/>
              </w:rPr>
              <w:t xml:space="preserve">Dependent variables </w:t>
            </w:r>
          </w:p>
        </w:tc>
      </w:tr>
      <w:tr w:rsidR="002C384B" w14:paraId="043C2268" w14:textId="77777777" w:rsidTr="00F444C5">
        <w:tc>
          <w:tcPr>
            <w:tcW w:w="1703" w:type="pct"/>
          </w:tcPr>
          <w:p w14:paraId="495508B9" w14:textId="77777777" w:rsidR="00C043B7" w:rsidRPr="00C40790" w:rsidRDefault="00C043B7" w:rsidP="00F444C5">
            <w:pPr>
              <w:rPr>
                <w:sz w:val="22"/>
              </w:rPr>
            </w:pPr>
          </w:p>
        </w:tc>
        <w:tc>
          <w:tcPr>
            <w:tcW w:w="1649" w:type="pct"/>
          </w:tcPr>
          <w:p w14:paraId="5E3C762D" w14:textId="77777777" w:rsidR="00C043B7" w:rsidRPr="00C40790" w:rsidRDefault="00FD71AD" w:rsidP="00F444C5">
            <w:pPr>
              <w:rPr>
                <w:sz w:val="22"/>
              </w:rPr>
            </w:pPr>
            <w:r w:rsidRPr="00C40790">
              <w:rPr>
                <w:sz w:val="22"/>
              </w:rPr>
              <w:t>GCP (2 lags)</w:t>
            </w:r>
          </w:p>
        </w:tc>
        <w:tc>
          <w:tcPr>
            <w:tcW w:w="1648" w:type="pct"/>
          </w:tcPr>
          <w:p w14:paraId="508E7570" w14:textId="77777777" w:rsidR="00C043B7" w:rsidRPr="00C40790" w:rsidRDefault="00FD71AD" w:rsidP="00F444C5">
            <w:pPr>
              <w:rPr>
                <w:sz w:val="22"/>
              </w:rPr>
            </w:pPr>
            <w:r w:rsidRPr="00C40790">
              <w:rPr>
                <w:sz w:val="22"/>
              </w:rPr>
              <w:t>POP (2 lags)</w:t>
            </w:r>
          </w:p>
        </w:tc>
      </w:tr>
      <w:tr w:rsidR="002C384B" w14:paraId="457BEE1D" w14:textId="77777777" w:rsidTr="00F444C5">
        <w:tc>
          <w:tcPr>
            <w:tcW w:w="1703" w:type="pct"/>
          </w:tcPr>
          <w:p w14:paraId="1200A5A8" w14:textId="6E31BA6D" w:rsidR="00C043B7" w:rsidRPr="00C40790" w:rsidRDefault="00FD71AD" w:rsidP="00F444C5">
            <w:pPr>
              <w:rPr>
                <w:sz w:val="22"/>
              </w:rPr>
            </w:pPr>
            <w:r w:rsidRPr="00C40790">
              <w:rPr>
                <w:rFonts w:cs="Times New Roman"/>
                <w:sz w:val="22"/>
              </w:rPr>
              <w:t>G</w:t>
            </w:r>
            <w:r w:rsidR="00B44E71">
              <w:rPr>
                <w:rFonts w:cs="Times New Roman"/>
                <w:sz w:val="22"/>
              </w:rPr>
              <w:t>C</w:t>
            </w:r>
            <w:r w:rsidRPr="00C40790">
              <w:rPr>
                <w:rFonts w:cs="Times New Roman"/>
                <w:sz w:val="22"/>
              </w:rPr>
              <w:t>P-1</w:t>
            </w:r>
          </w:p>
        </w:tc>
        <w:tc>
          <w:tcPr>
            <w:tcW w:w="1649" w:type="pct"/>
          </w:tcPr>
          <w:p w14:paraId="3DDFE883" w14:textId="06DC0AB3" w:rsidR="00C043B7" w:rsidRPr="00C40790" w:rsidRDefault="00FD71AD" w:rsidP="00F444C5">
            <w:pPr>
              <w:tabs>
                <w:tab w:val="left" w:pos="1485"/>
              </w:tabs>
              <w:rPr>
                <w:rFonts w:cs="Times New Roman"/>
                <w:sz w:val="22"/>
              </w:rPr>
            </w:pPr>
            <w:r w:rsidRPr="00C40790">
              <w:rPr>
                <w:rFonts w:cs="Times New Roman"/>
                <w:sz w:val="22"/>
              </w:rPr>
              <w:t>-0.1025 **</w:t>
            </w:r>
          </w:p>
          <w:p w14:paraId="51E7B232" w14:textId="6EC001BC" w:rsidR="00C043B7" w:rsidRPr="00C40790" w:rsidRDefault="00FD71AD" w:rsidP="00F444C5">
            <w:pPr>
              <w:rPr>
                <w:sz w:val="22"/>
              </w:rPr>
            </w:pPr>
            <w:r w:rsidRPr="00C40790">
              <w:rPr>
                <w:rFonts w:cs="Times New Roman"/>
                <w:sz w:val="22"/>
              </w:rPr>
              <w:t xml:space="preserve"> (0.0439)</w:t>
            </w:r>
            <w:r w:rsidRPr="00C40790">
              <w:rPr>
                <w:rFonts w:cs="Times New Roman"/>
                <w:sz w:val="22"/>
              </w:rPr>
              <w:tab/>
              <w:t xml:space="preserve"> </w:t>
            </w:r>
          </w:p>
        </w:tc>
        <w:tc>
          <w:tcPr>
            <w:tcW w:w="1648" w:type="pct"/>
          </w:tcPr>
          <w:p w14:paraId="40AC0261" w14:textId="2D8F5516" w:rsidR="00C043B7" w:rsidRPr="00C40790" w:rsidRDefault="00FD71AD" w:rsidP="00F444C5">
            <w:pPr>
              <w:tabs>
                <w:tab w:val="left" w:pos="1485"/>
              </w:tabs>
              <w:rPr>
                <w:rFonts w:cs="Times New Roman"/>
                <w:sz w:val="22"/>
              </w:rPr>
            </w:pPr>
            <w:r w:rsidRPr="00C40790">
              <w:rPr>
                <w:rFonts w:cs="Times New Roman"/>
                <w:sz w:val="22"/>
              </w:rPr>
              <w:t>-0.0011***</w:t>
            </w:r>
          </w:p>
          <w:p w14:paraId="21E41164" w14:textId="2BBCBE95" w:rsidR="00C043B7" w:rsidRPr="00C40790" w:rsidRDefault="00FD71AD" w:rsidP="00F444C5">
            <w:pPr>
              <w:rPr>
                <w:sz w:val="22"/>
              </w:rPr>
            </w:pPr>
            <w:r w:rsidRPr="00C40790">
              <w:rPr>
                <w:rFonts w:cs="Times New Roman"/>
                <w:sz w:val="22"/>
              </w:rPr>
              <w:t>(0.0018)</w:t>
            </w:r>
          </w:p>
        </w:tc>
      </w:tr>
      <w:tr w:rsidR="002C384B" w14:paraId="07125C1F" w14:textId="77777777" w:rsidTr="00F444C5">
        <w:tc>
          <w:tcPr>
            <w:tcW w:w="1703" w:type="pct"/>
          </w:tcPr>
          <w:p w14:paraId="3E6A9EA2" w14:textId="77777777" w:rsidR="00C043B7" w:rsidRPr="00C40790" w:rsidRDefault="00FD71AD" w:rsidP="00F444C5">
            <w:pPr>
              <w:rPr>
                <w:sz w:val="22"/>
              </w:rPr>
            </w:pPr>
            <w:r w:rsidRPr="00C40790">
              <w:rPr>
                <w:rFonts w:cs="Times New Roman"/>
                <w:sz w:val="22"/>
              </w:rPr>
              <w:t>POP-1</w:t>
            </w:r>
          </w:p>
        </w:tc>
        <w:tc>
          <w:tcPr>
            <w:tcW w:w="1649" w:type="pct"/>
          </w:tcPr>
          <w:p w14:paraId="1B548D5D" w14:textId="24CD3449" w:rsidR="00C043B7" w:rsidRPr="00C40790" w:rsidRDefault="00FD71AD" w:rsidP="00F444C5">
            <w:pPr>
              <w:tabs>
                <w:tab w:val="left" w:pos="1485"/>
              </w:tabs>
              <w:rPr>
                <w:rFonts w:cs="Times New Roman"/>
                <w:sz w:val="22"/>
              </w:rPr>
            </w:pPr>
            <w:r w:rsidRPr="00C40790">
              <w:rPr>
                <w:rFonts w:cs="Times New Roman"/>
                <w:sz w:val="22"/>
              </w:rPr>
              <w:t xml:space="preserve"> 0.1355</w:t>
            </w:r>
          </w:p>
          <w:p w14:paraId="15BFDA77" w14:textId="6F5B8EF6" w:rsidR="00C043B7" w:rsidRPr="00C40790" w:rsidRDefault="00FD71AD" w:rsidP="00F444C5">
            <w:pPr>
              <w:rPr>
                <w:sz w:val="22"/>
              </w:rPr>
            </w:pPr>
            <w:r w:rsidRPr="00C40790">
              <w:rPr>
                <w:rFonts w:cs="Times New Roman"/>
                <w:sz w:val="22"/>
              </w:rPr>
              <w:t>(0.4764)</w:t>
            </w:r>
            <w:r w:rsidRPr="00C40790">
              <w:rPr>
                <w:rFonts w:cs="Times New Roman"/>
                <w:sz w:val="22"/>
              </w:rPr>
              <w:tab/>
              <w:t xml:space="preserve"> </w:t>
            </w:r>
          </w:p>
        </w:tc>
        <w:tc>
          <w:tcPr>
            <w:tcW w:w="1648" w:type="pct"/>
          </w:tcPr>
          <w:p w14:paraId="7C2CCB1D" w14:textId="252CC26C" w:rsidR="00C043B7" w:rsidRPr="00C40790" w:rsidRDefault="00FD71AD" w:rsidP="00F444C5">
            <w:pPr>
              <w:tabs>
                <w:tab w:val="left" w:pos="1485"/>
              </w:tabs>
              <w:rPr>
                <w:rFonts w:cs="Times New Roman"/>
                <w:sz w:val="22"/>
              </w:rPr>
            </w:pPr>
            <w:r w:rsidRPr="00C40790">
              <w:rPr>
                <w:rFonts w:cs="Times New Roman"/>
                <w:sz w:val="22"/>
              </w:rPr>
              <w:t>-0.0458**</w:t>
            </w:r>
          </w:p>
          <w:p w14:paraId="5D79071A" w14:textId="021C68B7" w:rsidR="00C043B7" w:rsidRPr="00C40790" w:rsidRDefault="00FD71AD" w:rsidP="00F444C5">
            <w:pPr>
              <w:rPr>
                <w:sz w:val="22"/>
              </w:rPr>
            </w:pPr>
            <w:r w:rsidRPr="00C40790">
              <w:rPr>
                <w:rFonts w:cs="Times New Roman"/>
                <w:sz w:val="22"/>
              </w:rPr>
              <w:t xml:space="preserve">  (0.0196)</w:t>
            </w:r>
          </w:p>
        </w:tc>
      </w:tr>
      <w:tr w:rsidR="002C384B" w14:paraId="6A321E01" w14:textId="77777777" w:rsidTr="00F444C5">
        <w:tc>
          <w:tcPr>
            <w:tcW w:w="1703" w:type="pct"/>
          </w:tcPr>
          <w:p w14:paraId="6664C569" w14:textId="4E44D272" w:rsidR="00C043B7" w:rsidRPr="00C40790" w:rsidRDefault="00FD71AD" w:rsidP="00F444C5">
            <w:pPr>
              <w:rPr>
                <w:sz w:val="22"/>
              </w:rPr>
            </w:pPr>
            <w:r w:rsidRPr="00C40790">
              <w:rPr>
                <w:rFonts w:cs="Times New Roman"/>
                <w:sz w:val="22"/>
              </w:rPr>
              <w:t>G</w:t>
            </w:r>
            <w:r w:rsidR="00B44E71">
              <w:rPr>
                <w:rFonts w:cs="Times New Roman"/>
                <w:sz w:val="22"/>
              </w:rPr>
              <w:t>C</w:t>
            </w:r>
            <w:r w:rsidRPr="00C40790">
              <w:rPr>
                <w:rFonts w:cs="Times New Roman"/>
                <w:sz w:val="22"/>
              </w:rPr>
              <w:t>P-2</w:t>
            </w:r>
          </w:p>
        </w:tc>
        <w:tc>
          <w:tcPr>
            <w:tcW w:w="1649" w:type="pct"/>
          </w:tcPr>
          <w:p w14:paraId="42F6372B" w14:textId="52196626" w:rsidR="00C043B7" w:rsidRPr="00C40790" w:rsidRDefault="00FD71AD" w:rsidP="00F444C5">
            <w:pPr>
              <w:tabs>
                <w:tab w:val="left" w:pos="1485"/>
              </w:tabs>
              <w:rPr>
                <w:rFonts w:cs="Times New Roman"/>
                <w:sz w:val="22"/>
              </w:rPr>
            </w:pPr>
            <w:r w:rsidRPr="00C40790">
              <w:rPr>
                <w:rFonts w:cs="Times New Roman"/>
                <w:sz w:val="22"/>
              </w:rPr>
              <w:t xml:space="preserve"> 0.1722**</w:t>
            </w:r>
          </w:p>
          <w:p w14:paraId="7AAF4748" w14:textId="7DF3E960" w:rsidR="00C043B7" w:rsidRPr="00C40790" w:rsidRDefault="00FD71AD" w:rsidP="00F444C5">
            <w:pPr>
              <w:rPr>
                <w:sz w:val="22"/>
              </w:rPr>
            </w:pPr>
            <w:r w:rsidRPr="00C40790">
              <w:rPr>
                <w:rFonts w:cs="Times New Roman"/>
                <w:sz w:val="22"/>
              </w:rPr>
              <w:t>(0.0391)</w:t>
            </w:r>
            <w:r w:rsidRPr="00C40790">
              <w:rPr>
                <w:rFonts w:cs="Times New Roman"/>
                <w:sz w:val="22"/>
              </w:rPr>
              <w:tab/>
            </w:r>
          </w:p>
        </w:tc>
        <w:tc>
          <w:tcPr>
            <w:tcW w:w="1648" w:type="pct"/>
          </w:tcPr>
          <w:p w14:paraId="314E8D1E" w14:textId="141B9B2A" w:rsidR="00C043B7" w:rsidRPr="00C40790" w:rsidRDefault="00FD71AD" w:rsidP="00F444C5">
            <w:pPr>
              <w:tabs>
                <w:tab w:val="left" w:pos="1485"/>
              </w:tabs>
              <w:rPr>
                <w:rFonts w:cs="Times New Roman"/>
                <w:sz w:val="22"/>
              </w:rPr>
            </w:pPr>
            <w:r w:rsidRPr="00C40790">
              <w:rPr>
                <w:rFonts w:cs="Times New Roman"/>
                <w:sz w:val="22"/>
              </w:rPr>
              <w:t>-0.0005***</w:t>
            </w:r>
          </w:p>
          <w:p w14:paraId="2D888A65" w14:textId="59EF0EFE" w:rsidR="00C043B7" w:rsidRPr="00C40790" w:rsidRDefault="00FD71AD" w:rsidP="00F444C5">
            <w:pPr>
              <w:rPr>
                <w:sz w:val="22"/>
              </w:rPr>
            </w:pPr>
            <w:r w:rsidRPr="00C40790">
              <w:rPr>
                <w:rFonts w:cs="Times New Roman"/>
                <w:sz w:val="22"/>
              </w:rPr>
              <w:t>(0.0016)</w:t>
            </w:r>
          </w:p>
        </w:tc>
      </w:tr>
      <w:tr w:rsidR="002C384B" w14:paraId="229D4273" w14:textId="77777777" w:rsidTr="00F444C5">
        <w:tc>
          <w:tcPr>
            <w:tcW w:w="1703" w:type="pct"/>
          </w:tcPr>
          <w:p w14:paraId="1FB5F9FC" w14:textId="77777777" w:rsidR="00C043B7" w:rsidRPr="00C40790" w:rsidRDefault="00FD71AD" w:rsidP="00F444C5">
            <w:pPr>
              <w:rPr>
                <w:sz w:val="22"/>
              </w:rPr>
            </w:pPr>
            <w:r w:rsidRPr="00C40790">
              <w:rPr>
                <w:rFonts w:cs="Times New Roman"/>
                <w:sz w:val="22"/>
              </w:rPr>
              <w:t>POP-2</w:t>
            </w:r>
          </w:p>
        </w:tc>
        <w:tc>
          <w:tcPr>
            <w:tcW w:w="1649" w:type="pct"/>
          </w:tcPr>
          <w:p w14:paraId="2344086C" w14:textId="1A8F3A09" w:rsidR="00C043B7" w:rsidRPr="00C40790" w:rsidRDefault="00FD71AD" w:rsidP="00F444C5">
            <w:pPr>
              <w:tabs>
                <w:tab w:val="left" w:pos="1485"/>
              </w:tabs>
              <w:rPr>
                <w:rFonts w:cs="Times New Roman"/>
                <w:sz w:val="22"/>
              </w:rPr>
            </w:pPr>
            <w:r w:rsidRPr="00C40790">
              <w:rPr>
                <w:rFonts w:cs="Times New Roman"/>
                <w:sz w:val="22"/>
              </w:rPr>
              <w:t>-0.8747</w:t>
            </w:r>
            <w:r w:rsidRPr="00C40790">
              <w:rPr>
                <w:rFonts w:cs="Times New Roman"/>
                <w:sz w:val="22"/>
              </w:rPr>
              <w:tab/>
            </w:r>
          </w:p>
          <w:p w14:paraId="0403E2D7" w14:textId="431F1E4F" w:rsidR="00C043B7" w:rsidRPr="00C40790" w:rsidRDefault="00FD71AD" w:rsidP="00F444C5">
            <w:pPr>
              <w:rPr>
                <w:sz w:val="22"/>
              </w:rPr>
            </w:pPr>
            <w:r w:rsidRPr="00C40790">
              <w:rPr>
                <w:rFonts w:cs="Times New Roman"/>
                <w:sz w:val="22"/>
              </w:rPr>
              <w:t>(0.4764)</w:t>
            </w:r>
            <w:r w:rsidRPr="00C40790">
              <w:rPr>
                <w:rFonts w:cs="Times New Roman"/>
                <w:sz w:val="22"/>
              </w:rPr>
              <w:tab/>
              <w:t xml:space="preserve"> </w:t>
            </w:r>
          </w:p>
        </w:tc>
        <w:tc>
          <w:tcPr>
            <w:tcW w:w="1648" w:type="pct"/>
          </w:tcPr>
          <w:p w14:paraId="24221026" w14:textId="1F25888A" w:rsidR="00C043B7" w:rsidRPr="00C40790" w:rsidRDefault="00FD71AD" w:rsidP="00F444C5">
            <w:pPr>
              <w:tabs>
                <w:tab w:val="left" w:pos="1485"/>
              </w:tabs>
              <w:rPr>
                <w:rFonts w:cs="Times New Roman"/>
                <w:sz w:val="22"/>
              </w:rPr>
            </w:pPr>
            <w:r w:rsidRPr="00C40790">
              <w:rPr>
                <w:rFonts w:cs="Times New Roman"/>
                <w:sz w:val="22"/>
              </w:rPr>
              <w:t>-0.0172**</w:t>
            </w:r>
          </w:p>
          <w:p w14:paraId="49D24491" w14:textId="6699B14B" w:rsidR="00C043B7" w:rsidRPr="00C40790" w:rsidRDefault="00FD71AD" w:rsidP="00F444C5">
            <w:pPr>
              <w:rPr>
                <w:sz w:val="22"/>
              </w:rPr>
            </w:pPr>
            <w:r w:rsidRPr="00C40790">
              <w:rPr>
                <w:rFonts w:cs="Times New Roman"/>
                <w:sz w:val="22"/>
              </w:rPr>
              <w:t xml:space="preserve"> (0.0196)</w:t>
            </w:r>
          </w:p>
        </w:tc>
      </w:tr>
      <w:tr w:rsidR="002C384B" w14:paraId="448579A6" w14:textId="77777777" w:rsidTr="00F444C5">
        <w:tc>
          <w:tcPr>
            <w:tcW w:w="1703" w:type="pct"/>
          </w:tcPr>
          <w:p w14:paraId="060AEC1B" w14:textId="77777777" w:rsidR="00C043B7" w:rsidRPr="00F444C5" w:rsidRDefault="00FD71AD" w:rsidP="00F444C5">
            <w:pPr>
              <w:rPr>
                <w:b/>
                <w:bCs/>
                <w:sz w:val="22"/>
              </w:rPr>
            </w:pPr>
            <w:r w:rsidRPr="00F444C5">
              <w:rPr>
                <w:b/>
                <w:bCs/>
                <w:sz w:val="22"/>
              </w:rPr>
              <w:t xml:space="preserve">Wald leg length </w:t>
            </w:r>
          </w:p>
        </w:tc>
        <w:tc>
          <w:tcPr>
            <w:tcW w:w="1649" w:type="pct"/>
          </w:tcPr>
          <w:p w14:paraId="6C106F5E" w14:textId="77777777" w:rsidR="00C043B7" w:rsidRPr="00C40790" w:rsidRDefault="00C043B7" w:rsidP="00F444C5">
            <w:pPr>
              <w:rPr>
                <w:sz w:val="22"/>
              </w:rPr>
            </w:pPr>
          </w:p>
        </w:tc>
        <w:tc>
          <w:tcPr>
            <w:tcW w:w="1648" w:type="pct"/>
          </w:tcPr>
          <w:p w14:paraId="4D8D65C1" w14:textId="77777777" w:rsidR="00C043B7" w:rsidRPr="00C40790" w:rsidRDefault="00C043B7" w:rsidP="00F444C5">
            <w:pPr>
              <w:rPr>
                <w:sz w:val="22"/>
              </w:rPr>
            </w:pPr>
          </w:p>
        </w:tc>
      </w:tr>
      <w:tr w:rsidR="00F444C5" w14:paraId="6B44E12F" w14:textId="77777777" w:rsidTr="00D24A43">
        <w:trPr>
          <w:trHeight w:val="516"/>
        </w:trPr>
        <w:tc>
          <w:tcPr>
            <w:tcW w:w="1703" w:type="pct"/>
          </w:tcPr>
          <w:p w14:paraId="4F98BBA8" w14:textId="77777777" w:rsidR="00F444C5" w:rsidRPr="00C40790" w:rsidRDefault="00F444C5" w:rsidP="00F444C5">
            <w:pPr>
              <w:rPr>
                <w:sz w:val="22"/>
              </w:rPr>
            </w:pPr>
            <w:r w:rsidRPr="00C40790">
              <w:rPr>
                <w:sz w:val="22"/>
              </w:rPr>
              <w:t xml:space="preserve">Null hypothesis </w:t>
            </w:r>
          </w:p>
        </w:tc>
        <w:tc>
          <w:tcPr>
            <w:tcW w:w="1649" w:type="pct"/>
          </w:tcPr>
          <w:p w14:paraId="0A666E58" w14:textId="79094A06" w:rsidR="00F444C5" w:rsidRPr="00C40790" w:rsidRDefault="00F444C5" w:rsidP="00F444C5">
            <w:pPr>
              <w:rPr>
                <w:sz w:val="22"/>
              </w:rPr>
            </w:pPr>
            <w:r w:rsidRPr="00C40790">
              <w:rPr>
                <w:sz w:val="22"/>
              </w:rPr>
              <w:t xml:space="preserve"> 8.2710**</w:t>
            </w:r>
          </w:p>
          <w:p w14:paraId="3163FA84" w14:textId="16A3D434" w:rsidR="00F444C5" w:rsidRPr="00C40790" w:rsidRDefault="00F444C5" w:rsidP="00F444C5">
            <w:pPr>
              <w:rPr>
                <w:sz w:val="22"/>
              </w:rPr>
            </w:pPr>
            <w:r w:rsidRPr="00C40790">
              <w:rPr>
                <w:sz w:val="22"/>
              </w:rPr>
              <w:t>(0.0160)</w:t>
            </w:r>
          </w:p>
        </w:tc>
        <w:tc>
          <w:tcPr>
            <w:tcW w:w="1648" w:type="pct"/>
          </w:tcPr>
          <w:p w14:paraId="1CD2913F" w14:textId="63D0C3FB" w:rsidR="00F444C5" w:rsidRPr="00C40790" w:rsidRDefault="00F444C5" w:rsidP="00F444C5">
            <w:pPr>
              <w:rPr>
                <w:sz w:val="22"/>
              </w:rPr>
            </w:pPr>
            <w:r w:rsidRPr="00C40790">
              <w:rPr>
                <w:sz w:val="22"/>
              </w:rPr>
              <w:t>9.2527**</w:t>
            </w:r>
            <w:r>
              <w:rPr>
                <w:sz w:val="22"/>
              </w:rPr>
              <w:t>*</w:t>
            </w:r>
          </w:p>
          <w:p w14:paraId="638E75AA" w14:textId="551AE25F" w:rsidR="00F444C5" w:rsidRPr="00C40790" w:rsidRDefault="00F444C5" w:rsidP="00F444C5">
            <w:pPr>
              <w:rPr>
                <w:sz w:val="22"/>
              </w:rPr>
            </w:pPr>
            <w:r w:rsidRPr="00C40790">
              <w:rPr>
                <w:sz w:val="22"/>
              </w:rPr>
              <w:t>(0.0098)</w:t>
            </w:r>
          </w:p>
        </w:tc>
      </w:tr>
      <w:tr w:rsidR="002C384B" w14:paraId="6614A65C" w14:textId="77777777" w:rsidTr="00F444C5">
        <w:tc>
          <w:tcPr>
            <w:tcW w:w="1703" w:type="pct"/>
          </w:tcPr>
          <w:p w14:paraId="31A58519" w14:textId="77777777" w:rsidR="00C043B7" w:rsidRPr="00C40790" w:rsidRDefault="00FD71AD" w:rsidP="00F444C5">
            <w:pPr>
              <w:rPr>
                <w:sz w:val="22"/>
              </w:rPr>
            </w:pPr>
            <w:proofErr w:type="spellStart"/>
            <w:r w:rsidRPr="00C40790">
              <w:rPr>
                <w:sz w:val="22"/>
              </w:rPr>
              <w:t>Sargan</w:t>
            </w:r>
            <w:proofErr w:type="spellEnd"/>
            <w:r w:rsidRPr="00C40790">
              <w:rPr>
                <w:sz w:val="22"/>
              </w:rPr>
              <w:t xml:space="preserve"> or J-Test’s P-value</w:t>
            </w:r>
          </w:p>
        </w:tc>
        <w:tc>
          <w:tcPr>
            <w:tcW w:w="1649" w:type="pct"/>
          </w:tcPr>
          <w:p w14:paraId="35EFED38" w14:textId="5A8934E9" w:rsidR="00C043B7" w:rsidRPr="00C40790" w:rsidRDefault="00FD71AD" w:rsidP="00F444C5">
            <w:pPr>
              <w:rPr>
                <w:sz w:val="22"/>
              </w:rPr>
            </w:pPr>
            <w:r w:rsidRPr="00C40790">
              <w:rPr>
                <w:sz w:val="22"/>
              </w:rPr>
              <w:t>(0.2610)</w:t>
            </w:r>
          </w:p>
        </w:tc>
        <w:tc>
          <w:tcPr>
            <w:tcW w:w="1648" w:type="pct"/>
          </w:tcPr>
          <w:p w14:paraId="506C4EB7" w14:textId="5CBFA749" w:rsidR="00C043B7" w:rsidRPr="00C40790" w:rsidRDefault="00FD71AD" w:rsidP="00F444C5">
            <w:pPr>
              <w:rPr>
                <w:sz w:val="22"/>
              </w:rPr>
            </w:pPr>
            <w:r w:rsidRPr="00C40790">
              <w:rPr>
                <w:sz w:val="22"/>
              </w:rPr>
              <w:t>(0.4239)</w:t>
            </w:r>
          </w:p>
        </w:tc>
      </w:tr>
      <w:tr w:rsidR="002C384B" w14:paraId="0C0B6CC7" w14:textId="77777777" w:rsidTr="00F444C5">
        <w:tc>
          <w:tcPr>
            <w:tcW w:w="1703" w:type="pct"/>
          </w:tcPr>
          <w:p w14:paraId="787FEA61" w14:textId="77777777" w:rsidR="00C043B7" w:rsidRPr="00F444C5" w:rsidRDefault="00FD71AD" w:rsidP="00F444C5">
            <w:pPr>
              <w:rPr>
                <w:b/>
                <w:bCs/>
                <w:sz w:val="22"/>
              </w:rPr>
            </w:pPr>
            <w:r w:rsidRPr="00F444C5">
              <w:rPr>
                <w:b/>
                <w:bCs/>
                <w:sz w:val="22"/>
              </w:rPr>
              <w:t>Wald Causality Test</w:t>
            </w:r>
          </w:p>
        </w:tc>
        <w:tc>
          <w:tcPr>
            <w:tcW w:w="1649" w:type="pct"/>
          </w:tcPr>
          <w:p w14:paraId="5E4F80F3" w14:textId="77777777" w:rsidR="00C043B7" w:rsidRPr="00C40790" w:rsidRDefault="00C043B7" w:rsidP="00F444C5">
            <w:pPr>
              <w:rPr>
                <w:sz w:val="22"/>
              </w:rPr>
            </w:pPr>
          </w:p>
        </w:tc>
        <w:tc>
          <w:tcPr>
            <w:tcW w:w="1648" w:type="pct"/>
          </w:tcPr>
          <w:p w14:paraId="2B12D1E8" w14:textId="77777777" w:rsidR="00C043B7" w:rsidRPr="00C40790" w:rsidRDefault="00C043B7" w:rsidP="00F444C5">
            <w:pPr>
              <w:rPr>
                <w:sz w:val="22"/>
              </w:rPr>
            </w:pPr>
          </w:p>
        </w:tc>
      </w:tr>
      <w:tr w:rsidR="00F444C5" w14:paraId="79A5A38F" w14:textId="77777777" w:rsidTr="00F444C5">
        <w:tc>
          <w:tcPr>
            <w:tcW w:w="1703" w:type="pct"/>
            <w:vMerge w:val="restart"/>
          </w:tcPr>
          <w:p w14:paraId="2D58CA50" w14:textId="77777777" w:rsidR="00F444C5" w:rsidRPr="00C40790" w:rsidRDefault="00F444C5" w:rsidP="00F444C5">
            <w:pPr>
              <w:rPr>
                <w:sz w:val="22"/>
              </w:rPr>
            </w:pPr>
            <w:r w:rsidRPr="00C40790">
              <w:rPr>
                <w:sz w:val="22"/>
              </w:rPr>
              <w:t>Null hypothesis</w:t>
            </w:r>
          </w:p>
        </w:tc>
        <w:tc>
          <w:tcPr>
            <w:tcW w:w="1649" w:type="pct"/>
          </w:tcPr>
          <w:p w14:paraId="4256257F" w14:textId="77777777" w:rsidR="00F444C5" w:rsidRPr="00C40790" w:rsidRDefault="00F444C5" w:rsidP="00F444C5">
            <w:pPr>
              <w:rPr>
                <w:sz w:val="22"/>
              </w:rPr>
            </w:pPr>
            <w:r w:rsidRPr="00C40790">
              <w:rPr>
                <w:sz w:val="22"/>
              </w:rPr>
              <w:t>POP does not cause GCP</w:t>
            </w:r>
          </w:p>
        </w:tc>
        <w:tc>
          <w:tcPr>
            <w:tcW w:w="1648" w:type="pct"/>
          </w:tcPr>
          <w:p w14:paraId="7DE94915" w14:textId="77777777" w:rsidR="00F444C5" w:rsidRPr="00C40790" w:rsidRDefault="00F444C5" w:rsidP="00F444C5">
            <w:pPr>
              <w:rPr>
                <w:sz w:val="22"/>
              </w:rPr>
            </w:pPr>
            <w:r w:rsidRPr="00C40790">
              <w:rPr>
                <w:sz w:val="22"/>
              </w:rPr>
              <w:t>GCP does not cause POP</w:t>
            </w:r>
          </w:p>
        </w:tc>
      </w:tr>
      <w:tr w:rsidR="00F444C5" w14:paraId="475DE93F" w14:textId="77777777" w:rsidTr="001A12C7">
        <w:trPr>
          <w:trHeight w:val="516"/>
        </w:trPr>
        <w:tc>
          <w:tcPr>
            <w:tcW w:w="1703" w:type="pct"/>
            <w:vMerge/>
          </w:tcPr>
          <w:p w14:paraId="6280ABBE" w14:textId="77777777" w:rsidR="00F444C5" w:rsidRPr="00C40790" w:rsidRDefault="00F444C5" w:rsidP="00F444C5">
            <w:pPr>
              <w:rPr>
                <w:sz w:val="22"/>
              </w:rPr>
            </w:pPr>
          </w:p>
        </w:tc>
        <w:tc>
          <w:tcPr>
            <w:tcW w:w="1649" w:type="pct"/>
          </w:tcPr>
          <w:p w14:paraId="7F1B0BDD" w14:textId="12438774" w:rsidR="00F444C5" w:rsidRPr="00C40790" w:rsidRDefault="00F444C5" w:rsidP="00F444C5">
            <w:pPr>
              <w:rPr>
                <w:sz w:val="22"/>
              </w:rPr>
            </w:pPr>
            <w:r w:rsidRPr="00C40790">
              <w:rPr>
                <w:sz w:val="22"/>
              </w:rPr>
              <w:t>9.2717**</w:t>
            </w:r>
          </w:p>
          <w:p w14:paraId="7D498F88" w14:textId="4BA32C06" w:rsidR="00F444C5" w:rsidRPr="00C40790" w:rsidRDefault="00F444C5" w:rsidP="00F444C5">
            <w:pPr>
              <w:rPr>
                <w:sz w:val="22"/>
              </w:rPr>
            </w:pPr>
            <w:r w:rsidRPr="00C40790">
              <w:rPr>
                <w:sz w:val="22"/>
              </w:rPr>
              <w:t>(0.0259)</w:t>
            </w:r>
          </w:p>
        </w:tc>
        <w:tc>
          <w:tcPr>
            <w:tcW w:w="1648" w:type="pct"/>
          </w:tcPr>
          <w:p w14:paraId="7252CCBC" w14:textId="43B0390B" w:rsidR="00F444C5" w:rsidRPr="00C40790" w:rsidRDefault="00F444C5" w:rsidP="00F444C5">
            <w:pPr>
              <w:rPr>
                <w:sz w:val="22"/>
              </w:rPr>
            </w:pPr>
            <w:r w:rsidRPr="00C40790">
              <w:rPr>
                <w:sz w:val="22"/>
              </w:rPr>
              <w:t>26.9241 ***</w:t>
            </w:r>
          </w:p>
          <w:p w14:paraId="0A1449BF" w14:textId="6D8549C5" w:rsidR="00F444C5" w:rsidRPr="00C40790" w:rsidRDefault="00F444C5" w:rsidP="00F444C5">
            <w:pPr>
              <w:rPr>
                <w:sz w:val="22"/>
              </w:rPr>
            </w:pPr>
            <w:r w:rsidRPr="00C40790">
              <w:rPr>
                <w:sz w:val="22"/>
              </w:rPr>
              <w:t>(0.0001)</w:t>
            </w:r>
          </w:p>
        </w:tc>
      </w:tr>
      <w:tr w:rsidR="002C384B" w14:paraId="0DE1F345" w14:textId="77777777" w:rsidTr="00F444C5">
        <w:tc>
          <w:tcPr>
            <w:tcW w:w="5000" w:type="pct"/>
            <w:gridSpan w:val="3"/>
          </w:tcPr>
          <w:p w14:paraId="39EF04A9" w14:textId="6E70FA01" w:rsidR="00C043B7" w:rsidRPr="00C40790" w:rsidRDefault="00FD71AD" w:rsidP="00F444C5">
            <w:pPr>
              <w:rPr>
                <w:sz w:val="22"/>
              </w:rPr>
            </w:pPr>
            <w:r w:rsidRPr="00C40790">
              <w:rPr>
                <w:sz w:val="22"/>
              </w:rPr>
              <w:t xml:space="preserve">Note: *** and ** signifies significance at a 1% and 5% </w:t>
            </w:r>
            <w:r w:rsidR="00EC79B2" w:rsidRPr="00C40790">
              <w:rPr>
                <w:sz w:val="22"/>
              </w:rPr>
              <w:t>level</w:t>
            </w:r>
          </w:p>
          <w:p w14:paraId="21928AC2" w14:textId="0970AA9D" w:rsidR="00C043B7" w:rsidRPr="00C40790" w:rsidRDefault="00F444C5" w:rsidP="00F444C5">
            <w:pPr>
              <w:rPr>
                <w:sz w:val="22"/>
              </w:rPr>
            </w:pPr>
            <w:r>
              <w:rPr>
                <w:sz w:val="22"/>
              </w:rPr>
              <w:t xml:space="preserve">         </w:t>
            </w:r>
            <w:r w:rsidR="00FD71AD" w:rsidRPr="00C40790">
              <w:rPr>
                <w:sz w:val="22"/>
              </w:rPr>
              <w:t>Numbers in parentheses are the p-values.</w:t>
            </w:r>
          </w:p>
        </w:tc>
      </w:tr>
      <w:bookmarkEnd w:id="7"/>
    </w:tbl>
    <w:p w14:paraId="05647722" w14:textId="77777777" w:rsidR="00C40790" w:rsidRDefault="00C40790" w:rsidP="00C40790">
      <w:pPr>
        <w:spacing w:after="0" w:line="360" w:lineRule="auto"/>
        <w:rPr>
          <w:rFonts w:cs="Times New Roman"/>
          <w:sz w:val="22"/>
        </w:rPr>
      </w:pPr>
    </w:p>
    <w:p w14:paraId="0C6D78F9" w14:textId="5BC1D2E0" w:rsidR="00D8504D" w:rsidRDefault="00FD71AD" w:rsidP="008D478F">
      <w:pPr>
        <w:spacing w:line="360" w:lineRule="auto"/>
        <w:rPr>
          <w:rFonts w:cs="Times New Roman"/>
          <w:sz w:val="22"/>
        </w:rPr>
      </w:pPr>
      <w:r w:rsidRPr="00C40790">
        <w:rPr>
          <w:rFonts w:cs="Times New Roman"/>
          <w:sz w:val="22"/>
        </w:rPr>
        <w:t xml:space="preserve">The </w:t>
      </w:r>
      <w:r w:rsidR="00D5539E" w:rsidRPr="00C40790">
        <w:rPr>
          <w:rFonts w:cs="Times New Roman"/>
          <w:sz w:val="22"/>
        </w:rPr>
        <w:t>research</w:t>
      </w:r>
      <w:r w:rsidRPr="00C40790">
        <w:rPr>
          <w:rFonts w:cs="Times New Roman"/>
          <w:sz w:val="22"/>
        </w:rPr>
        <w:t xml:space="preserve"> utilized the Wald test to explore the causal </w:t>
      </w:r>
      <w:r w:rsidR="00D5539E" w:rsidRPr="00C40790">
        <w:rPr>
          <w:rFonts w:cs="Times New Roman"/>
          <w:sz w:val="22"/>
        </w:rPr>
        <w:t>association</w:t>
      </w:r>
      <w:r w:rsidRPr="00C40790">
        <w:rPr>
          <w:rFonts w:cs="Times New Roman"/>
          <w:sz w:val="22"/>
        </w:rPr>
        <w:t xml:space="preserve"> between population (POP) and economic growth (GCP). The results indicate that the Wald test rejects the null hypothesis of no causation at the 5% significance level, suggesting that causality in the GCP equation flows from POP to GCP. Additionally, the findings imply a reciprocal causal relationship, as the Wald test also rejects the null hypothesis of no causality in the POP equation at a 1% significance level. Hence, we can conclude that there is evidence of a </w:t>
      </w:r>
      <w:r>
        <w:rPr>
          <w:rFonts w:cs="Times New Roman"/>
          <w:sz w:val="22"/>
        </w:rPr>
        <w:t xml:space="preserve">two-way causality </w:t>
      </w:r>
      <w:r w:rsidRPr="00C40790">
        <w:rPr>
          <w:rFonts w:cs="Times New Roman"/>
          <w:sz w:val="22"/>
        </w:rPr>
        <w:t>between population and economic growth within the Kenyan counties.</w:t>
      </w:r>
      <w:r>
        <w:rPr>
          <w:rFonts w:cs="Times New Roman"/>
          <w:sz w:val="22"/>
        </w:rPr>
        <w:t xml:space="preserve"> This implies on one hand</w:t>
      </w:r>
      <w:r w:rsidR="00030A8C" w:rsidRPr="00C40790">
        <w:rPr>
          <w:rFonts w:cs="Times New Roman"/>
          <w:sz w:val="22"/>
        </w:rPr>
        <w:t>, rapid population growth acts as a catalyst for consumerism, leading to heightened demand which, in turn, enhances economic growth at the subnational level.</w:t>
      </w:r>
      <w:r>
        <w:rPr>
          <w:rFonts w:cs="Times New Roman"/>
          <w:sz w:val="22"/>
        </w:rPr>
        <w:t xml:space="preserve"> On the other hand, w</w:t>
      </w:r>
      <w:r w:rsidRPr="00D8504D">
        <w:rPr>
          <w:rFonts w:cs="Times New Roman"/>
          <w:sz w:val="22"/>
        </w:rPr>
        <w:t xml:space="preserve">hile economic growth can create conditions that potentially lead to population growth, it's not a direct cause and effect. Factors like increased demand for goods and services and higher incomes can influence </w:t>
      </w:r>
      <w:r w:rsidRPr="00D8504D">
        <w:rPr>
          <w:rFonts w:cs="Times New Roman"/>
          <w:sz w:val="22"/>
        </w:rPr>
        <w:lastRenderedPageBreak/>
        <w:t>fertility rates and migration patterns, but other factors like mortality rates and access to healthcare also play a significant role.</w:t>
      </w:r>
    </w:p>
    <w:p w14:paraId="1C56C9E2" w14:textId="4F4BB345" w:rsidR="00EA2A63" w:rsidRPr="00C40790" w:rsidRDefault="00FD71AD" w:rsidP="008D2A7A">
      <w:pPr>
        <w:spacing w:line="360" w:lineRule="auto"/>
        <w:rPr>
          <w:rFonts w:cs="Times New Roman"/>
          <w:sz w:val="22"/>
        </w:rPr>
      </w:pPr>
      <w:r>
        <w:rPr>
          <w:rFonts w:cs="Times New Roman"/>
          <w:sz w:val="22"/>
        </w:rPr>
        <w:t xml:space="preserve">The </w:t>
      </w:r>
      <w:r w:rsidRPr="00C40790">
        <w:rPr>
          <w:rFonts w:cs="Times New Roman"/>
          <w:sz w:val="22"/>
        </w:rPr>
        <w:t>estimated generalized method of moments (GMM) model</w:t>
      </w:r>
      <w:r>
        <w:rPr>
          <w:rFonts w:cs="Times New Roman"/>
          <w:sz w:val="22"/>
        </w:rPr>
        <w:t xml:space="preserve"> </w:t>
      </w:r>
      <w:r w:rsidRPr="00C40790">
        <w:rPr>
          <w:rFonts w:cs="Times New Roman"/>
          <w:sz w:val="22"/>
        </w:rPr>
        <w:t>suggests the negative and statistically significant impact of population on economic growth.</w:t>
      </w:r>
      <w:r w:rsidRPr="00C40790">
        <w:t xml:space="preserve"> </w:t>
      </w:r>
      <w:r w:rsidRPr="00C40790">
        <w:rPr>
          <w:rFonts w:cs="Times New Roman"/>
          <w:sz w:val="22"/>
        </w:rPr>
        <w:t xml:space="preserve">Overpopulation adversely impacts the </w:t>
      </w:r>
      <w:r>
        <w:rPr>
          <w:rFonts w:cs="Times New Roman"/>
          <w:sz w:val="22"/>
        </w:rPr>
        <w:t xml:space="preserve">sub-national </w:t>
      </w:r>
      <w:r w:rsidRPr="00C40790">
        <w:rPr>
          <w:rFonts w:cs="Times New Roman"/>
          <w:sz w:val="22"/>
        </w:rPr>
        <w:t>economy. Rising prices cause less savings and make the working and middle classes more vulnerable to economic distress</w:t>
      </w:r>
      <w:r>
        <w:rPr>
          <w:rFonts w:cs="Times New Roman"/>
          <w:sz w:val="22"/>
        </w:rPr>
        <w:t xml:space="preserve"> (</w:t>
      </w:r>
      <w:proofErr w:type="spellStart"/>
      <w:r w:rsidRPr="00C40790">
        <w:rPr>
          <w:rFonts w:cs="Times New Roman"/>
          <w:sz w:val="22"/>
        </w:rPr>
        <w:t>Thuku</w:t>
      </w:r>
      <w:proofErr w:type="spellEnd"/>
      <w:r w:rsidRPr="00C40790">
        <w:rPr>
          <w:rFonts w:cs="Times New Roman"/>
          <w:sz w:val="22"/>
        </w:rPr>
        <w:t xml:space="preserve"> et al.</w:t>
      </w:r>
      <w:r>
        <w:rPr>
          <w:rFonts w:cs="Times New Roman"/>
          <w:sz w:val="22"/>
        </w:rPr>
        <w:t>,</w:t>
      </w:r>
      <w:r w:rsidRPr="00C40790">
        <w:rPr>
          <w:rFonts w:cs="Times New Roman"/>
          <w:sz w:val="22"/>
        </w:rPr>
        <w:t xml:space="preserve"> 2013)</w:t>
      </w:r>
      <w:r>
        <w:rPr>
          <w:rFonts w:cs="Times New Roman"/>
          <w:sz w:val="22"/>
        </w:rPr>
        <w:t>.</w:t>
      </w:r>
      <w:r w:rsidRPr="00D8504D">
        <w:t xml:space="preserve"> </w:t>
      </w:r>
      <w:r w:rsidRPr="00D8504D">
        <w:rPr>
          <w:rFonts w:cs="Times New Roman"/>
          <w:sz w:val="22"/>
        </w:rPr>
        <w:t>Negative effects of population growth on economic development may include overpopulation leading to resource depletion, increased social expenditure, and rising unemployment and poverty rates</w:t>
      </w:r>
      <w:r>
        <w:rPr>
          <w:rFonts w:cs="Times New Roman"/>
          <w:sz w:val="22"/>
        </w:rPr>
        <w:t xml:space="preserve"> at the subnational level.  </w:t>
      </w:r>
      <w:r w:rsidRPr="00C11159">
        <w:rPr>
          <w:rFonts w:cs="Times New Roman"/>
          <w:sz w:val="22"/>
        </w:rPr>
        <w:t>The study concludes that in Kenyan subnational governments, over the long term, a higher population growth results in a reduced growth of per capita Gross County Product, thereby slowing economic development</w:t>
      </w:r>
      <w:r>
        <w:rPr>
          <w:rFonts w:cs="Times New Roman"/>
          <w:sz w:val="22"/>
        </w:rPr>
        <w:t xml:space="preserve">. The results mirror similar findings by </w:t>
      </w:r>
      <w:proofErr w:type="spellStart"/>
      <w:r>
        <w:rPr>
          <w:rFonts w:cs="Times New Roman"/>
          <w:sz w:val="22"/>
        </w:rPr>
        <w:t>Thuku</w:t>
      </w:r>
      <w:proofErr w:type="spellEnd"/>
      <w:r>
        <w:rPr>
          <w:rFonts w:cs="Times New Roman"/>
          <w:sz w:val="22"/>
        </w:rPr>
        <w:t xml:space="preserve"> et al. (2013) and KIPPRA</w:t>
      </w:r>
      <w:r w:rsidRPr="00C40790">
        <w:rPr>
          <w:rFonts w:cs="Times New Roman"/>
          <w:sz w:val="22"/>
        </w:rPr>
        <w:t xml:space="preserve"> (2021)</w:t>
      </w:r>
      <w:r>
        <w:rPr>
          <w:rFonts w:cs="Times New Roman"/>
          <w:sz w:val="22"/>
        </w:rPr>
        <w:t xml:space="preserve"> in Kenya. </w:t>
      </w:r>
    </w:p>
    <w:p w14:paraId="19A8394D" w14:textId="77777777" w:rsidR="00D8504D" w:rsidRDefault="00FD71AD" w:rsidP="008D478F">
      <w:pPr>
        <w:spacing w:line="360" w:lineRule="auto"/>
        <w:rPr>
          <w:rFonts w:cs="Times New Roman"/>
          <w:b/>
          <w:bCs/>
          <w:sz w:val="22"/>
        </w:rPr>
      </w:pPr>
      <w:r w:rsidRPr="00C40790">
        <w:rPr>
          <w:rFonts w:cs="Times New Roman"/>
          <w:b/>
          <w:bCs/>
          <w:sz w:val="22"/>
        </w:rPr>
        <w:t>Conclusion</w:t>
      </w:r>
    </w:p>
    <w:p w14:paraId="6507892A" w14:textId="1D59D63F" w:rsidR="00600685" w:rsidRDefault="00FD71AD" w:rsidP="00600685">
      <w:pPr>
        <w:spacing w:line="360" w:lineRule="auto"/>
        <w:rPr>
          <w:rFonts w:cs="Times New Roman"/>
          <w:sz w:val="22"/>
        </w:rPr>
      </w:pPr>
      <w:r w:rsidRPr="00600685">
        <w:rPr>
          <w:rFonts w:cs="Times New Roman"/>
          <w:sz w:val="22"/>
        </w:rPr>
        <w:t>This study aims to assess the influence of population growth on economic growth utilizing a production function approach grounded in an endogenous model. It examines the role of population in economic growth by analyzing panel data from 47 subnational governments in Kenya over the period from 2014 to 2022. Upon establishing a long-run relationship among the variables, panel long-run estimates are derived using both the Generalized Method of Moments (GMM) and the Wald test methodologies. The results from both methods indicate a negative and statistically significant impact of population growth on economic growth. Furthermore, the Wald causality test reveals a bi-directional causality between population and economic growth. The analysis concludes that at the subnational level in Kenya, population expansion can be beneficial for the economy by fostering higher economic growth, and conversely, economic growth can spur population expansion. For policymakers at the subnational level, implementing a thoughtfully designed population growth strategy, coupled with institutional and policy reforms, appears to be a sound approach.</w:t>
      </w:r>
    </w:p>
    <w:p w14:paraId="62A8BBE3" w14:textId="158F2CF3" w:rsidR="00600685" w:rsidRDefault="00FD71AD" w:rsidP="00362B6D">
      <w:pPr>
        <w:spacing w:line="360" w:lineRule="auto"/>
        <w:rPr>
          <w:rFonts w:cs="Times New Roman"/>
          <w:sz w:val="22"/>
        </w:rPr>
      </w:pPr>
      <w:r w:rsidRPr="00600685">
        <w:rPr>
          <w:rFonts w:cs="Times New Roman"/>
          <w:sz w:val="22"/>
        </w:rPr>
        <w:t xml:space="preserve">In light of the critical role that social and economic development plays in addressing population-related issues, it is imperative to recognize the significant influence of demographic factors on development planning and strategy formulation. The successful pursuit of development objectives hinges on an integrated approach—one that holistically considers the intricate interconnections between population dynamics, resource availability, environmental sustainability, and overarching developmental goals. Consequently, both national and subnational policies, plans, and programs must be crafted with this integrated perspective, prioritizing initiatives that effectively merge population considerations with </w:t>
      </w:r>
      <w:r w:rsidRPr="00600685">
        <w:rPr>
          <w:rFonts w:cs="Times New Roman"/>
          <w:sz w:val="22"/>
        </w:rPr>
        <w:lastRenderedPageBreak/>
        <w:t>development strategies. This alignment is essential for fostering sustainable, equitable growth and addressing the multifaceted challenges posed by population changes.</w:t>
      </w:r>
    </w:p>
    <w:p w14:paraId="09357FB6" w14:textId="368A1323" w:rsidR="00600685" w:rsidRDefault="00FD71AD" w:rsidP="00362B6D">
      <w:pPr>
        <w:spacing w:line="360" w:lineRule="auto"/>
        <w:rPr>
          <w:rFonts w:cs="Times New Roman"/>
          <w:sz w:val="22"/>
        </w:rPr>
      </w:pPr>
      <w:r w:rsidRPr="00A42787">
        <w:rPr>
          <w:rFonts w:cs="Times New Roman"/>
          <w:sz w:val="22"/>
        </w:rPr>
        <w:t xml:space="preserve">The research emphasizes the necessity of establishing a robust relationship between population dynamics and development planning. </w:t>
      </w:r>
      <w:r>
        <w:rPr>
          <w:rFonts w:cs="Times New Roman"/>
          <w:sz w:val="22"/>
        </w:rPr>
        <w:t xml:space="preserve">Kenyan </w:t>
      </w:r>
      <w:r w:rsidRPr="00A42787">
        <w:rPr>
          <w:rFonts w:cs="Times New Roman"/>
          <w:sz w:val="22"/>
        </w:rPr>
        <w:t>counties must integrate population considerations into their development strategies to ensure sustainable growth and effective resource allocation.</w:t>
      </w:r>
      <w:r>
        <w:rPr>
          <w:rFonts w:cs="Times New Roman"/>
          <w:sz w:val="22"/>
        </w:rPr>
        <w:t xml:space="preserve"> </w:t>
      </w:r>
      <w:r w:rsidRPr="00600685">
        <w:rPr>
          <w:rFonts w:cs="Times New Roman"/>
          <w:sz w:val="22"/>
        </w:rPr>
        <w:t xml:space="preserve">National and subnational initiatives should prioritize the following developmental objectives: the eradication of widespread hunger and the attainment of adequate health and nutrition standards, the elimination of mass illiteracy, the enhancement of women's status, the reduction of mass unemployment and underemployment, and the elimination of inequality in </w:t>
      </w:r>
      <w:r>
        <w:rPr>
          <w:rFonts w:cs="Times New Roman"/>
          <w:sz w:val="22"/>
        </w:rPr>
        <w:t>subnational</w:t>
      </w:r>
      <w:r w:rsidRPr="00600685">
        <w:rPr>
          <w:rFonts w:cs="Times New Roman"/>
          <w:sz w:val="22"/>
        </w:rPr>
        <w:t xml:space="preserve"> economic relations. To realize these objectives, it is essential for </w:t>
      </w:r>
      <w:r>
        <w:rPr>
          <w:rFonts w:cs="Times New Roman"/>
          <w:sz w:val="22"/>
        </w:rPr>
        <w:t xml:space="preserve">subnational </w:t>
      </w:r>
      <w:r w:rsidRPr="00600685">
        <w:rPr>
          <w:rFonts w:cs="Times New Roman"/>
          <w:sz w:val="22"/>
        </w:rPr>
        <w:t>governments to fully consider population trends when developing their plans and programs. The emerging perspective is that population growth should be stabilized, and development improved, by addressing some of the underlying causes of these issues.</w:t>
      </w:r>
    </w:p>
    <w:p w14:paraId="385787FB" w14:textId="77777777" w:rsidR="00A13091" w:rsidRPr="00C40790" w:rsidRDefault="00FD71AD" w:rsidP="008D478F">
      <w:pPr>
        <w:spacing w:line="360" w:lineRule="auto"/>
        <w:rPr>
          <w:rFonts w:cs="Times New Roman"/>
          <w:b/>
          <w:bCs/>
          <w:sz w:val="22"/>
        </w:rPr>
      </w:pPr>
      <w:bookmarkStart w:id="9" w:name="_Hlk191918707"/>
      <w:r w:rsidRPr="00C40790">
        <w:rPr>
          <w:rFonts w:cs="Times New Roman"/>
          <w:b/>
          <w:bCs/>
          <w:sz w:val="22"/>
        </w:rPr>
        <w:t xml:space="preserve">References </w:t>
      </w:r>
    </w:p>
    <w:p w14:paraId="0B89191C" w14:textId="2575B4C7" w:rsidR="00F7349F" w:rsidRPr="00C40790" w:rsidRDefault="00FD71AD" w:rsidP="008D478F">
      <w:pPr>
        <w:spacing w:line="360" w:lineRule="auto"/>
        <w:rPr>
          <w:rFonts w:cs="Times New Roman"/>
          <w:sz w:val="22"/>
        </w:rPr>
      </w:pPr>
      <w:bookmarkStart w:id="10" w:name="_Hlk191924084"/>
      <w:proofErr w:type="spellStart"/>
      <w:r w:rsidRPr="00C40790">
        <w:rPr>
          <w:rFonts w:cs="Times New Roman"/>
          <w:sz w:val="22"/>
        </w:rPr>
        <w:t>Anagnostou</w:t>
      </w:r>
      <w:bookmarkEnd w:id="10"/>
      <w:proofErr w:type="spellEnd"/>
      <w:r w:rsidRPr="00C40790">
        <w:rPr>
          <w:rFonts w:cs="Times New Roman"/>
          <w:sz w:val="22"/>
        </w:rPr>
        <w:t xml:space="preserve">, A. &amp; </w:t>
      </w:r>
      <w:proofErr w:type="spellStart"/>
      <w:r w:rsidRPr="00C40790">
        <w:rPr>
          <w:rFonts w:cs="Times New Roman"/>
          <w:sz w:val="22"/>
        </w:rPr>
        <w:t>Kallioras</w:t>
      </w:r>
      <w:proofErr w:type="spellEnd"/>
      <w:r w:rsidRPr="00C40790">
        <w:rPr>
          <w:rFonts w:cs="Times New Roman"/>
          <w:sz w:val="22"/>
        </w:rPr>
        <w:t>, D.  &amp; Petrakos, G. (2016). Integrating the Neighbors: A Dynamic Panel Analysis of the EU-ENP Countries’ Trade Relations. Comparative Economic Studies, ,  58(1), 17-42.</w:t>
      </w:r>
    </w:p>
    <w:p w14:paraId="11086C26" w14:textId="77777777" w:rsidR="00A13091" w:rsidRPr="00C40790" w:rsidRDefault="00FD71AD" w:rsidP="008D478F">
      <w:pPr>
        <w:spacing w:line="360" w:lineRule="auto"/>
        <w:rPr>
          <w:rFonts w:cs="Times New Roman"/>
          <w:sz w:val="22"/>
        </w:rPr>
      </w:pPr>
      <w:r w:rsidRPr="00C40790">
        <w:rPr>
          <w:rFonts w:cs="Times New Roman"/>
          <w:sz w:val="22"/>
        </w:rPr>
        <w:t>Arellano, M., and Bond, S. R. (1991). Some Tests of Specification for Panel Data: Monte Carlo Evidence and an Application to Employment Equations. Review of Economic Studies, 58, 277-297.</w:t>
      </w:r>
    </w:p>
    <w:p w14:paraId="0B29979E" w14:textId="77777777" w:rsidR="00A13091" w:rsidRPr="00C40790" w:rsidRDefault="00FD71AD" w:rsidP="008D478F">
      <w:pPr>
        <w:spacing w:line="360" w:lineRule="auto"/>
        <w:rPr>
          <w:rFonts w:cs="Times New Roman"/>
          <w:sz w:val="22"/>
        </w:rPr>
      </w:pPr>
      <w:r w:rsidRPr="00C40790">
        <w:rPr>
          <w:rFonts w:cs="Times New Roman"/>
          <w:sz w:val="22"/>
        </w:rPr>
        <w:t xml:space="preserve">Baffour </w:t>
      </w:r>
      <w:proofErr w:type="spellStart"/>
      <w:r w:rsidRPr="00C40790">
        <w:rPr>
          <w:rFonts w:cs="Times New Roman"/>
          <w:sz w:val="22"/>
        </w:rPr>
        <w:t>Gyau</w:t>
      </w:r>
      <w:proofErr w:type="spellEnd"/>
      <w:r w:rsidRPr="00C40790">
        <w:rPr>
          <w:rFonts w:cs="Times New Roman"/>
          <w:sz w:val="22"/>
        </w:rPr>
        <w:t xml:space="preserve"> E., Li Y., &amp; Appiah M. (2025). Global digital transformation: discovering the impact of digitalization on income inequality in OECD countries, the moderating role of globalization // Economic Change and Restructuring, 58(6), 1-16.</w:t>
      </w:r>
    </w:p>
    <w:p w14:paraId="55AA4983" w14:textId="77777777" w:rsidR="00A13091" w:rsidRPr="00C40790" w:rsidRDefault="00FD71AD" w:rsidP="008D478F">
      <w:pPr>
        <w:spacing w:line="360" w:lineRule="auto"/>
        <w:rPr>
          <w:rFonts w:cs="Times New Roman"/>
          <w:sz w:val="22"/>
        </w:rPr>
      </w:pPr>
      <w:r w:rsidRPr="00C40790">
        <w:rPr>
          <w:rFonts w:cs="Times New Roman"/>
          <w:sz w:val="22"/>
        </w:rPr>
        <w:t>Barro, R. J. (1996). Determinants of economic growth: A cross-country empirical study, National Bureau of Economic Research Cambridge, Mass., USA.</w:t>
      </w:r>
    </w:p>
    <w:p w14:paraId="00D2FA84" w14:textId="00ECDA05" w:rsidR="00A13091" w:rsidRPr="00C40790" w:rsidRDefault="00FD71AD" w:rsidP="008D478F">
      <w:pPr>
        <w:tabs>
          <w:tab w:val="left" w:pos="1930"/>
        </w:tabs>
        <w:spacing w:line="360" w:lineRule="auto"/>
        <w:rPr>
          <w:rFonts w:cs="Times New Roman"/>
          <w:sz w:val="22"/>
        </w:rPr>
      </w:pPr>
      <w:bookmarkStart w:id="11" w:name="_Hlk191743563"/>
      <w:proofErr w:type="spellStart"/>
      <w:r w:rsidRPr="00C40790">
        <w:rPr>
          <w:rFonts w:cs="Times New Roman"/>
          <w:sz w:val="22"/>
        </w:rPr>
        <w:t>Brida</w:t>
      </w:r>
      <w:bookmarkEnd w:id="11"/>
      <w:proofErr w:type="spellEnd"/>
      <w:r w:rsidRPr="00C40790">
        <w:rPr>
          <w:rFonts w:cs="Times New Roman"/>
          <w:sz w:val="22"/>
        </w:rPr>
        <w:t xml:space="preserve">, J.G., Alvarez, E., </w:t>
      </w:r>
      <w:proofErr w:type="spellStart"/>
      <w:r w:rsidRPr="00C40790">
        <w:rPr>
          <w:rFonts w:cs="Times New Roman"/>
          <w:sz w:val="22"/>
        </w:rPr>
        <w:t>Cayssials</w:t>
      </w:r>
      <w:proofErr w:type="spellEnd"/>
      <w:r w:rsidRPr="00C40790">
        <w:rPr>
          <w:rFonts w:cs="Times New Roman"/>
          <w:sz w:val="22"/>
        </w:rPr>
        <w:t xml:space="preserve">, G. </w:t>
      </w:r>
      <w:r w:rsidR="00B03749" w:rsidRPr="00C40790">
        <w:rPr>
          <w:rFonts w:cs="Times New Roman"/>
          <w:sz w:val="22"/>
        </w:rPr>
        <w:t>&amp;</w:t>
      </w:r>
      <w:r w:rsidRPr="00C40790">
        <w:rPr>
          <w:rFonts w:cs="Times New Roman"/>
          <w:sz w:val="22"/>
        </w:rPr>
        <w:t xml:space="preserve"> Mednik, M. (2024), "How does population growth affect economic growth and vice versa? An empirical analysis", Review of Economics and Political Science, 9 (3),</w:t>
      </w:r>
      <w:r w:rsidR="00276946" w:rsidRPr="00C40790">
        <w:rPr>
          <w:rFonts w:cs="Times New Roman"/>
          <w:sz w:val="22"/>
        </w:rPr>
        <w:t xml:space="preserve"> </w:t>
      </w:r>
      <w:r w:rsidRPr="00C40790">
        <w:rPr>
          <w:rFonts w:cs="Times New Roman"/>
          <w:sz w:val="22"/>
        </w:rPr>
        <w:t>265-297. https://doi.org/10.1108/REPS-11-2022-0093</w:t>
      </w:r>
    </w:p>
    <w:p w14:paraId="38E137DA" w14:textId="532EB1DC" w:rsidR="00A13091" w:rsidRPr="00C40790" w:rsidRDefault="00FD71AD" w:rsidP="008D478F">
      <w:pPr>
        <w:spacing w:line="360" w:lineRule="auto"/>
        <w:rPr>
          <w:rFonts w:cs="Times New Roman"/>
          <w:sz w:val="22"/>
        </w:rPr>
      </w:pPr>
      <w:proofErr w:type="spellStart"/>
      <w:r w:rsidRPr="00C40790">
        <w:rPr>
          <w:rFonts w:cs="Times New Roman"/>
          <w:sz w:val="22"/>
        </w:rPr>
        <w:t>Cayssials</w:t>
      </w:r>
      <w:proofErr w:type="spellEnd"/>
      <w:r w:rsidRPr="00C40790">
        <w:rPr>
          <w:rFonts w:cs="Times New Roman"/>
          <w:sz w:val="22"/>
        </w:rPr>
        <w:t xml:space="preserve"> G, González, F, &amp; London, S. (2024)</w:t>
      </w:r>
      <w:r w:rsidR="00BC1535" w:rsidRPr="00C40790">
        <w:rPr>
          <w:rFonts w:cs="Times New Roman"/>
          <w:sz w:val="22"/>
        </w:rPr>
        <w:t>.</w:t>
      </w:r>
      <w:r w:rsidRPr="00C40790">
        <w:rPr>
          <w:rFonts w:cs="Times New Roman"/>
          <w:sz w:val="22"/>
        </w:rPr>
        <w:t xml:space="preserve"> Population and Economic Growth: a Panel Causality Analysis. Population and Economics, 8(3):220-240. https://doi.org/10.3897/popecon.8.e109133</w:t>
      </w:r>
    </w:p>
    <w:p w14:paraId="33286BE2" w14:textId="77777777" w:rsidR="00A13091" w:rsidRPr="00C40790" w:rsidRDefault="00FD71AD" w:rsidP="008D478F">
      <w:pPr>
        <w:spacing w:line="360" w:lineRule="auto"/>
        <w:rPr>
          <w:rFonts w:cs="Times New Roman"/>
          <w:sz w:val="22"/>
        </w:rPr>
      </w:pPr>
      <w:r w:rsidRPr="00C40790">
        <w:rPr>
          <w:rFonts w:cs="Times New Roman"/>
          <w:sz w:val="22"/>
        </w:rPr>
        <w:t xml:space="preserve">Chowdhury, A., </w:t>
      </w:r>
      <w:proofErr w:type="spellStart"/>
      <w:r w:rsidRPr="00C40790">
        <w:rPr>
          <w:rFonts w:cs="Times New Roman"/>
          <w:sz w:val="22"/>
        </w:rPr>
        <w:t>Tadjoeddin</w:t>
      </w:r>
      <w:proofErr w:type="spellEnd"/>
      <w:r w:rsidRPr="00C40790">
        <w:rPr>
          <w:rFonts w:cs="Times New Roman"/>
          <w:sz w:val="22"/>
        </w:rPr>
        <w:t xml:space="preserve">, Z., &amp; </w:t>
      </w:r>
      <w:proofErr w:type="spellStart"/>
      <w:r w:rsidRPr="00C40790">
        <w:rPr>
          <w:rFonts w:cs="Times New Roman"/>
          <w:sz w:val="22"/>
        </w:rPr>
        <w:t>Vidyattama</w:t>
      </w:r>
      <w:proofErr w:type="spellEnd"/>
      <w:r w:rsidRPr="00C40790">
        <w:rPr>
          <w:rFonts w:cs="Times New Roman"/>
          <w:sz w:val="22"/>
        </w:rPr>
        <w:t>, Y. (2025). Africa’s LDCs: Victims of Colonialism and Neoliberalism. Structural Transformation as Development: Path Dependence and Geopolitics, Springer: 85-128.</w:t>
      </w:r>
    </w:p>
    <w:p w14:paraId="30BF7932" w14:textId="77777777" w:rsidR="00A13091" w:rsidRDefault="00FD71AD" w:rsidP="008D478F">
      <w:pPr>
        <w:spacing w:line="360" w:lineRule="auto"/>
        <w:rPr>
          <w:rFonts w:cs="Times New Roman"/>
          <w:sz w:val="22"/>
        </w:rPr>
      </w:pPr>
      <w:r w:rsidRPr="00C40790">
        <w:rPr>
          <w:rFonts w:cs="Times New Roman"/>
          <w:sz w:val="22"/>
        </w:rPr>
        <w:lastRenderedPageBreak/>
        <w:t xml:space="preserve">Ella, C. (2025). Demographic Dividend for Rural Development in the Commune of </w:t>
      </w:r>
      <w:proofErr w:type="spellStart"/>
      <w:r w:rsidRPr="00C40790">
        <w:rPr>
          <w:rFonts w:cs="Times New Roman"/>
          <w:sz w:val="22"/>
        </w:rPr>
        <w:t>Endom</w:t>
      </w:r>
      <w:proofErr w:type="spellEnd"/>
      <w:r w:rsidRPr="00C40790">
        <w:rPr>
          <w:rFonts w:cs="Times New Roman"/>
          <w:sz w:val="22"/>
        </w:rPr>
        <w:t xml:space="preserve">, Cameroon. </w:t>
      </w:r>
      <w:proofErr w:type="spellStart"/>
      <w:r w:rsidRPr="00C40790">
        <w:rPr>
          <w:rFonts w:cs="Times New Roman"/>
          <w:sz w:val="22"/>
        </w:rPr>
        <w:t>IntechOpen</w:t>
      </w:r>
      <w:proofErr w:type="spellEnd"/>
      <w:r w:rsidRPr="00C40790">
        <w:rPr>
          <w:rFonts w:cs="Times New Roman"/>
          <w:sz w:val="22"/>
        </w:rPr>
        <w:t xml:space="preserve">. </w:t>
      </w:r>
      <w:proofErr w:type="spellStart"/>
      <w:r w:rsidRPr="00C40790">
        <w:rPr>
          <w:rFonts w:cs="Times New Roman"/>
          <w:sz w:val="22"/>
        </w:rPr>
        <w:t>doi</w:t>
      </w:r>
      <w:proofErr w:type="spellEnd"/>
      <w:r w:rsidRPr="00C40790">
        <w:rPr>
          <w:rFonts w:cs="Times New Roman"/>
          <w:sz w:val="22"/>
        </w:rPr>
        <w:t>: 10.5772/intechopen.113847</w:t>
      </w:r>
    </w:p>
    <w:p w14:paraId="68D0698B" w14:textId="34CD9FE2" w:rsidR="00D97516" w:rsidRPr="00C40790" w:rsidRDefault="00FD71AD" w:rsidP="008D478F">
      <w:pPr>
        <w:spacing w:line="360" w:lineRule="auto"/>
        <w:rPr>
          <w:rFonts w:cs="Times New Roman"/>
          <w:sz w:val="22"/>
        </w:rPr>
      </w:pPr>
      <w:r w:rsidRPr="00D97516">
        <w:rPr>
          <w:rFonts w:cs="Times New Roman"/>
          <w:sz w:val="22"/>
        </w:rPr>
        <w:t xml:space="preserve">Faye, B., </w:t>
      </w:r>
      <w:proofErr w:type="spellStart"/>
      <w:r w:rsidRPr="00D97516">
        <w:rPr>
          <w:rFonts w:cs="Times New Roman"/>
          <w:sz w:val="22"/>
        </w:rPr>
        <w:t>Diéne</w:t>
      </w:r>
      <w:proofErr w:type="spellEnd"/>
      <w:r w:rsidRPr="00D97516">
        <w:rPr>
          <w:rFonts w:cs="Times New Roman"/>
          <w:sz w:val="22"/>
        </w:rPr>
        <w:t xml:space="preserve">, J. C., Du, G., Liang, C., </w:t>
      </w:r>
      <w:proofErr w:type="spellStart"/>
      <w:r w:rsidRPr="00D97516">
        <w:rPr>
          <w:rFonts w:cs="Times New Roman"/>
          <w:sz w:val="22"/>
        </w:rPr>
        <w:t>Kouadio</w:t>
      </w:r>
      <w:proofErr w:type="spellEnd"/>
      <w:r w:rsidRPr="00D97516">
        <w:rPr>
          <w:rFonts w:cs="Times New Roman"/>
          <w:sz w:val="22"/>
        </w:rPr>
        <w:t xml:space="preserve">, Y. D., </w:t>
      </w:r>
      <w:proofErr w:type="spellStart"/>
      <w:r w:rsidRPr="00D97516">
        <w:rPr>
          <w:rFonts w:cs="Times New Roman"/>
          <w:sz w:val="22"/>
        </w:rPr>
        <w:t>Mbaye</w:t>
      </w:r>
      <w:proofErr w:type="spellEnd"/>
      <w:r w:rsidRPr="00D97516">
        <w:rPr>
          <w:rFonts w:cs="Times New Roman"/>
          <w:sz w:val="22"/>
        </w:rPr>
        <w:t>, E., &amp; Li, Y. (2024). Decentralization Policies and Rural Socio-Economic Growth in Senegal: An Exploration of Their Contributions to Development and Transformation. World, 5(4), 1054-1076. https://doi.org/10.3390/world5040053</w:t>
      </w:r>
    </w:p>
    <w:p w14:paraId="3C994091" w14:textId="68D33B37" w:rsidR="00A13091" w:rsidRPr="00C40790" w:rsidRDefault="00FD71AD" w:rsidP="008D478F">
      <w:pPr>
        <w:spacing w:line="360" w:lineRule="auto"/>
        <w:rPr>
          <w:rFonts w:cs="Times New Roman"/>
          <w:sz w:val="22"/>
        </w:rPr>
      </w:pPr>
      <w:proofErr w:type="spellStart"/>
      <w:r w:rsidRPr="00C40790">
        <w:rPr>
          <w:rFonts w:cs="Times New Roman"/>
          <w:sz w:val="22"/>
        </w:rPr>
        <w:t>Galor</w:t>
      </w:r>
      <w:proofErr w:type="spellEnd"/>
      <w:r w:rsidRPr="00C40790">
        <w:rPr>
          <w:rFonts w:cs="Times New Roman"/>
          <w:sz w:val="22"/>
        </w:rPr>
        <w:t>, O, &amp; Weil. D. (2000).  Population, Technology, and Growth: From Malthusian Stagnation to the Demographic Transition and Beyond.</w:t>
      </w:r>
      <w:r w:rsidR="00BC1535" w:rsidRPr="00C40790">
        <w:rPr>
          <w:rFonts w:cs="Times New Roman"/>
          <w:sz w:val="22"/>
        </w:rPr>
        <w:t xml:space="preserve"> </w:t>
      </w:r>
      <w:r w:rsidRPr="00C40790">
        <w:rPr>
          <w:rFonts w:cs="Times New Roman"/>
          <w:sz w:val="22"/>
        </w:rPr>
        <w:t>American Economic Review</w:t>
      </w:r>
      <w:r w:rsidR="00BC1535" w:rsidRPr="00C40790">
        <w:rPr>
          <w:rFonts w:cs="Times New Roman"/>
          <w:sz w:val="22"/>
        </w:rPr>
        <w:t>,</w:t>
      </w:r>
      <w:r w:rsidRPr="00C40790">
        <w:rPr>
          <w:rFonts w:cs="Times New Roman"/>
          <w:sz w:val="22"/>
        </w:rPr>
        <w:t xml:space="preserve"> 90 (4), 806–828. DOI: 10.1257/aer.90.4.806</w:t>
      </w:r>
    </w:p>
    <w:p w14:paraId="5E4EC680" w14:textId="77777777" w:rsidR="00A13091" w:rsidRPr="00C40790" w:rsidRDefault="00FD71AD" w:rsidP="008D478F">
      <w:pPr>
        <w:spacing w:line="360" w:lineRule="auto"/>
        <w:rPr>
          <w:rFonts w:cs="Times New Roman"/>
          <w:sz w:val="22"/>
        </w:rPr>
      </w:pPr>
      <w:proofErr w:type="spellStart"/>
      <w:r w:rsidRPr="00C40790">
        <w:rPr>
          <w:rFonts w:cs="Times New Roman"/>
          <w:sz w:val="22"/>
        </w:rPr>
        <w:t>Gisore</w:t>
      </w:r>
      <w:proofErr w:type="spellEnd"/>
      <w:r w:rsidRPr="00C40790">
        <w:rPr>
          <w:rFonts w:cs="Times New Roman"/>
          <w:sz w:val="22"/>
        </w:rPr>
        <w:t>, N. (2021). Determinants of regional economic growth in Kenya. African Journal of Business Management, 15(1), 1-12.</w:t>
      </w:r>
    </w:p>
    <w:p w14:paraId="29AB82F6" w14:textId="2C51D046" w:rsidR="00A13091" w:rsidRPr="00C40790" w:rsidRDefault="00FD71AD" w:rsidP="008D478F">
      <w:pPr>
        <w:spacing w:line="360" w:lineRule="auto"/>
        <w:rPr>
          <w:rFonts w:cs="Times New Roman"/>
          <w:sz w:val="22"/>
        </w:rPr>
      </w:pPr>
      <w:r w:rsidRPr="00C40790">
        <w:rPr>
          <w:rFonts w:cs="Times New Roman"/>
          <w:sz w:val="22"/>
        </w:rPr>
        <w:t xml:space="preserve">Granger, C. W. J. (1969). Investigating causal relations by econometric models and cross-spectral methods. </w:t>
      </w:r>
      <w:proofErr w:type="spellStart"/>
      <w:r w:rsidRPr="00C40790">
        <w:rPr>
          <w:rFonts w:cs="Times New Roman"/>
          <w:sz w:val="22"/>
        </w:rPr>
        <w:t>Econometrica</w:t>
      </w:r>
      <w:proofErr w:type="spellEnd"/>
      <w:r w:rsidRPr="00C40790">
        <w:rPr>
          <w:rFonts w:cs="Times New Roman"/>
          <w:sz w:val="22"/>
        </w:rPr>
        <w:t>, 35, 424–438.</w:t>
      </w:r>
    </w:p>
    <w:p w14:paraId="33CBEC43" w14:textId="1974AE5C" w:rsidR="00A13091" w:rsidRPr="00C40790" w:rsidRDefault="00FD71AD" w:rsidP="008D478F">
      <w:pPr>
        <w:spacing w:line="360" w:lineRule="auto"/>
        <w:rPr>
          <w:rFonts w:cs="Times New Roman"/>
          <w:sz w:val="22"/>
        </w:rPr>
      </w:pPr>
      <w:r w:rsidRPr="00C40790">
        <w:rPr>
          <w:rFonts w:cs="Times New Roman"/>
          <w:sz w:val="22"/>
        </w:rPr>
        <w:t>Gyimah-</w:t>
      </w:r>
      <w:proofErr w:type="spellStart"/>
      <w:r w:rsidRPr="00C40790">
        <w:rPr>
          <w:rFonts w:cs="Times New Roman"/>
          <w:sz w:val="22"/>
        </w:rPr>
        <w:t>Brempong</w:t>
      </w:r>
      <w:proofErr w:type="spellEnd"/>
      <w:r w:rsidRPr="00C40790">
        <w:rPr>
          <w:rFonts w:cs="Times New Roman"/>
          <w:sz w:val="22"/>
        </w:rPr>
        <w:t>, K., &amp; Wilson, M. (2004), Health human capital and economic growth in Sub-Saharan African and OECD countries, The Quarterly Review of Economics and Finance, 44, (2), 296-320</w:t>
      </w:r>
    </w:p>
    <w:p w14:paraId="31339876" w14:textId="77777777" w:rsidR="00A13091" w:rsidRPr="00C40790" w:rsidRDefault="00FD71AD" w:rsidP="008D478F">
      <w:pPr>
        <w:spacing w:line="360" w:lineRule="auto"/>
        <w:rPr>
          <w:rFonts w:cs="Times New Roman"/>
          <w:sz w:val="22"/>
        </w:rPr>
      </w:pPr>
      <w:r w:rsidRPr="00C40790">
        <w:rPr>
          <w:rFonts w:cs="Times New Roman"/>
          <w:sz w:val="22"/>
        </w:rPr>
        <w:t>Hansen, B. E., &amp; West, K. D. (2002).  Generalized method of moments and macroeconomics. Journal of Business and Economic Statistics, 20(4), 460–469. https://www.jstor.org/stable/1392416</w:t>
      </w:r>
    </w:p>
    <w:p w14:paraId="236CC3B5" w14:textId="67DF9957" w:rsidR="00A13091" w:rsidRPr="00C40790" w:rsidRDefault="00FD71AD" w:rsidP="008D478F">
      <w:pPr>
        <w:spacing w:line="360" w:lineRule="auto"/>
        <w:rPr>
          <w:rFonts w:cs="Times New Roman"/>
          <w:sz w:val="22"/>
        </w:rPr>
      </w:pPr>
      <w:r w:rsidRPr="00C40790">
        <w:rPr>
          <w:rFonts w:cs="Times New Roman"/>
          <w:sz w:val="22"/>
        </w:rPr>
        <w:t xml:space="preserve">Holtz-Eakin, Douglas, Whitney Newey, and Harvey S. Rosen, (1988). Estimating Vector Autoregressions with Panel Data. </w:t>
      </w:r>
      <w:proofErr w:type="spellStart"/>
      <w:r w:rsidRPr="00C40790">
        <w:rPr>
          <w:rFonts w:cs="Times New Roman"/>
          <w:sz w:val="22"/>
        </w:rPr>
        <w:t>Econometrica</w:t>
      </w:r>
      <w:proofErr w:type="spellEnd"/>
      <w:r w:rsidRPr="00C40790">
        <w:rPr>
          <w:rFonts w:cs="Times New Roman"/>
          <w:sz w:val="22"/>
        </w:rPr>
        <w:t xml:space="preserve"> 56</w:t>
      </w:r>
      <w:r w:rsidR="00BC1535" w:rsidRPr="00C40790">
        <w:rPr>
          <w:rFonts w:cs="Times New Roman"/>
          <w:sz w:val="22"/>
        </w:rPr>
        <w:t>,</w:t>
      </w:r>
      <w:r w:rsidRPr="00C40790">
        <w:rPr>
          <w:rFonts w:cs="Times New Roman"/>
          <w:sz w:val="22"/>
        </w:rPr>
        <w:t>6, 1371 - 1395.</w:t>
      </w:r>
    </w:p>
    <w:p w14:paraId="1E9CAC41" w14:textId="77777777" w:rsidR="00A13091" w:rsidRPr="00C40790" w:rsidRDefault="00FD71AD" w:rsidP="008D478F">
      <w:pPr>
        <w:spacing w:line="360" w:lineRule="auto"/>
        <w:rPr>
          <w:rFonts w:cs="Times New Roman"/>
          <w:sz w:val="22"/>
        </w:rPr>
      </w:pPr>
      <w:proofErr w:type="spellStart"/>
      <w:r w:rsidRPr="00C40790">
        <w:rPr>
          <w:rFonts w:cs="Times New Roman"/>
          <w:sz w:val="22"/>
        </w:rPr>
        <w:t>Im</w:t>
      </w:r>
      <w:proofErr w:type="spellEnd"/>
      <w:r w:rsidRPr="00C40790">
        <w:rPr>
          <w:rFonts w:cs="Times New Roman"/>
          <w:sz w:val="22"/>
        </w:rPr>
        <w:t xml:space="preserve">, K.S., </w:t>
      </w:r>
      <w:proofErr w:type="spellStart"/>
      <w:r w:rsidRPr="00C40790">
        <w:rPr>
          <w:rFonts w:cs="Times New Roman"/>
          <w:sz w:val="22"/>
        </w:rPr>
        <w:t>Pesaran</w:t>
      </w:r>
      <w:proofErr w:type="spellEnd"/>
      <w:r w:rsidRPr="00C40790">
        <w:rPr>
          <w:rFonts w:cs="Times New Roman"/>
          <w:sz w:val="22"/>
        </w:rPr>
        <w:t>, M.H. and Shin, Y. (2003) Testing for Unit Roots in Heterogeneous Panels. Journal of Econometrics, 115, 53-74. https://doi.org/10.1016/S0304-4076(03)00092-7</w:t>
      </w:r>
    </w:p>
    <w:p w14:paraId="7B89079C" w14:textId="77777777" w:rsidR="00A13091" w:rsidRPr="00C40790" w:rsidRDefault="00FD71AD" w:rsidP="008D478F">
      <w:pPr>
        <w:spacing w:line="360" w:lineRule="auto"/>
        <w:rPr>
          <w:rFonts w:cs="Times New Roman"/>
          <w:sz w:val="22"/>
        </w:rPr>
      </w:pPr>
      <w:r w:rsidRPr="00C40790">
        <w:rPr>
          <w:rFonts w:cs="Times New Roman"/>
          <w:sz w:val="22"/>
        </w:rPr>
        <w:t>Jones, C. (1995). Time Series Tests of Endogenous Growth Models. Quarterly Journal of Economics, 110(1), 495–525.</w:t>
      </w:r>
    </w:p>
    <w:p w14:paraId="52F5EF3F" w14:textId="77777777" w:rsidR="00A13091" w:rsidRPr="00C40790" w:rsidRDefault="00FD71AD" w:rsidP="008D478F">
      <w:pPr>
        <w:spacing w:line="360" w:lineRule="auto"/>
        <w:rPr>
          <w:rFonts w:eastAsia="Times New Roman" w:cs="Times New Roman"/>
          <w:kern w:val="0"/>
          <w:sz w:val="22"/>
          <w14:ligatures w14:val="none"/>
        </w:rPr>
      </w:pPr>
      <w:bookmarkStart w:id="12" w:name="_Hlk191629007"/>
      <w:r w:rsidRPr="00C40790">
        <w:rPr>
          <w:rFonts w:eastAsia="Times New Roman" w:cs="Times New Roman"/>
          <w:kern w:val="0"/>
          <w:sz w:val="22"/>
          <w14:ligatures w14:val="none"/>
        </w:rPr>
        <w:t xml:space="preserve">Jones </w:t>
      </w:r>
      <w:bookmarkEnd w:id="12"/>
      <w:r w:rsidRPr="00C40790">
        <w:rPr>
          <w:rFonts w:eastAsia="Times New Roman" w:cs="Times New Roman"/>
          <w:kern w:val="0"/>
          <w:sz w:val="22"/>
          <w14:ligatures w14:val="none"/>
        </w:rPr>
        <w:t xml:space="preserve">I. (1998). Population and Ideas: A Theory of Endogenous Growth. Stanford University Economics, Working Paper 97-018, Available at SSRN: </w:t>
      </w:r>
      <w:hyperlink r:id="rId6" w:tgtFrame="_blank" w:history="1">
        <w:r w:rsidR="00A13091" w:rsidRPr="00C40790">
          <w:rPr>
            <w:rFonts w:eastAsia="Times New Roman" w:cs="Times New Roman"/>
            <w:kern w:val="0"/>
            <w:sz w:val="22"/>
            <w:u w:val="single"/>
            <w14:ligatures w14:val="none"/>
          </w:rPr>
          <w:t>https://ssrn.com/abstract=78688</w:t>
        </w:r>
      </w:hyperlink>
      <w:r w:rsidRPr="00C40790">
        <w:rPr>
          <w:rFonts w:eastAsia="Times New Roman" w:cs="Times New Roman"/>
          <w:kern w:val="0"/>
          <w:sz w:val="22"/>
          <w14:ligatures w14:val="none"/>
        </w:rPr>
        <w:t xml:space="preserve"> or </w:t>
      </w:r>
      <w:hyperlink r:id="rId7" w:tgtFrame="_blank" w:history="1">
        <w:r w:rsidR="00A13091" w:rsidRPr="00C40790">
          <w:rPr>
            <w:rFonts w:eastAsia="Times New Roman" w:cs="Times New Roman"/>
            <w:kern w:val="0"/>
            <w:sz w:val="22"/>
            <w:u w:val="single"/>
            <w14:ligatures w14:val="none"/>
          </w:rPr>
          <w:t xml:space="preserve">http://dx.doi.org/10.2139/ssrn.78688 </w:t>
        </w:r>
      </w:hyperlink>
    </w:p>
    <w:p w14:paraId="3FE81C3A" w14:textId="77777777" w:rsidR="00A13091" w:rsidRPr="00C40790" w:rsidRDefault="00FD71AD" w:rsidP="008D478F">
      <w:pPr>
        <w:spacing w:line="360" w:lineRule="auto"/>
        <w:rPr>
          <w:rFonts w:cs="Times New Roman"/>
          <w:sz w:val="22"/>
        </w:rPr>
      </w:pPr>
      <w:proofErr w:type="spellStart"/>
      <w:r w:rsidRPr="00C40790">
        <w:rPr>
          <w:rFonts w:cs="Times New Roman"/>
          <w:sz w:val="22"/>
        </w:rPr>
        <w:t>Kibet</w:t>
      </w:r>
      <w:proofErr w:type="spellEnd"/>
      <w:r w:rsidRPr="00C40790">
        <w:rPr>
          <w:rFonts w:cs="Times New Roman"/>
          <w:sz w:val="22"/>
        </w:rPr>
        <w:t xml:space="preserve">, L., Kiprop, S. &amp; </w:t>
      </w:r>
      <w:proofErr w:type="spellStart"/>
      <w:r w:rsidRPr="00C40790">
        <w:rPr>
          <w:rFonts w:cs="Times New Roman"/>
          <w:sz w:val="22"/>
        </w:rPr>
        <w:t>Mose</w:t>
      </w:r>
      <w:proofErr w:type="spellEnd"/>
      <w:r w:rsidRPr="00C40790">
        <w:rPr>
          <w:rFonts w:cs="Times New Roman"/>
          <w:sz w:val="22"/>
        </w:rPr>
        <w:t>, N (2019). The effect of county government expenditure on gross county product in Kenya: A panel data analysis. African Journal of Business Management, 13(13), 428-437</w:t>
      </w:r>
    </w:p>
    <w:p w14:paraId="468FBCD4" w14:textId="77777777" w:rsidR="00A13091" w:rsidRPr="00C40790" w:rsidRDefault="00FD71AD" w:rsidP="008D478F">
      <w:pPr>
        <w:spacing w:line="360" w:lineRule="auto"/>
        <w:rPr>
          <w:rFonts w:cs="Times New Roman"/>
          <w:sz w:val="22"/>
        </w:rPr>
      </w:pPr>
      <w:proofErr w:type="spellStart"/>
      <w:r w:rsidRPr="00C40790">
        <w:rPr>
          <w:rFonts w:cs="Times New Roman"/>
          <w:sz w:val="22"/>
        </w:rPr>
        <w:lastRenderedPageBreak/>
        <w:t>Kipkogei</w:t>
      </w:r>
      <w:proofErr w:type="spellEnd"/>
      <w:r w:rsidRPr="00C40790">
        <w:rPr>
          <w:rFonts w:cs="Times New Roman"/>
          <w:sz w:val="22"/>
        </w:rPr>
        <w:t xml:space="preserve"> S, Han J, </w:t>
      </w:r>
      <w:proofErr w:type="spellStart"/>
      <w:r w:rsidRPr="00C40790">
        <w:rPr>
          <w:rFonts w:cs="Times New Roman"/>
          <w:sz w:val="22"/>
        </w:rPr>
        <w:t>Mwalupaso</w:t>
      </w:r>
      <w:proofErr w:type="spellEnd"/>
      <w:r w:rsidRPr="00C40790">
        <w:rPr>
          <w:rFonts w:cs="Times New Roman"/>
          <w:sz w:val="22"/>
        </w:rPr>
        <w:t xml:space="preserve"> G, </w:t>
      </w:r>
      <w:proofErr w:type="spellStart"/>
      <w:r w:rsidRPr="00C40790">
        <w:rPr>
          <w:rFonts w:cs="Times New Roman"/>
          <w:sz w:val="22"/>
        </w:rPr>
        <w:t>Tanui</w:t>
      </w:r>
      <w:proofErr w:type="spellEnd"/>
      <w:r w:rsidRPr="00C40790">
        <w:rPr>
          <w:rFonts w:cs="Times New Roman"/>
          <w:sz w:val="22"/>
        </w:rPr>
        <w:t xml:space="preserve"> J, &amp; </w:t>
      </w:r>
      <w:proofErr w:type="spellStart"/>
      <w:r w:rsidRPr="00C40790">
        <w:rPr>
          <w:rFonts w:cs="Times New Roman"/>
          <w:sz w:val="22"/>
        </w:rPr>
        <w:t>Brenya</w:t>
      </w:r>
      <w:proofErr w:type="spellEnd"/>
      <w:r w:rsidRPr="00C40790">
        <w:rPr>
          <w:rFonts w:cs="Times New Roman"/>
          <w:sz w:val="22"/>
        </w:rPr>
        <w:t xml:space="preserve"> R (2025) The synergistic effects of microcredit access and agricultural technology adoption on maize farmer’s income in Kenya. </w:t>
      </w:r>
      <w:proofErr w:type="spellStart"/>
      <w:r w:rsidRPr="00C40790">
        <w:rPr>
          <w:rFonts w:cs="Times New Roman"/>
          <w:sz w:val="22"/>
        </w:rPr>
        <w:t>PLoS</w:t>
      </w:r>
      <w:proofErr w:type="spellEnd"/>
      <w:r w:rsidRPr="00C40790">
        <w:rPr>
          <w:rFonts w:cs="Times New Roman"/>
          <w:sz w:val="22"/>
        </w:rPr>
        <w:t xml:space="preserve"> ONE, 20(1), e0316014. </w:t>
      </w:r>
      <w:hyperlink r:id="rId8" w:history="1">
        <w:r w:rsidR="00A13091" w:rsidRPr="00C40790">
          <w:rPr>
            <w:rFonts w:cs="Times New Roman"/>
            <w:color w:val="0563C1" w:themeColor="hyperlink"/>
            <w:sz w:val="22"/>
            <w:u w:val="single"/>
          </w:rPr>
          <w:t>https://doi.org/10.1371/journal.pone.0316014</w:t>
        </w:r>
      </w:hyperlink>
      <w:r w:rsidRPr="00C40790">
        <w:rPr>
          <w:rFonts w:cs="Times New Roman"/>
          <w:sz w:val="22"/>
        </w:rPr>
        <w:t>.</w:t>
      </w:r>
    </w:p>
    <w:p w14:paraId="134BF01A" w14:textId="77777777" w:rsidR="00A13091" w:rsidRPr="00C40790" w:rsidRDefault="00FD71AD" w:rsidP="008D478F">
      <w:pPr>
        <w:spacing w:line="360" w:lineRule="auto"/>
        <w:rPr>
          <w:rFonts w:cs="Times New Roman"/>
          <w:sz w:val="22"/>
        </w:rPr>
      </w:pPr>
      <w:r w:rsidRPr="00C40790">
        <w:rPr>
          <w:rFonts w:cs="Times New Roman"/>
          <w:sz w:val="22"/>
        </w:rPr>
        <w:t>Kelley, A. C. &amp; Schmidt, R.  (2005). Evolution of recent economic-demographic modeling: A synthesis. Journal of Population Economics, 18, 275-300.</w:t>
      </w:r>
    </w:p>
    <w:p w14:paraId="6346DC2D" w14:textId="77777777" w:rsidR="00A13091" w:rsidRPr="00C40790" w:rsidRDefault="00FD71AD" w:rsidP="008D478F">
      <w:pPr>
        <w:spacing w:line="360" w:lineRule="auto"/>
        <w:rPr>
          <w:rFonts w:cs="Times New Roman"/>
          <w:sz w:val="22"/>
        </w:rPr>
      </w:pPr>
      <w:r w:rsidRPr="00C40790">
        <w:rPr>
          <w:rFonts w:cs="Times New Roman"/>
          <w:sz w:val="22"/>
        </w:rPr>
        <w:t>KIPPRA. (2021). Kenya Economic Report 2021. KIPPRA. Nairobi</w:t>
      </w:r>
    </w:p>
    <w:p w14:paraId="3079962C" w14:textId="77777777" w:rsidR="00A13091" w:rsidRPr="00C40790" w:rsidRDefault="00FD71AD" w:rsidP="008D478F">
      <w:pPr>
        <w:spacing w:line="360" w:lineRule="auto"/>
        <w:rPr>
          <w:rFonts w:cs="Times New Roman"/>
          <w:sz w:val="22"/>
        </w:rPr>
      </w:pPr>
      <w:r w:rsidRPr="00C40790">
        <w:rPr>
          <w:rFonts w:cs="Times New Roman"/>
          <w:sz w:val="22"/>
        </w:rPr>
        <w:t>KNBS. (2023). Gross County Product Report 2023. Kenya National Bureau of Statistics, Nairobi.</w:t>
      </w:r>
    </w:p>
    <w:p w14:paraId="02ED8135" w14:textId="2BD37597" w:rsidR="00A13091" w:rsidRPr="00C40790" w:rsidRDefault="00FD71AD" w:rsidP="008D478F">
      <w:pPr>
        <w:spacing w:line="360" w:lineRule="auto"/>
        <w:rPr>
          <w:rFonts w:cs="Times New Roman"/>
          <w:sz w:val="22"/>
        </w:rPr>
      </w:pPr>
      <w:r w:rsidRPr="00C40790">
        <w:rPr>
          <w:rFonts w:cs="Times New Roman"/>
          <w:sz w:val="22"/>
        </w:rPr>
        <w:t>Levine, A., Lin, C. F., &amp; Chu, C. S., (2002). Unit root tests in panel data: asymptotic and finite-sample properties. Journal of Econometrics, 108, 1-24.</w:t>
      </w:r>
    </w:p>
    <w:p w14:paraId="6C827271" w14:textId="59AFCC08" w:rsidR="00A13091" w:rsidRPr="00C40790" w:rsidRDefault="00FD71AD" w:rsidP="008D478F">
      <w:pPr>
        <w:spacing w:line="360" w:lineRule="auto"/>
        <w:rPr>
          <w:rFonts w:cs="Times New Roman"/>
          <w:sz w:val="22"/>
        </w:rPr>
      </w:pPr>
      <w:r w:rsidRPr="00C40790">
        <w:rPr>
          <w:rFonts w:cs="Times New Roman"/>
          <w:sz w:val="22"/>
        </w:rPr>
        <w:t>Lucas, R. (1988)</w:t>
      </w:r>
      <w:r w:rsidR="00B03749" w:rsidRPr="00C40790">
        <w:rPr>
          <w:rFonts w:cs="Times New Roman"/>
          <w:sz w:val="22"/>
        </w:rPr>
        <w:t>.</w:t>
      </w:r>
      <w:r w:rsidRPr="00C40790">
        <w:rPr>
          <w:rFonts w:cs="Times New Roman"/>
          <w:sz w:val="22"/>
        </w:rPr>
        <w:t xml:space="preserve"> On the Mechanics of Economic Development. Journal of Monetary Economics, 22, 3-42. </w:t>
      </w:r>
      <w:hyperlink r:id="rId9" w:history="1">
        <w:r w:rsidR="00A13091" w:rsidRPr="00C40790">
          <w:rPr>
            <w:rFonts w:cs="Times New Roman"/>
            <w:color w:val="0563C1" w:themeColor="hyperlink"/>
            <w:sz w:val="22"/>
            <w:u w:val="single"/>
          </w:rPr>
          <w:t>http://dx.doi.org/10.1016/0304-3932(88)90168-7</w:t>
        </w:r>
      </w:hyperlink>
    </w:p>
    <w:p w14:paraId="636D4EFD" w14:textId="77777777" w:rsidR="00A13091" w:rsidRPr="00C40790" w:rsidRDefault="00FD71AD" w:rsidP="008D478F">
      <w:pPr>
        <w:spacing w:line="360" w:lineRule="auto"/>
        <w:rPr>
          <w:rFonts w:cs="Times New Roman"/>
          <w:sz w:val="22"/>
        </w:rPr>
      </w:pPr>
      <w:r w:rsidRPr="00C40790">
        <w:rPr>
          <w:rFonts w:cs="Times New Roman"/>
          <w:sz w:val="22"/>
        </w:rPr>
        <w:t>Mahmoud, A. (2007). Foreign Direct Investment and Economic Growth in the GCC Countries:  A Causality Investigation Using Heterogeneous Panel Analysis. Topics in Middle Eastern and African Economies, 9(9): 1-31.</w:t>
      </w:r>
    </w:p>
    <w:p w14:paraId="737C2D14" w14:textId="3D66C371" w:rsidR="00A13091" w:rsidRPr="00C40790" w:rsidRDefault="00FD71AD" w:rsidP="008D478F">
      <w:pPr>
        <w:spacing w:line="360" w:lineRule="auto"/>
        <w:rPr>
          <w:rFonts w:cs="Times New Roman"/>
          <w:sz w:val="22"/>
        </w:rPr>
      </w:pPr>
      <w:r w:rsidRPr="00C40790">
        <w:rPr>
          <w:rFonts w:cs="Times New Roman"/>
          <w:sz w:val="22"/>
        </w:rPr>
        <w:t>Malthus, T. (1798). An Essay on the Principle of Population</w:t>
      </w:r>
      <w:r w:rsidR="00B03749" w:rsidRPr="00C40790">
        <w:rPr>
          <w:rFonts w:cs="Times New Roman"/>
          <w:sz w:val="22"/>
        </w:rPr>
        <w:t xml:space="preserve">. </w:t>
      </w:r>
      <w:r w:rsidRPr="00C40790">
        <w:rPr>
          <w:rFonts w:cs="Times New Roman"/>
          <w:sz w:val="22"/>
        </w:rPr>
        <w:t>History of Economic Thought Books, McMaster University Archive for the History of Economic Thought, number Malthus 1798.</w:t>
      </w:r>
    </w:p>
    <w:p w14:paraId="7DDA4B0D" w14:textId="6E4322EF" w:rsidR="00A13091" w:rsidRPr="00C40790" w:rsidRDefault="00FD71AD" w:rsidP="008D478F">
      <w:pPr>
        <w:spacing w:line="360" w:lineRule="auto"/>
        <w:rPr>
          <w:rFonts w:cs="Times New Roman"/>
          <w:sz w:val="22"/>
        </w:rPr>
      </w:pPr>
      <w:proofErr w:type="spellStart"/>
      <w:r w:rsidRPr="00C40790">
        <w:rPr>
          <w:rFonts w:cs="Times New Roman"/>
          <w:sz w:val="22"/>
        </w:rPr>
        <w:t>Marslev</w:t>
      </w:r>
      <w:proofErr w:type="spellEnd"/>
      <w:r w:rsidRPr="00C40790">
        <w:rPr>
          <w:rFonts w:cs="Times New Roman"/>
          <w:sz w:val="22"/>
        </w:rPr>
        <w:t xml:space="preserve">, K., &amp; Whitfield, L. (2025). Why do labor regimes change? Worker power, the supplier squeeze, and structural transformation in the global apparel industry, Journal of Economic </w:t>
      </w:r>
      <w:r w:rsidR="00B03749" w:rsidRPr="00C40790">
        <w:rPr>
          <w:rFonts w:cs="Times New Roman"/>
          <w:sz w:val="22"/>
        </w:rPr>
        <w:t>Geography, lbae</w:t>
      </w:r>
      <w:r w:rsidRPr="00C40790">
        <w:rPr>
          <w:rFonts w:cs="Times New Roman"/>
          <w:sz w:val="22"/>
        </w:rPr>
        <w:t>049. https://doi.org/10.1093/jeg/lbae049</w:t>
      </w:r>
    </w:p>
    <w:p w14:paraId="17E090BE" w14:textId="4E0B3B13" w:rsidR="00A13091" w:rsidRPr="00C40790" w:rsidRDefault="00FD71AD" w:rsidP="00B03749">
      <w:pPr>
        <w:spacing w:after="0" w:line="360" w:lineRule="auto"/>
        <w:rPr>
          <w:rFonts w:cs="Times New Roman"/>
          <w:sz w:val="22"/>
        </w:rPr>
      </w:pPr>
      <w:proofErr w:type="spellStart"/>
      <w:r w:rsidRPr="00C40790">
        <w:rPr>
          <w:rFonts w:cs="Times New Roman"/>
          <w:sz w:val="22"/>
        </w:rPr>
        <w:t>Muzioreva</w:t>
      </w:r>
      <w:proofErr w:type="spellEnd"/>
      <w:r w:rsidRPr="00C40790">
        <w:rPr>
          <w:rFonts w:cs="Times New Roman"/>
          <w:sz w:val="22"/>
        </w:rPr>
        <w:t xml:space="preserve"> H, Gumbo T. (2024). Decentralized sanitation alternatives in cities of the global south—A case of constructed wetlands in Bulawayo, Zimbabwe. Journal of Infrastructure,</w:t>
      </w:r>
      <w:r w:rsidR="00B03749" w:rsidRPr="00C40790">
        <w:rPr>
          <w:rFonts w:cs="Times New Roman"/>
          <w:sz w:val="22"/>
        </w:rPr>
        <w:t xml:space="preserve"> </w:t>
      </w:r>
      <w:r w:rsidRPr="00C40790">
        <w:rPr>
          <w:rFonts w:cs="Times New Roman"/>
          <w:sz w:val="22"/>
        </w:rPr>
        <w:t xml:space="preserve">Policy and Development. 8(11): 7815. </w:t>
      </w:r>
      <w:hyperlink r:id="rId10" w:history="1">
        <w:r w:rsidR="00A13091" w:rsidRPr="00C40790">
          <w:rPr>
            <w:rFonts w:cs="Times New Roman"/>
            <w:color w:val="0563C1" w:themeColor="hyperlink"/>
            <w:sz w:val="22"/>
            <w:u w:val="single"/>
          </w:rPr>
          <w:t>https://doi.org/10.24294/jipd.v8i11.7815</w:t>
        </w:r>
      </w:hyperlink>
    </w:p>
    <w:p w14:paraId="1D1D8186" w14:textId="1F431DF5" w:rsidR="00A13091" w:rsidRDefault="00FD71AD" w:rsidP="008D478F">
      <w:pPr>
        <w:spacing w:line="360" w:lineRule="auto"/>
        <w:rPr>
          <w:rFonts w:cs="Times New Roman"/>
          <w:sz w:val="22"/>
        </w:rPr>
      </w:pPr>
      <w:r w:rsidRPr="00C40790">
        <w:rPr>
          <w:rFonts w:cs="Times New Roman"/>
          <w:sz w:val="22"/>
        </w:rPr>
        <w:t xml:space="preserve">Muhammad. I. (2025). Role of Revenue Contributions to Economic Growth in Nigeria: 1994 – 2022. Journal of Management Science and Career Development, 7(7), 115-132. </w:t>
      </w:r>
      <w:hyperlink r:id="rId11" w:history="1">
        <w:r w:rsidR="00D97516" w:rsidRPr="0022268B">
          <w:rPr>
            <w:rStyle w:val="Hyperlink"/>
            <w:rFonts w:cs="Times New Roman"/>
            <w:sz w:val="22"/>
          </w:rPr>
          <w:t>https://doi.org/10.70382/sjmscd.v7i7.018</w:t>
        </w:r>
      </w:hyperlink>
    </w:p>
    <w:p w14:paraId="4C3D468F" w14:textId="6CBF3EEE" w:rsidR="00D97516" w:rsidRDefault="00FD71AD" w:rsidP="008D478F">
      <w:pPr>
        <w:spacing w:line="360" w:lineRule="auto"/>
        <w:rPr>
          <w:rFonts w:cs="Times New Roman"/>
          <w:sz w:val="22"/>
        </w:rPr>
      </w:pPr>
      <w:r w:rsidRPr="00D97516">
        <w:rPr>
          <w:rFonts w:cs="Times New Roman"/>
          <w:sz w:val="22"/>
        </w:rPr>
        <w:t>Musgrave, R.A</w:t>
      </w:r>
      <w:r>
        <w:rPr>
          <w:rFonts w:cs="Times New Roman"/>
          <w:sz w:val="22"/>
        </w:rPr>
        <w:t>.</w:t>
      </w:r>
      <w:r w:rsidRPr="00D97516">
        <w:rPr>
          <w:rFonts w:cs="Times New Roman"/>
          <w:sz w:val="22"/>
        </w:rPr>
        <w:t xml:space="preserve"> (1959). The theory of public finance: A study in public economy. New York:</w:t>
      </w:r>
      <w:r>
        <w:rPr>
          <w:rFonts w:cs="Times New Roman"/>
          <w:sz w:val="22"/>
        </w:rPr>
        <w:t xml:space="preserve"> </w:t>
      </w:r>
      <w:r w:rsidRPr="00D97516">
        <w:rPr>
          <w:rFonts w:cs="Times New Roman"/>
          <w:sz w:val="22"/>
        </w:rPr>
        <w:t>McGraw–Hill</w:t>
      </w:r>
      <w:r>
        <w:rPr>
          <w:rFonts w:cs="Times New Roman"/>
          <w:sz w:val="22"/>
        </w:rPr>
        <w:t>.</w:t>
      </w:r>
    </w:p>
    <w:p w14:paraId="0FFEA383" w14:textId="1C9CF3AF" w:rsidR="00A13091" w:rsidRPr="00C40790" w:rsidRDefault="00FD71AD" w:rsidP="008D478F">
      <w:pPr>
        <w:spacing w:line="360" w:lineRule="auto"/>
        <w:rPr>
          <w:rFonts w:cs="Times New Roman"/>
          <w:sz w:val="22"/>
        </w:rPr>
      </w:pPr>
      <w:r w:rsidRPr="00C40790">
        <w:rPr>
          <w:rFonts w:cs="Times New Roman"/>
          <w:sz w:val="22"/>
        </w:rPr>
        <w:t xml:space="preserve">National Research Council. (1986). Population Growth and Economic Development: Policy Questions. Washington, DC: The National Academies Press. </w:t>
      </w:r>
      <w:hyperlink r:id="rId12" w:history="1">
        <w:r w:rsidR="00A13091" w:rsidRPr="00C40790">
          <w:rPr>
            <w:rFonts w:cs="Times New Roman"/>
            <w:color w:val="0563C1" w:themeColor="hyperlink"/>
            <w:sz w:val="22"/>
            <w:u w:val="single"/>
          </w:rPr>
          <w:t>https://doi.org/10.17226/620</w:t>
        </w:r>
      </w:hyperlink>
      <w:r w:rsidRPr="00C40790">
        <w:rPr>
          <w:rFonts w:cs="Times New Roman"/>
          <w:sz w:val="22"/>
        </w:rPr>
        <w:t>.</w:t>
      </w:r>
    </w:p>
    <w:p w14:paraId="36D3840D" w14:textId="77777777" w:rsidR="00A13091" w:rsidRPr="00C40790" w:rsidRDefault="00FD71AD" w:rsidP="008D478F">
      <w:pPr>
        <w:spacing w:line="360" w:lineRule="auto"/>
        <w:rPr>
          <w:rFonts w:cs="Times New Roman"/>
          <w:sz w:val="22"/>
        </w:rPr>
      </w:pPr>
      <w:proofErr w:type="spellStart"/>
      <w:r w:rsidRPr="00C40790">
        <w:rPr>
          <w:rFonts w:cs="Times New Roman"/>
          <w:sz w:val="22"/>
        </w:rPr>
        <w:lastRenderedPageBreak/>
        <w:t>Ogeya</w:t>
      </w:r>
      <w:proofErr w:type="spellEnd"/>
      <w:r w:rsidRPr="00C40790">
        <w:rPr>
          <w:rFonts w:cs="Times New Roman"/>
          <w:sz w:val="22"/>
        </w:rPr>
        <w:t xml:space="preserve">, M., </w:t>
      </w:r>
      <w:proofErr w:type="spellStart"/>
      <w:r w:rsidRPr="00C40790">
        <w:rPr>
          <w:rFonts w:cs="Times New Roman"/>
          <w:sz w:val="22"/>
        </w:rPr>
        <w:t>Nyambane</w:t>
      </w:r>
      <w:proofErr w:type="spellEnd"/>
      <w:r w:rsidRPr="00C40790">
        <w:rPr>
          <w:rFonts w:cs="Times New Roman"/>
          <w:sz w:val="22"/>
        </w:rPr>
        <w:t>, A. &amp; Wanjiru, H. (2018). Technical report: Nordic Green to Scale for countries: Unlocking the potential of climate solutions in Kenya and Ethiopia. Nordic Council of Ministers, Copenhagen. http://doi.org/10.6027/TN2018-550</w:t>
      </w:r>
    </w:p>
    <w:p w14:paraId="6B7DA7AF" w14:textId="77777777" w:rsidR="00A13091" w:rsidRPr="00C40790" w:rsidRDefault="00FD71AD" w:rsidP="008D478F">
      <w:pPr>
        <w:spacing w:line="360" w:lineRule="auto"/>
        <w:rPr>
          <w:rFonts w:cs="Times New Roman"/>
          <w:sz w:val="22"/>
        </w:rPr>
      </w:pPr>
      <w:proofErr w:type="spellStart"/>
      <w:r w:rsidRPr="00C40790">
        <w:rPr>
          <w:rFonts w:cs="Times New Roman"/>
          <w:sz w:val="22"/>
        </w:rPr>
        <w:t>Okutse</w:t>
      </w:r>
      <w:proofErr w:type="spellEnd"/>
      <w:r w:rsidRPr="00C40790">
        <w:rPr>
          <w:rFonts w:cs="Times New Roman"/>
          <w:sz w:val="22"/>
        </w:rPr>
        <w:t xml:space="preserve">, A. O. &amp; H. </w:t>
      </w:r>
      <w:proofErr w:type="spellStart"/>
      <w:r w:rsidRPr="00C40790">
        <w:rPr>
          <w:rFonts w:cs="Times New Roman"/>
          <w:sz w:val="22"/>
        </w:rPr>
        <w:t>Athiany</w:t>
      </w:r>
      <w:proofErr w:type="spellEnd"/>
      <w:r w:rsidRPr="00C40790">
        <w:rPr>
          <w:rFonts w:cs="Times New Roman"/>
          <w:sz w:val="22"/>
        </w:rPr>
        <w:t xml:space="preserve"> (2025). Socioeconomic disparities in child malnutrition: trends, determinants, and policy implications from the Kenya demographic and health survey (2014-2022). BMC Public Health 25(1), 1-17.</w:t>
      </w:r>
    </w:p>
    <w:p w14:paraId="4E96D0EC" w14:textId="77777777" w:rsidR="00A13091" w:rsidRPr="00C40790" w:rsidRDefault="00FD71AD" w:rsidP="008D478F">
      <w:pPr>
        <w:spacing w:line="360" w:lineRule="auto"/>
        <w:rPr>
          <w:rFonts w:cs="Times New Roman"/>
          <w:sz w:val="22"/>
        </w:rPr>
      </w:pPr>
      <w:proofErr w:type="spellStart"/>
      <w:r w:rsidRPr="00C40790">
        <w:rPr>
          <w:rFonts w:cs="Times New Roman"/>
          <w:sz w:val="22"/>
        </w:rPr>
        <w:t>Oluchiri</w:t>
      </w:r>
      <w:proofErr w:type="spellEnd"/>
      <w:r w:rsidRPr="00C40790">
        <w:rPr>
          <w:rFonts w:cs="Times New Roman"/>
          <w:sz w:val="22"/>
        </w:rPr>
        <w:t>, S. O. (2025). Urban Flooding in the Cities of Kisumu, Mombasa, and Nairobi, Kenya: Causes, Vulnerability Factors, and Management. African Journal of Empirical Research 6(1), 342-351.</w:t>
      </w:r>
    </w:p>
    <w:p w14:paraId="0AD9BA64" w14:textId="77777777" w:rsidR="00A13091" w:rsidRPr="00C40790" w:rsidRDefault="00FD71AD" w:rsidP="008D478F">
      <w:pPr>
        <w:spacing w:line="360" w:lineRule="auto"/>
        <w:rPr>
          <w:rFonts w:cs="Times New Roman"/>
          <w:sz w:val="22"/>
        </w:rPr>
      </w:pPr>
      <w:proofErr w:type="spellStart"/>
      <w:r w:rsidRPr="00C40790">
        <w:rPr>
          <w:rFonts w:cs="Times New Roman"/>
          <w:sz w:val="22"/>
        </w:rPr>
        <w:t>Pedroni</w:t>
      </w:r>
      <w:proofErr w:type="spellEnd"/>
      <w:r w:rsidRPr="00C40790">
        <w:rPr>
          <w:rFonts w:cs="Times New Roman"/>
          <w:sz w:val="22"/>
        </w:rPr>
        <w:t>, P. (1999). Critical Values for Cointegration Tests in Heterogeneous Panels with Multiple Regressors. Oxford Bulletin of Economics and Statistics 61, 653–678.</w:t>
      </w:r>
    </w:p>
    <w:p w14:paraId="5DD03AD6" w14:textId="77777777" w:rsidR="00A13091" w:rsidRPr="00C40790" w:rsidRDefault="00FD71AD" w:rsidP="008D478F">
      <w:pPr>
        <w:spacing w:line="360" w:lineRule="auto"/>
        <w:rPr>
          <w:rFonts w:cs="Times New Roman"/>
          <w:sz w:val="22"/>
        </w:rPr>
      </w:pPr>
      <w:proofErr w:type="spellStart"/>
      <w:r w:rsidRPr="00C40790">
        <w:rPr>
          <w:rFonts w:cs="Times New Roman"/>
          <w:sz w:val="22"/>
        </w:rPr>
        <w:t>Pesaran</w:t>
      </w:r>
      <w:proofErr w:type="spellEnd"/>
      <w:r w:rsidRPr="00C40790">
        <w:rPr>
          <w:rFonts w:cs="Times New Roman"/>
          <w:sz w:val="22"/>
        </w:rPr>
        <w:t>, M. H., Ullah, A., &amp; Yamagata, T. (2008). A bias-adjusted LM test of error cross-section independence. Econometrics Journal, 11(1), 105–127. https://doi.org/10.1111/j.1368-423X.2007.00227.x</w:t>
      </w:r>
    </w:p>
    <w:p w14:paraId="186DF98A" w14:textId="77777777" w:rsidR="00A13091" w:rsidRPr="00C40790" w:rsidRDefault="00FD71AD" w:rsidP="008D478F">
      <w:pPr>
        <w:spacing w:line="360" w:lineRule="auto"/>
        <w:rPr>
          <w:rFonts w:cs="Times New Roman"/>
          <w:sz w:val="22"/>
        </w:rPr>
      </w:pPr>
      <w:proofErr w:type="spellStart"/>
      <w:r w:rsidRPr="00C40790">
        <w:rPr>
          <w:rFonts w:cs="Times New Roman"/>
          <w:sz w:val="22"/>
        </w:rPr>
        <w:t>Rebecah</w:t>
      </w:r>
      <w:proofErr w:type="spellEnd"/>
      <w:r w:rsidRPr="00C40790">
        <w:rPr>
          <w:rFonts w:cs="Times New Roman"/>
          <w:sz w:val="22"/>
        </w:rPr>
        <w:t xml:space="preserve">, A. (2023). Influence of Selected Economic Factors on Volatility of Housing Prices in Nakuru and Kiambu Counties, Kenya. </w:t>
      </w:r>
      <w:proofErr w:type="spellStart"/>
      <w:r w:rsidRPr="00C40790">
        <w:rPr>
          <w:rFonts w:cs="Times New Roman"/>
          <w:sz w:val="22"/>
        </w:rPr>
        <w:t>Masters</w:t>
      </w:r>
      <w:proofErr w:type="spellEnd"/>
      <w:r w:rsidRPr="00C40790">
        <w:rPr>
          <w:rFonts w:cs="Times New Roman"/>
          <w:sz w:val="22"/>
        </w:rPr>
        <w:t xml:space="preserve"> thesis, </w:t>
      </w:r>
      <w:proofErr w:type="spellStart"/>
      <w:r w:rsidRPr="00C40790">
        <w:rPr>
          <w:rFonts w:cs="Times New Roman"/>
          <w:sz w:val="22"/>
        </w:rPr>
        <w:t>Kabarak</w:t>
      </w:r>
      <w:proofErr w:type="spellEnd"/>
      <w:r w:rsidRPr="00C40790">
        <w:rPr>
          <w:rFonts w:cs="Times New Roman"/>
          <w:sz w:val="22"/>
        </w:rPr>
        <w:t xml:space="preserve"> University.</w:t>
      </w:r>
    </w:p>
    <w:p w14:paraId="4E0AD5C9" w14:textId="77777777" w:rsidR="00A13091" w:rsidRPr="00C40790" w:rsidRDefault="00FD71AD" w:rsidP="00F444C5">
      <w:pPr>
        <w:spacing w:after="0" w:line="360" w:lineRule="auto"/>
        <w:rPr>
          <w:rFonts w:cs="Times New Roman"/>
          <w:sz w:val="22"/>
        </w:rPr>
      </w:pPr>
      <w:r w:rsidRPr="00C40790">
        <w:rPr>
          <w:rFonts w:cs="Times New Roman"/>
          <w:sz w:val="22"/>
        </w:rPr>
        <w:t>Romer, P, M, (1986). Increasing Returns and Long-run Growth. Journal of Political Economy, 94(5), 1002-1037.</w:t>
      </w:r>
    </w:p>
    <w:p w14:paraId="10B851C5" w14:textId="77777777" w:rsidR="00A13091" w:rsidRPr="00C40790" w:rsidRDefault="00FD71AD" w:rsidP="00F444C5">
      <w:pPr>
        <w:spacing w:after="100" w:afterAutospacing="1" w:line="360" w:lineRule="auto"/>
        <w:rPr>
          <w:rFonts w:eastAsia="Times New Roman" w:cs="Times New Roman"/>
          <w:kern w:val="0"/>
          <w:sz w:val="22"/>
          <w14:ligatures w14:val="none"/>
        </w:rPr>
      </w:pPr>
      <w:r w:rsidRPr="00C40790">
        <w:rPr>
          <w:rFonts w:eastAsia="Times New Roman" w:cs="Times New Roman"/>
          <w:kern w:val="0"/>
          <w:sz w:val="22"/>
          <w14:ligatures w14:val="none"/>
        </w:rPr>
        <w:t xml:space="preserve">Romer, P.M. (1990) Endogenous Technological Change. Journal of Political Economy, 98, S71-S102. http://dx.doi.org/10.1086/261725 </w:t>
      </w:r>
    </w:p>
    <w:p w14:paraId="0A25AC91" w14:textId="77777777" w:rsidR="00A13091" w:rsidRPr="00C40790" w:rsidRDefault="00FD71AD" w:rsidP="008D478F">
      <w:pPr>
        <w:spacing w:line="360" w:lineRule="auto"/>
        <w:rPr>
          <w:rFonts w:cs="Times New Roman"/>
          <w:sz w:val="22"/>
        </w:rPr>
      </w:pPr>
      <w:r w:rsidRPr="00C40790">
        <w:rPr>
          <w:rFonts w:cs="Times New Roman"/>
          <w:sz w:val="22"/>
        </w:rPr>
        <w:t>Sachs, J., &amp; Warner, A. (1997). Natural Resources and Economic Growth. Cambridge, MA (mimeo): HIID.</w:t>
      </w:r>
    </w:p>
    <w:p w14:paraId="6259DA6A" w14:textId="77777777" w:rsidR="00A13091" w:rsidRPr="00C40790" w:rsidRDefault="00FD71AD" w:rsidP="008D478F">
      <w:pPr>
        <w:spacing w:line="360" w:lineRule="auto"/>
        <w:rPr>
          <w:rFonts w:cs="Times New Roman"/>
          <w:sz w:val="22"/>
        </w:rPr>
      </w:pPr>
      <w:proofErr w:type="spellStart"/>
      <w:r w:rsidRPr="00C40790">
        <w:rPr>
          <w:rFonts w:cs="Times New Roman"/>
          <w:sz w:val="22"/>
        </w:rPr>
        <w:t>Simane</w:t>
      </w:r>
      <w:proofErr w:type="spellEnd"/>
      <w:r w:rsidRPr="00C40790">
        <w:rPr>
          <w:rFonts w:cs="Times New Roman"/>
          <w:sz w:val="22"/>
        </w:rPr>
        <w:t xml:space="preserve">, B., </w:t>
      </w:r>
      <w:proofErr w:type="spellStart"/>
      <w:r w:rsidRPr="00C40790">
        <w:rPr>
          <w:rFonts w:cs="Times New Roman"/>
          <w:sz w:val="22"/>
        </w:rPr>
        <w:t>Kapwata</w:t>
      </w:r>
      <w:proofErr w:type="spellEnd"/>
      <w:r w:rsidRPr="00C40790">
        <w:rPr>
          <w:rFonts w:cs="Times New Roman"/>
          <w:sz w:val="22"/>
        </w:rPr>
        <w:t xml:space="preserve">, T., Naidoo, N., </w:t>
      </w:r>
      <w:proofErr w:type="spellStart"/>
      <w:r w:rsidRPr="00C40790">
        <w:rPr>
          <w:rFonts w:cs="Times New Roman"/>
          <w:sz w:val="22"/>
        </w:rPr>
        <w:t>Cissé</w:t>
      </w:r>
      <w:proofErr w:type="spellEnd"/>
      <w:r w:rsidRPr="00C40790">
        <w:rPr>
          <w:rFonts w:cs="Times New Roman"/>
          <w:sz w:val="22"/>
        </w:rPr>
        <w:t xml:space="preserve">, G., Wright, C. Y., &amp; Berhane, K. (2025). Ensuring Africa’s Food Security by 2050: The Role of Population Growth, Climate-Resilient Strategies, and Putative Pathways to Resilience. Foods, 14(2), 262-276. </w:t>
      </w:r>
      <w:hyperlink r:id="rId13" w:history="1">
        <w:r w:rsidR="00A13091" w:rsidRPr="00C40790">
          <w:rPr>
            <w:rFonts w:cs="Times New Roman"/>
            <w:color w:val="0563C1" w:themeColor="hyperlink"/>
            <w:sz w:val="22"/>
            <w:u w:val="single"/>
          </w:rPr>
          <w:t>https://doi.org/10.3390/foods14020262</w:t>
        </w:r>
      </w:hyperlink>
    </w:p>
    <w:p w14:paraId="2C1D0700" w14:textId="77777777" w:rsidR="00A13091" w:rsidRDefault="00FD71AD" w:rsidP="008D478F">
      <w:pPr>
        <w:spacing w:line="360" w:lineRule="auto"/>
        <w:rPr>
          <w:rFonts w:cs="Times New Roman"/>
          <w:sz w:val="22"/>
        </w:rPr>
      </w:pPr>
      <w:r w:rsidRPr="00C40790">
        <w:rPr>
          <w:rFonts w:cs="Times New Roman"/>
          <w:sz w:val="22"/>
        </w:rPr>
        <w:t>Solow, R. (1956).  A Contribution to the Theory of Economic Growth. The Quarterly Journal of Economics, 70(1), 65-94. Handle: RePEc:oup:qjecon:v:70:y:1956:i:1:p:65-94.</w:t>
      </w:r>
    </w:p>
    <w:p w14:paraId="718C8651" w14:textId="2BAC0563" w:rsidR="00D97516" w:rsidRPr="00D97516" w:rsidRDefault="00FD71AD" w:rsidP="00D97516">
      <w:pPr>
        <w:spacing w:line="360" w:lineRule="auto"/>
        <w:rPr>
          <w:rFonts w:cs="Times New Roman"/>
          <w:sz w:val="22"/>
        </w:rPr>
      </w:pPr>
      <w:proofErr w:type="spellStart"/>
      <w:r w:rsidRPr="00D97516">
        <w:rPr>
          <w:rFonts w:cs="Times New Roman"/>
          <w:sz w:val="22"/>
        </w:rPr>
        <w:t>Tiebout</w:t>
      </w:r>
      <w:proofErr w:type="spellEnd"/>
      <w:r w:rsidRPr="00D97516">
        <w:rPr>
          <w:rFonts w:cs="Times New Roman"/>
          <w:sz w:val="22"/>
        </w:rPr>
        <w:t>, C. M. (1956). A Pure Theory of Local Expenditures. Journal</w:t>
      </w:r>
      <w:r>
        <w:rPr>
          <w:rFonts w:cs="Times New Roman"/>
          <w:sz w:val="22"/>
        </w:rPr>
        <w:t xml:space="preserve"> </w:t>
      </w:r>
      <w:r w:rsidRPr="00D97516">
        <w:rPr>
          <w:rFonts w:cs="Times New Roman"/>
          <w:sz w:val="22"/>
        </w:rPr>
        <w:t>of Political Economy, 64(5), 416-424.</w:t>
      </w:r>
    </w:p>
    <w:p w14:paraId="70A25374" w14:textId="77777777" w:rsidR="00A13091" w:rsidRPr="00C40790" w:rsidRDefault="00FD71AD" w:rsidP="008D478F">
      <w:pPr>
        <w:spacing w:line="360" w:lineRule="auto"/>
        <w:rPr>
          <w:rFonts w:cs="Times New Roman"/>
          <w:sz w:val="22"/>
        </w:rPr>
      </w:pPr>
      <w:proofErr w:type="spellStart"/>
      <w:r w:rsidRPr="00C40790">
        <w:rPr>
          <w:rFonts w:cs="Times New Roman"/>
          <w:sz w:val="22"/>
        </w:rPr>
        <w:t>Thuku</w:t>
      </w:r>
      <w:proofErr w:type="spellEnd"/>
      <w:r w:rsidRPr="00C40790">
        <w:rPr>
          <w:rFonts w:cs="Times New Roman"/>
          <w:sz w:val="22"/>
        </w:rPr>
        <w:t xml:space="preserve">, K., </w:t>
      </w:r>
      <w:proofErr w:type="spellStart"/>
      <w:r w:rsidRPr="00C40790">
        <w:rPr>
          <w:rFonts w:cs="Times New Roman"/>
          <w:sz w:val="22"/>
        </w:rPr>
        <w:t>Gachanja</w:t>
      </w:r>
      <w:proofErr w:type="spellEnd"/>
      <w:r w:rsidRPr="00C40790">
        <w:rPr>
          <w:rFonts w:cs="Times New Roman"/>
          <w:sz w:val="22"/>
        </w:rPr>
        <w:t xml:space="preserve">, P., &amp; </w:t>
      </w:r>
      <w:proofErr w:type="spellStart"/>
      <w:r w:rsidRPr="00C40790">
        <w:rPr>
          <w:rFonts w:cs="Times New Roman"/>
          <w:sz w:val="22"/>
        </w:rPr>
        <w:t>Obere</w:t>
      </w:r>
      <w:proofErr w:type="spellEnd"/>
      <w:r w:rsidRPr="00C40790">
        <w:rPr>
          <w:rFonts w:cs="Times New Roman"/>
          <w:sz w:val="22"/>
        </w:rPr>
        <w:t xml:space="preserve">, A. The Impact of Population Change on Economic Growth in Kenya. International Journal of Economics and Management Sciences, 2(6), 43-60. </w:t>
      </w:r>
    </w:p>
    <w:p w14:paraId="1E687BC9" w14:textId="77777777" w:rsidR="00A13091" w:rsidRPr="00C40790" w:rsidRDefault="00FD71AD" w:rsidP="008D478F">
      <w:pPr>
        <w:spacing w:line="360" w:lineRule="auto"/>
        <w:rPr>
          <w:rFonts w:cs="Times New Roman"/>
          <w:sz w:val="22"/>
        </w:rPr>
      </w:pPr>
      <w:r w:rsidRPr="00C40790">
        <w:rPr>
          <w:rFonts w:cs="Times New Roman"/>
          <w:sz w:val="22"/>
        </w:rPr>
        <w:t xml:space="preserve">World Bank (2023). Kenya Urban Mobility Improvement Project. Working paper no.   P176725 World Bank. </w:t>
      </w:r>
    </w:p>
    <w:p w14:paraId="5275E0FA" w14:textId="5ACA2B0E" w:rsidR="00F54C30" w:rsidRPr="00C40790" w:rsidRDefault="00F54C30" w:rsidP="008D478F">
      <w:pPr>
        <w:spacing w:after="0" w:line="360" w:lineRule="auto"/>
        <w:rPr>
          <w:rFonts w:eastAsia="Times New Roman" w:cs="Times New Roman"/>
          <w:kern w:val="0"/>
          <w:sz w:val="22"/>
          <w14:ligatures w14:val="none"/>
        </w:rPr>
      </w:pPr>
    </w:p>
    <w:bookmarkEnd w:id="9"/>
    <w:p w14:paraId="00746149" w14:textId="77777777" w:rsidR="00AC243E" w:rsidRPr="00C40790" w:rsidRDefault="00AC243E" w:rsidP="008D478F">
      <w:pPr>
        <w:spacing w:after="0" w:line="360" w:lineRule="auto"/>
        <w:rPr>
          <w:rFonts w:eastAsia="Times New Roman" w:cs="Times New Roman"/>
          <w:kern w:val="0"/>
          <w:sz w:val="22"/>
          <w14:ligatures w14:val="none"/>
        </w:rPr>
      </w:pPr>
    </w:p>
    <w:p w14:paraId="390C9A74" w14:textId="77777777" w:rsidR="000F7E87" w:rsidRPr="00C40790" w:rsidRDefault="000F7E87" w:rsidP="008D478F">
      <w:pPr>
        <w:spacing w:line="360" w:lineRule="auto"/>
        <w:rPr>
          <w:rFonts w:cs="Times New Roman"/>
          <w:sz w:val="22"/>
        </w:rPr>
      </w:pPr>
    </w:p>
    <w:sectPr w:rsidR="000F7E87" w:rsidRPr="00C4079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00571" w14:textId="77777777" w:rsidR="005859ED" w:rsidRDefault="005859ED" w:rsidP="00840BE8">
      <w:pPr>
        <w:spacing w:after="0" w:line="240" w:lineRule="auto"/>
      </w:pPr>
      <w:r>
        <w:separator/>
      </w:r>
    </w:p>
  </w:endnote>
  <w:endnote w:type="continuationSeparator" w:id="0">
    <w:p w14:paraId="034C45C0" w14:textId="77777777" w:rsidR="005859ED" w:rsidRDefault="005859ED" w:rsidP="0084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18E79" w14:textId="77777777" w:rsidR="00A87A66" w:rsidRDefault="00A87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9FB00" w14:textId="77777777" w:rsidR="00A87A66" w:rsidRDefault="00A87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16976" w14:textId="77777777" w:rsidR="00A87A66" w:rsidRDefault="00A87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79FAE" w14:textId="77777777" w:rsidR="005859ED" w:rsidRDefault="005859ED" w:rsidP="00840BE8">
      <w:pPr>
        <w:spacing w:after="0" w:line="240" w:lineRule="auto"/>
      </w:pPr>
      <w:r>
        <w:separator/>
      </w:r>
    </w:p>
  </w:footnote>
  <w:footnote w:type="continuationSeparator" w:id="0">
    <w:p w14:paraId="2C071088" w14:textId="77777777" w:rsidR="005859ED" w:rsidRDefault="005859ED" w:rsidP="00840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E8AB4" w14:textId="76824C91" w:rsidR="00A87A66" w:rsidRDefault="00A87A66">
    <w:pPr>
      <w:pStyle w:val="Header"/>
    </w:pPr>
    <w:r>
      <w:rPr>
        <w:noProof/>
      </w:rPr>
      <w:pict w14:anchorId="5A367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77157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CC6C" w14:textId="26F4C4DA" w:rsidR="00A87A66" w:rsidRDefault="00A87A66">
    <w:pPr>
      <w:pStyle w:val="Header"/>
    </w:pPr>
    <w:r>
      <w:rPr>
        <w:noProof/>
      </w:rPr>
      <w:pict w14:anchorId="655C7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77158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09471" w14:textId="11A8A5F9" w:rsidR="00A87A66" w:rsidRDefault="00A87A66">
    <w:pPr>
      <w:pStyle w:val="Header"/>
    </w:pPr>
    <w:r>
      <w:rPr>
        <w:noProof/>
      </w:rPr>
      <w:pict w14:anchorId="50DB8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77157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1E"/>
    <w:rsid w:val="00004309"/>
    <w:rsid w:val="00012933"/>
    <w:rsid w:val="00017E03"/>
    <w:rsid w:val="00030A8C"/>
    <w:rsid w:val="000463BF"/>
    <w:rsid w:val="0007199E"/>
    <w:rsid w:val="00086E32"/>
    <w:rsid w:val="00097DC1"/>
    <w:rsid w:val="000A0DDB"/>
    <w:rsid w:val="000A46D9"/>
    <w:rsid w:val="000B5487"/>
    <w:rsid w:val="000B726E"/>
    <w:rsid w:val="000B7F13"/>
    <w:rsid w:val="000C094C"/>
    <w:rsid w:val="000D4986"/>
    <w:rsid w:val="000F7E87"/>
    <w:rsid w:val="00106BD7"/>
    <w:rsid w:val="001221EA"/>
    <w:rsid w:val="001430B7"/>
    <w:rsid w:val="00143953"/>
    <w:rsid w:val="00145D56"/>
    <w:rsid w:val="00147C23"/>
    <w:rsid w:val="0015281E"/>
    <w:rsid w:val="00177CA8"/>
    <w:rsid w:val="00186004"/>
    <w:rsid w:val="00186BA6"/>
    <w:rsid w:val="00195CB0"/>
    <w:rsid w:val="00196DB8"/>
    <w:rsid w:val="001A07D0"/>
    <w:rsid w:val="001B3C9D"/>
    <w:rsid w:val="001B4CDD"/>
    <w:rsid w:val="001C0CB7"/>
    <w:rsid w:val="001C399F"/>
    <w:rsid w:val="001C5AF9"/>
    <w:rsid w:val="001D0D5F"/>
    <w:rsid w:val="001D63DF"/>
    <w:rsid w:val="001F5626"/>
    <w:rsid w:val="002134EE"/>
    <w:rsid w:val="00214AEF"/>
    <w:rsid w:val="0022268B"/>
    <w:rsid w:val="00225996"/>
    <w:rsid w:val="0023106F"/>
    <w:rsid w:val="00233E69"/>
    <w:rsid w:val="00247279"/>
    <w:rsid w:val="00247D6E"/>
    <w:rsid w:val="00250C25"/>
    <w:rsid w:val="00276946"/>
    <w:rsid w:val="00294A04"/>
    <w:rsid w:val="002A485A"/>
    <w:rsid w:val="002B36B9"/>
    <w:rsid w:val="002B711D"/>
    <w:rsid w:val="002C384B"/>
    <w:rsid w:val="002C737A"/>
    <w:rsid w:val="002D1759"/>
    <w:rsid w:val="002E2786"/>
    <w:rsid w:val="002F3125"/>
    <w:rsid w:val="002F6296"/>
    <w:rsid w:val="00300E28"/>
    <w:rsid w:val="00336C0C"/>
    <w:rsid w:val="0035279F"/>
    <w:rsid w:val="00362B6D"/>
    <w:rsid w:val="00362FC0"/>
    <w:rsid w:val="00377F6D"/>
    <w:rsid w:val="00384E86"/>
    <w:rsid w:val="00393D1F"/>
    <w:rsid w:val="003B4C36"/>
    <w:rsid w:val="003C3C29"/>
    <w:rsid w:val="003C47DF"/>
    <w:rsid w:val="003C6806"/>
    <w:rsid w:val="003D60E9"/>
    <w:rsid w:val="003F1BFE"/>
    <w:rsid w:val="003F59D4"/>
    <w:rsid w:val="003F7CBA"/>
    <w:rsid w:val="00414B96"/>
    <w:rsid w:val="004151C7"/>
    <w:rsid w:val="00433EC1"/>
    <w:rsid w:val="00443DCD"/>
    <w:rsid w:val="00487692"/>
    <w:rsid w:val="00492E68"/>
    <w:rsid w:val="004B4D58"/>
    <w:rsid w:val="004C1173"/>
    <w:rsid w:val="004C1D06"/>
    <w:rsid w:val="004C6245"/>
    <w:rsid w:val="004D5402"/>
    <w:rsid w:val="004D6308"/>
    <w:rsid w:val="004D684B"/>
    <w:rsid w:val="004E2188"/>
    <w:rsid w:val="004F43E5"/>
    <w:rsid w:val="005051E3"/>
    <w:rsid w:val="005058FC"/>
    <w:rsid w:val="00505AE4"/>
    <w:rsid w:val="00520B3C"/>
    <w:rsid w:val="00521EE4"/>
    <w:rsid w:val="00525600"/>
    <w:rsid w:val="0052633C"/>
    <w:rsid w:val="00540CE3"/>
    <w:rsid w:val="00565D8A"/>
    <w:rsid w:val="005711A2"/>
    <w:rsid w:val="005751FD"/>
    <w:rsid w:val="005816A8"/>
    <w:rsid w:val="005859ED"/>
    <w:rsid w:val="0058774D"/>
    <w:rsid w:val="00596D1D"/>
    <w:rsid w:val="005C1462"/>
    <w:rsid w:val="005C39E4"/>
    <w:rsid w:val="005C4EDB"/>
    <w:rsid w:val="005D3299"/>
    <w:rsid w:val="005E7B52"/>
    <w:rsid w:val="005F359A"/>
    <w:rsid w:val="005F68C3"/>
    <w:rsid w:val="00600685"/>
    <w:rsid w:val="00600A36"/>
    <w:rsid w:val="00603C92"/>
    <w:rsid w:val="00605627"/>
    <w:rsid w:val="00607490"/>
    <w:rsid w:val="006278AC"/>
    <w:rsid w:val="00634245"/>
    <w:rsid w:val="00643275"/>
    <w:rsid w:val="006512E9"/>
    <w:rsid w:val="0065207D"/>
    <w:rsid w:val="006728C1"/>
    <w:rsid w:val="00680685"/>
    <w:rsid w:val="00686D24"/>
    <w:rsid w:val="00691E26"/>
    <w:rsid w:val="006A23B1"/>
    <w:rsid w:val="006A5515"/>
    <w:rsid w:val="006A5EB6"/>
    <w:rsid w:val="006A7293"/>
    <w:rsid w:val="006C144C"/>
    <w:rsid w:val="006D00E3"/>
    <w:rsid w:val="006D49FC"/>
    <w:rsid w:val="006E0148"/>
    <w:rsid w:val="006F38AC"/>
    <w:rsid w:val="006F6C68"/>
    <w:rsid w:val="00711B49"/>
    <w:rsid w:val="00712F1C"/>
    <w:rsid w:val="00742D71"/>
    <w:rsid w:val="0075073A"/>
    <w:rsid w:val="00763E19"/>
    <w:rsid w:val="00766E15"/>
    <w:rsid w:val="00780479"/>
    <w:rsid w:val="0078137D"/>
    <w:rsid w:val="007A7BFF"/>
    <w:rsid w:val="007B4DBD"/>
    <w:rsid w:val="007C0A47"/>
    <w:rsid w:val="007C0F19"/>
    <w:rsid w:val="007C1B34"/>
    <w:rsid w:val="007D25E7"/>
    <w:rsid w:val="007D4D58"/>
    <w:rsid w:val="00823FA5"/>
    <w:rsid w:val="0084002A"/>
    <w:rsid w:val="00840BE8"/>
    <w:rsid w:val="00843F70"/>
    <w:rsid w:val="00866F2B"/>
    <w:rsid w:val="008702B6"/>
    <w:rsid w:val="008705FC"/>
    <w:rsid w:val="00876353"/>
    <w:rsid w:val="008A444E"/>
    <w:rsid w:val="008B1848"/>
    <w:rsid w:val="008B48D6"/>
    <w:rsid w:val="008B5EBB"/>
    <w:rsid w:val="008C352A"/>
    <w:rsid w:val="008C5757"/>
    <w:rsid w:val="008C7D8F"/>
    <w:rsid w:val="008D2A7A"/>
    <w:rsid w:val="008D478F"/>
    <w:rsid w:val="008F152C"/>
    <w:rsid w:val="0090579A"/>
    <w:rsid w:val="009112EF"/>
    <w:rsid w:val="0094132C"/>
    <w:rsid w:val="0098001E"/>
    <w:rsid w:val="00983295"/>
    <w:rsid w:val="00985E9D"/>
    <w:rsid w:val="009A2889"/>
    <w:rsid w:val="009A3249"/>
    <w:rsid w:val="009A771A"/>
    <w:rsid w:val="009B2C2E"/>
    <w:rsid w:val="009C0A32"/>
    <w:rsid w:val="009D24A7"/>
    <w:rsid w:val="009F3D5A"/>
    <w:rsid w:val="00A0387F"/>
    <w:rsid w:val="00A05373"/>
    <w:rsid w:val="00A07352"/>
    <w:rsid w:val="00A11BE5"/>
    <w:rsid w:val="00A122BE"/>
    <w:rsid w:val="00A13091"/>
    <w:rsid w:val="00A13DB4"/>
    <w:rsid w:val="00A14CEC"/>
    <w:rsid w:val="00A16D11"/>
    <w:rsid w:val="00A21916"/>
    <w:rsid w:val="00A2455E"/>
    <w:rsid w:val="00A36550"/>
    <w:rsid w:val="00A4170E"/>
    <w:rsid w:val="00A42787"/>
    <w:rsid w:val="00A62559"/>
    <w:rsid w:val="00A62F6C"/>
    <w:rsid w:val="00A63EB9"/>
    <w:rsid w:val="00A858D2"/>
    <w:rsid w:val="00A87A66"/>
    <w:rsid w:val="00A951DC"/>
    <w:rsid w:val="00AA183B"/>
    <w:rsid w:val="00AA23D4"/>
    <w:rsid w:val="00AC1A9A"/>
    <w:rsid w:val="00AC243E"/>
    <w:rsid w:val="00AC4BEF"/>
    <w:rsid w:val="00AC7A63"/>
    <w:rsid w:val="00AC7DC6"/>
    <w:rsid w:val="00AD155A"/>
    <w:rsid w:val="00AE58B7"/>
    <w:rsid w:val="00AE7096"/>
    <w:rsid w:val="00AF0ED5"/>
    <w:rsid w:val="00B00763"/>
    <w:rsid w:val="00B026F1"/>
    <w:rsid w:val="00B03749"/>
    <w:rsid w:val="00B0456F"/>
    <w:rsid w:val="00B156FA"/>
    <w:rsid w:val="00B176BB"/>
    <w:rsid w:val="00B30883"/>
    <w:rsid w:val="00B319B5"/>
    <w:rsid w:val="00B35E63"/>
    <w:rsid w:val="00B371DE"/>
    <w:rsid w:val="00B44E71"/>
    <w:rsid w:val="00B47FC6"/>
    <w:rsid w:val="00B533F1"/>
    <w:rsid w:val="00B54658"/>
    <w:rsid w:val="00B70E8A"/>
    <w:rsid w:val="00B829AD"/>
    <w:rsid w:val="00B85C78"/>
    <w:rsid w:val="00B93EC3"/>
    <w:rsid w:val="00BB2682"/>
    <w:rsid w:val="00BC1535"/>
    <w:rsid w:val="00BC4B44"/>
    <w:rsid w:val="00C043B7"/>
    <w:rsid w:val="00C11159"/>
    <w:rsid w:val="00C3091F"/>
    <w:rsid w:val="00C34137"/>
    <w:rsid w:val="00C34AB3"/>
    <w:rsid w:val="00C40790"/>
    <w:rsid w:val="00C44162"/>
    <w:rsid w:val="00C454C8"/>
    <w:rsid w:val="00C50111"/>
    <w:rsid w:val="00C52FC7"/>
    <w:rsid w:val="00C53E36"/>
    <w:rsid w:val="00C55E1E"/>
    <w:rsid w:val="00C6683A"/>
    <w:rsid w:val="00C710F2"/>
    <w:rsid w:val="00C76B68"/>
    <w:rsid w:val="00C87F19"/>
    <w:rsid w:val="00C956C0"/>
    <w:rsid w:val="00CC4211"/>
    <w:rsid w:val="00CD5D83"/>
    <w:rsid w:val="00D03579"/>
    <w:rsid w:val="00D05EA9"/>
    <w:rsid w:val="00D11E5C"/>
    <w:rsid w:val="00D25147"/>
    <w:rsid w:val="00D33161"/>
    <w:rsid w:val="00D3413A"/>
    <w:rsid w:val="00D34B48"/>
    <w:rsid w:val="00D37954"/>
    <w:rsid w:val="00D4665C"/>
    <w:rsid w:val="00D5539E"/>
    <w:rsid w:val="00D577E7"/>
    <w:rsid w:val="00D66FB1"/>
    <w:rsid w:val="00D71BD0"/>
    <w:rsid w:val="00D84664"/>
    <w:rsid w:val="00D8504D"/>
    <w:rsid w:val="00D87395"/>
    <w:rsid w:val="00D97516"/>
    <w:rsid w:val="00DA1CC2"/>
    <w:rsid w:val="00DA25B7"/>
    <w:rsid w:val="00DA6395"/>
    <w:rsid w:val="00DA64F9"/>
    <w:rsid w:val="00DB0948"/>
    <w:rsid w:val="00DC1C98"/>
    <w:rsid w:val="00DC4BE3"/>
    <w:rsid w:val="00DE422B"/>
    <w:rsid w:val="00DE492B"/>
    <w:rsid w:val="00DF0B58"/>
    <w:rsid w:val="00DF5A70"/>
    <w:rsid w:val="00E114AF"/>
    <w:rsid w:val="00E158C6"/>
    <w:rsid w:val="00E17D5E"/>
    <w:rsid w:val="00E241C8"/>
    <w:rsid w:val="00E25C18"/>
    <w:rsid w:val="00E34593"/>
    <w:rsid w:val="00E53AD6"/>
    <w:rsid w:val="00E55092"/>
    <w:rsid w:val="00E70CFF"/>
    <w:rsid w:val="00E73C0F"/>
    <w:rsid w:val="00E948A4"/>
    <w:rsid w:val="00EA2A63"/>
    <w:rsid w:val="00EA3DA2"/>
    <w:rsid w:val="00EB4B37"/>
    <w:rsid w:val="00EB7BAE"/>
    <w:rsid w:val="00EC3F78"/>
    <w:rsid w:val="00EC79B2"/>
    <w:rsid w:val="00ED264B"/>
    <w:rsid w:val="00ED5507"/>
    <w:rsid w:val="00ED6E27"/>
    <w:rsid w:val="00EE0322"/>
    <w:rsid w:val="00EE0366"/>
    <w:rsid w:val="00EF1FEC"/>
    <w:rsid w:val="00EF3D20"/>
    <w:rsid w:val="00F06C67"/>
    <w:rsid w:val="00F143EC"/>
    <w:rsid w:val="00F337D6"/>
    <w:rsid w:val="00F4148A"/>
    <w:rsid w:val="00F444C5"/>
    <w:rsid w:val="00F54C30"/>
    <w:rsid w:val="00F57C86"/>
    <w:rsid w:val="00F617B4"/>
    <w:rsid w:val="00F652FC"/>
    <w:rsid w:val="00F71546"/>
    <w:rsid w:val="00F7349F"/>
    <w:rsid w:val="00FA3F7E"/>
    <w:rsid w:val="00FC45A3"/>
    <w:rsid w:val="00FD40D6"/>
    <w:rsid w:val="00FD549E"/>
    <w:rsid w:val="00FD71AD"/>
    <w:rsid w:val="00FF2A9D"/>
    <w:rsid w:val="00FF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37C420"/>
  <w15:chartTrackingRefBased/>
  <w15:docId w15:val="{33097537-0427-4098-89D0-3AC80876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74D"/>
    <w:pPr>
      <w:jc w:val="both"/>
    </w:pPr>
    <w:rPr>
      <w:rFonts w:ascii="Times New Roman" w:hAnsi="Times New Roman"/>
      <w:sz w:val="24"/>
    </w:rPr>
  </w:style>
  <w:style w:type="paragraph" w:styleId="Heading1">
    <w:name w:val="heading 1"/>
    <w:basedOn w:val="Normal"/>
    <w:next w:val="Normal"/>
    <w:link w:val="Heading1Char"/>
    <w:uiPriority w:val="9"/>
    <w:qFormat/>
    <w:rsid w:val="009800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00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001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8001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8001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8001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001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001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001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0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00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00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001E"/>
    <w:rPr>
      <w:rFonts w:eastAsiaTheme="majorEastAsia" w:cstheme="majorBidi"/>
      <w:i/>
      <w:iCs/>
      <w:color w:val="2F5496" w:themeColor="accent1" w:themeShade="BF"/>
      <w:sz w:val="24"/>
    </w:rPr>
  </w:style>
  <w:style w:type="character" w:customStyle="1" w:styleId="Heading5Char">
    <w:name w:val="Heading 5 Char"/>
    <w:basedOn w:val="DefaultParagraphFont"/>
    <w:link w:val="Heading5"/>
    <w:uiPriority w:val="9"/>
    <w:semiHidden/>
    <w:rsid w:val="0098001E"/>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98001E"/>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98001E"/>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98001E"/>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98001E"/>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980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01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01E"/>
    <w:pPr>
      <w:spacing w:before="160"/>
      <w:jc w:val="center"/>
    </w:pPr>
    <w:rPr>
      <w:i/>
      <w:iCs/>
      <w:color w:val="404040" w:themeColor="text1" w:themeTint="BF"/>
    </w:rPr>
  </w:style>
  <w:style w:type="character" w:customStyle="1" w:styleId="QuoteChar">
    <w:name w:val="Quote Char"/>
    <w:basedOn w:val="DefaultParagraphFont"/>
    <w:link w:val="Quote"/>
    <w:uiPriority w:val="29"/>
    <w:rsid w:val="0098001E"/>
    <w:rPr>
      <w:rFonts w:ascii="Times New Roman" w:hAnsi="Times New Roman"/>
      <w:i/>
      <w:iCs/>
      <w:color w:val="404040" w:themeColor="text1" w:themeTint="BF"/>
      <w:sz w:val="24"/>
    </w:rPr>
  </w:style>
  <w:style w:type="paragraph" w:styleId="ListParagraph">
    <w:name w:val="List Paragraph"/>
    <w:basedOn w:val="Normal"/>
    <w:uiPriority w:val="34"/>
    <w:qFormat/>
    <w:rsid w:val="0098001E"/>
    <w:pPr>
      <w:ind w:left="720"/>
      <w:contextualSpacing/>
    </w:pPr>
  </w:style>
  <w:style w:type="character" w:styleId="IntenseEmphasis">
    <w:name w:val="Intense Emphasis"/>
    <w:basedOn w:val="DefaultParagraphFont"/>
    <w:uiPriority w:val="21"/>
    <w:qFormat/>
    <w:rsid w:val="0098001E"/>
    <w:rPr>
      <w:i/>
      <w:iCs/>
      <w:color w:val="2F5496" w:themeColor="accent1" w:themeShade="BF"/>
    </w:rPr>
  </w:style>
  <w:style w:type="paragraph" w:styleId="IntenseQuote">
    <w:name w:val="Intense Quote"/>
    <w:basedOn w:val="Normal"/>
    <w:next w:val="Normal"/>
    <w:link w:val="IntenseQuoteChar"/>
    <w:uiPriority w:val="30"/>
    <w:qFormat/>
    <w:rsid w:val="009800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001E"/>
    <w:rPr>
      <w:rFonts w:ascii="Times New Roman" w:hAnsi="Times New Roman"/>
      <w:i/>
      <w:iCs/>
      <w:color w:val="2F5496" w:themeColor="accent1" w:themeShade="BF"/>
      <w:sz w:val="24"/>
    </w:rPr>
  </w:style>
  <w:style w:type="character" w:styleId="IntenseReference">
    <w:name w:val="Intense Reference"/>
    <w:basedOn w:val="DefaultParagraphFont"/>
    <w:uiPriority w:val="32"/>
    <w:qFormat/>
    <w:rsid w:val="0098001E"/>
    <w:rPr>
      <w:b/>
      <w:bCs/>
      <w:smallCaps/>
      <w:color w:val="2F5496" w:themeColor="accent1" w:themeShade="BF"/>
      <w:spacing w:val="5"/>
    </w:rPr>
  </w:style>
  <w:style w:type="paragraph" w:customStyle="1" w:styleId="Default">
    <w:name w:val="Default"/>
    <w:rsid w:val="00766E1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CommentReference">
    <w:name w:val="annotation reference"/>
    <w:basedOn w:val="DefaultParagraphFont"/>
    <w:uiPriority w:val="99"/>
    <w:semiHidden/>
    <w:unhideWhenUsed/>
    <w:rsid w:val="005D3299"/>
    <w:rPr>
      <w:sz w:val="16"/>
      <w:szCs w:val="16"/>
    </w:rPr>
  </w:style>
  <w:style w:type="paragraph" w:customStyle="1" w:styleId="CommentText1">
    <w:name w:val="Comment Text1"/>
    <w:basedOn w:val="Normal"/>
    <w:next w:val="CommentText"/>
    <w:link w:val="CommentTextChar"/>
    <w:uiPriority w:val="99"/>
    <w:unhideWhenUsed/>
    <w:rsid w:val="005D3299"/>
    <w:pPr>
      <w:spacing w:line="240" w:lineRule="auto"/>
      <w:jc w:val="left"/>
    </w:pPr>
    <w:rPr>
      <w:rFonts w:asciiTheme="minorHAnsi" w:hAnsiTheme="minorHAnsi"/>
      <w:sz w:val="20"/>
      <w:szCs w:val="20"/>
    </w:rPr>
  </w:style>
  <w:style w:type="character" w:customStyle="1" w:styleId="CommentTextChar">
    <w:name w:val="Comment Text Char"/>
    <w:basedOn w:val="DefaultParagraphFont"/>
    <w:link w:val="CommentText1"/>
    <w:uiPriority w:val="99"/>
    <w:rsid w:val="005D3299"/>
    <w:rPr>
      <w:sz w:val="20"/>
      <w:szCs w:val="20"/>
    </w:rPr>
  </w:style>
  <w:style w:type="paragraph" w:styleId="CommentText">
    <w:name w:val="annotation text"/>
    <w:basedOn w:val="Normal"/>
    <w:link w:val="CommentTextChar1"/>
    <w:uiPriority w:val="99"/>
    <w:semiHidden/>
    <w:unhideWhenUsed/>
    <w:rsid w:val="005D3299"/>
    <w:pPr>
      <w:spacing w:line="240" w:lineRule="auto"/>
    </w:pPr>
    <w:rPr>
      <w:sz w:val="20"/>
      <w:szCs w:val="20"/>
    </w:rPr>
  </w:style>
  <w:style w:type="character" w:customStyle="1" w:styleId="CommentTextChar1">
    <w:name w:val="Comment Text Char1"/>
    <w:basedOn w:val="DefaultParagraphFont"/>
    <w:link w:val="CommentText"/>
    <w:uiPriority w:val="99"/>
    <w:semiHidden/>
    <w:rsid w:val="005D3299"/>
    <w:rPr>
      <w:rFonts w:ascii="Times New Roman" w:hAnsi="Times New Roman"/>
      <w:sz w:val="20"/>
      <w:szCs w:val="20"/>
    </w:rPr>
  </w:style>
  <w:style w:type="character" w:styleId="Hyperlink">
    <w:name w:val="Hyperlink"/>
    <w:basedOn w:val="DefaultParagraphFont"/>
    <w:uiPriority w:val="99"/>
    <w:unhideWhenUsed/>
    <w:rsid w:val="00F54C30"/>
    <w:rPr>
      <w:color w:val="0563C1" w:themeColor="hyperlink"/>
      <w:u w:val="single"/>
    </w:rPr>
  </w:style>
  <w:style w:type="character" w:styleId="UnresolvedMention">
    <w:name w:val="Unresolved Mention"/>
    <w:basedOn w:val="DefaultParagraphFont"/>
    <w:uiPriority w:val="99"/>
    <w:semiHidden/>
    <w:unhideWhenUsed/>
    <w:rsid w:val="00F54C30"/>
    <w:rPr>
      <w:color w:val="605E5C"/>
      <w:shd w:val="clear" w:color="auto" w:fill="E1DFDD"/>
    </w:rPr>
  </w:style>
  <w:style w:type="paragraph" w:customStyle="1" w:styleId="textfirst">
    <w:name w:val="text_first"/>
    <w:aliases w:val="tf"/>
    <w:basedOn w:val="Normal"/>
    <w:rsid w:val="00A62559"/>
    <w:pPr>
      <w:tabs>
        <w:tab w:val="left" w:pos="284"/>
        <w:tab w:val="left" w:pos="1701"/>
        <w:tab w:val="left" w:pos="2720"/>
        <w:tab w:val="left" w:pos="3020"/>
        <w:tab w:val="left" w:pos="6120"/>
      </w:tabs>
      <w:spacing w:after="0" w:line="260" w:lineRule="atLeast"/>
    </w:pPr>
    <w:rPr>
      <w:rFonts w:eastAsia="SimSun" w:cs="Times New Roman"/>
      <w:kern w:val="0"/>
      <w:sz w:val="22"/>
      <w14:ligatures w14:val="none"/>
    </w:rPr>
  </w:style>
  <w:style w:type="paragraph" w:styleId="NormalWeb">
    <w:name w:val="Normal (Web)"/>
    <w:basedOn w:val="Normal"/>
    <w:uiPriority w:val="99"/>
    <w:semiHidden/>
    <w:unhideWhenUsed/>
    <w:rsid w:val="00004309"/>
    <w:pPr>
      <w:spacing w:before="100" w:beforeAutospacing="1" w:after="100" w:afterAutospacing="1" w:line="240" w:lineRule="auto"/>
      <w:jc w:val="left"/>
    </w:pPr>
    <w:rPr>
      <w:rFonts w:eastAsia="Times New Roman" w:cs="Times New Roman"/>
      <w:kern w:val="0"/>
      <w:szCs w:val="24"/>
      <w14:ligatures w14:val="none"/>
    </w:rPr>
  </w:style>
  <w:style w:type="table" w:styleId="TableGrid">
    <w:name w:val="Table Grid"/>
    <w:basedOn w:val="TableNormal"/>
    <w:uiPriority w:val="39"/>
    <w:rsid w:val="00B70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58FC"/>
    <w:rPr>
      <w:color w:val="666666"/>
    </w:rPr>
  </w:style>
  <w:style w:type="paragraph" w:styleId="CommentSubject">
    <w:name w:val="annotation subject"/>
    <w:basedOn w:val="CommentText"/>
    <w:next w:val="CommentText"/>
    <w:link w:val="CommentSubjectChar"/>
    <w:uiPriority w:val="99"/>
    <w:semiHidden/>
    <w:unhideWhenUsed/>
    <w:rsid w:val="00C710F2"/>
    <w:rPr>
      <w:b/>
      <w:bCs/>
    </w:rPr>
  </w:style>
  <w:style w:type="character" w:customStyle="1" w:styleId="CommentSubjectChar">
    <w:name w:val="Comment Subject Char"/>
    <w:basedOn w:val="CommentTextChar1"/>
    <w:link w:val="CommentSubject"/>
    <w:uiPriority w:val="99"/>
    <w:semiHidden/>
    <w:rsid w:val="00C710F2"/>
    <w:rPr>
      <w:rFonts w:ascii="Times New Roman" w:hAnsi="Times New Roman"/>
      <w:b/>
      <w:bCs/>
      <w:sz w:val="20"/>
      <w:szCs w:val="20"/>
    </w:rPr>
  </w:style>
  <w:style w:type="paragraph" w:styleId="Header">
    <w:name w:val="header"/>
    <w:basedOn w:val="Normal"/>
    <w:link w:val="HeaderChar"/>
    <w:uiPriority w:val="99"/>
    <w:unhideWhenUsed/>
    <w:rsid w:val="00AA2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3D4"/>
    <w:rPr>
      <w:rFonts w:ascii="Times New Roman" w:hAnsi="Times New Roman"/>
      <w:sz w:val="24"/>
    </w:rPr>
  </w:style>
  <w:style w:type="paragraph" w:styleId="Footer">
    <w:name w:val="footer"/>
    <w:basedOn w:val="Normal"/>
    <w:link w:val="FooterChar"/>
    <w:uiPriority w:val="99"/>
    <w:unhideWhenUsed/>
    <w:rsid w:val="00AA2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3D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51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316014" TargetMode="External"/><Relationship Id="rId13" Type="http://schemas.openxmlformats.org/officeDocument/2006/relationships/hyperlink" Target="https://doi.org/10.3390/foods14020262"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x.doi.org/10.2139/ssrn.78688" TargetMode="External"/><Relationship Id="rId12" Type="http://schemas.openxmlformats.org/officeDocument/2006/relationships/hyperlink" Target="https://doi.org/10.17226/620"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srn.com/abstract=78688" TargetMode="External"/><Relationship Id="rId11" Type="http://schemas.openxmlformats.org/officeDocument/2006/relationships/hyperlink" Target="https://doi.org/10.70382/sjmscd.v7i7.018"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doi.org/10.24294/jipd.v8i11.7815"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dx.doi.org/10.1016/0304-3932(88)90168-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TotalTime>
  <Pages>16</Pages>
  <Words>7263</Words>
  <Characters>41402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324</cp:revision>
  <dcterms:created xsi:type="dcterms:W3CDTF">2025-02-27T15:56:00Z</dcterms:created>
  <dcterms:modified xsi:type="dcterms:W3CDTF">2025-03-08T06:46:00Z</dcterms:modified>
</cp:coreProperties>
</file>