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7C319" w14:textId="77777777" w:rsidR="000E1EA5" w:rsidRPr="000E1EA5" w:rsidRDefault="000E1EA5" w:rsidP="00EA50F1">
      <w:pPr>
        <w:ind w:left="720"/>
        <w:jc w:val="center"/>
        <w:rPr>
          <w:sz w:val="36"/>
          <w:szCs w:val="36"/>
        </w:rPr>
      </w:pPr>
      <w:r w:rsidRPr="000E1EA5">
        <w:rPr>
          <w:sz w:val="36"/>
          <w:szCs w:val="36"/>
        </w:rPr>
        <w:t>Effect of T</w:t>
      </w:r>
      <w:r w:rsidR="00EA50F1">
        <w:rPr>
          <w:sz w:val="36"/>
          <w:szCs w:val="36"/>
        </w:rPr>
        <w:t>axation on Revenue Generation: Empirical Evidence from the</w:t>
      </w:r>
      <w:r w:rsidRPr="000E1EA5">
        <w:rPr>
          <w:sz w:val="36"/>
          <w:szCs w:val="36"/>
        </w:rPr>
        <w:t xml:space="preserve"> Nigeria</w:t>
      </w:r>
      <w:r w:rsidR="00EA50F1">
        <w:rPr>
          <w:sz w:val="36"/>
          <w:szCs w:val="36"/>
        </w:rPr>
        <w:t xml:space="preserve">n Economy </w:t>
      </w:r>
      <w:r w:rsidRPr="000E1EA5">
        <w:rPr>
          <w:sz w:val="36"/>
          <w:szCs w:val="36"/>
        </w:rPr>
        <w:t>(2007 – 2023)</w:t>
      </w:r>
    </w:p>
    <w:p w14:paraId="21746A74" w14:textId="77777777" w:rsidR="000E1EA5" w:rsidRPr="000E1EA5" w:rsidRDefault="000E1EA5" w:rsidP="000E1EA5">
      <w:pPr>
        <w:ind w:left="720"/>
        <w:jc w:val="center"/>
      </w:pPr>
    </w:p>
    <w:p w14:paraId="790E386E" w14:textId="0289809A" w:rsidR="000E1EA5" w:rsidRDefault="000E1EA5" w:rsidP="000E1EA5">
      <w:pPr>
        <w:ind w:firstLine="720"/>
        <w:jc w:val="both"/>
        <w:rPr>
          <w:b/>
          <w:sz w:val="20"/>
          <w:szCs w:val="20"/>
        </w:rPr>
      </w:pPr>
    </w:p>
    <w:p w14:paraId="7017477E" w14:textId="77777777" w:rsidR="00074C43" w:rsidRDefault="00074C43" w:rsidP="000E1EA5">
      <w:pPr>
        <w:ind w:firstLine="720"/>
        <w:jc w:val="both"/>
        <w:rPr>
          <w:b/>
          <w:sz w:val="20"/>
          <w:szCs w:val="20"/>
        </w:rPr>
      </w:pPr>
      <w:bookmarkStart w:id="0" w:name="_GoBack"/>
      <w:bookmarkEnd w:id="0"/>
    </w:p>
    <w:p w14:paraId="3197CE52" w14:textId="77777777" w:rsidR="000E1EA5" w:rsidRPr="001A6813" w:rsidRDefault="000E1EA5" w:rsidP="000E1EA5">
      <w:pPr>
        <w:ind w:firstLine="720"/>
        <w:jc w:val="both"/>
        <w:rPr>
          <w:b/>
        </w:rPr>
      </w:pPr>
      <w:r w:rsidRPr="001A6813">
        <w:rPr>
          <w:b/>
        </w:rPr>
        <w:t>Abstract</w:t>
      </w:r>
    </w:p>
    <w:p w14:paraId="27D2EB18" w14:textId="77777777" w:rsidR="00EA41AC" w:rsidRDefault="00EA41AC" w:rsidP="00D910DD">
      <w:pPr>
        <w:ind w:left="720" w:firstLine="720"/>
        <w:jc w:val="both"/>
        <w:rPr>
          <w:bCs/>
        </w:rPr>
      </w:pPr>
      <w:r w:rsidRPr="005F5C6B">
        <w:t xml:space="preserve">This study examined the effect of taxation on revenue generation in Nigeria. There are conflicting empirical results regarding the nexus between taxation and revenue generation in both developed and developing countries of the world. Specifically, this study determined the effect of </w:t>
      </w:r>
      <w:r w:rsidR="00F40BDA">
        <w:t xml:space="preserve">petroleum profit tax, </w:t>
      </w:r>
      <w:r w:rsidRPr="005F5C6B">
        <w:t>companies’ income tax</w:t>
      </w:r>
      <w:r w:rsidR="00F40BDA">
        <w:t>, and value added tax</w:t>
      </w:r>
      <w:r w:rsidRPr="005F5C6B">
        <w:t xml:space="preserve"> on total federally collected reve</w:t>
      </w:r>
      <w:r>
        <w:t>nue in Nigeria from 2007 to 2023</w:t>
      </w:r>
      <w:r w:rsidRPr="005F5C6B">
        <w:t xml:space="preserve">. </w:t>
      </w:r>
      <w:r>
        <w:t xml:space="preserve">The study applied an </w:t>
      </w:r>
      <w:r w:rsidRPr="005F5C6B">
        <w:rPr>
          <w:i/>
        </w:rPr>
        <w:t>ex post facto</w:t>
      </w:r>
      <w:r>
        <w:t xml:space="preserve"> research design. </w:t>
      </w:r>
      <w:r w:rsidRPr="005F5C6B">
        <w:t xml:space="preserve">Data were sourced from Federal Inland Revenue Service (FIRS) and was analysed using the Ordinary Least Square (OLS) regression </w:t>
      </w:r>
      <w:r w:rsidR="00F841ED">
        <w:t xml:space="preserve">and Granger Causality </w:t>
      </w:r>
      <w:r w:rsidRPr="005F5C6B">
        <w:t>technique</w:t>
      </w:r>
      <w:r w:rsidR="00F841ED">
        <w:t>s</w:t>
      </w:r>
      <w:r w:rsidRPr="005F5C6B">
        <w:t>. The result of the analysis revealed that value added tax and companies’ income tax have no significant effect on total federally collected revenue, while petroleum profit tax has significant effect on total federally collected revenue. Finding also showed that total federally collected r</w:t>
      </w:r>
      <w:r w:rsidR="007023DC">
        <w:t xml:space="preserve">evenue is positively related with </w:t>
      </w:r>
      <w:r w:rsidRPr="005F5C6B">
        <w:t xml:space="preserve">petroleum profit tax and companies’ income tax but negatively related to value added tax. </w:t>
      </w:r>
      <w:r w:rsidR="007023DC">
        <w:rPr>
          <w:bCs/>
        </w:rPr>
        <w:t>This study proposes that petroleum profit tax rates</w:t>
      </w:r>
      <w:r w:rsidR="007023DC" w:rsidRPr="00CF6C81">
        <w:rPr>
          <w:bCs/>
        </w:rPr>
        <w:t xml:space="preserve"> in Nigeria be increased as it will lead to additional revenue to the government when applied to tax objec</w:t>
      </w:r>
      <w:r w:rsidR="007023DC">
        <w:rPr>
          <w:bCs/>
        </w:rPr>
        <w:t>t. T</w:t>
      </w:r>
      <w:r w:rsidR="007023DC">
        <w:t xml:space="preserve">he </w:t>
      </w:r>
      <w:r w:rsidR="007023DC" w:rsidRPr="00E95506">
        <w:rPr>
          <w:bCs/>
        </w:rPr>
        <w:t>value added tax bases be widened to bring the informal sector into the value added tax net so as to stem possible evasion even by the so faithfully complying under the old rate.</w:t>
      </w:r>
      <w:r w:rsidR="00381E31">
        <w:rPr>
          <w:bCs/>
        </w:rPr>
        <w:t xml:space="preserve"> </w:t>
      </w:r>
      <w:r w:rsidR="00D910DD" w:rsidRPr="00471ED7">
        <w:rPr>
          <w:bCs/>
        </w:rPr>
        <w:t xml:space="preserve">Federal Government </w:t>
      </w:r>
      <w:r w:rsidR="00D910DD">
        <w:rPr>
          <w:bCs/>
        </w:rPr>
        <w:t>may consider</w:t>
      </w:r>
      <w:r w:rsidR="00D910DD" w:rsidRPr="00471ED7">
        <w:rPr>
          <w:bCs/>
        </w:rPr>
        <w:t xml:space="preserve"> as a matter of urgency reduce tax incentives granted to corporations in Nigeria as this will increase their taxable income or</w:t>
      </w:r>
      <w:r w:rsidR="00381E31">
        <w:rPr>
          <w:bCs/>
        </w:rPr>
        <w:t xml:space="preserve"> </w:t>
      </w:r>
      <w:r w:rsidR="00D910DD" w:rsidRPr="00CF6C81">
        <w:rPr>
          <w:bCs/>
        </w:rPr>
        <w:t>profit hence increase their tax liability and lead to increase in Government revenue generated through taxation.</w:t>
      </w:r>
    </w:p>
    <w:p w14:paraId="6191C03F" w14:textId="77777777" w:rsidR="00D910DD" w:rsidRPr="00D910DD" w:rsidRDefault="00D910DD" w:rsidP="00D910DD">
      <w:pPr>
        <w:ind w:left="720"/>
        <w:jc w:val="both"/>
        <w:rPr>
          <w:bCs/>
        </w:rPr>
      </w:pPr>
      <w:r w:rsidRPr="001A6813">
        <w:rPr>
          <w:b/>
          <w:w w:val="106"/>
        </w:rPr>
        <w:t>Keywords:</w:t>
      </w:r>
      <w:r w:rsidR="00381E31">
        <w:rPr>
          <w:b/>
          <w:w w:val="106"/>
        </w:rPr>
        <w:t xml:space="preserve"> </w:t>
      </w:r>
      <w:r>
        <w:rPr>
          <w:w w:val="106"/>
        </w:rPr>
        <w:t xml:space="preserve">Revenue generation, </w:t>
      </w:r>
      <w:r>
        <w:t xml:space="preserve">petroleum profit tax, </w:t>
      </w:r>
      <w:r w:rsidRPr="005F5C6B">
        <w:t>companies’ income tax</w:t>
      </w:r>
      <w:r>
        <w:t xml:space="preserve">, </w:t>
      </w:r>
      <w:r w:rsidRPr="005F5C6B">
        <w:t>value adde</w:t>
      </w:r>
      <w:r>
        <w:t>d tax.</w:t>
      </w:r>
    </w:p>
    <w:p w14:paraId="2F892A7F" w14:textId="77777777" w:rsidR="00CD1034" w:rsidRDefault="00CD1034" w:rsidP="00EA41AC">
      <w:pPr>
        <w:ind w:left="720"/>
        <w:jc w:val="both"/>
      </w:pPr>
    </w:p>
    <w:p w14:paraId="3C301C69" w14:textId="77777777" w:rsidR="00CD1034" w:rsidRPr="0082042D" w:rsidRDefault="00CD1034" w:rsidP="00CD1034">
      <w:pPr>
        <w:pStyle w:val="ListParagraph"/>
        <w:numPr>
          <w:ilvl w:val="0"/>
          <w:numId w:val="1"/>
        </w:numPr>
        <w:spacing w:after="0" w:line="240" w:lineRule="auto"/>
        <w:ind w:left="714" w:hanging="357"/>
        <w:jc w:val="both"/>
        <w:rPr>
          <w:rFonts w:ascii="Times New Roman" w:hAnsi="Times New Roman"/>
          <w:sz w:val="24"/>
          <w:szCs w:val="24"/>
        </w:rPr>
      </w:pPr>
      <w:r w:rsidRPr="0082042D">
        <w:rPr>
          <w:rFonts w:ascii="Times New Roman" w:hAnsi="Times New Roman"/>
          <w:b/>
          <w:sz w:val="24"/>
          <w:szCs w:val="24"/>
        </w:rPr>
        <w:t>INTRODUCTION</w:t>
      </w:r>
    </w:p>
    <w:p w14:paraId="1CBEAC8E" w14:textId="77777777" w:rsidR="00CD1034" w:rsidRDefault="00CD1034" w:rsidP="00CD1034">
      <w:pPr>
        <w:pStyle w:val="ListParagraph"/>
        <w:spacing w:after="0" w:line="240" w:lineRule="auto"/>
        <w:ind w:firstLine="720"/>
        <w:jc w:val="both"/>
        <w:rPr>
          <w:rFonts w:ascii="Times New Roman" w:hAnsi="Times New Roman"/>
          <w:sz w:val="24"/>
          <w:szCs w:val="24"/>
        </w:rPr>
      </w:pPr>
      <w:r>
        <w:rPr>
          <w:rFonts w:ascii="Times New Roman" w:hAnsi="Times New Roman"/>
          <w:sz w:val="24"/>
          <w:szCs w:val="24"/>
        </w:rPr>
        <w:t xml:space="preserve">Every modern state or </w:t>
      </w:r>
      <w:r w:rsidR="00381E31">
        <w:rPr>
          <w:rFonts w:ascii="Times New Roman" w:hAnsi="Times New Roman"/>
          <w:sz w:val="24"/>
          <w:szCs w:val="24"/>
        </w:rPr>
        <w:t>nation requires</w:t>
      </w:r>
      <w:r>
        <w:rPr>
          <w:rFonts w:ascii="Times New Roman" w:hAnsi="Times New Roman"/>
          <w:sz w:val="24"/>
          <w:szCs w:val="24"/>
        </w:rPr>
        <w:t xml:space="preserve"> a lot of revenue to be able to provide and maintain essential services for its citizen. One ready means of revenue for the government is through the imposition of tax. The imposition of tax by the government is not a new phenomenon. </w:t>
      </w:r>
      <w:r w:rsidRPr="005C4308">
        <w:rPr>
          <w:rFonts w:ascii="Times New Roman" w:hAnsi="Times New Roman"/>
          <w:sz w:val="24"/>
          <w:szCs w:val="24"/>
        </w:rPr>
        <w:t>The existence and sustainability of every creature requires the sufficiency of the necessary infrastructure and amenities</w:t>
      </w:r>
      <w:r>
        <w:rPr>
          <w:rFonts w:ascii="Times New Roman" w:hAnsi="Times New Roman"/>
          <w:sz w:val="24"/>
          <w:szCs w:val="24"/>
        </w:rPr>
        <w:t xml:space="preserve"> within its environment, and s</w:t>
      </w:r>
      <w:r w:rsidRPr="005C4308">
        <w:rPr>
          <w:rFonts w:ascii="Times New Roman" w:hAnsi="Times New Roman"/>
          <w:sz w:val="24"/>
          <w:szCs w:val="24"/>
        </w:rPr>
        <w:t xml:space="preserve">ince government is the ‘rule of the people by the people and for the people’, the existence and sustainability of government rely wholly on the perceptions, cooperation, support and the general responsiveness of the </w:t>
      </w:r>
      <w:r w:rsidRPr="00D910DD">
        <w:rPr>
          <w:rFonts w:ascii="Times New Roman" w:hAnsi="Times New Roman"/>
          <w:sz w:val="24"/>
          <w:szCs w:val="24"/>
        </w:rPr>
        <w:t>people</w:t>
      </w:r>
      <w:r w:rsidR="00D910DD" w:rsidRPr="00D910DD">
        <w:rPr>
          <w:rFonts w:ascii="Times New Roman" w:hAnsi="Times New Roman"/>
          <w:sz w:val="24"/>
          <w:szCs w:val="24"/>
        </w:rPr>
        <w:t xml:space="preserve"> (</w:t>
      </w:r>
      <w:proofErr w:type="spellStart"/>
      <w:r w:rsidR="00D910DD" w:rsidRPr="00D910DD">
        <w:rPr>
          <w:rFonts w:ascii="Times New Roman" w:hAnsi="Times New Roman"/>
          <w:color w:val="000000"/>
          <w:sz w:val="24"/>
          <w:szCs w:val="24"/>
        </w:rPr>
        <w:t>Nwadi</w:t>
      </w:r>
      <w:proofErr w:type="spellEnd"/>
      <w:r w:rsidR="00D910DD" w:rsidRPr="00D910DD">
        <w:rPr>
          <w:rFonts w:ascii="Times New Roman" w:hAnsi="Times New Roman"/>
          <w:sz w:val="24"/>
          <w:szCs w:val="24"/>
        </w:rPr>
        <w:t>, 2022</w:t>
      </w:r>
      <w:r w:rsidRPr="00D910DD">
        <w:rPr>
          <w:rFonts w:ascii="Times New Roman" w:hAnsi="Times New Roman"/>
          <w:sz w:val="24"/>
          <w:szCs w:val="24"/>
        </w:rPr>
        <w:t>). The co-operation of the people and the government is oiled/lubricated through adequate funding by means of taxation. There is hardly any government today that does</w:t>
      </w:r>
      <w:r>
        <w:rPr>
          <w:rFonts w:ascii="Times New Roman" w:hAnsi="Times New Roman"/>
          <w:sz w:val="24"/>
          <w:szCs w:val="24"/>
        </w:rPr>
        <w:t xml:space="preserve"> not rely on taxation. However, apart from the complications </w:t>
      </w:r>
      <w:r w:rsidR="00381E31">
        <w:rPr>
          <w:rFonts w:ascii="Times New Roman" w:hAnsi="Times New Roman"/>
          <w:sz w:val="24"/>
          <w:szCs w:val="24"/>
        </w:rPr>
        <w:t>that has</w:t>
      </w:r>
      <w:r>
        <w:rPr>
          <w:rFonts w:ascii="Times New Roman" w:hAnsi="Times New Roman"/>
          <w:sz w:val="24"/>
          <w:szCs w:val="24"/>
        </w:rPr>
        <w:t xml:space="preserve"> crept into the taxation system in modern times, the reason for the imposition of tax in fact ceased to be only for the generation of revenue for the state. In using taxation to generate revenue, government is faced with two </w:t>
      </w:r>
      <w:r w:rsidR="00381E31">
        <w:rPr>
          <w:rFonts w:ascii="Times New Roman" w:hAnsi="Times New Roman"/>
          <w:sz w:val="24"/>
          <w:szCs w:val="24"/>
        </w:rPr>
        <w:t>problems</w:t>
      </w:r>
      <w:r>
        <w:rPr>
          <w:rFonts w:ascii="Times New Roman" w:hAnsi="Times New Roman"/>
          <w:sz w:val="24"/>
          <w:szCs w:val="24"/>
        </w:rPr>
        <w:t xml:space="preserve">: how to get the money and who to take it from. The purpose of the efficiently designed taxation is to achieve desired fiscal policy objectives (allocation, distribution and stabilization) in the most efficient way by limiting undesired distortions, minimizing the cost of tax collection and promoting economic growth. From the point of view of </w:t>
      </w:r>
      <w:r>
        <w:rPr>
          <w:rFonts w:ascii="Times New Roman" w:hAnsi="Times New Roman"/>
          <w:sz w:val="24"/>
          <w:szCs w:val="24"/>
        </w:rPr>
        <w:lastRenderedPageBreak/>
        <w:t xml:space="preserve">Desislava and Nikolay (2012), the efficiency of taxation and particularly the tax structure plays important role in achieving economic growth and fiscal consolidation. </w:t>
      </w:r>
    </w:p>
    <w:p w14:paraId="59EE9734" w14:textId="77777777" w:rsidR="00CD1034" w:rsidRDefault="00CD1034" w:rsidP="00CD1034">
      <w:pPr>
        <w:ind w:left="714" w:firstLine="720"/>
        <w:jc w:val="both"/>
      </w:pPr>
      <w:r>
        <w:t xml:space="preserve">In implementing various tax policy for revenue generation, government should adopt an </w:t>
      </w:r>
      <w:r w:rsidRPr="00347CD6">
        <w:t>economically and politically acceptable taxes that would ensure easy administration, accounting, verification, auditing and investigation based on the equality, neutrality and other attributes of a good tax</w:t>
      </w:r>
      <w:r>
        <w:t xml:space="preserve"> (</w:t>
      </w:r>
      <w:r w:rsidR="00D910DD" w:rsidRPr="002F6AD6">
        <w:rPr>
          <w:color w:val="000000"/>
        </w:rPr>
        <w:t>Adebayo</w:t>
      </w:r>
      <w:r w:rsidR="00D910DD">
        <w:rPr>
          <w:color w:val="000000"/>
        </w:rPr>
        <w:t xml:space="preserve">, </w:t>
      </w:r>
      <w:r w:rsidR="00D910DD" w:rsidRPr="002F6AD6">
        <w:rPr>
          <w:color w:val="000000"/>
        </w:rPr>
        <w:t>Adeyemi</w:t>
      </w:r>
      <w:r w:rsidR="00D910DD">
        <w:rPr>
          <w:color w:val="000000"/>
        </w:rPr>
        <w:t>, &amp;</w:t>
      </w:r>
      <w:r w:rsidR="00381E31">
        <w:rPr>
          <w:color w:val="000000"/>
        </w:rPr>
        <w:t xml:space="preserve"> </w:t>
      </w:r>
      <w:proofErr w:type="spellStart"/>
      <w:r w:rsidR="00D910DD" w:rsidRPr="002F6AD6">
        <w:rPr>
          <w:color w:val="000000"/>
        </w:rPr>
        <w:t>Osunwole</w:t>
      </w:r>
      <w:proofErr w:type="spellEnd"/>
      <w:r w:rsidR="00D910DD">
        <w:rPr>
          <w:color w:val="000000"/>
        </w:rPr>
        <w:t>, 2022</w:t>
      </w:r>
      <w:r>
        <w:t>)</w:t>
      </w:r>
      <w:r w:rsidRPr="00347CD6">
        <w:t xml:space="preserve">.  </w:t>
      </w:r>
      <w:r w:rsidRPr="0092197A">
        <w:t>The measure of the amount of tax revenue co</w:t>
      </w:r>
      <w:r>
        <w:t xml:space="preserve">untries are expected to raise </w:t>
      </w:r>
      <w:r w:rsidRPr="0092197A">
        <w:t>is widely measure</w:t>
      </w:r>
      <w:r>
        <w:t>d by the tax to GDP ratio, and this is</w:t>
      </w:r>
      <w:r w:rsidRPr="0092197A">
        <w:t xml:space="preserve"> adopted globally as a standard benchmark for assessing how well governments are raising tax revenues to finance their activities</w:t>
      </w:r>
      <w:r>
        <w:t xml:space="preserve"> (</w:t>
      </w:r>
      <w:r w:rsidRPr="0092197A">
        <w:t>Umar</w:t>
      </w:r>
      <w:r>
        <w:t xml:space="preserve">, </w:t>
      </w:r>
      <w:proofErr w:type="spellStart"/>
      <w:r w:rsidRPr="0092197A">
        <w:t>Derashid</w:t>
      </w:r>
      <w:proofErr w:type="spellEnd"/>
      <w:r w:rsidR="00381E31">
        <w:t xml:space="preserve"> </w:t>
      </w:r>
      <w:r>
        <w:t>&amp; Ibrahim, 2017)</w:t>
      </w:r>
      <w:r w:rsidRPr="0092197A">
        <w:t>.</w:t>
      </w:r>
      <w:r>
        <w:t xml:space="preserve"> They went further to state that the </w:t>
      </w:r>
      <w:r w:rsidRPr="0092197A">
        <w:t>International Monetary Fund (IMF) recommends 15% of GDP as the minimum benchmark on which coun</w:t>
      </w:r>
      <w:r>
        <w:t xml:space="preserve">tries should raise tax revenue based on the expert advice of Kaldor in 1963 </w:t>
      </w:r>
      <w:r w:rsidRPr="0092197A">
        <w:t>that countries which fall below this b</w:t>
      </w:r>
      <w:r>
        <w:t>enchmark are at fiscal risk</w:t>
      </w:r>
      <w:r w:rsidRPr="0092197A">
        <w:t>.</w:t>
      </w:r>
      <w:r>
        <w:t xml:space="preserve"> The implication of this benchmark in Nigeria provides evidence that the country is at fiscal risk. </w:t>
      </w:r>
    </w:p>
    <w:p w14:paraId="312B9B01" w14:textId="77777777" w:rsidR="00CD1034" w:rsidRDefault="00D910DD" w:rsidP="00CD1034">
      <w:pPr>
        <w:ind w:left="714" w:firstLine="720"/>
        <w:jc w:val="both"/>
      </w:pPr>
      <w:r>
        <w:rPr>
          <w:color w:val="000000"/>
        </w:rPr>
        <w:t>E</w:t>
      </w:r>
      <w:r w:rsidRPr="004E7292">
        <w:rPr>
          <w:color w:val="000000"/>
        </w:rPr>
        <w:t>ke</w:t>
      </w:r>
      <w:r>
        <w:rPr>
          <w:color w:val="000000"/>
        </w:rPr>
        <w:t xml:space="preserve"> and </w:t>
      </w:r>
      <w:proofErr w:type="spellStart"/>
      <w:r w:rsidRPr="004E7292">
        <w:rPr>
          <w:color w:val="000000"/>
        </w:rPr>
        <w:t>Omogbai</w:t>
      </w:r>
      <w:proofErr w:type="spellEnd"/>
      <w:r>
        <w:rPr>
          <w:color w:val="000000"/>
        </w:rPr>
        <w:t xml:space="preserve"> (2022)</w:t>
      </w:r>
      <w:r w:rsidR="00CD1034">
        <w:t xml:space="preserve"> recognise</w:t>
      </w:r>
      <w:r>
        <w:t>d</w:t>
      </w:r>
      <w:r w:rsidR="00CD1034">
        <w:t xml:space="preserve"> the</w:t>
      </w:r>
      <w:r w:rsidR="00CD1034" w:rsidRPr="00C0048C">
        <w:t xml:space="preserve"> need for the government to provide social amenities, engage in developmental projects is a compulsory one for the </w:t>
      </w:r>
      <w:r w:rsidR="00CD1034" w:rsidRPr="005C4308">
        <w:t xml:space="preserve">improvement of the standard of living of the citizenry but the government has often lamented of lack of fund to embark on these projects. </w:t>
      </w:r>
      <w:r w:rsidR="00CD1034">
        <w:t xml:space="preserve">For the development and growth of any economy, the provision of basic infrastructure is necessary. This is why government shows great concern for a medium through which fund can be made available to attain set goals for the society. Due to diverse nature of human wants requiring huge fund which individual or society alone are incapacitated to provide, it becomes a heavy burden on the government to increase revenue generation to provide the infrastructural needs of her citizen. </w:t>
      </w:r>
      <w:r w:rsidR="00CD1034" w:rsidRPr="00245745">
        <w:t>Olaoye</w:t>
      </w:r>
      <w:r w:rsidR="00CD1034">
        <w:t xml:space="preserve"> and Ayeni (2018) note that r</w:t>
      </w:r>
      <w:r w:rsidR="00CD1034" w:rsidRPr="00245745">
        <w:t>evenue generation serves as a prominent role in the growth of an econom</w:t>
      </w:r>
      <w:r w:rsidR="00CD1034">
        <w:t>y and</w:t>
      </w:r>
      <w:r w:rsidR="00CD1034" w:rsidRPr="00245745">
        <w:t xml:space="preserve"> government in all spheres of the world strategize to increase its revenue for the welfare of her citizen</w:t>
      </w:r>
      <w:r w:rsidR="00CD1034">
        <w:t>. Following the fall of crude oil in the international market in 2016 that resulted in serious exchange rate crisis and economic recession in the country, they have been calls from different stakeholders to diversify the economy from oil dependent to non-oil, with particular reference to agriculture as was the case before the discovery of crude oil in the 1960s in order to increase the revenue generation capacity of the government. W</w:t>
      </w:r>
      <w:r w:rsidR="00CD1034" w:rsidRPr="007E4295">
        <w:t xml:space="preserve">ith this call, the assertion  </w:t>
      </w:r>
      <w:r w:rsidR="00CD1034">
        <w:t xml:space="preserve">by </w:t>
      </w:r>
      <w:proofErr w:type="spellStart"/>
      <w:r>
        <w:rPr>
          <w:color w:val="000000"/>
        </w:rPr>
        <w:t>Adegbite</w:t>
      </w:r>
      <w:proofErr w:type="spellEnd"/>
      <w:r>
        <w:rPr>
          <w:color w:val="000000"/>
        </w:rPr>
        <w:t xml:space="preserve"> and </w:t>
      </w:r>
      <w:proofErr w:type="spellStart"/>
      <w:r w:rsidRPr="004E7292">
        <w:rPr>
          <w:color w:val="000000"/>
        </w:rPr>
        <w:t>Fasina</w:t>
      </w:r>
      <w:proofErr w:type="spellEnd"/>
      <w:r>
        <w:rPr>
          <w:color w:val="000000"/>
        </w:rPr>
        <w:t xml:space="preserve"> (2019)</w:t>
      </w:r>
      <w:r w:rsidR="00CD1034">
        <w:t xml:space="preserve"> that i</w:t>
      </w:r>
      <w:r w:rsidR="00CD1034" w:rsidRPr="007E4295">
        <w:t>ndeed, taxation, rather than natural resources, such as oil, ought to be the central instrument of s</w:t>
      </w:r>
      <w:r w:rsidR="00381E31">
        <w:t xml:space="preserve">tate economic policy in Nigeria – </w:t>
      </w:r>
      <w:r w:rsidR="00CD1034" w:rsidRPr="007E4295">
        <w:t>as it of tr</w:t>
      </w:r>
      <w:r w:rsidR="00CD1034">
        <w:t>uly modern democratic states</w:t>
      </w:r>
      <w:r w:rsidR="00CD1034" w:rsidRPr="007E4295">
        <w:t>”</w:t>
      </w:r>
      <w:r w:rsidR="00CD1034">
        <w:t xml:space="preserve"> cannot be debated.</w:t>
      </w:r>
    </w:p>
    <w:p w14:paraId="70E64B87" w14:textId="77777777" w:rsidR="00341C69" w:rsidRDefault="00341C69" w:rsidP="00CD1034">
      <w:pPr>
        <w:ind w:left="714" w:firstLine="720"/>
        <w:jc w:val="both"/>
      </w:pPr>
    </w:p>
    <w:p w14:paraId="4DEC75E6" w14:textId="77777777" w:rsidR="00341C69" w:rsidRPr="00341C69" w:rsidRDefault="00341C69" w:rsidP="00341C69">
      <w:pPr>
        <w:jc w:val="both"/>
        <w:rPr>
          <w:b/>
        </w:rPr>
      </w:pPr>
      <w:r>
        <w:tab/>
      </w:r>
      <w:r w:rsidRPr="00341C69">
        <w:rPr>
          <w:b/>
        </w:rPr>
        <w:t>Problem Statement</w:t>
      </w:r>
    </w:p>
    <w:p w14:paraId="0373DC23" w14:textId="77777777" w:rsidR="00CD1034" w:rsidRDefault="00CD1034" w:rsidP="00CD1034">
      <w:pPr>
        <w:ind w:left="714" w:firstLine="720"/>
        <w:jc w:val="both"/>
      </w:pPr>
      <w:r>
        <w:t xml:space="preserve">Tax revenue mobilization as a source of financing development activities in Nigeria has been a difficult issue primarily because of various forms of resistance, such as evasion, avoidance and other forms of corrupt practices. These activities are considered as sabotaging the economy and are readily presented as part of the reason for present state of underdevelopment in Nigeria. Government exists in order to effectively collect taxes from available economic resources and make use of same to create economic prosperity such that available and willing human and other resources are gainfully employed, infrastructures provided, essential public services (such as the maintenance of law and order) put in place among others. Tax laws in Nigeria are complex and difficult for the common taxpayers to understand, and some cases are </w:t>
      </w:r>
      <w:r>
        <w:lastRenderedPageBreak/>
        <w:t>problematic even for literate official. In addition to lack of understanding, many taxpayers are unaware of the existence of certain tax. This coupled with lack of information, laziness of the staff official, uncooperative taxpayers and the habit of “quick – fix” solutions – encourages the use of the best judgement approach. This may be a manifestation of the poor tax education and weak fulfilment by the authorities of their responsibilities with regard to public awareness.</w:t>
      </w:r>
    </w:p>
    <w:p w14:paraId="0ED0ED8E" w14:textId="77777777" w:rsidR="00EA41AC" w:rsidRDefault="00CD1034" w:rsidP="00D910DD">
      <w:pPr>
        <w:ind w:left="714" w:firstLine="720"/>
        <w:jc w:val="both"/>
      </w:pPr>
      <w:proofErr w:type="spellStart"/>
      <w:r w:rsidRPr="00ED72A9">
        <w:t>Ofurum</w:t>
      </w:r>
      <w:proofErr w:type="spellEnd"/>
      <w:r>
        <w:t xml:space="preserve">, </w:t>
      </w:r>
      <w:proofErr w:type="spellStart"/>
      <w:r w:rsidRPr="00ED72A9">
        <w:t>Amaefule</w:t>
      </w:r>
      <w:proofErr w:type="spellEnd"/>
      <w:r w:rsidRPr="00ED72A9">
        <w:t>,</w:t>
      </w:r>
      <w:r w:rsidR="00C1097E">
        <w:t xml:space="preserve"> </w:t>
      </w:r>
      <w:proofErr w:type="spellStart"/>
      <w:r w:rsidRPr="00ED72A9">
        <w:t>Okonya</w:t>
      </w:r>
      <w:proofErr w:type="spellEnd"/>
      <w:r>
        <w:t xml:space="preserve"> and </w:t>
      </w:r>
      <w:proofErr w:type="spellStart"/>
      <w:r w:rsidRPr="00ED72A9">
        <w:t>Amaefule</w:t>
      </w:r>
      <w:proofErr w:type="spellEnd"/>
      <w:r w:rsidR="00C1097E">
        <w:t xml:space="preserve"> </w:t>
      </w:r>
      <w:r>
        <w:t>(2018) argue that p</w:t>
      </w:r>
      <w:r w:rsidRPr="00AF5565">
        <w:t xml:space="preserve">oor contribution of tax revenues to total federally collected revenue in Nigeria, and the ratio of tax revenue to Gross Domestic Product </w:t>
      </w:r>
      <w:r>
        <w:t xml:space="preserve">is alarming compared to </w:t>
      </w:r>
      <w:r w:rsidRPr="00AF5565">
        <w:t xml:space="preserve">other African countries such as Ghana, Tunisia, Morocco, and so on, </w:t>
      </w:r>
      <w:r>
        <w:t xml:space="preserve">who </w:t>
      </w:r>
      <w:r w:rsidRPr="00AF5565">
        <w:t>have their tax revenues constituting significant portion of their total rev</w:t>
      </w:r>
      <w:r>
        <w:t xml:space="preserve">enue and Gross domestic Product. The authors reported that </w:t>
      </w:r>
      <w:r w:rsidRPr="00ED72A9">
        <w:t xml:space="preserve">Ghana </w:t>
      </w:r>
      <w:r>
        <w:t xml:space="preserve">has 73% </w:t>
      </w:r>
      <w:r w:rsidRPr="00ED72A9">
        <w:t>of its total revenue was generated from tax; in Tunisia, tax rev</w:t>
      </w:r>
      <w:r>
        <w:t>enue accounted for 31.3%</w:t>
      </w:r>
      <w:r w:rsidRPr="00ED72A9">
        <w:t xml:space="preserve"> of her Gross Domestic Product, while in Morocco, tax-to-GDP </w:t>
      </w:r>
      <w:r>
        <w:t>ratio was 28.5%</w:t>
      </w:r>
      <w:r w:rsidRPr="00ED72A9">
        <w:t>.</w:t>
      </w:r>
      <w:r>
        <w:t xml:space="preserve"> The tax ratio to Real Gross Domestic Product (RGDP) in Nigeria based on 2017 fiscal year is 4.68%. This is abysmal when compared to that of other African countries aforementioned. There are conflicting results on empirical studies regarding the nexus between taxation and revenue generation in both developed and developing countries of the world. The studies of </w:t>
      </w:r>
      <w:proofErr w:type="spellStart"/>
      <w:r>
        <w:t>Madugba</w:t>
      </w:r>
      <w:proofErr w:type="spellEnd"/>
      <w:r>
        <w:t xml:space="preserve">, </w:t>
      </w:r>
      <w:proofErr w:type="spellStart"/>
      <w:r>
        <w:t>Ekwe</w:t>
      </w:r>
      <w:proofErr w:type="spellEnd"/>
      <w:r>
        <w:t xml:space="preserve"> and Kalu (2015), </w:t>
      </w:r>
      <w:proofErr w:type="spellStart"/>
      <w:r>
        <w:t>Kwaji</w:t>
      </w:r>
      <w:proofErr w:type="spellEnd"/>
      <w:r>
        <w:t xml:space="preserve"> and </w:t>
      </w:r>
      <w:proofErr w:type="spellStart"/>
      <w:r>
        <w:t>Ishaja</w:t>
      </w:r>
      <w:proofErr w:type="spellEnd"/>
      <w:r>
        <w:t xml:space="preserve"> (2017), Samuel and </w:t>
      </w:r>
      <w:proofErr w:type="spellStart"/>
      <w:r>
        <w:t>Tyokoso</w:t>
      </w:r>
      <w:proofErr w:type="spellEnd"/>
      <w:r>
        <w:t xml:space="preserve"> (2014) and </w:t>
      </w:r>
      <w:proofErr w:type="spellStart"/>
      <w:r>
        <w:t>Oriakhi</w:t>
      </w:r>
      <w:proofErr w:type="spellEnd"/>
      <w:r>
        <w:t xml:space="preserve"> and Ahuru (2014) evidence positive relationship between taxation and revenue generation. </w:t>
      </w:r>
      <w:proofErr w:type="spellStart"/>
      <w:r>
        <w:t>Onaolapo</w:t>
      </w:r>
      <w:proofErr w:type="spellEnd"/>
      <w:r>
        <w:t xml:space="preserve">, </w:t>
      </w:r>
      <w:proofErr w:type="spellStart"/>
      <w:r>
        <w:t>Aworemi</w:t>
      </w:r>
      <w:proofErr w:type="spellEnd"/>
      <w:r>
        <w:t xml:space="preserve"> and </w:t>
      </w:r>
      <w:proofErr w:type="spellStart"/>
      <w:r>
        <w:t>Ajala</w:t>
      </w:r>
      <w:proofErr w:type="spellEnd"/>
      <w:r>
        <w:t xml:space="preserve"> (2013) and Olawale (2014) posited the significant effect of taxation on revenue. This was countered by Olaoye and Ayeni (2018) that taxation has no significant effect on revenue generation. Other studies such as </w:t>
      </w:r>
      <w:proofErr w:type="spellStart"/>
      <w:r>
        <w:t>Obara</w:t>
      </w:r>
      <w:proofErr w:type="spellEnd"/>
      <w:r>
        <w:t xml:space="preserve"> and </w:t>
      </w:r>
      <w:proofErr w:type="spellStart"/>
      <w:r>
        <w:t>Nangih</w:t>
      </w:r>
      <w:proofErr w:type="spellEnd"/>
      <w:r>
        <w:t xml:space="preserve"> (2017), </w:t>
      </w:r>
      <w:proofErr w:type="spellStart"/>
      <w:r>
        <w:t>Nwaiwu</w:t>
      </w:r>
      <w:proofErr w:type="spellEnd"/>
      <w:r>
        <w:t xml:space="preserve"> and Macgregor (2018) and Abiola (2014) have resorted to the use of questionnaire in assessing the nexus and effect of taxation on revenue generation. The use of questionnaire casted some dent to the reliability of their result owing to the availability of secondary data. Consequently, this study would apply up-to-date on the variables of interest to examine the effect of taxation on revenue generation in Nigeria from 2007 to 2023.</w:t>
      </w:r>
    </w:p>
    <w:p w14:paraId="003614F7" w14:textId="77777777" w:rsidR="00341C69" w:rsidRDefault="00341C69" w:rsidP="00CD1034">
      <w:pPr>
        <w:ind w:left="714" w:firstLine="720"/>
        <w:jc w:val="both"/>
      </w:pPr>
    </w:p>
    <w:p w14:paraId="35CEF9EF" w14:textId="77777777" w:rsidR="00341C69" w:rsidRPr="00341C69" w:rsidRDefault="00341C69" w:rsidP="00341C69">
      <w:pPr>
        <w:jc w:val="both"/>
        <w:rPr>
          <w:b/>
        </w:rPr>
      </w:pPr>
      <w:r w:rsidRPr="00341C69">
        <w:tab/>
      </w:r>
      <w:r w:rsidRPr="00341C69">
        <w:rPr>
          <w:b/>
        </w:rPr>
        <w:t>Objectives of the Study</w:t>
      </w:r>
    </w:p>
    <w:p w14:paraId="60571420" w14:textId="77777777" w:rsidR="00341C69" w:rsidRPr="00341C69" w:rsidRDefault="00341C69" w:rsidP="00341C69">
      <w:pPr>
        <w:jc w:val="both"/>
      </w:pPr>
      <w:r w:rsidRPr="00341C69">
        <w:tab/>
        <w:t>Specifically, this study examines the following:</w:t>
      </w:r>
    </w:p>
    <w:p w14:paraId="07ABF0BC" w14:textId="77777777" w:rsidR="00341C69" w:rsidRPr="00341C69" w:rsidRDefault="00341C69" w:rsidP="00341C69">
      <w:pPr>
        <w:pStyle w:val="ListParagraph"/>
        <w:numPr>
          <w:ilvl w:val="0"/>
          <w:numId w:val="2"/>
        </w:numPr>
        <w:jc w:val="both"/>
        <w:rPr>
          <w:rFonts w:ascii="Times New Roman" w:hAnsi="Times New Roman"/>
          <w:sz w:val="24"/>
          <w:szCs w:val="24"/>
        </w:rPr>
      </w:pPr>
      <w:r w:rsidRPr="00341C69">
        <w:rPr>
          <w:rFonts w:ascii="Times New Roman" w:hAnsi="Times New Roman"/>
          <w:sz w:val="24"/>
          <w:szCs w:val="24"/>
        </w:rPr>
        <w:t>The effect of petroleum profit tax on total federally collected revenue in Nigeria.</w:t>
      </w:r>
    </w:p>
    <w:p w14:paraId="6A3F1F5B" w14:textId="77777777" w:rsidR="00341C69" w:rsidRPr="00341C69" w:rsidRDefault="00341C69" w:rsidP="00341C69">
      <w:pPr>
        <w:pStyle w:val="ListParagraph"/>
        <w:numPr>
          <w:ilvl w:val="0"/>
          <w:numId w:val="2"/>
        </w:numPr>
        <w:jc w:val="both"/>
        <w:rPr>
          <w:rFonts w:ascii="Times New Roman" w:hAnsi="Times New Roman"/>
          <w:sz w:val="24"/>
          <w:szCs w:val="24"/>
        </w:rPr>
      </w:pPr>
      <w:r w:rsidRPr="00341C69">
        <w:rPr>
          <w:rFonts w:ascii="Times New Roman" w:hAnsi="Times New Roman"/>
          <w:sz w:val="24"/>
          <w:szCs w:val="24"/>
        </w:rPr>
        <w:t>The effect of companies’ income tax on total federally collected revenue in Nigeria</w:t>
      </w:r>
    </w:p>
    <w:p w14:paraId="12A2D5B4" w14:textId="77777777" w:rsidR="00341C69" w:rsidRDefault="00341C69" w:rsidP="00341C69">
      <w:pPr>
        <w:pStyle w:val="ListParagraph"/>
        <w:numPr>
          <w:ilvl w:val="0"/>
          <w:numId w:val="2"/>
        </w:numPr>
        <w:jc w:val="both"/>
        <w:rPr>
          <w:rFonts w:ascii="Times New Roman" w:hAnsi="Times New Roman"/>
          <w:sz w:val="24"/>
          <w:szCs w:val="24"/>
        </w:rPr>
      </w:pPr>
      <w:r w:rsidRPr="00341C69">
        <w:rPr>
          <w:rFonts w:ascii="Times New Roman" w:hAnsi="Times New Roman"/>
          <w:sz w:val="24"/>
          <w:szCs w:val="24"/>
        </w:rPr>
        <w:t>The effect of value added tax on total federally collected revenue in Nigeria</w:t>
      </w:r>
    </w:p>
    <w:p w14:paraId="0BED2699" w14:textId="77777777" w:rsidR="00D910DD" w:rsidRPr="00341C69" w:rsidRDefault="00D910DD" w:rsidP="00D910DD">
      <w:pPr>
        <w:pStyle w:val="ListParagraph"/>
        <w:ind w:left="1440"/>
        <w:jc w:val="both"/>
        <w:rPr>
          <w:rFonts w:ascii="Times New Roman" w:hAnsi="Times New Roman"/>
          <w:sz w:val="24"/>
          <w:szCs w:val="24"/>
        </w:rPr>
      </w:pPr>
    </w:p>
    <w:p w14:paraId="23EE64A5" w14:textId="77777777" w:rsidR="008C4FE9" w:rsidRPr="00876EEC" w:rsidRDefault="00341C69" w:rsidP="008C4FE9">
      <w:pPr>
        <w:pStyle w:val="ListParagraph"/>
        <w:numPr>
          <w:ilvl w:val="0"/>
          <w:numId w:val="1"/>
        </w:numPr>
        <w:spacing w:after="0" w:line="240" w:lineRule="auto"/>
        <w:ind w:left="714" w:hanging="357"/>
        <w:jc w:val="both"/>
        <w:rPr>
          <w:rFonts w:ascii="Times New Roman" w:hAnsi="Times New Roman"/>
          <w:sz w:val="24"/>
          <w:szCs w:val="24"/>
        </w:rPr>
      </w:pPr>
      <w:r>
        <w:rPr>
          <w:rFonts w:ascii="Times New Roman" w:hAnsi="Times New Roman"/>
          <w:b/>
          <w:sz w:val="24"/>
          <w:szCs w:val="24"/>
        </w:rPr>
        <w:t>REVIEW OF RELATED</w:t>
      </w:r>
      <w:r w:rsidR="008C4FE9" w:rsidRPr="00E2501D">
        <w:rPr>
          <w:rFonts w:ascii="Times New Roman" w:hAnsi="Times New Roman"/>
          <w:b/>
          <w:sz w:val="24"/>
          <w:szCs w:val="24"/>
        </w:rPr>
        <w:t>LITERATURE</w:t>
      </w:r>
    </w:p>
    <w:p w14:paraId="0B97D61A" w14:textId="77777777" w:rsidR="00876EEC" w:rsidRPr="00E2501D" w:rsidRDefault="00876EEC" w:rsidP="00876EEC">
      <w:pPr>
        <w:pStyle w:val="ListParagraph"/>
        <w:spacing w:after="0" w:line="240" w:lineRule="auto"/>
        <w:ind w:left="714"/>
        <w:jc w:val="both"/>
        <w:rPr>
          <w:rFonts w:ascii="Times New Roman" w:hAnsi="Times New Roman"/>
          <w:sz w:val="24"/>
          <w:szCs w:val="24"/>
        </w:rPr>
      </w:pPr>
      <w:r>
        <w:rPr>
          <w:rFonts w:ascii="Times New Roman" w:hAnsi="Times New Roman"/>
          <w:b/>
          <w:sz w:val="24"/>
          <w:szCs w:val="24"/>
        </w:rPr>
        <w:t>Conceptual Clarification</w:t>
      </w:r>
    </w:p>
    <w:p w14:paraId="5AFD53D9" w14:textId="77777777" w:rsidR="008C4FE9" w:rsidRDefault="008C4FE9" w:rsidP="008C4FE9">
      <w:pPr>
        <w:pStyle w:val="ListParagraph"/>
        <w:spacing w:after="0" w:line="240" w:lineRule="auto"/>
        <w:ind w:firstLine="720"/>
        <w:jc w:val="both"/>
        <w:rPr>
          <w:rFonts w:ascii="Times New Roman" w:hAnsi="Times New Roman"/>
          <w:sz w:val="24"/>
          <w:szCs w:val="24"/>
        </w:rPr>
      </w:pPr>
      <w:r w:rsidRPr="00B27FFB">
        <w:rPr>
          <w:rFonts w:ascii="Times New Roman" w:hAnsi="Times New Roman"/>
          <w:sz w:val="24"/>
          <w:szCs w:val="24"/>
        </w:rPr>
        <w:t>Taxation is a main source of revenue to governments across the world; thus tax becomes a burden that every citizen must bear to support the government as well has some functions to perform for the well-being of those it governs</w:t>
      </w:r>
      <w:r>
        <w:rPr>
          <w:rFonts w:ascii="Times New Roman" w:hAnsi="Times New Roman"/>
          <w:sz w:val="24"/>
          <w:szCs w:val="24"/>
        </w:rPr>
        <w:t xml:space="preserve"> (</w:t>
      </w:r>
      <w:proofErr w:type="spellStart"/>
      <w:r w:rsidRPr="00B27FFB">
        <w:rPr>
          <w:rFonts w:ascii="Times New Roman" w:hAnsi="Times New Roman"/>
          <w:sz w:val="24"/>
          <w:szCs w:val="24"/>
        </w:rPr>
        <w:t>Kwaji</w:t>
      </w:r>
      <w:proofErr w:type="spellEnd"/>
      <w:r w:rsidR="00381E31">
        <w:rPr>
          <w:rFonts w:ascii="Times New Roman" w:hAnsi="Times New Roman"/>
          <w:sz w:val="24"/>
          <w:szCs w:val="24"/>
        </w:rPr>
        <w:t xml:space="preserve"> </w:t>
      </w:r>
      <w:r>
        <w:rPr>
          <w:rFonts w:ascii="Times New Roman" w:hAnsi="Times New Roman"/>
          <w:sz w:val="24"/>
          <w:szCs w:val="24"/>
        </w:rPr>
        <w:t>&amp;</w:t>
      </w:r>
      <w:r w:rsidR="00381E31">
        <w:rPr>
          <w:rFonts w:ascii="Times New Roman" w:hAnsi="Times New Roman"/>
          <w:sz w:val="24"/>
          <w:szCs w:val="24"/>
        </w:rPr>
        <w:t xml:space="preserve"> </w:t>
      </w:r>
      <w:proofErr w:type="spellStart"/>
      <w:r w:rsidRPr="00B27FFB">
        <w:rPr>
          <w:rFonts w:ascii="Times New Roman" w:hAnsi="Times New Roman"/>
          <w:sz w:val="24"/>
          <w:szCs w:val="24"/>
        </w:rPr>
        <w:t>Ishaya</w:t>
      </w:r>
      <w:proofErr w:type="spellEnd"/>
      <w:r>
        <w:rPr>
          <w:rFonts w:ascii="Times New Roman" w:hAnsi="Times New Roman"/>
          <w:sz w:val="24"/>
          <w:szCs w:val="24"/>
        </w:rPr>
        <w:t>, 2017)</w:t>
      </w:r>
      <w:r w:rsidRPr="00B27FFB">
        <w:rPr>
          <w:rFonts w:ascii="Times New Roman" w:hAnsi="Times New Roman"/>
          <w:sz w:val="24"/>
          <w:szCs w:val="24"/>
        </w:rPr>
        <w:t>.</w:t>
      </w:r>
      <w:r w:rsidRPr="00785B21">
        <w:rPr>
          <w:rFonts w:ascii="Times New Roman" w:hAnsi="Times New Roman"/>
          <w:sz w:val="24"/>
          <w:szCs w:val="24"/>
        </w:rPr>
        <w:t xml:space="preserve">Taxation in its simplest form is the process or system adopted by the government in administering tax. Tax is a compulsory levy on all taxable individuals </w:t>
      </w:r>
      <w:r>
        <w:rPr>
          <w:rFonts w:ascii="Times New Roman" w:hAnsi="Times New Roman"/>
          <w:sz w:val="24"/>
          <w:szCs w:val="24"/>
        </w:rPr>
        <w:t xml:space="preserve">and companies/corporations </w:t>
      </w:r>
      <w:r w:rsidRPr="00785B21">
        <w:rPr>
          <w:rFonts w:ascii="Times New Roman" w:hAnsi="Times New Roman"/>
          <w:sz w:val="24"/>
          <w:szCs w:val="24"/>
        </w:rPr>
        <w:t xml:space="preserve">within a country. </w:t>
      </w:r>
      <w:proofErr w:type="spellStart"/>
      <w:r w:rsidRPr="008C07A2">
        <w:rPr>
          <w:rFonts w:ascii="Times New Roman" w:hAnsi="Times New Roman"/>
          <w:sz w:val="24"/>
          <w:szCs w:val="24"/>
        </w:rPr>
        <w:t>Ofurum</w:t>
      </w:r>
      <w:proofErr w:type="spellEnd"/>
      <w:r>
        <w:rPr>
          <w:rFonts w:ascii="Times New Roman" w:hAnsi="Times New Roman"/>
          <w:sz w:val="24"/>
          <w:szCs w:val="24"/>
        </w:rPr>
        <w:t xml:space="preserve">, </w:t>
      </w:r>
      <w:proofErr w:type="spellStart"/>
      <w:r w:rsidRPr="008C07A2">
        <w:rPr>
          <w:rFonts w:ascii="Times New Roman" w:hAnsi="Times New Roman"/>
          <w:sz w:val="24"/>
          <w:szCs w:val="24"/>
        </w:rPr>
        <w:t>Amaefule</w:t>
      </w:r>
      <w:proofErr w:type="spellEnd"/>
      <w:r w:rsidRPr="008C07A2">
        <w:rPr>
          <w:rFonts w:ascii="Times New Roman" w:hAnsi="Times New Roman"/>
          <w:sz w:val="24"/>
          <w:szCs w:val="24"/>
        </w:rPr>
        <w:t>,</w:t>
      </w:r>
      <w:r w:rsidR="00C1097E">
        <w:rPr>
          <w:rFonts w:ascii="Times New Roman" w:hAnsi="Times New Roman"/>
          <w:sz w:val="24"/>
          <w:szCs w:val="24"/>
        </w:rPr>
        <w:t xml:space="preserve"> </w:t>
      </w:r>
      <w:proofErr w:type="spellStart"/>
      <w:r w:rsidRPr="008C07A2">
        <w:rPr>
          <w:rFonts w:ascii="Times New Roman" w:hAnsi="Times New Roman"/>
          <w:sz w:val="24"/>
          <w:szCs w:val="24"/>
        </w:rPr>
        <w:t>Okonya</w:t>
      </w:r>
      <w:proofErr w:type="spellEnd"/>
      <w:r>
        <w:rPr>
          <w:rFonts w:ascii="Times New Roman" w:hAnsi="Times New Roman"/>
          <w:sz w:val="24"/>
          <w:szCs w:val="24"/>
        </w:rPr>
        <w:t xml:space="preserve"> and </w:t>
      </w:r>
      <w:proofErr w:type="spellStart"/>
      <w:r w:rsidRPr="008C07A2">
        <w:rPr>
          <w:rFonts w:ascii="Times New Roman" w:hAnsi="Times New Roman"/>
          <w:sz w:val="24"/>
          <w:szCs w:val="24"/>
        </w:rPr>
        <w:t>Amaefule</w:t>
      </w:r>
      <w:proofErr w:type="spellEnd"/>
      <w:r w:rsidRPr="008C07A2">
        <w:rPr>
          <w:rFonts w:ascii="Times New Roman" w:hAnsi="Times New Roman"/>
          <w:sz w:val="24"/>
          <w:szCs w:val="24"/>
        </w:rPr>
        <w:t xml:space="preserve"> </w:t>
      </w:r>
      <w:r>
        <w:rPr>
          <w:rFonts w:ascii="Times New Roman" w:hAnsi="Times New Roman"/>
          <w:sz w:val="24"/>
          <w:szCs w:val="24"/>
        </w:rPr>
        <w:t xml:space="preserve">(2018) see taxation as a </w:t>
      </w:r>
      <w:r w:rsidRPr="008C07A2">
        <w:rPr>
          <w:rFonts w:ascii="Times New Roman" w:hAnsi="Times New Roman"/>
          <w:sz w:val="24"/>
          <w:szCs w:val="24"/>
        </w:rPr>
        <w:t xml:space="preserve">compulsory or coercive money collection by a levying authority, usually a government. The term "taxation" applies to all types of involuntary levies, from </w:t>
      </w:r>
      <w:r w:rsidRPr="008C07A2">
        <w:rPr>
          <w:rFonts w:ascii="Times New Roman" w:hAnsi="Times New Roman"/>
          <w:sz w:val="24"/>
          <w:szCs w:val="24"/>
        </w:rPr>
        <w:lastRenderedPageBreak/>
        <w:t>income to capital gains to estate taxes.</w:t>
      </w:r>
      <w:r w:rsidR="00C1097E">
        <w:rPr>
          <w:rFonts w:ascii="Times New Roman" w:hAnsi="Times New Roman"/>
          <w:sz w:val="24"/>
          <w:szCs w:val="24"/>
        </w:rPr>
        <w:t xml:space="preserve"> </w:t>
      </w:r>
      <w:r w:rsidRPr="00785B21">
        <w:rPr>
          <w:rFonts w:ascii="Times New Roman" w:hAnsi="Times New Roman"/>
          <w:sz w:val="24"/>
          <w:szCs w:val="24"/>
        </w:rPr>
        <w:t>In the life of any nation, taxation is an indispensable tool employed by the government for the promotion of their overall economic and social objectives (Garba, 2015).</w:t>
      </w:r>
      <w:r w:rsidRPr="00B27FFB">
        <w:rPr>
          <w:rFonts w:ascii="Times New Roman" w:hAnsi="Times New Roman"/>
          <w:sz w:val="24"/>
          <w:szCs w:val="24"/>
        </w:rPr>
        <w:t>Taxation has been in practice from time immemorial and is as old as activity of man. From the dawn of civilization, taxation has been an essential avenue for revenue generation of governments</w:t>
      </w:r>
      <w:r>
        <w:rPr>
          <w:rFonts w:ascii="Times New Roman" w:hAnsi="Times New Roman"/>
          <w:sz w:val="24"/>
          <w:szCs w:val="24"/>
        </w:rPr>
        <w:t xml:space="preserve"> (</w:t>
      </w:r>
      <w:proofErr w:type="spellStart"/>
      <w:r w:rsidRPr="00B27FFB">
        <w:rPr>
          <w:rFonts w:ascii="Times New Roman" w:hAnsi="Times New Roman"/>
          <w:sz w:val="24"/>
          <w:szCs w:val="24"/>
        </w:rPr>
        <w:t>Nchuchuwe</w:t>
      </w:r>
      <w:proofErr w:type="spellEnd"/>
      <w:r w:rsidR="00C1097E">
        <w:rPr>
          <w:rFonts w:ascii="Times New Roman" w:hAnsi="Times New Roman"/>
          <w:sz w:val="24"/>
          <w:szCs w:val="24"/>
        </w:rPr>
        <w:t xml:space="preserve"> </w:t>
      </w:r>
      <w:r>
        <w:rPr>
          <w:rFonts w:ascii="Times New Roman" w:hAnsi="Times New Roman"/>
          <w:sz w:val="24"/>
          <w:szCs w:val="24"/>
        </w:rPr>
        <w:t xml:space="preserve">&amp; </w:t>
      </w:r>
      <w:proofErr w:type="spellStart"/>
      <w:r>
        <w:rPr>
          <w:rFonts w:ascii="Times New Roman" w:hAnsi="Times New Roman"/>
          <w:sz w:val="24"/>
          <w:szCs w:val="24"/>
        </w:rPr>
        <w:t>Ojo</w:t>
      </w:r>
      <w:proofErr w:type="spellEnd"/>
      <w:r>
        <w:rPr>
          <w:rFonts w:ascii="Times New Roman" w:hAnsi="Times New Roman"/>
          <w:sz w:val="24"/>
          <w:szCs w:val="24"/>
        </w:rPr>
        <w:t>, 2017)</w:t>
      </w:r>
      <w:r w:rsidRPr="00B27FFB">
        <w:rPr>
          <w:rFonts w:ascii="Times New Roman" w:hAnsi="Times New Roman"/>
          <w:sz w:val="24"/>
          <w:szCs w:val="24"/>
        </w:rPr>
        <w:t>.</w:t>
      </w:r>
    </w:p>
    <w:p w14:paraId="438692B5" w14:textId="77777777" w:rsidR="008C4FE9" w:rsidRDefault="008C4FE9" w:rsidP="008C4FE9">
      <w:pPr>
        <w:ind w:left="714" w:firstLine="720"/>
        <w:jc w:val="both"/>
      </w:pPr>
      <w:r>
        <w:t>A well designed tax system can help government in developing countries prioritize their spending, build stable institutions and improve democratic accountability (Brautigam, 2008). The main purpose of tax imposition by the government is to enable public sector finance its activities so as to achieve some nation’s economic and social goals. Tax is also used as an instrument for achieving both macroeconomic and microeconomic objectives of the government, especially in developing countries like Nigeria. However, dwindling level of tax revenue generation in developing countries makes it difficult to use taxation as an instrument of fiscal policy for the attainment of economic growth and development (Musgrave &amp; Musgrave, 2004). Economic growth and development in United States of America (USA), United Kingdom and Holland have been greatly influenced by revenue from taxation through company income tax, value added tax and personal income tax (</w:t>
      </w:r>
      <w:proofErr w:type="spellStart"/>
      <w:r>
        <w:t>Oluba</w:t>
      </w:r>
      <w:proofErr w:type="spellEnd"/>
      <w:r>
        <w:t>, 2008). In Africa, natural resources such as income from production sharing, mining royalties, and corporate income tax on oil and mining companies yield significant portion of tax revenue (Pfister, 2009). Tax sources are the basic and most reliable sources of government revenue because of their certainty and flexibility characteristics. Certainty characteristics implies that collection of taxes from taxpayers is assured, all other thing being equal, while its flexibility makes it possible for government to adjust the system to suit her desired purpose.</w:t>
      </w:r>
    </w:p>
    <w:p w14:paraId="1CB712A8" w14:textId="77777777" w:rsidR="008C4FE9" w:rsidRDefault="008C4FE9" w:rsidP="008C4FE9">
      <w:pPr>
        <w:ind w:left="714" w:firstLine="720"/>
        <w:jc w:val="both"/>
      </w:pPr>
      <w:r w:rsidRPr="00D2428E">
        <w:t>More so, revenue generation is an amount of money generated during a specific period of time</w:t>
      </w:r>
      <w:r>
        <w:t xml:space="preserve"> (</w:t>
      </w:r>
      <w:r w:rsidRPr="00D2428E">
        <w:t>Olaoye</w:t>
      </w:r>
      <w:r w:rsidR="00381E31">
        <w:t xml:space="preserve"> </w:t>
      </w:r>
      <w:r>
        <w:t>&amp; Ayeni, 2018)</w:t>
      </w:r>
      <w:r w:rsidRPr="00D2428E">
        <w:t>.</w:t>
      </w:r>
      <w:r>
        <w:t xml:space="preserve"> R</w:t>
      </w:r>
      <w:r w:rsidRPr="00FD5529">
        <w:t xml:space="preserve">evenue is money received by a government. It is the amount of money that a company actually receives during a specific period. Revenues earned by the government are received from sources such as taxes levied on the incomes and wealth accumulation of individuals and corporations and on the goods and services produced, exports and imports, non-taxable sources such as government-owned corporations' incomes, central bank revenue and capital receipts in the form of external loans and debts from international financial institutions. Government revenue is an important tool of the fiscal policy of the government. Governments use revenue for the development of the country, such as: construction of roads, bridges, build homes, fix schools etc. The money that government collects pays for the </w:t>
      </w:r>
      <w:r w:rsidR="00C1097E" w:rsidRPr="00FD5529">
        <w:t>services that are</w:t>
      </w:r>
      <w:r w:rsidRPr="00FD5529">
        <w:t xml:space="preserve"> provided for the people. The sources of finance used by the central government are mainly taxes paid by the public.</w:t>
      </w:r>
      <w:r w:rsidR="00C1097E">
        <w:t xml:space="preserve"> </w:t>
      </w:r>
      <w:r w:rsidRPr="00FD5529">
        <w:t>In Nigeria, federally collected revenue is divided into oil revenue and non-oil revenue. While oil revenue covers all revenue generated from oil and gas activities in the country, non-oil revenue looks at any revenue earned from sources other than oil and gas activities.</w:t>
      </w:r>
    </w:p>
    <w:p w14:paraId="365375E6" w14:textId="77777777" w:rsidR="00876EEC" w:rsidRDefault="00876EEC" w:rsidP="008C4FE9">
      <w:pPr>
        <w:ind w:left="714" w:firstLine="720"/>
        <w:jc w:val="both"/>
      </w:pPr>
    </w:p>
    <w:p w14:paraId="3ADEBB3E" w14:textId="77777777" w:rsidR="00876EEC" w:rsidRPr="00876EEC" w:rsidRDefault="00876EEC" w:rsidP="00876EEC">
      <w:pPr>
        <w:jc w:val="both"/>
        <w:rPr>
          <w:b/>
        </w:rPr>
      </w:pPr>
      <w:r>
        <w:tab/>
      </w:r>
      <w:r w:rsidRPr="00876EEC">
        <w:rPr>
          <w:b/>
        </w:rPr>
        <w:t>Theoretical Underpinning</w:t>
      </w:r>
    </w:p>
    <w:p w14:paraId="0DC20654" w14:textId="77777777" w:rsidR="00876EEC" w:rsidRDefault="00876EEC" w:rsidP="008C4FE9">
      <w:pPr>
        <w:ind w:left="714" w:firstLine="720"/>
        <w:jc w:val="both"/>
      </w:pPr>
      <w:r>
        <w:rPr>
          <w:color w:val="000000"/>
        </w:rPr>
        <w:t xml:space="preserve">Theories have been modelled in discussing the nexus between taxation and revenue generation. </w:t>
      </w:r>
      <w:r w:rsidRPr="00C9710F">
        <w:rPr>
          <w:color w:val="000000"/>
        </w:rPr>
        <w:t>The various theories that have been propounded by different scholars are: the planning behaviour theory, benefit received theory, ability to pay theory and diffusion theory</w:t>
      </w:r>
      <w:r>
        <w:rPr>
          <w:color w:val="000000"/>
        </w:rPr>
        <w:t xml:space="preserve">. However, this study is anchored on the </w:t>
      </w:r>
      <w:r w:rsidRPr="00CB7F10">
        <w:rPr>
          <w:color w:val="000000"/>
        </w:rPr>
        <w:t>Benefit Received Theory</w:t>
      </w:r>
      <w:r>
        <w:rPr>
          <w:color w:val="000000"/>
        </w:rPr>
        <w:t xml:space="preserve">. The </w:t>
      </w:r>
      <w:r>
        <w:rPr>
          <w:color w:val="000000"/>
        </w:rPr>
        <w:lastRenderedPageBreak/>
        <w:t xml:space="preserve">choice of this theory is that it posited </w:t>
      </w:r>
      <w:r w:rsidRPr="00CB7F10">
        <w:t xml:space="preserve">a contractual relationship </w:t>
      </w:r>
      <w:r>
        <w:t xml:space="preserve">between taxation and revenue generation in </w:t>
      </w:r>
      <w:r w:rsidRPr="00CB7F10">
        <w:t xml:space="preserve">that </w:t>
      </w:r>
      <w:r>
        <w:t xml:space="preserve">it </w:t>
      </w:r>
      <w:r w:rsidRPr="00CB7F10">
        <w:t>requires that when one party fulfils its own obligations</w:t>
      </w:r>
      <w:r>
        <w:t xml:space="preserve"> (citizen by way of pay their taxes)</w:t>
      </w:r>
      <w:r w:rsidRPr="00CB7F10">
        <w:t>, the other should also reciprocate in the same way</w:t>
      </w:r>
      <w:r>
        <w:t xml:space="preserve"> (government by way of providing basic infrastructural amenities)</w:t>
      </w:r>
      <w:r w:rsidRPr="00CB7F10">
        <w:t>.</w:t>
      </w:r>
    </w:p>
    <w:p w14:paraId="67797EF5" w14:textId="77777777" w:rsidR="00876EEC" w:rsidRPr="00AC590B" w:rsidRDefault="00876EEC" w:rsidP="00AC590B">
      <w:pPr>
        <w:ind w:left="720"/>
        <w:jc w:val="both"/>
        <w:rPr>
          <w:b/>
        </w:rPr>
      </w:pPr>
      <w:r w:rsidRPr="00CB7F10">
        <w:rPr>
          <w:b/>
        </w:rPr>
        <w:t xml:space="preserve">Benefit Received Theory: </w:t>
      </w:r>
      <w:r w:rsidRPr="00CB7F10">
        <w:t>The main crux of this theory is aim</w:t>
      </w:r>
      <w:r>
        <w:t>ed</w:t>
      </w:r>
      <w:r w:rsidRPr="00CB7F10">
        <w:t xml:space="preserve"> at the benefit the tax payers received for parting a portion of their income to the government through taxation. The rationale about the benefit theory is to ensure that the more revenues are generated through taxation, the more benefit the citizens should receive as a compensation for carrying out their civil responsibilities. Looking at this relationship between the tax payers and the government, it is a contractual relationship that requires that when one party fulfils its own obligations, the other should also reciprocate in the same way. The benefit theory has a lacuna because it is hard for the government to measure exactly the benefit that individual tax payers derived in order to know the amount </w:t>
      </w:r>
      <w:r>
        <w:t>that each tax payer will be levied</w:t>
      </w:r>
      <w:r w:rsidRPr="00CB7F10">
        <w:t xml:space="preserve"> to match the benefit he/she is receiving. It is</w:t>
      </w:r>
      <w:r w:rsidR="00381E31">
        <w:t xml:space="preserve"> </w:t>
      </w:r>
      <w:r w:rsidRPr="00CB7F10">
        <w:t>impractical to adopt the benefit received theory since the objective of taxation is to ensure redistribution of income by imposing high tax to the rich than the poor. The application will negate the objective because the poor might end up paying high tax than the rich since most of the government expenditure is aim at ameliorating the lives of the plebeians in the society.</w:t>
      </w:r>
      <w:r>
        <w:t xml:space="preserve"> In essence, there is a positive relationship between taxation and revenue generation. The higher the level of taxation, the higher the revenue base which translate to increased government expenditure.</w:t>
      </w:r>
    </w:p>
    <w:p w14:paraId="3B0870EB" w14:textId="77777777" w:rsidR="00876EEC" w:rsidRDefault="00876EEC" w:rsidP="00876EEC">
      <w:pPr>
        <w:ind w:left="720"/>
        <w:jc w:val="both"/>
      </w:pPr>
      <w:r w:rsidRPr="00CB7F10">
        <w:rPr>
          <w:b/>
        </w:rPr>
        <w:t>Planning Behaviour Theory</w:t>
      </w:r>
      <w:r w:rsidR="00AC590B">
        <w:rPr>
          <w:b/>
        </w:rPr>
        <w:t xml:space="preserve">: </w:t>
      </w:r>
      <w:r w:rsidRPr="00CB7F10">
        <w:t>The planning process of the tax officials and the altitude</w:t>
      </w:r>
      <w:r>
        <w:t>s</w:t>
      </w:r>
      <w:r w:rsidRPr="00CB7F10">
        <w:t xml:space="preserve"> of the payers as regard to tax aversion and avoidance and poor compliance is the main crux of this theory. The attitude of tax officials in ensuring effective administration that will boost the individual tax payers to have the will of seeing tax as an instrument for economic development is a motivational factor that will ensure effective and efficient administration of the tax system which will in turn enhance revenue generation (Ajzen, 1991). The strategies adopted in the tax system is a motivational factor that will propel the tax payers to comply willingly as behaviours differs from one tax payer to another and even the intention of the tax payers to choose either to perform their civil duties also differs among the tax payers.</w:t>
      </w:r>
    </w:p>
    <w:p w14:paraId="4DE0C122" w14:textId="77777777" w:rsidR="00876EEC" w:rsidRDefault="00876EEC" w:rsidP="00876EEC">
      <w:pPr>
        <w:ind w:left="720"/>
        <w:jc w:val="both"/>
      </w:pPr>
      <w:r w:rsidRPr="00CB7F10">
        <w:rPr>
          <w:b/>
        </w:rPr>
        <w:t>Ability to Pay Theory</w:t>
      </w:r>
      <w:r w:rsidR="00AC590B">
        <w:rPr>
          <w:b/>
        </w:rPr>
        <w:t xml:space="preserve">: </w:t>
      </w:r>
      <w:r w:rsidRPr="00CB7F10">
        <w:t>The tax payers in which the tax is gotten from done have the same level of income. As such, it is expected based on tire ability to pay theory that each tax payer should be levy the amount he/she will pay as tax with regards to their income. Those with high incomes should be tax high and those with tow income should be tax low based on the income they received. In practice, effective administration with a well-articulated process will encourage voluntary compliance by the tax payers because such process is to ensure that tax payers are not over-burden in terms of the amount to pay as tax which is a function of their incomes. This theory holds that tax payers carry out their civil responsibilities because they are buoyant to do so and not a kind of commercial dealings between the tax payers and the government which oblige both parties to fulfil all conditions in the terms of agreement, rather the ability to pay is to ensure equity and justice in the amount tax that an individual will pay as tax (Musgrave &amp; Musgrave, 2004; B</w:t>
      </w:r>
      <w:r w:rsidR="00AC590B">
        <w:t>hartia, 2010, Jhingan, 2012, &amp;</w:t>
      </w:r>
      <w:r w:rsidRPr="00CB7F10">
        <w:t xml:space="preserve"> Appah, 2011).</w:t>
      </w:r>
    </w:p>
    <w:p w14:paraId="425E266B" w14:textId="77777777" w:rsidR="00876EEC" w:rsidRDefault="00876EEC" w:rsidP="00AC590B">
      <w:pPr>
        <w:ind w:left="720"/>
        <w:jc w:val="both"/>
      </w:pPr>
      <w:r w:rsidRPr="00CB7F10">
        <w:rPr>
          <w:b/>
        </w:rPr>
        <w:t>Diffusion Theory of Taxation</w:t>
      </w:r>
      <w:r w:rsidR="00AC590B">
        <w:rPr>
          <w:b/>
        </w:rPr>
        <w:t xml:space="preserve">: </w:t>
      </w:r>
      <w:r w:rsidRPr="00CB7F10">
        <w:t xml:space="preserve">The diffusion theory of taxation is anchored on the assumption that in a stable or perfect market condition, the tax that is levied will </w:t>
      </w:r>
      <w:r w:rsidRPr="00CB7F10">
        <w:lastRenderedPageBreak/>
        <w:t>automatically diffused or absorbed throughout the environment. But in real life situation, the tax levied on the tax payers does not diffused automatically. Within the community because the tax official still need to ensure that they adopt effective strategies to inform the tax payers about the tax that have been imposed on them and the need for compliance. Mansfield (1961), an advocate of this theory hold that when tax is levied of automatically passes to the users of commodity and the burden is share between the manufactured and the consumers. The diffusion theory has always been criticized because it is not all taxes that diffused automatically, and as such, the need for effective administration is a panacea to ensure compliance in order to reduce the incidence of tax aversion and avoidance. The quantum of revenue generated is a function of how effective the administration is because taxes like: income tax, toil tax and inheritance tax does</w:t>
      </w:r>
      <w:r w:rsidR="00C1097E">
        <w:t xml:space="preserve"> </w:t>
      </w:r>
      <w:r w:rsidRPr="00CB7F10">
        <w:t xml:space="preserve">not absorbed rather. The individual or the tax </w:t>
      </w:r>
      <w:r w:rsidR="00381E31" w:rsidRPr="00CB7F10">
        <w:t>payer bears</w:t>
      </w:r>
      <w:r w:rsidRPr="00CB7F10">
        <w:t xml:space="preserve"> the burden alone.</w:t>
      </w:r>
    </w:p>
    <w:p w14:paraId="30F4B462" w14:textId="77777777" w:rsidR="00007E06" w:rsidRDefault="00007E06" w:rsidP="00AC590B">
      <w:pPr>
        <w:ind w:left="720"/>
        <w:jc w:val="both"/>
      </w:pPr>
    </w:p>
    <w:p w14:paraId="36B8E174" w14:textId="77777777" w:rsidR="00007E06" w:rsidRPr="00007E06" w:rsidRDefault="00007E06" w:rsidP="00AC590B">
      <w:pPr>
        <w:ind w:left="720"/>
        <w:jc w:val="both"/>
        <w:rPr>
          <w:b/>
        </w:rPr>
      </w:pPr>
      <w:r w:rsidRPr="00007E06">
        <w:rPr>
          <w:b/>
        </w:rPr>
        <w:t>Empirical Studies</w:t>
      </w:r>
    </w:p>
    <w:p w14:paraId="6DADEE6A" w14:textId="77777777" w:rsidR="00B44A70" w:rsidRDefault="00B44A70" w:rsidP="00007E06">
      <w:pPr>
        <w:ind w:left="720" w:firstLine="720"/>
        <w:jc w:val="both"/>
        <w:rPr>
          <w:color w:val="000000"/>
        </w:rPr>
      </w:pPr>
      <w:proofErr w:type="spellStart"/>
      <w:r w:rsidRPr="00B44A70">
        <w:rPr>
          <w:color w:val="000000"/>
        </w:rPr>
        <w:t>Nwadi</w:t>
      </w:r>
      <w:proofErr w:type="spellEnd"/>
      <w:r>
        <w:rPr>
          <w:color w:val="000000"/>
        </w:rPr>
        <w:t xml:space="preserve"> (2022) </w:t>
      </w:r>
      <w:r w:rsidRPr="00B44A70">
        <w:rPr>
          <w:color w:val="000000"/>
        </w:rPr>
        <w:t>investigated the effect of tax revenue on revenue generation in Nigeria for the period of 1985</w:t>
      </w:r>
      <w:r w:rsidR="00F40BDA">
        <w:rPr>
          <w:color w:val="000000"/>
        </w:rPr>
        <w:t>-</w:t>
      </w:r>
      <w:r w:rsidRPr="00B44A70">
        <w:rPr>
          <w:color w:val="000000"/>
        </w:rPr>
        <w:t>2015, with the purpose of finding effect of the various tax revenue represented by Petroleum Profit Tax, Company Income Tax and Customs and Excise Duties taxes had impacted on revenue generation in Nigeria for the period of the study. The data which are secondary in nature were analysed using Simple Regression Analysis for the three research questions and three hypotheses in the study. The findings reveal that, Petroleum income tax have significant relationship on revenue generation in Nigeria, while company income tax and customs and excise duties does not have significant relationship on revenue generation in Nigeria.</w:t>
      </w:r>
    </w:p>
    <w:p w14:paraId="44A03917" w14:textId="77777777" w:rsidR="002F6AD6" w:rsidRDefault="002F6AD6" w:rsidP="00007E06">
      <w:pPr>
        <w:ind w:left="720" w:firstLine="720"/>
        <w:jc w:val="both"/>
        <w:rPr>
          <w:color w:val="000000"/>
        </w:rPr>
      </w:pPr>
      <w:r w:rsidRPr="002F6AD6">
        <w:rPr>
          <w:color w:val="000000"/>
        </w:rPr>
        <w:t>Adebayo</w:t>
      </w:r>
      <w:r>
        <w:rPr>
          <w:color w:val="000000"/>
        </w:rPr>
        <w:t xml:space="preserve">, </w:t>
      </w:r>
      <w:r w:rsidRPr="002F6AD6">
        <w:rPr>
          <w:color w:val="000000"/>
        </w:rPr>
        <w:t>Adeyemi</w:t>
      </w:r>
      <w:r>
        <w:rPr>
          <w:color w:val="000000"/>
        </w:rPr>
        <w:t xml:space="preserve">, and </w:t>
      </w:r>
      <w:proofErr w:type="spellStart"/>
      <w:r w:rsidRPr="002F6AD6">
        <w:rPr>
          <w:color w:val="000000"/>
        </w:rPr>
        <w:t>Osunwole</w:t>
      </w:r>
      <w:proofErr w:type="spellEnd"/>
      <w:r>
        <w:rPr>
          <w:color w:val="000000"/>
        </w:rPr>
        <w:t xml:space="preserve"> (2022) </w:t>
      </w:r>
      <w:r w:rsidRPr="002F6AD6">
        <w:rPr>
          <w:color w:val="000000"/>
        </w:rPr>
        <w:t>examine</w:t>
      </w:r>
      <w:r w:rsidR="004E7292">
        <w:rPr>
          <w:color w:val="000000"/>
        </w:rPr>
        <w:t>d</w:t>
      </w:r>
      <w:r w:rsidRPr="002F6AD6">
        <w:rPr>
          <w:color w:val="000000"/>
        </w:rPr>
        <w:t xml:space="preserve"> the influence of tax administration on government revenue generation of Osun State, Nigeria. The specific objectives are to evaluate the shortage of staff and inadequate training of available tax collectors on revenue generation and investigate how the improper records and account keeping of revenue officers affect the revenue generation. Descriptive survey design and purposive sampling technique were employed. A total of 187 respondents participated in the study. Questionnaires were used to gather the data while descriptive and inferential statistics were used to analysed data. The result shows that shortage and inadequate training of staff and improper records and accounting keeping had a negative and significant influence on revenue generation.</w:t>
      </w:r>
    </w:p>
    <w:p w14:paraId="51BB0670" w14:textId="77777777" w:rsidR="004E7292" w:rsidRDefault="004E7292" w:rsidP="00007E06">
      <w:pPr>
        <w:ind w:left="720" w:firstLine="720"/>
        <w:jc w:val="both"/>
        <w:rPr>
          <w:color w:val="000000"/>
        </w:rPr>
      </w:pPr>
      <w:r>
        <w:rPr>
          <w:color w:val="000000"/>
        </w:rPr>
        <w:t>E</w:t>
      </w:r>
      <w:r w:rsidRPr="004E7292">
        <w:rPr>
          <w:color w:val="000000"/>
        </w:rPr>
        <w:t>ke</w:t>
      </w:r>
      <w:r>
        <w:rPr>
          <w:color w:val="000000"/>
        </w:rPr>
        <w:t xml:space="preserve"> and </w:t>
      </w:r>
      <w:proofErr w:type="spellStart"/>
      <w:r w:rsidRPr="004E7292">
        <w:rPr>
          <w:color w:val="000000"/>
        </w:rPr>
        <w:t>Omogbai</w:t>
      </w:r>
      <w:proofErr w:type="spellEnd"/>
      <w:r>
        <w:rPr>
          <w:color w:val="000000"/>
        </w:rPr>
        <w:t xml:space="preserve"> (2022) </w:t>
      </w:r>
      <w:r w:rsidRPr="004E7292">
        <w:rPr>
          <w:color w:val="000000"/>
        </w:rPr>
        <w:t>examine</w:t>
      </w:r>
      <w:r>
        <w:rPr>
          <w:color w:val="000000"/>
        </w:rPr>
        <w:t>d</w:t>
      </w:r>
      <w:r w:rsidRPr="004E7292">
        <w:rPr>
          <w:color w:val="000000"/>
        </w:rPr>
        <w:t xml:space="preserve"> the impact of tax reforms on revenue generation in Nigeria. The study specifically examined the impact of tax reforms on petroleum profit tax, company income tax and value added tax as a source revenue generation in Nigeria. Secondary data was obtained from the Central Bank of Nigeria and the Federal Inland Revenue Service. The paired sample T test was used to ascertain the pre and post effect of tax reforms on revenue generation in Nigeria. The study found that there is a significant difference in PPT, CIT and VAT between the period of 2010-2014 and 2015-2021 towards revenue generation in Nigeria.</w:t>
      </w:r>
    </w:p>
    <w:p w14:paraId="0EF2E3C9" w14:textId="77777777" w:rsidR="004E7292" w:rsidRDefault="004E7292" w:rsidP="00007E06">
      <w:pPr>
        <w:ind w:left="720" w:firstLine="720"/>
        <w:jc w:val="both"/>
        <w:rPr>
          <w:color w:val="000000"/>
        </w:rPr>
      </w:pPr>
      <w:proofErr w:type="spellStart"/>
      <w:r>
        <w:rPr>
          <w:color w:val="000000"/>
        </w:rPr>
        <w:t>Adegbite</w:t>
      </w:r>
      <w:proofErr w:type="spellEnd"/>
      <w:r>
        <w:rPr>
          <w:color w:val="000000"/>
        </w:rPr>
        <w:t xml:space="preserve"> and </w:t>
      </w:r>
      <w:proofErr w:type="spellStart"/>
      <w:r w:rsidRPr="004E7292">
        <w:rPr>
          <w:color w:val="000000"/>
        </w:rPr>
        <w:t>Fasina</w:t>
      </w:r>
      <w:proofErr w:type="spellEnd"/>
      <w:r>
        <w:rPr>
          <w:color w:val="000000"/>
        </w:rPr>
        <w:t xml:space="preserve"> (2019) </w:t>
      </w:r>
      <w:r w:rsidR="00C1097E">
        <w:rPr>
          <w:color w:val="000000"/>
        </w:rPr>
        <w:t>evaluated</w:t>
      </w:r>
      <w:r w:rsidRPr="004E7292">
        <w:rPr>
          <w:color w:val="000000"/>
        </w:rPr>
        <w:t xml:space="preserve"> the effects of taxation on revenue generation in Nigeria. It also analysed the direction of causality between taxation and revenue generation utilizing method of Johansen co-integration and the Granger causality tests using secondary data spanning the period 1970 to 2017. Results showed that PPT has positive significant effect on REV.VAT, CORPT and CUSEXC also had positive </w:t>
      </w:r>
      <w:r w:rsidRPr="004E7292">
        <w:rPr>
          <w:color w:val="000000"/>
        </w:rPr>
        <w:lastRenderedPageBreak/>
        <w:t>significant effect on REV. But CUSEXC has the lowest significant effect on REV both in the short run and in the long run. All the components of taxation showed bidirectional causality with government revenue in Nigeria because PPT, VAT, CORPT and CUSEXC, jointly, Granger-cause REV. It is concluded that taxation had positive significant impact on revenue generation of government both in the short run and in the long run.</w:t>
      </w:r>
    </w:p>
    <w:p w14:paraId="17195B7B" w14:textId="77777777" w:rsidR="004E7292" w:rsidRDefault="00007E06" w:rsidP="004E7292">
      <w:pPr>
        <w:ind w:left="720" w:firstLine="720"/>
        <w:jc w:val="both"/>
        <w:rPr>
          <w:color w:val="000000"/>
        </w:rPr>
      </w:pPr>
      <w:r w:rsidRPr="009479A4">
        <w:rPr>
          <w:color w:val="000000"/>
        </w:rPr>
        <w:t>Bereket</w:t>
      </w:r>
      <w:r>
        <w:rPr>
          <w:color w:val="000000"/>
        </w:rPr>
        <w:t xml:space="preserve"> and Durga (2018) </w:t>
      </w:r>
      <w:r w:rsidRPr="009479A4">
        <w:rPr>
          <w:color w:val="000000"/>
        </w:rPr>
        <w:t>analyse</w:t>
      </w:r>
      <w:r>
        <w:rPr>
          <w:color w:val="000000"/>
        </w:rPr>
        <w:t>d</w:t>
      </w:r>
      <w:r w:rsidRPr="009479A4">
        <w:rPr>
          <w:color w:val="000000"/>
        </w:rPr>
        <w:t xml:space="preserve"> the contribution of tax to the local government revenue generation in Southern Ethiopia, </w:t>
      </w:r>
      <w:proofErr w:type="spellStart"/>
      <w:r w:rsidRPr="009479A4">
        <w:rPr>
          <w:color w:val="000000"/>
        </w:rPr>
        <w:t>Wolaita</w:t>
      </w:r>
      <w:proofErr w:type="spellEnd"/>
      <w:r w:rsidRPr="009479A4">
        <w:rPr>
          <w:color w:val="000000"/>
        </w:rPr>
        <w:t xml:space="preserve"> Zone. The study employed descriptive design which includes surveys and fact finding enquiry on tax trend, volume of volatility and major source of tax revenues. The total tax revenue for each year however differs, fluctuating from one year to another depending on how much each source adds to the total tax revenue. The contribution of each type of tax system is however dependent on many factors important among them are the economic situation of the time, government policies, emphasis effectiveness and reliability of the assessment collection system which all allows more tax revenue generation from one source than another. The financial impact of taxation to revenue </w:t>
      </w:r>
      <w:proofErr w:type="spellStart"/>
      <w:r w:rsidRPr="009479A4">
        <w:rPr>
          <w:color w:val="000000"/>
        </w:rPr>
        <w:t>Wolaita</w:t>
      </w:r>
      <w:proofErr w:type="spellEnd"/>
      <w:r w:rsidRPr="009479A4">
        <w:rPr>
          <w:color w:val="000000"/>
        </w:rPr>
        <w:t xml:space="preserve"> Zone, Southern Ethiopia, has been relatively about 65% each year. It was however discovered that this contribution is not the "optimal" and that a lot is still left to be desired about this contribution.</w:t>
      </w:r>
    </w:p>
    <w:p w14:paraId="42D73FC5" w14:textId="77777777" w:rsidR="004E7292" w:rsidRDefault="004E7292" w:rsidP="004E7292">
      <w:pPr>
        <w:ind w:left="720" w:firstLine="720"/>
        <w:jc w:val="both"/>
      </w:pPr>
      <w:r w:rsidRPr="005348CA">
        <w:t>Olaoye</w:t>
      </w:r>
      <w:r>
        <w:t xml:space="preserve"> and Ayeni (2018) determined </w:t>
      </w:r>
      <w:r w:rsidRPr="005348CA">
        <w:t>value added tax and customs duties on revenue generation in Nigeria. Secondary data was sourced from Federal Inland Revenue Service (FIRS) ranging from 2000 to 2016. Autoregressive Distributed Lag (ARDL) and Granger causality tests were used as the estimation techniques. The findings of the study revealed that the F-statistics value was 2.883868 which is lesser than both the lower bound and the upper bound values of 3.79 and 4.85 respectively at the 5percent level of significance which implies that there is no long</w:t>
      </w:r>
      <w:r w:rsidR="00C1097E">
        <w:t xml:space="preserve"> </w:t>
      </w:r>
      <w:r w:rsidRPr="005348CA">
        <w:t>run relationship among value-added tax, customs duties and revenue generation. It was equally revealed that there is no causality among value-added tax, customs duties, and revenue generation.</w:t>
      </w:r>
    </w:p>
    <w:p w14:paraId="56B64A59" w14:textId="77777777" w:rsidR="004E7292" w:rsidRDefault="004E7292" w:rsidP="004E7292">
      <w:pPr>
        <w:ind w:left="720" w:firstLine="720"/>
        <w:jc w:val="both"/>
      </w:pPr>
      <w:proofErr w:type="spellStart"/>
      <w:r w:rsidRPr="005348CA">
        <w:t>Ofurum</w:t>
      </w:r>
      <w:proofErr w:type="spellEnd"/>
      <w:r>
        <w:t xml:space="preserve">, </w:t>
      </w:r>
      <w:proofErr w:type="spellStart"/>
      <w:r w:rsidRPr="005348CA">
        <w:t>Amaefule</w:t>
      </w:r>
      <w:proofErr w:type="spellEnd"/>
      <w:r w:rsidRPr="005348CA">
        <w:t>,</w:t>
      </w:r>
      <w:r>
        <w:t xml:space="preserve"> </w:t>
      </w:r>
      <w:proofErr w:type="spellStart"/>
      <w:r>
        <w:t>Okonya</w:t>
      </w:r>
      <w:proofErr w:type="spellEnd"/>
      <w:r>
        <w:t xml:space="preserve"> and </w:t>
      </w:r>
      <w:proofErr w:type="spellStart"/>
      <w:r>
        <w:t>Amaefule</w:t>
      </w:r>
      <w:proofErr w:type="spellEnd"/>
      <w:r>
        <w:t xml:space="preserve"> (2018) </w:t>
      </w:r>
      <w:r w:rsidRPr="005348CA">
        <w:t xml:space="preserve">empirically </w:t>
      </w:r>
      <w:r>
        <w:t>evaluated</w:t>
      </w:r>
      <w:r w:rsidRPr="005348CA">
        <w:t xml:space="preserve"> how the implementation of E-taxation in 2015 has affected Tax Revenue, Federally Collected Revenue and Tax-to-GDP ratio. The study made use of secondary data sourced from Federal Inland Revenue Service, and Central Bank of Nigeria Statistical and Economic Reports on quarterly basis from second quarter 2013 to fourth quarter 2016. The data were divided into two: pre e-tax period and post e-tax period. Means of the two sets of data were compared using a pre-post technique called paired sample t-test. Findings from the study revealed that the implementation of electronic taxation has not improved tax revenue, federally collected revenue and tax-to-GDP ratio in Nigeria. However, findings revealed that Federally Collected Revenue and Tax-to-GDP ratio significantly decreased after e-taxation was implemented.</w:t>
      </w:r>
    </w:p>
    <w:p w14:paraId="2A4F13BF" w14:textId="77777777" w:rsidR="00381E31" w:rsidRDefault="00381E31" w:rsidP="004E7292">
      <w:pPr>
        <w:ind w:left="720" w:firstLine="720"/>
        <w:jc w:val="both"/>
      </w:pPr>
    </w:p>
    <w:p w14:paraId="36B550F1" w14:textId="77777777" w:rsidR="00381E31" w:rsidRDefault="00381E31" w:rsidP="004E7292">
      <w:pPr>
        <w:ind w:left="720" w:firstLine="720"/>
        <w:jc w:val="both"/>
      </w:pPr>
    </w:p>
    <w:p w14:paraId="64EEFD1F" w14:textId="77777777" w:rsidR="004E7292" w:rsidRDefault="004E7292" w:rsidP="004E7292">
      <w:pPr>
        <w:ind w:left="720" w:firstLine="720"/>
        <w:jc w:val="both"/>
      </w:pPr>
      <w:proofErr w:type="spellStart"/>
      <w:r w:rsidRPr="007F68A1">
        <w:t>Kipilimba</w:t>
      </w:r>
      <w:proofErr w:type="spellEnd"/>
      <w:r>
        <w:t xml:space="preserve"> (2018) </w:t>
      </w:r>
      <w:r w:rsidRPr="007F68A1">
        <w:t>assess</w:t>
      </w:r>
      <w:r>
        <w:t>ed</w:t>
      </w:r>
      <w:r w:rsidRPr="007F68A1">
        <w:t xml:space="preserve"> the impacts of tax administration on government r</w:t>
      </w:r>
      <w:r w:rsidR="00F40BDA">
        <w:t>evenue in Tanzania- case of Dar</w:t>
      </w:r>
      <w:r w:rsidRPr="007F68A1">
        <w:t xml:space="preserve">es Salaam region. This study is more scientific and effective, whereby questionnaires have been used to access the required information. Researcher has been able to collect information from 85 respondents out of 100 targeted respondents from the area of the study. Findings of this study have been analysed and reveal that, good tax design, effective tax policy and laws, tax administrative structure, </w:t>
      </w:r>
      <w:r w:rsidRPr="007F68A1">
        <w:lastRenderedPageBreak/>
        <w:t>tax collection methods, proper use of computerized system of maintaining taxpayer register, outsourcing revenue collections to private tax collectors, internal and external capacity building, intensive coordination with other entities and proper maintenance of taxpayer’s records are the main factors that enhance effective tax administration in Tanzania.</w:t>
      </w:r>
    </w:p>
    <w:p w14:paraId="3F718AB8" w14:textId="77777777" w:rsidR="004E7292" w:rsidRDefault="004E7292" w:rsidP="004E7292">
      <w:pPr>
        <w:ind w:left="720" w:firstLine="720"/>
        <w:jc w:val="both"/>
      </w:pPr>
      <w:proofErr w:type="spellStart"/>
      <w:r w:rsidRPr="000A3B13">
        <w:t>Soetan</w:t>
      </w:r>
      <w:proofErr w:type="spellEnd"/>
      <w:r w:rsidRPr="000A3B13">
        <w:t xml:space="preserve"> </w:t>
      </w:r>
      <w:r>
        <w:t xml:space="preserve">(2017) studied </w:t>
      </w:r>
      <w:r w:rsidRPr="000A3B13">
        <w:t>the effect of tax administration on tax revenue generation in Nigeria. Survey research design was employed and structured questionnaire was developed and used to collect data for this study. One hundred and twenty six (126) participants participated in the study. Collected data were processed with the help of SPSS tool and Descriptive statistics and simple regression statistical techniques were used to analyse the data. Though, the hypothesis testing indicated that tax administration does not have significant effect on tax revenue generation in Nigeria.</w:t>
      </w:r>
    </w:p>
    <w:p w14:paraId="01E3835F" w14:textId="77777777" w:rsidR="004E7292" w:rsidRDefault="004E7292" w:rsidP="004E7292">
      <w:pPr>
        <w:ind w:left="720" w:firstLine="720"/>
        <w:jc w:val="both"/>
      </w:pPr>
      <w:r w:rsidRPr="00213927">
        <w:t>Oseni</w:t>
      </w:r>
      <w:r>
        <w:t xml:space="preserve"> (2017) analysed the </w:t>
      </w:r>
      <w:r w:rsidRPr="00213927">
        <w:t>effects of Value Added Tax (VAT) on government revenue generation profile in Nigeria</w:t>
      </w:r>
      <w:r>
        <w:t>. The study was</w:t>
      </w:r>
      <w:r w:rsidRPr="00213927">
        <w:t xml:space="preserve"> a library study where existing literature on the subject matter were reviewed so as to ascertain the effects of value added tax on government’s revenue generation and how it can be enhanced so as to boost the government revenue generation profile in Nigeria in an effective and efficient manner.</w:t>
      </w:r>
      <w:r w:rsidR="00C1097E">
        <w:t xml:space="preserve"> </w:t>
      </w:r>
      <w:r w:rsidRPr="00213927">
        <w:t>The paper concluded that value added tax has positive effect on government revenue generation profile in Nigeria thereby contributing to its economic growth and development.</w:t>
      </w:r>
    </w:p>
    <w:p w14:paraId="103394C7" w14:textId="77777777" w:rsidR="004E7292" w:rsidRDefault="004E7292" w:rsidP="004E7292">
      <w:pPr>
        <w:ind w:left="720" w:firstLine="720"/>
        <w:jc w:val="both"/>
      </w:pPr>
      <w:proofErr w:type="spellStart"/>
      <w:r w:rsidRPr="00B51AE5">
        <w:t>Madugba</w:t>
      </w:r>
      <w:proofErr w:type="spellEnd"/>
      <w:r w:rsidRPr="00B51AE5">
        <w:t>,</w:t>
      </w:r>
      <w:r w:rsidR="00C1097E">
        <w:t xml:space="preserve"> </w:t>
      </w:r>
      <w:proofErr w:type="spellStart"/>
      <w:r w:rsidRPr="00B51AE5">
        <w:t>Ekwe</w:t>
      </w:r>
      <w:proofErr w:type="spellEnd"/>
      <w:r>
        <w:t xml:space="preserve"> and Kalu (2015) </w:t>
      </w:r>
      <w:r w:rsidRPr="00B51AE5">
        <w:t>examine</w:t>
      </w:r>
      <w:r>
        <w:t>d</w:t>
      </w:r>
      <w:r w:rsidRPr="00B51AE5">
        <w:t xml:space="preserve"> the impact of petroleum tax income and companies’ income tax on total consolidated revenue of the government. The study tested the relationship between petroleum tax income on total consolidated revenue and the relationship between companies income tax on total consolidated revenue. Pearson correlation and simple regression was used to analyse the data gotten from central bank of Nigeria annual statistical bulletin of various years. The result of the correlation showed a positive significant relationship between petroleum tax income and total consolidated revenue. Also</w:t>
      </w:r>
      <w:r>
        <w:t>,</w:t>
      </w:r>
      <w:r w:rsidRPr="00B51AE5">
        <w:t xml:space="preserve"> it showed a positive significant relationship between companies’ income tax and </w:t>
      </w:r>
      <w:r>
        <w:t>total consolidated revenue</w:t>
      </w:r>
      <w:r w:rsidRPr="00B51AE5">
        <w:t>. The regression result revealed a negative significant relationship between petroleum tax income and total consolidated revenue and companies’ income tax and total consolidated revenue.</w:t>
      </w:r>
    </w:p>
    <w:p w14:paraId="25DF51CA" w14:textId="77777777" w:rsidR="004E7292" w:rsidRDefault="004E7292" w:rsidP="004E7292">
      <w:pPr>
        <w:ind w:left="720" w:firstLine="720"/>
        <w:jc w:val="both"/>
      </w:pPr>
      <w:proofErr w:type="spellStart"/>
      <w:r w:rsidRPr="00337F1A">
        <w:t>Afuberoh</w:t>
      </w:r>
      <w:proofErr w:type="spellEnd"/>
      <w:r>
        <w:t xml:space="preserve"> and Okoye (2014) looked at </w:t>
      </w:r>
      <w:r w:rsidRPr="00337F1A">
        <w:t>the impact of taxation on revenue generation in Nigeria, with reference to FCT and some selected s</w:t>
      </w:r>
      <w:r>
        <w:t>tates in the country. Attempt was also made in the study (</w:t>
      </w:r>
      <w:r w:rsidRPr="00337F1A">
        <w:t>through the means of secondary data) at highlighting the concept and nature of taxation, objectives of taxation, features in Nigerian tax system, taxation as a tool for wealth creation and employment, classification of taxes, Nigeria’s major taxes and other issues that relate to taxation. In achieving the objective of the study, the researcher adopted also primary sources of data to present and analyse</w:t>
      </w:r>
      <w:r w:rsidR="00C1097E">
        <w:t xml:space="preserve"> </w:t>
      </w:r>
      <w:r w:rsidRPr="00337F1A">
        <w:t>the information for the study. The testing of the hypotheses of the study was done using regression analysis computed with the aid of SPSS version 17.0. The research discovered among others that, taxation has a significant contribution to revenue generation and taxation has a significant contribution</w:t>
      </w:r>
      <w:r>
        <w:t xml:space="preserve"> on gross domestic product</w:t>
      </w:r>
      <w:r w:rsidRPr="00337F1A">
        <w:t>.</w:t>
      </w:r>
    </w:p>
    <w:p w14:paraId="03518568" w14:textId="77777777" w:rsidR="004E7292" w:rsidRDefault="004E7292" w:rsidP="004E7292">
      <w:pPr>
        <w:ind w:left="720" w:firstLine="720"/>
        <w:jc w:val="both"/>
      </w:pPr>
      <w:r w:rsidRPr="00B81374">
        <w:t>Samuel</w:t>
      </w:r>
      <w:r>
        <w:t xml:space="preserve"> (2014) </w:t>
      </w:r>
      <w:r w:rsidRPr="00B81374">
        <w:t xml:space="preserve">studied the impact of value added tax on revenue generation in Nigeria. The study is aimed at the appraisal of revenue generation in Nigeria. Secondary data were used in this study, the data were collected from CBN statistical bulletin also gathered from journals and textbook that is related to the research topic, the study </w:t>
      </w:r>
      <w:r w:rsidRPr="00B81374">
        <w:lastRenderedPageBreak/>
        <w:t>collected data from 1994 to 2012. The result of the analysis showed that that there is significant relationship between value added tax and consolidated revenue generation in Nigeria. At 5% level of significance, the F</w:t>
      </w:r>
      <w:r>
        <w:t>-</w:t>
      </w:r>
      <w:r w:rsidRPr="00B81374">
        <w:t>statistics computed value is 1186.6 which is significant at 5% significant level, we accept the alternate hypothesis and conclude that there is s</w:t>
      </w:r>
      <w:r>
        <w:t xml:space="preserve">ignificant relationship between </w:t>
      </w:r>
      <w:r w:rsidRPr="00B81374">
        <w:t>value added tax and consolidated revenue generation in Nigeria.</w:t>
      </w:r>
    </w:p>
    <w:p w14:paraId="6977A425" w14:textId="77777777" w:rsidR="004E7292" w:rsidRDefault="004E7292" w:rsidP="004E7292">
      <w:pPr>
        <w:ind w:left="720" w:firstLine="720"/>
        <w:jc w:val="both"/>
      </w:pPr>
      <w:proofErr w:type="spellStart"/>
      <w:r w:rsidRPr="00213927">
        <w:t>Oriakhi</w:t>
      </w:r>
      <w:proofErr w:type="spellEnd"/>
      <w:r>
        <w:t xml:space="preserve"> and </w:t>
      </w:r>
      <w:proofErr w:type="spellStart"/>
      <w:r w:rsidRPr="00213927">
        <w:t>Ahuru</w:t>
      </w:r>
      <w:proofErr w:type="spellEnd"/>
      <w:r>
        <w:t xml:space="preserve"> (2014) </w:t>
      </w:r>
      <w:r w:rsidRPr="00213927">
        <w:t>ascertain</w:t>
      </w:r>
      <w:r>
        <w:t>ed</w:t>
      </w:r>
      <w:r w:rsidRPr="00213927">
        <w:t xml:space="preserve"> the impact of tax reforms on tax revenue generation in Nigeria. Specifically, an attempt will be made to verify the relationship between federally collected revenue and specific tax revenue generation sources. The study employed annual time series data spanning the years (1981-2011).The Johansen’s </w:t>
      </w:r>
      <w:r>
        <w:t xml:space="preserve">co-integration test shows that long-run </w:t>
      </w:r>
      <w:r w:rsidRPr="00213927">
        <w:t xml:space="preserve">relationship exists between tax reform </w:t>
      </w:r>
      <w:r>
        <w:t>and federally collected revenue</w:t>
      </w:r>
      <w:r w:rsidRPr="00213927">
        <w:t xml:space="preserve"> in Nigeria. The Granger causality shows that custom and ex</w:t>
      </w:r>
      <w:r>
        <w:t>cise Duties and value-added tax</w:t>
      </w:r>
      <w:r w:rsidRPr="00213927">
        <w:t xml:space="preserve"> granger causes federally collected revenue. The Partial Stock Adjustment Model shows that the various income taxes were statistically significant and have positive relationship with federally collected revenue. The coefficient of the Error correction model   showed that 66.2940 percent of the deviation of federally collected revenue from its long-run equilibrium value can be reconciled yearly. On the whole, our study shows that tax reform by improving the tax sy</w:t>
      </w:r>
      <w:r>
        <w:t xml:space="preserve">stem and reducing tax burden </w:t>
      </w:r>
      <w:r w:rsidRPr="00213927">
        <w:t>enhances the ability of the government to generate more revenue.</w:t>
      </w:r>
    </w:p>
    <w:p w14:paraId="2DE11695" w14:textId="77777777" w:rsidR="004E7292" w:rsidRDefault="004E7292" w:rsidP="004E7292">
      <w:pPr>
        <w:ind w:left="720" w:firstLine="720"/>
        <w:jc w:val="both"/>
      </w:pPr>
      <w:r w:rsidRPr="000A3B13">
        <w:t>Samuel</w:t>
      </w:r>
      <w:r>
        <w:t xml:space="preserve"> and </w:t>
      </w:r>
      <w:proofErr w:type="spellStart"/>
      <w:r w:rsidRPr="000A3B13">
        <w:t>Tyokoso</w:t>
      </w:r>
      <w:proofErr w:type="spellEnd"/>
      <w:r>
        <w:t xml:space="preserve"> (2014) appraised </w:t>
      </w:r>
      <w:r w:rsidRPr="000A3B13">
        <w:t>taxation on revenue generation in Nigeria, attention is given to FCT and some selected states.</w:t>
      </w:r>
      <w:r w:rsidR="00C1097E">
        <w:t xml:space="preserve"> </w:t>
      </w:r>
      <w:r w:rsidRPr="000A3B13">
        <w:t>In achieving the objective of the study, the researcher adopted primary and secondary sources of data to present and analyse the information for the study.</w:t>
      </w:r>
      <w:r>
        <w:t xml:space="preserve"> The result of the study revealed that </w:t>
      </w:r>
      <w:r w:rsidRPr="000A3B13">
        <w:t>taxation has a significant contribution on revenue generation, taxation has a significant contribution on gross domestic product and tax evasion and tax avoidance have a significant effect on revenue generation in Nigeria.</w:t>
      </w:r>
    </w:p>
    <w:p w14:paraId="2F2C1544" w14:textId="77777777" w:rsidR="004E7292" w:rsidRDefault="004E7292" w:rsidP="004E7292">
      <w:pPr>
        <w:ind w:left="720" w:firstLine="720"/>
        <w:jc w:val="both"/>
      </w:pPr>
      <w:proofErr w:type="spellStart"/>
      <w:r w:rsidRPr="005348CA">
        <w:t>Onaolapo</w:t>
      </w:r>
      <w:proofErr w:type="spellEnd"/>
      <w:r w:rsidRPr="005348CA">
        <w:t>,</w:t>
      </w:r>
      <w:r w:rsidR="00C1097E">
        <w:t xml:space="preserve"> </w:t>
      </w:r>
      <w:proofErr w:type="spellStart"/>
      <w:r w:rsidRPr="005348CA">
        <w:t>Aworemi</w:t>
      </w:r>
      <w:proofErr w:type="spellEnd"/>
      <w:r>
        <w:t xml:space="preserve"> and </w:t>
      </w:r>
      <w:proofErr w:type="spellStart"/>
      <w:r>
        <w:t>Ajala</w:t>
      </w:r>
      <w:proofErr w:type="spellEnd"/>
      <w:r>
        <w:t xml:space="preserve"> (2013) ascertained </w:t>
      </w:r>
      <w:r w:rsidRPr="005348CA">
        <w:t>the impact of value added tax on revenue generation in Nigeria. The Secondary Source of data was sought from Central Bank of Nigeria statistical Bulleting (2010), Federal Inland Revenue Service Annual Reports and Chartered Institute of Taxation of Nigeria Journal. Data analysis was performed with the use of stepwise regression analysis. Findings showed that Value Added Tax has statistically significant effect on revenue generation in Nigeria.</w:t>
      </w:r>
    </w:p>
    <w:p w14:paraId="4938A1F3" w14:textId="77777777" w:rsidR="004E7292" w:rsidRDefault="004E7292" w:rsidP="004E7292">
      <w:pPr>
        <w:ind w:left="720" w:firstLine="720"/>
        <w:jc w:val="both"/>
      </w:pPr>
      <w:proofErr w:type="spellStart"/>
      <w:r w:rsidRPr="007F68A1">
        <w:t>Abiola</w:t>
      </w:r>
      <w:proofErr w:type="spellEnd"/>
      <w:r>
        <w:t xml:space="preserve"> and </w:t>
      </w:r>
      <w:proofErr w:type="spellStart"/>
      <w:r w:rsidRPr="007F68A1">
        <w:t>Asiweh</w:t>
      </w:r>
      <w:proofErr w:type="spellEnd"/>
      <w:r>
        <w:t xml:space="preserve"> (2012) attempted</w:t>
      </w:r>
      <w:r w:rsidRPr="007F68A1">
        <w:t xml:space="preserve"> to look at the Nigeria tax administration and its capacity to reduce tax evasion and generate revenue for development desire of the populace. The study made use of 121 online survey questionnaires containing 25 relevant questions. Descriptive statistics were used to analyse 93 usable responses. The study found among other things that increasing tax revenue is a function of effective enforcement strategy which is the pure responsibility of tax administration. Nigeria lack enforcement machineries which include among other things, adequate manpower, computers and effective postal and communication system.</w:t>
      </w:r>
    </w:p>
    <w:p w14:paraId="1CA9D5B9" w14:textId="77777777" w:rsidR="00076223" w:rsidRPr="00FB0C0A" w:rsidRDefault="00076223" w:rsidP="00076223">
      <w:pPr>
        <w:pStyle w:val="ListParagraph"/>
        <w:numPr>
          <w:ilvl w:val="0"/>
          <w:numId w:val="1"/>
        </w:numPr>
        <w:spacing w:after="0" w:line="240" w:lineRule="auto"/>
        <w:ind w:left="714" w:hanging="357"/>
        <w:jc w:val="both"/>
        <w:rPr>
          <w:rFonts w:ascii="Times New Roman" w:hAnsi="Times New Roman"/>
          <w:sz w:val="24"/>
          <w:szCs w:val="24"/>
        </w:rPr>
      </w:pPr>
      <w:r>
        <w:tab/>
      </w:r>
      <w:r w:rsidRPr="00FB0C0A">
        <w:rPr>
          <w:rFonts w:ascii="Times New Roman" w:hAnsi="Times New Roman"/>
          <w:b/>
          <w:sz w:val="24"/>
          <w:szCs w:val="24"/>
        </w:rPr>
        <w:t>RESEARCH DESIGN</w:t>
      </w:r>
    </w:p>
    <w:p w14:paraId="3A78EA02" w14:textId="77777777" w:rsidR="00C408DD" w:rsidRDefault="00076223" w:rsidP="00076223">
      <w:pPr>
        <w:ind w:left="720" w:firstLine="720"/>
        <w:jc w:val="both"/>
      </w:pPr>
      <w:r w:rsidRPr="00A94774">
        <w:t>An ex-post facto research design was employed to examine the effect of taxation on revenue generation in Nigeria for a period of</w:t>
      </w:r>
      <w:r w:rsidR="00C408DD">
        <w:t xml:space="preserve"> seventeen (17) years: 2007 to 2023</w:t>
      </w:r>
      <w:r w:rsidRPr="00A94774">
        <w:t xml:space="preserve">. This research design was considered suitable because the researcher is favourably not disposed to manipulate the data as they </w:t>
      </w:r>
      <w:r>
        <w:t xml:space="preserve">are </w:t>
      </w:r>
      <w:r w:rsidRPr="00A94774">
        <w:t>documented by legally established government agencies or parastatals.</w:t>
      </w:r>
      <w:r w:rsidR="00C1097E">
        <w:t xml:space="preserve"> </w:t>
      </w:r>
      <w:r w:rsidR="00C408DD" w:rsidRPr="00A94774">
        <w:t xml:space="preserve">The data </w:t>
      </w:r>
      <w:r w:rsidR="00C408DD">
        <w:t xml:space="preserve">were carefully sourced from the </w:t>
      </w:r>
      <w:r w:rsidR="00C408DD" w:rsidRPr="00A94774">
        <w:t xml:space="preserve">statistical bulletin of </w:t>
      </w:r>
      <w:r w:rsidR="00C408DD" w:rsidRPr="00A94774">
        <w:lastRenderedPageBreak/>
        <w:t>Central Bank of Nigeria (CBN)</w:t>
      </w:r>
      <w:r w:rsidR="00C408DD">
        <w:t xml:space="preserve"> and annual reports of Federal Inland Revenue Service (FIRS)</w:t>
      </w:r>
      <w:r w:rsidR="00C408DD" w:rsidRPr="00A94774">
        <w:t xml:space="preserve">. </w:t>
      </w:r>
      <w:r w:rsidR="007D0038">
        <w:t>The Total Federally Collected Revenue (TFCR) is the dependent variable. It is the total revenue of the government from all sources. It comprises of revenue from oil and gas exploration as well as revenue from non-oil and gas activities.</w:t>
      </w:r>
      <w:r w:rsidR="00C1097E">
        <w:t xml:space="preserve"> </w:t>
      </w:r>
      <w:r w:rsidR="007D0038">
        <w:t>Taxation is the independent variable of the study. Taxation was disaggregated into Petroleum Profit Tax (PPT), Companies Income Tax (CIT) and</w:t>
      </w:r>
      <w:r w:rsidR="00C1097E">
        <w:t xml:space="preserve"> </w:t>
      </w:r>
      <w:r w:rsidR="007D0038">
        <w:t>Value Added Tax (VAT).</w:t>
      </w:r>
      <w:r w:rsidR="0062084B" w:rsidRPr="00E86CF4">
        <w:t xml:space="preserve">The </w:t>
      </w:r>
      <w:r w:rsidR="0062084B">
        <w:t>data was analysed using the Ordinary Least Square (OLS) regression and Granger Causality models.</w:t>
      </w:r>
    </w:p>
    <w:p w14:paraId="4BB6135C" w14:textId="77777777" w:rsidR="007D0038" w:rsidRDefault="007D0038" w:rsidP="00D5299E">
      <w:pPr>
        <w:autoSpaceDE w:val="0"/>
        <w:autoSpaceDN w:val="0"/>
        <w:adjustRightInd w:val="0"/>
        <w:ind w:left="720" w:firstLine="720"/>
        <w:jc w:val="both"/>
      </w:pPr>
      <w:r w:rsidRPr="00F44561">
        <w:t xml:space="preserve">The model for this study </w:t>
      </w:r>
      <w:r>
        <w:t>is adopted from Olaoye and Ayeni (2018). The</w:t>
      </w:r>
      <w:r w:rsidRPr="00F44561">
        <w:t xml:space="preserve"> model is stated as:</w:t>
      </w:r>
    </w:p>
    <w:p w14:paraId="231198F3" w14:textId="77777777" w:rsidR="007D0038" w:rsidRPr="007D0038" w:rsidRDefault="007D0038" w:rsidP="00D5299E">
      <w:pPr>
        <w:ind w:left="720" w:firstLine="720"/>
      </w:pPr>
      <m:oMathPara>
        <m:oMath>
          <m:r>
            <w:rPr>
              <w:rFonts w:ascii="Cambria Math" w:hAnsi="Cambria Math"/>
            </w:rPr>
            <m:t>TRG=f</m:t>
          </m:r>
          <m:d>
            <m:dPr>
              <m:ctrlPr>
                <w:rPr>
                  <w:rFonts w:ascii="Cambria Math" w:hAnsi="Cambria Math"/>
                  <w:i/>
                </w:rPr>
              </m:ctrlPr>
            </m:dPr>
            <m:e>
              <m:r>
                <w:rPr>
                  <w:rFonts w:ascii="Cambria Math" w:hAnsi="Cambria Math"/>
                </w:rPr>
                <m:t>VAT, CD</m:t>
              </m:r>
            </m:e>
          </m:d>
          <m:r>
            <w:rPr>
              <w:rFonts w:ascii="Cambria Math" w:hAnsi="Cambria Math"/>
            </w:rPr>
            <m:t xml:space="preserve">                                                                                                                        3.1</m:t>
          </m:r>
        </m:oMath>
      </m:oMathPara>
    </w:p>
    <w:p w14:paraId="752564A9" w14:textId="77777777" w:rsidR="007D0038" w:rsidRDefault="007D0038" w:rsidP="00D5299E">
      <w:pPr>
        <w:autoSpaceDE w:val="0"/>
        <w:autoSpaceDN w:val="0"/>
        <w:adjustRightInd w:val="0"/>
        <w:ind w:left="720"/>
        <w:jc w:val="both"/>
      </w:pPr>
      <w:r>
        <w:t>Where</w:t>
      </w:r>
      <w:r w:rsidRPr="00F44561">
        <w:t>:</w:t>
      </w:r>
    </w:p>
    <w:p w14:paraId="3693A50D" w14:textId="77777777" w:rsidR="007D0038" w:rsidRDefault="007D0038" w:rsidP="00D5299E">
      <w:pPr>
        <w:autoSpaceDE w:val="0"/>
        <w:autoSpaceDN w:val="0"/>
        <w:adjustRightInd w:val="0"/>
        <w:ind w:firstLine="720"/>
        <w:jc w:val="both"/>
      </w:pPr>
      <m:oMath>
        <m:r>
          <w:rPr>
            <w:rFonts w:ascii="Cambria Math" w:hAnsi="Cambria Math"/>
          </w:rPr>
          <m:t>TRG</m:t>
        </m:r>
      </m:oMath>
      <w:r>
        <w:t xml:space="preserve"> = Total Revenue Generation</w:t>
      </w:r>
    </w:p>
    <w:p w14:paraId="592FAEBA" w14:textId="77777777" w:rsidR="007D0038" w:rsidRDefault="007D0038" w:rsidP="00D5299E">
      <w:pPr>
        <w:autoSpaceDE w:val="0"/>
        <w:autoSpaceDN w:val="0"/>
        <w:adjustRightInd w:val="0"/>
        <w:ind w:left="720"/>
        <w:jc w:val="both"/>
      </w:pPr>
      <m:oMath>
        <m:r>
          <w:rPr>
            <w:rFonts w:ascii="Cambria Math" w:hAnsi="Cambria Math"/>
          </w:rPr>
          <m:t>VAT</m:t>
        </m:r>
      </m:oMath>
      <w:r>
        <w:t xml:space="preserve"> = Value Added Tax</w:t>
      </w:r>
    </w:p>
    <w:p w14:paraId="154EE898" w14:textId="77777777" w:rsidR="007D0038" w:rsidRDefault="007D0038" w:rsidP="00D5299E">
      <w:pPr>
        <w:autoSpaceDE w:val="0"/>
        <w:autoSpaceDN w:val="0"/>
        <w:adjustRightInd w:val="0"/>
        <w:ind w:left="720"/>
        <w:jc w:val="both"/>
      </w:pPr>
      <m:oMath>
        <m:r>
          <w:rPr>
            <w:rFonts w:ascii="Cambria Math" w:hAnsi="Cambria Math"/>
          </w:rPr>
          <m:t>CD</m:t>
        </m:r>
      </m:oMath>
      <w:r>
        <w:t xml:space="preserve"> = Custom Duties</w:t>
      </w:r>
    </w:p>
    <w:p w14:paraId="0F3DCC97" w14:textId="77777777" w:rsidR="007D0038" w:rsidRDefault="007D0038" w:rsidP="00D5299E">
      <w:pPr>
        <w:pStyle w:val="ListParagraph"/>
        <w:spacing w:after="0" w:line="240" w:lineRule="auto"/>
        <w:ind w:firstLine="720"/>
        <w:jc w:val="both"/>
        <w:rPr>
          <w:rFonts w:ascii="Times New Roman" w:hAnsi="Times New Roman"/>
          <w:sz w:val="24"/>
          <w:szCs w:val="24"/>
        </w:rPr>
      </w:pPr>
      <w:r>
        <w:rPr>
          <w:rFonts w:ascii="Times New Roman" w:hAnsi="Times New Roman"/>
          <w:sz w:val="24"/>
          <w:szCs w:val="24"/>
        </w:rPr>
        <w:t>The model has been modified by removing custom duties, while petroleum profit tax and companies’ were been introduced. Consequently, the modified model this study is stated as:</w:t>
      </w:r>
    </w:p>
    <w:p w14:paraId="50DE6744" w14:textId="77777777" w:rsidR="007D0038" w:rsidRPr="007D0038" w:rsidRDefault="007D0038" w:rsidP="00D5299E">
      <w:pPr>
        <w:ind w:left="720" w:firstLine="720"/>
      </w:pPr>
      <m:oMathPara>
        <m:oMath>
          <m:r>
            <w:rPr>
              <w:rFonts w:ascii="Cambria Math" w:hAnsi="Cambria Math"/>
            </w:rPr>
            <m:t>TFCR=f</m:t>
          </m:r>
          <m:d>
            <m:dPr>
              <m:ctrlPr>
                <w:rPr>
                  <w:rFonts w:ascii="Cambria Math" w:hAnsi="Cambria Math"/>
                  <w:i/>
                </w:rPr>
              </m:ctrlPr>
            </m:dPr>
            <m:e>
              <m:r>
                <w:rPr>
                  <w:rFonts w:ascii="Cambria Math" w:hAnsi="Cambria Math"/>
                </w:rPr>
                <m:t>PPT, CIT, VAT</m:t>
              </m:r>
            </m:e>
          </m:d>
          <m:r>
            <w:rPr>
              <w:rFonts w:ascii="Cambria Math" w:hAnsi="Cambria Math"/>
            </w:rPr>
            <m:t xml:space="preserve">                                                                                                         3.2</m:t>
          </m:r>
        </m:oMath>
      </m:oMathPara>
    </w:p>
    <w:p w14:paraId="7F2C6E32" w14:textId="77777777" w:rsidR="007D0038" w:rsidRPr="00857335" w:rsidRDefault="007D0038" w:rsidP="00D5299E">
      <w:pPr>
        <w:pStyle w:val="ListParagraph"/>
        <w:spacing w:after="0" w:line="240" w:lineRule="auto"/>
        <w:jc w:val="both"/>
        <w:rPr>
          <w:rFonts w:ascii="Times New Roman" w:hAnsi="Times New Roman"/>
          <w:sz w:val="24"/>
          <w:szCs w:val="24"/>
        </w:rPr>
      </w:pPr>
      <w:r w:rsidRPr="00857335">
        <w:rPr>
          <w:rFonts w:ascii="Times New Roman" w:hAnsi="Times New Roman"/>
          <w:sz w:val="24"/>
          <w:szCs w:val="24"/>
        </w:rPr>
        <w:t>Where:</w:t>
      </w:r>
    </w:p>
    <w:p w14:paraId="668C73D7" w14:textId="77777777" w:rsidR="007D0038" w:rsidRPr="00857335" w:rsidRDefault="007D0038" w:rsidP="00D5299E">
      <w:pPr>
        <w:ind w:firstLine="720"/>
      </w:pPr>
      <m:oMath>
        <m:r>
          <w:rPr>
            <w:rFonts w:ascii="Cambria Math" w:hAnsi="Cambria Math"/>
          </w:rPr>
          <m:t>TFCR</m:t>
        </m:r>
      </m:oMath>
      <w:r w:rsidRPr="00857335">
        <w:t xml:space="preserve"> = Total Federally Collected Revenue</w:t>
      </w:r>
    </w:p>
    <w:p w14:paraId="3544ECBA" w14:textId="77777777" w:rsidR="007D0038" w:rsidRDefault="007D0038" w:rsidP="00D5299E">
      <w:pPr>
        <w:ind w:firstLine="720"/>
      </w:pPr>
      <m:oMath>
        <m:r>
          <w:rPr>
            <w:rFonts w:ascii="Cambria Math" w:hAnsi="Cambria Math"/>
          </w:rPr>
          <m:t>PPT</m:t>
        </m:r>
      </m:oMath>
      <w:r w:rsidRPr="00857335">
        <w:t xml:space="preserve"> = Petroleum Profit Tax</w:t>
      </w:r>
    </w:p>
    <w:p w14:paraId="303A6B72" w14:textId="77777777" w:rsidR="007D0038" w:rsidRDefault="007D0038" w:rsidP="00D5299E">
      <w:pPr>
        <w:ind w:firstLine="720"/>
      </w:pPr>
      <m:oMath>
        <m:r>
          <w:rPr>
            <w:rFonts w:ascii="Cambria Math" w:hAnsi="Cambria Math"/>
          </w:rPr>
          <m:t>CIT</m:t>
        </m:r>
      </m:oMath>
      <w:r>
        <w:t xml:space="preserve"> = Company Income Tax</w:t>
      </w:r>
    </w:p>
    <w:p w14:paraId="4C38C004" w14:textId="77777777" w:rsidR="007D0038" w:rsidRPr="00857335" w:rsidRDefault="007D0038" w:rsidP="00D5299E">
      <w:pPr>
        <w:ind w:firstLine="720"/>
      </w:pPr>
      <m:oMath>
        <m:r>
          <w:rPr>
            <w:rFonts w:ascii="Cambria Math" w:hAnsi="Cambria Math"/>
          </w:rPr>
          <m:t>VAT</m:t>
        </m:r>
      </m:oMath>
      <w:r w:rsidRPr="00857335">
        <w:t xml:space="preserve"> = Value Added Tax</w:t>
      </w:r>
    </w:p>
    <w:p w14:paraId="382B3DDC" w14:textId="77777777" w:rsidR="007D0038" w:rsidRDefault="007D0038" w:rsidP="00D5299E">
      <w:pPr>
        <w:pStyle w:val="ListParagraph"/>
        <w:spacing w:after="0" w:line="240" w:lineRule="auto"/>
        <w:ind w:firstLine="720"/>
        <w:jc w:val="both"/>
        <w:rPr>
          <w:rFonts w:ascii="Times New Roman" w:hAnsi="Times New Roman"/>
          <w:sz w:val="24"/>
          <w:szCs w:val="24"/>
        </w:rPr>
      </w:pPr>
      <w:r>
        <w:rPr>
          <w:rFonts w:ascii="Times New Roman" w:hAnsi="Times New Roman"/>
          <w:sz w:val="24"/>
          <w:szCs w:val="24"/>
        </w:rPr>
        <w:t>The econometric equation is stated as:</w:t>
      </w:r>
    </w:p>
    <w:p w14:paraId="6DF0E3AE" w14:textId="77777777" w:rsidR="007D0038" w:rsidRPr="007D0038" w:rsidRDefault="007D0038" w:rsidP="00D5299E">
      <w:pPr>
        <w:ind w:left="720" w:firstLine="720"/>
      </w:pPr>
      <m:oMathPara>
        <m:oMath>
          <m:r>
            <w:rPr>
              <w:rFonts w:ascii="Cambria Math" w:hAnsi="Cambria Math"/>
            </w:rPr>
            <m:t>TFC</m:t>
          </m:r>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PP</m:t>
          </m:r>
          <m:sSub>
            <m:sSubPr>
              <m:ctrlPr>
                <w:rPr>
                  <w:rFonts w:ascii="Cambria Math" w:hAnsi="Cambria Math"/>
                  <w:i/>
                </w:rPr>
              </m:ctrlPr>
            </m:sSubPr>
            <m:e>
              <m:r>
                <w:rPr>
                  <w:rFonts w:ascii="Cambria Math" w:hAnsi="Cambria Math"/>
                </w:rPr>
                <m:t>T</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CI</m:t>
          </m:r>
          <m:sSub>
            <m:sSubPr>
              <m:ctrlPr>
                <w:rPr>
                  <w:rFonts w:ascii="Cambria Math" w:hAnsi="Cambria Math"/>
                  <w:i/>
                </w:rPr>
              </m:ctrlPr>
            </m:sSubPr>
            <m:e>
              <m:r>
                <w:rPr>
                  <w:rFonts w:ascii="Cambria Math" w:hAnsi="Cambria Math"/>
                </w:rPr>
                <m:t>T</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3</m:t>
              </m:r>
            </m:sub>
          </m:sSub>
          <m:sSub>
            <m:sSubPr>
              <m:ctrlPr>
                <w:rPr>
                  <w:rFonts w:ascii="Cambria Math" w:hAnsi="Cambria Math"/>
                  <w:i/>
                </w:rPr>
              </m:ctrlPr>
            </m:sSubPr>
            <m:e>
              <m:r>
                <w:rPr>
                  <w:rFonts w:ascii="Cambria Math" w:hAnsi="Cambria Math"/>
                </w:rPr>
                <m:t>VAT</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t</m:t>
              </m:r>
            </m:sub>
          </m:sSub>
          <m:r>
            <w:rPr>
              <w:rFonts w:ascii="Cambria Math" w:hAnsi="Cambria Math"/>
            </w:rPr>
            <m:t xml:space="preserve">                                                                   3.3</m:t>
          </m:r>
        </m:oMath>
      </m:oMathPara>
    </w:p>
    <w:p w14:paraId="4D5B8458" w14:textId="77777777" w:rsidR="007D0038" w:rsidRDefault="0065548F" w:rsidP="00D5299E">
      <w:pPr>
        <w:ind w:left="720"/>
        <w:jc w:val="both"/>
      </w:pPr>
      <m:oMath>
        <m:sSub>
          <m:sSubPr>
            <m:ctrlPr>
              <w:rPr>
                <w:rFonts w:ascii="Cambria Math" w:hAnsi="Cambria Math"/>
                <w:i/>
              </w:rPr>
            </m:ctrlPr>
          </m:sSubPr>
          <m:e>
            <m:r>
              <w:rPr>
                <w:rFonts w:ascii="Cambria Math" w:hAnsi="Cambria Math"/>
              </w:rPr>
              <m:t>β</m:t>
            </m:r>
          </m:e>
          <m:sub>
            <m:r>
              <w:rPr>
                <w:rFonts w:ascii="Cambria Math" w:hAnsi="Cambria Math"/>
              </w:rPr>
              <m:t>0</m:t>
            </m:r>
          </m:sub>
        </m:sSub>
      </m:oMath>
      <w:r w:rsidR="00DF0276" w:rsidRPr="00034220">
        <w:fldChar w:fldCharType="begin"/>
      </w:r>
      <w:r w:rsidR="007D0038" w:rsidRPr="00034220">
        <w:instrText xml:space="preserve"> QUOTE </w:instrText>
      </w:r>
      <m:oMath>
        <m:sSub>
          <m:sSubPr>
            <m:ctrlPr>
              <w:rPr>
                <w:rFonts w:ascii="Cambria Math" w:hAnsi="Cambria Math"/>
                <w:b/>
                <w:i/>
              </w:rPr>
            </m:ctrlPr>
          </m:sSubPr>
          <m:e>
            <m:r>
              <m:rPr>
                <m:sty m:val="p"/>
              </m:rPr>
              <w:rPr>
                <w:rFonts w:ascii="Cambria Math" w:hAnsi="Cambria Math"/>
              </w:rPr>
              <m:t>a</m:t>
            </m:r>
          </m:e>
          <m:sub>
            <m:r>
              <m:rPr>
                <m:sty m:val="p"/>
              </m:rPr>
              <w:rPr>
                <w:rFonts w:ascii="Cambria Math" w:hAnsi="Cambria Math"/>
              </w:rPr>
              <m:t>0</m:t>
            </m:r>
          </m:sub>
        </m:sSub>
      </m:oMath>
      <w:r w:rsidR="00DF0276" w:rsidRPr="00034220">
        <w:fldChar w:fldCharType="end"/>
      </w:r>
      <w:r w:rsidR="00DF0276" w:rsidRPr="00034220">
        <w:fldChar w:fldCharType="begin"/>
      </w:r>
      <w:r w:rsidR="007D0038" w:rsidRPr="00034220">
        <w:instrText xml:space="preserve"> QUOTE </w:instrText>
      </w:r>
      <w:r w:rsidR="007D0038" w:rsidRPr="00034220">
        <w:rPr>
          <w:noProof/>
          <w:position w:val="-9"/>
          <w:lang w:val="en-US" w:eastAsia="en-US"/>
        </w:rPr>
        <w:drawing>
          <wp:inline distT="0" distB="0" distL="0" distR="0" wp14:anchorId="480EC213" wp14:editId="79382BEA">
            <wp:extent cx="219075" cy="228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00DF0276" w:rsidRPr="00034220">
        <w:fldChar w:fldCharType="end"/>
      </w:r>
      <w:r w:rsidR="007D0038" w:rsidRPr="00034220">
        <w:t xml:space="preserve"> =</w:t>
      </w:r>
      <w:r w:rsidR="007D0038">
        <w:t xml:space="preserve"> a constant term</w:t>
      </w:r>
    </w:p>
    <w:p w14:paraId="4AF100CE" w14:textId="77777777" w:rsidR="007D0038" w:rsidRPr="00034220" w:rsidRDefault="0065548F" w:rsidP="00D5299E">
      <w:pPr>
        <w:ind w:left="720"/>
        <w:jc w:val="both"/>
      </w:pPr>
      <m:oMath>
        <m:sSub>
          <m:sSubPr>
            <m:ctrlPr>
              <w:rPr>
                <w:rFonts w:ascii="Cambria Math" w:hAnsi="Cambria Math"/>
                <w:i/>
              </w:rPr>
            </m:ctrlPr>
          </m:sSubPr>
          <m:e>
            <m:r>
              <w:rPr>
                <w:rFonts w:ascii="Cambria Math" w:hAnsi="Cambria Math"/>
              </w:rPr>
              <m:t>β</m:t>
            </m:r>
          </m:e>
          <m:sub>
            <m:r>
              <w:rPr>
                <w:rFonts w:ascii="Cambria Math" w:hAnsi="Cambria Math"/>
              </w:rPr>
              <m:t>1</m:t>
            </m:r>
          </m:sub>
        </m:sSub>
      </m:oMath>
      <w:r w:rsidR="007D0038">
        <w:t xml:space="preserve">, </w:t>
      </w:r>
      <m:oMath>
        <m:sSub>
          <m:sSubPr>
            <m:ctrlPr>
              <w:rPr>
                <w:rFonts w:ascii="Cambria Math" w:hAnsi="Cambria Math"/>
                <w:i/>
              </w:rPr>
            </m:ctrlPr>
          </m:sSubPr>
          <m:e>
            <m:r>
              <w:rPr>
                <w:rFonts w:ascii="Cambria Math" w:hAnsi="Cambria Math"/>
              </w:rPr>
              <m:t>β</m:t>
            </m:r>
          </m:e>
          <m:sub>
            <m:r>
              <w:rPr>
                <w:rFonts w:ascii="Cambria Math" w:hAnsi="Cambria Math"/>
              </w:rPr>
              <m:t>2</m:t>
            </m:r>
          </m:sub>
        </m:sSub>
      </m:oMath>
      <w:r w:rsidR="007D0038">
        <w:t xml:space="preserve">, and </w:t>
      </w:r>
      <m:oMath>
        <m:sSub>
          <m:sSubPr>
            <m:ctrlPr>
              <w:rPr>
                <w:rFonts w:ascii="Cambria Math" w:hAnsi="Cambria Math"/>
                <w:i/>
              </w:rPr>
            </m:ctrlPr>
          </m:sSubPr>
          <m:e>
            <m:r>
              <w:rPr>
                <w:rFonts w:ascii="Cambria Math" w:hAnsi="Cambria Math"/>
              </w:rPr>
              <m:t>β</m:t>
            </m:r>
          </m:e>
          <m:sub>
            <m:r>
              <w:rPr>
                <w:rFonts w:ascii="Cambria Math" w:hAnsi="Cambria Math"/>
              </w:rPr>
              <m:t>3</m:t>
            </m:r>
          </m:sub>
        </m:sSub>
      </m:oMath>
      <w:r w:rsidR="007D0038">
        <w:t xml:space="preserve"> are the coefficients of the regression equation</w:t>
      </w:r>
    </w:p>
    <w:p w14:paraId="1AB8BAB3" w14:textId="77777777" w:rsidR="007D0038" w:rsidRPr="00034220" w:rsidRDefault="007D0038" w:rsidP="00D5299E">
      <w:pPr>
        <w:ind w:left="720"/>
        <w:jc w:val="both"/>
      </w:pPr>
      <m:oMath>
        <m:r>
          <m:rPr>
            <m:sty m:val="bi"/>
          </m:rPr>
          <w:rPr>
            <w:rFonts w:ascii="Cambria Math" w:hAnsi="Cambria Math"/>
          </w:rPr>
          <m:t>ε</m:t>
        </m:r>
      </m:oMath>
      <w:r w:rsidRPr="00034220">
        <w:t xml:space="preserve"> = the error term</w:t>
      </w:r>
    </w:p>
    <w:p w14:paraId="3BDF3307" w14:textId="77777777" w:rsidR="007D0038" w:rsidRDefault="007D0038" w:rsidP="00D5299E">
      <w:pPr>
        <w:ind w:left="720"/>
        <w:jc w:val="both"/>
      </w:pPr>
      <m:oMath>
        <m:r>
          <w:rPr>
            <w:rFonts w:ascii="Cambria Math" w:hAnsi="Cambria Math"/>
          </w:rPr>
          <m:t>t</m:t>
        </m:r>
      </m:oMath>
      <w:r w:rsidR="00DF0276" w:rsidRPr="00034220">
        <w:fldChar w:fldCharType="begin"/>
      </w:r>
      <w:r w:rsidRPr="00034220">
        <w:instrText xml:space="preserve"> QUOTE </w:instrText>
      </w:r>
      <m:oMath>
        <m:r>
          <m:rPr>
            <m:sty m:val="p"/>
          </m:rPr>
          <w:rPr>
            <w:rFonts w:ascii="Cambria Math" w:hAnsi="Cambria Math"/>
          </w:rPr>
          <m:t xml:space="preserve">i </m:t>
        </m:r>
      </m:oMath>
      <w:r w:rsidR="00DF0276" w:rsidRPr="00034220">
        <w:fldChar w:fldCharType="end"/>
      </w:r>
      <w:r w:rsidR="00DF0276" w:rsidRPr="004C7AF3">
        <w:fldChar w:fldCharType="begin"/>
      </w:r>
      <w:r w:rsidRPr="004C7AF3">
        <w:instrText xml:space="preserve"> QUOTE </w:instrText>
      </w:r>
      <w:r w:rsidRPr="004C7AF3">
        <w:rPr>
          <w:noProof/>
          <w:position w:val="-9"/>
          <w:lang w:val="en-US" w:eastAsia="en-US"/>
        </w:rPr>
        <w:drawing>
          <wp:inline distT="0" distB="0" distL="0" distR="0" wp14:anchorId="7AF9A81D" wp14:editId="56B36755">
            <wp:extent cx="7620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228600"/>
                    </a:xfrm>
                    <a:prstGeom prst="rect">
                      <a:avLst/>
                    </a:prstGeom>
                    <a:noFill/>
                    <a:ln>
                      <a:noFill/>
                    </a:ln>
                  </pic:spPr>
                </pic:pic>
              </a:graphicData>
            </a:graphic>
          </wp:inline>
        </w:drawing>
      </w:r>
      <w:r w:rsidR="00DF0276" w:rsidRPr="004C7AF3">
        <w:fldChar w:fldCharType="end"/>
      </w:r>
      <w:r>
        <w:t>= the time trend</w:t>
      </w:r>
    </w:p>
    <w:p w14:paraId="7CB570C0" w14:textId="77777777" w:rsidR="007D0038" w:rsidRDefault="007D0038" w:rsidP="0062084B">
      <w:pPr>
        <w:ind w:left="720" w:firstLine="720"/>
        <w:jc w:val="both"/>
      </w:pPr>
      <w:r>
        <w:t xml:space="preserve">A priori expectation is </w:t>
      </w:r>
      <w:r w:rsidR="0062084B">
        <w:t xml:space="preserve">that </w:t>
      </w:r>
      <m:oMath>
        <m:sSub>
          <m:sSubPr>
            <m:ctrlPr>
              <w:rPr>
                <w:rFonts w:ascii="Cambria Math" w:hAnsi="Cambria Math"/>
                <w:i/>
              </w:rPr>
            </m:ctrlPr>
          </m:sSubPr>
          <m:e>
            <m:r>
              <w:rPr>
                <w:rFonts w:ascii="Cambria Math" w:hAnsi="Cambria Math"/>
              </w:rPr>
              <m:t>β</m:t>
            </m:r>
          </m:e>
          <m:sub>
            <m:r>
              <w:rPr>
                <w:rFonts w:ascii="Cambria Math" w:hAnsi="Cambria Math"/>
              </w:rPr>
              <m:t>1</m:t>
            </m:r>
          </m:sub>
        </m:sSub>
      </m:oMath>
      <w:r>
        <w:t xml:space="preserve">, </w:t>
      </w:r>
      <m:oMath>
        <m:sSub>
          <m:sSubPr>
            <m:ctrlPr>
              <w:rPr>
                <w:rFonts w:ascii="Cambria Math" w:hAnsi="Cambria Math"/>
                <w:i/>
              </w:rPr>
            </m:ctrlPr>
          </m:sSubPr>
          <m:e>
            <m:r>
              <w:rPr>
                <w:rFonts w:ascii="Cambria Math" w:hAnsi="Cambria Math"/>
              </w:rPr>
              <m:t>β</m:t>
            </m:r>
          </m:e>
          <m:sub>
            <m:r>
              <w:rPr>
                <w:rFonts w:ascii="Cambria Math" w:hAnsi="Cambria Math"/>
              </w:rPr>
              <m:t>2</m:t>
            </m:r>
          </m:sub>
        </m:sSub>
      </m:oMath>
      <w:r>
        <w:t xml:space="preserve">, </w:t>
      </w:r>
      <m:oMath>
        <m:sSub>
          <m:sSubPr>
            <m:ctrlPr>
              <w:rPr>
                <w:rFonts w:ascii="Cambria Math" w:hAnsi="Cambria Math"/>
                <w:i/>
              </w:rPr>
            </m:ctrlPr>
          </m:sSubPr>
          <m:e>
            <m:r>
              <w:rPr>
                <w:rFonts w:ascii="Cambria Math" w:hAnsi="Cambria Math"/>
              </w:rPr>
              <m:t>β</m:t>
            </m:r>
          </m:e>
          <m:sub>
            <m:r>
              <w:rPr>
                <w:rFonts w:ascii="Cambria Math" w:hAnsi="Cambria Math"/>
              </w:rPr>
              <m:t>3</m:t>
            </m:r>
          </m:sub>
        </m:sSub>
      </m:oMath>
      <w:r>
        <w:t>&gt; 0</w:t>
      </w:r>
    </w:p>
    <w:p w14:paraId="57B37474" w14:textId="77777777" w:rsidR="0062084B" w:rsidRDefault="0062084B" w:rsidP="00D5299E">
      <w:pPr>
        <w:ind w:left="720"/>
        <w:jc w:val="both"/>
      </w:pPr>
    </w:p>
    <w:p w14:paraId="1A8765FA" w14:textId="77777777" w:rsidR="0062084B" w:rsidRPr="00FB0C0A" w:rsidRDefault="0062084B" w:rsidP="0062084B">
      <w:pPr>
        <w:pStyle w:val="ListParagraph"/>
        <w:numPr>
          <w:ilvl w:val="0"/>
          <w:numId w:val="1"/>
        </w:numPr>
        <w:spacing w:after="0" w:line="240" w:lineRule="auto"/>
        <w:ind w:left="714" w:hanging="357"/>
        <w:jc w:val="both"/>
        <w:rPr>
          <w:rFonts w:ascii="Times New Roman" w:hAnsi="Times New Roman"/>
          <w:sz w:val="24"/>
          <w:szCs w:val="24"/>
        </w:rPr>
      </w:pPr>
      <w:r>
        <w:tab/>
      </w:r>
      <w:r w:rsidR="00E676F7">
        <w:rPr>
          <w:rFonts w:ascii="Times New Roman" w:hAnsi="Times New Roman"/>
          <w:b/>
          <w:sz w:val="24"/>
          <w:szCs w:val="24"/>
        </w:rPr>
        <w:t>RESULT AND DISCUSSION OF FINDINGS</w:t>
      </w:r>
    </w:p>
    <w:p w14:paraId="575FE782" w14:textId="77777777" w:rsidR="0062084B" w:rsidRPr="00E676F7" w:rsidRDefault="0062084B" w:rsidP="00E676F7">
      <w:pPr>
        <w:pStyle w:val="ListParagraph"/>
        <w:spacing w:after="0" w:line="240" w:lineRule="auto"/>
        <w:ind w:left="0" w:firstLine="714"/>
        <w:jc w:val="both"/>
        <w:rPr>
          <w:rFonts w:ascii="Times New Roman" w:hAnsi="Times New Roman"/>
          <w:b/>
          <w:sz w:val="24"/>
          <w:szCs w:val="24"/>
        </w:rPr>
      </w:pPr>
      <w:r w:rsidRPr="00E676F7">
        <w:rPr>
          <w:rFonts w:ascii="Times New Roman" w:hAnsi="Times New Roman"/>
          <w:b/>
          <w:sz w:val="24"/>
          <w:szCs w:val="24"/>
        </w:rPr>
        <w:t>Descriptive Properties of the Data</w:t>
      </w:r>
    </w:p>
    <w:p w14:paraId="15414F34" w14:textId="547FFC9C" w:rsidR="0062084B" w:rsidRPr="00E676F7" w:rsidRDefault="0062084B" w:rsidP="00E676F7">
      <w:pPr>
        <w:pStyle w:val="ListParagraph"/>
        <w:spacing w:after="0" w:line="240" w:lineRule="auto"/>
        <w:ind w:firstLine="720"/>
        <w:jc w:val="both"/>
        <w:rPr>
          <w:rFonts w:ascii="Times New Roman" w:hAnsi="Times New Roman"/>
          <w:color w:val="000000"/>
          <w:sz w:val="24"/>
          <w:szCs w:val="24"/>
        </w:rPr>
      </w:pPr>
      <w:r w:rsidRPr="00E676F7">
        <w:rPr>
          <w:rFonts w:ascii="Times New Roman" w:hAnsi="Times New Roman"/>
          <w:sz w:val="24"/>
          <w:szCs w:val="24"/>
        </w:rPr>
        <w:t>Table</w:t>
      </w:r>
      <w:r w:rsidR="00E031FF">
        <w:rPr>
          <w:rFonts w:ascii="Times New Roman" w:hAnsi="Times New Roman"/>
          <w:sz w:val="24"/>
          <w:szCs w:val="24"/>
        </w:rPr>
        <w:t xml:space="preserve"> </w:t>
      </w:r>
      <w:r w:rsidRPr="00E676F7">
        <w:rPr>
          <w:rFonts w:ascii="Times New Roman" w:hAnsi="Times New Roman"/>
          <w:sz w:val="24"/>
          <w:szCs w:val="24"/>
        </w:rPr>
        <w:t xml:space="preserve">1 shows the descriptive statistics of the variables. It shows the total number of observations, mean, median, maximum, minimum, standard deviation and sum of mean deviation. The mean values of the independent variables: TFCR, VAT, PPT and CIT are </w:t>
      </w:r>
      <w:r w:rsidRPr="00E676F7">
        <w:rPr>
          <w:rFonts w:ascii="Times New Roman" w:hAnsi="Times New Roman"/>
          <w:color w:val="000000"/>
          <w:sz w:val="24"/>
          <w:szCs w:val="24"/>
        </w:rPr>
        <w:t xml:space="preserve">8327420, 769769.8, 2024787 </w:t>
      </w:r>
      <w:r w:rsidRPr="00E676F7">
        <w:rPr>
          <w:rFonts w:ascii="Times New Roman" w:hAnsi="Times New Roman"/>
          <w:sz w:val="24"/>
          <w:szCs w:val="24"/>
        </w:rPr>
        <w:t xml:space="preserve">and </w:t>
      </w:r>
      <w:r w:rsidRPr="00E676F7">
        <w:rPr>
          <w:rFonts w:ascii="Times New Roman" w:hAnsi="Times New Roman"/>
          <w:color w:val="000000"/>
          <w:sz w:val="24"/>
          <w:szCs w:val="24"/>
        </w:rPr>
        <w:t>1011507</w:t>
      </w:r>
      <w:r w:rsidRPr="00E676F7">
        <w:rPr>
          <w:rFonts w:ascii="Times New Roman" w:hAnsi="Times New Roman"/>
          <w:sz w:val="24"/>
          <w:szCs w:val="24"/>
        </w:rPr>
        <w:t xml:space="preserve"> respectively, while t</w:t>
      </w:r>
      <w:r w:rsidRPr="00E676F7">
        <w:rPr>
          <w:rFonts w:ascii="Times New Roman" w:hAnsi="Times New Roman"/>
          <w:color w:val="000000"/>
          <w:sz w:val="24"/>
          <w:szCs w:val="24"/>
        </w:rPr>
        <w:t xml:space="preserve">he median of the study variable are 8498400, 785000, 1987191 and 1047950. The minimum values of the series are 4844590 for TFCR, 481410 for VAT, 939400 for PPT and 593700 for CIT, whereas the maximum values are 11116850, 1108041, 3201300 and 140921 respectively for </w:t>
      </w:r>
      <w:r w:rsidR="00E676F7" w:rsidRPr="00E676F7">
        <w:rPr>
          <w:rFonts w:ascii="Times New Roman" w:hAnsi="Times New Roman"/>
          <w:sz w:val="24"/>
          <w:szCs w:val="24"/>
        </w:rPr>
        <w:t xml:space="preserve">TFCR, </w:t>
      </w:r>
      <w:r w:rsidRPr="00E676F7">
        <w:rPr>
          <w:rFonts w:ascii="Times New Roman" w:hAnsi="Times New Roman"/>
          <w:sz w:val="24"/>
          <w:szCs w:val="24"/>
        </w:rPr>
        <w:t xml:space="preserve">VAT, PPT and CIT. </w:t>
      </w:r>
      <w:r w:rsidR="00E676F7" w:rsidRPr="00E676F7">
        <w:rPr>
          <w:rFonts w:ascii="Times New Roman" w:hAnsi="Times New Roman"/>
          <w:color w:val="000000"/>
          <w:sz w:val="24"/>
          <w:szCs w:val="24"/>
        </w:rPr>
        <w:t xml:space="preserve">The standard </w:t>
      </w:r>
      <w:r w:rsidR="00C1097E" w:rsidRPr="00E676F7">
        <w:rPr>
          <w:rFonts w:ascii="Times New Roman" w:hAnsi="Times New Roman"/>
          <w:color w:val="000000"/>
          <w:sz w:val="24"/>
          <w:szCs w:val="24"/>
        </w:rPr>
        <w:t>deviations of the variables are</w:t>
      </w:r>
      <w:r w:rsidR="00E676F7" w:rsidRPr="00E676F7">
        <w:rPr>
          <w:rFonts w:ascii="Times New Roman" w:hAnsi="Times New Roman"/>
          <w:color w:val="000000"/>
          <w:sz w:val="24"/>
          <w:szCs w:val="24"/>
        </w:rPr>
        <w:t xml:space="preserve"> 2188079, 183158.6, 836001.7 and 305135.7 for </w:t>
      </w:r>
      <w:r w:rsidR="00E676F7" w:rsidRPr="00E676F7">
        <w:rPr>
          <w:rFonts w:ascii="Times New Roman" w:hAnsi="Times New Roman"/>
          <w:sz w:val="24"/>
          <w:szCs w:val="24"/>
        </w:rPr>
        <w:t xml:space="preserve">TFCR, VAT, PPT and CIT </w:t>
      </w:r>
      <w:r w:rsidR="00E676F7" w:rsidRPr="00E676F7">
        <w:rPr>
          <w:rFonts w:ascii="Times New Roman" w:hAnsi="Times New Roman"/>
          <w:color w:val="000000"/>
          <w:sz w:val="24"/>
          <w:szCs w:val="24"/>
        </w:rPr>
        <w:t xml:space="preserve">respectively. The measure of asymmetry of the distribution of the series around its mean that is, skewness of all the variables are positive with the exception of </w:t>
      </w:r>
      <w:r w:rsidR="00E676F7" w:rsidRPr="00E676F7">
        <w:rPr>
          <w:rFonts w:ascii="Times New Roman" w:hAnsi="Times New Roman"/>
          <w:sz w:val="24"/>
          <w:szCs w:val="24"/>
        </w:rPr>
        <w:t>TFCR</w:t>
      </w:r>
      <w:r w:rsidR="00E676F7" w:rsidRPr="00E676F7">
        <w:rPr>
          <w:rFonts w:ascii="Times New Roman" w:hAnsi="Times New Roman"/>
          <w:color w:val="000000"/>
          <w:sz w:val="24"/>
          <w:szCs w:val="24"/>
        </w:rPr>
        <w:t xml:space="preserve"> suggesting that all the variables in the model are positively skewed towards normality. The p-values of the </w:t>
      </w:r>
      <w:r w:rsidR="00E676F7" w:rsidRPr="00E676F7">
        <w:rPr>
          <w:rFonts w:ascii="Times New Roman" w:hAnsi="Times New Roman"/>
          <w:color w:val="000000"/>
          <w:sz w:val="24"/>
          <w:szCs w:val="24"/>
        </w:rPr>
        <w:lastRenderedPageBreak/>
        <w:t>Jarque-Bera for all the variables are significant at 5% level meaning that all the variables are normally distributed and free from any outlier that may affect the regression output.</w:t>
      </w:r>
    </w:p>
    <w:p w14:paraId="058843BA" w14:textId="31C04D8A" w:rsidR="0062084B" w:rsidRPr="00E676F7" w:rsidRDefault="001B60DC" w:rsidP="00E676F7">
      <w:pPr>
        <w:pBdr>
          <w:between w:val="single" w:sz="4" w:space="1" w:color="auto"/>
        </w:pBdr>
        <w:ind w:left="720"/>
        <w:jc w:val="center"/>
        <w:rPr>
          <w:b/>
          <w:sz w:val="18"/>
          <w:szCs w:val="18"/>
        </w:rPr>
      </w:pPr>
      <w:r>
        <w:rPr>
          <w:b/>
          <w:sz w:val="20"/>
          <w:szCs w:val="20"/>
        </w:rPr>
        <w:t>Table 1</w:t>
      </w:r>
      <w:r w:rsidR="0062084B" w:rsidRPr="00E676F7">
        <w:rPr>
          <w:b/>
          <w:sz w:val="20"/>
          <w:szCs w:val="20"/>
        </w:rPr>
        <w:t xml:space="preserve">: </w:t>
      </w:r>
      <w:r w:rsidR="0062084B" w:rsidRPr="00E676F7">
        <w:rPr>
          <w:b/>
          <w:sz w:val="18"/>
          <w:szCs w:val="18"/>
        </w:rPr>
        <w:t>Descriptive Properties of Data</w:t>
      </w:r>
    </w:p>
    <w:tbl>
      <w:tblPr>
        <w:tblW w:w="10080" w:type="dxa"/>
        <w:tblInd w:w="360" w:type="dxa"/>
        <w:tblBorders>
          <w:top w:val="single" w:sz="4" w:space="0" w:color="auto"/>
          <w:bottom w:val="single" w:sz="4" w:space="0" w:color="auto"/>
        </w:tblBorders>
        <w:tblLayout w:type="fixed"/>
        <w:tblLook w:val="04A0" w:firstRow="1" w:lastRow="0" w:firstColumn="1" w:lastColumn="0" w:noHBand="0" w:noVBand="1"/>
      </w:tblPr>
      <w:tblGrid>
        <w:gridCol w:w="720"/>
        <w:gridCol w:w="900"/>
        <w:gridCol w:w="900"/>
        <w:gridCol w:w="1080"/>
        <w:gridCol w:w="990"/>
        <w:gridCol w:w="900"/>
        <w:gridCol w:w="990"/>
        <w:gridCol w:w="900"/>
        <w:gridCol w:w="1260"/>
        <w:gridCol w:w="900"/>
        <w:gridCol w:w="540"/>
      </w:tblGrid>
      <w:tr w:rsidR="00E676F7" w:rsidRPr="00E676F7" w14:paraId="49B6040B" w14:textId="77777777" w:rsidTr="00E676F7">
        <w:tc>
          <w:tcPr>
            <w:tcW w:w="720" w:type="dxa"/>
            <w:tcBorders>
              <w:top w:val="single" w:sz="4" w:space="0" w:color="auto"/>
              <w:bottom w:val="single" w:sz="4" w:space="0" w:color="auto"/>
            </w:tcBorders>
            <w:shd w:val="clear" w:color="auto" w:fill="auto"/>
          </w:tcPr>
          <w:p w14:paraId="579AF522" w14:textId="77777777" w:rsidR="0062084B" w:rsidRPr="00E676F7" w:rsidRDefault="0062084B" w:rsidP="00E676F7">
            <w:pPr>
              <w:pBdr>
                <w:between w:val="single" w:sz="4" w:space="1" w:color="auto"/>
              </w:pBdr>
              <w:jc w:val="both"/>
              <w:rPr>
                <w:b/>
                <w:sz w:val="18"/>
                <w:szCs w:val="18"/>
              </w:rPr>
            </w:pPr>
          </w:p>
        </w:tc>
        <w:tc>
          <w:tcPr>
            <w:tcW w:w="900" w:type="dxa"/>
            <w:tcBorders>
              <w:top w:val="single" w:sz="4" w:space="0" w:color="auto"/>
              <w:bottom w:val="single" w:sz="4" w:space="0" w:color="auto"/>
            </w:tcBorders>
            <w:vAlign w:val="bottom"/>
          </w:tcPr>
          <w:p w14:paraId="6EBB0CE3" w14:textId="77777777" w:rsidR="0062084B" w:rsidRPr="00E676F7" w:rsidRDefault="0062084B" w:rsidP="00E676F7">
            <w:pPr>
              <w:pBdr>
                <w:between w:val="single" w:sz="4" w:space="1" w:color="auto"/>
              </w:pBdr>
              <w:autoSpaceDE w:val="0"/>
              <w:autoSpaceDN w:val="0"/>
              <w:adjustRightInd w:val="0"/>
              <w:jc w:val="both"/>
              <w:rPr>
                <w:b/>
                <w:color w:val="000000"/>
                <w:sz w:val="18"/>
                <w:szCs w:val="18"/>
              </w:rPr>
            </w:pPr>
            <w:r w:rsidRPr="00E676F7">
              <w:rPr>
                <w:b/>
                <w:color w:val="000000"/>
                <w:sz w:val="18"/>
                <w:szCs w:val="18"/>
              </w:rPr>
              <w:t>Mean</w:t>
            </w:r>
          </w:p>
        </w:tc>
        <w:tc>
          <w:tcPr>
            <w:tcW w:w="900" w:type="dxa"/>
            <w:tcBorders>
              <w:top w:val="single" w:sz="4" w:space="0" w:color="auto"/>
              <w:bottom w:val="single" w:sz="4" w:space="0" w:color="auto"/>
            </w:tcBorders>
            <w:vAlign w:val="bottom"/>
          </w:tcPr>
          <w:p w14:paraId="18EA641E" w14:textId="77777777" w:rsidR="0062084B" w:rsidRPr="00E676F7" w:rsidRDefault="0062084B" w:rsidP="00E676F7">
            <w:pPr>
              <w:pBdr>
                <w:between w:val="single" w:sz="4" w:space="1" w:color="auto"/>
              </w:pBdr>
              <w:autoSpaceDE w:val="0"/>
              <w:autoSpaceDN w:val="0"/>
              <w:adjustRightInd w:val="0"/>
              <w:jc w:val="both"/>
              <w:rPr>
                <w:b/>
                <w:color w:val="000000"/>
                <w:sz w:val="18"/>
                <w:szCs w:val="18"/>
              </w:rPr>
            </w:pPr>
            <w:r w:rsidRPr="00E676F7">
              <w:rPr>
                <w:b/>
                <w:color w:val="000000"/>
                <w:sz w:val="18"/>
                <w:szCs w:val="18"/>
              </w:rPr>
              <w:t>Median</w:t>
            </w:r>
          </w:p>
        </w:tc>
        <w:tc>
          <w:tcPr>
            <w:tcW w:w="1080" w:type="dxa"/>
            <w:tcBorders>
              <w:top w:val="single" w:sz="4" w:space="0" w:color="auto"/>
              <w:bottom w:val="single" w:sz="4" w:space="0" w:color="auto"/>
            </w:tcBorders>
            <w:vAlign w:val="bottom"/>
          </w:tcPr>
          <w:p w14:paraId="730F8BEB" w14:textId="77777777" w:rsidR="0062084B" w:rsidRPr="00E676F7" w:rsidRDefault="0062084B" w:rsidP="00E676F7">
            <w:pPr>
              <w:pBdr>
                <w:between w:val="single" w:sz="4" w:space="1" w:color="auto"/>
              </w:pBdr>
              <w:autoSpaceDE w:val="0"/>
              <w:autoSpaceDN w:val="0"/>
              <w:adjustRightInd w:val="0"/>
              <w:jc w:val="both"/>
              <w:rPr>
                <w:b/>
                <w:color w:val="000000"/>
                <w:sz w:val="18"/>
                <w:szCs w:val="18"/>
              </w:rPr>
            </w:pPr>
            <w:r w:rsidRPr="00E676F7">
              <w:rPr>
                <w:b/>
                <w:color w:val="000000"/>
                <w:sz w:val="18"/>
                <w:szCs w:val="18"/>
              </w:rPr>
              <w:t>Maximum</w:t>
            </w:r>
          </w:p>
        </w:tc>
        <w:tc>
          <w:tcPr>
            <w:tcW w:w="990" w:type="dxa"/>
            <w:tcBorders>
              <w:top w:val="single" w:sz="4" w:space="0" w:color="auto"/>
              <w:bottom w:val="single" w:sz="4" w:space="0" w:color="auto"/>
            </w:tcBorders>
            <w:vAlign w:val="bottom"/>
          </w:tcPr>
          <w:p w14:paraId="367798FA" w14:textId="77777777" w:rsidR="0062084B" w:rsidRPr="00E676F7" w:rsidRDefault="0062084B" w:rsidP="00E676F7">
            <w:pPr>
              <w:pBdr>
                <w:between w:val="single" w:sz="4" w:space="1" w:color="auto"/>
              </w:pBdr>
              <w:autoSpaceDE w:val="0"/>
              <w:autoSpaceDN w:val="0"/>
              <w:adjustRightInd w:val="0"/>
              <w:jc w:val="both"/>
              <w:rPr>
                <w:b/>
                <w:color w:val="000000"/>
                <w:sz w:val="18"/>
                <w:szCs w:val="18"/>
              </w:rPr>
            </w:pPr>
            <w:r w:rsidRPr="00E676F7">
              <w:rPr>
                <w:b/>
                <w:color w:val="000000"/>
                <w:sz w:val="18"/>
                <w:szCs w:val="18"/>
              </w:rPr>
              <w:t>Minimum</w:t>
            </w:r>
          </w:p>
        </w:tc>
        <w:tc>
          <w:tcPr>
            <w:tcW w:w="900" w:type="dxa"/>
            <w:tcBorders>
              <w:top w:val="single" w:sz="4" w:space="0" w:color="auto"/>
              <w:bottom w:val="single" w:sz="4" w:space="0" w:color="auto"/>
            </w:tcBorders>
            <w:vAlign w:val="bottom"/>
          </w:tcPr>
          <w:p w14:paraId="25348A29" w14:textId="77777777" w:rsidR="0062084B" w:rsidRPr="00E676F7" w:rsidRDefault="0062084B" w:rsidP="00E676F7">
            <w:pPr>
              <w:pBdr>
                <w:between w:val="single" w:sz="4" w:space="1" w:color="auto"/>
              </w:pBdr>
              <w:autoSpaceDE w:val="0"/>
              <w:autoSpaceDN w:val="0"/>
              <w:adjustRightInd w:val="0"/>
              <w:jc w:val="both"/>
              <w:rPr>
                <w:b/>
                <w:color w:val="000000"/>
                <w:sz w:val="18"/>
                <w:szCs w:val="18"/>
              </w:rPr>
            </w:pPr>
            <w:r w:rsidRPr="00E676F7">
              <w:rPr>
                <w:b/>
                <w:color w:val="000000"/>
                <w:sz w:val="18"/>
                <w:szCs w:val="18"/>
              </w:rPr>
              <w:t>Std. Dev.</w:t>
            </w:r>
          </w:p>
        </w:tc>
        <w:tc>
          <w:tcPr>
            <w:tcW w:w="990" w:type="dxa"/>
            <w:tcBorders>
              <w:top w:val="single" w:sz="4" w:space="0" w:color="auto"/>
              <w:bottom w:val="single" w:sz="4" w:space="0" w:color="auto"/>
            </w:tcBorders>
            <w:vAlign w:val="bottom"/>
          </w:tcPr>
          <w:p w14:paraId="6BA50A7A" w14:textId="77777777" w:rsidR="0062084B" w:rsidRPr="00E676F7" w:rsidRDefault="0062084B" w:rsidP="00E676F7">
            <w:pPr>
              <w:pBdr>
                <w:between w:val="single" w:sz="4" w:space="1" w:color="auto"/>
              </w:pBdr>
              <w:autoSpaceDE w:val="0"/>
              <w:autoSpaceDN w:val="0"/>
              <w:adjustRightInd w:val="0"/>
              <w:jc w:val="both"/>
              <w:rPr>
                <w:b/>
                <w:color w:val="000000"/>
                <w:sz w:val="18"/>
                <w:szCs w:val="18"/>
              </w:rPr>
            </w:pPr>
            <w:r w:rsidRPr="00E676F7">
              <w:rPr>
                <w:b/>
                <w:color w:val="000000"/>
                <w:sz w:val="18"/>
                <w:szCs w:val="18"/>
              </w:rPr>
              <w:t>Skewness</w:t>
            </w:r>
          </w:p>
        </w:tc>
        <w:tc>
          <w:tcPr>
            <w:tcW w:w="900" w:type="dxa"/>
            <w:tcBorders>
              <w:top w:val="single" w:sz="4" w:space="0" w:color="auto"/>
              <w:bottom w:val="single" w:sz="4" w:space="0" w:color="auto"/>
            </w:tcBorders>
            <w:shd w:val="clear" w:color="auto" w:fill="auto"/>
            <w:vAlign w:val="bottom"/>
          </w:tcPr>
          <w:p w14:paraId="358FE461" w14:textId="77777777" w:rsidR="0062084B" w:rsidRPr="00E676F7" w:rsidRDefault="0062084B" w:rsidP="00E676F7">
            <w:pPr>
              <w:pBdr>
                <w:between w:val="single" w:sz="4" w:space="1" w:color="auto"/>
              </w:pBdr>
              <w:autoSpaceDE w:val="0"/>
              <w:autoSpaceDN w:val="0"/>
              <w:adjustRightInd w:val="0"/>
              <w:jc w:val="both"/>
              <w:rPr>
                <w:b/>
                <w:color w:val="000000"/>
                <w:sz w:val="18"/>
                <w:szCs w:val="18"/>
              </w:rPr>
            </w:pPr>
            <w:r w:rsidRPr="00E676F7">
              <w:rPr>
                <w:b/>
                <w:color w:val="000000"/>
                <w:sz w:val="18"/>
                <w:szCs w:val="18"/>
              </w:rPr>
              <w:t>Kurtosis</w:t>
            </w:r>
          </w:p>
        </w:tc>
        <w:tc>
          <w:tcPr>
            <w:tcW w:w="1260" w:type="dxa"/>
            <w:tcBorders>
              <w:top w:val="single" w:sz="4" w:space="0" w:color="auto"/>
              <w:bottom w:val="single" w:sz="4" w:space="0" w:color="auto"/>
            </w:tcBorders>
          </w:tcPr>
          <w:p w14:paraId="6C393307" w14:textId="77777777" w:rsidR="0062084B" w:rsidRPr="00E676F7" w:rsidRDefault="0062084B" w:rsidP="00E676F7">
            <w:pPr>
              <w:pBdr>
                <w:between w:val="single" w:sz="4" w:space="1" w:color="auto"/>
              </w:pBdr>
              <w:autoSpaceDE w:val="0"/>
              <w:autoSpaceDN w:val="0"/>
              <w:adjustRightInd w:val="0"/>
              <w:jc w:val="both"/>
              <w:rPr>
                <w:b/>
                <w:color w:val="000000"/>
                <w:sz w:val="18"/>
                <w:szCs w:val="18"/>
              </w:rPr>
            </w:pPr>
            <w:r w:rsidRPr="00E676F7">
              <w:rPr>
                <w:b/>
                <w:color w:val="000000"/>
                <w:sz w:val="18"/>
                <w:szCs w:val="18"/>
              </w:rPr>
              <w:t>Jarque-Bera</w:t>
            </w:r>
          </w:p>
        </w:tc>
        <w:tc>
          <w:tcPr>
            <w:tcW w:w="900" w:type="dxa"/>
            <w:tcBorders>
              <w:top w:val="single" w:sz="4" w:space="0" w:color="auto"/>
              <w:bottom w:val="single" w:sz="4" w:space="0" w:color="auto"/>
            </w:tcBorders>
          </w:tcPr>
          <w:p w14:paraId="696792EB" w14:textId="77777777" w:rsidR="0062084B" w:rsidRPr="00E676F7" w:rsidRDefault="0062084B" w:rsidP="00E676F7">
            <w:pPr>
              <w:pBdr>
                <w:between w:val="single" w:sz="4" w:space="1" w:color="auto"/>
              </w:pBdr>
              <w:autoSpaceDE w:val="0"/>
              <w:autoSpaceDN w:val="0"/>
              <w:adjustRightInd w:val="0"/>
              <w:jc w:val="both"/>
              <w:rPr>
                <w:b/>
                <w:color w:val="000000"/>
                <w:sz w:val="18"/>
                <w:szCs w:val="18"/>
              </w:rPr>
            </w:pPr>
            <w:r w:rsidRPr="00E676F7">
              <w:rPr>
                <w:b/>
                <w:color w:val="000000"/>
                <w:sz w:val="18"/>
                <w:szCs w:val="18"/>
              </w:rPr>
              <w:t>P-value</w:t>
            </w:r>
          </w:p>
        </w:tc>
        <w:tc>
          <w:tcPr>
            <w:tcW w:w="540" w:type="dxa"/>
            <w:tcBorders>
              <w:top w:val="single" w:sz="4" w:space="0" w:color="auto"/>
              <w:bottom w:val="single" w:sz="4" w:space="0" w:color="auto"/>
            </w:tcBorders>
          </w:tcPr>
          <w:p w14:paraId="457C397B" w14:textId="77777777" w:rsidR="0062084B" w:rsidRPr="00E676F7" w:rsidRDefault="0062084B" w:rsidP="00E676F7">
            <w:pPr>
              <w:pBdr>
                <w:between w:val="single" w:sz="4" w:space="1" w:color="auto"/>
              </w:pBdr>
              <w:autoSpaceDE w:val="0"/>
              <w:autoSpaceDN w:val="0"/>
              <w:adjustRightInd w:val="0"/>
              <w:jc w:val="both"/>
              <w:rPr>
                <w:b/>
                <w:color w:val="000000"/>
                <w:sz w:val="18"/>
                <w:szCs w:val="18"/>
              </w:rPr>
            </w:pPr>
            <w:proofErr w:type="spellStart"/>
            <w:r w:rsidRPr="00E676F7">
              <w:rPr>
                <w:b/>
                <w:color w:val="000000"/>
                <w:sz w:val="18"/>
                <w:szCs w:val="18"/>
              </w:rPr>
              <w:t>Obs</w:t>
            </w:r>
            <w:proofErr w:type="spellEnd"/>
          </w:p>
        </w:tc>
      </w:tr>
      <w:tr w:rsidR="00E676F7" w:rsidRPr="00E676F7" w14:paraId="3B43C88C" w14:textId="77777777" w:rsidTr="00E676F7">
        <w:tc>
          <w:tcPr>
            <w:tcW w:w="720" w:type="dxa"/>
            <w:shd w:val="clear" w:color="auto" w:fill="auto"/>
            <w:vAlign w:val="bottom"/>
          </w:tcPr>
          <w:p w14:paraId="66C5E419" w14:textId="77777777" w:rsidR="0062084B" w:rsidRPr="00E676F7" w:rsidRDefault="0062084B" w:rsidP="00E676F7">
            <w:pPr>
              <w:pBdr>
                <w:between w:val="single" w:sz="4" w:space="1" w:color="auto"/>
              </w:pBdr>
              <w:autoSpaceDE w:val="0"/>
              <w:autoSpaceDN w:val="0"/>
              <w:adjustRightInd w:val="0"/>
              <w:rPr>
                <w:color w:val="000000"/>
                <w:sz w:val="18"/>
                <w:szCs w:val="18"/>
              </w:rPr>
            </w:pPr>
            <w:r w:rsidRPr="00E676F7">
              <w:rPr>
                <w:color w:val="000000"/>
                <w:sz w:val="18"/>
                <w:szCs w:val="18"/>
              </w:rPr>
              <w:t>TFCR</w:t>
            </w:r>
          </w:p>
        </w:tc>
        <w:tc>
          <w:tcPr>
            <w:tcW w:w="900" w:type="dxa"/>
            <w:vAlign w:val="bottom"/>
          </w:tcPr>
          <w:p w14:paraId="50CC8592" w14:textId="77777777" w:rsidR="0062084B" w:rsidRPr="00E676F7" w:rsidRDefault="0062084B" w:rsidP="00E676F7">
            <w:pPr>
              <w:autoSpaceDE w:val="0"/>
              <w:autoSpaceDN w:val="0"/>
              <w:adjustRightInd w:val="0"/>
              <w:rPr>
                <w:color w:val="000000"/>
                <w:sz w:val="18"/>
                <w:szCs w:val="18"/>
              </w:rPr>
            </w:pPr>
            <w:r w:rsidRPr="00E676F7">
              <w:rPr>
                <w:color w:val="000000"/>
                <w:sz w:val="18"/>
                <w:szCs w:val="18"/>
              </w:rPr>
              <w:t>8327420</w:t>
            </w:r>
          </w:p>
        </w:tc>
        <w:tc>
          <w:tcPr>
            <w:tcW w:w="900" w:type="dxa"/>
            <w:vAlign w:val="bottom"/>
          </w:tcPr>
          <w:p w14:paraId="512D20DB" w14:textId="77777777" w:rsidR="0062084B" w:rsidRPr="00E676F7" w:rsidRDefault="0062084B" w:rsidP="00E676F7">
            <w:pPr>
              <w:pBdr>
                <w:between w:val="single" w:sz="4" w:space="1" w:color="auto"/>
              </w:pBdr>
              <w:autoSpaceDE w:val="0"/>
              <w:autoSpaceDN w:val="0"/>
              <w:adjustRightInd w:val="0"/>
              <w:jc w:val="both"/>
              <w:rPr>
                <w:color w:val="000000"/>
                <w:sz w:val="18"/>
                <w:szCs w:val="18"/>
              </w:rPr>
            </w:pPr>
            <w:r w:rsidRPr="00E676F7">
              <w:rPr>
                <w:color w:val="000000"/>
                <w:sz w:val="18"/>
                <w:szCs w:val="18"/>
              </w:rPr>
              <w:t>8498400</w:t>
            </w:r>
          </w:p>
        </w:tc>
        <w:tc>
          <w:tcPr>
            <w:tcW w:w="1080" w:type="dxa"/>
            <w:vAlign w:val="bottom"/>
          </w:tcPr>
          <w:p w14:paraId="4B526433" w14:textId="77777777" w:rsidR="0062084B" w:rsidRPr="00E676F7" w:rsidRDefault="0062084B" w:rsidP="00E676F7">
            <w:pPr>
              <w:pBdr>
                <w:between w:val="single" w:sz="4" w:space="1" w:color="auto"/>
              </w:pBdr>
              <w:autoSpaceDE w:val="0"/>
              <w:autoSpaceDN w:val="0"/>
              <w:adjustRightInd w:val="0"/>
              <w:jc w:val="both"/>
              <w:rPr>
                <w:color w:val="000000"/>
                <w:sz w:val="18"/>
                <w:szCs w:val="18"/>
              </w:rPr>
            </w:pPr>
            <w:r w:rsidRPr="00E676F7">
              <w:rPr>
                <w:color w:val="000000"/>
                <w:sz w:val="18"/>
                <w:szCs w:val="18"/>
              </w:rPr>
              <w:t>11116850</w:t>
            </w:r>
          </w:p>
        </w:tc>
        <w:tc>
          <w:tcPr>
            <w:tcW w:w="990" w:type="dxa"/>
            <w:vAlign w:val="bottom"/>
          </w:tcPr>
          <w:p w14:paraId="32DACEEC" w14:textId="77777777" w:rsidR="0062084B" w:rsidRPr="00E676F7" w:rsidRDefault="0062084B" w:rsidP="00E676F7">
            <w:pPr>
              <w:pBdr>
                <w:between w:val="single" w:sz="4" w:space="1" w:color="auto"/>
              </w:pBdr>
              <w:autoSpaceDE w:val="0"/>
              <w:autoSpaceDN w:val="0"/>
              <w:adjustRightInd w:val="0"/>
              <w:jc w:val="both"/>
              <w:rPr>
                <w:color w:val="000000"/>
                <w:sz w:val="18"/>
                <w:szCs w:val="18"/>
              </w:rPr>
            </w:pPr>
            <w:r w:rsidRPr="00E676F7">
              <w:rPr>
                <w:color w:val="000000"/>
                <w:sz w:val="18"/>
                <w:szCs w:val="18"/>
              </w:rPr>
              <w:t>4844590</w:t>
            </w:r>
          </w:p>
        </w:tc>
        <w:tc>
          <w:tcPr>
            <w:tcW w:w="900" w:type="dxa"/>
            <w:vAlign w:val="bottom"/>
          </w:tcPr>
          <w:p w14:paraId="0F40F7C6" w14:textId="77777777" w:rsidR="0062084B" w:rsidRPr="00E676F7" w:rsidRDefault="0062084B" w:rsidP="00E676F7">
            <w:pPr>
              <w:pBdr>
                <w:between w:val="single" w:sz="4" w:space="1" w:color="auto"/>
              </w:pBdr>
              <w:autoSpaceDE w:val="0"/>
              <w:autoSpaceDN w:val="0"/>
              <w:adjustRightInd w:val="0"/>
              <w:jc w:val="both"/>
              <w:rPr>
                <w:color w:val="000000"/>
                <w:sz w:val="18"/>
                <w:szCs w:val="18"/>
              </w:rPr>
            </w:pPr>
            <w:r w:rsidRPr="00E676F7">
              <w:rPr>
                <w:color w:val="000000"/>
                <w:sz w:val="18"/>
                <w:szCs w:val="18"/>
              </w:rPr>
              <w:t>2188079</w:t>
            </w:r>
          </w:p>
        </w:tc>
        <w:tc>
          <w:tcPr>
            <w:tcW w:w="990" w:type="dxa"/>
            <w:vAlign w:val="bottom"/>
          </w:tcPr>
          <w:p w14:paraId="4A6E17B5" w14:textId="77777777" w:rsidR="0062084B" w:rsidRPr="00E676F7" w:rsidRDefault="0062084B" w:rsidP="00E676F7">
            <w:pPr>
              <w:pBdr>
                <w:between w:val="single" w:sz="4" w:space="1" w:color="auto"/>
              </w:pBdr>
              <w:autoSpaceDE w:val="0"/>
              <w:autoSpaceDN w:val="0"/>
              <w:adjustRightInd w:val="0"/>
              <w:jc w:val="both"/>
              <w:rPr>
                <w:color w:val="000000"/>
                <w:sz w:val="18"/>
                <w:szCs w:val="18"/>
              </w:rPr>
            </w:pPr>
            <w:r w:rsidRPr="00E676F7">
              <w:rPr>
                <w:color w:val="000000"/>
                <w:sz w:val="18"/>
                <w:szCs w:val="18"/>
              </w:rPr>
              <w:t>-0.250427</w:t>
            </w:r>
          </w:p>
        </w:tc>
        <w:tc>
          <w:tcPr>
            <w:tcW w:w="900" w:type="dxa"/>
            <w:shd w:val="clear" w:color="auto" w:fill="auto"/>
            <w:vAlign w:val="bottom"/>
          </w:tcPr>
          <w:p w14:paraId="7C905E1B" w14:textId="77777777" w:rsidR="0062084B" w:rsidRPr="00E676F7" w:rsidRDefault="0062084B" w:rsidP="00E676F7">
            <w:pPr>
              <w:pBdr>
                <w:between w:val="single" w:sz="4" w:space="1" w:color="auto"/>
              </w:pBdr>
              <w:autoSpaceDE w:val="0"/>
              <w:autoSpaceDN w:val="0"/>
              <w:adjustRightInd w:val="0"/>
              <w:jc w:val="both"/>
              <w:rPr>
                <w:color w:val="000000"/>
                <w:sz w:val="18"/>
                <w:szCs w:val="18"/>
              </w:rPr>
            </w:pPr>
            <w:r w:rsidRPr="00E676F7">
              <w:rPr>
                <w:color w:val="000000"/>
                <w:sz w:val="18"/>
                <w:szCs w:val="18"/>
              </w:rPr>
              <w:t>1.682591</w:t>
            </w:r>
          </w:p>
        </w:tc>
        <w:tc>
          <w:tcPr>
            <w:tcW w:w="1260" w:type="dxa"/>
          </w:tcPr>
          <w:p w14:paraId="49772C77" w14:textId="77777777" w:rsidR="0062084B" w:rsidRPr="00E676F7" w:rsidRDefault="0062084B" w:rsidP="00E676F7">
            <w:pPr>
              <w:pBdr>
                <w:between w:val="single" w:sz="4" w:space="1" w:color="auto"/>
              </w:pBdr>
              <w:autoSpaceDE w:val="0"/>
              <w:autoSpaceDN w:val="0"/>
              <w:adjustRightInd w:val="0"/>
              <w:jc w:val="both"/>
              <w:rPr>
                <w:color w:val="000000"/>
                <w:sz w:val="18"/>
                <w:szCs w:val="18"/>
              </w:rPr>
            </w:pPr>
            <w:r w:rsidRPr="00E676F7">
              <w:rPr>
                <w:color w:val="000000"/>
                <w:sz w:val="18"/>
                <w:szCs w:val="18"/>
              </w:rPr>
              <w:t>10.82767</w:t>
            </w:r>
          </w:p>
        </w:tc>
        <w:tc>
          <w:tcPr>
            <w:tcW w:w="900" w:type="dxa"/>
          </w:tcPr>
          <w:p w14:paraId="7BF1B867" w14:textId="77777777" w:rsidR="0062084B" w:rsidRPr="00E676F7" w:rsidRDefault="0062084B" w:rsidP="00E676F7">
            <w:pPr>
              <w:pBdr>
                <w:between w:val="single" w:sz="4" w:space="1" w:color="auto"/>
              </w:pBdr>
              <w:autoSpaceDE w:val="0"/>
              <w:autoSpaceDN w:val="0"/>
              <w:adjustRightInd w:val="0"/>
              <w:jc w:val="both"/>
              <w:rPr>
                <w:color w:val="000000"/>
                <w:sz w:val="18"/>
                <w:szCs w:val="18"/>
              </w:rPr>
            </w:pPr>
            <w:r w:rsidRPr="00E676F7">
              <w:rPr>
                <w:color w:val="000000"/>
                <w:sz w:val="18"/>
                <w:szCs w:val="18"/>
              </w:rPr>
              <w:t>0.001108</w:t>
            </w:r>
          </w:p>
        </w:tc>
        <w:tc>
          <w:tcPr>
            <w:tcW w:w="540" w:type="dxa"/>
          </w:tcPr>
          <w:p w14:paraId="033C4C32" w14:textId="77777777" w:rsidR="0062084B" w:rsidRPr="00E676F7" w:rsidRDefault="00E676F7" w:rsidP="00E676F7">
            <w:pPr>
              <w:rPr>
                <w:sz w:val="18"/>
                <w:szCs w:val="18"/>
              </w:rPr>
            </w:pPr>
            <w:r w:rsidRPr="00E676F7">
              <w:rPr>
                <w:sz w:val="18"/>
                <w:szCs w:val="18"/>
              </w:rPr>
              <w:t>17</w:t>
            </w:r>
          </w:p>
        </w:tc>
      </w:tr>
      <w:tr w:rsidR="00E676F7" w:rsidRPr="00E676F7" w14:paraId="5140A26A" w14:textId="77777777" w:rsidTr="00E676F7">
        <w:tc>
          <w:tcPr>
            <w:tcW w:w="720" w:type="dxa"/>
            <w:shd w:val="clear" w:color="auto" w:fill="auto"/>
            <w:vAlign w:val="bottom"/>
          </w:tcPr>
          <w:p w14:paraId="3271670C" w14:textId="77777777" w:rsidR="0062084B" w:rsidRPr="00E676F7" w:rsidRDefault="0062084B" w:rsidP="00E676F7">
            <w:pPr>
              <w:pBdr>
                <w:between w:val="single" w:sz="4" w:space="1" w:color="auto"/>
              </w:pBdr>
              <w:autoSpaceDE w:val="0"/>
              <w:autoSpaceDN w:val="0"/>
              <w:adjustRightInd w:val="0"/>
              <w:rPr>
                <w:color w:val="000000"/>
                <w:sz w:val="18"/>
                <w:szCs w:val="18"/>
              </w:rPr>
            </w:pPr>
            <w:r w:rsidRPr="00E676F7">
              <w:rPr>
                <w:color w:val="000000"/>
                <w:sz w:val="18"/>
                <w:szCs w:val="18"/>
              </w:rPr>
              <w:t>PPT</w:t>
            </w:r>
          </w:p>
        </w:tc>
        <w:tc>
          <w:tcPr>
            <w:tcW w:w="900" w:type="dxa"/>
            <w:vAlign w:val="bottom"/>
          </w:tcPr>
          <w:p w14:paraId="438B0D14" w14:textId="77777777" w:rsidR="0062084B" w:rsidRPr="00E676F7" w:rsidRDefault="0062084B" w:rsidP="00E676F7">
            <w:pPr>
              <w:autoSpaceDE w:val="0"/>
              <w:autoSpaceDN w:val="0"/>
              <w:adjustRightInd w:val="0"/>
              <w:rPr>
                <w:color w:val="000000"/>
                <w:sz w:val="18"/>
                <w:szCs w:val="18"/>
              </w:rPr>
            </w:pPr>
            <w:r w:rsidRPr="00E676F7">
              <w:rPr>
                <w:color w:val="000000"/>
                <w:sz w:val="18"/>
                <w:szCs w:val="18"/>
              </w:rPr>
              <w:t>2024787</w:t>
            </w:r>
          </w:p>
        </w:tc>
        <w:tc>
          <w:tcPr>
            <w:tcW w:w="900" w:type="dxa"/>
            <w:vAlign w:val="bottom"/>
          </w:tcPr>
          <w:p w14:paraId="48818A50" w14:textId="77777777" w:rsidR="0062084B" w:rsidRPr="00E676F7" w:rsidRDefault="0062084B" w:rsidP="00E676F7">
            <w:pPr>
              <w:pBdr>
                <w:between w:val="single" w:sz="4" w:space="1" w:color="auto"/>
              </w:pBdr>
              <w:autoSpaceDE w:val="0"/>
              <w:autoSpaceDN w:val="0"/>
              <w:adjustRightInd w:val="0"/>
              <w:jc w:val="both"/>
              <w:rPr>
                <w:color w:val="000000"/>
                <w:sz w:val="18"/>
                <w:szCs w:val="18"/>
              </w:rPr>
            </w:pPr>
            <w:r w:rsidRPr="00E676F7">
              <w:rPr>
                <w:color w:val="000000"/>
                <w:sz w:val="18"/>
                <w:szCs w:val="18"/>
              </w:rPr>
              <w:t>1987191</w:t>
            </w:r>
          </w:p>
        </w:tc>
        <w:tc>
          <w:tcPr>
            <w:tcW w:w="1080" w:type="dxa"/>
            <w:vAlign w:val="bottom"/>
          </w:tcPr>
          <w:p w14:paraId="2CA3F4EF" w14:textId="77777777" w:rsidR="0062084B" w:rsidRPr="00E676F7" w:rsidRDefault="0062084B" w:rsidP="00E676F7">
            <w:pPr>
              <w:pBdr>
                <w:between w:val="single" w:sz="4" w:space="1" w:color="auto"/>
              </w:pBdr>
              <w:autoSpaceDE w:val="0"/>
              <w:autoSpaceDN w:val="0"/>
              <w:adjustRightInd w:val="0"/>
              <w:jc w:val="both"/>
              <w:rPr>
                <w:color w:val="000000"/>
                <w:sz w:val="18"/>
                <w:szCs w:val="18"/>
              </w:rPr>
            </w:pPr>
            <w:r w:rsidRPr="00E676F7">
              <w:rPr>
                <w:color w:val="000000"/>
                <w:sz w:val="18"/>
                <w:szCs w:val="18"/>
              </w:rPr>
              <w:t>3201300</w:t>
            </w:r>
          </w:p>
        </w:tc>
        <w:tc>
          <w:tcPr>
            <w:tcW w:w="990" w:type="dxa"/>
            <w:vAlign w:val="bottom"/>
          </w:tcPr>
          <w:p w14:paraId="28F82E72" w14:textId="77777777" w:rsidR="0062084B" w:rsidRPr="00E676F7" w:rsidRDefault="0062084B" w:rsidP="00E676F7">
            <w:pPr>
              <w:pBdr>
                <w:between w:val="single" w:sz="4" w:space="1" w:color="auto"/>
              </w:pBdr>
              <w:autoSpaceDE w:val="0"/>
              <w:autoSpaceDN w:val="0"/>
              <w:adjustRightInd w:val="0"/>
              <w:jc w:val="both"/>
              <w:rPr>
                <w:color w:val="000000"/>
                <w:sz w:val="18"/>
                <w:szCs w:val="18"/>
              </w:rPr>
            </w:pPr>
            <w:r w:rsidRPr="00E676F7">
              <w:rPr>
                <w:color w:val="000000"/>
                <w:sz w:val="18"/>
                <w:szCs w:val="18"/>
              </w:rPr>
              <w:t>939400.0</w:t>
            </w:r>
          </w:p>
        </w:tc>
        <w:tc>
          <w:tcPr>
            <w:tcW w:w="900" w:type="dxa"/>
            <w:vAlign w:val="bottom"/>
          </w:tcPr>
          <w:p w14:paraId="541A990A" w14:textId="77777777" w:rsidR="0062084B" w:rsidRPr="00E676F7" w:rsidRDefault="0062084B" w:rsidP="00E676F7">
            <w:pPr>
              <w:pBdr>
                <w:between w:val="single" w:sz="4" w:space="1" w:color="auto"/>
              </w:pBdr>
              <w:autoSpaceDE w:val="0"/>
              <w:autoSpaceDN w:val="0"/>
              <w:adjustRightInd w:val="0"/>
              <w:jc w:val="both"/>
              <w:rPr>
                <w:color w:val="000000"/>
                <w:sz w:val="18"/>
                <w:szCs w:val="18"/>
              </w:rPr>
            </w:pPr>
            <w:r w:rsidRPr="00E676F7">
              <w:rPr>
                <w:color w:val="000000"/>
                <w:sz w:val="18"/>
                <w:szCs w:val="18"/>
              </w:rPr>
              <w:t>836001.7</w:t>
            </w:r>
          </w:p>
        </w:tc>
        <w:tc>
          <w:tcPr>
            <w:tcW w:w="990" w:type="dxa"/>
            <w:vAlign w:val="bottom"/>
          </w:tcPr>
          <w:p w14:paraId="1B6DF55E" w14:textId="77777777" w:rsidR="0062084B" w:rsidRPr="00E676F7" w:rsidRDefault="0062084B" w:rsidP="00E676F7">
            <w:pPr>
              <w:pBdr>
                <w:between w:val="single" w:sz="4" w:space="1" w:color="auto"/>
              </w:pBdr>
              <w:autoSpaceDE w:val="0"/>
              <w:autoSpaceDN w:val="0"/>
              <w:adjustRightInd w:val="0"/>
              <w:jc w:val="both"/>
              <w:rPr>
                <w:color w:val="000000"/>
                <w:sz w:val="18"/>
                <w:szCs w:val="18"/>
              </w:rPr>
            </w:pPr>
            <w:r w:rsidRPr="00E676F7">
              <w:rPr>
                <w:color w:val="000000"/>
                <w:sz w:val="18"/>
                <w:szCs w:val="18"/>
              </w:rPr>
              <w:t xml:space="preserve"> 0.117400</w:t>
            </w:r>
          </w:p>
        </w:tc>
        <w:tc>
          <w:tcPr>
            <w:tcW w:w="900" w:type="dxa"/>
            <w:shd w:val="clear" w:color="auto" w:fill="auto"/>
            <w:vAlign w:val="bottom"/>
          </w:tcPr>
          <w:p w14:paraId="646ADDBB" w14:textId="77777777" w:rsidR="0062084B" w:rsidRPr="00E676F7" w:rsidRDefault="0062084B" w:rsidP="00E676F7">
            <w:pPr>
              <w:pBdr>
                <w:between w:val="single" w:sz="4" w:space="1" w:color="auto"/>
              </w:pBdr>
              <w:autoSpaceDE w:val="0"/>
              <w:autoSpaceDN w:val="0"/>
              <w:adjustRightInd w:val="0"/>
              <w:jc w:val="both"/>
              <w:rPr>
                <w:color w:val="000000"/>
                <w:sz w:val="18"/>
                <w:szCs w:val="18"/>
              </w:rPr>
            </w:pPr>
            <w:r w:rsidRPr="00E676F7">
              <w:rPr>
                <w:color w:val="000000"/>
                <w:sz w:val="18"/>
                <w:szCs w:val="18"/>
              </w:rPr>
              <w:t>1.453510</w:t>
            </w:r>
          </w:p>
        </w:tc>
        <w:tc>
          <w:tcPr>
            <w:tcW w:w="1260" w:type="dxa"/>
          </w:tcPr>
          <w:p w14:paraId="72C92CD1" w14:textId="77777777" w:rsidR="0062084B" w:rsidRPr="00E676F7" w:rsidRDefault="0062084B" w:rsidP="00E676F7">
            <w:pPr>
              <w:pBdr>
                <w:between w:val="single" w:sz="4" w:space="1" w:color="auto"/>
              </w:pBdr>
              <w:autoSpaceDE w:val="0"/>
              <w:autoSpaceDN w:val="0"/>
              <w:adjustRightInd w:val="0"/>
              <w:jc w:val="both"/>
              <w:rPr>
                <w:color w:val="000000"/>
                <w:sz w:val="18"/>
                <w:szCs w:val="18"/>
              </w:rPr>
            </w:pPr>
            <w:r w:rsidRPr="00E676F7">
              <w:rPr>
                <w:color w:val="000000"/>
                <w:sz w:val="18"/>
                <w:szCs w:val="18"/>
              </w:rPr>
              <w:t>7.019484</w:t>
            </w:r>
          </w:p>
        </w:tc>
        <w:tc>
          <w:tcPr>
            <w:tcW w:w="900" w:type="dxa"/>
          </w:tcPr>
          <w:p w14:paraId="2AC93E9F" w14:textId="77777777" w:rsidR="0062084B" w:rsidRPr="00E676F7" w:rsidRDefault="0062084B" w:rsidP="00E676F7">
            <w:pPr>
              <w:pBdr>
                <w:between w:val="single" w:sz="4" w:space="1" w:color="auto"/>
              </w:pBdr>
              <w:autoSpaceDE w:val="0"/>
              <w:autoSpaceDN w:val="0"/>
              <w:adjustRightInd w:val="0"/>
              <w:jc w:val="both"/>
              <w:rPr>
                <w:color w:val="000000"/>
                <w:sz w:val="18"/>
                <w:szCs w:val="18"/>
              </w:rPr>
            </w:pPr>
            <w:r w:rsidRPr="00E676F7">
              <w:rPr>
                <w:color w:val="000000"/>
                <w:sz w:val="18"/>
                <w:szCs w:val="18"/>
              </w:rPr>
              <w:t>0.040651</w:t>
            </w:r>
          </w:p>
        </w:tc>
        <w:tc>
          <w:tcPr>
            <w:tcW w:w="540" w:type="dxa"/>
          </w:tcPr>
          <w:p w14:paraId="0574146F" w14:textId="77777777" w:rsidR="0062084B" w:rsidRPr="00E676F7" w:rsidRDefault="00E676F7" w:rsidP="00E676F7">
            <w:pPr>
              <w:rPr>
                <w:color w:val="000000"/>
                <w:sz w:val="18"/>
                <w:szCs w:val="18"/>
              </w:rPr>
            </w:pPr>
            <w:r w:rsidRPr="00E676F7">
              <w:rPr>
                <w:color w:val="000000"/>
                <w:sz w:val="18"/>
                <w:szCs w:val="18"/>
              </w:rPr>
              <w:t>17</w:t>
            </w:r>
          </w:p>
        </w:tc>
      </w:tr>
      <w:tr w:rsidR="00E676F7" w:rsidRPr="00E676F7" w14:paraId="783B0110" w14:textId="77777777" w:rsidTr="00E676F7">
        <w:tc>
          <w:tcPr>
            <w:tcW w:w="720" w:type="dxa"/>
            <w:shd w:val="clear" w:color="auto" w:fill="auto"/>
            <w:vAlign w:val="bottom"/>
          </w:tcPr>
          <w:p w14:paraId="37A3B046" w14:textId="77777777" w:rsidR="0062084B" w:rsidRPr="00E676F7" w:rsidRDefault="0062084B" w:rsidP="00E676F7">
            <w:pPr>
              <w:pBdr>
                <w:between w:val="single" w:sz="4" w:space="1" w:color="auto"/>
              </w:pBdr>
              <w:autoSpaceDE w:val="0"/>
              <w:autoSpaceDN w:val="0"/>
              <w:adjustRightInd w:val="0"/>
              <w:rPr>
                <w:color w:val="000000"/>
                <w:sz w:val="18"/>
                <w:szCs w:val="18"/>
              </w:rPr>
            </w:pPr>
            <w:r w:rsidRPr="00E676F7">
              <w:rPr>
                <w:color w:val="000000"/>
                <w:sz w:val="18"/>
                <w:szCs w:val="18"/>
              </w:rPr>
              <w:t>CIT</w:t>
            </w:r>
          </w:p>
        </w:tc>
        <w:tc>
          <w:tcPr>
            <w:tcW w:w="900" w:type="dxa"/>
            <w:vAlign w:val="bottom"/>
          </w:tcPr>
          <w:p w14:paraId="1DAE3942" w14:textId="77777777" w:rsidR="0062084B" w:rsidRPr="00E676F7" w:rsidRDefault="0062084B" w:rsidP="00E676F7">
            <w:pPr>
              <w:autoSpaceDE w:val="0"/>
              <w:autoSpaceDN w:val="0"/>
              <w:adjustRightInd w:val="0"/>
              <w:rPr>
                <w:color w:val="000000"/>
                <w:sz w:val="18"/>
                <w:szCs w:val="18"/>
              </w:rPr>
            </w:pPr>
            <w:r w:rsidRPr="00E676F7">
              <w:rPr>
                <w:color w:val="000000"/>
                <w:sz w:val="18"/>
                <w:szCs w:val="18"/>
              </w:rPr>
              <w:t>1011507</w:t>
            </w:r>
          </w:p>
        </w:tc>
        <w:tc>
          <w:tcPr>
            <w:tcW w:w="900" w:type="dxa"/>
            <w:vAlign w:val="bottom"/>
          </w:tcPr>
          <w:p w14:paraId="3FD76BEC" w14:textId="77777777" w:rsidR="0062084B" w:rsidRPr="00E676F7" w:rsidRDefault="0062084B" w:rsidP="00E676F7">
            <w:pPr>
              <w:pBdr>
                <w:between w:val="single" w:sz="4" w:space="1" w:color="auto"/>
              </w:pBdr>
              <w:autoSpaceDE w:val="0"/>
              <w:autoSpaceDN w:val="0"/>
              <w:adjustRightInd w:val="0"/>
              <w:jc w:val="both"/>
              <w:rPr>
                <w:color w:val="000000"/>
                <w:sz w:val="18"/>
                <w:szCs w:val="18"/>
              </w:rPr>
            </w:pPr>
            <w:r w:rsidRPr="00E676F7">
              <w:rPr>
                <w:color w:val="000000"/>
                <w:sz w:val="18"/>
                <w:szCs w:val="18"/>
              </w:rPr>
              <w:t>1047950</w:t>
            </w:r>
          </w:p>
        </w:tc>
        <w:tc>
          <w:tcPr>
            <w:tcW w:w="1080" w:type="dxa"/>
            <w:vAlign w:val="bottom"/>
          </w:tcPr>
          <w:p w14:paraId="4654197F" w14:textId="77777777" w:rsidR="0062084B" w:rsidRPr="00E676F7" w:rsidRDefault="0062084B" w:rsidP="00E676F7">
            <w:pPr>
              <w:pBdr>
                <w:between w:val="single" w:sz="4" w:space="1" w:color="auto"/>
              </w:pBdr>
              <w:autoSpaceDE w:val="0"/>
              <w:autoSpaceDN w:val="0"/>
              <w:adjustRightInd w:val="0"/>
              <w:jc w:val="both"/>
              <w:rPr>
                <w:color w:val="000000"/>
                <w:sz w:val="18"/>
                <w:szCs w:val="18"/>
              </w:rPr>
            </w:pPr>
            <w:r w:rsidRPr="00E676F7">
              <w:rPr>
                <w:color w:val="000000"/>
                <w:sz w:val="18"/>
                <w:szCs w:val="18"/>
              </w:rPr>
              <w:t>140921.0</w:t>
            </w:r>
          </w:p>
        </w:tc>
        <w:tc>
          <w:tcPr>
            <w:tcW w:w="990" w:type="dxa"/>
            <w:vAlign w:val="bottom"/>
          </w:tcPr>
          <w:p w14:paraId="2362F208" w14:textId="77777777" w:rsidR="0062084B" w:rsidRPr="00E676F7" w:rsidRDefault="0062084B" w:rsidP="00E676F7">
            <w:pPr>
              <w:pBdr>
                <w:between w:val="single" w:sz="4" w:space="1" w:color="auto"/>
              </w:pBdr>
              <w:autoSpaceDE w:val="0"/>
              <w:autoSpaceDN w:val="0"/>
              <w:adjustRightInd w:val="0"/>
              <w:jc w:val="both"/>
              <w:rPr>
                <w:color w:val="000000"/>
                <w:sz w:val="18"/>
                <w:szCs w:val="18"/>
              </w:rPr>
            </w:pPr>
            <w:r w:rsidRPr="00E676F7">
              <w:rPr>
                <w:color w:val="000000"/>
                <w:sz w:val="18"/>
                <w:szCs w:val="18"/>
              </w:rPr>
              <w:t>593700.0</w:t>
            </w:r>
          </w:p>
        </w:tc>
        <w:tc>
          <w:tcPr>
            <w:tcW w:w="900" w:type="dxa"/>
            <w:vAlign w:val="bottom"/>
          </w:tcPr>
          <w:p w14:paraId="25EBEF08" w14:textId="77777777" w:rsidR="0062084B" w:rsidRPr="00E676F7" w:rsidRDefault="0062084B" w:rsidP="00E676F7">
            <w:pPr>
              <w:pBdr>
                <w:between w:val="single" w:sz="4" w:space="1" w:color="auto"/>
              </w:pBdr>
              <w:autoSpaceDE w:val="0"/>
              <w:autoSpaceDN w:val="0"/>
              <w:adjustRightInd w:val="0"/>
              <w:jc w:val="both"/>
              <w:rPr>
                <w:color w:val="000000"/>
                <w:sz w:val="18"/>
                <w:szCs w:val="18"/>
              </w:rPr>
            </w:pPr>
            <w:r w:rsidRPr="00E676F7">
              <w:rPr>
                <w:color w:val="000000"/>
                <w:sz w:val="18"/>
                <w:szCs w:val="18"/>
              </w:rPr>
              <w:t>305135.7</w:t>
            </w:r>
          </w:p>
        </w:tc>
        <w:tc>
          <w:tcPr>
            <w:tcW w:w="990" w:type="dxa"/>
            <w:vAlign w:val="bottom"/>
          </w:tcPr>
          <w:p w14:paraId="673DBC61" w14:textId="77777777" w:rsidR="0062084B" w:rsidRPr="00E676F7" w:rsidRDefault="0062084B" w:rsidP="00E676F7">
            <w:pPr>
              <w:pBdr>
                <w:between w:val="single" w:sz="4" w:space="1" w:color="auto"/>
              </w:pBdr>
              <w:autoSpaceDE w:val="0"/>
              <w:autoSpaceDN w:val="0"/>
              <w:adjustRightInd w:val="0"/>
              <w:jc w:val="both"/>
              <w:rPr>
                <w:color w:val="000000"/>
                <w:sz w:val="18"/>
                <w:szCs w:val="18"/>
              </w:rPr>
            </w:pPr>
            <w:r w:rsidRPr="00E676F7">
              <w:rPr>
                <w:color w:val="000000"/>
                <w:sz w:val="18"/>
                <w:szCs w:val="18"/>
              </w:rPr>
              <w:t>-0.044433</w:t>
            </w:r>
          </w:p>
        </w:tc>
        <w:tc>
          <w:tcPr>
            <w:tcW w:w="900" w:type="dxa"/>
            <w:shd w:val="clear" w:color="auto" w:fill="auto"/>
            <w:vAlign w:val="bottom"/>
          </w:tcPr>
          <w:p w14:paraId="4670B11A" w14:textId="77777777" w:rsidR="0062084B" w:rsidRPr="00E676F7" w:rsidRDefault="0062084B" w:rsidP="00E676F7">
            <w:pPr>
              <w:pBdr>
                <w:between w:val="single" w:sz="4" w:space="1" w:color="auto"/>
              </w:pBdr>
              <w:autoSpaceDE w:val="0"/>
              <w:autoSpaceDN w:val="0"/>
              <w:adjustRightInd w:val="0"/>
              <w:jc w:val="both"/>
              <w:rPr>
                <w:color w:val="000000"/>
                <w:sz w:val="18"/>
                <w:szCs w:val="18"/>
              </w:rPr>
            </w:pPr>
            <w:r w:rsidRPr="00E676F7">
              <w:rPr>
                <w:color w:val="000000"/>
                <w:sz w:val="18"/>
                <w:szCs w:val="18"/>
              </w:rPr>
              <w:t>1.561225</w:t>
            </w:r>
          </w:p>
        </w:tc>
        <w:tc>
          <w:tcPr>
            <w:tcW w:w="1260" w:type="dxa"/>
          </w:tcPr>
          <w:p w14:paraId="6C470071" w14:textId="77777777" w:rsidR="0062084B" w:rsidRPr="00E676F7" w:rsidRDefault="0062084B" w:rsidP="00E676F7">
            <w:pPr>
              <w:pBdr>
                <w:between w:val="single" w:sz="4" w:space="1" w:color="auto"/>
              </w:pBdr>
              <w:autoSpaceDE w:val="0"/>
              <w:autoSpaceDN w:val="0"/>
              <w:adjustRightInd w:val="0"/>
              <w:jc w:val="both"/>
              <w:rPr>
                <w:color w:val="000000"/>
                <w:sz w:val="18"/>
                <w:szCs w:val="18"/>
              </w:rPr>
            </w:pPr>
            <w:r w:rsidRPr="00E676F7">
              <w:rPr>
                <w:color w:val="000000"/>
                <w:sz w:val="18"/>
                <w:szCs w:val="18"/>
              </w:rPr>
              <w:t>8.865822</w:t>
            </w:r>
          </w:p>
        </w:tc>
        <w:tc>
          <w:tcPr>
            <w:tcW w:w="900" w:type="dxa"/>
          </w:tcPr>
          <w:p w14:paraId="7AE8F29F" w14:textId="77777777" w:rsidR="0062084B" w:rsidRPr="00E676F7" w:rsidRDefault="0062084B" w:rsidP="00E676F7">
            <w:pPr>
              <w:pBdr>
                <w:between w:val="single" w:sz="4" w:space="1" w:color="auto"/>
              </w:pBdr>
              <w:autoSpaceDE w:val="0"/>
              <w:autoSpaceDN w:val="0"/>
              <w:adjustRightInd w:val="0"/>
              <w:jc w:val="both"/>
              <w:rPr>
                <w:color w:val="000000"/>
                <w:sz w:val="18"/>
                <w:szCs w:val="18"/>
              </w:rPr>
            </w:pPr>
            <w:r w:rsidRPr="00E676F7">
              <w:rPr>
                <w:color w:val="000000"/>
                <w:sz w:val="18"/>
                <w:szCs w:val="18"/>
              </w:rPr>
              <w:t>0.034618</w:t>
            </w:r>
          </w:p>
        </w:tc>
        <w:tc>
          <w:tcPr>
            <w:tcW w:w="540" w:type="dxa"/>
          </w:tcPr>
          <w:p w14:paraId="55B0BC77" w14:textId="77777777" w:rsidR="0062084B" w:rsidRPr="00E676F7" w:rsidRDefault="00E676F7" w:rsidP="00E676F7">
            <w:pPr>
              <w:rPr>
                <w:color w:val="000000"/>
                <w:sz w:val="18"/>
                <w:szCs w:val="18"/>
              </w:rPr>
            </w:pPr>
            <w:r w:rsidRPr="00E676F7">
              <w:rPr>
                <w:color w:val="000000"/>
                <w:sz w:val="18"/>
                <w:szCs w:val="18"/>
              </w:rPr>
              <w:t>17</w:t>
            </w:r>
          </w:p>
        </w:tc>
      </w:tr>
      <w:tr w:rsidR="00E676F7" w:rsidRPr="00E676F7" w14:paraId="5CB3A537" w14:textId="77777777" w:rsidTr="00094B17">
        <w:tc>
          <w:tcPr>
            <w:tcW w:w="720" w:type="dxa"/>
            <w:shd w:val="clear" w:color="auto" w:fill="auto"/>
            <w:vAlign w:val="bottom"/>
          </w:tcPr>
          <w:p w14:paraId="0AA4A8DE" w14:textId="77777777" w:rsidR="00E676F7" w:rsidRPr="00E676F7" w:rsidRDefault="00E676F7" w:rsidP="00094B17">
            <w:pPr>
              <w:pBdr>
                <w:between w:val="single" w:sz="4" w:space="1" w:color="auto"/>
              </w:pBdr>
              <w:autoSpaceDE w:val="0"/>
              <w:autoSpaceDN w:val="0"/>
              <w:adjustRightInd w:val="0"/>
              <w:rPr>
                <w:color w:val="000000"/>
                <w:sz w:val="18"/>
                <w:szCs w:val="18"/>
              </w:rPr>
            </w:pPr>
            <w:r w:rsidRPr="00E676F7">
              <w:rPr>
                <w:color w:val="000000"/>
                <w:sz w:val="18"/>
                <w:szCs w:val="18"/>
              </w:rPr>
              <w:t>VAT</w:t>
            </w:r>
          </w:p>
        </w:tc>
        <w:tc>
          <w:tcPr>
            <w:tcW w:w="900" w:type="dxa"/>
            <w:vAlign w:val="bottom"/>
          </w:tcPr>
          <w:p w14:paraId="69EF0F68" w14:textId="77777777" w:rsidR="00E676F7" w:rsidRPr="00E676F7" w:rsidRDefault="00E676F7" w:rsidP="00094B17">
            <w:pPr>
              <w:autoSpaceDE w:val="0"/>
              <w:autoSpaceDN w:val="0"/>
              <w:adjustRightInd w:val="0"/>
              <w:rPr>
                <w:color w:val="000000"/>
                <w:sz w:val="18"/>
                <w:szCs w:val="18"/>
              </w:rPr>
            </w:pPr>
            <w:r w:rsidRPr="00E676F7">
              <w:rPr>
                <w:color w:val="000000"/>
                <w:sz w:val="18"/>
                <w:szCs w:val="18"/>
              </w:rPr>
              <w:t>769769.8</w:t>
            </w:r>
          </w:p>
        </w:tc>
        <w:tc>
          <w:tcPr>
            <w:tcW w:w="900" w:type="dxa"/>
            <w:vAlign w:val="bottom"/>
          </w:tcPr>
          <w:p w14:paraId="132F02EB" w14:textId="77777777" w:rsidR="00E676F7" w:rsidRPr="00E676F7" w:rsidRDefault="00E676F7" w:rsidP="00094B17">
            <w:pPr>
              <w:pBdr>
                <w:between w:val="single" w:sz="4" w:space="1" w:color="auto"/>
              </w:pBdr>
              <w:autoSpaceDE w:val="0"/>
              <w:autoSpaceDN w:val="0"/>
              <w:adjustRightInd w:val="0"/>
              <w:jc w:val="both"/>
              <w:rPr>
                <w:color w:val="000000"/>
                <w:sz w:val="18"/>
                <w:szCs w:val="18"/>
              </w:rPr>
            </w:pPr>
            <w:r w:rsidRPr="00E676F7">
              <w:rPr>
                <w:color w:val="000000"/>
                <w:sz w:val="18"/>
                <w:szCs w:val="18"/>
              </w:rPr>
              <w:t>785000.0</w:t>
            </w:r>
          </w:p>
        </w:tc>
        <w:tc>
          <w:tcPr>
            <w:tcW w:w="1080" w:type="dxa"/>
            <w:vAlign w:val="bottom"/>
          </w:tcPr>
          <w:p w14:paraId="0D8FA7B3" w14:textId="77777777" w:rsidR="00E676F7" w:rsidRPr="00E676F7" w:rsidRDefault="00E676F7" w:rsidP="00094B17">
            <w:pPr>
              <w:pBdr>
                <w:between w:val="single" w:sz="4" w:space="1" w:color="auto"/>
              </w:pBdr>
              <w:autoSpaceDE w:val="0"/>
              <w:autoSpaceDN w:val="0"/>
              <w:adjustRightInd w:val="0"/>
              <w:jc w:val="both"/>
              <w:rPr>
                <w:color w:val="000000"/>
                <w:sz w:val="18"/>
                <w:szCs w:val="18"/>
              </w:rPr>
            </w:pPr>
            <w:r w:rsidRPr="00E676F7">
              <w:rPr>
                <w:color w:val="000000"/>
                <w:sz w:val="18"/>
                <w:szCs w:val="18"/>
              </w:rPr>
              <w:t>1108041</w:t>
            </w:r>
          </w:p>
        </w:tc>
        <w:tc>
          <w:tcPr>
            <w:tcW w:w="990" w:type="dxa"/>
            <w:vAlign w:val="bottom"/>
          </w:tcPr>
          <w:p w14:paraId="5B212597" w14:textId="77777777" w:rsidR="00E676F7" w:rsidRPr="00E676F7" w:rsidRDefault="00E676F7" w:rsidP="00094B17">
            <w:pPr>
              <w:pBdr>
                <w:between w:val="single" w:sz="4" w:space="1" w:color="auto"/>
              </w:pBdr>
              <w:autoSpaceDE w:val="0"/>
              <w:autoSpaceDN w:val="0"/>
              <w:adjustRightInd w:val="0"/>
              <w:jc w:val="both"/>
              <w:rPr>
                <w:color w:val="000000"/>
                <w:sz w:val="18"/>
                <w:szCs w:val="18"/>
              </w:rPr>
            </w:pPr>
            <w:r w:rsidRPr="00E676F7">
              <w:rPr>
                <w:color w:val="000000"/>
                <w:sz w:val="18"/>
                <w:szCs w:val="18"/>
              </w:rPr>
              <w:t>481410.0</w:t>
            </w:r>
          </w:p>
        </w:tc>
        <w:tc>
          <w:tcPr>
            <w:tcW w:w="900" w:type="dxa"/>
            <w:vAlign w:val="bottom"/>
          </w:tcPr>
          <w:p w14:paraId="21ABE81A" w14:textId="77777777" w:rsidR="00E676F7" w:rsidRPr="00E676F7" w:rsidRDefault="00E676F7" w:rsidP="00094B17">
            <w:pPr>
              <w:pBdr>
                <w:between w:val="single" w:sz="4" w:space="1" w:color="auto"/>
              </w:pBdr>
              <w:autoSpaceDE w:val="0"/>
              <w:autoSpaceDN w:val="0"/>
              <w:adjustRightInd w:val="0"/>
              <w:jc w:val="both"/>
              <w:rPr>
                <w:color w:val="000000"/>
                <w:sz w:val="18"/>
                <w:szCs w:val="18"/>
              </w:rPr>
            </w:pPr>
            <w:r w:rsidRPr="00E676F7">
              <w:rPr>
                <w:color w:val="000000"/>
                <w:sz w:val="18"/>
                <w:szCs w:val="18"/>
              </w:rPr>
              <w:t>183158.6</w:t>
            </w:r>
          </w:p>
        </w:tc>
        <w:tc>
          <w:tcPr>
            <w:tcW w:w="990" w:type="dxa"/>
            <w:vAlign w:val="bottom"/>
          </w:tcPr>
          <w:p w14:paraId="5AF3E38B" w14:textId="77777777" w:rsidR="00E676F7" w:rsidRPr="00E676F7" w:rsidRDefault="00E676F7" w:rsidP="00094B17">
            <w:pPr>
              <w:pBdr>
                <w:between w:val="single" w:sz="4" w:space="1" w:color="auto"/>
              </w:pBdr>
              <w:autoSpaceDE w:val="0"/>
              <w:autoSpaceDN w:val="0"/>
              <w:adjustRightInd w:val="0"/>
              <w:jc w:val="both"/>
              <w:rPr>
                <w:color w:val="000000"/>
                <w:sz w:val="18"/>
                <w:szCs w:val="18"/>
              </w:rPr>
            </w:pPr>
            <w:r w:rsidRPr="00E676F7">
              <w:rPr>
                <w:color w:val="000000"/>
                <w:sz w:val="18"/>
                <w:szCs w:val="18"/>
              </w:rPr>
              <w:t xml:space="preserve"> 0.250799</w:t>
            </w:r>
          </w:p>
        </w:tc>
        <w:tc>
          <w:tcPr>
            <w:tcW w:w="900" w:type="dxa"/>
            <w:shd w:val="clear" w:color="auto" w:fill="auto"/>
            <w:vAlign w:val="bottom"/>
          </w:tcPr>
          <w:p w14:paraId="596D2AE1" w14:textId="77777777" w:rsidR="00E676F7" w:rsidRPr="00E676F7" w:rsidRDefault="00E676F7" w:rsidP="00094B17">
            <w:pPr>
              <w:pBdr>
                <w:between w:val="single" w:sz="4" w:space="1" w:color="auto"/>
              </w:pBdr>
              <w:autoSpaceDE w:val="0"/>
              <w:autoSpaceDN w:val="0"/>
              <w:adjustRightInd w:val="0"/>
              <w:jc w:val="both"/>
              <w:rPr>
                <w:color w:val="000000"/>
                <w:sz w:val="18"/>
                <w:szCs w:val="18"/>
              </w:rPr>
            </w:pPr>
            <w:r w:rsidRPr="00E676F7">
              <w:rPr>
                <w:color w:val="000000"/>
                <w:sz w:val="18"/>
                <w:szCs w:val="18"/>
              </w:rPr>
              <w:t>2.592121</w:t>
            </w:r>
          </w:p>
        </w:tc>
        <w:tc>
          <w:tcPr>
            <w:tcW w:w="1260" w:type="dxa"/>
          </w:tcPr>
          <w:p w14:paraId="4C12DC58" w14:textId="77777777" w:rsidR="00E676F7" w:rsidRPr="00E676F7" w:rsidRDefault="00E676F7" w:rsidP="00094B17">
            <w:pPr>
              <w:pBdr>
                <w:between w:val="single" w:sz="4" w:space="1" w:color="auto"/>
              </w:pBdr>
              <w:autoSpaceDE w:val="0"/>
              <w:autoSpaceDN w:val="0"/>
              <w:adjustRightInd w:val="0"/>
              <w:jc w:val="both"/>
              <w:rPr>
                <w:color w:val="000000"/>
                <w:sz w:val="18"/>
                <w:szCs w:val="18"/>
              </w:rPr>
            </w:pPr>
            <w:r w:rsidRPr="00E676F7">
              <w:rPr>
                <w:color w:val="000000"/>
                <w:sz w:val="18"/>
                <w:szCs w:val="18"/>
              </w:rPr>
              <w:t>8.174153</w:t>
            </w:r>
          </w:p>
        </w:tc>
        <w:tc>
          <w:tcPr>
            <w:tcW w:w="900" w:type="dxa"/>
          </w:tcPr>
          <w:p w14:paraId="0A9BF74F" w14:textId="77777777" w:rsidR="00E676F7" w:rsidRPr="00E676F7" w:rsidRDefault="00E676F7" w:rsidP="00094B17">
            <w:pPr>
              <w:pBdr>
                <w:between w:val="single" w:sz="4" w:space="1" w:color="auto"/>
              </w:pBdr>
              <w:autoSpaceDE w:val="0"/>
              <w:autoSpaceDN w:val="0"/>
              <w:adjustRightInd w:val="0"/>
              <w:jc w:val="both"/>
              <w:rPr>
                <w:color w:val="000000"/>
                <w:sz w:val="18"/>
                <w:szCs w:val="18"/>
              </w:rPr>
            </w:pPr>
            <w:r w:rsidRPr="00E676F7">
              <w:rPr>
                <w:color w:val="000000"/>
                <w:sz w:val="18"/>
                <w:szCs w:val="18"/>
              </w:rPr>
              <w:t>0.036607</w:t>
            </w:r>
          </w:p>
        </w:tc>
        <w:tc>
          <w:tcPr>
            <w:tcW w:w="540" w:type="dxa"/>
          </w:tcPr>
          <w:p w14:paraId="1C6B5549" w14:textId="77777777" w:rsidR="00E676F7" w:rsidRPr="00E676F7" w:rsidRDefault="00E676F7" w:rsidP="00094B17">
            <w:pPr>
              <w:rPr>
                <w:sz w:val="18"/>
                <w:szCs w:val="18"/>
              </w:rPr>
            </w:pPr>
            <w:r w:rsidRPr="00E676F7">
              <w:rPr>
                <w:sz w:val="18"/>
                <w:szCs w:val="18"/>
              </w:rPr>
              <w:t>17</w:t>
            </w:r>
          </w:p>
        </w:tc>
      </w:tr>
    </w:tbl>
    <w:p w14:paraId="72D604B2" w14:textId="77777777" w:rsidR="0062084B" w:rsidRPr="00E676F7" w:rsidRDefault="0062084B" w:rsidP="00E676F7">
      <w:pPr>
        <w:ind w:left="720"/>
        <w:jc w:val="center"/>
        <w:rPr>
          <w:i/>
          <w:noProof/>
          <w:sz w:val="18"/>
          <w:szCs w:val="18"/>
        </w:rPr>
      </w:pPr>
      <w:r w:rsidRPr="00E676F7">
        <w:rPr>
          <w:i/>
          <w:sz w:val="18"/>
          <w:szCs w:val="18"/>
        </w:rPr>
        <w:t xml:space="preserve">Source: </w:t>
      </w:r>
      <w:r w:rsidRPr="00E676F7">
        <w:rPr>
          <w:i/>
          <w:noProof/>
          <w:sz w:val="18"/>
          <w:szCs w:val="18"/>
        </w:rPr>
        <w:t>Output data from E-views 10.0</w:t>
      </w:r>
    </w:p>
    <w:p w14:paraId="177F1914" w14:textId="77777777" w:rsidR="0062084B" w:rsidRPr="00E676F7" w:rsidRDefault="0062084B" w:rsidP="00E676F7">
      <w:pPr>
        <w:jc w:val="center"/>
        <w:rPr>
          <w:b/>
        </w:rPr>
      </w:pPr>
    </w:p>
    <w:p w14:paraId="01F1C3D9" w14:textId="77777777" w:rsidR="0062084B" w:rsidRPr="00D6776F" w:rsidRDefault="0062084B" w:rsidP="00E676F7">
      <w:pPr>
        <w:ind w:firstLine="720"/>
        <w:jc w:val="both"/>
        <w:rPr>
          <w:b/>
        </w:rPr>
      </w:pPr>
      <w:r w:rsidRPr="00D6776F">
        <w:rPr>
          <w:b/>
        </w:rPr>
        <w:t>Data Unit Root Test Result</w:t>
      </w:r>
    </w:p>
    <w:p w14:paraId="32F31C6C" w14:textId="08D8FDDD" w:rsidR="0062084B" w:rsidRPr="00D6776F" w:rsidRDefault="002E24C4" w:rsidP="00E676F7">
      <w:pPr>
        <w:tabs>
          <w:tab w:val="left" w:pos="1875"/>
        </w:tabs>
        <w:ind w:left="720"/>
        <w:jc w:val="both"/>
      </w:pPr>
      <w:r>
        <w:tab/>
      </w:r>
      <w:r w:rsidR="0062084B" w:rsidRPr="00D6776F">
        <w:t>The unit root test is utilized to ascertain stationarity in a time series. A time series has stationarity if a shift in time does not cause a change in the shape of the distribution; unit root are one cause for non-stationarity in time series data. The assessment of the stationarity of the data were carried with Augm</w:t>
      </w:r>
      <w:r w:rsidR="0062084B">
        <w:t>ented Dickey-Fuller (ADF)</w:t>
      </w:r>
      <w:r w:rsidR="0062084B" w:rsidRPr="00D6776F">
        <w:t xml:space="preserve">and </w:t>
      </w:r>
      <w:r w:rsidR="0062084B">
        <w:t xml:space="preserve">Phillips Perron (PP). </w:t>
      </w:r>
      <w:r w:rsidR="0062084B" w:rsidRPr="00D6776F">
        <w:rPr>
          <w:color w:val="000000"/>
        </w:rPr>
        <w:t xml:space="preserve">The unit root test was performed at level and first difference. The non-stationarity of the data at level necessitated the first difference estimation. </w:t>
      </w:r>
      <w:r w:rsidR="002826F0">
        <w:rPr>
          <w:color w:val="000000"/>
        </w:rPr>
        <w:t xml:space="preserve">The result in Tables 3 – 5 </w:t>
      </w:r>
      <w:r w:rsidR="00381E31">
        <w:rPr>
          <w:color w:val="000000"/>
        </w:rPr>
        <w:t>shows</w:t>
      </w:r>
      <w:r w:rsidR="002826F0">
        <w:rPr>
          <w:color w:val="000000"/>
        </w:rPr>
        <w:t xml:space="preserve"> that all the variables are stationary at first difference.</w:t>
      </w:r>
    </w:p>
    <w:p w14:paraId="339624BE" w14:textId="396B7AAE" w:rsidR="0062084B" w:rsidRPr="004D5A99" w:rsidRDefault="0062084B" w:rsidP="0062084B">
      <w:pPr>
        <w:ind w:left="720"/>
        <w:jc w:val="center"/>
        <w:rPr>
          <w:b/>
          <w:sz w:val="20"/>
          <w:szCs w:val="20"/>
        </w:rPr>
      </w:pPr>
      <w:r w:rsidRPr="004D5A99">
        <w:rPr>
          <w:b/>
          <w:sz w:val="20"/>
          <w:szCs w:val="20"/>
        </w:rPr>
        <w:t xml:space="preserve">Table </w:t>
      </w:r>
      <w:r w:rsidR="001B60DC">
        <w:rPr>
          <w:b/>
          <w:sz w:val="20"/>
          <w:szCs w:val="20"/>
        </w:rPr>
        <w:t>.2</w:t>
      </w:r>
      <w:r w:rsidRPr="004D5A99">
        <w:rPr>
          <w:b/>
          <w:sz w:val="20"/>
          <w:szCs w:val="20"/>
        </w:rPr>
        <w:t>: Result of ADF Test at Level</w:t>
      </w:r>
    </w:p>
    <w:tbl>
      <w:tblPr>
        <w:tblW w:w="8640" w:type="dxa"/>
        <w:tblInd w:w="720" w:type="dxa"/>
        <w:tblLayout w:type="fixed"/>
        <w:tblLook w:val="0000" w:firstRow="0" w:lastRow="0" w:firstColumn="0" w:lastColumn="0" w:noHBand="0" w:noVBand="0"/>
      </w:tblPr>
      <w:tblGrid>
        <w:gridCol w:w="1265"/>
        <w:gridCol w:w="1809"/>
        <w:gridCol w:w="2018"/>
        <w:gridCol w:w="1809"/>
        <w:gridCol w:w="1739"/>
      </w:tblGrid>
      <w:tr w:rsidR="0062084B" w:rsidRPr="004D5A99" w14:paraId="7A7341C7" w14:textId="77777777" w:rsidTr="00E676F7">
        <w:tc>
          <w:tcPr>
            <w:tcW w:w="1265" w:type="dxa"/>
            <w:tcBorders>
              <w:top w:val="single" w:sz="4" w:space="0" w:color="auto"/>
              <w:bottom w:val="single" w:sz="4" w:space="0" w:color="auto"/>
            </w:tcBorders>
            <w:shd w:val="clear" w:color="auto" w:fill="auto"/>
          </w:tcPr>
          <w:p w14:paraId="220C5EC6" w14:textId="77777777" w:rsidR="0062084B" w:rsidRPr="004D5A99" w:rsidRDefault="00DF0276" w:rsidP="00094B17">
            <w:pPr>
              <w:jc w:val="both"/>
              <w:rPr>
                <w:b/>
                <w:sz w:val="20"/>
                <w:szCs w:val="20"/>
              </w:rPr>
            </w:pPr>
            <w:r w:rsidRPr="004D5A99">
              <w:rPr>
                <w:b/>
                <w:sz w:val="20"/>
                <w:szCs w:val="20"/>
              </w:rPr>
              <w:fldChar w:fldCharType="begin"/>
            </w:r>
            <w:r w:rsidR="0062084B" w:rsidRPr="004D5A99">
              <w:rPr>
                <w:b/>
                <w:sz w:val="20"/>
                <w:szCs w:val="20"/>
              </w:rPr>
              <w:instrText xml:space="preserve"> QUOTE </w:instrText>
            </w:r>
            <w:r w:rsidR="0062084B" w:rsidRPr="004D5A99">
              <w:rPr>
                <w:rFonts w:ascii="Cambria Math" w:hAnsi="Cambria Math" w:cs="Cambria Math"/>
                <w:b/>
                <w:sz w:val="20"/>
                <w:szCs w:val="20"/>
              </w:rPr>
              <w:instrText>𝐺𝑅𝐺𝐷𝑃</w:instrText>
            </w:r>
            <w:r w:rsidRPr="004D5A99">
              <w:rPr>
                <w:b/>
                <w:sz w:val="20"/>
                <w:szCs w:val="20"/>
              </w:rPr>
              <w:fldChar w:fldCharType="begin"/>
            </w:r>
            <w:r w:rsidR="0062084B" w:rsidRPr="004D5A99">
              <w:rPr>
                <w:b/>
                <w:sz w:val="20"/>
                <w:szCs w:val="20"/>
              </w:rPr>
              <w:instrText xml:space="preserve"> QUOTE </w:instrText>
            </w:r>
            <w:r w:rsidR="00074C43">
              <w:rPr>
                <w:b/>
                <w:position w:val="-6"/>
                <w:sz w:val="20"/>
                <w:szCs w:val="20"/>
              </w:rPr>
              <w:pict w14:anchorId="3B8FF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pt;height:12.7pt" equationxml="&lt;">
                  <v:imagedata r:id="rId9" o:title="" chromakey="white"/>
                </v:shape>
              </w:pict>
            </w:r>
            <w:r w:rsidRPr="004D5A99">
              <w:rPr>
                <w:b/>
                <w:sz w:val="20"/>
                <w:szCs w:val="20"/>
              </w:rPr>
              <w:fldChar w:fldCharType="separate"/>
            </w:r>
            <w:r w:rsidR="00074C43">
              <w:rPr>
                <w:b/>
                <w:position w:val="-6"/>
                <w:sz w:val="20"/>
                <w:szCs w:val="20"/>
              </w:rPr>
              <w:pict w14:anchorId="1D515085">
                <v:shape id="_x0000_i1026" type="#_x0000_t75" style="width:2.65pt;height:12.7pt" equationxml="&lt;">
                  <v:imagedata r:id="rId9" o:title="" chromakey="white"/>
                </v:shape>
              </w:pict>
            </w:r>
            <w:r w:rsidRPr="004D5A99">
              <w:rPr>
                <w:b/>
                <w:sz w:val="20"/>
                <w:szCs w:val="20"/>
              </w:rPr>
              <w:fldChar w:fldCharType="end"/>
            </w:r>
            <w:r w:rsidR="0062084B" w:rsidRPr="004D5A99">
              <w:rPr>
                <w:rFonts w:ascii="Cambria Math" w:hAnsi="Cambria Math" w:cs="Cambria Math"/>
                <w:b/>
                <w:sz w:val="20"/>
                <w:szCs w:val="20"/>
              </w:rPr>
              <w:instrText>𝑃𝑖</w:instrText>
            </w:r>
            <w:r w:rsidR="0062084B" w:rsidRPr="004D5A99">
              <w:rPr>
                <w:b/>
                <w:sz w:val="20"/>
                <w:szCs w:val="20"/>
              </w:rPr>
              <w:instrText>,</w:instrText>
            </w:r>
            <w:r w:rsidR="0062084B" w:rsidRPr="004D5A99">
              <w:rPr>
                <w:rFonts w:ascii="Cambria Math" w:hAnsi="Cambria Math" w:cs="Cambria Math"/>
                <w:b/>
                <w:sz w:val="20"/>
                <w:szCs w:val="20"/>
              </w:rPr>
              <w:instrText>𝑡</w:instrText>
            </w:r>
            <w:r w:rsidRPr="004D5A99">
              <w:rPr>
                <w:b/>
                <w:sz w:val="20"/>
                <w:szCs w:val="20"/>
              </w:rPr>
              <w:fldChar w:fldCharType="end"/>
            </w:r>
            <w:r w:rsidR="0062084B" w:rsidRPr="004D5A99">
              <w:rPr>
                <w:b/>
                <w:sz w:val="20"/>
                <w:szCs w:val="20"/>
              </w:rPr>
              <w:t>Variables</w:t>
            </w:r>
          </w:p>
        </w:tc>
        <w:tc>
          <w:tcPr>
            <w:tcW w:w="1809" w:type="dxa"/>
            <w:tcBorders>
              <w:top w:val="single" w:sz="4" w:space="0" w:color="auto"/>
              <w:bottom w:val="single" w:sz="4" w:space="0" w:color="auto"/>
            </w:tcBorders>
            <w:shd w:val="clear" w:color="auto" w:fill="auto"/>
          </w:tcPr>
          <w:p w14:paraId="4F9C8BEC" w14:textId="77777777" w:rsidR="0062084B" w:rsidRPr="004D5A99" w:rsidRDefault="0062084B" w:rsidP="00094B17">
            <w:pPr>
              <w:jc w:val="both"/>
              <w:rPr>
                <w:b/>
                <w:sz w:val="20"/>
                <w:szCs w:val="20"/>
              </w:rPr>
            </w:pPr>
            <w:r w:rsidRPr="004D5A99">
              <w:rPr>
                <w:b/>
                <w:sz w:val="20"/>
                <w:szCs w:val="20"/>
              </w:rPr>
              <w:t>Intercept</w:t>
            </w:r>
          </w:p>
        </w:tc>
        <w:tc>
          <w:tcPr>
            <w:tcW w:w="2018" w:type="dxa"/>
            <w:tcBorders>
              <w:top w:val="single" w:sz="4" w:space="0" w:color="auto"/>
              <w:bottom w:val="single" w:sz="4" w:space="0" w:color="auto"/>
            </w:tcBorders>
            <w:shd w:val="clear" w:color="auto" w:fill="auto"/>
          </w:tcPr>
          <w:p w14:paraId="43B0CD34" w14:textId="77777777" w:rsidR="0062084B" w:rsidRPr="004D5A99" w:rsidRDefault="0062084B" w:rsidP="00094B17">
            <w:pPr>
              <w:jc w:val="both"/>
              <w:rPr>
                <w:b/>
                <w:sz w:val="20"/>
                <w:szCs w:val="20"/>
              </w:rPr>
            </w:pPr>
            <w:r w:rsidRPr="004D5A99">
              <w:rPr>
                <w:b/>
                <w:sz w:val="20"/>
                <w:szCs w:val="20"/>
              </w:rPr>
              <w:t>Trend &amp; Intercept</w:t>
            </w:r>
          </w:p>
        </w:tc>
        <w:tc>
          <w:tcPr>
            <w:tcW w:w="1809" w:type="dxa"/>
            <w:tcBorders>
              <w:top w:val="single" w:sz="4" w:space="0" w:color="auto"/>
              <w:bottom w:val="single" w:sz="4" w:space="0" w:color="auto"/>
            </w:tcBorders>
            <w:shd w:val="clear" w:color="auto" w:fill="auto"/>
          </w:tcPr>
          <w:p w14:paraId="70BD1004" w14:textId="77777777" w:rsidR="0062084B" w:rsidRPr="004D5A99" w:rsidRDefault="0062084B" w:rsidP="00094B17">
            <w:pPr>
              <w:jc w:val="both"/>
              <w:rPr>
                <w:b/>
                <w:sz w:val="20"/>
                <w:szCs w:val="20"/>
              </w:rPr>
            </w:pPr>
            <w:r w:rsidRPr="004D5A99">
              <w:rPr>
                <w:b/>
                <w:color w:val="000000"/>
                <w:sz w:val="20"/>
                <w:szCs w:val="20"/>
              </w:rPr>
              <w:t xml:space="preserve"> None</w:t>
            </w:r>
          </w:p>
        </w:tc>
        <w:tc>
          <w:tcPr>
            <w:tcW w:w="1739" w:type="dxa"/>
            <w:tcBorders>
              <w:top w:val="single" w:sz="4" w:space="0" w:color="auto"/>
              <w:bottom w:val="single" w:sz="4" w:space="0" w:color="auto"/>
            </w:tcBorders>
            <w:shd w:val="clear" w:color="auto" w:fill="auto"/>
          </w:tcPr>
          <w:p w14:paraId="201C5846" w14:textId="77777777" w:rsidR="0062084B" w:rsidRPr="004D5A99" w:rsidRDefault="0062084B" w:rsidP="00094B17">
            <w:pPr>
              <w:jc w:val="both"/>
              <w:rPr>
                <w:b/>
                <w:sz w:val="20"/>
                <w:szCs w:val="20"/>
              </w:rPr>
            </w:pPr>
            <w:r w:rsidRPr="004D5A99">
              <w:rPr>
                <w:b/>
                <w:sz w:val="20"/>
                <w:szCs w:val="20"/>
              </w:rPr>
              <w:t>Inference</w:t>
            </w:r>
          </w:p>
        </w:tc>
      </w:tr>
      <w:tr w:rsidR="0062084B" w:rsidRPr="004D5A99" w14:paraId="7F0168EB" w14:textId="77777777" w:rsidTr="00E676F7">
        <w:tc>
          <w:tcPr>
            <w:tcW w:w="1265" w:type="dxa"/>
            <w:tcBorders>
              <w:top w:val="single" w:sz="4" w:space="0" w:color="auto"/>
            </w:tcBorders>
            <w:shd w:val="clear" w:color="auto" w:fill="auto"/>
            <w:vAlign w:val="bottom"/>
          </w:tcPr>
          <w:p w14:paraId="32AF7305" w14:textId="77777777" w:rsidR="0062084B" w:rsidRPr="004D5A99" w:rsidRDefault="0062084B" w:rsidP="00094B17">
            <w:pPr>
              <w:pBdr>
                <w:between w:val="single" w:sz="4" w:space="1" w:color="auto"/>
              </w:pBdr>
              <w:autoSpaceDE w:val="0"/>
              <w:autoSpaceDN w:val="0"/>
              <w:adjustRightInd w:val="0"/>
              <w:rPr>
                <w:color w:val="000000"/>
                <w:sz w:val="20"/>
                <w:szCs w:val="20"/>
              </w:rPr>
            </w:pPr>
            <w:r>
              <w:rPr>
                <w:color w:val="000000"/>
                <w:sz w:val="20"/>
                <w:szCs w:val="20"/>
              </w:rPr>
              <w:t>TFCR</w:t>
            </w:r>
          </w:p>
        </w:tc>
        <w:tc>
          <w:tcPr>
            <w:tcW w:w="1809" w:type="dxa"/>
            <w:tcBorders>
              <w:top w:val="single" w:sz="4" w:space="0" w:color="auto"/>
            </w:tcBorders>
            <w:shd w:val="clear" w:color="auto" w:fill="auto"/>
            <w:vAlign w:val="bottom"/>
          </w:tcPr>
          <w:p w14:paraId="0FDC46E2" w14:textId="77777777" w:rsidR="0062084B" w:rsidRPr="00F447EE" w:rsidRDefault="0062084B" w:rsidP="00094B17">
            <w:pPr>
              <w:autoSpaceDE w:val="0"/>
              <w:autoSpaceDN w:val="0"/>
              <w:adjustRightInd w:val="0"/>
              <w:jc w:val="both"/>
              <w:rPr>
                <w:color w:val="000000"/>
                <w:sz w:val="20"/>
                <w:szCs w:val="20"/>
              </w:rPr>
            </w:pPr>
            <w:r w:rsidRPr="00F447EE">
              <w:rPr>
                <w:color w:val="000000"/>
                <w:sz w:val="18"/>
                <w:szCs w:val="18"/>
              </w:rPr>
              <w:t>-1.934967 (0.30)</w:t>
            </w:r>
          </w:p>
        </w:tc>
        <w:tc>
          <w:tcPr>
            <w:tcW w:w="2018" w:type="dxa"/>
            <w:tcBorders>
              <w:top w:val="single" w:sz="4" w:space="0" w:color="auto"/>
            </w:tcBorders>
            <w:shd w:val="clear" w:color="auto" w:fill="auto"/>
            <w:vAlign w:val="bottom"/>
          </w:tcPr>
          <w:p w14:paraId="10980B32" w14:textId="77777777" w:rsidR="0062084B" w:rsidRPr="00F447EE" w:rsidRDefault="0062084B" w:rsidP="00094B17">
            <w:pPr>
              <w:autoSpaceDE w:val="0"/>
              <w:autoSpaceDN w:val="0"/>
              <w:adjustRightInd w:val="0"/>
              <w:jc w:val="both"/>
              <w:rPr>
                <w:color w:val="000000"/>
                <w:sz w:val="20"/>
                <w:szCs w:val="20"/>
              </w:rPr>
            </w:pPr>
            <w:r w:rsidRPr="00F447EE">
              <w:rPr>
                <w:color w:val="000000"/>
                <w:sz w:val="18"/>
                <w:szCs w:val="18"/>
              </w:rPr>
              <w:t>-1.837317 (0.61)</w:t>
            </w:r>
          </w:p>
        </w:tc>
        <w:tc>
          <w:tcPr>
            <w:tcW w:w="1809" w:type="dxa"/>
            <w:tcBorders>
              <w:top w:val="single" w:sz="4" w:space="0" w:color="auto"/>
            </w:tcBorders>
            <w:shd w:val="clear" w:color="auto" w:fill="auto"/>
            <w:vAlign w:val="bottom"/>
          </w:tcPr>
          <w:p w14:paraId="33F22E65" w14:textId="77777777" w:rsidR="0062084B" w:rsidRPr="00F447EE" w:rsidRDefault="0062084B" w:rsidP="00094B17">
            <w:pPr>
              <w:autoSpaceDE w:val="0"/>
              <w:autoSpaceDN w:val="0"/>
              <w:adjustRightInd w:val="0"/>
              <w:jc w:val="both"/>
              <w:rPr>
                <w:color w:val="000000"/>
                <w:sz w:val="20"/>
                <w:szCs w:val="20"/>
              </w:rPr>
            </w:pPr>
            <w:r w:rsidRPr="00F447EE">
              <w:rPr>
                <w:color w:val="000000"/>
                <w:sz w:val="18"/>
                <w:szCs w:val="18"/>
              </w:rPr>
              <w:t>0.028107 (0.67)</w:t>
            </w:r>
          </w:p>
        </w:tc>
        <w:tc>
          <w:tcPr>
            <w:tcW w:w="1739" w:type="dxa"/>
            <w:tcBorders>
              <w:top w:val="single" w:sz="4" w:space="0" w:color="auto"/>
            </w:tcBorders>
            <w:shd w:val="clear" w:color="auto" w:fill="auto"/>
          </w:tcPr>
          <w:p w14:paraId="6CEA9921" w14:textId="77777777" w:rsidR="0062084B" w:rsidRPr="004D5A99" w:rsidRDefault="0062084B" w:rsidP="00094B17">
            <w:pPr>
              <w:autoSpaceDE w:val="0"/>
              <w:autoSpaceDN w:val="0"/>
              <w:adjustRightInd w:val="0"/>
              <w:jc w:val="both"/>
              <w:rPr>
                <w:color w:val="000000"/>
                <w:sz w:val="20"/>
                <w:szCs w:val="20"/>
              </w:rPr>
            </w:pPr>
            <w:r w:rsidRPr="004D5A99">
              <w:rPr>
                <w:color w:val="000000"/>
                <w:sz w:val="20"/>
                <w:szCs w:val="20"/>
              </w:rPr>
              <w:t xml:space="preserve">Not Stationary </w:t>
            </w:r>
          </w:p>
        </w:tc>
      </w:tr>
      <w:tr w:rsidR="0062084B" w:rsidRPr="004D5A99" w14:paraId="1D2381E0" w14:textId="77777777" w:rsidTr="00E676F7">
        <w:tc>
          <w:tcPr>
            <w:tcW w:w="1265" w:type="dxa"/>
            <w:shd w:val="clear" w:color="auto" w:fill="auto"/>
            <w:vAlign w:val="bottom"/>
          </w:tcPr>
          <w:p w14:paraId="7422E8CB" w14:textId="77777777" w:rsidR="0062084B" w:rsidRPr="004D5A99" w:rsidRDefault="0062084B" w:rsidP="00094B17">
            <w:pPr>
              <w:pBdr>
                <w:between w:val="single" w:sz="4" w:space="1" w:color="auto"/>
              </w:pBdr>
              <w:autoSpaceDE w:val="0"/>
              <w:autoSpaceDN w:val="0"/>
              <w:adjustRightInd w:val="0"/>
              <w:rPr>
                <w:color w:val="000000"/>
                <w:sz w:val="20"/>
                <w:szCs w:val="20"/>
              </w:rPr>
            </w:pPr>
            <w:r>
              <w:rPr>
                <w:color w:val="000000"/>
                <w:sz w:val="20"/>
                <w:szCs w:val="20"/>
              </w:rPr>
              <w:t>PPT</w:t>
            </w:r>
          </w:p>
        </w:tc>
        <w:tc>
          <w:tcPr>
            <w:tcW w:w="1809" w:type="dxa"/>
            <w:shd w:val="clear" w:color="auto" w:fill="auto"/>
          </w:tcPr>
          <w:p w14:paraId="7A49A376" w14:textId="77777777" w:rsidR="0062084B" w:rsidRPr="00F447EE" w:rsidRDefault="0062084B" w:rsidP="00094B17">
            <w:pPr>
              <w:autoSpaceDE w:val="0"/>
              <w:autoSpaceDN w:val="0"/>
              <w:adjustRightInd w:val="0"/>
              <w:jc w:val="both"/>
              <w:rPr>
                <w:color w:val="000000"/>
                <w:sz w:val="20"/>
                <w:szCs w:val="20"/>
              </w:rPr>
            </w:pPr>
            <w:r w:rsidRPr="00F447EE">
              <w:rPr>
                <w:color w:val="000000"/>
                <w:sz w:val="18"/>
                <w:szCs w:val="18"/>
              </w:rPr>
              <w:t>-1.985099 (0.29)</w:t>
            </w:r>
          </w:p>
        </w:tc>
        <w:tc>
          <w:tcPr>
            <w:tcW w:w="2018" w:type="dxa"/>
            <w:shd w:val="clear" w:color="auto" w:fill="auto"/>
            <w:vAlign w:val="bottom"/>
          </w:tcPr>
          <w:p w14:paraId="7610DF79" w14:textId="77777777" w:rsidR="0062084B" w:rsidRPr="00F447EE" w:rsidRDefault="0062084B" w:rsidP="00094B17">
            <w:pPr>
              <w:autoSpaceDE w:val="0"/>
              <w:autoSpaceDN w:val="0"/>
              <w:adjustRightInd w:val="0"/>
              <w:jc w:val="both"/>
              <w:rPr>
                <w:color w:val="000000"/>
                <w:sz w:val="20"/>
                <w:szCs w:val="20"/>
              </w:rPr>
            </w:pPr>
            <w:r w:rsidRPr="00F447EE">
              <w:rPr>
                <w:color w:val="000000"/>
                <w:sz w:val="18"/>
                <w:szCs w:val="18"/>
              </w:rPr>
              <w:t>-1.847702 (0.61)</w:t>
            </w:r>
          </w:p>
        </w:tc>
        <w:tc>
          <w:tcPr>
            <w:tcW w:w="1809" w:type="dxa"/>
            <w:shd w:val="clear" w:color="auto" w:fill="auto"/>
            <w:vAlign w:val="bottom"/>
          </w:tcPr>
          <w:p w14:paraId="005A1DAC" w14:textId="77777777" w:rsidR="0062084B" w:rsidRPr="00F447EE" w:rsidRDefault="0062084B" w:rsidP="00094B17">
            <w:pPr>
              <w:autoSpaceDE w:val="0"/>
              <w:autoSpaceDN w:val="0"/>
              <w:adjustRightInd w:val="0"/>
              <w:jc w:val="both"/>
              <w:rPr>
                <w:color w:val="000000"/>
                <w:sz w:val="20"/>
                <w:szCs w:val="20"/>
              </w:rPr>
            </w:pPr>
            <w:r w:rsidRPr="00F447EE">
              <w:rPr>
                <w:color w:val="000000"/>
                <w:sz w:val="18"/>
                <w:szCs w:val="18"/>
              </w:rPr>
              <w:t>-0.241198 (0.58)</w:t>
            </w:r>
          </w:p>
        </w:tc>
        <w:tc>
          <w:tcPr>
            <w:tcW w:w="1739" w:type="dxa"/>
            <w:shd w:val="clear" w:color="auto" w:fill="auto"/>
          </w:tcPr>
          <w:p w14:paraId="1C30F494" w14:textId="77777777" w:rsidR="0062084B" w:rsidRPr="004D5A99" w:rsidRDefault="0062084B" w:rsidP="00094B17">
            <w:pPr>
              <w:autoSpaceDE w:val="0"/>
              <w:autoSpaceDN w:val="0"/>
              <w:adjustRightInd w:val="0"/>
              <w:jc w:val="both"/>
              <w:rPr>
                <w:color w:val="000000"/>
                <w:sz w:val="20"/>
                <w:szCs w:val="20"/>
              </w:rPr>
            </w:pPr>
            <w:r w:rsidRPr="004D5A99">
              <w:rPr>
                <w:color w:val="000000"/>
                <w:sz w:val="20"/>
                <w:szCs w:val="20"/>
              </w:rPr>
              <w:t>Not Stationary</w:t>
            </w:r>
          </w:p>
        </w:tc>
      </w:tr>
      <w:tr w:rsidR="0062084B" w:rsidRPr="004D5A99" w14:paraId="2BCFE964" w14:textId="77777777" w:rsidTr="00E676F7">
        <w:tc>
          <w:tcPr>
            <w:tcW w:w="1265" w:type="dxa"/>
            <w:shd w:val="clear" w:color="auto" w:fill="auto"/>
            <w:vAlign w:val="bottom"/>
          </w:tcPr>
          <w:p w14:paraId="763A2166" w14:textId="77777777" w:rsidR="0062084B" w:rsidRPr="004D5A99" w:rsidRDefault="0062084B" w:rsidP="00094B17">
            <w:pPr>
              <w:pBdr>
                <w:between w:val="single" w:sz="4" w:space="1" w:color="auto"/>
              </w:pBdr>
              <w:autoSpaceDE w:val="0"/>
              <w:autoSpaceDN w:val="0"/>
              <w:adjustRightInd w:val="0"/>
              <w:rPr>
                <w:color w:val="000000"/>
                <w:sz w:val="20"/>
                <w:szCs w:val="20"/>
              </w:rPr>
            </w:pPr>
            <w:r>
              <w:rPr>
                <w:color w:val="000000"/>
                <w:sz w:val="20"/>
                <w:szCs w:val="20"/>
              </w:rPr>
              <w:t>CIT</w:t>
            </w:r>
          </w:p>
        </w:tc>
        <w:tc>
          <w:tcPr>
            <w:tcW w:w="1809" w:type="dxa"/>
            <w:shd w:val="clear" w:color="auto" w:fill="auto"/>
          </w:tcPr>
          <w:p w14:paraId="2F203AA5" w14:textId="77777777" w:rsidR="0062084B" w:rsidRPr="00F447EE" w:rsidRDefault="0062084B" w:rsidP="00094B17">
            <w:pPr>
              <w:autoSpaceDE w:val="0"/>
              <w:autoSpaceDN w:val="0"/>
              <w:adjustRightInd w:val="0"/>
              <w:jc w:val="both"/>
              <w:rPr>
                <w:color w:val="000000"/>
                <w:sz w:val="20"/>
                <w:szCs w:val="20"/>
              </w:rPr>
            </w:pPr>
            <w:r w:rsidRPr="00F447EE">
              <w:rPr>
                <w:color w:val="000000"/>
                <w:sz w:val="18"/>
                <w:szCs w:val="18"/>
              </w:rPr>
              <w:t>-0.883852 (0.75)</w:t>
            </w:r>
          </w:p>
        </w:tc>
        <w:tc>
          <w:tcPr>
            <w:tcW w:w="2018" w:type="dxa"/>
            <w:shd w:val="clear" w:color="auto" w:fill="auto"/>
            <w:vAlign w:val="bottom"/>
          </w:tcPr>
          <w:p w14:paraId="027697B3" w14:textId="77777777" w:rsidR="0062084B" w:rsidRPr="00F447EE" w:rsidRDefault="0062084B" w:rsidP="00094B17">
            <w:pPr>
              <w:autoSpaceDE w:val="0"/>
              <w:autoSpaceDN w:val="0"/>
              <w:adjustRightInd w:val="0"/>
              <w:jc w:val="both"/>
              <w:rPr>
                <w:color w:val="000000"/>
                <w:sz w:val="20"/>
                <w:szCs w:val="20"/>
              </w:rPr>
            </w:pPr>
            <w:r w:rsidRPr="00F447EE">
              <w:rPr>
                <w:color w:val="000000"/>
                <w:sz w:val="18"/>
                <w:szCs w:val="18"/>
              </w:rPr>
              <w:t>-3.100016 (0.17)</w:t>
            </w:r>
          </w:p>
        </w:tc>
        <w:tc>
          <w:tcPr>
            <w:tcW w:w="1809" w:type="dxa"/>
            <w:shd w:val="clear" w:color="auto" w:fill="auto"/>
            <w:vAlign w:val="bottom"/>
          </w:tcPr>
          <w:p w14:paraId="1AA653A5" w14:textId="77777777" w:rsidR="0062084B" w:rsidRPr="00F447EE" w:rsidRDefault="0062084B" w:rsidP="00094B17">
            <w:pPr>
              <w:autoSpaceDE w:val="0"/>
              <w:autoSpaceDN w:val="0"/>
              <w:adjustRightInd w:val="0"/>
              <w:jc w:val="both"/>
              <w:rPr>
                <w:color w:val="000000"/>
                <w:sz w:val="20"/>
                <w:szCs w:val="20"/>
              </w:rPr>
            </w:pPr>
            <w:r w:rsidRPr="00F447EE">
              <w:rPr>
                <w:color w:val="000000"/>
                <w:sz w:val="18"/>
                <w:szCs w:val="18"/>
              </w:rPr>
              <w:t>1.668672 (0.97)</w:t>
            </w:r>
          </w:p>
        </w:tc>
        <w:tc>
          <w:tcPr>
            <w:tcW w:w="1739" w:type="dxa"/>
            <w:shd w:val="clear" w:color="auto" w:fill="auto"/>
          </w:tcPr>
          <w:p w14:paraId="79E39B76" w14:textId="77777777" w:rsidR="0062084B" w:rsidRPr="004D5A99" w:rsidRDefault="0062084B" w:rsidP="00094B17">
            <w:pPr>
              <w:autoSpaceDE w:val="0"/>
              <w:autoSpaceDN w:val="0"/>
              <w:adjustRightInd w:val="0"/>
              <w:jc w:val="both"/>
              <w:rPr>
                <w:color w:val="000000"/>
                <w:sz w:val="20"/>
                <w:szCs w:val="20"/>
              </w:rPr>
            </w:pPr>
            <w:r w:rsidRPr="004D5A99">
              <w:rPr>
                <w:color w:val="000000"/>
                <w:sz w:val="20"/>
                <w:szCs w:val="20"/>
              </w:rPr>
              <w:t>Not Stationary</w:t>
            </w:r>
          </w:p>
        </w:tc>
      </w:tr>
      <w:tr w:rsidR="00E676F7" w:rsidRPr="004D5A99" w14:paraId="5EF2905A" w14:textId="77777777" w:rsidTr="00E676F7">
        <w:tc>
          <w:tcPr>
            <w:tcW w:w="1265" w:type="dxa"/>
            <w:tcBorders>
              <w:bottom w:val="single" w:sz="4" w:space="0" w:color="auto"/>
            </w:tcBorders>
            <w:shd w:val="clear" w:color="auto" w:fill="auto"/>
            <w:vAlign w:val="bottom"/>
          </w:tcPr>
          <w:p w14:paraId="62396DFA" w14:textId="77777777" w:rsidR="00E676F7" w:rsidRPr="004D5A99" w:rsidRDefault="00E676F7" w:rsidP="00094B17">
            <w:pPr>
              <w:pBdr>
                <w:between w:val="single" w:sz="4" w:space="1" w:color="auto"/>
              </w:pBdr>
              <w:autoSpaceDE w:val="0"/>
              <w:autoSpaceDN w:val="0"/>
              <w:adjustRightInd w:val="0"/>
              <w:rPr>
                <w:color w:val="000000"/>
                <w:sz w:val="20"/>
                <w:szCs w:val="20"/>
              </w:rPr>
            </w:pPr>
            <w:r>
              <w:rPr>
                <w:color w:val="000000"/>
                <w:sz w:val="20"/>
                <w:szCs w:val="20"/>
              </w:rPr>
              <w:t>VAT</w:t>
            </w:r>
          </w:p>
        </w:tc>
        <w:tc>
          <w:tcPr>
            <w:tcW w:w="1809" w:type="dxa"/>
            <w:tcBorders>
              <w:bottom w:val="single" w:sz="4" w:space="0" w:color="auto"/>
            </w:tcBorders>
            <w:shd w:val="clear" w:color="auto" w:fill="auto"/>
          </w:tcPr>
          <w:p w14:paraId="503D090E" w14:textId="77777777" w:rsidR="00E676F7" w:rsidRPr="00F447EE" w:rsidRDefault="00E676F7" w:rsidP="00094B17">
            <w:pPr>
              <w:autoSpaceDE w:val="0"/>
              <w:autoSpaceDN w:val="0"/>
              <w:adjustRightInd w:val="0"/>
              <w:jc w:val="both"/>
              <w:rPr>
                <w:color w:val="000000"/>
                <w:sz w:val="20"/>
                <w:szCs w:val="20"/>
              </w:rPr>
            </w:pPr>
            <w:r w:rsidRPr="00F447EE">
              <w:rPr>
                <w:color w:val="000000"/>
                <w:sz w:val="18"/>
                <w:szCs w:val="18"/>
              </w:rPr>
              <w:t>-0.692444 (0.80)</w:t>
            </w:r>
          </w:p>
        </w:tc>
        <w:tc>
          <w:tcPr>
            <w:tcW w:w="2018" w:type="dxa"/>
            <w:tcBorders>
              <w:bottom w:val="single" w:sz="4" w:space="0" w:color="auto"/>
            </w:tcBorders>
            <w:shd w:val="clear" w:color="auto" w:fill="auto"/>
            <w:vAlign w:val="bottom"/>
          </w:tcPr>
          <w:p w14:paraId="509133E1" w14:textId="77777777" w:rsidR="00E676F7" w:rsidRPr="00F447EE" w:rsidRDefault="00E676F7" w:rsidP="00094B17">
            <w:pPr>
              <w:autoSpaceDE w:val="0"/>
              <w:autoSpaceDN w:val="0"/>
              <w:adjustRightInd w:val="0"/>
              <w:jc w:val="both"/>
              <w:rPr>
                <w:color w:val="000000"/>
                <w:sz w:val="20"/>
                <w:szCs w:val="20"/>
              </w:rPr>
            </w:pPr>
            <w:r w:rsidRPr="00F447EE">
              <w:rPr>
                <w:color w:val="000000"/>
                <w:sz w:val="18"/>
                <w:szCs w:val="18"/>
              </w:rPr>
              <w:t>-2.904979 (0.20)</w:t>
            </w:r>
          </w:p>
        </w:tc>
        <w:tc>
          <w:tcPr>
            <w:tcW w:w="1809" w:type="dxa"/>
            <w:tcBorders>
              <w:bottom w:val="single" w:sz="4" w:space="0" w:color="auto"/>
            </w:tcBorders>
            <w:shd w:val="clear" w:color="auto" w:fill="auto"/>
            <w:vAlign w:val="bottom"/>
          </w:tcPr>
          <w:p w14:paraId="6D8017C0" w14:textId="77777777" w:rsidR="00E676F7" w:rsidRPr="00F447EE" w:rsidRDefault="00E676F7" w:rsidP="00094B17">
            <w:pPr>
              <w:autoSpaceDE w:val="0"/>
              <w:autoSpaceDN w:val="0"/>
              <w:adjustRightInd w:val="0"/>
              <w:jc w:val="both"/>
              <w:rPr>
                <w:color w:val="000000"/>
                <w:sz w:val="20"/>
                <w:szCs w:val="20"/>
              </w:rPr>
            </w:pPr>
            <w:r w:rsidRPr="00F447EE">
              <w:rPr>
                <w:color w:val="000000"/>
                <w:sz w:val="18"/>
                <w:szCs w:val="18"/>
              </w:rPr>
              <w:t>3.930289 (1.00)</w:t>
            </w:r>
          </w:p>
        </w:tc>
        <w:tc>
          <w:tcPr>
            <w:tcW w:w="1739" w:type="dxa"/>
            <w:tcBorders>
              <w:bottom w:val="single" w:sz="4" w:space="0" w:color="auto"/>
            </w:tcBorders>
            <w:shd w:val="clear" w:color="auto" w:fill="auto"/>
          </w:tcPr>
          <w:p w14:paraId="661C18DC" w14:textId="77777777" w:rsidR="00E676F7" w:rsidRPr="004D5A99" w:rsidRDefault="00E676F7" w:rsidP="00094B17">
            <w:pPr>
              <w:autoSpaceDE w:val="0"/>
              <w:autoSpaceDN w:val="0"/>
              <w:adjustRightInd w:val="0"/>
              <w:jc w:val="both"/>
              <w:rPr>
                <w:color w:val="000000"/>
                <w:sz w:val="20"/>
                <w:szCs w:val="20"/>
              </w:rPr>
            </w:pPr>
            <w:r w:rsidRPr="004D5A99">
              <w:rPr>
                <w:color w:val="000000"/>
                <w:sz w:val="20"/>
                <w:szCs w:val="20"/>
              </w:rPr>
              <w:t>Not Stationary</w:t>
            </w:r>
          </w:p>
        </w:tc>
      </w:tr>
    </w:tbl>
    <w:p w14:paraId="1A98C422" w14:textId="77777777" w:rsidR="0062084B" w:rsidRPr="004D5A99" w:rsidRDefault="0062084B" w:rsidP="0062084B">
      <w:pPr>
        <w:ind w:firstLine="720"/>
        <w:jc w:val="center"/>
        <w:rPr>
          <w:i/>
          <w:sz w:val="20"/>
          <w:szCs w:val="20"/>
        </w:rPr>
      </w:pPr>
      <w:r w:rsidRPr="004D5A99">
        <w:rPr>
          <w:i/>
          <w:sz w:val="20"/>
          <w:szCs w:val="20"/>
        </w:rPr>
        <w:t>So</w:t>
      </w:r>
      <w:r w:rsidR="007023DC">
        <w:rPr>
          <w:i/>
          <w:sz w:val="20"/>
          <w:szCs w:val="20"/>
        </w:rPr>
        <w:t>urce: Data output via E-views 12</w:t>
      </w:r>
      <w:r w:rsidRPr="004D5A99">
        <w:rPr>
          <w:i/>
          <w:sz w:val="20"/>
          <w:szCs w:val="20"/>
        </w:rPr>
        <w:t>.0</w:t>
      </w:r>
    </w:p>
    <w:p w14:paraId="71A9145B" w14:textId="77777777" w:rsidR="0062084B" w:rsidRPr="004D5A99" w:rsidRDefault="0062084B" w:rsidP="0062084B">
      <w:pPr>
        <w:ind w:left="720"/>
        <w:jc w:val="center"/>
        <w:rPr>
          <w:i/>
          <w:sz w:val="20"/>
          <w:szCs w:val="20"/>
        </w:rPr>
      </w:pPr>
      <w:r w:rsidRPr="004D5A99">
        <w:rPr>
          <w:i/>
          <w:sz w:val="20"/>
          <w:szCs w:val="20"/>
        </w:rPr>
        <w:t>Note: The optimal lag for ADF test is selected based on the Akaike Info Criteria (AIC), p-values are in parentheses where (*) &amp; (**) denote significance at 1% and 5% respectively.</w:t>
      </w:r>
    </w:p>
    <w:p w14:paraId="7E7ED640" w14:textId="2DF733CB" w:rsidR="0062084B" w:rsidRPr="004D5A99" w:rsidRDefault="001B60DC" w:rsidP="0062084B">
      <w:pPr>
        <w:ind w:left="720"/>
        <w:jc w:val="center"/>
        <w:rPr>
          <w:b/>
          <w:sz w:val="20"/>
          <w:szCs w:val="20"/>
        </w:rPr>
      </w:pPr>
      <w:r>
        <w:rPr>
          <w:b/>
          <w:sz w:val="20"/>
          <w:szCs w:val="20"/>
        </w:rPr>
        <w:t>Table 3</w:t>
      </w:r>
      <w:r w:rsidR="0062084B" w:rsidRPr="004D5A99">
        <w:rPr>
          <w:b/>
          <w:sz w:val="20"/>
          <w:szCs w:val="20"/>
        </w:rPr>
        <w:t>: Result of ADF Test at First Difference</w:t>
      </w:r>
    </w:p>
    <w:tbl>
      <w:tblPr>
        <w:tblW w:w="8640" w:type="dxa"/>
        <w:tblInd w:w="720" w:type="dxa"/>
        <w:tblLayout w:type="fixed"/>
        <w:tblLook w:val="0000" w:firstRow="0" w:lastRow="0" w:firstColumn="0" w:lastColumn="0" w:noHBand="0" w:noVBand="0"/>
      </w:tblPr>
      <w:tblGrid>
        <w:gridCol w:w="1265"/>
        <w:gridCol w:w="1701"/>
        <w:gridCol w:w="2126"/>
        <w:gridCol w:w="1809"/>
        <w:gridCol w:w="1739"/>
      </w:tblGrid>
      <w:tr w:rsidR="0062084B" w:rsidRPr="004D5A99" w14:paraId="0F278219" w14:textId="77777777" w:rsidTr="00E676F7">
        <w:tc>
          <w:tcPr>
            <w:tcW w:w="1265" w:type="dxa"/>
            <w:tcBorders>
              <w:top w:val="single" w:sz="4" w:space="0" w:color="auto"/>
              <w:bottom w:val="single" w:sz="4" w:space="0" w:color="auto"/>
            </w:tcBorders>
            <w:shd w:val="clear" w:color="auto" w:fill="auto"/>
          </w:tcPr>
          <w:p w14:paraId="62EE445E" w14:textId="77777777" w:rsidR="0062084B" w:rsidRPr="004D5A99" w:rsidRDefault="00DF0276" w:rsidP="00094B17">
            <w:pPr>
              <w:jc w:val="both"/>
              <w:rPr>
                <w:b/>
                <w:sz w:val="20"/>
                <w:szCs w:val="20"/>
              </w:rPr>
            </w:pPr>
            <w:r w:rsidRPr="004D5A99">
              <w:rPr>
                <w:b/>
                <w:sz w:val="20"/>
                <w:szCs w:val="20"/>
              </w:rPr>
              <w:fldChar w:fldCharType="begin"/>
            </w:r>
            <w:r w:rsidR="0062084B" w:rsidRPr="004D5A99">
              <w:rPr>
                <w:b/>
                <w:sz w:val="20"/>
                <w:szCs w:val="20"/>
              </w:rPr>
              <w:instrText xml:space="preserve"> QUOTE </w:instrText>
            </w:r>
            <w:r w:rsidR="0062084B" w:rsidRPr="004D5A99">
              <w:rPr>
                <w:rFonts w:ascii="Cambria Math" w:hAnsi="Cambria Math" w:cs="Cambria Math"/>
                <w:b/>
                <w:sz w:val="20"/>
                <w:szCs w:val="20"/>
              </w:rPr>
              <w:instrText>𝐺𝑅𝐺𝐷𝑃</w:instrText>
            </w:r>
            <w:r w:rsidRPr="004D5A99">
              <w:rPr>
                <w:b/>
                <w:sz w:val="20"/>
                <w:szCs w:val="20"/>
              </w:rPr>
              <w:fldChar w:fldCharType="begin"/>
            </w:r>
            <w:r w:rsidR="0062084B" w:rsidRPr="004D5A99">
              <w:rPr>
                <w:b/>
                <w:sz w:val="20"/>
                <w:szCs w:val="20"/>
              </w:rPr>
              <w:instrText xml:space="preserve"> QUOTE </w:instrText>
            </w:r>
            <w:r w:rsidR="00074C43">
              <w:rPr>
                <w:b/>
                <w:position w:val="-6"/>
                <w:sz w:val="20"/>
                <w:szCs w:val="20"/>
              </w:rPr>
              <w:pict w14:anchorId="538AC306">
                <v:shape id="_x0000_i1027" type="#_x0000_t75" style="width:2.65pt;height:12.7pt" equationxml="&lt;">
                  <v:imagedata r:id="rId9" o:title="" chromakey="white"/>
                </v:shape>
              </w:pict>
            </w:r>
            <w:r w:rsidRPr="004D5A99">
              <w:rPr>
                <w:b/>
                <w:sz w:val="20"/>
                <w:szCs w:val="20"/>
              </w:rPr>
              <w:fldChar w:fldCharType="separate"/>
            </w:r>
            <w:r w:rsidR="00074C43">
              <w:rPr>
                <w:b/>
                <w:position w:val="-6"/>
                <w:sz w:val="20"/>
                <w:szCs w:val="20"/>
              </w:rPr>
              <w:pict w14:anchorId="0D68ACAD">
                <v:shape id="_x0000_i1028" type="#_x0000_t75" style="width:2.65pt;height:12.7pt" equationxml="&lt;">
                  <v:imagedata r:id="rId9" o:title="" chromakey="white"/>
                </v:shape>
              </w:pict>
            </w:r>
            <w:r w:rsidRPr="004D5A99">
              <w:rPr>
                <w:b/>
                <w:sz w:val="20"/>
                <w:szCs w:val="20"/>
              </w:rPr>
              <w:fldChar w:fldCharType="end"/>
            </w:r>
            <w:r w:rsidR="0062084B" w:rsidRPr="004D5A99">
              <w:rPr>
                <w:rFonts w:ascii="Cambria Math" w:hAnsi="Cambria Math" w:cs="Cambria Math"/>
                <w:b/>
                <w:sz w:val="20"/>
                <w:szCs w:val="20"/>
              </w:rPr>
              <w:instrText>𝑃𝑖</w:instrText>
            </w:r>
            <w:r w:rsidR="0062084B" w:rsidRPr="004D5A99">
              <w:rPr>
                <w:b/>
                <w:sz w:val="20"/>
                <w:szCs w:val="20"/>
              </w:rPr>
              <w:instrText>,</w:instrText>
            </w:r>
            <w:r w:rsidR="0062084B" w:rsidRPr="004D5A99">
              <w:rPr>
                <w:rFonts w:ascii="Cambria Math" w:hAnsi="Cambria Math" w:cs="Cambria Math"/>
                <w:b/>
                <w:sz w:val="20"/>
                <w:szCs w:val="20"/>
              </w:rPr>
              <w:instrText>𝑡</w:instrText>
            </w:r>
            <w:r w:rsidRPr="004D5A99">
              <w:rPr>
                <w:b/>
                <w:sz w:val="20"/>
                <w:szCs w:val="20"/>
              </w:rPr>
              <w:fldChar w:fldCharType="end"/>
            </w:r>
            <w:r w:rsidR="0062084B" w:rsidRPr="004D5A99">
              <w:rPr>
                <w:b/>
                <w:sz w:val="20"/>
                <w:szCs w:val="20"/>
              </w:rPr>
              <w:t>Variables</w:t>
            </w:r>
          </w:p>
        </w:tc>
        <w:tc>
          <w:tcPr>
            <w:tcW w:w="1701" w:type="dxa"/>
            <w:tcBorders>
              <w:top w:val="single" w:sz="4" w:space="0" w:color="auto"/>
              <w:bottom w:val="single" w:sz="4" w:space="0" w:color="auto"/>
            </w:tcBorders>
            <w:shd w:val="clear" w:color="auto" w:fill="auto"/>
          </w:tcPr>
          <w:p w14:paraId="69C1B25F" w14:textId="77777777" w:rsidR="0062084B" w:rsidRPr="004D5A99" w:rsidRDefault="0062084B" w:rsidP="00094B17">
            <w:pPr>
              <w:jc w:val="both"/>
              <w:rPr>
                <w:b/>
                <w:sz w:val="20"/>
                <w:szCs w:val="20"/>
              </w:rPr>
            </w:pPr>
            <w:r w:rsidRPr="004D5A99">
              <w:rPr>
                <w:b/>
                <w:sz w:val="20"/>
                <w:szCs w:val="20"/>
              </w:rPr>
              <w:t>Intercept</w:t>
            </w:r>
          </w:p>
        </w:tc>
        <w:tc>
          <w:tcPr>
            <w:tcW w:w="2126" w:type="dxa"/>
            <w:tcBorders>
              <w:top w:val="single" w:sz="4" w:space="0" w:color="auto"/>
              <w:bottom w:val="single" w:sz="4" w:space="0" w:color="auto"/>
            </w:tcBorders>
            <w:shd w:val="clear" w:color="auto" w:fill="auto"/>
          </w:tcPr>
          <w:p w14:paraId="46E4D9C0" w14:textId="77777777" w:rsidR="0062084B" w:rsidRPr="004D5A99" w:rsidRDefault="0062084B" w:rsidP="00094B17">
            <w:pPr>
              <w:jc w:val="both"/>
              <w:rPr>
                <w:b/>
                <w:sz w:val="20"/>
                <w:szCs w:val="20"/>
              </w:rPr>
            </w:pPr>
            <w:r w:rsidRPr="004D5A99">
              <w:rPr>
                <w:b/>
                <w:sz w:val="20"/>
                <w:szCs w:val="20"/>
              </w:rPr>
              <w:t>Trend &amp; Intercept</w:t>
            </w:r>
          </w:p>
        </w:tc>
        <w:tc>
          <w:tcPr>
            <w:tcW w:w="1809" w:type="dxa"/>
            <w:tcBorders>
              <w:top w:val="single" w:sz="4" w:space="0" w:color="auto"/>
              <w:bottom w:val="single" w:sz="4" w:space="0" w:color="auto"/>
            </w:tcBorders>
            <w:shd w:val="clear" w:color="auto" w:fill="auto"/>
          </w:tcPr>
          <w:p w14:paraId="54828286" w14:textId="77777777" w:rsidR="0062084B" w:rsidRPr="004D5A99" w:rsidRDefault="0062084B" w:rsidP="00094B17">
            <w:pPr>
              <w:jc w:val="both"/>
              <w:rPr>
                <w:b/>
                <w:sz w:val="20"/>
                <w:szCs w:val="20"/>
              </w:rPr>
            </w:pPr>
            <w:r w:rsidRPr="004D5A99">
              <w:rPr>
                <w:b/>
                <w:color w:val="000000"/>
                <w:sz w:val="20"/>
                <w:szCs w:val="20"/>
              </w:rPr>
              <w:t xml:space="preserve"> None</w:t>
            </w:r>
          </w:p>
        </w:tc>
        <w:tc>
          <w:tcPr>
            <w:tcW w:w="1739" w:type="dxa"/>
            <w:tcBorders>
              <w:top w:val="single" w:sz="4" w:space="0" w:color="auto"/>
              <w:bottom w:val="single" w:sz="4" w:space="0" w:color="auto"/>
            </w:tcBorders>
            <w:shd w:val="clear" w:color="auto" w:fill="auto"/>
          </w:tcPr>
          <w:p w14:paraId="2DD63E79" w14:textId="77777777" w:rsidR="0062084B" w:rsidRPr="004D5A99" w:rsidRDefault="0062084B" w:rsidP="00094B17">
            <w:pPr>
              <w:jc w:val="both"/>
              <w:rPr>
                <w:b/>
                <w:sz w:val="20"/>
                <w:szCs w:val="20"/>
              </w:rPr>
            </w:pPr>
            <w:r w:rsidRPr="004D5A99">
              <w:rPr>
                <w:b/>
                <w:sz w:val="20"/>
                <w:szCs w:val="20"/>
              </w:rPr>
              <w:t>Inference</w:t>
            </w:r>
          </w:p>
        </w:tc>
      </w:tr>
      <w:tr w:rsidR="0062084B" w:rsidRPr="004D5A99" w14:paraId="1D062FE2" w14:textId="77777777" w:rsidTr="00E676F7">
        <w:tc>
          <w:tcPr>
            <w:tcW w:w="1265" w:type="dxa"/>
            <w:tcBorders>
              <w:top w:val="single" w:sz="4" w:space="0" w:color="auto"/>
            </w:tcBorders>
            <w:shd w:val="clear" w:color="auto" w:fill="auto"/>
            <w:vAlign w:val="bottom"/>
          </w:tcPr>
          <w:p w14:paraId="79B6C043" w14:textId="77777777" w:rsidR="0062084B" w:rsidRPr="004D5A99" w:rsidRDefault="0062084B" w:rsidP="00094B17">
            <w:pPr>
              <w:pBdr>
                <w:between w:val="single" w:sz="4" w:space="1" w:color="auto"/>
              </w:pBdr>
              <w:autoSpaceDE w:val="0"/>
              <w:autoSpaceDN w:val="0"/>
              <w:adjustRightInd w:val="0"/>
              <w:rPr>
                <w:color w:val="000000"/>
                <w:sz w:val="20"/>
                <w:szCs w:val="20"/>
              </w:rPr>
            </w:pPr>
            <w:r>
              <w:rPr>
                <w:color w:val="000000"/>
                <w:sz w:val="20"/>
                <w:szCs w:val="20"/>
              </w:rPr>
              <w:t>TFCR</w:t>
            </w:r>
          </w:p>
        </w:tc>
        <w:tc>
          <w:tcPr>
            <w:tcW w:w="1701" w:type="dxa"/>
            <w:tcBorders>
              <w:top w:val="single" w:sz="4" w:space="0" w:color="auto"/>
            </w:tcBorders>
            <w:shd w:val="clear" w:color="auto" w:fill="auto"/>
            <w:vAlign w:val="bottom"/>
          </w:tcPr>
          <w:p w14:paraId="72FAB99B" w14:textId="77777777" w:rsidR="0062084B" w:rsidRPr="00464505" w:rsidRDefault="0062084B" w:rsidP="00094B17">
            <w:pPr>
              <w:autoSpaceDE w:val="0"/>
              <w:autoSpaceDN w:val="0"/>
              <w:adjustRightInd w:val="0"/>
              <w:jc w:val="both"/>
              <w:rPr>
                <w:color w:val="000000"/>
                <w:sz w:val="20"/>
                <w:szCs w:val="20"/>
              </w:rPr>
            </w:pPr>
            <w:r w:rsidRPr="00464505">
              <w:rPr>
                <w:color w:val="000000"/>
                <w:sz w:val="18"/>
                <w:szCs w:val="18"/>
              </w:rPr>
              <w:t>-2.502026 (0.15)</w:t>
            </w:r>
          </w:p>
        </w:tc>
        <w:tc>
          <w:tcPr>
            <w:tcW w:w="2126" w:type="dxa"/>
            <w:tcBorders>
              <w:top w:val="single" w:sz="4" w:space="0" w:color="auto"/>
            </w:tcBorders>
            <w:shd w:val="clear" w:color="auto" w:fill="auto"/>
            <w:vAlign w:val="bottom"/>
          </w:tcPr>
          <w:p w14:paraId="17AF6579" w14:textId="77777777" w:rsidR="0062084B" w:rsidRPr="00464505" w:rsidRDefault="0062084B" w:rsidP="00094B17">
            <w:pPr>
              <w:autoSpaceDE w:val="0"/>
              <w:autoSpaceDN w:val="0"/>
              <w:adjustRightInd w:val="0"/>
              <w:jc w:val="both"/>
              <w:rPr>
                <w:color w:val="000000"/>
                <w:sz w:val="20"/>
                <w:szCs w:val="20"/>
              </w:rPr>
            </w:pPr>
            <w:r w:rsidRPr="00464505">
              <w:rPr>
                <w:color w:val="000000"/>
                <w:sz w:val="18"/>
                <w:szCs w:val="18"/>
              </w:rPr>
              <w:t>-2.901075 (0.21)</w:t>
            </w:r>
          </w:p>
        </w:tc>
        <w:tc>
          <w:tcPr>
            <w:tcW w:w="1809" w:type="dxa"/>
            <w:tcBorders>
              <w:top w:val="single" w:sz="4" w:space="0" w:color="auto"/>
            </w:tcBorders>
            <w:shd w:val="clear" w:color="auto" w:fill="auto"/>
            <w:vAlign w:val="bottom"/>
          </w:tcPr>
          <w:p w14:paraId="3ED497AB" w14:textId="77777777" w:rsidR="0062084B" w:rsidRPr="00464505" w:rsidRDefault="0062084B" w:rsidP="00094B17">
            <w:pPr>
              <w:autoSpaceDE w:val="0"/>
              <w:autoSpaceDN w:val="0"/>
              <w:adjustRightInd w:val="0"/>
              <w:jc w:val="both"/>
              <w:rPr>
                <w:color w:val="000000"/>
                <w:sz w:val="20"/>
                <w:szCs w:val="20"/>
              </w:rPr>
            </w:pPr>
            <w:r w:rsidRPr="00464505">
              <w:rPr>
                <w:color w:val="000000"/>
                <w:sz w:val="18"/>
                <w:szCs w:val="18"/>
              </w:rPr>
              <w:t>-2.619921 (0.02)**</w:t>
            </w:r>
          </w:p>
        </w:tc>
        <w:tc>
          <w:tcPr>
            <w:tcW w:w="1739" w:type="dxa"/>
            <w:tcBorders>
              <w:top w:val="single" w:sz="4" w:space="0" w:color="auto"/>
            </w:tcBorders>
            <w:shd w:val="clear" w:color="auto" w:fill="auto"/>
          </w:tcPr>
          <w:p w14:paraId="7CCB443F" w14:textId="77777777" w:rsidR="0062084B" w:rsidRPr="004D5A99" w:rsidRDefault="0062084B" w:rsidP="00094B17">
            <w:pPr>
              <w:autoSpaceDE w:val="0"/>
              <w:autoSpaceDN w:val="0"/>
              <w:adjustRightInd w:val="0"/>
              <w:jc w:val="both"/>
              <w:rPr>
                <w:color w:val="000000"/>
                <w:sz w:val="20"/>
                <w:szCs w:val="20"/>
              </w:rPr>
            </w:pPr>
            <w:r w:rsidRPr="004D5A99">
              <w:rPr>
                <w:color w:val="000000"/>
                <w:sz w:val="20"/>
                <w:szCs w:val="20"/>
              </w:rPr>
              <w:t xml:space="preserve">Stationary </w:t>
            </w:r>
          </w:p>
        </w:tc>
      </w:tr>
      <w:tr w:rsidR="0062084B" w:rsidRPr="004D5A99" w14:paraId="1C94B0A4" w14:textId="77777777" w:rsidTr="00E676F7">
        <w:tc>
          <w:tcPr>
            <w:tcW w:w="1265" w:type="dxa"/>
            <w:shd w:val="clear" w:color="auto" w:fill="auto"/>
            <w:vAlign w:val="bottom"/>
          </w:tcPr>
          <w:p w14:paraId="1167A27C" w14:textId="77777777" w:rsidR="0062084B" w:rsidRPr="004D5A99" w:rsidRDefault="0062084B" w:rsidP="00094B17">
            <w:pPr>
              <w:pBdr>
                <w:between w:val="single" w:sz="4" w:space="1" w:color="auto"/>
              </w:pBdr>
              <w:autoSpaceDE w:val="0"/>
              <w:autoSpaceDN w:val="0"/>
              <w:adjustRightInd w:val="0"/>
              <w:rPr>
                <w:color w:val="000000"/>
                <w:sz w:val="20"/>
                <w:szCs w:val="20"/>
              </w:rPr>
            </w:pPr>
            <w:r>
              <w:rPr>
                <w:color w:val="000000"/>
                <w:sz w:val="20"/>
                <w:szCs w:val="20"/>
              </w:rPr>
              <w:t>PPT</w:t>
            </w:r>
          </w:p>
        </w:tc>
        <w:tc>
          <w:tcPr>
            <w:tcW w:w="1701" w:type="dxa"/>
            <w:shd w:val="clear" w:color="auto" w:fill="auto"/>
          </w:tcPr>
          <w:p w14:paraId="4FD1170F" w14:textId="77777777" w:rsidR="0062084B" w:rsidRPr="00464505" w:rsidRDefault="0062084B" w:rsidP="00094B17">
            <w:pPr>
              <w:autoSpaceDE w:val="0"/>
              <w:autoSpaceDN w:val="0"/>
              <w:adjustRightInd w:val="0"/>
              <w:jc w:val="both"/>
              <w:rPr>
                <w:color w:val="000000"/>
                <w:sz w:val="20"/>
                <w:szCs w:val="20"/>
              </w:rPr>
            </w:pPr>
            <w:r w:rsidRPr="00464505">
              <w:rPr>
                <w:color w:val="000000"/>
                <w:sz w:val="18"/>
                <w:szCs w:val="18"/>
              </w:rPr>
              <w:t>-2.189600 (0.22)</w:t>
            </w:r>
          </w:p>
        </w:tc>
        <w:tc>
          <w:tcPr>
            <w:tcW w:w="2126" w:type="dxa"/>
            <w:shd w:val="clear" w:color="auto" w:fill="auto"/>
            <w:vAlign w:val="bottom"/>
          </w:tcPr>
          <w:p w14:paraId="236E7424" w14:textId="77777777" w:rsidR="0062084B" w:rsidRPr="00464505" w:rsidRDefault="0062084B" w:rsidP="00094B17">
            <w:pPr>
              <w:autoSpaceDE w:val="0"/>
              <w:autoSpaceDN w:val="0"/>
              <w:adjustRightInd w:val="0"/>
              <w:jc w:val="both"/>
              <w:rPr>
                <w:color w:val="000000"/>
                <w:sz w:val="20"/>
                <w:szCs w:val="20"/>
              </w:rPr>
            </w:pPr>
            <w:r w:rsidRPr="00464505">
              <w:rPr>
                <w:color w:val="000000"/>
                <w:sz w:val="18"/>
                <w:szCs w:val="18"/>
              </w:rPr>
              <w:t>-2.285190 (0.40)</w:t>
            </w:r>
          </w:p>
        </w:tc>
        <w:tc>
          <w:tcPr>
            <w:tcW w:w="1809" w:type="dxa"/>
            <w:shd w:val="clear" w:color="auto" w:fill="auto"/>
            <w:vAlign w:val="bottom"/>
          </w:tcPr>
          <w:p w14:paraId="5F6A4CD0" w14:textId="77777777" w:rsidR="0062084B" w:rsidRPr="00464505" w:rsidRDefault="0062084B" w:rsidP="00094B17">
            <w:pPr>
              <w:autoSpaceDE w:val="0"/>
              <w:autoSpaceDN w:val="0"/>
              <w:adjustRightInd w:val="0"/>
              <w:jc w:val="both"/>
              <w:rPr>
                <w:color w:val="000000"/>
                <w:sz w:val="20"/>
                <w:szCs w:val="20"/>
              </w:rPr>
            </w:pPr>
            <w:r w:rsidRPr="00464505">
              <w:rPr>
                <w:color w:val="000000"/>
                <w:sz w:val="18"/>
                <w:szCs w:val="18"/>
              </w:rPr>
              <w:t>-2.327028 (0.03)**</w:t>
            </w:r>
          </w:p>
        </w:tc>
        <w:tc>
          <w:tcPr>
            <w:tcW w:w="1739" w:type="dxa"/>
            <w:shd w:val="clear" w:color="auto" w:fill="auto"/>
          </w:tcPr>
          <w:p w14:paraId="0C11A933" w14:textId="77777777" w:rsidR="0062084B" w:rsidRPr="004D5A99" w:rsidRDefault="0062084B" w:rsidP="00094B17">
            <w:pPr>
              <w:autoSpaceDE w:val="0"/>
              <w:autoSpaceDN w:val="0"/>
              <w:adjustRightInd w:val="0"/>
              <w:jc w:val="both"/>
              <w:rPr>
                <w:color w:val="000000"/>
                <w:sz w:val="20"/>
                <w:szCs w:val="20"/>
              </w:rPr>
            </w:pPr>
            <w:r w:rsidRPr="004D5A99">
              <w:rPr>
                <w:color w:val="000000"/>
                <w:sz w:val="20"/>
                <w:szCs w:val="20"/>
              </w:rPr>
              <w:t>Stationary</w:t>
            </w:r>
          </w:p>
        </w:tc>
      </w:tr>
      <w:tr w:rsidR="0062084B" w:rsidRPr="004D5A99" w14:paraId="790F73DB" w14:textId="77777777" w:rsidTr="00E676F7">
        <w:tc>
          <w:tcPr>
            <w:tcW w:w="1265" w:type="dxa"/>
            <w:shd w:val="clear" w:color="auto" w:fill="auto"/>
            <w:vAlign w:val="bottom"/>
          </w:tcPr>
          <w:p w14:paraId="0F495661" w14:textId="77777777" w:rsidR="0062084B" w:rsidRPr="004D5A99" w:rsidRDefault="0062084B" w:rsidP="00094B17">
            <w:pPr>
              <w:pBdr>
                <w:between w:val="single" w:sz="4" w:space="1" w:color="auto"/>
              </w:pBdr>
              <w:autoSpaceDE w:val="0"/>
              <w:autoSpaceDN w:val="0"/>
              <w:adjustRightInd w:val="0"/>
              <w:rPr>
                <w:color w:val="000000"/>
                <w:sz w:val="20"/>
                <w:szCs w:val="20"/>
              </w:rPr>
            </w:pPr>
            <w:r>
              <w:rPr>
                <w:color w:val="000000"/>
                <w:sz w:val="20"/>
                <w:szCs w:val="20"/>
              </w:rPr>
              <w:t>CIT</w:t>
            </w:r>
          </w:p>
        </w:tc>
        <w:tc>
          <w:tcPr>
            <w:tcW w:w="1701" w:type="dxa"/>
            <w:shd w:val="clear" w:color="auto" w:fill="auto"/>
          </w:tcPr>
          <w:p w14:paraId="0B836FB4" w14:textId="77777777" w:rsidR="0062084B" w:rsidRPr="00464505" w:rsidRDefault="0062084B" w:rsidP="00094B17">
            <w:pPr>
              <w:autoSpaceDE w:val="0"/>
              <w:autoSpaceDN w:val="0"/>
              <w:adjustRightInd w:val="0"/>
              <w:jc w:val="both"/>
              <w:rPr>
                <w:color w:val="000000"/>
                <w:sz w:val="20"/>
                <w:szCs w:val="20"/>
              </w:rPr>
            </w:pPr>
            <w:r w:rsidRPr="00464505">
              <w:rPr>
                <w:color w:val="000000"/>
                <w:sz w:val="18"/>
                <w:szCs w:val="18"/>
              </w:rPr>
              <w:t>-1.971807 (0.29)</w:t>
            </w:r>
          </w:p>
        </w:tc>
        <w:tc>
          <w:tcPr>
            <w:tcW w:w="2126" w:type="dxa"/>
            <w:shd w:val="clear" w:color="auto" w:fill="auto"/>
            <w:vAlign w:val="bottom"/>
          </w:tcPr>
          <w:p w14:paraId="4C61032A" w14:textId="77777777" w:rsidR="0062084B" w:rsidRPr="00464505" w:rsidRDefault="0062084B" w:rsidP="00094B17">
            <w:pPr>
              <w:autoSpaceDE w:val="0"/>
              <w:autoSpaceDN w:val="0"/>
              <w:adjustRightInd w:val="0"/>
              <w:jc w:val="both"/>
              <w:rPr>
                <w:color w:val="000000"/>
                <w:sz w:val="20"/>
                <w:szCs w:val="20"/>
              </w:rPr>
            </w:pPr>
            <w:r w:rsidRPr="00464505">
              <w:rPr>
                <w:color w:val="000000"/>
                <w:sz w:val="18"/>
                <w:szCs w:val="18"/>
              </w:rPr>
              <w:t>-2.893219 (0.21)</w:t>
            </w:r>
          </w:p>
        </w:tc>
        <w:tc>
          <w:tcPr>
            <w:tcW w:w="1809" w:type="dxa"/>
            <w:shd w:val="clear" w:color="auto" w:fill="auto"/>
            <w:vAlign w:val="bottom"/>
          </w:tcPr>
          <w:p w14:paraId="40C333A1" w14:textId="77777777" w:rsidR="0062084B" w:rsidRPr="00464505" w:rsidRDefault="0062084B" w:rsidP="00094B17">
            <w:pPr>
              <w:autoSpaceDE w:val="0"/>
              <w:autoSpaceDN w:val="0"/>
              <w:adjustRightInd w:val="0"/>
              <w:jc w:val="both"/>
              <w:rPr>
                <w:color w:val="000000"/>
                <w:sz w:val="20"/>
                <w:szCs w:val="20"/>
              </w:rPr>
            </w:pPr>
            <w:r w:rsidRPr="00464505">
              <w:rPr>
                <w:color w:val="000000"/>
                <w:sz w:val="18"/>
                <w:szCs w:val="18"/>
              </w:rPr>
              <w:t>-2.185805 (0.03)**</w:t>
            </w:r>
          </w:p>
        </w:tc>
        <w:tc>
          <w:tcPr>
            <w:tcW w:w="1739" w:type="dxa"/>
            <w:shd w:val="clear" w:color="auto" w:fill="auto"/>
          </w:tcPr>
          <w:p w14:paraId="1BA08B5F" w14:textId="77777777" w:rsidR="0062084B" w:rsidRPr="004D5A99" w:rsidRDefault="0062084B" w:rsidP="00094B17">
            <w:pPr>
              <w:autoSpaceDE w:val="0"/>
              <w:autoSpaceDN w:val="0"/>
              <w:adjustRightInd w:val="0"/>
              <w:jc w:val="both"/>
              <w:rPr>
                <w:color w:val="000000"/>
                <w:sz w:val="20"/>
                <w:szCs w:val="20"/>
              </w:rPr>
            </w:pPr>
            <w:r w:rsidRPr="004D5A99">
              <w:rPr>
                <w:color w:val="000000"/>
                <w:sz w:val="20"/>
                <w:szCs w:val="20"/>
              </w:rPr>
              <w:t>Stationary</w:t>
            </w:r>
          </w:p>
        </w:tc>
      </w:tr>
      <w:tr w:rsidR="00E676F7" w:rsidRPr="004D5A99" w14:paraId="14DBF03C" w14:textId="77777777" w:rsidTr="00E676F7">
        <w:tc>
          <w:tcPr>
            <w:tcW w:w="1265" w:type="dxa"/>
            <w:tcBorders>
              <w:bottom w:val="single" w:sz="4" w:space="0" w:color="auto"/>
            </w:tcBorders>
            <w:shd w:val="clear" w:color="auto" w:fill="auto"/>
            <w:vAlign w:val="bottom"/>
          </w:tcPr>
          <w:p w14:paraId="60DC892D" w14:textId="77777777" w:rsidR="00E676F7" w:rsidRPr="004D5A99" w:rsidRDefault="00E676F7" w:rsidP="00094B17">
            <w:pPr>
              <w:pBdr>
                <w:between w:val="single" w:sz="4" w:space="1" w:color="auto"/>
              </w:pBdr>
              <w:autoSpaceDE w:val="0"/>
              <w:autoSpaceDN w:val="0"/>
              <w:adjustRightInd w:val="0"/>
              <w:rPr>
                <w:color w:val="000000"/>
                <w:sz w:val="20"/>
                <w:szCs w:val="20"/>
              </w:rPr>
            </w:pPr>
            <w:r>
              <w:rPr>
                <w:color w:val="000000"/>
                <w:sz w:val="20"/>
                <w:szCs w:val="20"/>
              </w:rPr>
              <w:t>VAT</w:t>
            </w:r>
          </w:p>
        </w:tc>
        <w:tc>
          <w:tcPr>
            <w:tcW w:w="1701" w:type="dxa"/>
            <w:tcBorders>
              <w:bottom w:val="single" w:sz="4" w:space="0" w:color="auto"/>
            </w:tcBorders>
            <w:shd w:val="clear" w:color="auto" w:fill="auto"/>
          </w:tcPr>
          <w:p w14:paraId="07875D7D" w14:textId="77777777" w:rsidR="00E676F7" w:rsidRPr="00464505" w:rsidRDefault="00E676F7" w:rsidP="00094B17">
            <w:pPr>
              <w:autoSpaceDE w:val="0"/>
              <w:autoSpaceDN w:val="0"/>
              <w:adjustRightInd w:val="0"/>
              <w:jc w:val="both"/>
              <w:rPr>
                <w:color w:val="000000"/>
                <w:sz w:val="20"/>
                <w:szCs w:val="20"/>
              </w:rPr>
            </w:pPr>
            <w:r w:rsidRPr="00464505">
              <w:rPr>
                <w:color w:val="000000"/>
                <w:sz w:val="18"/>
                <w:szCs w:val="18"/>
              </w:rPr>
              <w:t>-2.568677 (0.32)</w:t>
            </w:r>
          </w:p>
        </w:tc>
        <w:tc>
          <w:tcPr>
            <w:tcW w:w="2126" w:type="dxa"/>
            <w:tcBorders>
              <w:bottom w:val="single" w:sz="4" w:space="0" w:color="auto"/>
            </w:tcBorders>
            <w:shd w:val="clear" w:color="auto" w:fill="auto"/>
            <w:vAlign w:val="bottom"/>
          </w:tcPr>
          <w:p w14:paraId="6F1A4B97" w14:textId="77777777" w:rsidR="00E676F7" w:rsidRPr="00464505" w:rsidRDefault="00E676F7" w:rsidP="00094B17">
            <w:pPr>
              <w:autoSpaceDE w:val="0"/>
              <w:autoSpaceDN w:val="0"/>
              <w:adjustRightInd w:val="0"/>
              <w:jc w:val="both"/>
              <w:rPr>
                <w:color w:val="000000"/>
                <w:sz w:val="20"/>
                <w:szCs w:val="20"/>
              </w:rPr>
            </w:pPr>
            <w:r w:rsidRPr="00464505">
              <w:rPr>
                <w:color w:val="000000"/>
                <w:sz w:val="18"/>
                <w:szCs w:val="18"/>
              </w:rPr>
              <w:t>-2.469887 (0.33)</w:t>
            </w:r>
          </w:p>
        </w:tc>
        <w:tc>
          <w:tcPr>
            <w:tcW w:w="1809" w:type="dxa"/>
            <w:tcBorders>
              <w:bottom w:val="single" w:sz="4" w:space="0" w:color="auto"/>
            </w:tcBorders>
            <w:shd w:val="clear" w:color="auto" w:fill="auto"/>
            <w:vAlign w:val="bottom"/>
          </w:tcPr>
          <w:p w14:paraId="5ED2CF1F" w14:textId="77777777" w:rsidR="00E676F7" w:rsidRPr="00464505" w:rsidRDefault="00E676F7" w:rsidP="00094B17">
            <w:pPr>
              <w:autoSpaceDE w:val="0"/>
              <w:autoSpaceDN w:val="0"/>
              <w:adjustRightInd w:val="0"/>
              <w:jc w:val="both"/>
              <w:rPr>
                <w:color w:val="000000"/>
                <w:sz w:val="20"/>
                <w:szCs w:val="20"/>
              </w:rPr>
            </w:pPr>
            <w:r w:rsidRPr="00464505">
              <w:rPr>
                <w:color w:val="000000"/>
                <w:sz w:val="18"/>
                <w:szCs w:val="18"/>
              </w:rPr>
              <w:t>-2.714899 (0.01)*</w:t>
            </w:r>
          </w:p>
        </w:tc>
        <w:tc>
          <w:tcPr>
            <w:tcW w:w="1739" w:type="dxa"/>
            <w:tcBorders>
              <w:bottom w:val="single" w:sz="4" w:space="0" w:color="auto"/>
            </w:tcBorders>
            <w:shd w:val="clear" w:color="auto" w:fill="auto"/>
          </w:tcPr>
          <w:p w14:paraId="5860CE6C" w14:textId="77777777" w:rsidR="00E676F7" w:rsidRPr="004D5A99" w:rsidRDefault="00E676F7" w:rsidP="00094B17">
            <w:pPr>
              <w:autoSpaceDE w:val="0"/>
              <w:autoSpaceDN w:val="0"/>
              <w:adjustRightInd w:val="0"/>
              <w:jc w:val="both"/>
              <w:rPr>
                <w:color w:val="000000"/>
                <w:sz w:val="20"/>
                <w:szCs w:val="20"/>
              </w:rPr>
            </w:pPr>
            <w:r w:rsidRPr="004D5A99">
              <w:rPr>
                <w:color w:val="000000"/>
                <w:sz w:val="20"/>
                <w:szCs w:val="20"/>
              </w:rPr>
              <w:t>Stationary</w:t>
            </w:r>
          </w:p>
        </w:tc>
      </w:tr>
    </w:tbl>
    <w:p w14:paraId="549BEFF5" w14:textId="77777777" w:rsidR="0062084B" w:rsidRPr="004D5A99" w:rsidRDefault="0062084B" w:rsidP="0062084B">
      <w:pPr>
        <w:ind w:firstLine="720"/>
        <w:jc w:val="center"/>
        <w:rPr>
          <w:i/>
          <w:sz w:val="20"/>
          <w:szCs w:val="20"/>
        </w:rPr>
      </w:pPr>
      <w:r w:rsidRPr="004D5A99">
        <w:rPr>
          <w:i/>
          <w:sz w:val="20"/>
          <w:szCs w:val="20"/>
        </w:rPr>
        <w:t>Source: Data output via E-views 1</w:t>
      </w:r>
      <w:r w:rsidR="007023DC">
        <w:rPr>
          <w:i/>
          <w:sz w:val="20"/>
          <w:szCs w:val="20"/>
        </w:rPr>
        <w:t>2</w:t>
      </w:r>
      <w:r w:rsidRPr="004D5A99">
        <w:rPr>
          <w:i/>
          <w:sz w:val="20"/>
          <w:szCs w:val="20"/>
        </w:rPr>
        <w:t>.0</w:t>
      </w:r>
    </w:p>
    <w:p w14:paraId="7D5172C0" w14:textId="77777777" w:rsidR="0062084B" w:rsidRPr="004D5A99" w:rsidRDefault="0062084B" w:rsidP="0062084B">
      <w:pPr>
        <w:ind w:left="720"/>
        <w:jc w:val="center"/>
        <w:rPr>
          <w:i/>
          <w:sz w:val="20"/>
          <w:szCs w:val="20"/>
        </w:rPr>
      </w:pPr>
      <w:r w:rsidRPr="004D5A99">
        <w:rPr>
          <w:i/>
          <w:sz w:val="20"/>
          <w:szCs w:val="20"/>
        </w:rPr>
        <w:t>Note: The optimal lag for ADF test is selected based on the Akaike Info Criteria (AIC), p-values are in parentheses where (*) &amp; (**) denote significance at 1% and 5% respectively.</w:t>
      </w:r>
    </w:p>
    <w:p w14:paraId="38AC2D68" w14:textId="06F4D4EA" w:rsidR="0062084B" w:rsidRPr="004D5A99" w:rsidRDefault="001B60DC" w:rsidP="0062084B">
      <w:pPr>
        <w:ind w:left="720"/>
        <w:jc w:val="center"/>
        <w:rPr>
          <w:b/>
          <w:sz w:val="20"/>
          <w:szCs w:val="20"/>
        </w:rPr>
      </w:pPr>
      <w:r>
        <w:rPr>
          <w:b/>
          <w:sz w:val="20"/>
          <w:szCs w:val="20"/>
        </w:rPr>
        <w:t>Table 4</w:t>
      </w:r>
      <w:r w:rsidR="0062084B" w:rsidRPr="004D5A99">
        <w:rPr>
          <w:b/>
          <w:sz w:val="20"/>
          <w:szCs w:val="20"/>
        </w:rPr>
        <w:t>: Result of PP Test at Level</w:t>
      </w:r>
    </w:p>
    <w:tbl>
      <w:tblPr>
        <w:tblW w:w="8640" w:type="dxa"/>
        <w:tblInd w:w="720" w:type="dxa"/>
        <w:tblLayout w:type="fixed"/>
        <w:tblLook w:val="0000" w:firstRow="0" w:lastRow="0" w:firstColumn="0" w:lastColumn="0" w:noHBand="0" w:noVBand="0"/>
      </w:tblPr>
      <w:tblGrid>
        <w:gridCol w:w="1265"/>
        <w:gridCol w:w="1701"/>
        <w:gridCol w:w="2268"/>
        <w:gridCol w:w="1667"/>
        <w:gridCol w:w="1739"/>
      </w:tblGrid>
      <w:tr w:rsidR="0062084B" w:rsidRPr="004D5A99" w14:paraId="65087478" w14:textId="77777777" w:rsidTr="00D5029A">
        <w:tc>
          <w:tcPr>
            <w:tcW w:w="1265" w:type="dxa"/>
            <w:tcBorders>
              <w:top w:val="single" w:sz="4" w:space="0" w:color="auto"/>
              <w:bottom w:val="single" w:sz="4" w:space="0" w:color="auto"/>
            </w:tcBorders>
            <w:shd w:val="clear" w:color="auto" w:fill="auto"/>
          </w:tcPr>
          <w:p w14:paraId="4056B9C9" w14:textId="77777777" w:rsidR="0062084B" w:rsidRPr="004D5A99" w:rsidRDefault="00DF0276" w:rsidP="00094B17">
            <w:pPr>
              <w:jc w:val="both"/>
              <w:rPr>
                <w:b/>
                <w:sz w:val="20"/>
                <w:szCs w:val="20"/>
              </w:rPr>
            </w:pPr>
            <w:r w:rsidRPr="004D5A99">
              <w:rPr>
                <w:b/>
                <w:sz w:val="20"/>
                <w:szCs w:val="20"/>
              </w:rPr>
              <w:fldChar w:fldCharType="begin"/>
            </w:r>
            <w:r w:rsidR="0062084B" w:rsidRPr="004D5A99">
              <w:rPr>
                <w:b/>
                <w:sz w:val="20"/>
                <w:szCs w:val="20"/>
              </w:rPr>
              <w:instrText xml:space="preserve"> QUOTE </w:instrText>
            </w:r>
            <w:r w:rsidR="0062084B" w:rsidRPr="004D5A99">
              <w:rPr>
                <w:rFonts w:ascii="Cambria Math" w:hAnsi="Cambria Math" w:cs="Cambria Math"/>
                <w:b/>
                <w:sz w:val="20"/>
                <w:szCs w:val="20"/>
              </w:rPr>
              <w:instrText>𝐺𝑅𝐺𝐷𝑃</w:instrText>
            </w:r>
            <w:r w:rsidRPr="004D5A99">
              <w:rPr>
                <w:b/>
                <w:sz w:val="20"/>
                <w:szCs w:val="20"/>
              </w:rPr>
              <w:fldChar w:fldCharType="begin"/>
            </w:r>
            <w:r w:rsidR="0062084B" w:rsidRPr="004D5A99">
              <w:rPr>
                <w:b/>
                <w:sz w:val="20"/>
                <w:szCs w:val="20"/>
              </w:rPr>
              <w:instrText xml:space="preserve"> QUOTE </w:instrText>
            </w:r>
            <w:r w:rsidR="00074C43">
              <w:rPr>
                <w:b/>
                <w:position w:val="-6"/>
                <w:sz w:val="20"/>
                <w:szCs w:val="20"/>
              </w:rPr>
              <w:pict w14:anchorId="03B5271E">
                <v:shape id="_x0000_i1029" type="#_x0000_t75" style="width:2.65pt;height:12.7pt" equationxml="&lt;">
                  <v:imagedata r:id="rId9" o:title="" chromakey="white"/>
                </v:shape>
              </w:pict>
            </w:r>
            <w:r w:rsidRPr="004D5A99">
              <w:rPr>
                <w:b/>
                <w:sz w:val="20"/>
                <w:szCs w:val="20"/>
              </w:rPr>
              <w:fldChar w:fldCharType="separate"/>
            </w:r>
            <w:r w:rsidR="00074C43">
              <w:rPr>
                <w:b/>
                <w:position w:val="-6"/>
                <w:sz w:val="20"/>
                <w:szCs w:val="20"/>
              </w:rPr>
              <w:pict w14:anchorId="57AA5B33">
                <v:shape id="_x0000_i1030" type="#_x0000_t75" style="width:2.65pt;height:12.7pt" equationxml="&lt;">
                  <v:imagedata r:id="rId9" o:title="" chromakey="white"/>
                </v:shape>
              </w:pict>
            </w:r>
            <w:r w:rsidRPr="004D5A99">
              <w:rPr>
                <w:b/>
                <w:sz w:val="20"/>
                <w:szCs w:val="20"/>
              </w:rPr>
              <w:fldChar w:fldCharType="end"/>
            </w:r>
            <w:r w:rsidR="0062084B" w:rsidRPr="004D5A99">
              <w:rPr>
                <w:rFonts w:ascii="Cambria Math" w:hAnsi="Cambria Math" w:cs="Cambria Math"/>
                <w:b/>
                <w:sz w:val="20"/>
                <w:szCs w:val="20"/>
              </w:rPr>
              <w:instrText>𝑃𝑖</w:instrText>
            </w:r>
            <w:r w:rsidR="0062084B" w:rsidRPr="004D5A99">
              <w:rPr>
                <w:b/>
                <w:sz w:val="20"/>
                <w:szCs w:val="20"/>
              </w:rPr>
              <w:instrText>,</w:instrText>
            </w:r>
            <w:r w:rsidR="0062084B" w:rsidRPr="004D5A99">
              <w:rPr>
                <w:rFonts w:ascii="Cambria Math" w:hAnsi="Cambria Math" w:cs="Cambria Math"/>
                <w:b/>
                <w:sz w:val="20"/>
                <w:szCs w:val="20"/>
              </w:rPr>
              <w:instrText>𝑡</w:instrText>
            </w:r>
            <w:r w:rsidRPr="004D5A99">
              <w:rPr>
                <w:b/>
                <w:sz w:val="20"/>
                <w:szCs w:val="20"/>
              </w:rPr>
              <w:fldChar w:fldCharType="end"/>
            </w:r>
            <w:r w:rsidR="0062084B" w:rsidRPr="004D5A99">
              <w:rPr>
                <w:b/>
                <w:sz w:val="20"/>
                <w:szCs w:val="20"/>
              </w:rPr>
              <w:t>Variables</w:t>
            </w:r>
          </w:p>
        </w:tc>
        <w:tc>
          <w:tcPr>
            <w:tcW w:w="1701" w:type="dxa"/>
            <w:tcBorders>
              <w:top w:val="single" w:sz="4" w:space="0" w:color="auto"/>
              <w:bottom w:val="single" w:sz="4" w:space="0" w:color="auto"/>
            </w:tcBorders>
            <w:shd w:val="clear" w:color="auto" w:fill="auto"/>
          </w:tcPr>
          <w:p w14:paraId="5A22270A" w14:textId="77777777" w:rsidR="0062084B" w:rsidRPr="004D5A99" w:rsidRDefault="0062084B" w:rsidP="00094B17">
            <w:pPr>
              <w:jc w:val="both"/>
              <w:rPr>
                <w:b/>
                <w:sz w:val="20"/>
                <w:szCs w:val="20"/>
              </w:rPr>
            </w:pPr>
            <w:r w:rsidRPr="004D5A99">
              <w:rPr>
                <w:b/>
                <w:sz w:val="20"/>
                <w:szCs w:val="20"/>
              </w:rPr>
              <w:t>Intercept</w:t>
            </w:r>
          </w:p>
        </w:tc>
        <w:tc>
          <w:tcPr>
            <w:tcW w:w="2268" w:type="dxa"/>
            <w:tcBorders>
              <w:top w:val="single" w:sz="4" w:space="0" w:color="auto"/>
              <w:bottom w:val="single" w:sz="4" w:space="0" w:color="auto"/>
            </w:tcBorders>
            <w:shd w:val="clear" w:color="auto" w:fill="auto"/>
          </w:tcPr>
          <w:p w14:paraId="6B408E5C" w14:textId="77777777" w:rsidR="0062084B" w:rsidRPr="004D5A99" w:rsidRDefault="0062084B" w:rsidP="00094B17">
            <w:pPr>
              <w:jc w:val="both"/>
              <w:rPr>
                <w:b/>
                <w:sz w:val="20"/>
                <w:szCs w:val="20"/>
              </w:rPr>
            </w:pPr>
            <w:r w:rsidRPr="004D5A99">
              <w:rPr>
                <w:b/>
                <w:sz w:val="20"/>
                <w:szCs w:val="20"/>
              </w:rPr>
              <w:t>Trend &amp; Intercept</w:t>
            </w:r>
          </w:p>
        </w:tc>
        <w:tc>
          <w:tcPr>
            <w:tcW w:w="1667" w:type="dxa"/>
            <w:tcBorders>
              <w:top w:val="single" w:sz="4" w:space="0" w:color="auto"/>
              <w:bottom w:val="single" w:sz="4" w:space="0" w:color="auto"/>
            </w:tcBorders>
            <w:shd w:val="clear" w:color="auto" w:fill="auto"/>
          </w:tcPr>
          <w:p w14:paraId="26A2568F" w14:textId="77777777" w:rsidR="0062084B" w:rsidRPr="004D5A99" w:rsidRDefault="0062084B" w:rsidP="00094B17">
            <w:pPr>
              <w:jc w:val="both"/>
              <w:rPr>
                <w:b/>
                <w:sz w:val="20"/>
                <w:szCs w:val="20"/>
              </w:rPr>
            </w:pPr>
            <w:r w:rsidRPr="004D5A99">
              <w:rPr>
                <w:b/>
                <w:color w:val="000000"/>
                <w:sz w:val="20"/>
                <w:szCs w:val="20"/>
              </w:rPr>
              <w:t xml:space="preserve"> None</w:t>
            </w:r>
          </w:p>
        </w:tc>
        <w:tc>
          <w:tcPr>
            <w:tcW w:w="1739" w:type="dxa"/>
            <w:tcBorders>
              <w:top w:val="single" w:sz="4" w:space="0" w:color="auto"/>
              <w:bottom w:val="single" w:sz="4" w:space="0" w:color="auto"/>
            </w:tcBorders>
            <w:shd w:val="clear" w:color="auto" w:fill="auto"/>
          </w:tcPr>
          <w:p w14:paraId="3CDF7E98" w14:textId="77777777" w:rsidR="0062084B" w:rsidRPr="004D5A99" w:rsidRDefault="0062084B" w:rsidP="00094B17">
            <w:pPr>
              <w:jc w:val="both"/>
              <w:rPr>
                <w:b/>
                <w:sz w:val="20"/>
                <w:szCs w:val="20"/>
              </w:rPr>
            </w:pPr>
            <w:r w:rsidRPr="004D5A99">
              <w:rPr>
                <w:b/>
                <w:sz w:val="20"/>
                <w:szCs w:val="20"/>
              </w:rPr>
              <w:t>Inference</w:t>
            </w:r>
          </w:p>
        </w:tc>
      </w:tr>
      <w:tr w:rsidR="0062084B" w:rsidRPr="004D5A99" w14:paraId="6BAEA46E" w14:textId="77777777" w:rsidTr="00D5029A">
        <w:tc>
          <w:tcPr>
            <w:tcW w:w="1265" w:type="dxa"/>
            <w:tcBorders>
              <w:top w:val="single" w:sz="4" w:space="0" w:color="auto"/>
            </w:tcBorders>
            <w:shd w:val="clear" w:color="auto" w:fill="auto"/>
            <w:vAlign w:val="bottom"/>
          </w:tcPr>
          <w:p w14:paraId="106904FA" w14:textId="77777777" w:rsidR="0062084B" w:rsidRPr="004D5A99" w:rsidRDefault="0062084B" w:rsidP="00094B17">
            <w:pPr>
              <w:pBdr>
                <w:between w:val="single" w:sz="4" w:space="1" w:color="auto"/>
              </w:pBdr>
              <w:autoSpaceDE w:val="0"/>
              <w:autoSpaceDN w:val="0"/>
              <w:adjustRightInd w:val="0"/>
              <w:rPr>
                <w:color w:val="000000"/>
                <w:sz w:val="20"/>
                <w:szCs w:val="20"/>
              </w:rPr>
            </w:pPr>
            <w:r>
              <w:rPr>
                <w:color w:val="000000"/>
                <w:sz w:val="20"/>
                <w:szCs w:val="20"/>
              </w:rPr>
              <w:t>TFCR</w:t>
            </w:r>
          </w:p>
        </w:tc>
        <w:tc>
          <w:tcPr>
            <w:tcW w:w="1701" w:type="dxa"/>
            <w:tcBorders>
              <w:top w:val="single" w:sz="4" w:space="0" w:color="auto"/>
            </w:tcBorders>
            <w:shd w:val="clear" w:color="auto" w:fill="auto"/>
            <w:vAlign w:val="bottom"/>
          </w:tcPr>
          <w:p w14:paraId="27F09515" w14:textId="77777777" w:rsidR="0062084B" w:rsidRPr="00012486" w:rsidRDefault="0062084B" w:rsidP="00094B17">
            <w:pPr>
              <w:autoSpaceDE w:val="0"/>
              <w:autoSpaceDN w:val="0"/>
              <w:adjustRightInd w:val="0"/>
              <w:jc w:val="both"/>
              <w:rPr>
                <w:color w:val="000000"/>
                <w:sz w:val="20"/>
                <w:szCs w:val="20"/>
              </w:rPr>
            </w:pPr>
            <w:r w:rsidRPr="00012486">
              <w:rPr>
                <w:color w:val="000000"/>
                <w:sz w:val="18"/>
                <w:szCs w:val="18"/>
              </w:rPr>
              <w:t>-1.922395 (0.31)</w:t>
            </w:r>
          </w:p>
        </w:tc>
        <w:tc>
          <w:tcPr>
            <w:tcW w:w="2268" w:type="dxa"/>
            <w:tcBorders>
              <w:top w:val="single" w:sz="4" w:space="0" w:color="auto"/>
            </w:tcBorders>
            <w:shd w:val="clear" w:color="auto" w:fill="auto"/>
            <w:vAlign w:val="bottom"/>
          </w:tcPr>
          <w:p w14:paraId="53940B30" w14:textId="77777777" w:rsidR="0062084B" w:rsidRPr="00012486" w:rsidRDefault="0062084B" w:rsidP="00094B17">
            <w:pPr>
              <w:autoSpaceDE w:val="0"/>
              <w:autoSpaceDN w:val="0"/>
              <w:adjustRightInd w:val="0"/>
              <w:jc w:val="both"/>
              <w:rPr>
                <w:color w:val="000000"/>
                <w:sz w:val="20"/>
                <w:szCs w:val="20"/>
              </w:rPr>
            </w:pPr>
            <w:r w:rsidRPr="00012486">
              <w:rPr>
                <w:color w:val="000000"/>
                <w:sz w:val="18"/>
                <w:szCs w:val="18"/>
              </w:rPr>
              <w:t>-1.737627 (0.66)</w:t>
            </w:r>
          </w:p>
        </w:tc>
        <w:tc>
          <w:tcPr>
            <w:tcW w:w="1667" w:type="dxa"/>
            <w:tcBorders>
              <w:top w:val="single" w:sz="4" w:space="0" w:color="auto"/>
            </w:tcBorders>
            <w:shd w:val="clear" w:color="auto" w:fill="auto"/>
            <w:vAlign w:val="bottom"/>
          </w:tcPr>
          <w:p w14:paraId="717E11FE" w14:textId="77777777" w:rsidR="0062084B" w:rsidRPr="00012486" w:rsidRDefault="0062084B" w:rsidP="00094B17">
            <w:pPr>
              <w:autoSpaceDE w:val="0"/>
              <w:autoSpaceDN w:val="0"/>
              <w:adjustRightInd w:val="0"/>
              <w:jc w:val="both"/>
              <w:rPr>
                <w:color w:val="000000"/>
                <w:sz w:val="20"/>
                <w:szCs w:val="20"/>
              </w:rPr>
            </w:pPr>
            <w:r w:rsidRPr="00012486">
              <w:rPr>
                <w:color w:val="000000"/>
                <w:sz w:val="18"/>
                <w:szCs w:val="18"/>
              </w:rPr>
              <w:t xml:space="preserve"> 0.581505 (0.83)</w:t>
            </w:r>
          </w:p>
        </w:tc>
        <w:tc>
          <w:tcPr>
            <w:tcW w:w="1739" w:type="dxa"/>
            <w:tcBorders>
              <w:top w:val="single" w:sz="4" w:space="0" w:color="auto"/>
            </w:tcBorders>
            <w:shd w:val="clear" w:color="auto" w:fill="auto"/>
          </w:tcPr>
          <w:p w14:paraId="0C852A26" w14:textId="77777777" w:rsidR="0062084B" w:rsidRPr="004D5A99" w:rsidRDefault="0062084B" w:rsidP="00094B17">
            <w:pPr>
              <w:autoSpaceDE w:val="0"/>
              <w:autoSpaceDN w:val="0"/>
              <w:adjustRightInd w:val="0"/>
              <w:jc w:val="both"/>
              <w:rPr>
                <w:color w:val="000000"/>
                <w:sz w:val="20"/>
                <w:szCs w:val="20"/>
              </w:rPr>
            </w:pPr>
            <w:r w:rsidRPr="004D5A99">
              <w:rPr>
                <w:color w:val="000000"/>
                <w:sz w:val="20"/>
                <w:szCs w:val="20"/>
              </w:rPr>
              <w:t xml:space="preserve">Not Stationary </w:t>
            </w:r>
          </w:p>
        </w:tc>
      </w:tr>
      <w:tr w:rsidR="0062084B" w:rsidRPr="004D5A99" w14:paraId="1B1F5869" w14:textId="77777777" w:rsidTr="00D5029A">
        <w:tc>
          <w:tcPr>
            <w:tcW w:w="1265" w:type="dxa"/>
            <w:shd w:val="clear" w:color="auto" w:fill="auto"/>
            <w:vAlign w:val="bottom"/>
          </w:tcPr>
          <w:p w14:paraId="25E70BBF" w14:textId="77777777" w:rsidR="0062084B" w:rsidRPr="004D5A99" w:rsidRDefault="0062084B" w:rsidP="00094B17">
            <w:pPr>
              <w:pBdr>
                <w:between w:val="single" w:sz="4" w:space="1" w:color="auto"/>
              </w:pBdr>
              <w:autoSpaceDE w:val="0"/>
              <w:autoSpaceDN w:val="0"/>
              <w:adjustRightInd w:val="0"/>
              <w:rPr>
                <w:color w:val="000000"/>
                <w:sz w:val="20"/>
                <w:szCs w:val="20"/>
              </w:rPr>
            </w:pPr>
            <w:r>
              <w:rPr>
                <w:color w:val="000000"/>
                <w:sz w:val="20"/>
                <w:szCs w:val="20"/>
              </w:rPr>
              <w:t>PPT</w:t>
            </w:r>
          </w:p>
        </w:tc>
        <w:tc>
          <w:tcPr>
            <w:tcW w:w="1701" w:type="dxa"/>
            <w:shd w:val="clear" w:color="auto" w:fill="auto"/>
          </w:tcPr>
          <w:p w14:paraId="2BBA5490" w14:textId="77777777" w:rsidR="0062084B" w:rsidRPr="00012486" w:rsidRDefault="0062084B" w:rsidP="00094B17">
            <w:pPr>
              <w:autoSpaceDE w:val="0"/>
              <w:autoSpaceDN w:val="0"/>
              <w:adjustRightInd w:val="0"/>
              <w:jc w:val="both"/>
              <w:rPr>
                <w:color w:val="000000"/>
                <w:sz w:val="20"/>
                <w:szCs w:val="20"/>
              </w:rPr>
            </w:pPr>
            <w:r w:rsidRPr="00012486">
              <w:rPr>
                <w:color w:val="000000"/>
                <w:sz w:val="18"/>
                <w:szCs w:val="18"/>
              </w:rPr>
              <w:t>-2.046078 (0.27)</w:t>
            </w:r>
          </w:p>
        </w:tc>
        <w:tc>
          <w:tcPr>
            <w:tcW w:w="2268" w:type="dxa"/>
            <w:shd w:val="clear" w:color="auto" w:fill="auto"/>
            <w:vAlign w:val="bottom"/>
          </w:tcPr>
          <w:p w14:paraId="264AD84E" w14:textId="77777777" w:rsidR="0062084B" w:rsidRPr="00012486" w:rsidRDefault="0062084B" w:rsidP="00094B17">
            <w:pPr>
              <w:autoSpaceDE w:val="0"/>
              <w:autoSpaceDN w:val="0"/>
              <w:adjustRightInd w:val="0"/>
              <w:jc w:val="both"/>
              <w:rPr>
                <w:color w:val="000000"/>
                <w:sz w:val="20"/>
                <w:szCs w:val="20"/>
              </w:rPr>
            </w:pPr>
            <w:r w:rsidRPr="00012486">
              <w:rPr>
                <w:color w:val="000000"/>
                <w:sz w:val="18"/>
                <w:szCs w:val="18"/>
              </w:rPr>
              <w:t>-1.793089 (0.64)</w:t>
            </w:r>
          </w:p>
        </w:tc>
        <w:tc>
          <w:tcPr>
            <w:tcW w:w="1667" w:type="dxa"/>
            <w:shd w:val="clear" w:color="auto" w:fill="auto"/>
            <w:vAlign w:val="bottom"/>
          </w:tcPr>
          <w:p w14:paraId="2058E076" w14:textId="77777777" w:rsidR="0062084B" w:rsidRPr="00012486" w:rsidRDefault="0062084B" w:rsidP="00094B17">
            <w:pPr>
              <w:autoSpaceDE w:val="0"/>
              <w:autoSpaceDN w:val="0"/>
              <w:adjustRightInd w:val="0"/>
              <w:jc w:val="both"/>
              <w:rPr>
                <w:color w:val="000000"/>
                <w:sz w:val="20"/>
                <w:szCs w:val="20"/>
              </w:rPr>
            </w:pPr>
            <w:r w:rsidRPr="00012486">
              <w:rPr>
                <w:color w:val="000000"/>
                <w:sz w:val="18"/>
                <w:szCs w:val="18"/>
              </w:rPr>
              <w:t>-0.103707 (0.63)</w:t>
            </w:r>
          </w:p>
        </w:tc>
        <w:tc>
          <w:tcPr>
            <w:tcW w:w="1739" w:type="dxa"/>
            <w:shd w:val="clear" w:color="auto" w:fill="auto"/>
          </w:tcPr>
          <w:p w14:paraId="0CA7C438" w14:textId="77777777" w:rsidR="0062084B" w:rsidRPr="004D5A99" w:rsidRDefault="0062084B" w:rsidP="00094B17">
            <w:pPr>
              <w:autoSpaceDE w:val="0"/>
              <w:autoSpaceDN w:val="0"/>
              <w:adjustRightInd w:val="0"/>
              <w:jc w:val="both"/>
              <w:rPr>
                <w:color w:val="000000"/>
                <w:sz w:val="20"/>
                <w:szCs w:val="20"/>
              </w:rPr>
            </w:pPr>
            <w:r w:rsidRPr="004D5A99">
              <w:rPr>
                <w:color w:val="000000"/>
                <w:sz w:val="20"/>
                <w:szCs w:val="20"/>
              </w:rPr>
              <w:t>Not Stationary</w:t>
            </w:r>
          </w:p>
        </w:tc>
      </w:tr>
      <w:tr w:rsidR="0062084B" w:rsidRPr="004D5A99" w14:paraId="413429B4" w14:textId="77777777" w:rsidTr="00D5029A">
        <w:tc>
          <w:tcPr>
            <w:tcW w:w="1265" w:type="dxa"/>
            <w:shd w:val="clear" w:color="auto" w:fill="auto"/>
            <w:vAlign w:val="bottom"/>
          </w:tcPr>
          <w:p w14:paraId="1C8F733D" w14:textId="77777777" w:rsidR="0062084B" w:rsidRPr="004D5A99" w:rsidRDefault="0062084B" w:rsidP="00094B17">
            <w:pPr>
              <w:pBdr>
                <w:between w:val="single" w:sz="4" w:space="1" w:color="auto"/>
              </w:pBdr>
              <w:autoSpaceDE w:val="0"/>
              <w:autoSpaceDN w:val="0"/>
              <w:adjustRightInd w:val="0"/>
              <w:rPr>
                <w:color w:val="000000"/>
                <w:sz w:val="20"/>
                <w:szCs w:val="20"/>
              </w:rPr>
            </w:pPr>
            <w:r>
              <w:rPr>
                <w:color w:val="000000"/>
                <w:sz w:val="20"/>
                <w:szCs w:val="20"/>
              </w:rPr>
              <w:t>CIT</w:t>
            </w:r>
          </w:p>
        </w:tc>
        <w:tc>
          <w:tcPr>
            <w:tcW w:w="1701" w:type="dxa"/>
            <w:shd w:val="clear" w:color="auto" w:fill="auto"/>
          </w:tcPr>
          <w:p w14:paraId="46449C63" w14:textId="77777777" w:rsidR="0062084B" w:rsidRPr="00012486" w:rsidRDefault="0062084B" w:rsidP="00094B17">
            <w:pPr>
              <w:autoSpaceDE w:val="0"/>
              <w:autoSpaceDN w:val="0"/>
              <w:adjustRightInd w:val="0"/>
              <w:jc w:val="both"/>
              <w:rPr>
                <w:color w:val="000000"/>
                <w:sz w:val="20"/>
                <w:szCs w:val="20"/>
              </w:rPr>
            </w:pPr>
            <w:r w:rsidRPr="00012486">
              <w:rPr>
                <w:color w:val="000000"/>
                <w:sz w:val="18"/>
                <w:szCs w:val="18"/>
              </w:rPr>
              <w:t>-0.864711 (0.76)</w:t>
            </w:r>
          </w:p>
        </w:tc>
        <w:tc>
          <w:tcPr>
            <w:tcW w:w="2268" w:type="dxa"/>
            <w:shd w:val="clear" w:color="auto" w:fill="auto"/>
            <w:vAlign w:val="bottom"/>
          </w:tcPr>
          <w:p w14:paraId="513068C4" w14:textId="77777777" w:rsidR="0062084B" w:rsidRPr="00012486" w:rsidRDefault="0062084B" w:rsidP="00094B17">
            <w:pPr>
              <w:autoSpaceDE w:val="0"/>
              <w:autoSpaceDN w:val="0"/>
              <w:adjustRightInd w:val="0"/>
              <w:jc w:val="both"/>
              <w:rPr>
                <w:color w:val="000000"/>
                <w:sz w:val="20"/>
                <w:szCs w:val="20"/>
              </w:rPr>
            </w:pPr>
            <w:r w:rsidRPr="00012486">
              <w:rPr>
                <w:color w:val="000000"/>
                <w:sz w:val="18"/>
                <w:szCs w:val="18"/>
              </w:rPr>
              <w:t>-1.939887 (0.57)</w:t>
            </w:r>
          </w:p>
        </w:tc>
        <w:tc>
          <w:tcPr>
            <w:tcW w:w="1667" w:type="dxa"/>
            <w:shd w:val="clear" w:color="auto" w:fill="auto"/>
            <w:vAlign w:val="bottom"/>
          </w:tcPr>
          <w:p w14:paraId="49300922" w14:textId="77777777" w:rsidR="0062084B" w:rsidRPr="00012486" w:rsidRDefault="0062084B" w:rsidP="00094B17">
            <w:pPr>
              <w:autoSpaceDE w:val="0"/>
              <w:autoSpaceDN w:val="0"/>
              <w:adjustRightInd w:val="0"/>
              <w:jc w:val="both"/>
              <w:rPr>
                <w:color w:val="000000"/>
                <w:sz w:val="20"/>
                <w:szCs w:val="20"/>
              </w:rPr>
            </w:pPr>
            <w:r w:rsidRPr="00012486">
              <w:rPr>
                <w:color w:val="000000"/>
                <w:sz w:val="18"/>
                <w:szCs w:val="18"/>
              </w:rPr>
              <w:t xml:space="preserve"> 2.256675 (0.99)</w:t>
            </w:r>
          </w:p>
        </w:tc>
        <w:tc>
          <w:tcPr>
            <w:tcW w:w="1739" w:type="dxa"/>
            <w:shd w:val="clear" w:color="auto" w:fill="auto"/>
          </w:tcPr>
          <w:p w14:paraId="52DB46B3" w14:textId="77777777" w:rsidR="0062084B" w:rsidRPr="004D5A99" w:rsidRDefault="0062084B" w:rsidP="00094B17">
            <w:pPr>
              <w:autoSpaceDE w:val="0"/>
              <w:autoSpaceDN w:val="0"/>
              <w:adjustRightInd w:val="0"/>
              <w:jc w:val="both"/>
              <w:rPr>
                <w:color w:val="000000"/>
                <w:sz w:val="20"/>
                <w:szCs w:val="20"/>
              </w:rPr>
            </w:pPr>
            <w:r w:rsidRPr="004D5A99">
              <w:rPr>
                <w:color w:val="000000"/>
                <w:sz w:val="20"/>
                <w:szCs w:val="20"/>
              </w:rPr>
              <w:t>Not Stationary</w:t>
            </w:r>
          </w:p>
        </w:tc>
      </w:tr>
      <w:tr w:rsidR="00D5029A" w:rsidRPr="004D5A99" w14:paraId="6F238660" w14:textId="77777777" w:rsidTr="00D5029A">
        <w:tc>
          <w:tcPr>
            <w:tcW w:w="1265" w:type="dxa"/>
            <w:tcBorders>
              <w:bottom w:val="single" w:sz="4" w:space="0" w:color="auto"/>
            </w:tcBorders>
            <w:shd w:val="clear" w:color="auto" w:fill="auto"/>
            <w:vAlign w:val="bottom"/>
          </w:tcPr>
          <w:p w14:paraId="0930AEB8" w14:textId="77777777" w:rsidR="00D5029A" w:rsidRPr="004D5A99" w:rsidRDefault="00D5029A" w:rsidP="00D5029A">
            <w:pPr>
              <w:pBdr>
                <w:between w:val="single" w:sz="4" w:space="1" w:color="auto"/>
              </w:pBdr>
              <w:autoSpaceDE w:val="0"/>
              <w:autoSpaceDN w:val="0"/>
              <w:adjustRightInd w:val="0"/>
              <w:rPr>
                <w:color w:val="000000"/>
                <w:sz w:val="20"/>
                <w:szCs w:val="20"/>
              </w:rPr>
            </w:pPr>
            <w:r>
              <w:rPr>
                <w:color w:val="000000"/>
                <w:sz w:val="20"/>
                <w:szCs w:val="20"/>
              </w:rPr>
              <w:t>VAT</w:t>
            </w:r>
          </w:p>
        </w:tc>
        <w:tc>
          <w:tcPr>
            <w:tcW w:w="1701" w:type="dxa"/>
            <w:tcBorders>
              <w:bottom w:val="single" w:sz="4" w:space="0" w:color="auto"/>
            </w:tcBorders>
            <w:shd w:val="clear" w:color="auto" w:fill="auto"/>
          </w:tcPr>
          <w:p w14:paraId="2BAB7188" w14:textId="77777777" w:rsidR="00D5029A" w:rsidRPr="00012486" w:rsidRDefault="00D5029A" w:rsidP="00D5029A">
            <w:pPr>
              <w:autoSpaceDE w:val="0"/>
              <w:autoSpaceDN w:val="0"/>
              <w:adjustRightInd w:val="0"/>
              <w:jc w:val="both"/>
              <w:rPr>
                <w:color w:val="000000"/>
                <w:sz w:val="20"/>
                <w:szCs w:val="20"/>
              </w:rPr>
            </w:pPr>
            <w:r w:rsidRPr="00012486">
              <w:rPr>
                <w:color w:val="000000"/>
                <w:sz w:val="18"/>
                <w:szCs w:val="18"/>
              </w:rPr>
              <w:t>-0.282064 (0.90)</w:t>
            </w:r>
          </w:p>
        </w:tc>
        <w:tc>
          <w:tcPr>
            <w:tcW w:w="2268" w:type="dxa"/>
            <w:tcBorders>
              <w:bottom w:val="single" w:sz="4" w:space="0" w:color="auto"/>
            </w:tcBorders>
            <w:shd w:val="clear" w:color="auto" w:fill="auto"/>
            <w:vAlign w:val="bottom"/>
          </w:tcPr>
          <w:p w14:paraId="6B2F3A15" w14:textId="77777777" w:rsidR="00D5029A" w:rsidRPr="00012486" w:rsidRDefault="00D5029A" w:rsidP="00D5029A">
            <w:pPr>
              <w:autoSpaceDE w:val="0"/>
              <w:autoSpaceDN w:val="0"/>
              <w:adjustRightInd w:val="0"/>
              <w:jc w:val="both"/>
              <w:rPr>
                <w:color w:val="000000"/>
                <w:sz w:val="20"/>
                <w:szCs w:val="20"/>
              </w:rPr>
            </w:pPr>
            <w:r w:rsidRPr="00012486">
              <w:rPr>
                <w:color w:val="000000"/>
                <w:sz w:val="18"/>
                <w:szCs w:val="18"/>
              </w:rPr>
              <w:t>-1.715369 (0.67)</w:t>
            </w:r>
          </w:p>
        </w:tc>
        <w:tc>
          <w:tcPr>
            <w:tcW w:w="1667" w:type="dxa"/>
            <w:tcBorders>
              <w:bottom w:val="single" w:sz="4" w:space="0" w:color="auto"/>
            </w:tcBorders>
            <w:shd w:val="clear" w:color="auto" w:fill="auto"/>
            <w:vAlign w:val="bottom"/>
          </w:tcPr>
          <w:p w14:paraId="0DD42301" w14:textId="77777777" w:rsidR="00D5029A" w:rsidRPr="00012486" w:rsidRDefault="00D5029A" w:rsidP="00D5029A">
            <w:pPr>
              <w:autoSpaceDE w:val="0"/>
              <w:autoSpaceDN w:val="0"/>
              <w:adjustRightInd w:val="0"/>
              <w:jc w:val="both"/>
              <w:rPr>
                <w:color w:val="000000"/>
                <w:sz w:val="20"/>
                <w:szCs w:val="20"/>
              </w:rPr>
            </w:pPr>
            <w:r w:rsidRPr="00012486">
              <w:rPr>
                <w:color w:val="000000"/>
                <w:sz w:val="18"/>
                <w:szCs w:val="18"/>
              </w:rPr>
              <w:t xml:space="preserve"> 3.220083 (1.00)</w:t>
            </w:r>
          </w:p>
        </w:tc>
        <w:tc>
          <w:tcPr>
            <w:tcW w:w="1739" w:type="dxa"/>
            <w:tcBorders>
              <w:bottom w:val="single" w:sz="4" w:space="0" w:color="auto"/>
            </w:tcBorders>
            <w:shd w:val="clear" w:color="auto" w:fill="auto"/>
          </w:tcPr>
          <w:p w14:paraId="1E4F9C15" w14:textId="77777777" w:rsidR="00D5029A" w:rsidRPr="004D5A99" w:rsidRDefault="00D5029A" w:rsidP="00D5029A">
            <w:pPr>
              <w:autoSpaceDE w:val="0"/>
              <w:autoSpaceDN w:val="0"/>
              <w:adjustRightInd w:val="0"/>
              <w:jc w:val="both"/>
              <w:rPr>
                <w:color w:val="000000"/>
                <w:sz w:val="20"/>
                <w:szCs w:val="20"/>
              </w:rPr>
            </w:pPr>
            <w:r w:rsidRPr="004D5A99">
              <w:rPr>
                <w:color w:val="000000"/>
                <w:sz w:val="20"/>
                <w:szCs w:val="20"/>
              </w:rPr>
              <w:t>Not Stationary</w:t>
            </w:r>
          </w:p>
        </w:tc>
      </w:tr>
    </w:tbl>
    <w:p w14:paraId="40E70C48" w14:textId="77777777" w:rsidR="0062084B" w:rsidRPr="004D5A99" w:rsidRDefault="0062084B" w:rsidP="0062084B">
      <w:pPr>
        <w:ind w:firstLine="720"/>
        <w:jc w:val="center"/>
        <w:rPr>
          <w:i/>
          <w:sz w:val="20"/>
          <w:szCs w:val="20"/>
        </w:rPr>
      </w:pPr>
      <w:r w:rsidRPr="004D5A99">
        <w:rPr>
          <w:i/>
          <w:sz w:val="20"/>
          <w:szCs w:val="20"/>
        </w:rPr>
        <w:t>Source: Data output via E-views 1</w:t>
      </w:r>
      <w:r w:rsidR="007023DC">
        <w:rPr>
          <w:i/>
          <w:sz w:val="20"/>
          <w:szCs w:val="20"/>
        </w:rPr>
        <w:t>2</w:t>
      </w:r>
      <w:r w:rsidRPr="004D5A99">
        <w:rPr>
          <w:i/>
          <w:sz w:val="20"/>
          <w:szCs w:val="20"/>
        </w:rPr>
        <w:t>.0</w:t>
      </w:r>
    </w:p>
    <w:p w14:paraId="7ACF0649" w14:textId="77777777" w:rsidR="0062084B" w:rsidRPr="004D5A99" w:rsidRDefault="0062084B" w:rsidP="0062084B">
      <w:pPr>
        <w:ind w:left="720"/>
        <w:jc w:val="center"/>
        <w:rPr>
          <w:i/>
          <w:sz w:val="20"/>
          <w:szCs w:val="20"/>
        </w:rPr>
      </w:pPr>
      <w:r w:rsidRPr="004D5A99">
        <w:rPr>
          <w:i/>
          <w:sz w:val="20"/>
          <w:szCs w:val="20"/>
        </w:rPr>
        <w:t>Note: Spectral estimation methods are Bartlett kernel and Newey-West method for Bandwidth, p-values are in parentheses where (*) &amp; (**) denotes significance at 1% and 5% respectively.</w:t>
      </w:r>
    </w:p>
    <w:p w14:paraId="73312071" w14:textId="77777777" w:rsidR="0062084B" w:rsidRPr="004D5A99" w:rsidRDefault="0062084B" w:rsidP="0062084B">
      <w:pPr>
        <w:ind w:left="720"/>
        <w:jc w:val="center"/>
        <w:rPr>
          <w:b/>
          <w:sz w:val="20"/>
          <w:szCs w:val="20"/>
        </w:rPr>
      </w:pPr>
    </w:p>
    <w:p w14:paraId="3EB68E0E" w14:textId="7636045F" w:rsidR="0062084B" w:rsidRPr="004D5A99" w:rsidRDefault="001B60DC" w:rsidP="0062084B">
      <w:pPr>
        <w:ind w:left="720"/>
        <w:jc w:val="center"/>
        <w:rPr>
          <w:b/>
          <w:sz w:val="20"/>
          <w:szCs w:val="20"/>
        </w:rPr>
      </w:pPr>
      <w:r>
        <w:rPr>
          <w:b/>
          <w:sz w:val="20"/>
          <w:szCs w:val="20"/>
        </w:rPr>
        <w:t>Table 5</w:t>
      </w:r>
      <w:r w:rsidR="0062084B" w:rsidRPr="004D5A99">
        <w:rPr>
          <w:b/>
          <w:sz w:val="20"/>
          <w:szCs w:val="20"/>
        </w:rPr>
        <w:t>: Result of PP Test at First Difference</w:t>
      </w:r>
    </w:p>
    <w:tbl>
      <w:tblPr>
        <w:tblW w:w="8602" w:type="dxa"/>
        <w:tblInd w:w="720" w:type="dxa"/>
        <w:tblLayout w:type="fixed"/>
        <w:tblLook w:val="0000" w:firstRow="0" w:lastRow="0" w:firstColumn="0" w:lastColumn="0" w:noHBand="0" w:noVBand="0"/>
      </w:tblPr>
      <w:tblGrid>
        <w:gridCol w:w="1265"/>
        <w:gridCol w:w="1701"/>
        <w:gridCol w:w="2126"/>
        <w:gridCol w:w="1701"/>
        <w:gridCol w:w="1809"/>
      </w:tblGrid>
      <w:tr w:rsidR="0062084B" w:rsidRPr="004D5A99" w14:paraId="7683B66F" w14:textId="77777777" w:rsidTr="007023DC">
        <w:tc>
          <w:tcPr>
            <w:tcW w:w="1265" w:type="dxa"/>
            <w:tcBorders>
              <w:top w:val="single" w:sz="4" w:space="0" w:color="auto"/>
              <w:bottom w:val="single" w:sz="4" w:space="0" w:color="auto"/>
            </w:tcBorders>
            <w:shd w:val="clear" w:color="auto" w:fill="auto"/>
          </w:tcPr>
          <w:p w14:paraId="7C74846D" w14:textId="77777777" w:rsidR="0062084B" w:rsidRPr="004D5A99" w:rsidRDefault="00DF0276" w:rsidP="00094B17">
            <w:pPr>
              <w:jc w:val="both"/>
              <w:rPr>
                <w:b/>
                <w:sz w:val="20"/>
                <w:szCs w:val="20"/>
              </w:rPr>
            </w:pPr>
            <w:r w:rsidRPr="004D5A99">
              <w:rPr>
                <w:b/>
                <w:sz w:val="20"/>
                <w:szCs w:val="20"/>
              </w:rPr>
              <w:fldChar w:fldCharType="begin"/>
            </w:r>
            <w:r w:rsidR="0062084B" w:rsidRPr="004D5A99">
              <w:rPr>
                <w:b/>
                <w:sz w:val="20"/>
                <w:szCs w:val="20"/>
              </w:rPr>
              <w:instrText xml:space="preserve"> QUOTE </w:instrText>
            </w:r>
            <w:r w:rsidR="0062084B" w:rsidRPr="004D5A99">
              <w:rPr>
                <w:rFonts w:ascii="Cambria Math" w:hAnsi="Cambria Math" w:cs="Cambria Math"/>
                <w:b/>
                <w:sz w:val="20"/>
                <w:szCs w:val="20"/>
              </w:rPr>
              <w:instrText>𝐺𝑅𝐺𝐷𝑃</w:instrText>
            </w:r>
            <w:r w:rsidRPr="004D5A99">
              <w:rPr>
                <w:b/>
                <w:sz w:val="20"/>
                <w:szCs w:val="20"/>
              </w:rPr>
              <w:fldChar w:fldCharType="begin"/>
            </w:r>
            <w:r w:rsidR="0062084B" w:rsidRPr="004D5A99">
              <w:rPr>
                <w:b/>
                <w:sz w:val="20"/>
                <w:szCs w:val="20"/>
              </w:rPr>
              <w:instrText xml:space="preserve"> QUOTE </w:instrText>
            </w:r>
            <w:r w:rsidR="00074C43">
              <w:rPr>
                <w:b/>
                <w:position w:val="-6"/>
                <w:sz w:val="20"/>
                <w:szCs w:val="20"/>
              </w:rPr>
              <w:pict w14:anchorId="3D79A14C">
                <v:shape id="_x0000_i1031" type="#_x0000_t75" style="width:2.65pt;height:12.7pt" equationxml="&lt;">
                  <v:imagedata r:id="rId9" o:title="" chromakey="white"/>
                </v:shape>
              </w:pict>
            </w:r>
            <w:r w:rsidRPr="004D5A99">
              <w:rPr>
                <w:b/>
                <w:sz w:val="20"/>
                <w:szCs w:val="20"/>
              </w:rPr>
              <w:fldChar w:fldCharType="separate"/>
            </w:r>
            <w:r w:rsidR="00074C43">
              <w:rPr>
                <w:b/>
                <w:position w:val="-6"/>
                <w:sz w:val="20"/>
                <w:szCs w:val="20"/>
              </w:rPr>
              <w:pict w14:anchorId="7E2DBE6B">
                <v:shape id="_x0000_i1032" type="#_x0000_t75" style="width:2.65pt;height:12.7pt" equationxml="&lt;">
                  <v:imagedata r:id="rId9" o:title="" chromakey="white"/>
                </v:shape>
              </w:pict>
            </w:r>
            <w:r w:rsidRPr="004D5A99">
              <w:rPr>
                <w:b/>
                <w:sz w:val="20"/>
                <w:szCs w:val="20"/>
              </w:rPr>
              <w:fldChar w:fldCharType="end"/>
            </w:r>
            <w:r w:rsidR="0062084B" w:rsidRPr="004D5A99">
              <w:rPr>
                <w:rFonts w:ascii="Cambria Math" w:hAnsi="Cambria Math" w:cs="Cambria Math"/>
                <w:b/>
                <w:sz w:val="20"/>
                <w:szCs w:val="20"/>
              </w:rPr>
              <w:instrText>𝑃𝑖</w:instrText>
            </w:r>
            <w:r w:rsidR="0062084B" w:rsidRPr="004D5A99">
              <w:rPr>
                <w:b/>
                <w:sz w:val="20"/>
                <w:szCs w:val="20"/>
              </w:rPr>
              <w:instrText>,</w:instrText>
            </w:r>
            <w:r w:rsidR="0062084B" w:rsidRPr="004D5A99">
              <w:rPr>
                <w:rFonts w:ascii="Cambria Math" w:hAnsi="Cambria Math" w:cs="Cambria Math"/>
                <w:b/>
                <w:sz w:val="20"/>
                <w:szCs w:val="20"/>
              </w:rPr>
              <w:instrText>𝑡</w:instrText>
            </w:r>
            <w:r w:rsidRPr="004D5A99">
              <w:rPr>
                <w:b/>
                <w:sz w:val="20"/>
                <w:szCs w:val="20"/>
              </w:rPr>
              <w:fldChar w:fldCharType="end"/>
            </w:r>
            <w:r w:rsidR="0062084B" w:rsidRPr="004D5A99">
              <w:rPr>
                <w:b/>
                <w:sz w:val="20"/>
                <w:szCs w:val="20"/>
              </w:rPr>
              <w:t>Variables</w:t>
            </w:r>
          </w:p>
        </w:tc>
        <w:tc>
          <w:tcPr>
            <w:tcW w:w="1701" w:type="dxa"/>
            <w:tcBorders>
              <w:top w:val="single" w:sz="4" w:space="0" w:color="auto"/>
              <w:bottom w:val="single" w:sz="4" w:space="0" w:color="auto"/>
            </w:tcBorders>
            <w:shd w:val="clear" w:color="auto" w:fill="auto"/>
          </w:tcPr>
          <w:p w14:paraId="1D094588" w14:textId="77777777" w:rsidR="0062084B" w:rsidRPr="004D5A99" w:rsidRDefault="0062084B" w:rsidP="00094B17">
            <w:pPr>
              <w:jc w:val="both"/>
              <w:rPr>
                <w:b/>
                <w:sz w:val="20"/>
                <w:szCs w:val="20"/>
              </w:rPr>
            </w:pPr>
            <w:r w:rsidRPr="004D5A99">
              <w:rPr>
                <w:b/>
                <w:sz w:val="20"/>
                <w:szCs w:val="20"/>
              </w:rPr>
              <w:t>Intercept</w:t>
            </w:r>
          </w:p>
        </w:tc>
        <w:tc>
          <w:tcPr>
            <w:tcW w:w="2126" w:type="dxa"/>
            <w:tcBorders>
              <w:top w:val="single" w:sz="4" w:space="0" w:color="auto"/>
              <w:bottom w:val="single" w:sz="4" w:space="0" w:color="auto"/>
            </w:tcBorders>
            <w:shd w:val="clear" w:color="auto" w:fill="auto"/>
          </w:tcPr>
          <w:p w14:paraId="07BD36AB" w14:textId="77777777" w:rsidR="0062084B" w:rsidRPr="004D5A99" w:rsidRDefault="0062084B" w:rsidP="00094B17">
            <w:pPr>
              <w:jc w:val="both"/>
              <w:rPr>
                <w:b/>
                <w:sz w:val="20"/>
                <w:szCs w:val="20"/>
              </w:rPr>
            </w:pPr>
            <w:r w:rsidRPr="004D5A99">
              <w:rPr>
                <w:b/>
                <w:sz w:val="20"/>
                <w:szCs w:val="20"/>
              </w:rPr>
              <w:t>Trend &amp; Intercept</w:t>
            </w:r>
          </w:p>
        </w:tc>
        <w:tc>
          <w:tcPr>
            <w:tcW w:w="1701" w:type="dxa"/>
            <w:tcBorders>
              <w:top w:val="single" w:sz="4" w:space="0" w:color="auto"/>
              <w:bottom w:val="single" w:sz="4" w:space="0" w:color="auto"/>
            </w:tcBorders>
            <w:shd w:val="clear" w:color="auto" w:fill="auto"/>
          </w:tcPr>
          <w:p w14:paraId="00E703CF" w14:textId="77777777" w:rsidR="0062084B" w:rsidRPr="004D5A99" w:rsidRDefault="0062084B" w:rsidP="00094B17">
            <w:pPr>
              <w:jc w:val="both"/>
              <w:rPr>
                <w:b/>
                <w:sz w:val="20"/>
                <w:szCs w:val="20"/>
              </w:rPr>
            </w:pPr>
            <w:r w:rsidRPr="004D5A99">
              <w:rPr>
                <w:b/>
                <w:color w:val="000000"/>
                <w:sz w:val="20"/>
                <w:szCs w:val="20"/>
              </w:rPr>
              <w:t xml:space="preserve"> None</w:t>
            </w:r>
          </w:p>
        </w:tc>
        <w:tc>
          <w:tcPr>
            <w:tcW w:w="1809" w:type="dxa"/>
            <w:tcBorders>
              <w:top w:val="single" w:sz="4" w:space="0" w:color="auto"/>
              <w:bottom w:val="single" w:sz="4" w:space="0" w:color="auto"/>
            </w:tcBorders>
            <w:shd w:val="clear" w:color="auto" w:fill="auto"/>
          </w:tcPr>
          <w:p w14:paraId="3989CCD4" w14:textId="77777777" w:rsidR="0062084B" w:rsidRPr="004D5A99" w:rsidRDefault="0062084B" w:rsidP="00094B17">
            <w:pPr>
              <w:jc w:val="both"/>
              <w:rPr>
                <w:b/>
                <w:sz w:val="20"/>
                <w:szCs w:val="20"/>
              </w:rPr>
            </w:pPr>
            <w:r w:rsidRPr="004D5A99">
              <w:rPr>
                <w:b/>
                <w:sz w:val="20"/>
                <w:szCs w:val="20"/>
              </w:rPr>
              <w:t>Inference</w:t>
            </w:r>
          </w:p>
        </w:tc>
      </w:tr>
      <w:tr w:rsidR="0062084B" w:rsidRPr="004D5A99" w14:paraId="222E9EDC" w14:textId="77777777" w:rsidTr="007023DC">
        <w:tc>
          <w:tcPr>
            <w:tcW w:w="1265" w:type="dxa"/>
            <w:tcBorders>
              <w:top w:val="single" w:sz="4" w:space="0" w:color="auto"/>
            </w:tcBorders>
            <w:shd w:val="clear" w:color="auto" w:fill="auto"/>
            <w:vAlign w:val="bottom"/>
          </w:tcPr>
          <w:p w14:paraId="35FAA853" w14:textId="77777777" w:rsidR="0062084B" w:rsidRPr="004D5A99" w:rsidRDefault="0062084B" w:rsidP="00094B17">
            <w:pPr>
              <w:pBdr>
                <w:between w:val="single" w:sz="4" w:space="1" w:color="auto"/>
              </w:pBdr>
              <w:autoSpaceDE w:val="0"/>
              <w:autoSpaceDN w:val="0"/>
              <w:adjustRightInd w:val="0"/>
              <w:rPr>
                <w:color w:val="000000"/>
                <w:sz w:val="20"/>
                <w:szCs w:val="20"/>
              </w:rPr>
            </w:pPr>
            <w:r>
              <w:rPr>
                <w:color w:val="000000"/>
                <w:sz w:val="20"/>
                <w:szCs w:val="20"/>
              </w:rPr>
              <w:t>TFCR</w:t>
            </w:r>
          </w:p>
        </w:tc>
        <w:tc>
          <w:tcPr>
            <w:tcW w:w="1701" w:type="dxa"/>
            <w:tcBorders>
              <w:top w:val="single" w:sz="4" w:space="0" w:color="auto"/>
            </w:tcBorders>
            <w:shd w:val="clear" w:color="auto" w:fill="auto"/>
            <w:vAlign w:val="bottom"/>
          </w:tcPr>
          <w:p w14:paraId="6C18567C" w14:textId="77777777" w:rsidR="0062084B" w:rsidRPr="00DD4670" w:rsidRDefault="0062084B" w:rsidP="00094B17">
            <w:pPr>
              <w:autoSpaceDE w:val="0"/>
              <w:autoSpaceDN w:val="0"/>
              <w:adjustRightInd w:val="0"/>
              <w:jc w:val="both"/>
              <w:rPr>
                <w:color w:val="000000"/>
                <w:sz w:val="20"/>
                <w:szCs w:val="20"/>
              </w:rPr>
            </w:pPr>
            <w:r w:rsidRPr="00DD4670">
              <w:rPr>
                <w:color w:val="000000"/>
                <w:sz w:val="18"/>
                <w:szCs w:val="18"/>
              </w:rPr>
              <w:t>-3.757966 (0.02)**</w:t>
            </w:r>
          </w:p>
        </w:tc>
        <w:tc>
          <w:tcPr>
            <w:tcW w:w="2126" w:type="dxa"/>
            <w:tcBorders>
              <w:top w:val="single" w:sz="4" w:space="0" w:color="auto"/>
            </w:tcBorders>
            <w:shd w:val="clear" w:color="auto" w:fill="auto"/>
            <w:vAlign w:val="bottom"/>
          </w:tcPr>
          <w:p w14:paraId="7CBAC72F" w14:textId="77777777" w:rsidR="0062084B" w:rsidRPr="00DD4670" w:rsidRDefault="0062084B" w:rsidP="00094B17">
            <w:pPr>
              <w:autoSpaceDE w:val="0"/>
              <w:autoSpaceDN w:val="0"/>
              <w:adjustRightInd w:val="0"/>
              <w:jc w:val="both"/>
              <w:rPr>
                <w:color w:val="000000"/>
                <w:sz w:val="20"/>
                <w:szCs w:val="20"/>
              </w:rPr>
            </w:pPr>
            <w:r w:rsidRPr="00DD4670">
              <w:rPr>
                <w:color w:val="000000"/>
                <w:sz w:val="18"/>
                <w:szCs w:val="18"/>
              </w:rPr>
              <w:t>-2.702609 (0.26)</w:t>
            </w:r>
          </w:p>
        </w:tc>
        <w:tc>
          <w:tcPr>
            <w:tcW w:w="1701" w:type="dxa"/>
            <w:tcBorders>
              <w:top w:val="single" w:sz="4" w:space="0" w:color="auto"/>
            </w:tcBorders>
            <w:shd w:val="clear" w:color="auto" w:fill="auto"/>
            <w:vAlign w:val="bottom"/>
          </w:tcPr>
          <w:p w14:paraId="247844E5" w14:textId="77777777" w:rsidR="0062084B" w:rsidRPr="00DD4670" w:rsidRDefault="0062084B" w:rsidP="00094B17">
            <w:pPr>
              <w:autoSpaceDE w:val="0"/>
              <w:autoSpaceDN w:val="0"/>
              <w:adjustRightInd w:val="0"/>
              <w:jc w:val="both"/>
              <w:rPr>
                <w:color w:val="000000"/>
                <w:sz w:val="20"/>
                <w:szCs w:val="20"/>
              </w:rPr>
            </w:pPr>
            <w:r w:rsidRPr="00DD4670">
              <w:rPr>
                <w:color w:val="000000"/>
                <w:sz w:val="18"/>
                <w:szCs w:val="18"/>
              </w:rPr>
              <w:t>-4.098332 (0.00)*</w:t>
            </w:r>
          </w:p>
        </w:tc>
        <w:tc>
          <w:tcPr>
            <w:tcW w:w="1809" w:type="dxa"/>
            <w:tcBorders>
              <w:top w:val="single" w:sz="4" w:space="0" w:color="auto"/>
            </w:tcBorders>
            <w:shd w:val="clear" w:color="auto" w:fill="auto"/>
          </w:tcPr>
          <w:p w14:paraId="34F7D18B" w14:textId="77777777" w:rsidR="0062084B" w:rsidRPr="004D5A99" w:rsidRDefault="0062084B" w:rsidP="00094B17">
            <w:pPr>
              <w:autoSpaceDE w:val="0"/>
              <w:autoSpaceDN w:val="0"/>
              <w:adjustRightInd w:val="0"/>
              <w:jc w:val="both"/>
              <w:rPr>
                <w:color w:val="000000"/>
                <w:sz w:val="20"/>
                <w:szCs w:val="20"/>
              </w:rPr>
            </w:pPr>
            <w:r w:rsidRPr="004D5A99">
              <w:rPr>
                <w:color w:val="000000"/>
                <w:sz w:val="20"/>
                <w:szCs w:val="20"/>
              </w:rPr>
              <w:t xml:space="preserve">Stationary </w:t>
            </w:r>
          </w:p>
        </w:tc>
      </w:tr>
      <w:tr w:rsidR="0062084B" w:rsidRPr="004D5A99" w14:paraId="35135AE8" w14:textId="77777777" w:rsidTr="007023DC">
        <w:tc>
          <w:tcPr>
            <w:tcW w:w="1265" w:type="dxa"/>
            <w:shd w:val="clear" w:color="auto" w:fill="auto"/>
            <w:vAlign w:val="bottom"/>
          </w:tcPr>
          <w:p w14:paraId="71911DD5" w14:textId="77777777" w:rsidR="0062084B" w:rsidRPr="004D5A99" w:rsidRDefault="0062084B" w:rsidP="00094B17">
            <w:pPr>
              <w:pBdr>
                <w:between w:val="single" w:sz="4" w:space="1" w:color="auto"/>
              </w:pBdr>
              <w:autoSpaceDE w:val="0"/>
              <w:autoSpaceDN w:val="0"/>
              <w:adjustRightInd w:val="0"/>
              <w:rPr>
                <w:color w:val="000000"/>
                <w:sz w:val="20"/>
                <w:szCs w:val="20"/>
              </w:rPr>
            </w:pPr>
            <w:r>
              <w:rPr>
                <w:color w:val="000000"/>
                <w:sz w:val="20"/>
                <w:szCs w:val="20"/>
              </w:rPr>
              <w:t>PPT</w:t>
            </w:r>
          </w:p>
        </w:tc>
        <w:tc>
          <w:tcPr>
            <w:tcW w:w="1701" w:type="dxa"/>
            <w:shd w:val="clear" w:color="auto" w:fill="auto"/>
          </w:tcPr>
          <w:p w14:paraId="67327242" w14:textId="77777777" w:rsidR="0062084B" w:rsidRPr="00DD4670" w:rsidRDefault="0062084B" w:rsidP="00094B17">
            <w:pPr>
              <w:autoSpaceDE w:val="0"/>
              <w:autoSpaceDN w:val="0"/>
              <w:adjustRightInd w:val="0"/>
              <w:jc w:val="both"/>
              <w:rPr>
                <w:color w:val="000000"/>
                <w:sz w:val="20"/>
                <w:szCs w:val="20"/>
              </w:rPr>
            </w:pPr>
            <w:r w:rsidRPr="00DD4670">
              <w:rPr>
                <w:color w:val="000000"/>
                <w:sz w:val="18"/>
                <w:szCs w:val="18"/>
              </w:rPr>
              <w:t>-2.732049 (0.10)</w:t>
            </w:r>
          </w:p>
        </w:tc>
        <w:tc>
          <w:tcPr>
            <w:tcW w:w="2126" w:type="dxa"/>
            <w:shd w:val="clear" w:color="auto" w:fill="auto"/>
            <w:vAlign w:val="bottom"/>
          </w:tcPr>
          <w:p w14:paraId="15562DD0" w14:textId="77777777" w:rsidR="0062084B" w:rsidRPr="00DD4670" w:rsidRDefault="0062084B" w:rsidP="00094B17">
            <w:pPr>
              <w:autoSpaceDE w:val="0"/>
              <w:autoSpaceDN w:val="0"/>
              <w:adjustRightInd w:val="0"/>
              <w:jc w:val="both"/>
              <w:rPr>
                <w:color w:val="000000"/>
                <w:sz w:val="20"/>
                <w:szCs w:val="20"/>
              </w:rPr>
            </w:pPr>
            <w:r w:rsidRPr="00DD4670">
              <w:rPr>
                <w:color w:val="000000"/>
                <w:sz w:val="18"/>
                <w:szCs w:val="18"/>
              </w:rPr>
              <w:t>-2.345037 (0.38)</w:t>
            </w:r>
          </w:p>
        </w:tc>
        <w:tc>
          <w:tcPr>
            <w:tcW w:w="1701" w:type="dxa"/>
            <w:shd w:val="clear" w:color="auto" w:fill="auto"/>
            <w:vAlign w:val="bottom"/>
          </w:tcPr>
          <w:p w14:paraId="26284441" w14:textId="77777777" w:rsidR="0062084B" w:rsidRPr="00DD4670" w:rsidRDefault="0062084B" w:rsidP="00094B17">
            <w:pPr>
              <w:autoSpaceDE w:val="0"/>
              <w:autoSpaceDN w:val="0"/>
              <w:adjustRightInd w:val="0"/>
              <w:jc w:val="both"/>
              <w:rPr>
                <w:color w:val="000000"/>
                <w:sz w:val="20"/>
                <w:szCs w:val="20"/>
              </w:rPr>
            </w:pPr>
            <w:r w:rsidRPr="00DD4670">
              <w:rPr>
                <w:color w:val="000000"/>
                <w:sz w:val="18"/>
                <w:szCs w:val="18"/>
              </w:rPr>
              <w:t>-2.919241 (0.00)*</w:t>
            </w:r>
          </w:p>
        </w:tc>
        <w:tc>
          <w:tcPr>
            <w:tcW w:w="1809" w:type="dxa"/>
            <w:shd w:val="clear" w:color="auto" w:fill="auto"/>
          </w:tcPr>
          <w:p w14:paraId="71CF3439" w14:textId="77777777" w:rsidR="0062084B" w:rsidRPr="004D5A99" w:rsidRDefault="0062084B" w:rsidP="00094B17">
            <w:pPr>
              <w:autoSpaceDE w:val="0"/>
              <w:autoSpaceDN w:val="0"/>
              <w:adjustRightInd w:val="0"/>
              <w:jc w:val="both"/>
              <w:rPr>
                <w:color w:val="000000"/>
                <w:sz w:val="20"/>
                <w:szCs w:val="20"/>
              </w:rPr>
            </w:pPr>
            <w:r w:rsidRPr="004D5A99">
              <w:rPr>
                <w:color w:val="000000"/>
                <w:sz w:val="20"/>
                <w:szCs w:val="20"/>
              </w:rPr>
              <w:t>Stationary</w:t>
            </w:r>
          </w:p>
        </w:tc>
      </w:tr>
      <w:tr w:rsidR="0062084B" w:rsidRPr="004D5A99" w14:paraId="113EC3C3" w14:textId="77777777" w:rsidTr="007023DC">
        <w:tc>
          <w:tcPr>
            <w:tcW w:w="1265" w:type="dxa"/>
            <w:shd w:val="clear" w:color="auto" w:fill="auto"/>
            <w:vAlign w:val="bottom"/>
          </w:tcPr>
          <w:p w14:paraId="429334D9" w14:textId="77777777" w:rsidR="0062084B" w:rsidRPr="004D5A99" w:rsidRDefault="0062084B" w:rsidP="00094B17">
            <w:pPr>
              <w:pBdr>
                <w:between w:val="single" w:sz="4" w:space="1" w:color="auto"/>
              </w:pBdr>
              <w:autoSpaceDE w:val="0"/>
              <w:autoSpaceDN w:val="0"/>
              <w:adjustRightInd w:val="0"/>
              <w:rPr>
                <w:color w:val="000000"/>
                <w:sz w:val="20"/>
                <w:szCs w:val="20"/>
              </w:rPr>
            </w:pPr>
            <w:r>
              <w:rPr>
                <w:color w:val="000000"/>
                <w:sz w:val="20"/>
                <w:szCs w:val="20"/>
              </w:rPr>
              <w:t>CIT</w:t>
            </w:r>
          </w:p>
        </w:tc>
        <w:tc>
          <w:tcPr>
            <w:tcW w:w="1701" w:type="dxa"/>
            <w:shd w:val="clear" w:color="auto" w:fill="auto"/>
          </w:tcPr>
          <w:p w14:paraId="245F3603" w14:textId="77777777" w:rsidR="0062084B" w:rsidRPr="00DD4670" w:rsidRDefault="0062084B" w:rsidP="00094B17">
            <w:pPr>
              <w:autoSpaceDE w:val="0"/>
              <w:autoSpaceDN w:val="0"/>
              <w:adjustRightInd w:val="0"/>
              <w:jc w:val="both"/>
              <w:rPr>
                <w:color w:val="000000"/>
                <w:sz w:val="20"/>
                <w:szCs w:val="20"/>
              </w:rPr>
            </w:pPr>
            <w:r w:rsidRPr="00DD4670">
              <w:rPr>
                <w:color w:val="000000"/>
                <w:sz w:val="18"/>
                <w:szCs w:val="18"/>
              </w:rPr>
              <w:t>-4.160005 (0.00)*</w:t>
            </w:r>
          </w:p>
        </w:tc>
        <w:tc>
          <w:tcPr>
            <w:tcW w:w="2126" w:type="dxa"/>
            <w:shd w:val="clear" w:color="auto" w:fill="auto"/>
            <w:vAlign w:val="bottom"/>
          </w:tcPr>
          <w:p w14:paraId="73A7C802" w14:textId="77777777" w:rsidR="0062084B" w:rsidRPr="00DD4670" w:rsidRDefault="0062084B" w:rsidP="00094B17">
            <w:pPr>
              <w:autoSpaceDE w:val="0"/>
              <w:autoSpaceDN w:val="0"/>
              <w:adjustRightInd w:val="0"/>
              <w:jc w:val="both"/>
              <w:rPr>
                <w:color w:val="000000"/>
                <w:sz w:val="20"/>
                <w:szCs w:val="20"/>
              </w:rPr>
            </w:pPr>
            <w:r w:rsidRPr="00DD4670">
              <w:rPr>
                <w:color w:val="000000"/>
                <w:sz w:val="18"/>
                <w:szCs w:val="18"/>
              </w:rPr>
              <w:t>-4.154214 (0.04)**</w:t>
            </w:r>
          </w:p>
        </w:tc>
        <w:tc>
          <w:tcPr>
            <w:tcW w:w="1701" w:type="dxa"/>
            <w:shd w:val="clear" w:color="auto" w:fill="auto"/>
            <w:vAlign w:val="bottom"/>
          </w:tcPr>
          <w:p w14:paraId="06B0FA67" w14:textId="77777777" w:rsidR="0062084B" w:rsidRPr="00DD4670" w:rsidRDefault="0062084B" w:rsidP="00094B17">
            <w:pPr>
              <w:autoSpaceDE w:val="0"/>
              <w:autoSpaceDN w:val="0"/>
              <w:adjustRightInd w:val="0"/>
              <w:jc w:val="both"/>
              <w:rPr>
                <w:color w:val="000000"/>
                <w:sz w:val="20"/>
                <w:szCs w:val="20"/>
              </w:rPr>
            </w:pPr>
            <w:r w:rsidRPr="00DD4670">
              <w:rPr>
                <w:color w:val="000000"/>
                <w:sz w:val="18"/>
                <w:szCs w:val="18"/>
              </w:rPr>
              <w:t>-2.130985 (0.04)**</w:t>
            </w:r>
          </w:p>
        </w:tc>
        <w:tc>
          <w:tcPr>
            <w:tcW w:w="1809" w:type="dxa"/>
            <w:shd w:val="clear" w:color="auto" w:fill="auto"/>
          </w:tcPr>
          <w:p w14:paraId="4E82F6B1" w14:textId="77777777" w:rsidR="0062084B" w:rsidRPr="004D5A99" w:rsidRDefault="0062084B" w:rsidP="00094B17">
            <w:pPr>
              <w:autoSpaceDE w:val="0"/>
              <w:autoSpaceDN w:val="0"/>
              <w:adjustRightInd w:val="0"/>
              <w:jc w:val="both"/>
              <w:rPr>
                <w:color w:val="000000"/>
                <w:sz w:val="20"/>
                <w:szCs w:val="20"/>
              </w:rPr>
            </w:pPr>
            <w:r w:rsidRPr="004D5A99">
              <w:rPr>
                <w:color w:val="000000"/>
                <w:sz w:val="20"/>
                <w:szCs w:val="20"/>
              </w:rPr>
              <w:t>Stationary</w:t>
            </w:r>
          </w:p>
        </w:tc>
      </w:tr>
      <w:tr w:rsidR="007023DC" w:rsidRPr="004D5A99" w14:paraId="5D392558" w14:textId="77777777" w:rsidTr="007023DC">
        <w:tc>
          <w:tcPr>
            <w:tcW w:w="1265" w:type="dxa"/>
            <w:tcBorders>
              <w:bottom w:val="single" w:sz="4" w:space="0" w:color="auto"/>
            </w:tcBorders>
            <w:shd w:val="clear" w:color="auto" w:fill="auto"/>
            <w:vAlign w:val="bottom"/>
          </w:tcPr>
          <w:p w14:paraId="2FE8D30D" w14:textId="77777777" w:rsidR="007023DC" w:rsidRPr="004D5A99" w:rsidRDefault="007023DC" w:rsidP="007023DC">
            <w:pPr>
              <w:pBdr>
                <w:between w:val="single" w:sz="4" w:space="1" w:color="auto"/>
              </w:pBdr>
              <w:autoSpaceDE w:val="0"/>
              <w:autoSpaceDN w:val="0"/>
              <w:adjustRightInd w:val="0"/>
              <w:rPr>
                <w:color w:val="000000"/>
                <w:sz w:val="20"/>
                <w:szCs w:val="20"/>
              </w:rPr>
            </w:pPr>
            <w:r>
              <w:rPr>
                <w:color w:val="000000"/>
                <w:sz w:val="20"/>
                <w:szCs w:val="20"/>
              </w:rPr>
              <w:t>VAT</w:t>
            </w:r>
          </w:p>
        </w:tc>
        <w:tc>
          <w:tcPr>
            <w:tcW w:w="1701" w:type="dxa"/>
            <w:tcBorders>
              <w:bottom w:val="single" w:sz="4" w:space="0" w:color="auto"/>
            </w:tcBorders>
            <w:shd w:val="clear" w:color="auto" w:fill="auto"/>
          </w:tcPr>
          <w:p w14:paraId="11F570F1" w14:textId="77777777" w:rsidR="007023DC" w:rsidRPr="00DD4670" w:rsidRDefault="007023DC" w:rsidP="007023DC">
            <w:pPr>
              <w:autoSpaceDE w:val="0"/>
              <w:autoSpaceDN w:val="0"/>
              <w:adjustRightInd w:val="0"/>
              <w:jc w:val="both"/>
              <w:rPr>
                <w:color w:val="000000"/>
                <w:sz w:val="20"/>
                <w:szCs w:val="20"/>
              </w:rPr>
            </w:pPr>
            <w:r w:rsidRPr="00DD4670">
              <w:rPr>
                <w:color w:val="000000"/>
                <w:sz w:val="18"/>
                <w:szCs w:val="18"/>
              </w:rPr>
              <w:t>-2.597820 (0.13)</w:t>
            </w:r>
          </w:p>
        </w:tc>
        <w:tc>
          <w:tcPr>
            <w:tcW w:w="2126" w:type="dxa"/>
            <w:tcBorders>
              <w:bottom w:val="single" w:sz="4" w:space="0" w:color="auto"/>
            </w:tcBorders>
            <w:shd w:val="clear" w:color="auto" w:fill="auto"/>
            <w:vAlign w:val="bottom"/>
          </w:tcPr>
          <w:p w14:paraId="0FFA9184" w14:textId="77777777" w:rsidR="007023DC" w:rsidRPr="00DD4670" w:rsidRDefault="007023DC" w:rsidP="007023DC">
            <w:pPr>
              <w:autoSpaceDE w:val="0"/>
              <w:autoSpaceDN w:val="0"/>
              <w:adjustRightInd w:val="0"/>
              <w:jc w:val="both"/>
              <w:rPr>
                <w:color w:val="000000"/>
                <w:sz w:val="20"/>
                <w:szCs w:val="20"/>
              </w:rPr>
            </w:pPr>
            <w:r w:rsidRPr="00DD4670">
              <w:rPr>
                <w:color w:val="000000"/>
                <w:sz w:val="18"/>
                <w:szCs w:val="18"/>
              </w:rPr>
              <w:t>-3.153068 (0.16)</w:t>
            </w:r>
          </w:p>
        </w:tc>
        <w:tc>
          <w:tcPr>
            <w:tcW w:w="1701" w:type="dxa"/>
            <w:tcBorders>
              <w:bottom w:val="single" w:sz="4" w:space="0" w:color="auto"/>
            </w:tcBorders>
            <w:shd w:val="clear" w:color="auto" w:fill="auto"/>
            <w:vAlign w:val="bottom"/>
          </w:tcPr>
          <w:p w14:paraId="1AAD1EC4" w14:textId="77777777" w:rsidR="007023DC" w:rsidRPr="00DD4670" w:rsidRDefault="007023DC" w:rsidP="007023DC">
            <w:pPr>
              <w:autoSpaceDE w:val="0"/>
              <w:autoSpaceDN w:val="0"/>
              <w:adjustRightInd w:val="0"/>
              <w:jc w:val="both"/>
              <w:rPr>
                <w:color w:val="000000"/>
                <w:sz w:val="20"/>
                <w:szCs w:val="20"/>
              </w:rPr>
            </w:pPr>
            <w:r w:rsidRPr="00DD4670">
              <w:rPr>
                <w:color w:val="000000"/>
                <w:sz w:val="18"/>
                <w:szCs w:val="18"/>
              </w:rPr>
              <w:t>-2.813227 (0.01)*</w:t>
            </w:r>
          </w:p>
        </w:tc>
        <w:tc>
          <w:tcPr>
            <w:tcW w:w="1809" w:type="dxa"/>
            <w:tcBorders>
              <w:bottom w:val="single" w:sz="4" w:space="0" w:color="auto"/>
            </w:tcBorders>
            <w:shd w:val="clear" w:color="auto" w:fill="auto"/>
          </w:tcPr>
          <w:p w14:paraId="7E820650" w14:textId="77777777" w:rsidR="007023DC" w:rsidRPr="004D5A99" w:rsidRDefault="007023DC" w:rsidP="007023DC">
            <w:pPr>
              <w:autoSpaceDE w:val="0"/>
              <w:autoSpaceDN w:val="0"/>
              <w:adjustRightInd w:val="0"/>
              <w:jc w:val="both"/>
              <w:rPr>
                <w:color w:val="000000"/>
                <w:sz w:val="20"/>
                <w:szCs w:val="20"/>
              </w:rPr>
            </w:pPr>
            <w:r w:rsidRPr="004D5A99">
              <w:rPr>
                <w:color w:val="000000"/>
                <w:sz w:val="20"/>
                <w:szCs w:val="20"/>
              </w:rPr>
              <w:t>Stationary</w:t>
            </w:r>
          </w:p>
        </w:tc>
      </w:tr>
    </w:tbl>
    <w:p w14:paraId="745A8B97" w14:textId="77777777" w:rsidR="0062084B" w:rsidRPr="004D5A99" w:rsidRDefault="0062084B" w:rsidP="0062084B">
      <w:pPr>
        <w:ind w:firstLine="720"/>
        <w:jc w:val="center"/>
        <w:rPr>
          <w:i/>
          <w:sz w:val="20"/>
          <w:szCs w:val="20"/>
        </w:rPr>
      </w:pPr>
      <w:r w:rsidRPr="004D5A99">
        <w:rPr>
          <w:i/>
          <w:sz w:val="20"/>
          <w:szCs w:val="20"/>
        </w:rPr>
        <w:lastRenderedPageBreak/>
        <w:t>Source: Data output via E-views 1</w:t>
      </w:r>
      <w:r w:rsidR="007023DC">
        <w:rPr>
          <w:i/>
          <w:sz w:val="20"/>
          <w:szCs w:val="20"/>
        </w:rPr>
        <w:t>2</w:t>
      </w:r>
      <w:r w:rsidRPr="004D5A99">
        <w:rPr>
          <w:i/>
          <w:sz w:val="20"/>
          <w:szCs w:val="20"/>
        </w:rPr>
        <w:t>.0</w:t>
      </w:r>
    </w:p>
    <w:p w14:paraId="50AA0BE7" w14:textId="77777777" w:rsidR="0062084B" w:rsidRPr="004D5A99" w:rsidRDefault="0062084B" w:rsidP="0062084B">
      <w:pPr>
        <w:ind w:firstLine="720"/>
        <w:jc w:val="center"/>
        <w:rPr>
          <w:b/>
          <w:sz w:val="20"/>
          <w:szCs w:val="20"/>
        </w:rPr>
      </w:pPr>
      <w:r w:rsidRPr="004D5A99">
        <w:rPr>
          <w:i/>
          <w:sz w:val="20"/>
          <w:szCs w:val="20"/>
        </w:rPr>
        <w:t>Note: Spectral estimation methods are Bartlett kernel and Newey-West method for Bandwidth, p-values are in parentheses where (*) &amp; (**) denotes significance at 1% and 5% respectively.</w:t>
      </w:r>
    </w:p>
    <w:p w14:paraId="26977410" w14:textId="77777777" w:rsidR="0062084B" w:rsidRDefault="0062084B" w:rsidP="0062084B">
      <w:pPr>
        <w:jc w:val="center"/>
        <w:rPr>
          <w:b/>
        </w:rPr>
      </w:pPr>
    </w:p>
    <w:p w14:paraId="1B4C46CF" w14:textId="77777777" w:rsidR="0062084B" w:rsidRPr="00711DD2" w:rsidRDefault="0062084B" w:rsidP="007023DC">
      <w:pPr>
        <w:ind w:firstLine="720"/>
        <w:jc w:val="both"/>
        <w:rPr>
          <w:b/>
        </w:rPr>
      </w:pPr>
      <w:r w:rsidRPr="00711DD2">
        <w:rPr>
          <w:b/>
        </w:rPr>
        <w:t>Diagnostics Test</w:t>
      </w:r>
    </w:p>
    <w:p w14:paraId="58452121" w14:textId="77777777" w:rsidR="0062084B" w:rsidRPr="00711DD2" w:rsidRDefault="0062084B" w:rsidP="007023DC">
      <w:pPr>
        <w:ind w:left="720"/>
        <w:jc w:val="both"/>
        <w:rPr>
          <w:b/>
        </w:rPr>
      </w:pPr>
      <w:r w:rsidRPr="00711DD2">
        <w:rPr>
          <w:b/>
        </w:rPr>
        <w:t>Serial Correlation LM Test</w:t>
      </w:r>
    </w:p>
    <w:p w14:paraId="6F14D616" w14:textId="28DCD610" w:rsidR="0062084B" w:rsidRPr="00711DD2" w:rsidRDefault="0062084B" w:rsidP="007023DC">
      <w:pPr>
        <w:ind w:left="720" w:firstLine="720"/>
        <w:jc w:val="both"/>
      </w:pPr>
      <w:r w:rsidRPr="00711DD2">
        <w:t>When the variables in a model are serially correlated, inferences from estimation of such model would be spurious and unreliable in statistical terms. In order to prevent the occurrence of serial correlation in the model specified for this study, the serial correlation LM test was performed. The result which indicated in Table</w:t>
      </w:r>
      <w:r w:rsidR="001B60DC">
        <w:t xml:space="preserve"> 6</w:t>
      </w:r>
      <w:r w:rsidRPr="00711DD2">
        <w:t xml:space="preserve"> reveals that the variables in the model were not serially correlated with each other as the p-value are insignificant at 5% level of significance.</w:t>
      </w:r>
    </w:p>
    <w:p w14:paraId="0D6607CD" w14:textId="7824929C" w:rsidR="0062084B" w:rsidRPr="00711DD2" w:rsidRDefault="001B60DC" w:rsidP="0062084B">
      <w:pPr>
        <w:ind w:left="720"/>
        <w:jc w:val="center"/>
        <w:rPr>
          <w:b/>
          <w:sz w:val="20"/>
          <w:szCs w:val="20"/>
        </w:rPr>
      </w:pPr>
      <w:r>
        <w:rPr>
          <w:b/>
          <w:color w:val="000000"/>
          <w:sz w:val="20"/>
          <w:szCs w:val="20"/>
        </w:rPr>
        <w:t>Table 6</w:t>
      </w:r>
      <w:r w:rsidR="0062084B" w:rsidRPr="00711DD2">
        <w:rPr>
          <w:b/>
          <w:color w:val="000000"/>
          <w:sz w:val="20"/>
          <w:szCs w:val="20"/>
        </w:rPr>
        <w:t>: Serial Correlation LM Test</w:t>
      </w:r>
    </w:p>
    <w:tbl>
      <w:tblPr>
        <w:tblW w:w="8741" w:type="dxa"/>
        <w:tblInd w:w="709" w:type="dxa"/>
        <w:tblBorders>
          <w:top w:val="single" w:sz="4" w:space="0" w:color="auto"/>
          <w:bottom w:val="single" w:sz="4" w:space="0" w:color="auto"/>
        </w:tblBorders>
        <w:tblLayout w:type="fixed"/>
        <w:tblLook w:val="04A0" w:firstRow="1" w:lastRow="0" w:firstColumn="1" w:lastColumn="0" w:noHBand="0" w:noVBand="1"/>
      </w:tblPr>
      <w:tblGrid>
        <w:gridCol w:w="2589"/>
        <w:gridCol w:w="1310"/>
        <w:gridCol w:w="2952"/>
        <w:gridCol w:w="1890"/>
      </w:tblGrid>
      <w:tr w:rsidR="0062084B" w:rsidRPr="00B02EEB" w14:paraId="4E277787" w14:textId="77777777" w:rsidTr="007023DC">
        <w:tc>
          <w:tcPr>
            <w:tcW w:w="2589" w:type="dxa"/>
            <w:shd w:val="clear" w:color="auto" w:fill="auto"/>
            <w:vAlign w:val="bottom"/>
          </w:tcPr>
          <w:p w14:paraId="1E45F60D" w14:textId="77777777" w:rsidR="0062084B" w:rsidRPr="00711DD2" w:rsidRDefault="0062084B" w:rsidP="00094B17">
            <w:pPr>
              <w:autoSpaceDE w:val="0"/>
              <w:autoSpaceDN w:val="0"/>
              <w:adjustRightInd w:val="0"/>
              <w:rPr>
                <w:color w:val="000000"/>
                <w:sz w:val="20"/>
                <w:szCs w:val="20"/>
              </w:rPr>
            </w:pPr>
            <w:r w:rsidRPr="00711DD2">
              <w:rPr>
                <w:color w:val="000000"/>
                <w:sz w:val="20"/>
                <w:szCs w:val="20"/>
              </w:rPr>
              <w:t>F-statistic</w:t>
            </w:r>
          </w:p>
        </w:tc>
        <w:tc>
          <w:tcPr>
            <w:tcW w:w="1310" w:type="dxa"/>
            <w:shd w:val="clear" w:color="auto" w:fill="auto"/>
            <w:vAlign w:val="bottom"/>
          </w:tcPr>
          <w:p w14:paraId="7CFD1B7F" w14:textId="77777777" w:rsidR="0062084B" w:rsidRPr="00B02EEB" w:rsidRDefault="0062084B" w:rsidP="00094B17">
            <w:pPr>
              <w:autoSpaceDE w:val="0"/>
              <w:autoSpaceDN w:val="0"/>
              <w:adjustRightInd w:val="0"/>
              <w:ind w:right="10"/>
              <w:jc w:val="both"/>
              <w:rPr>
                <w:color w:val="000000"/>
                <w:sz w:val="20"/>
                <w:szCs w:val="20"/>
              </w:rPr>
            </w:pPr>
            <w:r w:rsidRPr="00B02EEB">
              <w:rPr>
                <w:color w:val="000000"/>
                <w:sz w:val="20"/>
                <w:szCs w:val="20"/>
              </w:rPr>
              <w:t>2.715783</w:t>
            </w:r>
          </w:p>
        </w:tc>
        <w:tc>
          <w:tcPr>
            <w:tcW w:w="2952" w:type="dxa"/>
            <w:vAlign w:val="bottom"/>
          </w:tcPr>
          <w:p w14:paraId="1514E1FB" w14:textId="77777777" w:rsidR="0062084B" w:rsidRPr="00B02EEB" w:rsidRDefault="0062084B" w:rsidP="00094B17">
            <w:pPr>
              <w:autoSpaceDE w:val="0"/>
              <w:autoSpaceDN w:val="0"/>
              <w:adjustRightInd w:val="0"/>
              <w:ind w:right="10"/>
              <w:jc w:val="both"/>
              <w:rPr>
                <w:color w:val="000000"/>
                <w:sz w:val="20"/>
                <w:szCs w:val="20"/>
              </w:rPr>
            </w:pPr>
            <w:r w:rsidRPr="00B02EEB">
              <w:rPr>
                <w:color w:val="000000"/>
                <w:sz w:val="20"/>
                <w:szCs w:val="20"/>
              </w:rPr>
              <w:t>    Prob. F(2,2)</w:t>
            </w:r>
          </w:p>
        </w:tc>
        <w:tc>
          <w:tcPr>
            <w:tcW w:w="1890" w:type="dxa"/>
            <w:shd w:val="clear" w:color="auto" w:fill="auto"/>
            <w:vAlign w:val="bottom"/>
          </w:tcPr>
          <w:p w14:paraId="5D2E23FD" w14:textId="77777777" w:rsidR="0062084B" w:rsidRPr="00B02EEB" w:rsidRDefault="0062084B" w:rsidP="00094B17">
            <w:pPr>
              <w:autoSpaceDE w:val="0"/>
              <w:autoSpaceDN w:val="0"/>
              <w:adjustRightInd w:val="0"/>
              <w:ind w:right="10"/>
              <w:jc w:val="both"/>
              <w:rPr>
                <w:color w:val="000000"/>
                <w:sz w:val="20"/>
                <w:szCs w:val="20"/>
              </w:rPr>
            </w:pPr>
            <w:r w:rsidRPr="00B02EEB">
              <w:rPr>
                <w:color w:val="000000"/>
                <w:sz w:val="20"/>
                <w:szCs w:val="20"/>
              </w:rPr>
              <w:t>0.2691</w:t>
            </w:r>
          </w:p>
        </w:tc>
      </w:tr>
      <w:tr w:rsidR="0062084B" w:rsidRPr="00B02EEB" w14:paraId="3B605BC7" w14:textId="77777777" w:rsidTr="007023DC">
        <w:tc>
          <w:tcPr>
            <w:tcW w:w="2589" w:type="dxa"/>
            <w:shd w:val="clear" w:color="auto" w:fill="auto"/>
            <w:vAlign w:val="bottom"/>
          </w:tcPr>
          <w:p w14:paraId="5B214EFB" w14:textId="77777777" w:rsidR="0062084B" w:rsidRPr="00711DD2" w:rsidRDefault="0062084B" w:rsidP="00094B17">
            <w:pPr>
              <w:autoSpaceDE w:val="0"/>
              <w:autoSpaceDN w:val="0"/>
              <w:adjustRightInd w:val="0"/>
              <w:rPr>
                <w:color w:val="000000"/>
                <w:sz w:val="20"/>
                <w:szCs w:val="20"/>
              </w:rPr>
            </w:pPr>
            <w:proofErr w:type="spellStart"/>
            <w:r w:rsidRPr="00711DD2">
              <w:rPr>
                <w:color w:val="000000"/>
                <w:sz w:val="20"/>
                <w:szCs w:val="20"/>
              </w:rPr>
              <w:t>Obs</w:t>
            </w:r>
            <w:proofErr w:type="spellEnd"/>
            <w:r w:rsidRPr="00711DD2">
              <w:rPr>
                <w:color w:val="000000"/>
                <w:sz w:val="20"/>
                <w:szCs w:val="20"/>
              </w:rPr>
              <w:t>*R-squared</w:t>
            </w:r>
          </w:p>
        </w:tc>
        <w:tc>
          <w:tcPr>
            <w:tcW w:w="1310" w:type="dxa"/>
            <w:shd w:val="clear" w:color="auto" w:fill="auto"/>
            <w:vAlign w:val="bottom"/>
          </w:tcPr>
          <w:p w14:paraId="27DFE454" w14:textId="77777777" w:rsidR="0062084B" w:rsidRPr="00B02EEB" w:rsidRDefault="0062084B" w:rsidP="00094B17">
            <w:pPr>
              <w:autoSpaceDE w:val="0"/>
              <w:autoSpaceDN w:val="0"/>
              <w:adjustRightInd w:val="0"/>
              <w:ind w:right="10"/>
              <w:jc w:val="both"/>
              <w:rPr>
                <w:color w:val="000000"/>
                <w:sz w:val="20"/>
                <w:szCs w:val="20"/>
              </w:rPr>
            </w:pPr>
            <w:r w:rsidRPr="00B02EEB">
              <w:rPr>
                <w:color w:val="000000"/>
                <w:sz w:val="20"/>
                <w:szCs w:val="20"/>
              </w:rPr>
              <w:t>7.308777</w:t>
            </w:r>
          </w:p>
        </w:tc>
        <w:tc>
          <w:tcPr>
            <w:tcW w:w="2952" w:type="dxa"/>
            <w:vAlign w:val="bottom"/>
          </w:tcPr>
          <w:p w14:paraId="534728A1" w14:textId="77777777" w:rsidR="0062084B" w:rsidRPr="00B02EEB" w:rsidRDefault="0062084B" w:rsidP="00094B17">
            <w:pPr>
              <w:autoSpaceDE w:val="0"/>
              <w:autoSpaceDN w:val="0"/>
              <w:adjustRightInd w:val="0"/>
              <w:ind w:right="10"/>
              <w:jc w:val="both"/>
              <w:rPr>
                <w:color w:val="000000"/>
                <w:sz w:val="20"/>
                <w:szCs w:val="20"/>
              </w:rPr>
            </w:pPr>
            <w:r w:rsidRPr="00B02EEB">
              <w:rPr>
                <w:color w:val="000000"/>
                <w:sz w:val="20"/>
                <w:szCs w:val="20"/>
              </w:rPr>
              <w:t>    Prob. Chi-Square(2)</w:t>
            </w:r>
          </w:p>
        </w:tc>
        <w:tc>
          <w:tcPr>
            <w:tcW w:w="1890" w:type="dxa"/>
            <w:shd w:val="clear" w:color="auto" w:fill="auto"/>
            <w:vAlign w:val="bottom"/>
          </w:tcPr>
          <w:p w14:paraId="6BEE9894" w14:textId="77777777" w:rsidR="0062084B" w:rsidRPr="00B02EEB" w:rsidRDefault="0062084B" w:rsidP="00094B17">
            <w:pPr>
              <w:autoSpaceDE w:val="0"/>
              <w:autoSpaceDN w:val="0"/>
              <w:adjustRightInd w:val="0"/>
              <w:ind w:right="10"/>
              <w:jc w:val="both"/>
              <w:rPr>
                <w:color w:val="000000"/>
                <w:sz w:val="20"/>
                <w:szCs w:val="20"/>
              </w:rPr>
            </w:pPr>
            <w:r w:rsidRPr="00B02EEB">
              <w:rPr>
                <w:color w:val="000000"/>
                <w:sz w:val="20"/>
                <w:szCs w:val="20"/>
              </w:rPr>
              <w:t>0.0259</w:t>
            </w:r>
          </w:p>
        </w:tc>
      </w:tr>
    </w:tbl>
    <w:p w14:paraId="7AADBE6D" w14:textId="77777777" w:rsidR="0062084B" w:rsidRPr="00711DD2" w:rsidRDefault="0062084B" w:rsidP="0062084B">
      <w:pPr>
        <w:ind w:firstLine="720"/>
        <w:jc w:val="center"/>
        <w:rPr>
          <w:i/>
          <w:sz w:val="20"/>
          <w:szCs w:val="20"/>
        </w:rPr>
      </w:pPr>
      <w:r w:rsidRPr="00711DD2">
        <w:rPr>
          <w:i/>
          <w:sz w:val="20"/>
          <w:szCs w:val="20"/>
        </w:rPr>
        <w:t>Source: Data output via E-views 1</w:t>
      </w:r>
      <w:r w:rsidR="007023DC">
        <w:rPr>
          <w:i/>
          <w:sz w:val="20"/>
          <w:szCs w:val="20"/>
        </w:rPr>
        <w:t>2</w:t>
      </w:r>
      <w:r w:rsidRPr="00711DD2">
        <w:rPr>
          <w:i/>
          <w:sz w:val="20"/>
          <w:szCs w:val="20"/>
        </w:rPr>
        <w:t>.0</w:t>
      </w:r>
    </w:p>
    <w:p w14:paraId="766F5355" w14:textId="77777777" w:rsidR="0062084B" w:rsidRPr="00711DD2" w:rsidRDefault="0062084B" w:rsidP="0062084B">
      <w:pPr>
        <w:ind w:firstLine="720"/>
        <w:jc w:val="center"/>
        <w:rPr>
          <w:i/>
        </w:rPr>
      </w:pPr>
    </w:p>
    <w:p w14:paraId="27DCC7E9" w14:textId="77777777" w:rsidR="0062084B" w:rsidRPr="00711DD2" w:rsidRDefault="0062084B" w:rsidP="007023DC">
      <w:pPr>
        <w:ind w:left="720"/>
        <w:rPr>
          <w:b/>
        </w:rPr>
      </w:pPr>
      <w:r w:rsidRPr="00711DD2">
        <w:rPr>
          <w:b/>
        </w:rPr>
        <w:t>Heteroskedasticity Test</w:t>
      </w:r>
    </w:p>
    <w:p w14:paraId="5BEDFC00" w14:textId="1FAA4A9C" w:rsidR="0062084B" w:rsidRPr="00711DD2" w:rsidRDefault="0062084B" w:rsidP="007023DC">
      <w:pPr>
        <w:ind w:left="720" w:firstLine="720"/>
        <w:jc w:val="both"/>
      </w:pPr>
      <w:r w:rsidRPr="00711DD2">
        <w:t xml:space="preserve">The presence of heteroskedasticity is considered not ideal and casts a dent to inference that would be made from such estimation of a model. In an attempt to be sure of the absence of </w:t>
      </w:r>
      <w:proofErr w:type="spellStart"/>
      <w:r w:rsidRPr="00711DD2">
        <w:t>of</w:t>
      </w:r>
      <w:proofErr w:type="spellEnd"/>
      <w:r w:rsidRPr="00711DD2">
        <w:t xml:space="preserve"> heteroskedasticity, the model was checked accordingly. The results of the test </w:t>
      </w:r>
      <w:r>
        <w:t>which is highlighted in T</w:t>
      </w:r>
      <w:r w:rsidR="001B60DC">
        <w:t>able 7</w:t>
      </w:r>
      <w:r w:rsidRPr="00711DD2">
        <w:t xml:space="preserve"> points to the fact that there is no heteroskedasticity in the model judging from the insignificant p-value of the f-statistics coefficient at 5% level of significance.</w:t>
      </w:r>
    </w:p>
    <w:p w14:paraId="53E97B58" w14:textId="20F9D942" w:rsidR="0062084B" w:rsidRPr="00711DD2" w:rsidRDefault="001B60DC" w:rsidP="0062084B">
      <w:pPr>
        <w:ind w:left="720"/>
        <w:jc w:val="center"/>
        <w:rPr>
          <w:b/>
          <w:sz w:val="20"/>
          <w:szCs w:val="20"/>
        </w:rPr>
      </w:pPr>
      <w:r>
        <w:rPr>
          <w:b/>
          <w:color w:val="000000"/>
          <w:sz w:val="20"/>
          <w:szCs w:val="20"/>
        </w:rPr>
        <w:t>Table 7</w:t>
      </w:r>
      <w:r w:rsidR="0062084B" w:rsidRPr="00711DD2">
        <w:rPr>
          <w:b/>
          <w:color w:val="000000"/>
          <w:sz w:val="20"/>
          <w:szCs w:val="20"/>
        </w:rPr>
        <w:t xml:space="preserve">: </w:t>
      </w:r>
      <w:r w:rsidR="0062084B" w:rsidRPr="00711DD2">
        <w:rPr>
          <w:b/>
          <w:sz w:val="20"/>
          <w:szCs w:val="20"/>
        </w:rPr>
        <w:t>Heteroskedasticity Test</w:t>
      </w:r>
    </w:p>
    <w:tbl>
      <w:tblPr>
        <w:tblW w:w="8741" w:type="dxa"/>
        <w:tblInd w:w="709" w:type="dxa"/>
        <w:tblBorders>
          <w:top w:val="single" w:sz="4" w:space="0" w:color="auto"/>
          <w:bottom w:val="single" w:sz="4" w:space="0" w:color="auto"/>
        </w:tblBorders>
        <w:tblLayout w:type="fixed"/>
        <w:tblLook w:val="04A0" w:firstRow="1" w:lastRow="0" w:firstColumn="1" w:lastColumn="0" w:noHBand="0" w:noVBand="1"/>
      </w:tblPr>
      <w:tblGrid>
        <w:gridCol w:w="2589"/>
        <w:gridCol w:w="1310"/>
        <w:gridCol w:w="3132"/>
        <w:gridCol w:w="1710"/>
      </w:tblGrid>
      <w:tr w:rsidR="0062084B" w:rsidRPr="00711DD2" w14:paraId="6D002332" w14:textId="77777777" w:rsidTr="007023DC">
        <w:tc>
          <w:tcPr>
            <w:tcW w:w="2589" w:type="dxa"/>
            <w:shd w:val="clear" w:color="auto" w:fill="auto"/>
            <w:vAlign w:val="bottom"/>
          </w:tcPr>
          <w:p w14:paraId="3F2DB5A9" w14:textId="77777777" w:rsidR="0062084B" w:rsidRPr="00711DD2" w:rsidRDefault="0062084B" w:rsidP="00094B17">
            <w:pPr>
              <w:autoSpaceDE w:val="0"/>
              <w:autoSpaceDN w:val="0"/>
              <w:adjustRightInd w:val="0"/>
              <w:rPr>
                <w:color w:val="000000"/>
                <w:sz w:val="20"/>
                <w:szCs w:val="20"/>
              </w:rPr>
            </w:pPr>
            <w:r w:rsidRPr="00711DD2">
              <w:rPr>
                <w:color w:val="000000"/>
                <w:sz w:val="20"/>
                <w:szCs w:val="20"/>
              </w:rPr>
              <w:t>F-statistic</w:t>
            </w:r>
          </w:p>
        </w:tc>
        <w:tc>
          <w:tcPr>
            <w:tcW w:w="1310" w:type="dxa"/>
            <w:shd w:val="clear" w:color="auto" w:fill="auto"/>
            <w:vAlign w:val="bottom"/>
          </w:tcPr>
          <w:p w14:paraId="579EF44D" w14:textId="77777777" w:rsidR="0062084B" w:rsidRPr="00C96C4B" w:rsidRDefault="0062084B" w:rsidP="00094B17">
            <w:pPr>
              <w:autoSpaceDE w:val="0"/>
              <w:autoSpaceDN w:val="0"/>
              <w:adjustRightInd w:val="0"/>
              <w:ind w:right="10"/>
              <w:jc w:val="both"/>
              <w:rPr>
                <w:color w:val="000000"/>
                <w:sz w:val="18"/>
                <w:szCs w:val="18"/>
              </w:rPr>
            </w:pPr>
            <w:r w:rsidRPr="00C96C4B">
              <w:rPr>
                <w:color w:val="000000"/>
                <w:sz w:val="18"/>
                <w:szCs w:val="18"/>
              </w:rPr>
              <w:t>1.145618</w:t>
            </w:r>
          </w:p>
        </w:tc>
        <w:tc>
          <w:tcPr>
            <w:tcW w:w="3132" w:type="dxa"/>
            <w:vAlign w:val="bottom"/>
          </w:tcPr>
          <w:p w14:paraId="080F1AFF" w14:textId="77777777" w:rsidR="0062084B" w:rsidRPr="00C96C4B" w:rsidRDefault="0062084B" w:rsidP="00094B17">
            <w:pPr>
              <w:autoSpaceDE w:val="0"/>
              <w:autoSpaceDN w:val="0"/>
              <w:adjustRightInd w:val="0"/>
              <w:ind w:right="10"/>
              <w:jc w:val="both"/>
              <w:rPr>
                <w:color w:val="000000"/>
                <w:sz w:val="20"/>
                <w:szCs w:val="20"/>
              </w:rPr>
            </w:pPr>
            <w:r w:rsidRPr="00C96C4B">
              <w:rPr>
                <w:color w:val="000000"/>
                <w:sz w:val="20"/>
                <w:szCs w:val="20"/>
              </w:rPr>
              <w:t>    Prob. F(1,21)</w:t>
            </w:r>
          </w:p>
        </w:tc>
        <w:tc>
          <w:tcPr>
            <w:tcW w:w="1710" w:type="dxa"/>
            <w:shd w:val="clear" w:color="auto" w:fill="auto"/>
            <w:vAlign w:val="bottom"/>
          </w:tcPr>
          <w:p w14:paraId="468B6720" w14:textId="77777777" w:rsidR="0062084B" w:rsidRPr="00C96C4B" w:rsidRDefault="0062084B" w:rsidP="00094B17">
            <w:pPr>
              <w:autoSpaceDE w:val="0"/>
              <w:autoSpaceDN w:val="0"/>
              <w:adjustRightInd w:val="0"/>
              <w:ind w:right="10"/>
              <w:jc w:val="both"/>
              <w:rPr>
                <w:color w:val="000000"/>
                <w:sz w:val="18"/>
                <w:szCs w:val="18"/>
              </w:rPr>
            </w:pPr>
            <w:r w:rsidRPr="00C96C4B">
              <w:rPr>
                <w:color w:val="000000"/>
                <w:sz w:val="18"/>
                <w:szCs w:val="18"/>
              </w:rPr>
              <w:t>0.4605</w:t>
            </w:r>
          </w:p>
        </w:tc>
      </w:tr>
      <w:tr w:rsidR="0062084B" w:rsidRPr="00711DD2" w14:paraId="6E41EDC8" w14:textId="77777777" w:rsidTr="007023DC">
        <w:tc>
          <w:tcPr>
            <w:tcW w:w="2589" w:type="dxa"/>
            <w:shd w:val="clear" w:color="auto" w:fill="auto"/>
            <w:vAlign w:val="bottom"/>
          </w:tcPr>
          <w:p w14:paraId="39531692" w14:textId="77777777" w:rsidR="0062084B" w:rsidRPr="00711DD2" w:rsidRDefault="0062084B" w:rsidP="00094B17">
            <w:pPr>
              <w:autoSpaceDE w:val="0"/>
              <w:autoSpaceDN w:val="0"/>
              <w:adjustRightInd w:val="0"/>
              <w:rPr>
                <w:color w:val="000000"/>
                <w:sz w:val="20"/>
                <w:szCs w:val="20"/>
              </w:rPr>
            </w:pPr>
            <w:proofErr w:type="spellStart"/>
            <w:r w:rsidRPr="00711DD2">
              <w:rPr>
                <w:color w:val="000000"/>
                <w:sz w:val="20"/>
                <w:szCs w:val="20"/>
              </w:rPr>
              <w:t>Obs</w:t>
            </w:r>
            <w:proofErr w:type="spellEnd"/>
            <w:r w:rsidRPr="00711DD2">
              <w:rPr>
                <w:color w:val="000000"/>
                <w:sz w:val="20"/>
                <w:szCs w:val="20"/>
              </w:rPr>
              <w:t>*R-squared</w:t>
            </w:r>
          </w:p>
        </w:tc>
        <w:tc>
          <w:tcPr>
            <w:tcW w:w="1310" w:type="dxa"/>
            <w:shd w:val="clear" w:color="auto" w:fill="auto"/>
            <w:vAlign w:val="bottom"/>
          </w:tcPr>
          <w:p w14:paraId="4395BDF9" w14:textId="77777777" w:rsidR="0062084B" w:rsidRPr="00C96C4B" w:rsidRDefault="0062084B" w:rsidP="00094B17">
            <w:pPr>
              <w:autoSpaceDE w:val="0"/>
              <w:autoSpaceDN w:val="0"/>
              <w:adjustRightInd w:val="0"/>
              <w:ind w:right="10"/>
              <w:jc w:val="both"/>
              <w:rPr>
                <w:color w:val="000000"/>
                <w:sz w:val="18"/>
                <w:szCs w:val="18"/>
              </w:rPr>
            </w:pPr>
            <w:r w:rsidRPr="00C96C4B">
              <w:rPr>
                <w:color w:val="000000"/>
                <w:sz w:val="18"/>
                <w:szCs w:val="18"/>
              </w:rPr>
              <w:t>5.888197</w:t>
            </w:r>
          </w:p>
        </w:tc>
        <w:tc>
          <w:tcPr>
            <w:tcW w:w="3132" w:type="dxa"/>
            <w:vAlign w:val="bottom"/>
          </w:tcPr>
          <w:p w14:paraId="62A5D89D" w14:textId="77777777" w:rsidR="0062084B" w:rsidRPr="00C96C4B" w:rsidRDefault="0062084B" w:rsidP="00094B17">
            <w:pPr>
              <w:autoSpaceDE w:val="0"/>
              <w:autoSpaceDN w:val="0"/>
              <w:adjustRightInd w:val="0"/>
              <w:ind w:right="10"/>
              <w:jc w:val="both"/>
              <w:rPr>
                <w:color w:val="000000"/>
                <w:sz w:val="20"/>
                <w:szCs w:val="20"/>
              </w:rPr>
            </w:pPr>
            <w:r w:rsidRPr="00C96C4B">
              <w:rPr>
                <w:color w:val="000000"/>
                <w:sz w:val="20"/>
                <w:szCs w:val="20"/>
              </w:rPr>
              <w:t>    Prob. Chi-Square(1)</w:t>
            </w:r>
          </w:p>
        </w:tc>
        <w:tc>
          <w:tcPr>
            <w:tcW w:w="1710" w:type="dxa"/>
            <w:shd w:val="clear" w:color="auto" w:fill="auto"/>
            <w:vAlign w:val="bottom"/>
          </w:tcPr>
          <w:p w14:paraId="0F73F31A" w14:textId="77777777" w:rsidR="0062084B" w:rsidRPr="00C96C4B" w:rsidRDefault="0062084B" w:rsidP="00094B17">
            <w:pPr>
              <w:autoSpaceDE w:val="0"/>
              <w:autoSpaceDN w:val="0"/>
              <w:adjustRightInd w:val="0"/>
              <w:ind w:right="10"/>
              <w:jc w:val="both"/>
              <w:rPr>
                <w:color w:val="000000"/>
                <w:sz w:val="18"/>
                <w:szCs w:val="18"/>
              </w:rPr>
            </w:pPr>
            <w:r w:rsidRPr="00C96C4B">
              <w:rPr>
                <w:color w:val="000000"/>
                <w:sz w:val="18"/>
                <w:szCs w:val="18"/>
              </w:rPr>
              <w:t>0.3173</w:t>
            </w:r>
          </w:p>
        </w:tc>
      </w:tr>
    </w:tbl>
    <w:p w14:paraId="724BFA7A" w14:textId="77777777" w:rsidR="0062084B" w:rsidRPr="00711DD2" w:rsidRDefault="0062084B" w:rsidP="0062084B">
      <w:pPr>
        <w:ind w:firstLine="720"/>
        <w:jc w:val="center"/>
        <w:rPr>
          <w:i/>
          <w:sz w:val="20"/>
          <w:szCs w:val="20"/>
        </w:rPr>
      </w:pPr>
      <w:r w:rsidRPr="00711DD2">
        <w:rPr>
          <w:i/>
          <w:sz w:val="20"/>
          <w:szCs w:val="20"/>
        </w:rPr>
        <w:t>Source: Data output via E-views 1</w:t>
      </w:r>
      <w:r w:rsidR="007023DC">
        <w:rPr>
          <w:i/>
          <w:sz w:val="20"/>
          <w:szCs w:val="20"/>
        </w:rPr>
        <w:t>2</w:t>
      </w:r>
      <w:r w:rsidRPr="00711DD2">
        <w:rPr>
          <w:i/>
          <w:sz w:val="20"/>
          <w:szCs w:val="20"/>
        </w:rPr>
        <w:t>.0</w:t>
      </w:r>
    </w:p>
    <w:p w14:paraId="67D51F04" w14:textId="77777777" w:rsidR="0062084B" w:rsidRDefault="0062084B" w:rsidP="0062084B">
      <w:pPr>
        <w:spacing w:line="360" w:lineRule="auto"/>
        <w:ind w:firstLine="720"/>
        <w:jc w:val="both"/>
        <w:rPr>
          <w:b/>
        </w:rPr>
      </w:pPr>
    </w:p>
    <w:p w14:paraId="7613D0AA" w14:textId="77777777" w:rsidR="0062084B" w:rsidRPr="00711DD2" w:rsidRDefault="0062084B" w:rsidP="007023DC">
      <w:pPr>
        <w:ind w:firstLine="720"/>
        <w:jc w:val="both"/>
        <w:rPr>
          <w:b/>
        </w:rPr>
      </w:pPr>
      <w:r w:rsidRPr="00711DD2">
        <w:rPr>
          <w:b/>
        </w:rPr>
        <w:t>Ramsey RESET Test</w:t>
      </w:r>
    </w:p>
    <w:p w14:paraId="7138FF64" w14:textId="10732968" w:rsidR="0062084B" w:rsidRPr="00711DD2" w:rsidRDefault="0062084B" w:rsidP="007023DC">
      <w:pPr>
        <w:ind w:left="720" w:firstLine="720"/>
        <w:jc w:val="both"/>
      </w:pPr>
      <w:r w:rsidRPr="00711DD2">
        <w:t>The Ramsey Reset specification is the general test for how well a model is specified. It determines whether non-linear combination of the fitted values help explain the dependent variable. With the res</w:t>
      </w:r>
      <w:r w:rsidR="001B60DC">
        <w:t>ult in Table 8</w:t>
      </w:r>
      <w:r w:rsidRPr="00711DD2">
        <w:t xml:space="preserve">, the non-linear combination of the fitted values of the independent does not explain the changes in the dependent owing to the insignificant p-value (5% level of significance) for the regression model estimated. </w:t>
      </w:r>
    </w:p>
    <w:p w14:paraId="32AAA66D" w14:textId="2E5F0617" w:rsidR="0062084B" w:rsidRPr="00711DD2" w:rsidRDefault="001B60DC" w:rsidP="0062084B">
      <w:pPr>
        <w:ind w:left="720"/>
        <w:jc w:val="center"/>
        <w:rPr>
          <w:b/>
          <w:sz w:val="20"/>
          <w:szCs w:val="20"/>
        </w:rPr>
      </w:pPr>
      <w:r>
        <w:rPr>
          <w:b/>
          <w:color w:val="000000"/>
          <w:sz w:val="20"/>
          <w:szCs w:val="20"/>
        </w:rPr>
        <w:t>Table 8</w:t>
      </w:r>
      <w:r w:rsidR="0062084B" w:rsidRPr="00711DD2">
        <w:rPr>
          <w:b/>
          <w:color w:val="000000"/>
          <w:sz w:val="20"/>
          <w:szCs w:val="20"/>
        </w:rPr>
        <w:t>: Ramsey Reset Specification</w:t>
      </w:r>
    </w:p>
    <w:tbl>
      <w:tblPr>
        <w:tblW w:w="8741" w:type="dxa"/>
        <w:tblInd w:w="709" w:type="dxa"/>
        <w:tblLayout w:type="fixed"/>
        <w:tblLook w:val="04A0" w:firstRow="1" w:lastRow="0" w:firstColumn="1" w:lastColumn="0" w:noHBand="0" w:noVBand="1"/>
      </w:tblPr>
      <w:tblGrid>
        <w:gridCol w:w="2376"/>
        <w:gridCol w:w="2268"/>
        <w:gridCol w:w="1985"/>
        <w:gridCol w:w="2112"/>
      </w:tblGrid>
      <w:tr w:rsidR="0062084B" w:rsidRPr="00711DD2" w14:paraId="144A68AD" w14:textId="77777777" w:rsidTr="007023DC">
        <w:tc>
          <w:tcPr>
            <w:tcW w:w="2376" w:type="dxa"/>
            <w:tcBorders>
              <w:top w:val="single" w:sz="4" w:space="0" w:color="auto"/>
              <w:bottom w:val="single" w:sz="4" w:space="0" w:color="auto"/>
            </w:tcBorders>
            <w:shd w:val="clear" w:color="auto" w:fill="auto"/>
            <w:vAlign w:val="bottom"/>
          </w:tcPr>
          <w:p w14:paraId="57BF6A41" w14:textId="77777777" w:rsidR="0062084B" w:rsidRPr="00711DD2" w:rsidRDefault="0062084B" w:rsidP="00094B17">
            <w:pPr>
              <w:autoSpaceDE w:val="0"/>
              <w:autoSpaceDN w:val="0"/>
              <w:adjustRightInd w:val="0"/>
              <w:jc w:val="both"/>
              <w:rPr>
                <w:b/>
                <w:sz w:val="20"/>
                <w:szCs w:val="20"/>
              </w:rPr>
            </w:pPr>
            <w:r w:rsidRPr="00711DD2">
              <w:rPr>
                <w:b/>
                <w:sz w:val="20"/>
                <w:szCs w:val="20"/>
              </w:rPr>
              <w:t>Estimates</w:t>
            </w:r>
          </w:p>
        </w:tc>
        <w:tc>
          <w:tcPr>
            <w:tcW w:w="2268" w:type="dxa"/>
            <w:tcBorders>
              <w:top w:val="single" w:sz="4" w:space="0" w:color="auto"/>
              <w:bottom w:val="single" w:sz="4" w:space="0" w:color="auto"/>
            </w:tcBorders>
          </w:tcPr>
          <w:p w14:paraId="655C2477" w14:textId="77777777" w:rsidR="0062084B" w:rsidRPr="00711DD2" w:rsidRDefault="0062084B" w:rsidP="00094B17">
            <w:pPr>
              <w:autoSpaceDE w:val="0"/>
              <w:autoSpaceDN w:val="0"/>
              <w:adjustRightInd w:val="0"/>
              <w:ind w:right="10"/>
              <w:jc w:val="both"/>
              <w:rPr>
                <w:b/>
                <w:sz w:val="20"/>
                <w:szCs w:val="20"/>
              </w:rPr>
            </w:pPr>
            <w:r w:rsidRPr="00711DD2">
              <w:rPr>
                <w:b/>
                <w:sz w:val="20"/>
                <w:szCs w:val="20"/>
              </w:rPr>
              <w:t>t-statistic</w:t>
            </w:r>
          </w:p>
        </w:tc>
        <w:tc>
          <w:tcPr>
            <w:tcW w:w="1985" w:type="dxa"/>
            <w:tcBorders>
              <w:top w:val="single" w:sz="4" w:space="0" w:color="auto"/>
              <w:bottom w:val="single" w:sz="4" w:space="0" w:color="auto"/>
            </w:tcBorders>
            <w:shd w:val="clear" w:color="auto" w:fill="auto"/>
            <w:vAlign w:val="bottom"/>
          </w:tcPr>
          <w:p w14:paraId="1AEFD5CE" w14:textId="77777777" w:rsidR="0062084B" w:rsidRPr="00711DD2" w:rsidRDefault="0062084B" w:rsidP="00094B17">
            <w:pPr>
              <w:autoSpaceDE w:val="0"/>
              <w:autoSpaceDN w:val="0"/>
              <w:adjustRightInd w:val="0"/>
              <w:ind w:right="10"/>
              <w:jc w:val="both"/>
              <w:rPr>
                <w:b/>
                <w:sz w:val="20"/>
                <w:szCs w:val="20"/>
              </w:rPr>
            </w:pPr>
            <w:r w:rsidRPr="00711DD2">
              <w:rPr>
                <w:b/>
                <w:sz w:val="20"/>
                <w:szCs w:val="20"/>
              </w:rPr>
              <w:t>df</w:t>
            </w:r>
          </w:p>
        </w:tc>
        <w:tc>
          <w:tcPr>
            <w:tcW w:w="2112" w:type="dxa"/>
            <w:tcBorders>
              <w:top w:val="single" w:sz="4" w:space="0" w:color="auto"/>
              <w:bottom w:val="single" w:sz="4" w:space="0" w:color="auto"/>
            </w:tcBorders>
            <w:shd w:val="clear" w:color="auto" w:fill="auto"/>
            <w:vAlign w:val="bottom"/>
          </w:tcPr>
          <w:p w14:paraId="7DE9FAE0" w14:textId="77777777" w:rsidR="0062084B" w:rsidRPr="00711DD2" w:rsidRDefault="0062084B" w:rsidP="00094B17">
            <w:pPr>
              <w:autoSpaceDE w:val="0"/>
              <w:autoSpaceDN w:val="0"/>
              <w:adjustRightInd w:val="0"/>
              <w:ind w:right="10"/>
              <w:jc w:val="both"/>
              <w:rPr>
                <w:b/>
                <w:sz w:val="20"/>
                <w:szCs w:val="20"/>
              </w:rPr>
            </w:pPr>
            <w:r w:rsidRPr="00711DD2">
              <w:rPr>
                <w:b/>
                <w:color w:val="000000"/>
                <w:sz w:val="20"/>
                <w:szCs w:val="20"/>
              </w:rPr>
              <w:t>P-value</w:t>
            </w:r>
          </w:p>
        </w:tc>
      </w:tr>
      <w:tr w:rsidR="0062084B" w:rsidRPr="00711DD2" w14:paraId="4BBD7207" w14:textId="77777777" w:rsidTr="007023DC">
        <w:tc>
          <w:tcPr>
            <w:tcW w:w="2376" w:type="dxa"/>
            <w:tcBorders>
              <w:top w:val="single" w:sz="4" w:space="0" w:color="auto"/>
            </w:tcBorders>
            <w:shd w:val="clear" w:color="auto" w:fill="auto"/>
            <w:vAlign w:val="bottom"/>
          </w:tcPr>
          <w:p w14:paraId="059E6DB9" w14:textId="77777777" w:rsidR="0062084B" w:rsidRPr="00711DD2" w:rsidRDefault="0062084B" w:rsidP="00094B17">
            <w:pPr>
              <w:autoSpaceDE w:val="0"/>
              <w:autoSpaceDN w:val="0"/>
              <w:adjustRightInd w:val="0"/>
              <w:jc w:val="both"/>
              <w:rPr>
                <w:color w:val="000000"/>
                <w:sz w:val="20"/>
                <w:szCs w:val="20"/>
              </w:rPr>
            </w:pPr>
            <w:r w:rsidRPr="00711DD2">
              <w:rPr>
                <w:color w:val="000000"/>
                <w:sz w:val="20"/>
                <w:szCs w:val="20"/>
              </w:rPr>
              <w:t>t-statistic</w:t>
            </w:r>
          </w:p>
        </w:tc>
        <w:tc>
          <w:tcPr>
            <w:tcW w:w="2268" w:type="dxa"/>
            <w:tcBorders>
              <w:top w:val="single" w:sz="4" w:space="0" w:color="auto"/>
            </w:tcBorders>
            <w:vAlign w:val="bottom"/>
          </w:tcPr>
          <w:p w14:paraId="29E40084" w14:textId="77777777" w:rsidR="0062084B" w:rsidRPr="00C96C4B" w:rsidRDefault="0062084B" w:rsidP="00094B17">
            <w:pPr>
              <w:autoSpaceDE w:val="0"/>
              <w:autoSpaceDN w:val="0"/>
              <w:adjustRightInd w:val="0"/>
              <w:jc w:val="both"/>
              <w:rPr>
                <w:color w:val="000000"/>
                <w:sz w:val="18"/>
                <w:szCs w:val="18"/>
              </w:rPr>
            </w:pPr>
            <w:r w:rsidRPr="00C96C4B">
              <w:rPr>
                <w:color w:val="000000"/>
                <w:sz w:val="18"/>
                <w:szCs w:val="18"/>
              </w:rPr>
              <w:t> 2.726039</w:t>
            </w:r>
          </w:p>
        </w:tc>
        <w:tc>
          <w:tcPr>
            <w:tcW w:w="1985" w:type="dxa"/>
            <w:tcBorders>
              <w:top w:val="single" w:sz="4" w:space="0" w:color="auto"/>
            </w:tcBorders>
            <w:shd w:val="clear" w:color="auto" w:fill="auto"/>
            <w:vAlign w:val="bottom"/>
          </w:tcPr>
          <w:p w14:paraId="2AF4852C" w14:textId="77777777" w:rsidR="0062084B" w:rsidRPr="00C96C4B" w:rsidRDefault="0062084B" w:rsidP="00094B17">
            <w:pPr>
              <w:autoSpaceDE w:val="0"/>
              <w:autoSpaceDN w:val="0"/>
              <w:adjustRightInd w:val="0"/>
              <w:jc w:val="both"/>
              <w:rPr>
                <w:color w:val="000000"/>
                <w:sz w:val="18"/>
                <w:szCs w:val="18"/>
              </w:rPr>
            </w:pPr>
            <w:r w:rsidRPr="00C96C4B">
              <w:rPr>
                <w:color w:val="000000"/>
                <w:sz w:val="18"/>
                <w:szCs w:val="18"/>
              </w:rPr>
              <w:t> 3</w:t>
            </w:r>
          </w:p>
        </w:tc>
        <w:tc>
          <w:tcPr>
            <w:tcW w:w="2112" w:type="dxa"/>
            <w:tcBorders>
              <w:top w:val="single" w:sz="4" w:space="0" w:color="auto"/>
            </w:tcBorders>
            <w:shd w:val="clear" w:color="auto" w:fill="auto"/>
            <w:vAlign w:val="bottom"/>
          </w:tcPr>
          <w:p w14:paraId="01A5ABD3" w14:textId="77777777" w:rsidR="0062084B" w:rsidRPr="00C96C4B" w:rsidRDefault="0062084B" w:rsidP="00094B17">
            <w:pPr>
              <w:autoSpaceDE w:val="0"/>
              <w:autoSpaceDN w:val="0"/>
              <w:adjustRightInd w:val="0"/>
              <w:jc w:val="both"/>
              <w:rPr>
                <w:color w:val="000000"/>
                <w:sz w:val="18"/>
                <w:szCs w:val="18"/>
              </w:rPr>
            </w:pPr>
            <w:r w:rsidRPr="00C96C4B">
              <w:rPr>
                <w:color w:val="000000"/>
                <w:sz w:val="18"/>
                <w:szCs w:val="18"/>
              </w:rPr>
              <w:t> 0.0722</w:t>
            </w:r>
          </w:p>
        </w:tc>
      </w:tr>
      <w:tr w:rsidR="0062084B" w:rsidRPr="00711DD2" w14:paraId="3DA6FE75" w14:textId="77777777" w:rsidTr="007023DC">
        <w:tc>
          <w:tcPr>
            <w:tcW w:w="2376" w:type="dxa"/>
            <w:tcBorders>
              <w:bottom w:val="single" w:sz="4" w:space="0" w:color="auto"/>
            </w:tcBorders>
            <w:shd w:val="clear" w:color="auto" w:fill="auto"/>
            <w:vAlign w:val="bottom"/>
          </w:tcPr>
          <w:p w14:paraId="3DCC4F1C" w14:textId="77777777" w:rsidR="0062084B" w:rsidRPr="00711DD2" w:rsidRDefault="0062084B" w:rsidP="00094B17">
            <w:pPr>
              <w:autoSpaceDE w:val="0"/>
              <w:autoSpaceDN w:val="0"/>
              <w:adjustRightInd w:val="0"/>
              <w:jc w:val="both"/>
              <w:rPr>
                <w:color w:val="000000"/>
                <w:sz w:val="20"/>
                <w:szCs w:val="20"/>
              </w:rPr>
            </w:pPr>
            <w:r w:rsidRPr="00711DD2">
              <w:rPr>
                <w:color w:val="000000"/>
                <w:sz w:val="20"/>
                <w:szCs w:val="20"/>
              </w:rPr>
              <w:t>F-statistic</w:t>
            </w:r>
          </w:p>
        </w:tc>
        <w:tc>
          <w:tcPr>
            <w:tcW w:w="2268" w:type="dxa"/>
            <w:tcBorders>
              <w:bottom w:val="single" w:sz="4" w:space="0" w:color="auto"/>
            </w:tcBorders>
            <w:vAlign w:val="bottom"/>
          </w:tcPr>
          <w:p w14:paraId="6203BEEF" w14:textId="77777777" w:rsidR="0062084B" w:rsidRPr="00C96C4B" w:rsidRDefault="0062084B" w:rsidP="00094B17">
            <w:pPr>
              <w:autoSpaceDE w:val="0"/>
              <w:autoSpaceDN w:val="0"/>
              <w:adjustRightInd w:val="0"/>
              <w:jc w:val="both"/>
              <w:rPr>
                <w:color w:val="000000"/>
                <w:sz w:val="18"/>
                <w:szCs w:val="18"/>
              </w:rPr>
            </w:pPr>
            <w:r w:rsidRPr="00C96C4B">
              <w:rPr>
                <w:color w:val="000000"/>
                <w:sz w:val="18"/>
                <w:szCs w:val="18"/>
              </w:rPr>
              <w:t> 7.431286</w:t>
            </w:r>
          </w:p>
        </w:tc>
        <w:tc>
          <w:tcPr>
            <w:tcW w:w="1985" w:type="dxa"/>
            <w:tcBorders>
              <w:bottom w:val="single" w:sz="4" w:space="0" w:color="auto"/>
            </w:tcBorders>
            <w:shd w:val="clear" w:color="auto" w:fill="auto"/>
            <w:vAlign w:val="bottom"/>
          </w:tcPr>
          <w:p w14:paraId="44C0C7E4" w14:textId="77777777" w:rsidR="0062084B" w:rsidRPr="00C96C4B" w:rsidRDefault="0062084B" w:rsidP="00094B17">
            <w:pPr>
              <w:autoSpaceDE w:val="0"/>
              <w:autoSpaceDN w:val="0"/>
              <w:adjustRightInd w:val="0"/>
              <w:jc w:val="both"/>
              <w:rPr>
                <w:color w:val="000000"/>
                <w:sz w:val="18"/>
                <w:szCs w:val="18"/>
              </w:rPr>
            </w:pPr>
            <w:r w:rsidRPr="00C96C4B">
              <w:rPr>
                <w:color w:val="000000"/>
                <w:sz w:val="18"/>
                <w:szCs w:val="18"/>
              </w:rPr>
              <w:t>(1, 3)</w:t>
            </w:r>
          </w:p>
        </w:tc>
        <w:tc>
          <w:tcPr>
            <w:tcW w:w="2112" w:type="dxa"/>
            <w:tcBorders>
              <w:bottom w:val="single" w:sz="4" w:space="0" w:color="auto"/>
            </w:tcBorders>
            <w:shd w:val="clear" w:color="auto" w:fill="auto"/>
            <w:vAlign w:val="bottom"/>
          </w:tcPr>
          <w:p w14:paraId="32C15357" w14:textId="77777777" w:rsidR="0062084B" w:rsidRPr="00C96C4B" w:rsidRDefault="0062084B" w:rsidP="00094B17">
            <w:pPr>
              <w:autoSpaceDE w:val="0"/>
              <w:autoSpaceDN w:val="0"/>
              <w:adjustRightInd w:val="0"/>
              <w:jc w:val="both"/>
              <w:rPr>
                <w:color w:val="000000"/>
                <w:sz w:val="18"/>
                <w:szCs w:val="18"/>
              </w:rPr>
            </w:pPr>
            <w:r w:rsidRPr="00C96C4B">
              <w:rPr>
                <w:color w:val="000000"/>
                <w:sz w:val="18"/>
                <w:szCs w:val="18"/>
              </w:rPr>
              <w:t> 0.0722</w:t>
            </w:r>
          </w:p>
        </w:tc>
      </w:tr>
    </w:tbl>
    <w:p w14:paraId="4A7C9DC7" w14:textId="77777777" w:rsidR="0062084B" w:rsidRPr="00C96C4B" w:rsidRDefault="0062084B" w:rsidP="0062084B">
      <w:pPr>
        <w:spacing w:line="480" w:lineRule="auto"/>
        <w:ind w:firstLine="720"/>
        <w:jc w:val="center"/>
        <w:rPr>
          <w:i/>
          <w:sz w:val="20"/>
          <w:szCs w:val="20"/>
        </w:rPr>
      </w:pPr>
      <w:r w:rsidRPr="00C96C4B">
        <w:rPr>
          <w:i/>
          <w:sz w:val="20"/>
          <w:szCs w:val="20"/>
        </w:rPr>
        <w:t>Source: Data output via E-views 10.0</w:t>
      </w:r>
    </w:p>
    <w:p w14:paraId="29BDBBE1" w14:textId="77777777" w:rsidR="0062084B" w:rsidRPr="00C96C4B" w:rsidRDefault="0062084B" w:rsidP="001B60DC">
      <w:pPr>
        <w:ind w:firstLine="720"/>
        <w:jc w:val="both"/>
        <w:rPr>
          <w:b/>
        </w:rPr>
      </w:pPr>
      <w:r>
        <w:rPr>
          <w:b/>
        </w:rPr>
        <w:t>OLS Relationship</w:t>
      </w:r>
    </w:p>
    <w:p w14:paraId="6EDD5F62" w14:textId="61B12B9B" w:rsidR="001B60DC" w:rsidRPr="00D564EA" w:rsidRDefault="0062084B" w:rsidP="001B60DC">
      <w:pPr>
        <w:ind w:left="720" w:firstLine="720"/>
        <w:jc w:val="both"/>
        <w:rPr>
          <w:b/>
        </w:rPr>
      </w:pPr>
      <w:r w:rsidRPr="00C96C4B">
        <w:t xml:space="preserve">The nature of relationship between </w:t>
      </w:r>
      <w:r>
        <w:t xml:space="preserve">revenue generation and taxation was estimated using the traditional </w:t>
      </w:r>
      <w:r w:rsidRPr="00C96C4B">
        <w:t xml:space="preserve">OLS methodology. The global utility of Adjusted R-square, f-statistic, Durbin Watson and the relative statistic of the individual variables were the statistical yardstick for interpretation of the </w:t>
      </w:r>
      <w:r>
        <w:t>OLS</w:t>
      </w:r>
      <w:r w:rsidRPr="00C96C4B">
        <w:t xml:space="preserve"> run relationship analysis. The result in </w:t>
      </w:r>
      <w:r w:rsidR="001B60DC">
        <w:t>Table 9</w:t>
      </w:r>
      <w:r w:rsidRPr="00C96C4B">
        <w:t xml:space="preserve"> reveals that there is a </w:t>
      </w:r>
      <w:r>
        <w:t xml:space="preserve">positive relationship between taxation with respect to petroleum profit tax, company income tax and revenue generation. Value added tax surprisingly related negatively with revenue generation. Holding taxation constant would </w:t>
      </w:r>
      <w:r>
        <w:lastRenderedPageBreak/>
        <w:t xml:space="preserve">results in </w:t>
      </w:r>
      <w:r w:rsidRPr="007536AF">
        <w:rPr>
          <w:dstrike/>
        </w:rPr>
        <w:t>N</w:t>
      </w:r>
      <w:r>
        <w:t xml:space="preserve">2639788 million in revenue generation. A unit rise in petroleum profit tax, company income tax lead to </w:t>
      </w:r>
      <w:r w:rsidRPr="007536AF">
        <w:rPr>
          <w:dstrike/>
        </w:rPr>
        <w:t>N</w:t>
      </w:r>
      <w:r>
        <w:t xml:space="preserve">2.58 million and </w:t>
      </w:r>
      <w:r w:rsidRPr="007536AF">
        <w:rPr>
          <w:dstrike/>
        </w:rPr>
        <w:t>N</w:t>
      </w:r>
      <w:r>
        <w:t xml:space="preserve">1.19 million value appreciation in revenue generation in Nigeria. On the contrary, revenue generation would be down by </w:t>
      </w:r>
      <w:r w:rsidRPr="007536AF">
        <w:rPr>
          <w:dstrike/>
        </w:rPr>
        <w:t>N</w:t>
      </w:r>
      <w:r>
        <w:t>1.67 million following a percentage increase in value added tax.</w:t>
      </w:r>
      <w:r w:rsidR="00381E31">
        <w:t xml:space="preserve"> </w:t>
      </w:r>
      <w:r w:rsidR="001B60DC" w:rsidRPr="00D564EA">
        <w:t>The adjusted R-square reveals that 91.89% changes in revenue generation was as a result of fluctuations in sources of taxation: petroleum profit tax, company income tax and value added tax. This is statistically significant with respect to the p-value (0.00) and f-statistic (</w:t>
      </w:r>
      <w:r w:rsidR="001B60DC" w:rsidRPr="00D564EA">
        <w:rPr>
          <w:color w:val="000000"/>
        </w:rPr>
        <w:t>21.41</w:t>
      </w:r>
      <w:r w:rsidR="001B60DC" w:rsidRPr="00D564EA">
        <w:t>). The Durbin Watson coefficient of 2.50 signifies no issue of autocorrelation in the model.</w:t>
      </w:r>
    </w:p>
    <w:p w14:paraId="3DA118BB" w14:textId="6BF07D15" w:rsidR="0062084B" w:rsidRPr="00C96C4B" w:rsidRDefault="001B60DC" w:rsidP="0062084B">
      <w:pPr>
        <w:ind w:left="720"/>
        <w:jc w:val="center"/>
        <w:rPr>
          <w:b/>
          <w:sz w:val="20"/>
          <w:szCs w:val="20"/>
        </w:rPr>
      </w:pPr>
      <w:r>
        <w:rPr>
          <w:b/>
          <w:color w:val="000000"/>
          <w:sz w:val="20"/>
          <w:szCs w:val="20"/>
        </w:rPr>
        <w:t>Table 9</w:t>
      </w:r>
      <w:r w:rsidR="0062084B">
        <w:rPr>
          <w:b/>
          <w:color w:val="000000"/>
          <w:sz w:val="20"/>
          <w:szCs w:val="20"/>
        </w:rPr>
        <w:t>: O</w:t>
      </w:r>
      <w:r w:rsidR="0062084B" w:rsidRPr="00C96C4B">
        <w:rPr>
          <w:b/>
          <w:color w:val="000000"/>
          <w:sz w:val="20"/>
          <w:szCs w:val="20"/>
        </w:rPr>
        <w:t>L</w:t>
      </w:r>
      <w:r w:rsidR="0062084B">
        <w:rPr>
          <w:b/>
          <w:color w:val="000000"/>
          <w:sz w:val="20"/>
          <w:szCs w:val="20"/>
        </w:rPr>
        <w:t>S</w:t>
      </w:r>
      <w:r w:rsidR="0062084B" w:rsidRPr="00C96C4B">
        <w:rPr>
          <w:b/>
          <w:color w:val="000000"/>
          <w:sz w:val="20"/>
          <w:szCs w:val="20"/>
        </w:rPr>
        <w:t xml:space="preserve"> Regression</w:t>
      </w:r>
    </w:p>
    <w:tbl>
      <w:tblPr>
        <w:tblW w:w="8640" w:type="dxa"/>
        <w:tblInd w:w="720"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2110"/>
        <w:gridCol w:w="1531"/>
        <w:gridCol w:w="1701"/>
        <w:gridCol w:w="1701"/>
        <w:gridCol w:w="1597"/>
      </w:tblGrid>
      <w:tr w:rsidR="0062084B" w:rsidRPr="00C96C4B" w14:paraId="2F0F6B85" w14:textId="77777777" w:rsidTr="001B60DC">
        <w:tc>
          <w:tcPr>
            <w:tcW w:w="2110" w:type="dxa"/>
            <w:tcBorders>
              <w:top w:val="single" w:sz="4" w:space="0" w:color="auto"/>
              <w:left w:val="nil"/>
              <w:bottom w:val="single" w:sz="4" w:space="0" w:color="auto"/>
              <w:right w:val="nil"/>
            </w:tcBorders>
            <w:vAlign w:val="bottom"/>
          </w:tcPr>
          <w:p w14:paraId="683E8796" w14:textId="77777777" w:rsidR="0062084B" w:rsidRPr="00C96C4B" w:rsidRDefault="0062084B" w:rsidP="00094B17">
            <w:pPr>
              <w:autoSpaceDE w:val="0"/>
              <w:autoSpaceDN w:val="0"/>
              <w:adjustRightInd w:val="0"/>
              <w:jc w:val="both"/>
              <w:rPr>
                <w:b/>
                <w:color w:val="000000"/>
                <w:sz w:val="20"/>
                <w:szCs w:val="20"/>
              </w:rPr>
            </w:pPr>
            <w:r w:rsidRPr="00C96C4B">
              <w:rPr>
                <w:b/>
                <w:color w:val="000000"/>
                <w:sz w:val="20"/>
                <w:szCs w:val="20"/>
              </w:rPr>
              <w:t>Variable</w:t>
            </w:r>
          </w:p>
        </w:tc>
        <w:tc>
          <w:tcPr>
            <w:tcW w:w="1531" w:type="dxa"/>
            <w:tcBorders>
              <w:top w:val="single" w:sz="4" w:space="0" w:color="auto"/>
              <w:left w:val="nil"/>
              <w:bottom w:val="single" w:sz="4" w:space="0" w:color="auto"/>
              <w:right w:val="nil"/>
            </w:tcBorders>
            <w:vAlign w:val="bottom"/>
          </w:tcPr>
          <w:p w14:paraId="41E47489" w14:textId="77777777" w:rsidR="0062084B" w:rsidRPr="00C96C4B" w:rsidRDefault="0062084B" w:rsidP="00094B17">
            <w:pPr>
              <w:autoSpaceDE w:val="0"/>
              <w:autoSpaceDN w:val="0"/>
              <w:adjustRightInd w:val="0"/>
              <w:ind w:right="10"/>
              <w:jc w:val="both"/>
              <w:rPr>
                <w:b/>
                <w:color w:val="000000"/>
                <w:sz w:val="20"/>
                <w:szCs w:val="20"/>
              </w:rPr>
            </w:pPr>
            <w:r w:rsidRPr="00C96C4B">
              <w:rPr>
                <w:b/>
                <w:color w:val="000000"/>
                <w:sz w:val="20"/>
                <w:szCs w:val="20"/>
              </w:rPr>
              <w:t>Coefficient</w:t>
            </w:r>
          </w:p>
        </w:tc>
        <w:tc>
          <w:tcPr>
            <w:tcW w:w="1701" w:type="dxa"/>
            <w:tcBorders>
              <w:top w:val="single" w:sz="4" w:space="0" w:color="auto"/>
              <w:left w:val="nil"/>
              <w:bottom w:val="single" w:sz="4" w:space="0" w:color="auto"/>
              <w:right w:val="nil"/>
            </w:tcBorders>
            <w:vAlign w:val="bottom"/>
          </w:tcPr>
          <w:p w14:paraId="74578CF3" w14:textId="77777777" w:rsidR="0062084B" w:rsidRPr="00C96C4B" w:rsidRDefault="0062084B" w:rsidP="00094B17">
            <w:pPr>
              <w:autoSpaceDE w:val="0"/>
              <w:autoSpaceDN w:val="0"/>
              <w:adjustRightInd w:val="0"/>
              <w:ind w:right="10"/>
              <w:jc w:val="both"/>
              <w:rPr>
                <w:b/>
                <w:color w:val="000000"/>
                <w:sz w:val="20"/>
                <w:szCs w:val="20"/>
              </w:rPr>
            </w:pPr>
            <w:r w:rsidRPr="00C96C4B">
              <w:rPr>
                <w:b/>
                <w:color w:val="000000"/>
                <w:sz w:val="20"/>
                <w:szCs w:val="20"/>
              </w:rPr>
              <w:t>Std. Error</w:t>
            </w:r>
          </w:p>
        </w:tc>
        <w:tc>
          <w:tcPr>
            <w:tcW w:w="1701" w:type="dxa"/>
            <w:tcBorders>
              <w:top w:val="single" w:sz="4" w:space="0" w:color="auto"/>
              <w:left w:val="nil"/>
              <w:bottom w:val="single" w:sz="4" w:space="0" w:color="auto"/>
              <w:right w:val="nil"/>
            </w:tcBorders>
            <w:vAlign w:val="bottom"/>
          </w:tcPr>
          <w:p w14:paraId="5DC736AB" w14:textId="77777777" w:rsidR="0062084B" w:rsidRPr="00C96C4B" w:rsidRDefault="0062084B" w:rsidP="00094B17">
            <w:pPr>
              <w:autoSpaceDE w:val="0"/>
              <w:autoSpaceDN w:val="0"/>
              <w:adjustRightInd w:val="0"/>
              <w:ind w:right="10"/>
              <w:jc w:val="both"/>
              <w:rPr>
                <w:b/>
                <w:color w:val="000000"/>
                <w:sz w:val="20"/>
                <w:szCs w:val="20"/>
              </w:rPr>
            </w:pPr>
            <w:r w:rsidRPr="00C96C4B">
              <w:rPr>
                <w:b/>
                <w:color w:val="000000"/>
                <w:sz w:val="20"/>
                <w:szCs w:val="20"/>
              </w:rPr>
              <w:t>t-Statistic</w:t>
            </w:r>
          </w:p>
        </w:tc>
        <w:tc>
          <w:tcPr>
            <w:tcW w:w="1597" w:type="dxa"/>
            <w:tcBorders>
              <w:top w:val="single" w:sz="4" w:space="0" w:color="auto"/>
              <w:left w:val="nil"/>
              <w:bottom w:val="single" w:sz="4" w:space="0" w:color="auto"/>
              <w:right w:val="nil"/>
            </w:tcBorders>
            <w:vAlign w:val="bottom"/>
          </w:tcPr>
          <w:p w14:paraId="3E8929A5" w14:textId="77777777" w:rsidR="0062084B" w:rsidRPr="00C96C4B" w:rsidRDefault="0062084B" w:rsidP="00094B17">
            <w:pPr>
              <w:autoSpaceDE w:val="0"/>
              <w:autoSpaceDN w:val="0"/>
              <w:adjustRightInd w:val="0"/>
              <w:ind w:right="10"/>
              <w:jc w:val="both"/>
              <w:rPr>
                <w:b/>
                <w:color w:val="000000"/>
                <w:sz w:val="20"/>
                <w:szCs w:val="20"/>
              </w:rPr>
            </w:pPr>
            <w:r w:rsidRPr="00C96C4B">
              <w:rPr>
                <w:b/>
                <w:color w:val="000000"/>
                <w:sz w:val="20"/>
                <w:szCs w:val="20"/>
              </w:rPr>
              <w:t>Prob.</w:t>
            </w:r>
          </w:p>
        </w:tc>
      </w:tr>
      <w:tr w:rsidR="0062084B" w:rsidRPr="00C96C4B" w14:paraId="4B50C246" w14:textId="77777777" w:rsidTr="001B60DC">
        <w:tc>
          <w:tcPr>
            <w:tcW w:w="2110" w:type="dxa"/>
            <w:tcBorders>
              <w:top w:val="nil"/>
              <w:left w:val="nil"/>
              <w:bottom w:val="nil"/>
              <w:right w:val="nil"/>
            </w:tcBorders>
            <w:vAlign w:val="bottom"/>
          </w:tcPr>
          <w:p w14:paraId="7D9C9937" w14:textId="77777777" w:rsidR="0062084B" w:rsidRPr="00C96C4B" w:rsidRDefault="0062084B" w:rsidP="00094B17">
            <w:pPr>
              <w:autoSpaceDE w:val="0"/>
              <w:autoSpaceDN w:val="0"/>
              <w:adjustRightInd w:val="0"/>
              <w:jc w:val="both"/>
              <w:rPr>
                <w:color w:val="000000"/>
                <w:sz w:val="18"/>
                <w:szCs w:val="18"/>
              </w:rPr>
            </w:pPr>
            <w:r w:rsidRPr="00C96C4B">
              <w:rPr>
                <w:color w:val="000000"/>
                <w:sz w:val="18"/>
                <w:szCs w:val="18"/>
              </w:rPr>
              <w:t>C</w:t>
            </w:r>
          </w:p>
        </w:tc>
        <w:tc>
          <w:tcPr>
            <w:tcW w:w="1531" w:type="dxa"/>
            <w:tcBorders>
              <w:top w:val="nil"/>
              <w:left w:val="nil"/>
              <w:bottom w:val="nil"/>
              <w:right w:val="nil"/>
            </w:tcBorders>
            <w:vAlign w:val="bottom"/>
          </w:tcPr>
          <w:p w14:paraId="7BAED341" w14:textId="77777777" w:rsidR="0062084B" w:rsidRPr="00C96C4B" w:rsidRDefault="0062084B" w:rsidP="00094B17">
            <w:pPr>
              <w:autoSpaceDE w:val="0"/>
              <w:autoSpaceDN w:val="0"/>
              <w:adjustRightInd w:val="0"/>
              <w:ind w:right="10"/>
              <w:jc w:val="both"/>
              <w:rPr>
                <w:color w:val="000000"/>
                <w:sz w:val="18"/>
                <w:szCs w:val="18"/>
              </w:rPr>
            </w:pPr>
            <w:r w:rsidRPr="00C96C4B">
              <w:rPr>
                <w:color w:val="000000"/>
                <w:sz w:val="18"/>
                <w:szCs w:val="18"/>
              </w:rPr>
              <w:t>2639788.</w:t>
            </w:r>
          </w:p>
        </w:tc>
        <w:tc>
          <w:tcPr>
            <w:tcW w:w="1701" w:type="dxa"/>
            <w:tcBorders>
              <w:top w:val="nil"/>
              <w:left w:val="nil"/>
              <w:bottom w:val="nil"/>
              <w:right w:val="nil"/>
            </w:tcBorders>
            <w:vAlign w:val="bottom"/>
          </w:tcPr>
          <w:p w14:paraId="7CEB639D" w14:textId="77777777" w:rsidR="0062084B" w:rsidRPr="00C96C4B" w:rsidRDefault="0062084B" w:rsidP="00094B17">
            <w:pPr>
              <w:autoSpaceDE w:val="0"/>
              <w:autoSpaceDN w:val="0"/>
              <w:adjustRightInd w:val="0"/>
              <w:ind w:right="10"/>
              <w:jc w:val="both"/>
              <w:rPr>
                <w:color w:val="000000"/>
                <w:sz w:val="18"/>
                <w:szCs w:val="18"/>
              </w:rPr>
            </w:pPr>
            <w:r w:rsidRPr="00C96C4B">
              <w:rPr>
                <w:color w:val="000000"/>
                <w:sz w:val="18"/>
                <w:szCs w:val="18"/>
              </w:rPr>
              <w:t>1116860.</w:t>
            </w:r>
          </w:p>
        </w:tc>
        <w:tc>
          <w:tcPr>
            <w:tcW w:w="1701" w:type="dxa"/>
            <w:tcBorders>
              <w:top w:val="nil"/>
              <w:left w:val="nil"/>
              <w:bottom w:val="nil"/>
              <w:right w:val="nil"/>
            </w:tcBorders>
            <w:vAlign w:val="bottom"/>
          </w:tcPr>
          <w:p w14:paraId="6D5979BD" w14:textId="77777777" w:rsidR="0062084B" w:rsidRPr="00C96C4B" w:rsidRDefault="0062084B" w:rsidP="00094B17">
            <w:pPr>
              <w:autoSpaceDE w:val="0"/>
              <w:autoSpaceDN w:val="0"/>
              <w:adjustRightInd w:val="0"/>
              <w:ind w:right="10"/>
              <w:jc w:val="both"/>
              <w:rPr>
                <w:color w:val="000000"/>
                <w:sz w:val="18"/>
                <w:szCs w:val="18"/>
              </w:rPr>
            </w:pPr>
            <w:r w:rsidRPr="00C96C4B">
              <w:rPr>
                <w:color w:val="000000"/>
                <w:sz w:val="18"/>
                <w:szCs w:val="18"/>
              </w:rPr>
              <w:t>2.363581</w:t>
            </w:r>
          </w:p>
        </w:tc>
        <w:tc>
          <w:tcPr>
            <w:tcW w:w="1597" w:type="dxa"/>
            <w:tcBorders>
              <w:top w:val="nil"/>
              <w:left w:val="nil"/>
              <w:bottom w:val="nil"/>
              <w:right w:val="nil"/>
            </w:tcBorders>
            <w:vAlign w:val="bottom"/>
          </w:tcPr>
          <w:p w14:paraId="1CA043AB" w14:textId="77777777" w:rsidR="0062084B" w:rsidRPr="00C96C4B" w:rsidRDefault="0062084B" w:rsidP="00094B17">
            <w:pPr>
              <w:autoSpaceDE w:val="0"/>
              <w:autoSpaceDN w:val="0"/>
              <w:adjustRightInd w:val="0"/>
              <w:ind w:right="10"/>
              <w:jc w:val="both"/>
              <w:rPr>
                <w:color w:val="000000"/>
                <w:sz w:val="18"/>
                <w:szCs w:val="18"/>
              </w:rPr>
            </w:pPr>
            <w:r w:rsidRPr="00C96C4B">
              <w:rPr>
                <w:color w:val="000000"/>
                <w:sz w:val="18"/>
                <w:szCs w:val="18"/>
              </w:rPr>
              <w:t>0.0774</w:t>
            </w:r>
          </w:p>
        </w:tc>
      </w:tr>
      <w:tr w:rsidR="0062084B" w:rsidRPr="00C96C4B" w14:paraId="0FB68234" w14:textId="77777777" w:rsidTr="001B60DC">
        <w:tc>
          <w:tcPr>
            <w:tcW w:w="2110" w:type="dxa"/>
            <w:tcBorders>
              <w:top w:val="nil"/>
              <w:left w:val="nil"/>
              <w:bottom w:val="nil"/>
              <w:right w:val="nil"/>
            </w:tcBorders>
            <w:vAlign w:val="bottom"/>
          </w:tcPr>
          <w:p w14:paraId="7439D862" w14:textId="77777777" w:rsidR="0062084B" w:rsidRPr="00C96C4B" w:rsidRDefault="0062084B" w:rsidP="00094B17">
            <w:pPr>
              <w:autoSpaceDE w:val="0"/>
              <w:autoSpaceDN w:val="0"/>
              <w:adjustRightInd w:val="0"/>
              <w:jc w:val="both"/>
              <w:rPr>
                <w:color w:val="000000"/>
                <w:sz w:val="18"/>
                <w:szCs w:val="18"/>
              </w:rPr>
            </w:pPr>
            <w:r w:rsidRPr="00C96C4B">
              <w:rPr>
                <w:color w:val="000000"/>
                <w:sz w:val="18"/>
                <w:szCs w:val="18"/>
              </w:rPr>
              <w:t>VAT</w:t>
            </w:r>
          </w:p>
        </w:tc>
        <w:tc>
          <w:tcPr>
            <w:tcW w:w="1531" w:type="dxa"/>
            <w:tcBorders>
              <w:top w:val="nil"/>
              <w:left w:val="nil"/>
              <w:bottom w:val="nil"/>
              <w:right w:val="nil"/>
            </w:tcBorders>
            <w:vAlign w:val="bottom"/>
          </w:tcPr>
          <w:p w14:paraId="6A2F2973" w14:textId="77777777" w:rsidR="0062084B" w:rsidRPr="00C96C4B" w:rsidRDefault="0062084B" w:rsidP="00094B17">
            <w:pPr>
              <w:autoSpaceDE w:val="0"/>
              <w:autoSpaceDN w:val="0"/>
              <w:adjustRightInd w:val="0"/>
              <w:ind w:right="10"/>
              <w:jc w:val="both"/>
              <w:rPr>
                <w:color w:val="000000"/>
                <w:sz w:val="18"/>
                <w:szCs w:val="18"/>
              </w:rPr>
            </w:pPr>
            <w:r w:rsidRPr="00C96C4B">
              <w:rPr>
                <w:color w:val="000000"/>
                <w:sz w:val="18"/>
                <w:szCs w:val="18"/>
              </w:rPr>
              <w:t>-1.666895</w:t>
            </w:r>
          </w:p>
        </w:tc>
        <w:tc>
          <w:tcPr>
            <w:tcW w:w="1701" w:type="dxa"/>
            <w:tcBorders>
              <w:top w:val="nil"/>
              <w:left w:val="nil"/>
              <w:bottom w:val="nil"/>
              <w:right w:val="nil"/>
            </w:tcBorders>
            <w:vAlign w:val="bottom"/>
          </w:tcPr>
          <w:p w14:paraId="2E5618BD" w14:textId="77777777" w:rsidR="0062084B" w:rsidRPr="00C96C4B" w:rsidRDefault="0062084B" w:rsidP="00094B17">
            <w:pPr>
              <w:autoSpaceDE w:val="0"/>
              <w:autoSpaceDN w:val="0"/>
              <w:adjustRightInd w:val="0"/>
              <w:ind w:right="10"/>
              <w:jc w:val="both"/>
              <w:rPr>
                <w:color w:val="000000"/>
                <w:sz w:val="18"/>
                <w:szCs w:val="18"/>
              </w:rPr>
            </w:pPr>
            <w:r w:rsidRPr="00C96C4B">
              <w:rPr>
                <w:color w:val="000000"/>
                <w:sz w:val="18"/>
                <w:szCs w:val="18"/>
              </w:rPr>
              <w:t>2.933985</w:t>
            </w:r>
          </w:p>
        </w:tc>
        <w:tc>
          <w:tcPr>
            <w:tcW w:w="1701" w:type="dxa"/>
            <w:tcBorders>
              <w:top w:val="nil"/>
              <w:left w:val="nil"/>
              <w:bottom w:val="nil"/>
              <w:right w:val="nil"/>
            </w:tcBorders>
            <w:vAlign w:val="bottom"/>
          </w:tcPr>
          <w:p w14:paraId="37FFDD15" w14:textId="77777777" w:rsidR="0062084B" w:rsidRPr="00C96C4B" w:rsidRDefault="0062084B" w:rsidP="00094B17">
            <w:pPr>
              <w:autoSpaceDE w:val="0"/>
              <w:autoSpaceDN w:val="0"/>
              <w:adjustRightInd w:val="0"/>
              <w:ind w:right="10"/>
              <w:jc w:val="both"/>
              <w:rPr>
                <w:color w:val="000000"/>
                <w:sz w:val="18"/>
                <w:szCs w:val="18"/>
              </w:rPr>
            </w:pPr>
            <w:r w:rsidRPr="00C96C4B">
              <w:rPr>
                <w:color w:val="000000"/>
                <w:sz w:val="18"/>
                <w:szCs w:val="18"/>
              </w:rPr>
              <w:t>-0.568133</w:t>
            </w:r>
          </w:p>
        </w:tc>
        <w:tc>
          <w:tcPr>
            <w:tcW w:w="1597" w:type="dxa"/>
            <w:tcBorders>
              <w:top w:val="nil"/>
              <w:left w:val="nil"/>
              <w:bottom w:val="nil"/>
              <w:right w:val="nil"/>
            </w:tcBorders>
            <w:vAlign w:val="bottom"/>
          </w:tcPr>
          <w:p w14:paraId="6DD140F9" w14:textId="77777777" w:rsidR="0062084B" w:rsidRPr="00C96C4B" w:rsidRDefault="0062084B" w:rsidP="00094B17">
            <w:pPr>
              <w:autoSpaceDE w:val="0"/>
              <w:autoSpaceDN w:val="0"/>
              <w:adjustRightInd w:val="0"/>
              <w:ind w:right="10"/>
              <w:jc w:val="both"/>
              <w:rPr>
                <w:color w:val="000000"/>
                <w:sz w:val="18"/>
                <w:szCs w:val="18"/>
              </w:rPr>
            </w:pPr>
            <w:r w:rsidRPr="00C96C4B">
              <w:rPr>
                <w:color w:val="000000"/>
                <w:sz w:val="18"/>
                <w:szCs w:val="18"/>
              </w:rPr>
              <w:t>0.6003</w:t>
            </w:r>
          </w:p>
        </w:tc>
      </w:tr>
      <w:tr w:rsidR="0062084B" w:rsidRPr="00C96C4B" w14:paraId="242520C1" w14:textId="77777777" w:rsidTr="001B60DC">
        <w:tc>
          <w:tcPr>
            <w:tcW w:w="2110" w:type="dxa"/>
            <w:tcBorders>
              <w:top w:val="nil"/>
              <w:left w:val="nil"/>
              <w:bottom w:val="nil"/>
              <w:right w:val="nil"/>
            </w:tcBorders>
            <w:vAlign w:val="bottom"/>
          </w:tcPr>
          <w:p w14:paraId="67ADAE2D" w14:textId="77777777" w:rsidR="0062084B" w:rsidRPr="00C96C4B" w:rsidRDefault="0062084B" w:rsidP="00094B17">
            <w:pPr>
              <w:autoSpaceDE w:val="0"/>
              <w:autoSpaceDN w:val="0"/>
              <w:adjustRightInd w:val="0"/>
              <w:jc w:val="both"/>
              <w:rPr>
                <w:color w:val="000000"/>
                <w:sz w:val="18"/>
                <w:szCs w:val="18"/>
              </w:rPr>
            </w:pPr>
            <w:r w:rsidRPr="00C96C4B">
              <w:rPr>
                <w:color w:val="000000"/>
                <w:sz w:val="18"/>
                <w:szCs w:val="18"/>
              </w:rPr>
              <w:t>PPT</w:t>
            </w:r>
          </w:p>
        </w:tc>
        <w:tc>
          <w:tcPr>
            <w:tcW w:w="1531" w:type="dxa"/>
            <w:tcBorders>
              <w:top w:val="nil"/>
              <w:left w:val="nil"/>
              <w:bottom w:val="nil"/>
              <w:right w:val="nil"/>
            </w:tcBorders>
            <w:vAlign w:val="bottom"/>
          </w:tcPr>
          <w:p w14:paraId="0CFFD169" w14:textId="77777777" w:rsidR="0062084B" w:rsidRPr="00C96C4B" w:rsidRDefault="0062084B" w:rsidP="00094B17">
            <w:pPr>
              <w:autoSpaceDE w:val="0"/>
              <w:autoSpaceDN w:val="0"/>
              <w:adjustRightInd w:val="0"/>
              <w:ind w:right="10"/>
              <w:jc w:val="both"/>
              <w:rPr>
                <w:color w:val="000000"/>
                <w:sz w:val="18"/>
                <w:szCs w:val="18"/>
              </w:rPr>
            </w:pPr>
            <w:r w:rsidRPr="00C96C4B">
              <w:rPr>
                <w:color w:val="000000"/>
                <w:sz w:val="18"/>
                <w:szCs w:val="18"/>
              </w:rPr>
              <w:t>2.577118</w:t>
            </w:r>
          </w:p>
        </w:tc>
        <w:tc>
          <w:tcPr>
            <w:tcW w:w="1701" w:type="dxa"/>
            <w:tcBorders>
              <w:top w:val="nil"/>
              <w:left w:val="nil"/>
              <w:bottom w:val="nil"/>
              <w:right w:val="nil"/>
            </w:tcBorders>
            <w:vAlign w:val="bottom"/>
          </w:tcPr>
          <w:p w14:paraId="4D11738C" w14:textId="77777777" w:rsidR="0062084B" w:rsidRPr="00C96C4B" w:rsidRDefault="0062084B" w:rsidP="00094B17">
            <w:pPr>
              <w:autoSpaceDE w:val="0"/>
              <w:autoSpaceDN w:val="0"/>
              <w:adjustRightInd w:val="0"/>
              <w:ind w:right="10"/>
              <w:jc w:val="both"/>
              <w:rPr>
                <w:color w:val="000000"/>
                <w:sz w:val="18"/>
                <w:szCs w:val="18"/>
              </w:rPr>
            </w:pPr>
            <w:r w:rsidRPr="00C96C4B">
              <w:rPr>
                <w:color w:val="000000"/>
                <w:sz w:val="18"/>
                <w:szCs w:val="18"/>
              </w:rPr>
              <w:t>0.376509</w:t>
            </w:r>
          </w:p>
        </w:tc>
        <w:tc>
          <w:tcPr>
            <w:tcW w:w="1701" w:type="dxa"/>
            <w:tcBorders>
              <w:top w:val="nil"/>
              <w:left w:val="nil"/>
              <w:bottom w:val="nil"/>
              <w:right w:val="nil"/>
            </w:tcBorders>
            <w:vAlign w:val="bottom"/>
          </w:tcPr>
          <w:p w14:paraId="318AA9DC" w14:textId="77777777" w:rsidR="0062084B" w:rsidRPr="00C96C4B" w:rsidRDefault="0062084B" w:rsidP="00094B17">
            <w:pPr>
              <w:autoSpaceDE w:val="0"/>
              <w:autoSpaceDN w:val="0"/>
              <w:adjustRightInd w:val="0"/>
              <w:ind w:right="10"/>
              <w:jc w:val="both"/>
              <w:rPr>
                <w:color w:val="000000"/>
                <w:sz w:val="18"/>
                <w:szCs w:val="18"/>
              </w:rPr>
            </w:pPr>
            <w:r w:rsidRPr="00C96C4B">
              <w:rPr>
                <w:color w:val="000000"/>
                <w:sz w:val="18"/>
                <w:szCs w:val="18"/>
              </w:rPr>
              <w:t>6.844763</w:t>
            </w:r>
          </w:p>
        </w:tc>
        <w:tc>
          <w:tcPr>
            <w:tcW w:w="1597" w:type="dxa"/>
            <w:tcBorders>
              <w:top w:val="nil"/>
              <w:left w:val="nil"/>
              <w:bottom w:val="nil"/>
              <w:right w:val="nil"/>
            </w:tcBorders>
            <w:vAlign w:val="bottom"/>
          </w:tcPr>
          <w:p w14:paraId="2FA33B42" w14:textId="77777777" w:rsidR="0062084B" w:rsidRPr="00C96C4B" w:rsidRDefault="0062084B" w:rsidP="00094B17">
            <w:pPr>
              <w:autoSpaceDE w:val="0"/>
              <w:autoSpaceDN w:val="0"/>
              <w:adjustRightInd w:val="0"/>
              <w:ind w:right="10"/>
              <w:jc w:val="both"/>
              <w:rPr>
                <w:color w:val="000000"/>
                <w:sz w:val="18"/>
                <w:szCs w:val="18"/>
              </w:rPr>
            </w:pPr>
            <w:r w:rsidRPr="00C96C4B">
              <w:rPr>
                <w:color w:val="000000"/>
                <w:sz w:val="18"/>
                <w:szCs w:val="18"/>
              </w:rPr>
              <w:t>0.0024</w:t>
            </w:r>
          </w:p>
        </w:tc>
      </w:tr>
      <w:tr w:rsidR="0062084B" w:rsidRPr="00C96C4B" w14:paraId="54665FCA" w14:textId="77777777" w:rsidTr="001B60DC">
        <w:tc>
          <w:tcPr>
            <w:tcW w:w="2110" w:type="dxa"/>
            <w:tcBorders>
              <w:top w:val="nil"/>
              <w:left w:val="nil"/>
              <w:bottom w:val="nil"/>
              <w:right w:val="nil"/>
            </w:tcBorders>
            <w:vAlign w:val="bottom"/>
          </w:tcPr>
          <w:p w14:paraId="3F66546B" w14:textId="77777777" w:rsidR="0062084B" w:rsidRPr="00C96C4B" w:rsidRDefault="0062084B" w:rsidP="00094B17">
            <w:pPr>
              <w:autoSpaceDE w:val="0"/>
              <w:autoSpaceDN w:val="0"/>
              <w:adjustRightInd w:val="0"/>
              <w:jc w:val="both"/>
              <w:rPr>
                <w:color w:val="000000"/>
                <w:sz w:val="18"/>
                <w:szCs w:val="18"/>
              </w:rPr>
            </w:pPr>
            <w:r w:rsidRPr="00C96C4B">
              <w:rPr>
                <w:color w:val="000000"/>
                <w:sz w:val="18"/>
                <w:szCs w:val="18"/>
              </w:rPr>
              <w:t>CIT</w:t>
            </w:r>
          </w:p>
        </w:tc>
        <w:tc>
          <w:tcPr>
            <w:tcW w:w="1531" w:type="dxa"/>
            <w:tcBorders>
              <w:top w:val="nil"/>
              <w:left w:val="nil"/>
              <w:bottom w:val="nil"/>
              <w:right w:val="nil"/>
            </w:tcBorders>
            <w:vAlign w:val="bottom"/>
          </w:tcPr>
          <w:p w14:paraId="53C17193" w14:textId="77777777" w:rsidR="0062084B" w:rsidRPr="00C96C4B" w:rsidRDefault="0062084B" w:rsidP="00094B17">
            <w:pPr>
              <w:autoSpaceDE w:val="0"/>
              <w:autoSpaceDN w:val="0"/>
              <w:adjustRightInd w:val="0"/>
              <w:ind w:right="10"/>
              <w:jc w:val="both"/>
              <w:rPr>
                <w:color w:val="000000"/>
                <w:sz w:val="18"/>
                <w:szCs w:val="18"/>
              </w:rPr>
            </w:pPr>
            <w:r w:rsidRPr="00C96C4B">
              <w:rPr>
                <w:color w:val="000000"/>
                <w:sz w:val="18"/>
                <w:szCs w:val="18"/>
              </w:rPr>
              <w:t>1.192683</w:t>
            </w:r>
          </w:p>
        </w:tc>
        <w:tc>
          <w:tcPr>
            <w:tcW w:w="1701" w:type="dxa"/>
            <w:tcBorders>
              <w:top w:val="nil"/>
              <w:left w:val="nil"/>
              <w:bottom w:val="nil"/>
              <w:right w:val="nil"/>
            </w:tcBorders>
            <w:vAlign w:val="bottom"/>
          </w:tcPr>
          <w:p w14:paraId="3F2EF30A" w14:textId="77777777" w:rsidR="0062084B" w:rsidRPr="00C96C4B" w:rsidRDefault="0062084B" w:rsidP="00094B17">
            <w:pPr>
              <w:autoSpaceDE w:val="0"/>
              <w:autoSpaceDN w:val="0"/>
              <w:adjustRightInd w:val="0"/>
              <w:ind w:right="10"/>
              <w:jc w:val="both"/>
              <w:rPr>
                <w:color w:val="000000"/>
                <w:sz w:val="18"/>
                <w:szCs w:val="18"/>
              </w:rPr>
            </w:pPr>
            <w:r w:rsidRPr="00C96C4B">
              <w:rPr>
                <w:color w:val="000000"/>
                <w:sz w:val="18"/>
                <w:szCs w:val="18"/>
              </w:rPr>
              <w:t>2.163717</w:t>
            </w:r>
          </w:p>
        </w:tc>
        <w:tc>
          <w:tcPr>
            <w:tcW w:w="1701" w:type="dxa"/>
            <w:tcBorders>
              <w:top w:val="nil"/>
              <w:left w:val="nil"/>
              <w:bottom w:val="nil"/>
              <w:right w:val="nil"/>
            </w:tcBorders>
            <w:vAlign w:val="bottom"/>
          </w:tcPr>
          <w:p w14:paraId="072E89EC" w14:textId="77777777" w:rsidR="0062084B" w:rsidRPr="00C96C4B" w:rsidRDefault="0062084B" w:rsidP="00094B17">
            <w:pPr>
              <w:autoSpaceDE w:val="0"/>
              <w:autoSpaceDN w:val="0"/>
              <w:adjustRightInd w:val="0"/>
              <w:ind w:right="10"/>
              <w:jc w:val="both"/>
              <w:rPr>
                <w:color w:val="000000"/>
                <w:sz w:val="18"/>
                <w:szCs w:val="18"/>
              </w:rPr>
            </w:pPr>
            <w:r w:rsidRPr="00C96C4B">
              <w:rPr>
                <w:color w:val="000000"/>
                <w:sz w:val="18"/>
                <w:szCs w:val="18"/>
              </w:rPr>
              <w:t>0.551220</w:t>
            </w:r>
          </w:p>
        </w:tc>
        <w:tc>
          <w:tcPr>
            <w:tcW w:w="1597" w:type="dxa"/>
            <w:tcBorders>
              <w:top w:val="nil"/>
              <w:left w:val="nil"/>
              <w:bottom w:val="nil"/>
              <w:right w:val="nil"/>
            </w:tcBorders>
            <w:vAlign w:val="bottom"/>
          </w:tcPr>
          <w:p w14:paraId="1F6DDA8F" w14:textId="77777777" w:rsidR="0062084B" w:rsidRPr="00C96C4B" w:rsidRDefault="0062084B" w:rsidP="00094B17">
            <w:pPr>
              <w:autoSpaceDE w:val="0"/>
              <w:autoSpaceDN w:val="0"/>
              <w:adjustRightInd w:val="0"/>
              <w:ind w:right="10"/>
              <w:jc w:val="both"/>
              <w:rPr>
                <w:color w:val="000000"/>
                <w:sz w:val="18"/>
                <w:szCs w:val="18"/>
              </w:rPr>
            </w:pPr>
            <w:r w:rsidRPr="00C96C4B">
              <w:rPr>
                <w:color w:val="000000"/>
                <w:sz w:val="18"/>
                <w:szCs w:val="18"/>
              </w:rPr>
              <w:t>0.6108</w:t>
            </w:r>
          </w:p>
        </w:tc>
      </w:tr>
      <w:tr w:rsidR="0062084B" w:rsidRPr="00C96C4B" w14:paraId="0CE7306A" w14:textId="77777777" w:rsidTr="001B60DC">
        <w:tc>
          <w:tcPr>
            <w:tcW w:w="2110" w:type="dxa"/>
            <w:tcBorders>
              <w:top w:val="single" w:sz="4" w:space="0" w:color="auto"/>
              <w:left w:val="nil"/>
              <w:bottom w:val="nil"/>
              <w:right w:val="nil"/>
            </w:tcBorders>
            <w:vAlign w:val="bottom"/>
          </w:tcPr>
          <w:p w14:paraId="767598ED" w14:textId="77777777" w:rsidR="0062084B" w:rsidRPr="00C96C4B" w:rsidRDefault="0062084B" w:rsidP="00094B17">
            <w:pPr>
              <w:autoSpaceDE w:val="0"/>
              <w:autoSpaceDN w:val="0"/>
              <w:adjustRightInd w:val="0"/>
              <w:rPr>
                <w:color w:val="000000"/>
                <w:sz w:val="20"/>
                <w:szCs w:val="20"/>
              </w:rPr>
            </w:pPr>
            <w:r w:rsidRPr="00C96C4B">
              <w:rPr>
                <w:color w:val="000000"/>
                <w:sz w:val="20"/>
                <w:szCs w:val="20"/>
              </w:rPr>
              <w:t>R-squared</w:t>
            </w:r>
          </w:p>
        </w:tc>
        <w:tc>
          <w:tcPr>
            <w:tcW w:w="1531" w:type="dxa"/>
            <w:tcBorders>
              <w:top w:val="single" w:sz="4" w:space="0" w:color="auto"/>
              <w:left w:val="nil"/>
              <w:bottom w:val="nil"/>
              <w:right w:val="nil"/>
            </w:tcBorders>
            <w:vAlign w:val="bottom"/>
          </w:tcPr>
          <w:p w14:paraId="1878C66B" w14:textId="77777777" w:rsidR="0062084B" w:rsidRPr="00C96C4B" w:rsidRDefault="0062084B" w:rsidP="00094B17">
            <w:pPr>
              <w:autoSpaceDE w:val="0"/>
              <w:autoSpaceDN w:val="0"/>
              <w:adjustRightInd w:val="0"/>
              <w:ind w:right="10"/>
              <w:jc w:val="both"/>
              <w:rPr>
                <w:color w:val="000000"/>
                <w:sz w:val="18"/>
                <w:szCs w:val="18"/>
              </w:rPr>
            </w:pPr>
            <w:r w:rsidRPr="00C96C4B">
              <w:rPr>
                <w:color w:val="000000"/>
                <w:sz w:val="18"/>
                <w:szCs w:val="18"/>
              </w:rPr>
              <w:t>0.963979</w:t>
            </w:r>
          </w:p>
        </w:tc>
        <w:tc>
          <w:tcPr>
            <w:tcW w:w="3402" w:type="dxa"/>
            <w:gridSpan w:val="2"/>
            <w:tcBorders>
              <w:top w:val="single" w:sz="4" w:space="0" w:color="auto"/>
              <w:left w:val="nil"/>
              <w:bottom w:val="nil"/>
              <w:right w:val="nil"/>
            </w:tcBorders>
            <w:vAlign w:val="bottom"/>
          </w:tcPr>
          <w:p w14:paraId="6C60B655" w14:textId="77777777" w:rsidR="0062084B" w:rsidRPr="00C96C4B" w:rsidRDefault="0062084B" w:rsidP="00094B17">
            <w:pPr>
              <w:autoSpaceDE w:val="0"/>
              <w:autoSpaceDN w:val="0"/>
              <w:adjustRightInd w:val="0"/>
              <w:ind w:right="10"/>
              <w:jc w:val="both"/>
              <w:rPr>
                <w:color w:val="000000"/>
                <w:sz w:val="20"/>
                <w:szCs w:val="20"/>
              </w:rPr>
            </w:pPr>
            <w:r w:rsidRPr="00C96C4B">
              <w:rPr>
                <w:color w:val="000000"/>
                <w:sz w:val="20"/>
                <w:szCs w:val="20"/>
              </w:rPr>
              <w:t>Mean dependent var</w:t>
            </w:r>
          </w:p>
        </w:tc>
        <w:tc>
          <w:tcPr>
            <w:tcW w:w="1597" w:type="dxa"/>
            <w:tcBorders>
              <w:top w:val="single" w:sz="4" w:space="0" w:color="auto"/>
              <w:left w:val="nil"/>
              <w:bottom w:val="nil"/>
              <w:right w:val="nil"/>
            </w:tcBorders>
            <w:vAlign w:val="bottom"/>
          </w:tcPr>
          <w:p w14:paraId="553FD550" w14:textId="77777777" w:rsidR="0062084B" w:rsidRPr="00C96C4B" w:rsidRDefault="0062084B" w:rsidP="00094B17">
            <w:pPr>
              <w:autoSpaceDE w:val="0"/>
              <w:autoSpaceDN w:val="0"/>
              <w:adjustRightInd w:val="0"/>
              <w:ind w:right="10"/>
              <w:jc w:val="both"/>
              <w:rPr>
                <w:color w:val="000000"/>
                <w:sz w:val="18"/>
                <w:szCs w:val="18"/>
              </w:rPr>
            </w:pPr>
            <w:r w:rsidRPr="00C96C4B">
              <w:rPr>
                <w:color w:val="000000"/>
                <w:sz w:val="18"/>
                <w:szCs w:val="18"/>
              </w:rPr>
              <w:t>8327420.</w:t>
            </w:r>
          </w:p>
        </w:tc>
      </w:tr>
      <w:tr w:rsidR="0062084B" w:rsidRPr="00C96C4B" w14:paraId="7A883736" w14:textId="77777777" w:rsidTr="001B60DC">
        <w:tc>
          <w:tcPr>
            <w:tcW w:w="2110" w:type="dxa"/>
            <w:tcBorders>
              <w:top w:val="nil"/>
              <w:left w:val="nil"/>
              <w:bottom w:val="nil"/>
              <w:right w:val="nil"/>
            </w:tcBorders>
            <w:vAlign w:val="bottom"/>
          </w:tcPr>
          <w:p w14:paraId="1C38F786" w14:textId="77777777" w:rsidR="0062084B" w:rsidRPr="00C96C4B" w:rsidRDefault="0062084B" w:rsidP="00094B17">
            <w:pPr>
              <w:autoSpaceDE w:val="0"/>
              <w:autoSpaceDN w:val="0"/>
              <w:adjustRightInd w:val="0"/>
              <w:rPr>
                <w:color w:val="000000"/>
                <w:sz w:val="20"/>
                <w:szCs w:val="20"/>
              </w:rPr>
            </w:pPr>
            <w:r w:rsidRPr="00C96C4B">
              <w:rPr>
                <w:color w:val="000000"/>
                <w:sz w:val="20"/>
                <w:szCs w:val="20"/>
              </w:rPr>
              <w:t>Adjusted R-squared</w:t>
            </w:r>
          </w:p>
        </w:tc>
        <w:tc>
          <w:tcPr>
            <w:tcW w:w="1531" w:type="dxa"/>
            <w:tcBorders>
              <w:top w:val="nil"/>
              <w:left w:val="nil"/>
              <w:bottom w:val="nil"/>
              <w:right w:val="nil"/>
            </w:tcBorders>
            <w:vAlign w:val="bottom"/>
          </w:tcPr>
          <w:p w14:paraId="507C9F2E" w14:textId="77777777" w:rsidR="0062084B" w:rsidRPr="00C96C4B" w:rsidRDefault="0062084B" w:rsidP="00094B17">
            <w:pPr>
              <w:autoSpaceDE w:val="0"/>
              <w:autoSpaceDN w:val="0"/>
              <w:adjustRightInd w:val="0"/>
              <w:ind w:right="10"/>
              <w:jc w:val="both"/>
              <w:rPr>
                <w:color w:val="000000"/>
                <w:sz w:val="18"/>
                <w:szCs w:val="18"/>
              </w:rPr>
            </w:pPr>
            <w:r w:rsidRPr="00C96C4B">
              <w:rPr>
                <w:color w:val="000000"/>
                <w:sz w:val="18"/>
                <w:szCs w:val="18"/>
              </w:rPr>
              <w:t>0.918952</w:t>
            </w:r>
          </w:p>
        </w:tc>
        <w:tc>
          <w:tcPr>
            <w:tcW w:w="3402" w:type="dxa"/>
            <w:gridSpan w:val="2"/>
            <w:tcBorders>
              <w:top w:val="nil"/>
              <w:left w:val="nil"/>
              <w:bottom w:val="nil"/>
              <w:right w:val="nil"/>
            </w:tcBorders>
            <w:vAlign w:val="bottom"/>
          </w:tcPr>
          <w:p w14:paraId="57F376D6" w14:textId="77777777" w:rsidR="0062084B" w:rsidRPr="00C96C4B" w:rsidRDefault="0062084B" w:rsidP="00094B17">
            <w:pPr>
              <w:autoSpaceDE w:val="0"/>
              <w:autoSpaceDN w:val="0"/>
              <w:adjustRightInd w:val="0"/>
              <w:ind w:right="10"/>
              <w:jc w:val="both"/>
              <w:rPr>
                <w:color w:val="000000"/>
                <w:sz w:val="20"/>
                <w:szCs w:val="20"/>
              </w:rPr>
            </w:pPr>
            <w:r w:rsidRPr="00C96C4B">
              <w:rPr>
                <w:color w:val="000000"/>
                <w:sz w:val="20"/>
                <w:szCs w:val="20"/>
              </w:rPr>
              <w:t>S.D. dependent var</w:t>
            </w:r>
          </w:p>
        </w:tc>
        <w:tc>
          <w:tcPr>
            <w:tcW w:w="1597" w:type="dxa"/>
            <w:tcBorders>
              <w:top w:val="nil"/>
              <w:left w:val="nil"/>
              <w:bottom w:val="nil"/>
              <w:right w:val="nil"/>
            </w:tcBorders>
            <w:vAlign w:val="bottom"/>
          </w:tcPr>
          <w:p w14:paraId="3222C264" w14:textId="77777777" w:rsidR="0062084B" w:rsidRPr="00C96C4B" w:rsidRDefault="0062084B" w:rsidP="00094B17">
            <w:pPr>
              <w:autoSpaceDE w:val="0"/>
              <w:autoSpaceDN w:val="0"/>
              <w:adjustRightInd w:val="0"/>
              <w:ind w:right="10"/>
              <w:jc w:val="both"/>
              <w:rPr>
                <w:color w:val="000000"/>
                <w:sz w:val="18"/>
                <w:szCs w:val="18"/>
              </w:rPr>
            </w:pPr>
            <w:r w:rsidRPr="00C96C4B">
              <w:rPr>
                <w:color w:val="000000"/>
                <w:sz w:val="18"/>
                <w:szCs w:val="18"/>
              </w:rPr>
              <w:t>2188079.</w:t>
            </w:r>
          </w:p>
        </w:tc>
      </w:tr>
      <w:tr w:rsidR="0062084B" w:rsidRPr="00C96C4B" w14:paraId="26EF092C" w14:textId="77777777" w:rsidTr="001B60DC">
        <w:tc>
          <w:tcPr>
            <w:tcW w:w="2110" w:type="dxa"/>
            <w:tcBorders>
              <w:top w:val="nil"/>
              <w:left w:val="nil"/>
              <w:bottom w:val="nil"/>
              <w:right w:val="nil"/>
            </w:tcBorders>
            <w:vAlign w:val="bottom"/>
          </w:tcPr>
          <w:p w14:paraId="56BB1E5B" w14:textId="77777777" w:rsidR="0062084B" w:rsidRPr="00C96C4B" w:rsidRDefault="0062084B" w:rsidP="00094B17">
            <w:pPr>
              <w:autoSpaceDE w:val="0"/>
              <w:autoSpaceDN w:val="0"/>
              <w:adjustRightInd w:val="0"/>
              <w:rPr>
                <w:color w:val="000000"/>
                <w:sz w:val="20"/>
                <w:szCs w:val="20"/>
              </w:rPr>
            </w:pPr>
            <w:r w:rsidRPr="00C96C4B">
              <w:rPr>
                <w:color w:val="000000"/>
                <w:sz w:val="20"/>
                <w:szCs w:val="20"/>
              </w:rPr>
              <w:t>S.E. of regression</w:t>
            </w:r>
          </w:p>
        </w:tc>
        <w:tc>
          <w:tcPr>
            <w:tcW w:w="1531" w:type="dxa"/>
            <w:tcBorders>
              <w:top w:val="nil"/>
              <w:left w:val="nil"/>
              <w:bottom w:val="nil"/>
              <w:right w:val="nil"/>
            </w:tcBorders>
            <w:vAlign w:val="bottom"/>
          </w:tcPr>
          <w:p w14:paraId="6388801E" w14:textId="77777777" w:rsidR="0062084B" w:rsidRPr="00C96C4B" w:rsidRDefault="0062084B" w:rsidP="00094B17">
            <w:pPr>
              <w:autoSpaceDE w:val="0"/>
              <w:autoSpaceDN w:val="0"/>
              <w:adjustRightInd w:val="0"/>
              <w:ind w:right="10"/>
              <w:jc w:val="both"/>
              <w:rPr>
                <w:color w:val="000000"/>
                <w:sz w:val="18"/>
                <w:szCs w:val="18"/>
              </w:rPr>
            </w:pPr>
            <w:r w:rsidRPr="00C96C4B">
              <w:rPr>
                <w:color w:val="000000"/>
                <w:sz w:val="18"/>
                <w:szCs w:val="18"/>
              </w:rPr>
              <w:t>622921.2</w:t>
            </w:r>
          </w:p>
        </w:tc>
        <w:tc>
          <w:tcPr>
            <w:tcW w:w="3402" w:type="dxa"/>
            <w:gridSpan w:val="2"/>
            <w:tcBorders>
              <w:top w:val="nil"/>
              <w:left w:val="nil"/>
              <w:bottom w:val="nil"/>
              <w:right w:val="nil"/>
            </w:tcBorders>
            <w:vAlign w:val="bottom"/>
          </w:tcPr>
          <w:p w14:paraId="06A7F0CB" w14:textId="77777777" w:rsidR="0062084B" w:rsidRPr="00C96C4B" w:rsidRDefault="0062084B" w:rsidP="00094B17">
            <w:pPr>
              <w:autoSpaceDE w:val="0"/>
              <w:autoSpaceDN w:val="0"/>
              <w:adjustRightInd w:val="0"/>
              <w:ind w:right="10"/>
              <w:jc w:val="both"/>
              <w:rPr>
                <w:color w:val="000000"/>
                <w:sz w:val="20"/>
                <w:szCs w:val="20"/>
              </w:rPr>
            </w:pPr>
            <w:r w:rsidRPr="00C96C4B">
              <w:rPr>
                <w:color w:val="000000"/>
                <w:sz w:val="20"/>
                <w:szCs w:val="20"/>
              </w:rPr>
              <w:t>Akaike info criterion</w:t>
            </w:r>
          </w:p>
        </w:tc>
        <w:tc>
          <w:tcPr>
            <w:tcW w:w="1597" w:type="dxa"/>
            <w:tcBorders>
              <w:top w:val="nil"/>
              <w:left w:val="nil"/>
              <w:bottom w:val="nil"/>
              <w:right w:val="nil"/>
            </w:tcBorders>
            <w:vAlign w:val="bottom"/>
          </w:tcPr>
          <w:p w14:paraId="73CD52D1" w14:textId="77777777" w:rsidR="0062084B" w:rsidRPr="00C96C4B" w:rsidRDefault="0062084B" w:rsidP="00094B17">
            <w:pPr>
              <w:autoSpaceDE w:val="0"/>
              <w:autoSpaceDN w:val="0"/>
              <w:adjustRightInd w:val="0"/>
              <w:ind w:right="10"/>
              <w:jc w:val="both"/>
              <w:rPr>
                <w:color w:val="000000"/>
                <w:sz w:val="18"/>
                <w:szCs w:val="18"/>
              </w:rPr>
            </w:pPr>
            <w:r w:rsidRPr="00C96C4B">
              <w:rPr>
                <w:color w:val="000000"/>
                <w:sz w:val="18"/>
                <w:szCs w:val="18"/>
              </w:rPr>
              <w:t>29.80594</w:t>
            </w:r>
          </w:p>
        </w:tc>
      </w:tr>
      <w:tr w:rsidR="0062084B" w:rsidRPr="00C96C4B" w14:paraId="0100CAF8" w14:textId="77777777" w:rsidTr="001B60DC">
        <w:tc>
          <w:tcPr>
            <w:tcW w:w="2110" w:type="dxa"/>
            <w:tcBorders>
              <w:top w:val="nil"/>
              <w:left w:val="nil"/>
              <w:bottom w:val="nil"/>
              <w:right w:val="nil"/>
            </w:tcBorders>
            <w:vAlign w:val="bottom"/>
          </w:tcPr>
          <w:p w14:paraId="3B3FB088" w14:textId="77777777" w:rsidR="0062084B" w:rsidRPr="00C96C4B" w:rsidRDefault="0062084B" w:rsidP="00094B17">
            <w:pPr>
              <w:autoSpaceDE w:val="0"/>
              <w:autoSpaceDN w:val="0"/>
              <w:adjustRightInd w:val="0"/>
              <w:rPr>
                <w:color w:val="000000"/>
                <w:sz w:val="20"/>
                <w:szCs w:val="20"/>
              </w:rPr>
            </w:pPr>
            <w:r w:rsidRPr="00C96C4B">
              <w:rPr>
                <w:color w:val="000000"/>
                <w:sz w:val="20"/>
                <w:szCs w:val="20"/>
              </w:rPr>
              <w:t>Sum squared resid</w:t>
            </w:r>
          </w:p>
        </w:tc>
        <w:tc>
          <w:tcPr>
            <w:tcW w:w="1531" w:type="dxa"/>
            <w:tcBorders>
              <w:top w:val="nil"/>
              <w:left w:val="nil"/>
              <w:bottom w:val="nil"/>
              <w:right w:val="nil"/>
            </w:tcBorders>
            <w:vAlign w:val="bottom"/>
          </w:tcPr>
          <w:p w14:paraId="15641931" w14:textId="77777777" w:rsidR="0062084B" w:rsidRPr="00C96C4B" w:rsidRDefault="0062084B" w:rsidP="00094B17">
            <w:pPr>
              <w:autoSpaceDE w:val="0"/>
              <w:autoSpaceDN w:val="0"/>
              <w:adjustRightInd w:val="0"/>
              <w:ind w:right="10"/>
              <w:jc w:val="both"/>
              <w:rPr>
                <w:color w:val="000000"/>
                <w:sz w:val="18"/>
                <w:szCs w:val="18"/>
              </w:rPr>
            </w:pPr>
            <w:r w:rsidRPr="00C96C4B">
              <w:rPr>
                <w:color w:val="000000"/>
                <w:sz w:val="18"/>
                <w:szCs w:val="18"/>
              </w:rPr>
              <w:t>1.55E+12</w:t>
            </w:r>
          </w:p>
        </w:tc>
        <w:tc>
          <w:tcPr>
            <w:tcW w:w="3402" w:type="dxa"/>
            <w:gridSpan w:val="2"/>
            <w:tcBorders>
              <w:top w:val="nil"/>
              <w:left w:val="nil"/>
              <w:bottom w:val="nil"/>
              <w:right w:val="nil"/>
            </w:tcBorders>
            <w:vAlign w:val="bottom"/>
          </w:tcPr>
          <w:p w14:paraId="3C2720BA" w14:textId="77777777" w:rsidR="0062084B" w:rsidRPr="00C96C4B" w:rsidRDefault="0062084B" w:rsidP="00094B17">
            <w:pPr>
              <w:autoSpaceDE w:val="0"/>
              <w:autoSpaceDN w:val="0"/>
              <w:adjustRightInd w:val="0"/>
              <w:ind w:right="10"/>
              <w:jc w:val="both"/>
              <w:rPr>
                <w:color w:val="000000"/>
                <w:sz w:val="20"/>
                <w:szCs w:val="20"/>
              </w:rPr>
            </w:pPr>
            <w:r w:rsidRPr="00C96C4B">
              <w:rPr>
                <w:color w:val="000000"/>
                <w:sz w:val="20"/>
                <w:szCs w:val="20"/>
              </w:rPr>
              <w:t>Schwarz criterion</w:t>
            </w:r>
          </w:p>
        </w:tc>
        <w:tc>
          <w:tcPr>
            <w:tcW w:w="1597" w:type="dxa"/>
            <w:tcBorders>
              <w:top w:val="nil"/>
              <w:left w:val="nil"/>
              <w:bottom w:val="nil"/>
              <w:right w:val="nil"/>
            </w:tcBorders>
            <w:vAlign w:val="bottom"/>
          </w:tcPr>
          <w:p w14:paraId="441F54B0" w14:textId="77777777" w:rsidR="0062084B" w:rsidRPr="00C96C4B" w:rsidRDefault="0062084B" w:rsidP="00094B17">
            <w:pPr>
              <w:autoSpaceDE w:val="0"/>
              <w:autoSpaceDN w:val="0"/>
              <w:adjustRightInd w:val="0"/>
              <w:ind w:right="10"/>
              <w:jc w:val="both"/>
              <w:rPr>
                <w:color w:val="000000"/>
                <w:sz w:val="18"/>
                <w:szCs w:val="18"/>
              </w:rPr>
            </w:pPr>
            <w:r w:rsidRPr="00C96C4B">
              <w:rPr>
                <w:color w:val="000000"/>
                <w:sz w:val="18"/>
                <w:szCs w:val="18"/>
              </w:rPr>
              <w:t>29.98749</w:t>
            </w:r>
          </w:p>
        </w:tc>
      </w:tr>
      <w:tr w:rsidR="0062084B" w:rsidRPr="00C96C4B" w14:paraId="4033B7FF" w14:textId="77777777" w:rsidTr="001B60DC">
        <w:tc>
          <w:tcPr>
            <w:tcW w:w="2110" w:type="dxa"/>
            <w:tcBorders>
              <w:top w:val="nil"/>
              <w:left w:val="nil"/>
              <w:bottom w:val="nil"/>
              <w:right w:val="nil"/>
            </w:tcBorders>
            <w:vAlign w:val="bottom"/>
          </w:tcPr>
          <w:p w14:paraId="16773635" w14:textId="77777777" w:rsidR="0062084B" w:rsidRPr="00C96C4B" w:rsidRDefault="0062084B" w:rsidP="00094B17">
            <w:pPr>
              <w:autoSpaceDE w:val="0"/>
              <w:autoSpaceDN w:val="0"/>
              <w:adjustRightInd w:val="0"/>
              <w:rPr>
                <w:color w:val="000000"/>
                <w:sz w:val="20"/>
                <w:szCs w:val="20"/>
              </w:rPr>
            </w:pPr>
            <w:r w:rsidRPr="00C96C4B">
              <w:rPr>
                <w:color w:val="000000"/>
                <w:sz w:val="20"/>
                <w:szCs w:val="20"/>
              </w:rPr>
              <w:t>Log likelihood</w:t>
            </w:r>
          </w:p>
        </w:tc>
        <w:tc>
          <w:tcPr>
            <w:tcW w:w="1531" w:type="dxa"/>
            <w:tcBorders>
              <w:top w:val="nil"/>
              <w:left w:val="nil"/>
              <w:bottom w:val="nil"/>
              <w:right w:val="nil"/>
            </w:tcBorders>
            <w:vAlign w:val="bottom"/>
          </w:tcPr>
          <w:p w14:paraId="766745E0" w14:textId="77777777" w:rsidR="0062084B" w:rsidRPr="00C96C4B" w:rsidRDefault="0062084B" w:rsidP="00094B17">
            <w:pPr>
              <w:autoSpaceDE w:val="0"/>
              <w:autoSpaceDN w:val="0"/>
              <w:adjustRightInd w:val="0"/>
              <w:ind w:right="10"/>
              <w:jc w:val="both"/>
              <w:rPr>
                <w:color w:val="000000"/>
                <w:sz w:val="18"/>
                <w:szCs w:val="18"/>
              </w:rPr>
            </w:pPr>
            <w:r w:rsidRPr="00C96C4B">
              <w:rPr>
                <w:color w:val="000000"/>
                <w:sz w:val="18"/>
                <w:szCs w:val="18"/>
              </w:rPr>
              <w:t>-143.0297</w:t>
            </w:r>
          </w:p>
        </w:tc>
        <w:tc>
          <w:tcPr>
            <w:tcW w:w="3402" w:type="dxa"/>
            <w:gridSpan w:val="2"/>
            <w:tcBorders>
              <w:top w:val="nil"/>
              <w:left w:val="nil"/>
              <w:bottom w:val="nil"/>
              <w:right w:val="nil"/>
            </w:tcBorders>
            <w:vAlign w:val="bottom"/>
          </w:tcPr>
          <w:p w14:paraId="72F097AC" w14:textId="77777777" w:rsidR="0062084B" w:rsidRPr="00C96C4B" w:rsidRDefault="0062084B" w:rsidP="00094B17">
            <w:pPr>
              <w:autoSpaceDE w:val="0"/>
              <w:autoSpaceDN w:val="0"/>
              <w:adjustRightInd w:val="0"/>
              <w:ind w:right="10"/>
              <w:jc w:val="both"/>
              <w:rPr>
                <w:color w:val="000000"/>
                <w:sz w:val="20"/>
                <w:szCs w:val="20"/>
              </w:rPr>
            </w:pPr>
            <w:r w:rsidRPr="00C96C4B">
              <w:rPr>
                <w:color w:val="000000"/>
                <w:sz w:val="20"/>
                <w:szCs w:val="20"/>
              </w:rPr>
              <w:t xml:space="preserve">Hannan-Quinn </w:t>
            </w:r>
            <w:proofErr w:type="spellStart"/>
            <w:r w:rsidRPr="00C96C4B">
              <w:rPr>
                <w:color w:val="000000"/>
                <w:sz w:val="20"/>
                <w:szCs w:val="20"/>
              </w:rPr>
              <w:t>criter</w:t>
            </w:r>
            <w:proofErr w:type="spellEnd"/>
            <w:r w:rsidRPr="00C96C4B">
              <w:rPr>
                <w:color w:val="000000"/>
                <w:sz w:val="20"/>
                <w:szCs w:val="20"/>
              </w:rPr>
              <w:t>.</w:t>
            </w:r>
          </w:p>
        </w:tc>
        <w:tc>
          <w:tcPr>
            <w:tcW w:w="1597" w:type="dxa"/>
            <w:tcBorders>
              <w:top w:val="nil"/>
              <w:left w:val="nil"/>
              <w:bottom w:val="nil"/>
              <w:right w:val="nil"/>
            </w:tcBorders>
            <w:vAlign w:val="bottom"/>
          </w:tcPr>
          <w:p w14:paraId="12F79C4C" w14:textId="77777777" w:rsidR="0062084B" w:rsidRPr="00C96C4B" w:rsidRDefault="0062084B" w:rsidP="00094B17">
            <w:pPr>
              <w:autoSpaceDE w:val="0"/>
              <w:autoSpaceDN w:val="0"/>
              <w:adjustRightInd w:val="0"/>
              <w:ind w:right="10"/>
              <w:jc w:val="both"/>
              <w:rPr>
                <w:color w:val="000000"/>
                <w:sz w:val="18"/>
                <w:szCs w:val="18"/>
              </w:rPr>
            </w:pPr>
            <w:r w:rsidRPr="00C96C4B">
              <w:rPr>
                <w:color w:val="000000"/>
                <w:sz w:val="18"/>
                <w:szCs w:val="18"/>
              </w:rPr>
              <w:t>29.60678</w:t>
            </w:r>
          </w:p>
        </w:tc>
      </w:tr>
      <w:tr w:rsidR="0062084B" w:rsidRPr="00C96C4B" w14:paraId="24610A4C" w14:textId="77777777" w:rsidTr="001B60DC">
        <w:tc>
          <w:tcPr>
            <w:tcW w:w="2110" w:type="dxa"/>
            <w:tcBorders>
              <w:top w:val="nil"/>
              <w:left w:val="nil"/>
              <w:bottom w:val="nil"/>
              <w:right w:val="nil"/>
            </w:tcBorders>
            <w:vAlign w:val="bottom"/>
          </w:tcPr>
          <w:p w14:paraId="1B2687CF" w14:textId="77777777" w:rsidR="0062084B" w:rsidRPr="00C96C4B" w:rsidRDefault="0062084B" w:rsidP="00094B17">
            <w:pPr>
              <w:autoSpaceDE w:val="0"/>
              <w:autoSpaceDN w:val="0"/>
              <w:adjustRightInd w:val="0"/>
              <w:rPr>
                <w:color w:val="000000"/>
                <w:sz w:val="20"/>
                <w:szCs w:val="20"/>
              </w:rPr>
            </w:pPr>
            <w:r w:rsidRPr="00C96C4B">
              <w:rPr>
                <w:color w:val="000000"/>
                <w:sz w:val="20"/>
                <w:szCs w:val="20"/>
              </w:rPr>
              <w:t>F-statistic</w:t>
            </w:r>
          </w:p>
        </w:tc>
        <w:tc>
          <w:tcPr>
            <w:tcW w:w="1531" w:type="dxa"/>
            <w:tcBorders>
              <w:top w:val="nil"/>
              <w:left w:val="nil"/>
              <w:bottom w:val="nil"/>
              <w:right w:val="nil"/>
            </w:tcBorders>
            <w:vAlign w:val="bottom"/>
          </w:tcPr>
          <w:p w14:paraId="3034BF55" w14:textId="77777777" w:rsidR="0062084B" w:rsidRPr="00C96C4B" w:rsidRDefault="0062084B" w:rsidP="00094B17">
            <w:pPr>
              <w:autoSpaceDE w:val="0"/>
              <w:autoSpaceDN w:val="0"/>
              <w:adjustRightInd w:val="0"/>
              <w:ind w:right="10"/>
              <w:jc w:val="both"/>
              <w:rPr>
                <w:color w:val="000000"/>
                <w:sz w:val="18"/>
                <w:szCs w:val="18"/>
              </w:rPr>
            </w:pPr>
            <w:r w:rsidRPr="00C96C4B">
              <w:rPr>
                <w:color w:val="000000"/>
                <w:sz w:val="18"/>
                <w:szCs w:val="18"/>
              </w:rPr>
              <w:t>21.40917</w:t>
            </w:r>
          </w:p>
        </w:tc>
        <w:tc>
          <w:tcPr>
            <w:tcW w:w="3402" w:type="dxa"/>
            <w:gridSpan w:val="2"/>
            <w:tcBorders>
              <w:top w:val="nil"/>
              <w:left w:val="nil"/>
              <w:bottom w:val="nil"/>
              <w:right w:val="nil"/>
            </w:tcBorders>
            <w:vAlign w:val="bottom"/>
          </w:tcPr>
          <w:p w14:paraId="729CDD05" w14:textId="77777777" w:rsidR="0062084B" w:rsidRPr="00C96C4B" w:rsidRDefault="0062084B" w:rsidP="00094B17">
            <w:pPr>
              <w:autoSpaceDE w:val="0"/>
              <w:autoSpaceDN w:val="0"/>
              <w:adjustRightInd w:val="0"/>
              <w:ind w:right="10"/>
              <w:jc w:val="both"/>
              <w:rPr>
                <w:color w:val="000000"/>
                <w:sz w:val="20"/>
                <w:szCs w:val="20"/>
              </w:rPr>
            </w:pPr>
            <w:r w:rsidRPr="00C96C4B">
              <w:rPr>
                <w:color w:val="000000"/>
                <w:sz w:val="20"/>
                <w:szCs w:val="20"/>
              </w:rPr>
              <w:t>Durbin-Watson stat</w:t>
            </w:r>
          </w:p>
        </w:tc>
        <w:tc>
          <w:tcPr>
            <w:tcW w:w="1597" w:type="dxa"/>
            <w:tcBorders>
              <w:top w:val="nil"/>
              <w:left w:val="nil"/>
              <w:bottom w:val="nil"/>
              <w:right w:val="nil"/>
            </w:tcBorders>
            <w:vAlign w:val="bottom"/>
          </w:tcPr>
          <w:p w14:paraId="06D7EB0D" w14:textId="77777777" w:rsidR="0062084B" w:rsidRPr="00C96C4B" w:rsidRDefault="0062084B" w:rsidP="00094B17">
            <w:pPr>
              <w:autoSpaceDE w:val="0"/>
              <w:autoSpaceDN w:val="0"/>
              <w:adjustRightInd w:val="0"/>
              <w:ind w:right="10"/>
              <w:jc w:val="both"/>
              <w:rPr>
                <w:color w:val="000000"/>
                <w:sz w:val="18"/>
                <w:szCs w:val="18"/>
              </w:rPr>
            </w:pPr>
            <w:r w:rsidRPr="00C96C4B">
              <w:rPr>
                <w:color w:val="000000"/>
                <w:sz w:val="18"/>
                <w:szCs w:val="18"/>
              </w:rPr>
              <w:t>2.500060</w:t>
            </w:r>
          </w:p>
        </w:tc>
      </w:tr>
      <w:tr w:rsidR="0062084B" w:rsidRPr="00C96C4B" w14:paraId="01D2FEDD" w14:textId="77777777" w:rsidTr="001B60DC">
        <w:trPr>
          <w:trHeight w:val="276"/>
        </w:trPr>
        <w:tc>
          <w:tcPr>
            <w:tcW w:w="2110" w:type="dxa"/>
            <w:tcBorders>
              <w:top w:val="nil"/>
              <w:left w:val="nil"/>
              <w:bottom w:val="single" w:sz="4" w:space="0" w:color="auto"/>
              <w:right w:val="nil"/>
            </w:tcBorders>
            <w:vAlign w:val="bottom"/>
          </w:tcPr>
          <w:p w14:paraId="39D4BE68" w14:textId="77777777" w:rsidR="0062084B" w:rsidRPr="00C96C4B" w:rsidRDefault="0062084B" w:rsidP="00094B17">
            <w:pPr>
              <w:autoSpaceDE w:val="0"/>
              <w:autoSpaceDN w:val="0"/>
              <w:adjustRightInd w:val="0"/>
              <w:rPr>
                <w:color w:val="000000"/>
                <w:sz w:val="20"/>
                <w:szCs w:val="20"/>
              </w:rPr>
            </w:pPr>
            <w:r w:rsidRPr="00C96C4B">
              <w:rPr>
                <w:color w:val="000000"/>
                <w:sz w:val="20"/>
                <w:szCs w:val="20"/>
              </w:rPr>
              <w:t>Prob (F-statistic)</w:t>
            </w:r>
          </w:p>
        </w:tc>
        <w:tc>
          <w:tcPr>
            <w:tcW w:w="1531" w:type="dxa"/>
            <w:tcBorders>
              <w:top w:val="nil"/>
              <w:left w:val="nil"/>
              <w:bottom w:val="single" w:sz="4" w:space="0" w:color="auto"/>
              <w:right w:val="nil"/>
            </w:tcBorders>
            <w:vAlign w:val="bottom"/>
          </w:tcPr>
          <w:p w14:paraId="3199697C" w14:textId="77777777" w:rsidR="0062084B" w:rsidRPr="00C96C4B" w:rsidRDefault="0062084B" w:rsidP="00094B17">
            <w:pPr>
              <w:autoSpaceDE w:val="0"/>
              <w:autoSpaceDN w:val="0"/>
              <w:adjustRightInd w:val="0"/>
              <w:ind w:right="10"/>
              <w:jc w:val="both"/>
              <w:rPr>
                <w:color w:val="000000"/>
                <w:sz w:val="18"/>
                <w:szCs w:val="18"/>
              </w:rPr>
            </w:pPr>
            <w:r w:rsidRPr="00C96C4B">
              <w:rPr>
                <w:color w:val="000000"/>
                <w:sz w:val="18"/>
                <w:szCs w:val="18"/>
              </w:rPr>
              <w:t>0.005474</w:t>
            </w:r>
          </w:p>
        </w:tc>
        <w:tc>
          <w:tcPr>
            <w:tcW w:w="3402" w:type="dxa"/>
            <w:gridSpan w:val="2"/>
            <w:tcBorders>
              <w:top w:val="nil"/>
              <w:left w:val="nil"/>
              <w:bottom w:val="single" w:sz="4" w:space="0" w:color="auto"/>
              <w:right w:val="nil"/>
            </w:tcBorders>
            <w:vAlign w:val="bottom"/>
          </w:tcPr>
          <w:p w14:paraId="65707B62" w14:textId="77777777" w:rsidR="0062084B" w:rsidRPr="00C96C4B" w:rsidRDefault="0062084B" w:rsidP="00094B17">
            <w:pPr>
              <w:autoSpaceDE w:val="0"/>
              <w:autoSpaceDN w:val="0"/>
              <w:adjustRightInd w:val="0"/>
              <w:jc w:val="both"/>
              <w:rPr>
                <w:color w:val="000000"/>
                <w:sz w:val="20"/>
                <w:szCs w:val="20"/>
              </w:rPr>
            </w:pPr>
          </w:p>
        </w:tc>
        <w:tc>
          <w:tcPr>
            <w:tcW w:w="1597" w:type="dxa"/>
            <w:tcBorders>
              <w:top w:val="nil"/>
              <w:left w:val="nil"/>
              <w:bottom w:val="single" w:sz="4" w:space="0" w:color="auto"/>
              <w:right w:val="nil"/>
            </w:tcBorders>
            <w:vAlign w:val="bottom"/>
          </w:tcPr>
          <w:p w14:paraId="273A476E" w14:textId="77777777" w:rsidR="0062084B" w:rsidRPr="00C96C4B" w:rsidRDefault="0062084B" w:rsidP="00094B17">
            <w:pPr>
              <w:autoSpaceDE w:val="0"/>
              <w:autoSpaceDN w:val="0"/>
              <w:adjustRightInd w:val="0"/>
              <w:jc w:val="both"/>
              <w:rPr>
                <w:color w:val="000000"/>
                <w:sz w:val="20"/>
                <w:szCs w:val="20"/>
              </w:rPr>
            </w:pPr>
          </w:p>
        </w:tc>
      </w:tr>
    </w:tbl>
    <w:p w14:paraId="168804BB" w14:textId="77777777" w:rsidR="0062084B" w:rsidRPr="00C96C4B" w:rsidRDefault="0062084B" w:rsidP="0062084B">
      <w:pPr>
        <w:ind w:firstLine="720"/>
        <w:jc w:val="center"/>
        <w:rPr>
          <w:i/>
          <w:sz w:val="20"/>
          <w:szCs w:val="20"/>
        </w:rPr>
      </w:pPr>
      <w:r w:rsidRPr="00C96C4B">
        <w:rPr>
          <w:i/>
          <w:sz w:val="20"/>
          <w:szCs w:val="20"/>
        </w:rPr>
        <w:t>So</w:t>
      </w:r>
      <w:r w:rsidR="001B60DC">
        <w:rPr>
          <w:i/>
          <w:sz w:val="20"/>
          <w:szCs w:val="20"/>
        </w:rPr>
        <w:t>urce: Data output via E-views 12</w:t>
      </w:r>
      <w:r w:rsidRPr="00C96C4B">
        <w:rPr>
          <w:i/>
          <w:sz w:val="20"/>
          <w:szCs w:val="20"/>
        </w:rPr>
        <w:t>.0</w:t>
      </w:r>
    </w:p>
    <w:p w14:paraId="7B2A465C" w14:textId="77777777" w:rsidR="0062084B" w:rsidRDefault="0062084B" w:rsidP="0062084B">
      <w:pPr>
        <w:jc w:val="center"/>
        <w:rPr>
          <w:b/>
        </w:rPr>
      </w:pPr>
    </w:p>
    <w:p w14:paraId="1FDA32C2" w14:textId="77777777" w:rsidR="0062084B" w:rsidRPr="00D564EA" w:rsidRDefault="0062084B" w:rsidP="001B60DC">
      <w:pPr>
        <w:ind w:firstLine="720"/>
        <w:jc w:val="both"/>
        <w:rPr>
          <w:b/>
        </w:rPr>
      </w:pPr>
      <w:r w:rsidRPr="00D564EA">
        <w:rPr>
          <w:b/>
        </w:rPr>
        <w:t>Granger Causality Analysis</w:t>
      </w:r>
    </w:p>
    <w:p w14:paraId="10D9EF5B" w14:textId="60846283" w:rsidR="0062084B" w:rsidRDefault="0062084B" w:rsidP="001B60DC">
      <w:pPr>
        <w:ind w:left="720" w:firstLine="720"/>
        <w:jc w:val="both"/>
        <w:rPr>
          <w:rFonts w:eastAsia="TimesNewRomanPSMT"/>
        </w:rPr>
      </w:pPr>
      <w:r w:rsidRPr="00D564EA">
        <w:rPr>
          <w:rFonts w:eastAsia="TimesNewRomanPSMT"/>
        </w:rPr>
        <w:t xml:space="preserve">To </w:t>
      </w:r>
      <w:r>
        <w:rPr>
          <w:rFonts w:eastAsia="TimesNewRomanPSMT"/>
        </w:rPr>
        <w:t xml:space="preserve">causal relationship between the dependent and independent variables were determined using </w:t>
      </w:r>
      <w:r w:rsidRPr="00D564EA">
        <w:rPr>
          <w:rFonts w:eastAsia="TimesNewRomanPSMT"/>
        </w:rPr>
        <w:t xml:space="preserve">the granger </w:t>
      </w:r>
      <w:r>
        <w:rPr>
          <w:rFonts w:eastAsia="TimesNewRomanPSMT"/>
        </w:rPr>
        <w:t>causality analysis</w:t>
      </w:r>
      <w:r w:rsidRPr="00D564EA">
        <w:rPr>
          <w:rFonts w:eastAsia="TimesNewRomanPSMT"/>
        </w:rPr>
        <w:t xml:space="preserve">. </w:t>
      </w:r>
      <w:r w:rsidR="001B60DC">
        <w:rPr>
          <w:rFonts w:eastAsia="TimesNewRomanPSMT"/>
        </w:rPr>
        <w:t>From the result in Table 10</w:t>
      </w:r>
      <w:r w:rsidRPr="00D564EA">
        <w:rPr>
          <w:rFonts w:eastAsia="TimesNewRomanPSMT"/>
        </w:rPr>
        <w:t xml:space="preserve">, </w:t>
      </w:r>
      <w:r>
        <w:rPr>
          <w:rFonts w:eastAsia="TimesNewRomanPSMT"/>
        </w:rPr>
        <w:t xml:space="preserve">there is no causal relationship between revenue generation and sources of taxation: </w:t>
      </w:r>
      <w:r w:rsidRPr="00D564EA">
        <w:t>petroleum profit tax, company income tax and value added tax</w:t>
      </w:r>
      <w:r>
        <w:t>. Causality does not flow from taxation to revenue generation or from revenue generation to taxation at 5% level of significance. This result implies that taxation measured by</w:t>
      </w:r>
      <w:r w:rsidRPr="00D564EA">
        <w:t xml:space="preserve"> petroleum profit tax, company income tax and value added tax</w:t>
      </w:r>
      <w:r>
        <w:t xml:space="preserve"> are not causally related with revenue generation in Nigeria within the period covered by the study.</w:t>
      </w:r>
    </w:p>
    <w:p w14:paraId="13C0365A" w14:textId="6CD57358" w:rsidR="0062084B" w:rsidRPr="001B60DC" w:rsidRDefault="001B60DC" w:rsidP="001B60DC">
      <w:pPr>
        <w:ind w:left="720"/>
        <w:jc w:val="center"/>
        <w:rPr>
          <w:b/>
          <w:sz w:val="20"/>
          <w:szCs w:val="20"/>
        </w:rPr>
      </w:pPr>
      <w:r>
        <w:rPr>
          <w:b/>
          <w:sz w:val="20"/>
          <w:szCs w:val="20"/>
        </w:rPr>
        <w:t>Table 10</w:t>
      </w:r>
      <w:r w:rsidR="0062084B" w:rsidRPr="001B60DC">
        <w:rPr>
          <w:b/>
          <w:sz w:val="20"/>
          <w:szCs w:val="20"/>
        </w:rPr>
        <w:t xml:space="preserve">: Granger Causality Result </w:t>
      </w:r>
    </w:p>
    <w:tbl>
      <w:tblPr>
        <w:tblW w:w="8820" w:type="dxa"/>
        <w:tblInd w:w="630" w:type="dxa"/>
        <w:tblLook w:val="04A0" w:firstRow="1" w:lastRow="0" w:firstColumn="1" w:lastColumn="0" w:noHBand="0" w:noVBand="1"/>
      </w:tblPr>
      <w:tblGrid>
        <w:gridCol w:w="3731"/>
        <w:gridCol w:w="850"/>
        <w:gridCol w:w="1276"/>
        <w:gridCol w:w="1134"/>
        <w:gridCol w:w="1829"/>
      </w:tblGrid>
      <w:tr w:rsidR="0062084B" w:rsidRPr="001B60DC" w14:paraId="325FC10A" w14:textId="77777777" w:rsidTr="001B60DC">
        <w:tc>
          <w:tcPr>
            <w:tcW w:w="3731" w:type="dxa"/>
            <w:tcBorders>
              <w:top w:val="single" w:sz="4" w:space="0" w:color="auto"/>
            </w:tcBorders>
            <w:shd w:val="clear" w:color="auto" w:fill="auto"/>
          </w:tcPr>
          <w:p w14:paraId="4FF1C853" w14:textId="77777777" w:rsidR="0062084B" w:rsidRPr="001B60DC" w:rsidRDefault="0062084B" w:rsidP="001B60DC">
            <w:pPr>
              <w:jc w:val="both"/>
              <w:rPr>
                <w:b/>
                <w:sz w:val="20"/>
                <w:szCs w:val="20"/>
              </w:rPr>
            </w:pPr>
            <w:r w:rsidRPr="001B60DC">
              <w:rPr>
                <w:b/>
                <w:color w:val="000000"/>
                <w:sz w:val="20"/>
                <w:szCs w:val="20"/>
              </w:rPr>
              <w:t>Null Hypothesis:</w:t>
            </w:r>
          </w:p>
        </w:tc>
        <w:tc>
          <w:tcPr>
            <w:tcW w:w="850" w:type="dxa"/>
            <w:tcBorders>
              <w:top w:val="single" w:sz="4" w:space="0" w:color="auto"/>
            </w:tcBorders>
            <w:shd w:val="clear" w:color="auto" w:fill="auto"/>
          </w:tcPr>
          <w:p w14:paraId="099F09BF" w14:textId="77777777" w:rsidR="0062084B" w:rsidRPr="001B60DC" w:rsidRDefault="0062084B" w:rsidP="001B60DC">
            <w:pPr>
              <w:ind w:left="178"/>
              <w:jc w:val="both"/>
              <w:rPr>
                <w:b/>
                <w:sz w:val="20"/>
                <w:szCs w:val="20"/>
              </w:rPr>
            </w:pPr>
            <w:proofErr w:type="spellStart"/>
            <w:r w:rsidRPr="001B60DC">
              <w:rPr>
                <w:b/>
                <w:color w:val="000000"/>
                <w:sz w:val="20"/>
                <w:szCs w:val="20"/>
              </w:rPr>
              <w:t>Obs</w:t>
            </w:r>
            <w:proofErr w:type="spellEnd"/>
          </w:p>
        </w:tc>
        <w:tc>
          <w:tcPr>
            <w:tcW w:w="1276" w:type="dxa"/>
            <w:tcBorders>
              <w:top w:val="single" w:sz="4" w:space="0" w:color="auto"/>
            </w:tcBorders>
            <w:shd w:val="clear" w:color="auto" w:fill="auto"/>
          </w:tcPr>
          <w:p w14:paraId="3545A5F3" w14:textId="77777777" w:rsidR="0062084B" w:rsidRPr="001B60DC" w:rsidRDefault="0062084B" w:rsidP="001B60DC">
            <w:pPr>
              <w:ind w:left="28"/>
              <w:jc w:val="both"/>
              <w:rPr>
                <w:b/>
                <w:sz w:val="20"/>
                <w:szCs w:val="20"/>
              </w:rPr>
            </w:pPr>
            <w:r w:rsidRPr="001B60DC">
              <w:rPr>
                <w:b/>
                <w:color w:val="000000"/>
                <w:sz w:val="20"/>
                <w:szCs w:val="20"/>
              </w:rPr>
              <w:t>F-Statistic</w:t>
            </w:r>
          </w:p>
        </w:tc>
        <w:tc>
          <w:tcPr>
            <w:tcW w:w="1134" w:type="dxa"/>
            <w:tcBorders>
              <w:top w:val="single" w:sz="4" w:space="0" w:color="auto"/>
            </w:tcBorders>
            <w:shd w:val="clear" w:color="auto" w:fill="auto"/>
          </w:tcPr>
          <w:p w14:paraId="4BFC32A5" w14:textId="77777777" w:rsidR="0062084B" w:rsidRPr="001B60DC" w:rsidRDefault="0062084B" w:rsidP="001B60DC">
            <w:pPr>
              <w:jc w:val="both"/>
              <w:rPr>
                <w:b/>
                <w:sz w:val="20"/>
                <w:szCs w:val="20"/>
              </w:rPr>
            </w:pPr>
            <w:r w:rsidRPr="001B60DC">
              <w:rPr>
                <w:b/>
                <w:color w:val="000000"/>
                <w:sz w:val="20"/>
                <w:szCs w:val="20"/>
              </w:rPr>
              <w:t>Prob.</w:t>
            </w:r>
          </w:p>
        </w:tc>
        <w:tc>
          <w:tcPr>
            <w:tcW w:w="1829" w:type="dxa"/>
            <w:tcBorders>
              <w:top w:val="single" w:sz="4" w:space="0" w:color="auto"/>
            </w:tcBorders>
            <w:shd w:val="clear" w:color="auto" w:fill="auto"/>
          </w:tcPr>
          <w:p w14:paraId="252FB5D7" w14:textId="77777777" w:rsidR="0062084B" w:rsidRPr="001B60DC" w:rsidRDefault="0062084B" w:rsidP="001B60DC">
            <w:pPr>
              <w:jc w:val="both"/>
              <w:rPr>
                <w:b/>
                <w:sz w:val="20"/>
                <w:szCs w:val="20"/>
              </w:rPr>
            </w:pPr>
            <w:r w:rsidRPr="001B60DC">
              <w:rPr>
                <w:b/>
                <w:color w:val="000000"/>
                <w:sz w:val="20"/>
                <w:szCs w:val="20"/>
              </w:rPr>
              <w:t>Remarks</w:t>
            </w:r>
          </w:p>
        </w:tc>
      </w:tr>
      <w:tr w:rsidR="001B60DC" w:rsidRPr="001B60DC" w14:paraId="0E32D785" w14:textId="77777777" w:rsidTr="001B60DC">
        <w:trPr>
          <w:trHeight w:val="90"/>
        </w:trPr>
        <w:tc>
          <w:tcPr>
            <w:tcW w:w="3731" w:type="dxa"/>
            <w:shd w:val="clear" w:color="auto" w:fill="auto"/>
            <w:vAlign w:val="bottom"/>
          </w:tcPr>
          <w:p w14:paraId="1E7D5E7F" w14:textId="77777777" w:rsidR="001B60DC" w:rsidRPr="001B60DC" w:rsidRDefault="001B60DC" w:rsidP="001B60DC">
            <w:pPr>
              <w:autoSpaceDE w:val="0"/>
              <w:autoSpaceDN w:val="0"/>
              <w:adjustRightInd w:val="0"/>
              <w:rPr>
                <w:color w:val="000000"/>
                <w:sz w:val="20"/>
                <w:szCs w:val="20"/>
              </w:rPr>
            </w:pPr>
            <w:r w:rsidRPr="001B60DC">
              <w:rPr>
                <w:color w:val="000000"/>
                <w:sz w:val="20"/>
                <w:szCs w:val="20"/>
              </w:rPr>
              <w:t>PPT does not Granger Cause TFCR</w:t>
            </w:r>
          </w:p>
          <w:p w14:paraId="4A9EFB03" w14:textId="77777777" w:rsidR="001B60DC" w:rsidRPr="001B60DC" w:rsidRDefault="001B60DC" w:rsidP="001B60DC">
            <w:pPr>
              <w:autoSpaceDE w:val="0"/>
              <w:autoSpaceDN w:val="0"/>
              <w:adjustRightInd w:val="0"/>
              <w:rPr>
                <w:color w:val="000000"/>
                <w:sz w:val="20"/>
                <w:szCs w:val="20"/>
              </w:rPr>
            </w:pPr>
            <w:r w:rsidRPr="001B60DC">
              <w:rPr>
                <w:color w:val="000000"/>
                <w:sz w:val="20"/>
                <w:szCs w:val="20"/>
              </w:rPr>
              <w:t>TFCR does not Granger Cause PPT</w:t>
            </w:r>
          </w:p>
        </w:tc>
        <w:tc>
          <w:tcPr>
            <w:tcW w:w="850" w:type="dxa"/>
            <w:shd w:val="clear" w:color="auto" w:fill="auto"/>
            <w:vAlign w:val="bottom"/>
          </w:tcPr>
          <w:p w14:paraId="501089DD" w14:textId="77777777" w:rsidR="001B60DC" w:rsidRPr="001B60DC" w:rsidRDefault="001B60DC" w:rsidP="001B60DC">
            <w:pPr>
              <w:autoSpaceDE w:val="0"/>
              <w:autoSpaceDN w:val="0"/>
              <w:adjustRightInd w:val="0"/>
              <w:jc w:val="center"/>
              <w:rPr>
                <w:color w:val="000000"/>
                <w:sz w:val="20"/>
                <w:szCs w:val="20"/>
              </w:rPr>
            </w:pPr>
            <w:r w:rsidRPr="001B60DC">
              <w:rPr>
                <w:color w:val="000000"/>
                <w:sz w:val="20"/>
                <w:szCs w:val="20"/>
              </w:rPr>
              <w:t>16</w:t>
            </w:r>
          </w:p>
          <w:p w14:paraId="2585D315" w14:textId="77777777" w:rsidR="001B60DC" w:rsidRPr="001B60DC" w:rsidRDefault="001B60DC" w:rsidP="001B60DC">
            <w:pPr>
              <w:autoSpaceDE w:val="0"/>
              <w:autoSpaceDN w:val="0"/>
              <w:adjustRightInd w:val="0"/>
              <w:jc w:val="center"/>
              <w:rPr>
                <w:color w:val="000000"/>
                <w:sz w:val="20"/>
                <w:szCs w:val="20"/>
              </w:rPr>
            </w:pPr>
          </w:p>
        </w:tc>
        <w:tc>
          <w:tcPr>
            <w:tcW w:w="1276" w:type="dxa"/>
            <w:shd w:val="clear" w:color="auto" w:fill="auto"/>
            <w:vAlign w:val="bottom"/>
          </w:tcPr>
          <w:p w14:paraId="19FF8068" w14:textId="77777777" w:rsidR="001B60DC" w:rsidRPr="001B60DC" w:rsidRDefault="001B60DC" w:rsidP="001B60DC">
            <w:pPr>
              <w:autoSpaceDE w:val="0"/>
              <w:autoSpaceDN w:val="0"/>
              <w:adjustRightInd w:val="0"/>
              <w:jc w:val="both"/>
              <w:rPr>
                <w:color w:val="000000"/>
                <w:sz w:val="20"/>
                <w:szCs w:val="20"/>
              </w:rPr>
            </w:pPr>
            <w:r w:rsidRPr="001B60DC">
              <w:rPr>
                <w:color w:val="000000"/>
                <w:sz w:val="20"/>
                <w:szCs w:val="20"/>
              </w:rPr>
              <w:t>0.01710</w:t>
            </w:r>
          </w:p>
          <w:p w14:paraId="79EDDCF6" w14:textId="77777777" w:rsidR="001B60DC" w:rsidRPr="001B60DC" w:rsidRDefault="001B60DC" w:rsidP="001B60DC">
            <w:pPr>
              <w:autoSpaceDE w:val="0"/>
              <w:autoSpaceDN w:val="0"/>
              <w:adjustRightInd w:val="0"/>
              <w:jc w:val="both"/>
              <w:rPr>
                <w:color w:val="000000"/>
                <w:sz w:val="20"/>
                <w:szCs w:val="20"/>
              </w:rPr>
            </w:pPr>
            <w:r w:rsidRPr="001B60DC">
              <w:rPr>
                <w:color w:val="000000"/>
                <w:sz w:val="20"/>
                <w:szCs w:val="20"/>
              </w:rPr>
              <w:t>0.15569</w:t>
            </w:r>
          </w:p>
        </w:tc>
        <w:tc>
          <w:tcPr>
            <w:tcW w:w="1134" w:type="dxa"/>
            <w:shd w:val="clear" w:color="auto" w:fill="auto"/>
            <w:vAlign w:val="bottom"/>
          </w:tcPr>
          <w:p w14:paraId="3542B8A3" w14:textId="77777777" w:rsidR="001B60DC" w:rsidRPr="001B60DC" w:rsidRDefault="001B60DC" w:rsidP="001B60DC">
            <w:pPr>
              <w:autoSpaceDE w:val="0"/>
              <w:autoSpaceDN w:val="0"/>
              <w:adjustRightInd w:val="0"/>
              <w:ind w:right="10"/>
              <w:jc w:val="both"/>
              <w:rPr>
                <w:color w:val="000000"/>
                <w:sz w:val="20"/>
                <w:szCs w:val="20"/>
              </w:rPr>
            </w:pPr>
            <w:r w:rsidRPr="001B60DC">
              <w:rPr>
                <w:color w:val="000000"/>
                <w:sz w:val="20"/>
                <w:szCs w:val="20"/>
              </w:rPr>
              <w:t>0.8992 0.7035</w:t>
            </w:r>
          </w:p>
        </w:tc>
        <w:tc>
          <w:tcPr>
            <w:tcW w:w="1829" w:type="dxa"/>
            <w:shd w:val="clear" w:color="auto" w:fill="auto"/>
            <w:vAlign w:val="bottom"/>
          </w:tcPr>
          <w:p w14:paraId="5BB21503" w14:textId="77777777" w:rsidR="001B60DC" w:rsidRPr="001B60DC" w:rsidRDefault="001B60DC" w:rsidP="001B60DC">
            <w:pPr>
              <w:autoSpaceDE w:val="0"/>
              <w:autoSpaceDN w:val="0"/>
              <w:adjustRightInd w:val="0"/>
              <w:ind w:right="10"/>
              <w:jc w:val="both"/>
              <w:rPr>
                <w:color w:val="000000"/>
                <w:sz w:val="20"/>
                <w:szCs w:val="20"/>
              </w:rPr>
            </w:pPr>
            <w:r w:rsidRPr="001B60DC">
              <w:rPr>
                <w:color w:val="000000"/>
                <w:sz w:val="20"/>
                <w:szCs w:val="20"/>
              </w:rPr>
              <w:t>No Causality</w:t>
            </w:r>
          </w:p>
          <w:p w14:paraId="59DCFF16" w14:textId="77777777" w:rsidR="001B60DC" w:rsidRPr="001B60DC" w:rsidRDefault="001B60DC" w:rsidP="001B60DC">
            <w:pPr>
              <w:autoSpaceDE w:val="0"/>
              <w:autoSpaceDN w:val="0"/>
              <w:adjustRightInd w:val="0"/>
              <w:ind w:right="10"/>
              <w:jc w:val="both"/>
              <w:rPr>
                <w:color w:val="000000"/>
                <w:sz w:val="20"/>
                <w:szCs w:val="20"/>
              </w:rPr>
            </w:pPr>
            <w:r w:rsidRPr="001B60DC">
              <w:rPr>
                <w:color w:val="000000"/>
                <w:sz w:val="20"/>
                <w:szCs w:val="20"/>
              </w:rPr>
              <w:t>No Causality</w:t>
            </w:r>
          </w:p>
        </w:tc>
      </w:tr>
      <w:tr w:rsidR="001B60DC" w:rsidRPr="001B60DC" w14:paraId="68E1FE8D" w14:textId="77777777" w:rsidTr="001B60DC">
        <w:trPr>
          <w:trHeight w:val="270"/>
        </w:trPr>
        <w:tc>
          <w:tcPr>
            <w:tcW w:w="3731" w:type="dxa"/>
            <w:shd w:val="clear" w:color="auto" w:fill="auto"/>
            <w:vAlign w:val="bottom"/>
          </w:tcPr>
          <w:p w14:paraId="4F82CBB4" w14:textId="77777777" w:rsidR="001B60DC" w:rsidRPr="001B60DC" w:rsidRDefault="001B60DC" w:rsidP="001B60DC">
            <w:pPr>
              <w:autoSpaceDE w:val="0"/>
              <w:autoSpaceDN w:val="0"/>
              <w:adjustRightInd w:val="0"/>
              <w:rPr>
                <w:color w:val="000000"/>
                <w:sz w:val="20"/>
                <w:szCs w:val="20"/>
              </w:rPr>
            </w:pPr>
            <w:r w:rsidRPr="001B60DC">
              <w:rPr>
                <w:color w:val="000000"/>
                <w:sz w:val="20"/>
                <w:szCs w:val="20"/>
              </w:rPr>
              <w:t>CIT does not Granger Cause TFCR</w:t>
            </w:r>
          </w:p>
          <w:p w14:paraId="67CD8FAE" w14:textId="77777777" w:rsidR="001B60DC" w:rsidRPr="001B60DC" w:rsidRDefault="001B60DC" w:rsidP="001B60DC">
            <w:pPr>
              <w:autoSpaceDE w:val="0"/>
              <w:autoSpaceDN w:val="0"/>
              <w:adjustRightInd w:val="0"/>
              <w:rPr>
                <w:color w:val="000000"/>
                <w:sz w:val="20"/>
                <w:szCs w:val="20"/>
              </w:rPr>
            </w:pPr>
            <w:r w:rsidRPr="001B60DC">
              <w:rPr>
                <w:color w:val="000000"/>
                <w:sz w:val="20"/>
                <w:szCs w:val="20"/>
              </w:rPr>
              <w:t>TFCR does not Granger Cause CIT</w:t>
            </w:r>
          </w:p>
        </w:tc>
        <w:tc>
          <w:tcPr>
            <w:tcW w:w="850" w:type="dxa"/>
            <w:shd w:val="clear" w:color="auto" w:fill="auto"/>
            <w:vAlign w:val="bottom"/>
          </w:tcPr>
          <w:p w14:paraId="540DF780" w14:textId="77777777" w:rsidR="001B60DC" w:rsidRPr="001B60DC" w:rsidRDefault="001B60DC" w:rsidP="001B60DC">
            <w:pPr>
              <w:autoSpaceDE w:val="0"/>
              <w:autoSpaceDN w:val="0"/>
              <w:adjustRightInd w:val="0"/>
              <w:jc w:val="center"/>
              <w:rPr>
                <w:color w:val="000000"/>
                <w:sz w:val="20"/>
                <w:szCs w:val="20"/>
              </w:rPr>
            </w:pPr>
            <w:r w:rsidRPr="001B60DC">
              <w:rPr>
                <w:color w:val="000000"/>
                <w:sz w:val="20"/>
                <w:szCs w:val="20"/>
              </w:rPr>
              <w:t>16</w:t>
            </w:r>
          </w:p>
          <w:p w14:paraId="36DCDBEB" w14:textId="77777777" w:rsidR="001B60DC" w:rsidRPr="001B60DC" w:rsidRDefault="001B60DC" w:rsidP="001B60DC">
            <w:pPr>
              <w:autoSpaceDE w:val="0"/>
              <w:autoSpaceDN w:val="0"/>
              <w:adjustRightInd w:val="0"/>
              <w:jc w:val="center"/>
              <w:rPr>
                <w:color w:val="000000"/>
                <w:sz w:val="20"/>
                <w:szCs w:val="20"/>
              </w:rPr>
            </w:pPr>
          </w:p>
        </w:tc>
        <w:tc>
          <w:tcPr>
            <w:tcW w:w="1276" w:type="dxa"/>
            <w:shd w:val="clear" w:color="auto" w:fill="auto"/>
            <w:vAlign w:val="bottom"/>
          </w:tcPr>
          <w:p w14:paraId="51ED87DC" w14:textId="77777777" w:rsidR="001B60DC" w:rsidRPr="001B60DC" w:rsidRDefault="001B60DC" w:rsidP="001B60DC">
            <w:pPr>
              <w:autoSpaceDE w:val="0"/>
              <w:autoSpaceDN w:val="0"/>
              <w:adjustRightInd w:val="0"/>
              <w:jc w:val="both"/>
              <w:rPr>
                <w:color w:val="000000"/>
                <w:sz w:val="20"/>
                <w:szCs w:val="20"/>
              </w:rPr>
            </w:pPr>
            <w:r w:rsidRPr="001B60DC">
              <w:rPr>
                <w:color w:val="000000"/>
                <w:sz w:val="20"/>
                <w:szCs w:val="20"/>
              </w:rPr>
              <w:t>0.17175</w:t>
            </w:r>
          </w:p>
          <w:p w14:paraId="2081D352" w14:textId="77777777" w:rsidR="001B60DC" w:rsidRPr="001B60DC" w:rsidRDefault="001B60DC" w:rsidP="001B60DC">
            <w:pPr>
              <w:autoSpaceDE w:val="0"/>
              <w:autoSpaceDN w:val="0"/>
              <w:adjustRightInd w:val="0"/>
              <w:jc w:val="both"/>
              <w:rPr>
                <w:color w:val="000000"/>
                <w:sz w:val="20"/>
                <w:szCs w:val="20"/>
              </w:rPr>
            </w:pPr>
            <w:r w:rsidRPr="001B60DC">
              <w:rPr>
                <w:color w:val="000000"/>
                <w:sz w:val="20"/>
                <w:szCs w:val="20"/>
              </w:rPr>
              <w:t>2.19166</w:t>
            </w:r>
          </w:p>
        </w:tc>
        <w:tc>
          <w:tcPr>
            <w:tcW w:w="1134" w:type="dxa"/>
            <w:shd w:val="clear" w:color="auto" w:fill="auto"/>
            <w:vAlign w:val="bottom"/>
          </w:tcPr>
          <w:p w14:paraId="2F94C6CF" w14:textId="77777777" w:rsidR="001B60DC" w:rsidRPr="001B60DC" w:rsidRDefault="001B60DC" w:rsidP="001B60DC">
            <w:pPr>
              <w:autoSpaceDE w:val="0"/>
              <w:autoSpaceDN w:val="0"/>
              <w:adjustRightInd w:val="0"/>
              <w:ind w:right="10"/>
              <w:jc w:val="both"/>
              <w:rPr>
                <w:color w:val="000000"/>
                <w:sz w:val="20"/>
                <w:szCs w:val="20"/>
              </w:rPr>
            </w:pPr>
            <w:r w:rsidRPr="001B60DC">
              <w:rPr>
                <w:color w:val="000000"/>
                <w:sz w:val="20"/>
                <w:szCs w:val="20"/>
              </w:rPr>
              <w:t>0.6895 0.1770</w:t>
            </w:r>
          </w:p>
        </w:tc>
        <w:tc>
          <w:tcPr>
            <w:tcW w:w="1829" w:type="dxa"/>
            <w:shd w:val="clear" w:color="auto" w:fill="auto"/>
            <w:vAlign w:val="bottom"/>
          </w:tcPr>
          <w:p w14:paraId="799BBAC1" w14:textId="77777777" w:rsidR="001B60DC" w:rsidRPr="001B60DC" w:rsidRDefault="001B60DC" w:rsidP="001B60DC">
            <w:pPr>
              <w:autoSpaceDE w:val="0"/>
              <w:autoSpaceDN w:val="0"/>
              <w:adjustRightInd w:val="0"/>
              <w:ind w:right="10"/>
              <w:jc w:val="both"/>
              <w:rPr>
                <w:color w:val="000000"/>
                <w:sz w:val="20"/>
                <w:szCs w:val="20"/>
              </w:rPr>
            </w:pPr>
            <w:r w:rsidRPr="001B60DC">
              <w:rPr>
                <w:color w:val="000000"/>
                <w:sz w:val="20"/>
                <w:szCs w:val="20"/>
              </w:rPr>
              <w:t>No Causality</w:t>
            </w:r>
          </w:p>
          <w:p w14:paraId="665869DC" w14:textId="77777777" w:rsidR="001B60DC" w:rsidRPr="001B60DC" w:rsidRDefault="001B60DC" w:rsidP="001B60DC">
            <w:pPr>
              <w:autoSpaceDE w:val="0"/>
              <w:autoSpaceDN w:val="0"/>
              <w:adjustRightInd w:val="0"/>
              <w:ind w:right="10"/>
              <w:jc w:val="both"/>
              <w:rPr>
                <w:color w:val="000000"/>
                <w:sz w:val="20"/>
                <w:szCs w:val="20"/>
              </w:rPr>
            </w:pPr>
            <w:r w:rsidRPr="001B60DC">
              <w:rPr>
                <w:color w:val="000000"/>
                <w:sz w:val="20"/>
                <w:szCs w:val="20"/>
              </w:rPr>
              <w:t>No Causality</w:t>
            </w:r>
          </w:p>
        </w:tc>
      </w:tr>
      <w:tr w:rsidR="001B60DC" w:rsidRPr="001B60DC" w14:paraId="3430C275" w14:textId="77777777" w:rsidTr="001B60DC">
        <w:trPr>
          <w:trHeight w:val="270"/>
        </w:trPr>
        <w:tc>
          <w:tcPr>
            <w:tcW w:w="3731" w:type="dxa"/>
            <w:tcBorders>
              <w:bottom w:val="single" w:sz="4" w:space="0" w:color="auto"/>
            </w:tcBorders>
            <w:shd w:val="clear" w:color="auto" w:fill="auto"/>
            <w:vAlign w:val="bottom"/>
          </w:tcPr>
          <w:p w14:paraId="40EF5B10" w14:textId="77777777" w:rsidR="001B60DC" w:rsidRPr="001B60DC" w:rsidRDefault="001B60DC" w:rsidP="001B60DC">
            <w:pPr>
              <w:autoSpaceDE w:val="0"/>
              <w:autoSpaceDN w:val="0"/>
              <w:adjustRightInd w:val="0"/>
              <w:rPr>
                <w:color w:val="000000"/>
                <w:sz w:val="20"/>
                <w:szCs w:val="20"/>
              </w:rPr>
            </w:pPr>
            <w:r w:rsidRPr="001B60DC">
              <w:rPr>
                <w:color w:val="000000"/>
                <w:sz w:val="20"/>
                <w:szCs w:val="20"/>
              </w:rPr>
              <w:t>VAT does not Granger Cause TFCR</w:t>
            </w:r>
          </w:p>
          <w:p w14:paraId="3985479C" w14:textId="77777777" w:rsidR="001B60DC" w:rsidRPr="001B60DC" w:rsidRDefault="001B60DC" w:rsidP="001B60DC">
            <w:pPr>
              <w:autoSpaceDE w:val="0"/>
              <w:autoSpaceDN w:val="0"/>
              <w:adjustRightInd w:val="0"/>
              <w:rPr>
                <w:color w:val="000000"/>
                <w:sz w:val="20"/>
                <w:szCs w:val="20"/>
              </w:rPr>
            </w:pPr>
            <w:r w:rsidRPr="001B60DC">
              <w:rPr>
                <w:color w:val="000000"/>
                <w:sz w:val="20"/>
                <w:szCs w:val="20"/>
              </w:rPr>
              <w:t>TFCR does not Granger Cause VAT</w:t>
            </w:r>
          </w:p>
        </w:tc>
        <w:tc>
          <w:tcPr>
            <w:tcW w:w="850" w:type="dxa"/>
            <w:tcBorders>
              <w:bottom w:val="single" w:sz="4" w:space="0" w:color="auto"/>
            </w:tcBorders>
            <w:shd w:val="clear" w:color="auto" w:fill="auto"/>
            <w:vAlign w:val="bottom"/>
          </w:tcPr>
          <w:p w14:paraId="4918FA7F" w14:textId="77777777" w:rsidR="001B60DC" w:rsidRPr="001B60DC" w:rsidRDefault="001B60DC" w:rsidP="001B60DC">
            <w:pPr>
              <w:autoSpaceDE w:val="0"/>
              <w:autoSpaceDN w:val="0"/>
              <w:adjustRightInd w:val="0"/>
              <w:jc w:val="center"/>
              <w:rPr>
                <w:color w:val="000000"/>
                <w:sz w:val="20"/>
                <w:szCs w:val="20"/>
              </w:rPr>
            </w:pPr>
            <w:r w:rsidRPr="001B60DC">
              <w:rPr>
                <w:color w:val="000000"/>
                <w:sz w:val="20"/>
                <w:szCs w:val="20"/>
              </w:rPr>
              <w:t>16</w:t>
            </w:r>
          </w:p>
          <w:p w14:paraId="5E4EB745" w14:textId="77777777" w:rsidR="001B60DC" w:rsidRPr="001B60DC" w:rsidRDefault="001B60DC" w:rsidP="001B60DC">
            <w:pPr>
              <w:autoSpaceDE w:val="0"/>
              <w:autoSpaceDN w:val="0"/>
              <w:adjustRightInd w:val="0"/>
              <w:jc w:val="center"/>
              <w:rPr>
                <w:color w:val="000000"/>
                <w:sz w:val="20"/>
                <w:szCs w:val="20"/>
              </w:rPr>
            </w:pPr>
          </w:p>
        </w:tc>
        <w:tc>
          <w:tcPr>
            <w:tcW w:w="1276" w:type="dxa"/>
            <w:tcBorders>
              <w:bottom w:val="single" w:sz="4" w:space="0" w:color="auto"/>
            </w:tcBorders>
            <w:shd w:val="clear" w:color="auto" w:fill="auto"/>
            <w:vAlign w:val="bottom"/>
          </w:tcPr>
          <w:p w14:paraId="0CD9C9CE" w14:textId="77777777" w:rsidR="001B60DC" w:rsidRPr="001B60DC" w:rsidRDefault="001B60DC" w:rsidP="001B60DC">
            <w:pPr>
              <w:autoSpaceDE w:val="0"/>
              <w:autoSpaceDN w:val="0"/>
              <w:adjustRightInd w:val="0"/>
              <w:jc w:val="both"/>
              <w:rPr>
                <w:color w:val="000000"/>
                <w:sz w:val="20"/>
                <w:szCs w:val="20"/>
              </w:rPr>
            </w:pPr>
            <w:r w:rsidRPr="001B60DC">
              <w:rPr>
                <w:color w:val="000000"/>
                <w:sz w:val="20"/>
                <w:szCs w:val="20"/>
              </w:rPr>
              <w:t>0.13897</w:t>
            </w:r>
          </w:p>
          <w:p w14:paraId="1A1FA15B" w14:textId="77777777" w:rsidR="001B60DC" w:rsidRPr="001B60DC" w:rsidRDefault="001B60DC" w:rsidP="001B60DC">
            <w:pPr>
              <w:autoSpaceDE w:val="0"/>
              <w:autoSpaceDN w:val="0"/>
              <w:adjustRightInd w:val="0"/>
              <w:jc w:val="both"/>
              <w:rPr>
                <w:color w:val="000000"/>
                <w:sz w:val="20"/>
                <w:szCs w:val="20"/>
              </w:rPr>
            </w:pPr>
            <w:r w:rsidRPr="001B60DC">
              <w:rPr>
                <w:color w:val="000000"/>
                <w:sz w:val="20"/>
                <w:szCs w:val="20"/>
              </w:rPr>
              <w:t>4.05600</w:t>
            </w:r>
          </w:p>
        </w:tc>
        <w:tc>
          <w:tcPr>
            <w:tcW w:w="1134" w:type="dxa"/>
            <w:tcBorders>
              <w:bottom w:val="single" w:sz="4" w:space="0" w:color="auto"/>
            </w:tcBorders>
            <w:shd w:val="clear" w:color="auto" w:fill="auto"/>
            <w:vAlign w:val="bottom"/>
          </w:tcPr>
          <w:p w14:paraId="4A7DD868" w14:textId="77777777" w:rsidR="001B60DC" w:rsidRPr="001B60DC" w:rsidRDefault="001B60DC" w:rsidP="001B60DC">
            <w:pPr>
              <w:autoSpaceDE w:val="0"/>
              <w:autoSpaceDN w:val="0"/>
              <w:adjustRightInd w:val="0"/>
              <w:ind w:right="10"/>
              <w:jc w:val="both"/>
              <w:rPr>
                <w:color w:val="000000"/>
                <w:sz w:val="20"/>
                <w:szCs w:val="20"/>
              </w:rPr>
            </w:pPr>
            <w:r w:rsidRPr="001B60DC">
              <w:rPr>
                <w:color w:val="000000"/>
                <w:sz w:val="20"/>
                <w:szCs w:val="20"/>
              </w:rPr>
              <w:t>0.7190 0.0788</w:t>
            </w:r>
          </w:p>
        </w:tc>
        <w:tc>
          <w:tcPr>
            <w:tcW w:w="1829" w:type="dxa"/>
            <w:tcBorders>
              <w:bottom w:val="single" w:sz="4" w:space="0" w:color="auto"/>
            </w:tcBorders>
            <w:shd w:val="clear" w:color="auto" w:fill="auto"/>
            <w:vAlign w:val="bottom"/>
          </w:tcPr>
          <w:p w14:paraId="58E3D809" w14:textId="77777777" w:rsidR="001B60DC" w:rsidRPr="001B60DC" w:rsidRDefault="001B60DC" w:rsidP="001B60DC">
            <w:pPr>
              <w:autoSpaceDE w:val="0"/>
              <w:autoSpaceDN w:val="0"/>
              <w:adjustRightInd w:val="0"/>
              <w:ind w:right="10"/>
              <w:jc w:val="both"/>
              <w:rPr>
                <w:color w:val="000000"/>
                <w:sz w:val="20"/>
                <w:szCs w:val="20"/>
              </w:rPr>
            </w:pPr>
            <w:r w:rsidRPr="001B60DC">
              <w:rPr>
                <w:color w:val="000000"/>
                <w:sz w:val="20"/>
                <w:szCs w:val="20"/>
              </w:rPr>
              <w:t>No Causality</w:t>
            </w:r>
          </w:p>
          <w:p w14:paraId="37E3AB56" w14:textId="77777777" w:rsidR="001B60DC" w:rsidRPr="001B60DC" w:rsidRDefault="001B60DC" w:rsidP="001B60DC">
            <w:pPr>
              <w:autoSpaceDE w:val="0"/>
              <w:autoSpaceDN w:val="0"/>
              <w:adjustRightInd w:val="0"/>
              <w:ind w:right="10"/>
              <w:jc w:val="both"/>
              <w:rPr>
                <w:color w:val="000000"/>
                <w:sz w:val="20"/>
                <w:szCs w:val="20"/>
              </w:rPr>
            </w:pPr>
            <w:r w:rsidRPr="001B60DC">
              <w:rPr>
                <w:color w:val="000000"/>
                <w:sz w:val="20"/>
                <w:szCs w:val="20"/>
              </w:rPr>
              <w:t>No Causality</w:t>
            </w:r>
          </w:p>
        </w:tc>
      </w:tr>
    </w:tbl>
    <w:p w14:paraId="4DA0CF88" w14:textId="77777777" w:rsidR="0062084B" w:rsidRPr="001B60DC" w:rsidRDefault="0062084B" w:rsidP="001B60DC">
      <w:pPr>
        <w:ind w:left="720"/>
        <w:jc w:val="center"/>
        <w:rPr>
          <w:i/>
          <w:sz w:val="20"/>
          <w:szCs w:val="20"/>
        </w:rPr>
      </w:pPr>
      <w:r w:rsidRPr="001B60DC">
        <w:rPr>
          <w:i/>
          <w:sz w:val="20"/>
          <w:szCs w:val="20"/>
        </w:rPr>
        <w:t>So</w:t>
      </w:r>
      <w:r w:rsidR="001B60DC" w:rsidRPr="001B60DC">
        <w:rPr>
          <w:i/>
          <w:sz w:val="20"/>
          <w:szCs w:val="20"/>
        </w:rPr>
        <w:t>urce: Data output via E-views 12</w:t>
      </w:r>
      <w:r w:rsidRPr="001B60DC">
        <w:rPr>
          <w:i/>
          <w:sz w:val="20"/>
          <w:szCs w:val="20"/>
        </w:rPr>
        <w:t>.0</w:t>
      </w:r>
    </w:p>
    <w:p w14:paraId="2D4663C2" w14:textId="77777777" w:rsidR="0062084B" w:rsidRDefault="0062084B" w:rsidP="0062084B">
      <w:pPr>
        <w:spacing w:line="276" w:lineRule="auto"/>
        <w:jc w:val="both"/>
        <w:rPr>
          <w:b/>
        </w:rPr>
      </w:pPr>
    </w:p>
    <w:p w14:paraId="006DCAAB" w14:textId="77777777" w:rsidR="0062084B" w:rsidRPr="0095285B" w:rsidRDefault="0062084B" w:rsidP="001B60DC">
      <w:pPr>
        <w:ind w:firstLine="720"/>
        <w:jc w:val="both"/>
        <w:rPr>
          <w:b/>
        </w:rPr>
      </w:pPr>
      <w:r w:rsidRPr="0095285B">
        <w:rPr>
          <w:b/>
        </w:rPr>
        <w:t>Test Hypotheses</w:t>
      </w:r>
    </w:p>
    <w:p w14:paraId="0F04B6A6" w14:textId="77777777" w:rsidR="0062084B" w:rsidRDefault="0062084B" w:rsidP="001B60DC">
      <w:pPr>
        <w:ind w:left="720"/>
        <w:jc w:val="both"/>
      </w:pPr>
      <w:r w:rsidRPr="0095285B">
        <w:rPr>
          <w:b/>
        </w:rPr>
        <w:t xml:space="preserve">Decision Rule: </w:t>
      </w:r>
      <w:r w:rsidRPr="0095285B">
        <w:t xml:space="preserve">If the p-value of f-statistic in granger causality test is less than 0.05, the null hypothesis is rejected. On the other hand, the null hypothesis is accepted if the p-value of f-statistic in granger causality test is above 0.05. </w:t>
      </w:r>
    </w:p>
    <w:p w14:paraId="42DFBE72" w14:textId="77777777" w:rsidR="00821FD0" w:rsidRPr="0095285B" w:rsidRDefault="00821FD0" w:rsidP="001B60DC">
      <w:pPr>
        <w:ind w:left="720"/>
        <w:jc w:val="both"/>
      </w:pPr>
    </w:p>
    <w:p w14:paraId="1C99ECFA" w14:textId="77777777" w:rsidR="0062084B" w:rsidRPr="0095285B" w:rsidRDefault="0062084B" w:rsidP="001B60DC">
      <w:pPr>
        <w:autoSpaceDE w:val="0"/>
        <w:autoSpaceDN w:val="0"/>
        <w:adjustRightInd w:val="0"/>
        <w:ind w:firstLine="720"/>
        <w:jc w:val="both"/>
        <w:rPr>
          <w:b/>
        </w:rPr>
      </w:pPr>
      <w:r w:rsidRPr="0095285B">
        <w:rPr>
          <w:b/>
        </w:rPr>
        <w:t>Restatement of Hypotheses</w:t>
      </w:r>
    </w:p>
    <w:p w14:paraId="5824EE9D" w14:textId="77777777" w:rsidR="001B60DC" w:rsidRPr="0095285B" w:rsidRDefault="001B60DC" w:rsidP="001B60DC">
      <w:pPr>
        <w:autoSpaceDE w:val="0"/>
        <w:autoSpaceDN w:val="0"/>
        <w:adjustRightInd w:val="0"/>
        <w:ind w:firstLine="720"/>
        <w:jc w:val="both"/>
        <w:rPr>
          <w:b/>
        </w:rPr>
      </w:pPr>
      <w:r>
        <w:rPr>
          <w:b/>
        </w:rPr>
        <w:t>Hypothesis One</w:t>
      </w:r>
    </w:p>
    <w:p w14:paraId="1BE2D4EE" w14:textId="77777777" w:rsidR="001B60DC" w:rsidRPr="0095285B" w:rsidRDefault="001B60DC" w:rsidP="001B60DC">
      <w:pPr>
        <w:pStyle w:val="ListParagraph"/>
        <w:spacing w:after="0" w:line="240" w:lineRule="auto"/>
        <w:jc w:val="both"/>
        <w:rPr>
          <w:rFonts w:ascii="Times New Roman" w:hAnsi="Times New Roman"/>
          <w:sz w:val="24"/>
          <w:szCs w:val="24"/>
        </w:rPr>
      </w:pPr>
      <w:r w:rsidRPr="0095285B">
        <w:rPr>
          <w:rFonts w:ascii="Times New Roman" w:hAnsi="Times New Roman"/>
          <w:sz w:val="24"/>
          <w:szCs w:val="24"/>
        </w:rPr>
        <w:lastRenderedPageBreak/>
        <w:t>H</w:t>
      </w:r>
      <w:r w:rsidRPr="0095285B">
        <w:rPr>
          <w:rFonts w:ascii="Times New Roman" w:hAnsi="Times New Roman"/>
          <w:sz w:val="24"/>
          <w:szCs w:val="24"/>
          <w:vertAlign w:val="subscript"/>
        </w:rPr>
        <w:t>0</w:t>
      </w:r>
      <w:r w:rsidRPr="0095285B">
        <w:rPr>
          <w:rFonts w:ascii="Times New Roman" w:hAnsi="Times New Roman"/>
          <w:sz w:val="24"/>
          <w:szCs w:val="24"/>
        </w:rPr>
        <w:t xml:space="preserve">: </w:t>
      </w:r>
      <w:r>
        <w:rPr>
          <w:rFonts w:ascii="Times New Roman" w:hAnsi="Times New Roman"/>
          <w:sz w:val="24"/>
          <w:szCs w:val="24"/>
        </w:rPr>
        <w:t xml:space="preserve">Total federally collected revenue in Nigeria is not </w:t>
      </w:r>
      <w:r w:rsidRPr="0095285B">
        <w:rPr>
          <w:rFonts w:ascii="Times New Roman" w:hAnsi="Times New Roman"/>
          <w:sz w:val="24"/>
          <w:szCs w:val="24"/>
        </w:rPr>
        <w:t>significant</w:t>
      </w:r>
      <w:r>
        <w:rPr>
          <w:rFonts w:ascii="Times New Roman" w:hAnsi="Times New Roman"/>
          <w:sz w:val="24"/>
          <w:szCs w:val="24"/>
        </w:rPr>
        <w:t>ly a</w:t>
      </w:r>
      <w:r w:rsidRPr="0095285B">
        <w:rPr>
          <w:rFonts w:ascii="Times New Roman" w:hAnsi="Times New Roman"/>
          <w:sz w:val="24"/>
          <w:szCs w:val="24"/>
        </w:rPr>
        <w:t>ffect</w:t>
      </w:r>
      <w:r>
        <w:rPr>
          <w:rFonts w:ascii="Times New Roman" w:hAnsi="Times New Roman"/>
          <w:sz w:val="24"/>
          <w:szCs w:val="24"/>
        </w:rPr>
        <w:t>ed</w:t>
      </w:r>
      <w:r w:rsidR="00381E31">
        <w:rPr>
          <w:rFonts w:ascii="Times New Roman" w:hAnsi="Times New Roman"/>
          <w:sz w:val="24"/>
          <w:szCs w:val="24"/>
        </w:rPr>
        <w:t xml:space="preserve"> </w:t>
      </w:r>
      <w:r>
        <w:rPr>
          <w:rFonts w:ascii="Times New Roman" w:hAnsi="Times New Roman"/>
          <w:sz w:val="24"/>
          <w:szCs w:val="24"/>
        </w:rPr>
        <w:t>by petroleum profit tax.</w:t>
      </w:r>
    </w:p>
    <w:p w14:paraId="680F6468" w14:textId="77777777" w:rsidR="001B60DC" w:rsidRPr="0095285B" w:rsidRDefault="001B60DC" w:rsidP="001B60DC">
      <w:pPr>
        <w:pStyle w:val="ListParagraph"/>
        <w:spacing w:after="0" w:line="240" w:lineRule="auto"/>
        <w:jc w:val="both"/>
        <w:rPr>
          <w:rFonts w:ascii="Times New Roman" w:hAnsi="Times New Roman"/>
          <w:sz w:val="24"/>
          <w:szCs w:val="24"/>
        </w:rPr>
      </w:pPr>
      <w:r w:rsidRPr="0095285B">
        <w:rPr>
          <w:rFonts w:ascii="Times New Roman" w:hAnsi="Times New Roman"/>
          <w:sz w:val="24"/>
          <w:szCs w:val="24"/>
        </w:rPr>
        <w:t>H</w:t>
      </w:r>
      <w:r w:rsidRPr="0095285B">
        <w:rPr>
          <w:rFonts w:ascii="Times New Roman" w:hAnsi="Times New Roman"/>
          <w:sz w:val="24"/>
          <w:szCs w:val="24"/>
          <w:vertAlign w:val="subscript"/>
        </w:rPr>
        <w:t>1</w:t>
      </w:r>
      <w:r w:rsidRPr="0095285B">
        <w:rPr>
          <w:rFonts w:ascii="Times New Roman" w:hAnsi="Times New Roman"/>
          <w:sz w:val="24"/>
          <w:szCs w:val="24"/>
        </w:rPr>
        <w:t xml:space="preserve">: </w:t>
      </w:r>
      <w:r>
        <w:rPr>
          <w:rFonts w:ascii="Times New Roman" w:hAnsi="Times New Roman"/>
          <w:sz w:val="24"/>
          <w:szCs w:val="24"/>
        </w:rPr>
        <w:t xml:space="preserve">Total federally collected revenue in Nigeria is </w:t>
      </w:r>
      <w:r w:rsidRPr="0095285B">
        <w:rPr>
          <w:rFonts w:ascii="Times New Roman" w:hAnsi="Times New Roman"/>
          <w:sz w:val="24"/>
          <w:szCs w:val="24"/>
        </w:rPr>
        <w:t>significant</w:t>
      </w:r>
      <w:r>
        <w:rPr>
          <w:rFonts w:ascii="Times New Roman" w:hAnsi="Times New Roman"/>
          <w:sz w:val="24"/>
          <w:szCs w:val="24"/>
        </w:rPr>
        <w:t>ly a</w:t>
      </w:r>
      <w:r w:rsidRPr="0095285B">
        <w:rPr>
          <w:rFonts w:ascii="Times New Roman" w:hAnsi="Times New Roman"/>
          <w:sz w:val="24"/>
          <w:szCs w:val="24"/>
        </w:rPr>
        <w:t>ffect</w:t>
      </w:r>
      <w:r>
        <w:rPr>
          <w:rFonts w:ascii="Times New Roman" w:hAnsi="Times New Roman"/>
          <w:sz w:val="24"/>
          <w:szCs w:val="24"/>
        </w:rPr>
        <w:t>ed</w:t>
      </w:r>
      <w:r w:rsidR="00381E31">
        <w:rPr>
          <w:rFonts w:ascii="Times New Roman" w:hAnsi="Times New Roman"/>
          <w:sz w:val="24"/>
          <w:szCs w:val="24"/>
        </w:rPr>
        <w:t xml:space="preserve"> </w:t>
      </w:r>
      <w:r>
        <w:rPr>
          <w:rFonts w:ascii="Times New Roman" w:hAnsi="Times New Roman"/>
          <w:sz w:val="24"/>
          <w:szCs w:val="24"/>
        </w:rPr>
        <w:t>by petroleum profit tax.</w:t>
      </w:r>
    </w:p>
    <w:p w14:paraId="318BE198" w14:textId="294FB189" w:rsidR="001B60DC" w:rsidRPr="00B953E2" w:rsidRDefault="001B60DC" w:rsidP="001B60DC">
      <w:pPr>
        <w:autoSpaceDE w:val="0"/>
        <w:autoSpaceDN w:val="0"/>
        <w:adjustRightInd w:val="0"/>
        <w:ind w:left="1080"/>
        <w:jc w:val="center"/>
        <w:rPr>
          <w:color w:val="000000"/>
          <w:sz w:val="20"/>
          <w:szCs w:val="20"/>
        </w:rPr>
      </w:pPr>
      <w:r>
        <w:rPr>
          <w:b/>
          <w:sz w:val="20"/>
          <w:szCs w:val="20"/>
        </w:rPr>
        <w:t>Table 11</w:t>
      </w:r>
      <w:r w:rsidRPr="00B953E2">
        <w:rPr>
          <w:b/>
          <w:sz w:val="20"/>
          <w:szCs w:val="20"/>
        </w:rPr>
        <w:t xml:space="preserve">: </w:t>
      </w:r>
      <w:r>
        <w:rPr>
          <w:b/>
          <w:sz w:val="20"/>
          <w:szCs w:val="20"/>
        </w:rPr>
        <w:t>Hypothesis One</w:t>
      </w:r>
    </w:p>
    <w:tbl>
      <w:tblPr>
        <w:tblW w:w="9214" w:type="dxa"/>
        <w:tblInd w:w="392" w:type="dxa"/>
        <w:tblLook w:val="04A0" w:firstRow="1" w:lastRow="0" w:firstColumn="1" w:lastColumn="0" w:noHBand="0" w:noVBand="1"/>
      </w:tblPr>
      <w:tblGrid>
        <w:gridCol w:w="1334"/>
        <w:gridCol w:w="3599"/>
        <w:gridCol w:w="1177"/>
        <w:gridCol w:w="990"/>
        <w:gridCol w:w="2114"/>
      </w:tblGrid>
      <w:tr w:rsidR="001B60DC" w:rsidRPr="00B953E2" w14:paraId="3771908E" w14:textId="77777777" w:rsidTr="00094B17">
        <w:tc>
          <w:tcPr>
            <w:tcW w:w="1334" w:type="dxa"/>
            <w:tcBorders>
              <w:top w:val="single" w:sz="4" w:space="0" w:color="auto"/>
              <w:bottom w:val="single" w:sz="4" w:space="0" w:color="auto"/>
            </w:tcBorders>
            <w:shd w:val="clear" w:color="auto" w:fill="auto"/>
          </w:tcPr>
          <w:p w14:paraId="5E5A48B4" w14:textId="77777777" w:rsidR="001B60DC" w:rsidRPr="00B953E2" w:rsidRDefault="001B60DC" w:rsidP="00094B17">
            <w:pPr>
              <w:rPr>
                <w:b/>
                <w:sz w:val="20"/>
                <w:szCs w:val="20"/>
              </w:rPr>
            </w:pPr>
            <w:r>
              <w:rPr>
                <w:b/>
                <w:color w:val="000000"/>
                <w:sz w:val="20"/>
                <w:szCs w:val="20"/>
              </w:rPr>
              <w:t>Hypothesi</w:t>
            </w:r>
            <w:r w:rsidRPr="00B953E2">
              <w:rPr>
                <w:b/>
                <w:color w:val="000000"/>
                <w:sz w:val="20"/>
                <w:szCs w:val="20"/>
              </w:rPr>
              <w:t>s</w:t>
            </w:r>
          </w:p>
        </w:tc>
        <w:tc>
          <w:tcPr>
            <w:tcW w:w="3599" w:type="dxa"/>
            <w:tcBorders>
              <w:top w:val="single" w:sz="4" w:space="0" w:color="auto"/>
              <w:bottom w:val="single" w:sz="4" w:space="0" w:color="auto"/>
            </w:tcBorders>
            <w:shd w:val="clear" w:color="auto" w:fill="auto"/>
          </w:tcPr>
          <w:p w14:paraId="48A3FBFB" w14:textId="77777777" w:rsidR="001B60DC" w:rsidRPr="00B953E2" w:rsidRDefault="001B60DC" w:rsidP="00094B17">
            <w:pPr>
              <w:rPr>
                <w:b/>
                <w:sz w:val="20"/>
                <w:szCs w:val="20"/>
              </w:rPr>
            </w:pPr>
            <w:r w:rsidRPr="00B953E2">
              <w:rPr>
                <w:b/>
                <w:color w:val="000000"/>
                <w:sz w:val="20"/>
                <w:szCs w:val="20"/>
              </w:rPr>
              <w:t xml:space="preserve">Independent Variable </w:t>
            </w:r>
          </w:p>
        </w:tc>
        <w:tc>
          <w:tcPr>
            <w:tcW w:w="1177" w:type="dxa"/>
            <w:tcBorders>
              <w:top w:val="single" w:sz="4" w:space="0" w:color="auto"/>
              <w:bottom w:val="single" w:sz="4" w:space="0" w:color="auto"/>
            </w:tcBorders>
            <w:shd w:val="clear" w:color="auto" w:fill="auto"/>
          </w:tcPr>
          <w:p w14:paraId="560696D0" w14:textId="77777777" w:rsidR="001B60DC" w:rsidRPr="00B953E2" w:rsidRDefault="001B60DC" w:rsidP="00094B17">
            <w:pPr>
              <w:ind w:left="28"/>
              <w:rPr>
                <w:b/>
                <w:sz w:val="20"/>
                <w:szCs w:val="20"/>
              </w:rPr>
            </w:pPr>
            <w:r>
              <w:rPr>
                <w:b/>
                <w:color w:val="000000"/>
                <w:sz w:val="20"/>
                <w:szCs w:val="20"/>
              </w:rPr>
              <w:t>Coefficient</w:t>
            </w:r>
          </w:p>
        </w:tc>
        <w:tc>
          <w:tcPr>
            <w:tcW w:w="990" w:type="dxa"/>
            <w:tcBorders>
              <w:top w:val="single" w:sz="4" w:space="0" w:color="auto"/>
              <w:bottom w:val="single" w:sz="4" w:space="0" w:color="auto"/>
            </w:tcBorders>
            <w:shd w:val="clear" w:color="auto" w:fill="auto"/>
          </w:tcPr>
          <w:p w14:paraId="55D4801B" w14:textId="77777777" w:rsidR="001B60DC" w:rsidRPr="00B953E2" w:rsidRDefault="001B60DC" w:rsidP="00094B17">
            <w:pPr>
              <w:rPr>
                <w:b/>
                <w:sz w:val="20"/>
                <w:szCs w:val="20"/>
              </w:rPr>
            </w:pPr>
            <w:r w:rsidRPr="00B953E2">
              <w:rPr>
                <w:b/>
                <w:sz w:val="20"/>
                <w:szCs w:val="20"/>
              </w:rPr>
              <w:t>P-Value</w:t>
            </w:r>
          </w:p>
        </w:tc>
        <w:tc>
          <w:tcPr>
            <w:tcW w:w="2114" w:type="dxa"/>
            <w:tcBorders>
              <w:top w:val="single" w:sz="4" w:space="0" w:color="auto"/>
              <w:bottom w:val="single" w:sz="4" w:space="0" w:color="auto"/>
            </w:tcBorders>
            <w:shd w:val="clear" w:color="auto" w:fill="auto"/>
          </w:tcPr>
          <w:p w14:paraId="54435DC7" w14:textId="77777777" w:rsidR="001B60DC" w:rsidRPr="00B953E2" w:rsidRDefault="001B60DC" w:rsidP="00094B17">
            <w:pPr>
              <w:rPr>
                <w:b/>
                <w:sz w:val="20"/>
                <w:szCs w:val="20"/>
              </w:rPr>
            </w:pPr>
            <w:r w:rsidRPr="00B953E2">
              <w:rPr>
                <w:b/>
                <w:color w:val="000000"/>
                <w:sz w:val="20"/>
                <w:szCs w:val="20"/>
              </w:rPr>
              <w:t>Decision</w:t>
            </w:r>
          </w:p>
        </w:tc>
      </w:tr>
      <w:tr w:rsidR="001B60DC" w:rsidRPr="00B953E2" w14:paraId="2F67D119" w14:textId="77777777" w:rsidTr="00094B17">
        <w:trPr>
          <w:trHeight w:val="70"/>
        </w:trPr>
        <w:tc>
          <w:tcPr>
            <w:tcW w:w="1334" w:type="dxa"/>
            <w:tcBorders>
              <w:bottom w:val="single" w:sz="4" w:space="0" w:color="auto"/>
            </w:tcBorders>
            <w:shd w:val="clear" w:color="auto" w:fill="auto"/>
            <w:vAlign w:val="bottom"/>
          </w:tcPr>
          <w:p w14:paraId="1AC37BB1" w14:textId="77777777" w:rsidR="001B60DC" w:rsidRPr="00B953E2" w:rsidRDefault="001B60DC" w:rsidP="00094B17">
            <w:pPr>
              <w:autoSpaceDE w:val="0"/>
              <w:autoSpaceDN w:val="0"/>
              <w:adjustRightInd w:val="0"/>
              <w:jc w:val="both"/>
              <w:rPr>
                <w:color w:val="000000"/>
                <w:sz w:val="20"/>
                <w:szCs w:val="20"/>
              </w:rPr>
            </w:pPr>
            <w:r>
              <w:rPr>
                <w:color w:val="000000"/>
                <w:sz w:val="20"/>
                <w:szCs w:val="20"/>
              </w:rPr>
              <w:t>Hypothesis 1</w:t>
            </w:r>
          </w:p>
        </w:tc>
        <w:tc>
          <w:tcPr>
            <w:tcW w:w="3599" w:type="dxa"/>
            <w:tcBorders>
              <w:bottom w:val="single" w:sz="4" w:space="0" w:color="auto"/>
            </w:tcBorders>
            <w:shd w:val="clear" w:color="auto" w:fill="auto"/>
            <w:vAlign w:val="bottom"/>
          </w:tcPr>
          <w:p w14:paraId="586D028D" w14:textId="77777777" w:rsidR="001B60DC" w:rsidRPr="00B953E2" w:rsidRDefault="001B60DC" w:rsidP="00094B17">
            <w:pPr>
              <w:autoSpaceDE w:val="0"/>
              <w:autoSpaceDN w:val="0"/>
              <w:adjustRightInd w:val="0"/>
              <w:jc w:val="both"/>
              <w:rPr>
                <w:color w:val="000000"/>
                <w:sz w:val="20"/>
                <w:szCs w:val="20"/>
              </w:rPr>
            </w:pPr>
            <w:r>
              <w:rPr>
                <w:color w:val="000000"/>
                <w:sz w:val="20"/>
                <w:szCs w:val="20"/>
              </w:rPr>
              <w:t>Petroleum Profit Tax (PPT)</w:t>
            </w:r>
          </w:p>
        </w:tc>
        <w:tc>
          <w:tcPr>
            <w:tcW w:w="1177" w:type="dxa"/>
            <w:tcBorders>
              <w:bottom w:val="single" w:sz="4" w:space="0" w:color="auto"/>
            </w:tcBorders>
            <w:shd w:val="clear" w:color="auto" w:fill="auto"/>
            <w:vAlign w:val="bottom"/>
          </w:tcPr>
          <w:p w14:paraId="6907BF79" w14:textId="77777777" w:rsidR="001B60DC" w:rsidRPr="00B953E2" w:rsidRDefault="001B60DC" w:rsidP="00094B17">
            <w:pPr>
              <w:autoSpaceDE w:val="0"/>
              <w:autoSpaceDN w:val="0"/>
              <w:adjustRightInd w:val="0"/>
              <w:ind w:right="10"/>
              <w:jc w:val="both"/>
              <w:rPr>
                <w:color w:val="000000"/>
                <w:sz w:val="20"/>
                <w:szCs w:val="20"/>
              </w:rPr>
            </w:pPr>
            <w:r>
              <w:rPr>
                <w:color w:val="000000"/>
                <w:sz w:val="20"/>
                <w:szCs w:val="20"/>
              </w:rPr>
              <w:t>2.577118</w:t>
            </w:r>
          </w:p>
        </w:tc>
        <w:tc>
          <w:tcPr>
            <w:tcW w:w="990" w:type="dxa"/>
            <w:tcBorders>
              <w:bottom w:val="single" w:sz="4" w:space="0" w:color="auto"/>
            </w:tcBorders>
            <w:shd w:val="clear" w:color="auto" w:fill="auto"/>
            <w:vAlign w:val="bottom"/>
          </w:tcPr>
          <w:p w14:paraId="69498681" w14:textId="77777777" w:rsidR="001B60DC" w:rsidRPr="00B953E2" w:rsidRDefault="001B60DC" w:rsidP="00094B17">
            <w:pPr>
              <w:autoSpaceDE w:val="0"/>
              <w:autoSpaceDN w:val="0"/>
              <w:adjustRightInd w:val="0"/>
              <w:ind w:right="10"/>
              <w:jc w:val="both"/>
              <w:rPr>
                <w:color w:val="000000"/>
                <w:sz w:val="20"/>
                <w:szCs w:val="20"/>
              </w:rPr>
            </w:pPr>
            <w:r>
              <w:rPr>
                <w:color w:val="000000"/>
                <w:sz w:val="20"/>
                <w:szCs w:val="20"/>
              </w:rPr>
              <w:t>0.0024</w:t>
            </w:r>
          </w:p>
        </w:tc>
        <w:tc>
          <w:tcPr>
            <w:tcW w:w="2114" w:type="dxa"/>
            <w:tcBorders>
              <w:bottom w:val="single" w:sz="4" w:space="0" w:color="auto"/>
            </w:tcBorders>
            <w:shd w:val="clear" w:color="auto" w:fill="auto"/>
            <w:vAlign w:val="bottom"/>
          </w:tcPr>
          <w:p w14:paraId="44BA053D" w14:textId="77777777" w:rsidR="001B60DC" w:rsidRPr="00B953E2" w:rsidRDefault="001B60DC" w:rsidP="00094B17">
            <w:pPr>
              <w:autoSpaceDE w:val="0"/>
              <w:autoSpaceDN w:val="0"/>
              <w:adjustRightInd w:val="0"/>
              <w:ind w:right="10"/>
              <w:jc w:val="both"/>
              <w:rPr>
                <w:color w:val="000000"/>
                <w:sz w:val="20"/>
                <w:szCs w:val="20"/>
              </w:rPr>
            </w:pPr>
            <w:r w:rsidRPr="00B953E2">
              <w:rPr>
                <w:sz w:val="20"/>
                <w:szCs w:val="20"/>
              </w:rPr>
              <w:t>RejectH</w:t>
            </w:r>
            <w:r w:rsidRPr="00B953E2">
              <w:rPr>
                <w:sz w:val="20"/>
                <w:szCs w:val="20"/>
                <w:vertAlign w:val="subscript"/>
              </w:rPr>
              <w:t>0</w:t>
            </w:r>
            <w:r w:rsidRPr="00B953E2">
              <w:rPr>
                <w:sz w:val="20"/>
                <w:szCs w:val="20"/>
              </w:rPr>
              <w:t>&amp;</w:t>
            </w:r>
            <w:r w:rsidRPr="00B953E2">
              <w:rPr>
                <w:color w:val="000000"/>
                <w:sz w:val="20"/>
                <w:szCs w:val="20"/>
              </w:rPr>
              <w:t xml:space="preserve">Accept </w:t>
            </w:r>
            <w:r w:rsidRPr="00B953E2">
              <w:rPr>
                <w:sz w:val="20"/>
                <w:szCs w:val="20"/>
              </w:rPr>
              <w:t>H</w:t>
            </w:r>
            <w:r>
              <w:rPr>
                <w:sz w:val="20"/>
                <w:szCs w:val="20"/>
                <w:vertAlign w:val="subscript"/>
              </w:rPr>
              <w:t>1</w:t>
            </w:r>
          </w:p>
        </w:tc>
      </w:tr>
    </w:tbl>
    <w:p w14:paraId="3CCD810D" w14:textId="77777777" w:rsidR="001B60DC" w:rsidRDefault="001B60DC" w:rsidP="001B60DC">
      <w:pPr>
        <w:jc w:val="center"/>
        <w:rPr>
          <w:i/>
          <w:sz w:val="20"/>
          <w:szCs w:val="20"/>
        </w:rPr>
      </w:pPr>
      <w:r w:rsidRPr="00B953E2">
        <w:rPr>
          <w:i/>
          <w:sz w:val="20"/>
          <w:szCs w:val="20"/>
        </w:rPr>
        <w:t xml:space="preserve">Source: </w:t>
      </w:r>
      <w:r>
        <w:rPr>
          <w:i/>
          <w:sz w:val="20"/>
          <w:szCs w:val="20"/>
        </w:rPr>
        <w:t>Panel OLS</w:t>
      </w:r>
      <w:r w:rsidRPr="00B953E2">
        <w:rPr>
          <w:i/>
          <w:sz w:val="20"/>
          <w:szCs w:val="20"/>
        </w:rPr>
        <w:t xml:space="preserve"> Output from Table </w:t>
      </w:r>
      <w:r>
        <w:rPr>
          <w:i/>
          <w:sz w:val="20"/>
          <w:szCs w:val="20"/>
        </w:rPr>
        <w:t>4.10</w:t>
      </w:r>
    </w:p>
    <w:p w14:paraId="32DCA8D0" w14:textId="77777777" w:rsidR="001B60DC" w:rsidRDefault="001B60DC" w:rsidP="001B60DC">
      <w:pPr>
        <w:jc w:val="center"/>
        <w:rPr>
          <w:b/>
        </w:rPr>
      </w:pPr>
    </w:p>
    <w:p w14:paraId="56450C47" w14:textId="3AADB91A" w:rsidR="001B60DC" w:rsidRDefault="001B60DC" w:rsidP="00821FD0">
      <w:pPr>
        <w:pStyle w:val="ListParagraph"/>
        <w:spacing w:line="240" w:lineRule="auto"/>
        <w:ind w:firstLine="720"/>
        <w:jc w:val="both"/>
        <w:rPr>
          <w:rFonts w:ascii="Times New Roman" w:hAnsi="Times New Roman"/>
          <w:sz w:val="24"/>
          <w:szCs w:val="24"/>
        </w:rPr>
      </w:pPr>
      <w:r w:rsidRPr="00FA2AFF">
        <w:rPr>
          <w:rFonts w:ascii="Times New Roman" w:hAnsi="Times New Roman"/>
          <w:sz w:val="24"/>
          <w:szCs w:val="24"/>
        </w:rPr>
        <w:t xml:space="preserve">From </w:t>
      </w:r>
      <w:r w:rsidR="00821FD0">
        <w:rPr>
          <w:rFonts w:ascii="Times New Roman" w:hAnsi="Times New Roman"/>
          <w:sz w:val="24"/>
          <w:szCs w:val="24"/>
        </w:rPr>
        <w:t>the output in Table 11</w:t>
      </w:r>
      <w:r w:rsidRPr="00FA2AFF">
        <w:rPr>
          <w:rFonts w:ascii="Times New Roman" w:hAnsi="Times New Roman"/>
          <w:sz w:val="24"/>
          <w:szCs w:val="24"/>
        </w:rPr>
        <w:t xml:space="preserve">, it is vivid that </w:t>
      </w:r>
      <w:r>
        <w:rPr>
          <w:rFonts w:ascii="Times New Roman" w:hAnsi="Times New Roman"/>
          <w:sz w:val="24"/>
          <w:szCs w:val="24"/>
        </w:rPr>
        <w:t xml:space="preserve">total federally collected revenue in Nigeria is </w:t>
      </w:r>
      <w:r w:rsidRPr="0095285B">
        <w:rPr>
          <w:rFonts w:ascii="Times New Roman" w:hAnsi="Times New Roman"/>
          <w:sz w:val="24"/>
          <w:szCs w:val="24"/>
        </w:rPr>
        <w:t>significant</w:t>
      </w:r>
      <w:r>
        <w:rPr>
          <w:rFonts w:ascii="Times New Roman" w:hAnsi="Times New Roman"/>
          <w:sz w:val="24"/>
          <w:szCs w:val="24"/>
        </w:rPr>
        <w:t>ly a</w:t>
      </w:r>
      <w:r w:rsidRPr="0095285B">
        <w:rPr>
          <w:rFonts w:ascii="Times New Roman" w:hAnsi="Times New Roman"/>
          <w:sz w:val="24"/>
          <w:szCs w:val="24"/>
        </w:rPr>
        <w:t>ffect</w:t>
      </w:r>
      <w:r>
        <w:rPr>
          <w:rFonts w:ascii="Times New Roman" w:hAnsi="Times New Roman"/>
          <w:sz w:val="24"/>
          <w:szCs w:val="24"/>
        </w:rPr>
        <w:t>ed</w:t>
      </w:r>
      <w:r w:rsidR="00C1097E">
        <w:rPr>
          <w:rFonts w:ascii="Times New Roman" w:hAnsi="Times New Roman"/>
          <w:sz w:val="24"/>
          <w:szCs w:val="24"/>
        </w:rPr>
        <w:t xml:space="preserve"> </w:t>
      </w:r>
      <w:r>
        <w:rPr>
          <w:rFonts w:ascii="Times New Roman" w:hAnsi="Times New Roman"/>
          <w:sz w:val="24"/>
          <w:szCs w:val="24"/>
        </w:rPr>
        <w:t>by petroleum profit tax</w:t>
      </w:r>
      <w:r w:rsidRPr="00FA2AFF">
        <w:rPr>
          <w:rFonts w:ascii="Times New Roman" w:hAnsi="Times New Roman"/>
          <w:sz w:val="24"/>
          <w:szCs w:val="24"/>
        </w:rPr>
        <w:t xml:space="preserve">. Therefore, the null hypothesis that </w:t>
      </w:r>
      <w:r>
        <w:rPr>
          <w:rFonts w:ascii="Times New Roman" w:hAnsi="Times New Roman"/>
          <w:sz w:val="24"/>
          <w:szCs w:val="24"/>
        </w:rPr>
        <w:t xml:space="preserve">total federally collected revenue in Nigeria is not </w:t>
      </w:r>
      <w:r w:rsidRPr="0095285B">
        <w:rPr>
          <w:rFonts w:ascii="Times New Roman" w:hAnsi="Times New Roman"/>
          <w:sz w:val="24"/>
          <w:szCs w:val="24"/>
        </w:rPr>
        <w:t>significant</w:t>
      </w:r>
      <w:r>
        <w:rPr>
          <w:rFonts w:ascii="Times New Roman" w:hAnsi="Times New Roman"/>
          <w:sz w:val="24"/>
          <w:szCs w:val="24"/>
        </w:rPr>
        <w:t>ly a</w:t>
      </w:r>
      <w:r w:rsidRPr="0095285B">
        <w:rPr>
          <w:rFonts w:ascii="Times New Roman" w:hAnsi="Times New Roman"/>
          <w:sz w:val="24"/>
          <w:szCs w:val="24"/>
        </w:rPr>
        <w:t>ffect</w:t>
      </w:r>
      <w:r>
        <w:rPr>
          <w:rFonts w:ascii="Times New Roman" w:hAnsi="Times New Roman"/>
          <w:sz w:val="24"/>
          <w:szCs w:val="24"/>
        </w:rPr>
        <w:t>ed</w:t>
      </w:r>
      <w:r w:rsidR="00C1097E">
        <w:rPr>
          <w:rFonts w:ascii="Times New Roman" w:hAnsi="Times New Roman"/>
          <w:sz w:val="24"/>
          <w:szCs w:val="24"/>
        </w:rPr>
        <w:t xml:space="preserve"> </w:t>
      </w:r>
      <w:r>
        <w:rPr>
          <w:rFonts w:ascii="Times New Roman" w:hAnsi="Times New Roman"/>
          <w:sz w:val="24"/>
          <w:szCs w:val="24"/>
        </w:rPr>
        <w:t>by petroleum profit tax</w:t>
      </w:r>
      <w:r w:rsidRPr="00FA2AFF">
        <w:rPr>
          <w:rFonts w:ascii="Times New Roman" w:hAnsi="Times New Roman"/>
          <w:sz w:val="24"/>
          <w:szCs w:val="24"/>
        </w:rPr>
        <w:t xml:space="preserve"> is </w:t>
      </w:r>
      <w:r>
        <w:rPr>
          <w:rFonts w:ascii="Times New Roman" w:hAnsi="Times New Roman"/>
          <w:sz w:val="24"/>
          <w:szCs w:val="24"/>
        </w:rPr>
        <w:t>rejected</w:t>
      </w:r>
      <w:r w:rsidRPr="00FA2AFF">
        <w:rPr>
          <w:rFonts w:ascii="Times New Roman" w:hAnsi="Times New Roman"/>
          <w:sz w:val="24"/>
          <w:szCs w:val="24"/>
        </w:rPr>
        <w:t>, while the</w:t>
      </w:r>
      <w:r>
        <w:rPr>
          <w:rFonts w:ascii="Times New Roman" w:hAnsi="Times New Roman"/>
          <w:sz w:val="24"/>
          <w:szCs w:val="24"/>
        </w:rPr>
        <w:t xml:space="preserve"> alternate hypothesis accepted.</w:t>
      </w:r>
    </w:p>
    <w:p w14:paraId="31F4DC08" w14:textId="77777777" w:rsidR="001B60DC" w:rsidRPr="0095285B" w:rsidRDefault="00821FD0" w:rsidP="00821FD0">
      <w:pPr>
        <w:autoSpaceDE w:val="0"/>
        <w:autoSpaceDN w:val="0"/>
        <w:adjustRightInd w:val="0"/>
        <w:ind w:firstLine="720"/>
        <w:jc w:val="both"/>
        <w:rPr>
          <w:b/>
        </w:rPr>
      </w:pPr>
      <w:r>
        <w:rPr>
          <w:b/>
        </w:rPr>
        <w:t>Hypothesis Two</w:t>
      </w:r>
    </w:p>
    <w:p w14:paraId="19A9E963" w14:textId="77777777" w:rsidR="001B60DC" w:rsidRPr="0095285B" w:rsidRDefault="001B60DC" w:rsidP="00821FD0">
      <w:pPr>
        <w:pStyle w:val="ListParagraph"/>
        <w:spacing w:line="240" w:lineRule="auto"/>
        <w:jc w:val="both"/>
        <w:rPr>
          <w:rFonts w:ascii="Times New Roman" w:hAnsi="Times New Roman"/>
          <w:sz w:val="24"/>
          <w:szCs w:val="24"/>
        </w:rPr>
      </w:pPr>
      <w:r w:rsidRPr="0095285B">
        <w:rPr>
          <w:rFonts w:ascii="Times New Roman" w:hAnsi="Times New Roman"/>
          <w:sz w:val="24"/>
          <w:szCs w:val="24"/>
        </w:rPr>
        <w:t>H</w:t>
      </w:r>
      <w:r w:rsidRPr="0095285B">
        <w:rPr>
          <w:rFonts w:ascii="Times New Roman" w:hAnsi="Times New Roman"/>
          <w:sz w:val="24"/>
          <w:szCs w:val="24"/>
          <w:vertAlign w:val="subscript"/>
        </w:rPr>
        <w:t>0</w:t>
      </w:r>
      <w:r w:rsidRPr="0095285B">
        <w:rPr>
          <w:rFonts w:ascii="Times New Roman" w:hAnsi="Times New Roman"/>
          <w:sz w:val="24"/>
          <w:szCs w:val="24"/>
        </w:rPr>
        <w:t xml:space="preserve">: </w:t>
      </w:r>
      <w:r>
        <w:rPr>
          <w:rFonts w:ascii="Times New Roman" w:hAnsi="Times New Roman"/>
          <w:sz w:val="24"/>
          <w:szCs w:val="24"/>
        </w:rPr>
        <w:t xml:space="preserve">Companies’ income tax </w:t>
      </w:r>
      <w:r w:rsidRPr="0095285B">
        <w:rPr>
          <w:rFonts w:ascii="Times New Roman" w:hAnsi="Times New Roman"/>
          <w:sz w:val="24"/>
          <w:szCs w:val="24"/>
        </w:rPr>
        <w:t>has no significant effect on</w:t>
      </w:r>
      <w:r>
        <w:rPr>
          <w:rFonts w:ascii="Times New Roman" w:hAnsi="Times New Roman"/>
          <w:sz w:val="24"/>
          <w:szCs w:val="24"/>
        </w:rPr>
        <w:t xml:space="preserve"> total federally collected revenue in Nigeria</w:t>
      </w:r>
      <w:r w:rsidRPr="0095285B">
        <w:rPr>
          <w:rFonts w:ascii="Times New Roman" w:hAnsi="Times New Roman"/>
          <w:sz w:val="24"/>
          <w:szCs w:val="24"/>
        </w:rPr>
        <w:t>.</w:t>
      </w:r>
    </w:p>
    <w:p w14:paraId="266B4392" w14:textId="77777777" w:rsidR="001B60DC" w:rsidRDefault="001B60DC" w:rsidP="00821FD0">
      <w:pPr>
        <w:pStyle w:val="ListParagraph"/>
        <w:spacing w:line="240" w:lineRule="auto"/>
        <w:jc w:val="both"/>
        <w:rPr>
          <w:rFonts w:ascii="Times New Roman" w:hAnsi="Times New Roman"/>
          <w:sz w:val="24"/>
          <w:szCs w:val="24"/>
        </w:rPr>
      </w:pPr>
      <w:r w:rsidRPr="0095285B">
        <w:rPr>
          <w:rFonts w:ascii="Times New Roman" w:hAnsi="Times New Roman"/>
          <w:sz w:val="24"/>
          <w:szCs w:val="24"/>
        </w:rPr>
        <w:t>H</w:t>
      </w:r>
      <w:r w:rsidRPr="0095285B">
        <w:rPr>
          <w:rFonts w:ascii="Times New Roman" w:hAnsi="Times New Roman"/>
          <w:sz w:val="24"/>
          <w:szCs w:val="24"/>
          <w:vertAlign w:val="subscript"/>
        </w:rPr>
        <w:t>1</w:t>
      </w:r>
      <w:r w:rsidRPr="0095285B">
        <w:rPr>
          <w:rFonts w:ascii="Times New Roman" w:hAnsi="Times New Roman"/>
          <w:sz w:val="24"/>
          <w:szCs w:val="24"/>
        </w:rPr>
        <w:t xml:space="preserve">: </w:t>
      </w:r>
      <w:r>
        <w:rPr>
          <w:rFonts w:ascii="Times New Roman" w:hAnsi="Times New Roman"/>
          <w:sz w:val="24"/>
          <w:szCs w:val="24"/>
        </w:rPr>
        <w:t>Companies’ income tax</w:t>
      </w:r>
      <w:r w:rsidRPr="0095285B">
        <w:rPr>
          <w:rFonts w:ascii="Times New Roman" w:hAnsi="Times New Roman"/>
          <w:sz w:val="24"/>
          <w:szCs w:val="24"/>
        </w:rPr>
        <w:t xml:space="preserve"> has significant effect on </w:t>
      </w:r>
      <w:r>
        <w:rPr>
          <w:rFonts w:ascii="Times New Roman" w:hAnsi="Times New Roman"/>
          <w:sz w:val="24"/>
          <w:szCs w:val="24"/>
        </w:rPr>
        <w:t>total federally collected revenue in Nigeria</w:t>
      </w:r>
      <w:r w:rsidRPr="0095285B">
        <w:rPr>
          <w:rFonts w:ascii="Times New Roman" w:hAnsi="Times New Roman"/>
          <w:sz w:val="24"/>
          <w:szCs w:val="24"/>
        </w:rPr>
        <w:t>.</w:t>
      </w:r>
    </w:p>
    <w:p w14:paraId="7C0C1240" w14:textId="77777777" w:rsidR="001B60DC" w:rsidRDefault="001B60DC" w:rsidP="001B60DC">
      <w:pPr>
        <w:autoSpaceDE w:val="0"/>
        <w:autoSpaceDN w:val="0"/>
        <w:adjustRightInd w:val="0"/>
        <w:ind w:left="1080"/>
        <w:jc w:val="center"/>
        <w:rPr>
          <w:b/>
          <w:sz w:val="20"/>
          <w:szCs w:val="20"/>
        </w:rPr>
      </w:pPr>
    </w:p>
    <w:p w14:paraId="762515C3" w14:textId="44914813" w:rsidR="001B60DC" w:rsidRPr="00B953E2" w:rsidRDefault="00821FD0" w:rsidP="001B60DC">
      <w:pPr>
        <w:autoSpaceDE w:val="0"/>
        <w:autoSpaceDN w:val="0"/>
        <w:adjustRightInd w:val="0"/>
        <w:ind w:left="1080"/>
        <w:jc w:val="center"/>
        <w:rPr>
          <w:color w:val="000000"/>
          <w:sz w:val="20"/>
          <w:szCs w:val="20"/>
        </w:rPr>
      </w:pPr>
      <w:r>
        <w:rPr>
          <w:b/>
          <w:sz w:val="20"/>
          <w:szCs w:val="20"/>
        </w:rPr>
        <w:t>Table 12</w:t>
      </w:r>
      <w:r w:rsidR="001B60DC" w:rsidRPr="00B953E2">
        <w:rPr>
          <w:b/>
          <w:sz w:val="20"/>
          <w:szCs w:val="20"/>
        </w:rPr>
        <w:t xml:space="preserve">: </w:t>
      </w:r>
      <w:r>
        <w:rPr>
          <w:b/>
          <w:sz w:val="20"/>
          <w:szCs w:val="20"/>
        </w:rPr>
        <w:t>Hypothesis Two</w:t>
      </w:r>
    </w:p>
    <w:tbl>
      <w:tblPr>
        <w:tblW w:w="9214" w:type="dxa"/>
        <w:tblInd w:w="392" w:type="dxa"/>
        <w:tblLook w:val="04A0" w:firstRow="1" w:lastRow="0" w:firstColumn="1" w:lastColumn="0" w:noHBand="0" w:noVBand="1"/>
      </w:tblPr>
      <w:tblGrid>
        <w:gridCol w:w="1334"/>
        <w:gridCol w:w="3599"/>
        <w:gridCol w:w="1177"/>
        <w:gridCol w:w="990"/>
        <w:gridCol w:w="2114"/>
      </w:tblGrid>
      <w:tr w:rsidR="001B60DC" w:rsidRPr="00B953E2" w14:paraId="00478EC2" w14:textId="77777777" w:rsidTr="00094B17">
        <w:tc>
          <w:tcPr>
            <w:tcW w:w="1334" w:type="dxa"/>
            <w:tcBorders>
              <w:top w:val="single" w:sz="4" w:space="0" w:color="auto"/>
              <w:bottom w:val="single" w:sz="4" w:space="0" w:color="auto"/>
            </w:tcBorders>
            <w:shd w:val="clear" w:color="auto" w:fill="auto"/>
          </w:tcPr>
          <w:p w14:paraId="07C0C511" w14:textId="77777777" w:rsidR="001B60DC" w:rsidRPr="00B953E2" w:rsidRDefault="001B60DC" w:rsidP="00094B17">
            <w:pPr>
              <w:rPr>
                <w:b/>
                <w:sz w:val="20"/>
                <w:szCs w:val="20"/>
              </w:rPr>
            </w:pPr>
            <w:r>
              <w:rPr>
                <w:b/>
                <w:color w:val="000000"/>
                <w:sz w:val="20"/>
                <w:szCs w:val="20"/>
              </w:rPr>
              <w:t>Hypothesi</w:t>
            </w:r>
            <w:r w:rsidRPr="00B953E2">
              <w:rPr>
                <w:b/>
                <w:color w:val="000000"/>
                <w:sz w:val="20"/>
                <w:szCs w:val="20"/>
              </w:rPr>
              <w:t>s</w:t>
            </w:r>
          </w:p>
        </w:tc>
        <w:tc>
          <w:tcPr>
            <w:tcW w:w="3599" w:type="dxa"/>
            <w:tcBorders>
              <w:top w:val="single" w:sz="4" w:space="0" w:color="auto"/>
              <w:bottom w:val="single" w:sz="4" w:space="0" w:color="auto"/>
            </w:tcBorders>
            <w:shd w:val="clear" w:color="auto" w:fill="auto"/>
          </w:tcPr>
          <w:p w14:paraId="0954CDF5" w14:textId="77777777" w:rsidR="001B60DC" w:rsidRPr="00B953E2" w:rsidRDefault="001B60DC" w:rsidP="00094B17">
            <w:pPr>
              <w:rPr>
                <w:b/>
                <w:sz w:val="20"/>
                <w:szCs w:val="20"/>
              </w:rPr>
            </w:pPr>
            <w:r w:rsidRPr="00B953E2">
              <w:rPr>
                <w:b/>
                <w:color w:val="000000"/>
                <w:sz w:val="20"/>
                <w:szCs w:val="20"/>
              </w:rPr>
              <w:t xml:space="preserve">Independent Variable </w:t>
            </w:r>
          </w:p>
        </w:tc>
        <w:tc>
          <w:tcPr>
            <w:tcW w:w="1177" w:type="dxa"/>
            <w:tcBorders>
              <w:top w:val="single" w:sz="4" w:space="0" w:color="auto"/>
              <w:bottom w:val="single" w:sz="4" w:space="0" w:color="auto"/>
            </w:tcBorders>
            <w:shd w:val="clear" w:color="auto" w:fill="auto"/>
          </w:tcPr>
          <w:p w14:paraId="156DED00" w14:textId="77777777" w:rsidR="001B60DC" w:rsidRPr="00B953E2" w:rsidRDefault="001B60DC" w:rsidP="00094B17">
            <w:pPr>
              <w:ind w:left="28"/>
              <w:rPr>
                <w:b/>
                <w:sz w:val="20"/>
                <w:szCs w:val="20"/>
              </w:rPr>
            </w:pPr>
            <w:r>
              <w:rPr>
                <w:b/>
                <w:color w:val="000000"/>
                <w:sz w:val="20"/>
                <w:szCs w:val="20"/>
              </w:rPr>
              <w:t>Coefficient</w:t>
            </w:r>
          </w:p>
        </w:tc>
        <w:tc>
          <w:tcPr>
            <w:tcW w:w="990" w:type="dxa"/>
            <w:tcBorders>
              <w:top w:val="single" w:sz="4" w:space="0" w:color="auto"/>
              <w:bottom w:val="single" w:sz="4" w:space="0" w:color="auto"/>
            </w:tcBorders>
            <w:shd w:val="clear" w:color="auto" w:fill="auto"/>
          </w:tcPr>
          <w:p w14:paraId="3529C6EF" w14:textId="77777777" w:rsidR="001B60DC" w:rsidRPr="00B953E2" w:rsidRDefault="001B60DC" w:rsidP="00094B17">
            <w:pPr>
              <w:rPr>
                <w:b/>
                <w:sz w:val="20"/>
                <w:szCs w:val="20"/>
              </w:rPr>
            </w:pPr>
            <w:r w:rsidRPr="00B953E2">
              <w:rPr>
                <w:b/>
                <w:sz w:val="20"/>
                <w:szCs w:val="20"/>
              </w:rPr>
              <w:t>P-Value</w:t>
            </w:r>
          </w:p>
        </w:tc>
        <w:tc>
          <w:tcPr>
            <w:tcW w:w="2114" w:type="dxa"/>
            <w:tcBorders>
              <w:top w:val="single" w:sz="4" w:space="0" w:color="auto"/>
              <w:bottom w:val="single" w:sz="4" w:space="0" w:color="auto"/>
            </w:tcBorders>
            <w:shd w:val="clear" w:color="auto" w:fill="auto"/>
          </w:tcPr>
          <w:p w14:paraId="1EC17F91" w14:textId="77777777" w:rsidR="001B60DC" w:rsidRPr="00B953E2" w:rsidRDefault="001B60DC" w:rsidP="00094B17">
            <w:pPr>
              <w:rPr>
                <w:b/>
                <w:sz w:val="20"/>
                <w:szCs w:val="20"/>
              </w:rPr>
            </w:pPr>
            <w:r w:rsidRPr="00B953E2">
              <w:rPr>
                <w:b/>
                <w:color w:val="000000"/>
                <w:sz w:val="20"/>
                <w:szCs w:val="20"/>
              </w:rPr>
              <w:t>Decision</w:t>
            </w:r>
          </w:p>
        </w:tc>
      </w:tr>
      <w:tr w:rsidR="001B60DC" w:rsidRPr="00B953E2" w14:paraId="6CA7070A" w14:textId="77777777" w:rsidTr="00094B17">
        <w:trPr>
          <w:trHeight w:val="70"/>
        </w:trPr>
        <w:tc>
          <w:tcPr>
            <w:tcW w:w="1334" w:type="dxa"/>
            <w:tcBorders>
              <w:bottom w:val="single" w:sz="4" w:space="0" w:color="auto"/>
            </w:tcBorders>
            <w:shd w:val="clear" w:color="auto" w:fill="auto"/>
            <w:vAlign w:val="bottom"/>
          </w:tcPr>
          <w:p w14:paraId="543C5AFA" w14:textId="77777777" w:rsidR="001B60DC" w:rsidRPr="00B953E2" w:rsidRDefault="00821FD0" w:rsidP="00094B17">
            <w:pPr>
              <w:autoSpaceDE w:val="0"/>
              <w:autoSpaceDN w:val="0"/>
              <w:adjustRightInd w:val="0"/>
              <w:jc w:val="both"/>
              <w:rPr>
                <w:color w:val="000000"/>
                <w:sz w:val="20"/>
                <w:szCs w:val="20"/>
              </w:rPr>
            </w:pPr>
            <w:r>
              <w:rPr>
                <w:color w:val="000000"/>
                <w:sz w:val="20"/>
                <w:szCs w:val="20"/>
              </w:rPr>
              <w:t>Hypothesis 2</w:t>
            </w:r>
          </w:p>
        </w:tc>
        <w:tc>
          <w:tcPr>
            <w:tcW w:w="3599" w:type="dxa"/>
            <w:tcBorders>
              <w:bottom w:val="single" w:sz="4" w:space="0" w:color="auto"/>
            </w:tcBorders>
            <w:shd w:val="clear" w:color="auto" w:fill="auto"/>
            <w:vAlign w:val="bottom"/>
          </w:tcPr>
          <w:p w14:paraId="2A7B12FF" w14:textId="77777777" w:rsidR="001B60DC" w:rsidRPr="00B953E2" w:rsidRDefault="001B60DC" w:rsidP="00094B17">
            <w:pPr>
              <w:autoSpaceDE w:val="0"/>
              <w:autoSpaceDN w:val="0"/>
              <w:adjustRightInd w:val="0"/>
              <w:jc w:val="both"/>
              <w:rPr>
                <w:color w:val="000000"/>
                <w:sz w:val="20"/>
                <w:szCs w:val="20"/>
              </w:rPr>
            </w:pPr>
            <w:r>
              <w:rPr>
                <w:color w:val="000000"/>
                <w:sz w:val="20"/>
                <w:szCs w:val="20"/>
              </w:rPr>
              <w:t>Companies Income Tax (CIT)</w:t>
            </w:r>
          </w:p>
        </w:tc>
        <w:tc>
          <w:tcPr>
            <w:tcW w:w="1177" w:type="dxa"/>
            <w:tcBorders>
              <w:bottom w:val="single" w:sz="4" w:space="0" w:color="auto"/>
            </w:tcBorders>
            <w:shd w:val="clear" w:color="auto" w:fill="auto"/>
            <w:vAlign w:val="bottom"/>
          </w:tcPr>
          <w:p w14:paraId="4E949142" w14:textId="77777777" w:rsidR="001B60DC" w:rsidRPr="00B953E2" w:rsidRDefault="001B60DC" w:rsidP="00094B17">
            <w:pPr>
              <w:autoSpaceDE w:val="0"/>
              <w:autoSpaceDN w:val="0"/>
              <w:adjustRightInd w:val="0"/>
              <w:ind w:right="10"/>
              <w:jc w:val="both"/>
              <w:rPr>
                <w:color w:val="000000"/>
                <w:sz w:val="20"/>
                <w:szCs w:val="20"/>
              </w:rPr>
            </w:pPr>
            <w:r>
              <w:rPr>
                <w:color w:val="000000"/>
                <w:sz w:val="20"/>
                <w:szCs w:val="20"/>
              </w:rPr>
              <w:t>1.192683</w:t>
            </w:r>
          </w:p>
        </w:tc>
        <w:tc>
          <w:tcPr>
            <w:tcW w:w="990" w:type="dxa"/>
            <w:tcBorders>
              <w:bottom w:val="single" w:sz="4" w:space="0" w:color="auto"/>
            </w:tcBorders>
            <w:shd w:val="clear" w:color="auto" w:fill="auto"/>
            <w:vAlign w:val="bottom"/>
          </w:tcPr>
          <w:p w14:paraId="34957BE6" w14:textId="77777777" w:rsidR="001B60DC" w:rsidRPr="00B953E2" w:rsidRDefault="001B60DC" w:rsidP="00094B17">
            <w:pPr>
              <w:autoSpaceDE w:val="0"/>
              <w:autoSpaceDN w:val="0"/>
              <w:adjustRightInd w:val="0"/>
              <w:ind w:right="10"/>
              <w:jc w:val="both"/>
              <w:rPr>
                <w:color w:val="000000"/>
                <w:sz w:val="20"/>
                <w:szCs w:val="20"/>
              </w:rPr>
            </w:pPr>
            <w:r>
              <w:rPr>
                <w:color w:val="000000"/>
                <w:sz w:val="20"/>
                <w:szCs w:val="20"/>
              </w:rPr>
              <w:t>0.6108</w:t>
            </w:r>
          </w:p>
        </w:tc>
        <w:tc>
          <w:tcPr>
            <w:tcW w:w="2114" w:type="dxa"/>
            <w:tcBorders>
              <w:bottom w:val="single" w:sz="4" w:space="0" w:color="auto"/>
            </w:tcBorders>
            <w:shd w:val="clear" w:color="auto" w:fill="auto"/>
            <w:vAlign w:val="bottom"/>
          </w:tcPr>
          <w:p w14:paraId="65BF081C" w14:textId="77777777" w:rsidR="001B60DC" w:rsidRPr="00B953E2" w:rsidRDefault="001B60DC" w:rsidP="00094B17">
            <w:pPr>
              <w:autoSpaceDE w:val="0"/>
              <w:autoSpaceDN w:val="0"/>
              <w:adjustRightInd w:val="0"/>
              <w:ind w:right="10"/>
              <w:jc w:val="both"/>
              <w:rPr>
                <w:color w:val="000000"/>
                <w:sz w:val="20"/>
                <w:szCs w:val="20"/>
              </w:rPr>
            </w:pPr>
            <w:r w:rsidRPr="00B953E2">
              <w:rPr>
                <w:sz w:val="20"/>
                <w:szCs w:val="20"/>
              </w:rPr>
              <w:t>RejectH</w:t>
            </w:r>
            <w:r w:rsidRPr="00B953E2">
              <w:rPr>
                <w:sz w:val="20"/>
                <w:szCs w:val="20"/>
                <w:vertAlign w:val="subscript"/>
              </w:rPr>
              <w:t>0</w:t>
            </w:r>
            <w:r w:rsidRPr="00B953E2">
              <w:rPr>
                <w:sz w:val="20"/>
                <w:szCs w:val="20"/>
              </w:rPr>
              <w:t>&amp;</w:t>
            </w:r>
            <w:r w:rsidRPr="00B953E2">
              <w:rPr>
                <w:color w:val="000000"/>
                <w:sz w:val="20"/>
                <w:szCs w:val="20"/>
              </w:rPr>
              <w:t xml:space="preserve">Accept </w:t>
            </w:r>
            <w:r w:rsidRPr="00B953E2">
              <w:rPr>
                <w:sz w:val="20"/>
                <w:szCs w:val="20"/>
              </w:rPr>
              <w:t>H</w:t>
            </w:r>
            <w:r>
              <w:rPr>
                <w:sz w:val="20"/>
                <w:szCs w:val="20"/>
                <w:vertAlign w:val="subscript"/>
              </w:rPr>
              <w:t>1</w:t>
            </w:r>
          </w:p>
        </w:tc>
      </w:tr>
    </w:tbl>
    <w:p w14:paraId="5EC607E9" w14:textId="77777777" w:rsidR="001B60DC" w:rsidRDefault="001B60DC" w:rsidP="001B60DC">
      <w:pPr>
        <w:jc w:val="center"/>
        <w:rPr>
          <w:i/>
          <w:sz w:val="20"/>
          <w:szCs w:val="20"/>
        </w:rPr>
      </w:pPr>
      <w:r w:rsidRPr="00B953E2">
        <w:rPr>
          <w:i/>
          <w:sz w:val="20"/>
          <w:szCs w:val="20"/>
        </w:rPr>
        <w:t xml:space="preserve">Source: </w:t>
      </w:r>
      <w:r>
        <w:rPr>
          <w:i/>
          <w:sz w:val="20"/>
          <w:szCs w:val="20"/>
        </w:rPr>
        <w:t>Panel OLS</w:t>
      </w:r>
      <w:r w:rsidRPr="00B953E2">
        <w:rPr>
          <w:i/>
          <w:sz w:val="20"/>
          <w:szCs w:val="20"/>
        </w:rPr>
        <w:t xml:space="preserve"> Output from Table </w:t>
      </w:r>
      <w:r w:rsidR="00821FD0">
        <w:rPr>
          <w:i/>
          <w:sz w:val="20"/>
          <w:szCs w:val="20"/>
        </w:rPr>
        <w:t>4.10</w:t>
      </w:r>
    </w:p>
    <w:p w14:paraId="6E2A6A75" w14:textId="77777777" w:rsidR="001B60DC" w:rsidRDefault="001B60DC" w:rsidP="001B60DC">
      <w:pPr>
        <w:ind w:left="720"/>
        <w:jc w:val="center"/>
        <w:rPr>
          <w:i/>
          <w:sz w:val="20"/>
          <w:szCs w:val="20"/>
        </w:rPr>
      </w:pPr>
    </w:p>
    <w:p w14:paraId="6C42EB29" w14:textId="77777777" w:rsidR="001B60DC" w:rsidRDefault="001B60DC" w:rsidP="001B60DC">
      <w:pPr>
        <w:ind w:left="720"/>
        <w:jc w:val="center"/>
        <w:rPr>
          <w:i/>
          <w:sz w:val="20"/>
          <w:szCs w:val="20"/>
        </w:rPr>
      </w:pPr>
    </w:p>
    <w:p w14:paraId="5E446A05" w14:textId="1545F3E7" w:rsidR="0062084B" w:rsidRDefault="00821FD0" w:rsidP="00821FD0">
      <w:pPr>
        <w:ind w:left="720" w:firstLine="720"/>
        <w:jc w:val="both"/>
      </w:pPr>
      <w:r>
        <w:t>Table 12</w:t>
      </w:r>
      <w:r w:rsidR="00C1097E">
        <w:t xml:space="preserve"> </w:t>
      </w:r>
      <w:r w:rsidR="001B60DC">
        <w:t>shows</w:t>
      </w:r>
      <w:r w:rsidR="001B60DC" w:rsidRPr="006C7696">
        <w:t xml:space="preserve"> that the p-value for </w:t>
      </w:r>
      <w:r w:rsidR="001B60DC">
        <w:t xml:space="preserve">companies’ income tax </w:t>
      </w:r>
      <w:r w:rsidR="001B60DC" w:rsidRPr="006C7696">
        <w:t xml:space="preserve">is insignificant at 5% level of significance. This implies that </w:t>
      </w:r>
      <w:r w:rsidR="001B60DC">
        <w:t>companies’ income tax</w:t>
      </w:r>
      <w:r w:rsidR="001B60DC" w:rsidRPr="006C7696">
        <w:t xml:space="preserve"> has no significant effect on </w:t>
      </w:r>
      <w:r w:rsidR="001B60DC">
        <w:t>total federally collected revenue in Nigeria</w:t>
      </w:r>
      <w:r w:rsidR="001B60DC" w:rsidRPr="006C7696">
        <w:t xml:space="preserve">. In effect, the null hypothesis that </w:t>
      </w:r>
      <w:r w:rsidR="001B60DC">
        <w:t xml:space="preserve">companies’ income tax </w:t>
      </w:r>
      <w:r w:rsidR="001B60DC" w:rsidRPr="0095285B">
        <w:t>has no significant effect on</w:t>
      </w:r>
      <w:r w:rsidR="001B60DC">
        <w:t xml:space="preserve"> total federally collected revenue in Nigeria</w:t>
      </w:r>
      <w:r w:rsidR="001B60DC" w:rsidRPr="006C7696">
        <w:t xml:space="preserve"> is accepted, while the alternate hypothesis rejected.</w:t>
      </w:r>
      <w:r>
        <w:tab/>
      </w:r>
    </w:p>
    <w:p w14:paraId="01A431D7" w14:textId="77777777" w:rsidR="00821FD0" w:rsidRDefault="00821FD0" w:rsidP="00821FD0">
      <w:pPr>
        <w:ind w:left="720" w:firstLine="720"/>
        <w:jc w:val="both"/>
        <w:rPr>
          <w:b/>
        </w:rPr>
      </w:pPr>
    </w:p>
    <w:p w14:paraId="1318A76D" w14:textId="77777777" w:rsidR="0062084B" w:rsidRPr="0095285B" w:rsidRDefault="0062084B" w:rsidP="00821FD0">
      <w:pPr>
        <w:autoSpaceDE w:val="0"/>
        <w:autoSpaceDN w:val="0"/>
        <w:adjustRightInd w:val="0"/>
        <w:ind w:firstLine="720"/>
        <w:jc w:val="both"/>
        <w:rPr>
          <w:b/>
        </w:rPr>
      </w:pPr>
      <w:r>
        <w:rPr>
          <w:b/>
        </w:rPr>
        <w:t>Hypothesis Three</w:t>
      </w:r>
    </w:p>
    <w:p w14:paraId="33DBBB6B" w14:textId="77777777" w:rsidR="0062084B" w:rsidRPr="0095285B" w:rsidRDefault="0062084B" w:rsidP="00821FD0">
      <w:pPr>
        <w:pStyle w:val="ListParagraph"/>
        <w:spacing w:line="240" w:lineRule="auto"/>
        <w:jc w:val="both"/>
        <w:rPr>
          <w:rFonts w:ascii="Times New Roman" w:hAnsi="Times New Roman"/>
          <w:sz w:val="24"/>
          <w:szCs w:val="24"/>
        </w:rPr>
      </w:pPr>
      <w:r w:rsidRPr="0095285B">
        <w:rPr>
          <w:rFonts w:ascii="Times New Roman" w:hAnsi="Times New Roman"/>
          <w:sz w:val="24"/>
          <w:szCs w:val="24"/>
        </w:rPr>
        <w:t>H</w:t>
      </w:r>
      <w:r w:rsidRPr="0095285B">
        <w:rPr>
          <w:rFonts w:ascii="Times New Roman" w:hAnsi="Times New Roman"/>
          <w:sz w:val="24"/>
          <w:szCs w:val="24"/>
          <w:vertAlign w:val="subscript"/>
        </w:rPr>
        <w:t>0</w:t>
      </w:r>
      <w:r w:rsidRPr="0095285B">
        <w:rPr>
          <w:rFonts w:ascii="Times New Roman" w:hAnsi="Times New Roman"/>
          <w:sz w:val="24"/>
          <w:szCs w:val="24"/>
        </w:rPr>
        <w:t xml:space="preserve">: </w:t>
      </w:r>
      <w:r>
        <w:rPr>
          <w:rFonts w:ascii="Times New Roman" w:hAnsi="Times New Roman"/>
          <w:sz w:val="24"/>
          <w:szCs w:val="24"/>
        </w:rPr>
        <w:t>Value added tax has no significant effect on total federally collected revenue in Nigeria.</w:t>
      </w:r>
    </w:p>
    <w:p w14:paraId="0FB1CD68" w14:textId="77777777" w:rsidR="0062084B" w:rsidRDefault="0062084B" w:rsidP="00821FD0">
      <w:pPr>
        <w:pStyle w:val="ListParagraph"/>
        <w:spacing w:line="240" w:lineRule="auto"/>
        <w:jc w:val="both"/>
        <w:rPr>
          <w:rFonts w:ascii="Times New Roman" w:hAnsi="Times New Roman"/>
          <w:sz w:val="24"/>
          <w:szCs w:val="24"/>
        </w:rPr>
      </w:pPr>
      <w:r w:rsidRPr="0095285B">
        <w:rPr>
          <w:rFonts w:ascii="Times New Roman" w:hAnsi="Times New Roman"/>
          <w:sz w:val="24"/>
          <w:szCs w:val="24"/>
        </w:rPr>
        <w:t>H</w:t>
      </w:r>
      <w:r w:rsidRPr="0095285B">
        <w:rPr>
          <w:rFonts w:ascii="Times New Roman" w:hAnsi="Times New Roman"/>
          <w:sz w:val="24"/>
          <w:szCs w:val="24"/>
          <w:vertAlign w:val="subscript"/>
        </w:rPr>
        <w:t>1</w:t>
      </w:r>
      <w:r w:rsidRPr="0095285B">
        <w:rPr>
          <w:rFonts w:ascii="Times New Roman" w:hAnsi="Times New Roman"/>
          <w:sz w:val="24"/>
          <w:szCs w:val="24"/>
        </w:rPr>
        <w:t xml:space="preserve">: </w:t>
      </w:r>
      <w:r>
        <w:rPr>
          <w:rFonts w:ascii="Times New Roman" w:hAnsi="Times New Roman"/>
          <w:sz w:val="24"/>
          <w:szCs w:val="24"/>
        </w:rPr>
        <w:t>Value added tax has significant effect on total federally collected revenue in Nigeria.</w:t>
      </w:r>
    </w:p>
    <w:p w14:paraId="3321BC3A" w14:textId="2A933F1A" w:rsidR="00821FD0" w:rsidRPr="002826F0" w:rsidRDefault="00821FD0" w:rsidP="00821FD0">
      <w:pPr>
        <w:pStyle w:val="ListParagraph"/>
        <w:spacing w:line="240" w:lineRule="auto"/>
        <w:ind w:firstLine="360"/>
        <w:jc w:val="both"/>
        <w:rPr>
          <w:rFonts w:ascii="Times New Roman" w:hAnsi="Times New Roman"/>
          <w:sz w:val="24"/>
          <w:szCs w:val="24"/>
        </w:rPr>
      </w:pPr>
      <w:r w:rsidRPr="002826F0">
        <w:rPr>
          <w:rFonts w:ascii="Times New Roman" w:hAnsi="Times New Roman"/>
          <w:sz w:val="24"/>
          <w:szCs w:val="24"/>
        </w:rPr>
        <w:t>The output in Table 13 depicts that value added tax has no significant effect on total federally collected revenue in Nigeria owing to the fact that the p-value for value added tax (0.6003) is insignificant at 5% level of significance. In this regard, the null hypothesis that value added tax has no significant effect on total federally collected revenue in Nigeria is accepted, while the alternate hypothesis is rejected.</w:t>
      </w:r>
    </w:p>
    <w:p w14:paraId="303ECA0F" w14:textId="0D25C48B" w:rsidR="0062084B" w:rsidRPr="00B953E2" w:rsidRDefault="00821FD0" w:rsidP="0062084B">
      <w:pPr>
        <w:autoSpaceDE w:val="0"/>
        <w:autoSpaceDN w:val="0"/>
        <w:adjustRightInd w:val="0"/>
        <w:ind w:left="1080"/>
        <w:jc w:val="center"/>
        <w:rPr>
          <w:color w:val="000000"/>
          <w:sz w:val="20"/>
          <w:szCs w:val="20"/>
        </w:rPr>
      </w:pPr>
      <w:r>
        <w:rPr>
          <w:b/>
          <w:sz w:val="20"/>
          <w:szCs w:val="20"/>
        </w:rPr>
        <w:t>Table 13</w:t>
      </w:r>
      <w:r w:rsidR="0062084B" w:rsidRPr="00B953E2">
        <w:rPr>
          <w:b/>
          <w:sz w:val="20"/>
          <w:szCs w:val="20"/>
        </w:rPr>
        <w:t xml:space="preserve">: </w:t>
      </w:r>
      <w:r w:rsidR="0062084B">
        <w:rPr>
          <w:b/>
          <w:sz w:val="20"/>
          <w:szCs w:val="20"/>
        </w:rPr>
        <w:t>Hypothesis Three</w:t>
      </w:r>
    </w:p>
    <w:tbl>
      <w:tblPr>
        <w:tblW w:w="9214" w:type="dxa"/>
        <w:tblInd w:w="392" w:type="dxa"/>
        <w:tblLook w:val="04A0" w:firstRow="1" w:lastRow="0" w:firstColumn="1" w:lastColumn="0" w:noHBand="0" w:noVBand="1"/>
      </w:tblPr>
      <w:tblGrid>
        <w:gridCol w:w="1334"/>
        <w:gridCol w:w="3599"/>
        <w:gridCol w:w="1177"/>
        <w:gridCol w:w="990"/>
        <w:gridCol w:w="2114"/>
      </w:tblGrid>
      <w:tr w:rsidR="0062084B" w:rsidRPr="00B953E2" w14:paraId="10E5825B" w14:textId="77777777" w:rsidTr="00094B17">
        <w:tc>
          <w:tcPr>
            <w:tcW w:w="1334" w:type="dxa"/>
            <w:tcBorders>
              <w:top w:val="single" w:sz="4" w:space="0" w:color="auto"/>
              <w:bottom w:val="single" w:sz="4" w:space="0" w:color="auto"/>
            </w:tcBorders>
            <w:shd w:val="clear" w:color="auto" w:fill="auto"/>
          </w:tcPr>
          <w:p w14:paraId="73DA807E" w14:textId="77777777" w:rsidR="0062084B" w:rsidRPr="00B953E2" w:rsidRDefault="0062084B" w:rsidP="00094B17">
            <w:pPr>
              <w:rPr>
                <w:b/>
                <w:sz w:val="20"/>
                <w:szCs w:val="20"/>
              </w:rPr>
            </w:pPr>
            <w:r>
              <w:rPr>
                <w:b/>
                <w:color w:val="000000"/>
                <w:sz w:val="20"/>
                <w:szCs w:val="20"/>
              </w:rPr>
              <w:t>Hypothesi</w:t>
            </w:r>
            <w:r w:rsidRPr="00B953E2">
              <w:rPr>
                <w:b/>
                <w:color w:val="000000"/>
                <w:sz w:val="20"/>
                <w:szCs w:val="20"/>
              </w:rPr>
              <w:t>s</w:t>
            </w:r>
          </w:p>
        </w:tc>
        <w:tc>
          <w:tcPr>
            <w:tcW w:w="3599" w:type="dxa"/>
            <w:tcBorders>
              <w:top w:val="single" w:sz="4" w:space="0" w:color="auto"/>
              <w:bottom w:val="single" w:sz="4" w:space="0" w:color="auto"/>
            </w:tcBorders>
            <w:shd w:val="clear" w:color="auto" w:fill="auto"/>
          </w:tcPr>
          <w:p w14:paraId="20805E92" w14:textId="77777777" w:rsidR="0062084B" w:rsidRPr="00B953E2" w:rsidRDefault="0062084B" w:rsidP="00094B17">
            <w:pPr>
              <w:rPr>
                <w:b/>
                <w:sz w:val="20"/>
                <w:szCs w:val="20"/>
              </w:rPr>
            </w:pPr>
            <w:r w:rsidRPr="00B953E2">
              <w:rPr>
                <w:b/>
                <w:color w:val="000000"/>
                <w:sz w:val="20"/>
                <w:szCs w:val="20"/>
              </w:rPr>
              <w:t xml:space="preserve">Independent Variable </w:t>
            </w:r>
          </w:p>
        </w:tc>
        <w:tc>
          <w:tcPr>
            <w:tcW w:w="1177" w:type="dxa"/>
            <w:tcBorders>
              <w:top w:val="single" w:sz="4" w:space="0" w:color="auto"/>
              <w:bottom w:val="single" w:sz="4" w:space="0" w:color="auto"/>
            </w:tcBorders>
            <w:shd w:val="clear" w:color="auto" w:fill="auto"/>
          </w:tcPr>
          <w:p w14:paraId="77B8BB69" w14:textId="77777777" w:rsidR="0062084B" w:rsidRPr="00B953E2" w:rsidRDefault="0062084B" w:rsidP="00094B17">
            <w:pPr>
              <w:ind w:left="28"/>
              <w:rPr>
                <w:b/>
                <w:sz w:val="20"/>
                <w:szCs w:val="20"/>
              </w:rPr>
            </w:pPr>
            <w:r>
              <w:rPr>
                <w:b/>
                <w:color w:val="000000"/>
                <w:sz w:val="20"/>
                <w:szCs w:val="20"/>
              </w:rPr>
              <w:t>Coefficient</w:t>
            </w:r>
          </w:p>
        </w:tc>
        <w:tc>
          <w:tcPr>
            <w:tcW w:w="990" w:type="dxa"/>
            <w:tcBorders>
              <w:top w:val="single" w:sz="4" w:space="0" w:color="auto"/>
              <w:bottom w:val="single" w:sz="4" w:space="0" w:color="auto"/>
            </w:tcBorders>
            <w:shd w:val="clear" w:color="auto" w:fill="auto"/>
          </w:tcPr>
          <w:p w14:paraId="04FAAA14" w14:textId="77777777" w:rsidR="0062084B" w:rsidRPr="00B953E2" w:rsidRDefault="0062084B" w:rsidP="00094B17">
            <w:pPr>
              <w:rPr>
                <w:b/>
                <w:sz w:val="20"/>
                <w:szCs w:val="20"/>
              </w:rPr>
            </w:pPr>
            <w:r w:rsidRPr="00B953E2">
              <w:rPr>
                <w:b/>
                <w:sz w:val="20"/>
                <w:szCs w:val="20"/>
              </w:rPr>
              <w:t>P-Value</w:t>
            </w:r>
          </w:p>
        </w:tc>
        <w:tc>
          <w:tcPr>
            <w:tcW w:w="2114" w:type="dxa"/>
            <w:tcBorders>
              <w:top w:val="single" w:sz="4" w:space="0" w:color="auto"/>
              <w:bottom w:val="single" w:sz="4" w:space="0" w:color="auto"/>
            </w:tcBorders>
            <w:shd w:val="clear" w:color="auto" w:fill="auto"/>
          </w:tcPr>
          <w:p w14:paraId="1F5B695B" w14:textId="77777777" w:rsidR="0062084B" w:rsidRPr="00B953E2" w:rsidRDefault="0062084B" w:rsidP="00094B17">
            <w:pPr>
              <w:rPr>
                <w:b/>
                <w:sz w:val="20"/>
                <w:szCs w:val="20"/>
              </w:rPr>
            </w:pPr>
            <w:r w:rsidRPr="00B953E2">
              <w:rPr>
                <w:b/>
                <w:color w:val="000000"/>
                <w:sz w:val="20"/>
                <w:szCs w:val="20"/>
              </w:rPr>
              <w:t>Decision</w:t>
            </w:r>
          </w:p>
        </w:tc>
      </w:tr>
      <w:tr w:rsidR="0062084B" w:rsidRPr="00B953E2" w14:paraId="6128B6AE" w14:textId="77777777" w:rsidTr="00094B17">
        <w:trPr>
          <w:trHeight w:val="70"/>
        </w:trPr>
        <w:tc>
          <w:tcPr>
            <w:tcW w:w="1334" w:type="dxa"/>
            <w:tcBorders>
              <w:bottom w:val="single" w:sz="4" w:space="0" w:color="auto"/>
            </w:tcBorders>
            <w:shd w:val="clear" w:color="auto" w:fill="auto"/>
            <w:vAlign w:val="bottom"/>
          </w:tcPr>
          <w:p w14:paraId="4FC69CAC" w14:textId="77777777" w:rsidR="0062084B" w:rsidRPr="00B953E2" w:rsidRDefault="0062084B" w:rsidP="00094B17">
            <w:pPr>
              <w:autoSpaceDE w:val="0"/>
              <w:autoSpaceDN w:val="0"/>
              <w:adjustRightInd w:val="0"/>
              <w:jc w:val="both"/>
              <w:rPr>
                <w:color w:val="000000"/>
                <w:sz w:val="20"/>
                <w:szCs w:val="20"/>
              </w:rPr>
            </w:pPr>
            <w:r>
              <w:rPr>
                <w:color w:val="000000"/>
                <w:sz w:val="20"/>
                <w:szCs w:val="20"/>
              </w:rPr>
              <w:t>Hypothesis 3</w:t>
            </w:r>
          </w:p>
        </w:tc>
        <w:tc>
          <w:tcPr>
            <w:tcW w:w="3599" w:type="dxa"/>
            <w:tcBorders>
              <w:bottom w:val="single" w:sz="4" w:space="0" w:color="auto"/>
            </w:tcBorders>
            <w:shd w:val="clear" w:color="auto" w:fill="auto"/>
            <w:vAlign w:val="bottom"/>
          </w:tcPr>
          <w:p w14:paraId="1175547E" w14:textId="77777777" w:rsidR="0062084B" w:rsidRPr="00B953E2" w:rsidRDefault="0062084B" w:rsidP="00094B17">
            <w:pPr>
              <w:autoSpaceDE w:val="0"/>
              <w:autoSpaceDN w:val="0"/>
              <w:adjustRightInd w:val="0"/>
              <w:jc w:val="both"/>
              <w:rPr>
                <w:color w:val="000000"/>
                <w:sz w:val="20"/>
                <w:szCs w:val="20"/>
              </w:rPr>
            </w:pPr>
            <w:r>
              <w:rPr>
                <w:color w:val="000000"/>
                <w:sz w:val="20"/>
                <w:szCs w:val="20"/>
              </w:rPr>
              <w:t>Value Added Tax (VAT)</w:t>
            </w:r>
          </w:p>
        </w:tc>
        <w:tc>
          <w:tcPr>
            <w:tcW w:w="1177" w:type="dxa"/>
            <w:tcBorders>
              <w:bottom w:val="single" w:sz="4" w:space="0" w:color="auto"/>
            </w:tcBorders>
            <w:shd w:val="clear" w:color="auto" w:fill="auto"/>
            <w:vAlign w:val="bottom"/>
          </w:tcPr>
          <w:p w14:paraId="5D372FBA" w14:textId="77777777" w:rsidR="0062084B" w:rsidRPr="00B953E2" w:rsidRDefault="0062084B" w:rsidP="00094B17">
            <w:pPr>
              <w:autoSpaceDE w:val="0"/>
              <w:autoSpaceDN w:val="0"/>
              <w:adjustRightInd w:val="0"/>
              <w:ind w:right="10"/>
              <w:jc w:val="both"/>
              <w:rPr>
                <w:color w:val="000000"/>
                <w:sz w:val="20"/>
                <w:szCs w:val="20"/>
              </w:rPr>
            </w:pPr>
            <w:r>
              <w:rPr>
                <w:color w:val="000000"/>
                <w:sz w:val="20"/>
                <w:szCs w:val="20"/>
              </w:rPr>
              <w:t xml:space="preserve"> -1.666895</w:t>
            </w:r>
          </w:p>
        </w:tc>
        <w:tc>
          <w:tcPr>
            <w:tcW w:w="990" w:type="dxa"/>
            <w:tcBorders>
              <w:bottom w:val="single" w:sz="4" w:space="0" w:color="auto"/>
            </w:tcBorders>
            <w:shd w:val="clear" w:color="auto" w:fill="auto"/>
            <w:vAlign w:val="bottom"/>
          </w:tcPr>
          <w:p w14:paraId="292ED720" w14:textId="77777777" w:rsidR="0062084B" w:rsidRPr="00B953E2" w:rsidRDefault="0062084B" w:rsidP="00094B17">
            <w:pPr>
              <w:autoSpaceDE w:val="0"/>
              <w:autoSpaceDN w:val="0"/>
              <w:adjustRightInd w:val="0"/>
              <w:ind w:right="10"/>
              <w:jc w:val="both"/>
              <w:rPr>
                <w:color w:val="000000"/>
                <w:sz w:val="20"/>
                <w:szCs w:val="20"/>
              </w:rPr>
            </w:pPr>
            <w:r>
              <w:rPr>
                <w:color w:val="000000"/>
                <w:sz w:val="20"/>
                <w:szCs w:val="20"/>
              </w:rPr>
              <w:t>0.6003</w:t>
            </w:r>
          </w:p>
        </w:tc>
        <w:tc>
          <w:tcPr>
            <w:tcW w:w="2114" w:type="dxa"/>
            <w:tcBorders>
              <w:bottom w:val="single" w:sz="4" w:space="0" w:color="auto"/>
            </w:tcBorders>
            <w:shd w:val="clear" w:color="auto" w:fill="auto"/>
            <w:vAlign w:val="bottom"/>
          </w:tcPr>
          <w:p w14:paraId="04FFB754" w14:textId="77777777" w:rsidR="0062084B" w:rsidRPr="00B953E2" w:rsidRDefault="0062084B" w:rsidP="00094B17">
            <w:pPr>
              <w:autoSpaceDE w:val="0"/>
              <w:autoSpaceDN w:val="0"/>
              <w:adjustRightInd w:val="0"/>
              <w:ind w:right="10"/>
              <w:jc w:val="both"/>
              <w:rPr>
                <w:color w:val="000000"/>
                <w:sz w:val="20"/>
                <w:szCs w:val="20"/>
              </w:rPr>
            </w:pPr>
            <w:r w:rsidRPr="00B953E2">
              <w:rPr>
                <w:color w:val="000000"/>
                <w:sz w:val="20"/>
                <w:szCs w:val="20"/>
              </w:rPr>
              <w:t xml:space="preserve">Accept </w:t>
            </w:r>
            <w:r w:rsidRPr="00B953E2">
              <w:rPr>
                <w:sz w:val="20"/>
                <w:szCs w:val="20"/>
              </w:rPr>
              <w:t>H</w:t>
            </w:r>
            <w:r w:rsidRPr="00B953E2">
              <w:rPr>
                <w:sz w:val="20"/>
                <w:szCs w:val="20"/>
                <w:vertAlign w:val="subscript"/>
              </w:rPr>
              <w:t>0</w:t>
            </w:r>
            <w:r w:rsidRPr="00B953E2">
              <w:rPr>
                <w:sz w:val="20"/>
                <w:szCs w:val="20"/>
              </w:rPr>
              <w:t>&amp; RejectH</w:t>
            </w:r>
            <w:r>
              <w:rPr>
                <w:sz w:val="20"/>
                <w:szCs w:val="20"/>
                <w:vertAlign w:val="subscript"/>
              </w:rPr>
              <w:t>1</w:t>
            </w:r>
          </w:p>
        </w:tc>
      </w:tr>
    </w:tbl>
    <w:p w14:paraId="71F50EA5" w14:textId="63B06F81" w:rsidR="0062084B" w:rsidRDefault="0062084B" w:rsidP="0062084B">
      <w:pPr>
        <w:jc w:val="center"/>
        <w:rPr>
          <w:i/>
          <w:sz w:val="20"/>
          <w:szCs w:val="20"/>
        </w:rPr>
      </w:pPr>
      <w:r w:rsidRPr="00B953E2">
        <w:rPr>
          <w:i/>
          <w:sz w:val="20"/>
          <w:szCs w:val="20"/>
        </w:rPr>
        <w:t xml:space="preserve">Source: </w:t>
      </w:r>
      <w:r>
        <w:rPr>
          <w:i/>
          <w:sz w:val="20"/>
          <w:szCs w:val="20"/>
        </w:rPr>
        <w:t>Panel OLS</w:t>
      </w:r>
      <w:r w:rsidRPr="00B953E2">
        <w:rPr>
          <w:i/>
          <w:sz w:val="20"/>
          <w:szCs w:val="20"/>
        </w:rPr>
        <w:t xml:space="preserve"> Output from Table </w:t>
      </w:r>
      <w:r w:rsidR="00821FD0">
        <w:rPr>
          <w:i/>
          <w:sz w:val="20"/>
          <w:szCs w:val="20"/>
        </w:rPr>
        <w:t>10</w:t>
      </w:r>
    </w:p>
    <w:p w14:paraId="613FBD2F" w14:textId="77777777" w:rsidR="0062084B" w:rsidRDefault="0062084B" w:rsidP="0062084B">
      <w:pPr>
        <w:jc w:val="center"/>
        <w:rPr>
          <w:b/>
        </w:rPr>
      </w:pPr>
    </w:p>
    <w:p w14:paraId="6549ADFB" w14:textId="77777777" w:rsidR="0062084B" w:rsidRPr="0095285B" w:rsidRDefault="0062084B" w:rsidP="002E24C4">
      <w:pPr>
        <w:ind w:firstLine="720"/>
        <w:jc w:val="both"/>
        <w:rPr>
          <w:b/>
        </w:rPr>
      </w:pPr>
      <w:r>
        <w:rPr>
          <w:b/>
        </w:rPr>
        <w:t>Discussion of Findings</w:t>
      </w:r>
    </w:p>
    <w:p w14:paraId="56A46454" w14:textId="19E4819C" w:rsidR="0062084B" w:rsidRDefault="0062084B" w:rsidP="002E24C4">
      <w:pPr>
        <w:pStyle w:val="ListParagraph"/>
        <w:spacing w:line="240" w:lineRule="auto"/>
        <w:ind w:firstLine="720"/>
        <w:jc w:val="both"/>
        <w:rPr>
          <w:rFonts w:ascii="Times New Roman" w:hAnsi="Times New Roman"/>
          <w:sz w:val="24"/>
          <w:szCs w:val="24"/>
        </w:rPr>
      </w:pPr>
      <w:r>
        <w:rPr>
          <w:rFonts w:ascii="Times New Roman" w:hAnsi="Times New Roman"/>
          <w:sz w:val="24"/>
          <w:szCs w:val="24"/>
        </w:rPr>
        <w:lastRenderedPageBreak/>
        <w:t xml:space="preserve">This study discovered in Table </w:t>
      </w:r>
      <w:r w:rsidR="00E031FF">
        <w:rPr>
          <w:rFonts w:ascii="Times New Roman" w:hAnsi="Times New Roman"/>
          <w:sz w:val="24"/>
          <w:szCs w:val="24"/>
        </w:rPr>
        <w:t>9</w:t>
      </w:r>
      <w:r>
        <w:rPr>
          <w:rFonts w:ascii="Times New Roman" w:hAnsi="Times New Roman"/>
          <w:sz w:val="24"/>
          <w:szCs w:val="24"/>
        </w:rPr>
        <w:t xml:space="preserve">, total federally collected revenue has a positive relationship with petroleum profit tax and companies income tax. This is </w:t>
      </w:r>
      <w:r w:rsidR="00381E31">
        <w:rPr>
          <w:rFonts w:ascii="Times New Roman" w:hAnsi="Times New Roman"/>
          <w:sz w:val="24"/>
          <w:szCs w:val="24"/>
        </w:rPr>
        <w:t>evidence</w:t>
      </w:r>
      <w:r>
        <w:rPr>
          <w:rFonts w:ascii="Times New Roman" w:hAnsi="Times New Roman"/>
          <w:sz w:val="24"/>
          <w:szCs w:val="24"/>
        </w:rPr>
        <w:t xml:space="preserve"> that taxation by the government increases her revenue. The resultant effect of rise in government revenue would be increase in government expenditure. Value added tax was the only source of government revenue that has negative relationship with total federally collected revenue. This implies that increasing VAT on certain essential commodities such </w:t>
      </w:r>
      <w:r w:rsidR="00821FD0">
        <w:rPr>
          <w:rFonts w:ascii="Times New Roman" w:hAnsi="Times New Roman"/>
          <w:sz w:val="24"/>
          <w:szCs w:val="24"/>
        </w:rPr>
        <w:t xml:space="preserve">alcohol, luxury cars, and wrist watches among others </w:t>
      </w:r>
      <w:r>
        <w:rPr>
          <w:rFonts w:ascii="Times New Roman" w:hAnsi="Times New Roman"/>
          <w:sz w:val="24"/>
          <w:szCs w:val="24"/>
        </w:rPr>
        <w:t xml:space="preserve">would deter the citizens from </w:t>
      </w:r>
      <w:r w:rsidR="00821FD0">
        <w:rPr>
          <w:rFonts w:ascii="Times New Roman" w:hAnsi="Times New Roman"/>
          <w:sz w:val="24"/>
          <w:szCs w:val="24"/>
        </w:rPr>
        <w:t>the purchase</w:t>
      </w:r>
      <w:r>
        <w:rPr>
          <w:rFonts w:ascii="Times New Roman" w:hAnsi="Times New Roman"/>
          <w:sz w:val="24"/>
          <w:szCs w:val="24"/>
        </w:rPr>
        <w:t xml:space="preserve"> of such commodities. This would lead to reduction in government revenue generated from value added tax. This supports the finding of </w:t>
      </w:r>
      <w:proofErr w:type="spellStart"/>
      <w:r>
        <w:rPr>
          <w:rFonts w:ascii="Times New Roman" w:hAnsi="Times New Roman"/>
          <w:sz w:val="24"/>
          <w:szCs w:val="24"/>
        </w:rPr>
        <w:t>Onaolapo</w:t>
      </w:r>
      <w:proofErr w:type="spellEnd"/>
      <w:r>
        <w:rPr>
          <w:rFonts w:ascii="Times New Roman" w:hAnsi="Times New Roman"/>
          <w:sz w:val="24"/>
          <w:szCs w:val="24"/>
        </w:rPr>
        <w:t xml:space="preserve">, </w:t>
      </w:r>
      <w:proofErr w:type="spellStart"/>
      <w:r>
        <w:rPr>
          <w:rFonts w:ascii="Times New Roman" w:hAnsi="Times New Roman"/>
          <w:sz w:val="24"/>
          <w:szCs w:val="24"/>
        </w:rPr>
        <w:t>Aworemi</w:t>
      </w:r>
      <w:proofErr w:type="spellEnd"/>
      <w:r>
        <w:rPr>
          <w:rFonts w:ascii="Times New Roman" w:hAnsi="Times New Roman"/>
          <w:sz w:val="24"/>
          <w:szCs w:val="24"/>
        </w:rPr>
        <w:t xml:space="preserve"> and </w:t>
      </w:r>
      <w:proofErr w:type="spellStart"/>
      <w:r>
        <w:rPr>
          <w:rFonts w:ascii="Times New Roman" w:hAnsi="Times New Roman"/>
          <w:sz w:val="24"/>
          <w:szCs w:val="24"/>
        </w:rPr>
        <w:t>Ajala</w:t>
      </w:r>
      <w:proofErr w:type="spellEnd"/>
      <w:r>
        <w:rPr>
          <w:rFonts w:ascii="Times New Roman" w:hAnsi="Times New Roman"/>
          <w:sz w:val="24"/>
          <w:szCs w:val="24"/>
        </w:rPr>
        <w:t xml:space="preserve"> (2013) that value added tax is negatively related with revenue generation in Nigeria. However, this is in disagreement with the results of </w:t>
      </w:r>
      <w:proofErr w:type="spellStart"/>
      <w:r>
        <w:rPr>
          <w:rFonts w:ascii="Times New Roman" w:hAnsi="Times New Roman"/>
          <w:sz w:val="24"/>
          <w:szCs w:val="24"/>
        </w:rPr>
        <w:t>Kwaji</w:t>
      </w:r>
      <w:proofErr w:type="spellEnd"/>
      <w:r>
        <w:rPr>
          <w:rFonts w:ascii="Times New Roman" w:hAnsi="Times New Roman"/>
          <w:sz w:val="24"/>
          <w:szCs w:val="24"/>
        </w:rPr>
        <w:t xml:space="preserve"> and </w:t>
      </w:r>
      <w:proofErr w:type="spellStart"/>
      <w:r>
        <w:rPr>
          <w:rFonts w:ascii="Times New Roman" w:hAnsi="Times New Roman"/>
          <w:sz w:val="24"/>
          <w:szCs w:val="24"/>
        </w:rPr>
        <w:t>Ishaya</w:t>
      </w:r>
      <w:proofErr w:type="spellEnd"/>
      <w:r>
        <w:rPr>
          <w:rFonts w:ascii="Times New Roman" w:hAnsi="Times New Roman"/>
          <w:sz w:val="24"/>
          <w:szCs w:val="24"/>
        </w:rPr>
        <w:t xml:space="preserve"> (2017) and Olawale (2014) that value added tax positively related with total federally collated revenue. </w:t>
      </w:r>
    </w:p>
    <w:p w14:paraId="7BA9C4CD" w14:textId="1B6F9216" w:rsidR="0062084B" w:rsidRDefault="0062084B" w:rsidP="002E24C4">
      <w:pPr>
        <w:pStyle w:val="ListParagraph"/>
        <w:spacing w:line="240" w:lineRule="auto"/>
        <w:ind w:firstLine="720"/>
        <w:jc w:val="both"/>
        <w:rPr>
          <w:rFonts w:ascii="Times New Roman" w:hAnsi="Times New Roman"/>
          <w:sz w:val="24"/>
          <w:szCs w:val="24"/>
        </w:rPr>
      </w:pPr>
      <w:r>
        <w:rPr>
          <w:rFonts w:ascii="Times New Roman" w:hAnsi="Times New Roman"/>
          <w:sz w:val="24"/>
          <w:szCs w:val="24"/>
        </w:rPr>
        <w:t xml:space="preserve">Petroleum profit tax significantly having a significant effect on total federally collected revenue in Nigeria points to the fact that oil still </w:t>
      </w:r>
      <w:r w:rsidR="00C1097E">
        <w:rPr>
          <w:rFonts w:ascii="Times New Roman" w:hAnsi="Times New Roman"/>
          <w:sz w:val="24"/>
          <w:szCs w:val="24"/>
        </w:rPr>
        <w:t>remains</w:t>
      </w:r>
      <w:r>
        <w:rPr>
          <w:rFonts w:ascii="Times New Roman" w:hAnsi="Times New Roman"/>
          <w:sz w:val="24"/>
          <w:szCs w:val="24"/>
        </w:rPr>
        <w:t xml:space="preserve"> the major source of revenue. With this, the </w:t>
      </w:r>
      <w:r w:rsidR="00C1097E">
        <w:rPr>
          <w:rFonts w:ascii="Times New Roman" w:hAnsi="Times New Roman"/>
          <w:sz w:val="24"/>
          <w:szCs w:val="24"/>
        </w:rPr>
        <w:t>claims in literature that oil constitutes over 80% of the Federal Government of Nigeria revenue are</w:t>
      </w:r>
      <w:r>
        <w:rPr>
          <w:rFonts w:ascii="Times New Roman" w:hAnsi="Times New Roman"/>
          <w:sz w:val="24"/>
          <w:szCs w:val="24"/>
        </w:rPr>
        <w:t xml:space="preserve"> undisputed. This affirms the studies of </w:t>
      </w:r>
      <w:proofErr w:type="spellStart"/>
      <w:r>
        <w:rPr>
          <w:rFonts w:ascii="Times New Roman" w:hAnsi="Times New Roman"/>
          <w:sz w:val="24"/>
          <w:szCs w:val="24"/>
        </w:rPr>
        <w:t>Maduga</w:t>
      </w:r>
      <w:proofErr w:type="spellEnd"/>
      <w:r>
        <w:rPr>
          <w:rFonts w:ascii="Times New Roman" w:hAnsi="Times New Roman"/>
          <w:sz w:val="24"/>
          <w:szCs w:val="24"/>
        </w:rPr>
        <w:t xml:space="preserve">, </w:t>
      </w:r>
      <w:proofErr w:type="spellStart"/>
      <w:r>
        <w:rPr>
          <w:rFonts w:ascii="Times New Roman" w:hAnsi="Times New Roman"/>
          <w:sz w:val="24"/>
          <w:szCs w:val="24"/>
        </w:rPr>
        <w:t>Ekwe</w:t>
      </w:r>
      <w:proofErr w:type="spellEnd"/>
      <w:r>
        <w:rPr>
          <w:rFonts w:ascii="Times New Roman" w:hAnsi="Times New Roman"/>
          <w:sz w:val="24"/>
          <w:szCs w:val="24"/>
        </w:rPr>
        <w:t xml:space="preserve"> and Kalu (2015), Olawale (2014), </w:t>
      </w:r>
      <w:proofErr w:type="spellStart"/>
      <w:r>
        <w:rPr>
          <w:rFonts w:ascii="Times New Roman" w:hAnsi="Times New Roman"/>
          <w:sz w:val="24"/>
          <w:szCs w:val="24"/>
        </w:rPr>
        <w:t>Onaolapo</w:t>
      </w:r>
      <w:proofErr w:type="spellEnd"/>
      <w:r>
        <w:rPr>
          <w:rFonts w:ascii="Times New Roman" w:hAnsi="Times New Roman"/>
          <w:sz w:val="24"/>
          <w:szCs w:val="24"/>
        </w:rPr>
        <w:t xml:space="preserve">, </w:t>
      </w:r>
      <w:proofErr w:type="spellStart"/>
      <w:r>
        <w:rPr>
          <w:rFonts w:ascii="Times New Roman" w:hAnsi="Times New Roman"/>
          <w:sz w:val="24"/>
          <w:szCs w:val="24"/>
        </w:rPr>
        <w:t>Aworemi</w:t>
      </w:r>
      <w:proofErr w:type="spellEnd"/>
      <w:r>
        <w:rPr>
          <w:rFonts w:ascii="Times New Roman" w:hAnsi="Times New Roman"/>
          <w:sz w:val="24"/>
          <w:szCs w:val="24"/>
        </w:rPr>
        <w:t xml:space="preserve"> and </w:t>
      </w:r>
      <w:proofErr w:type="spellStart"/>
      <w:r>
        <w:rPr>
          <w:rFonts w:ascii="Times New Roman" w:hAnsi="Times New Roman"/>
          <w:sz w:val="24"/>
          <w:szCs w:val="24"/>
        </w:rPr>
        <w:t>Ajala</w:t>
      </w:r>
      <w:proofErr w:type="spellEnd"/>
      <w:r>
        <w:rPr>
          <w:rFonts w:ascii="Times New Roman" w:hAnsi="Times New Roman"/>
          <w:sz w:val="24"/>
          <w:szCs w:val="24"/>
        </w:rPr>
        <w:t xml:space="preserve"> (2013) and </w:t>
      </w:r>
      <w:proofErr w:type="spellStart"/>
      <w:r>
        <w:rPr>
          <w:rFonts w:ascii="Times New Roman" w:hAnsi="Times New Roman"/>
          <w:sz w:val="24"/>
          <w:szCs w:val="24"/>
        </w:rPr>
        <w:t>Kwaji</w:t>
      </w:r>
      <w:proofErr w:type="spellEnd"/>
      <w:r>
        <w:rPr>
          <w:rFonts w:ascii="Times New Roman" w:hAnsi="Times New Roman"/>
          <w:sz w:val="24"/>
          <w:szCs w:val="24"/>
        </w:rPr>
        <w:t xml:space="preserve"> and </w:t>
      </w:r>
      <w:proofErr w:type="spellStart"/>
      <w:r>
        <w:rPr>
          <w:rFonts w:ascii="Times New Roman" w:hAnsi="Times New Roman"/>
          <w:sz w:val="24"/>
          <w:szCs w:val="24"/>
        </w:rPr>
        <w:t>Ishaya</w:t>
      </w:r>
      <w:proofErr w:type="spellEnd"/>
      <w:r>
        <w:rPr>
          <w:rFonts w:ascii="Times New Roman" w:hAnsi="Times New Roman"/>
          <w:sz w:val="24"/>
          <w:szCs w:val="24"/>
        </w:rPr>
        <w:t xml:space="preserve"> (2017). Companies’ income tax and stamp duties having a positive relationship with total federally collected revenue tallies with </w:t>
      </w:r>
      <w:proofErr w:type="spellStart"/>
      <w:r>
        <w:rPr>
          <w:rFonts w:ascii="Times New Roman" w:hAnsi="Times New Roman"/>
          <w:sz w:val="24"/>
          <w:szCs w:val="24"/>
        </w:rPr>
        <w:t>Maduga</w:t>
      </w:r>
      <w:proofErr w:type="spellEnd"/>
      <w:r>
        <w:rPr>
          <w:rFonts w:ascii="Times New Roman" w:hAnsi="Times New Roman"/>
          <w:sz w:val="24"/>
          <w:szCs w:val="24"/>
        </w:rPr>
        <w:t xml:space="preserve">, </w:t>
      </w:r>
      <w:proofErr w:type="spellStart"/>
      <w:r>
        <w:rPr>
          <w:rFonts w:ascii="Times New Roman" w:hAnsi="Times New Roman"/>
          <w:sz w:val="24"/>
          <w:szCs w:val="24"/>
        </w:rPr>
        <w:t>Ekwe</w:t>
      </w:r>
      <w:proofErr w:type="spellEnd"/>
      <w:r>
        <w:rPr>
          <w:rFonts w:ascii="Times New Roman" w:hAnsi="Times New Roman"/>
          <w:sz w:val="24"/>
          <w:szCs w:val="24"/>
        </w:rPr>
        <w:t xml:space="preserve"> and Kalu (2015), </w:t>
      </w:r>
      <w:proofErr w:type="spellStart"/>
      <w:r>
        <w:rPr>
          <w:rFonts w:ascii="Times New Roman" w:hAnsi="Times New Roman"/>
          <w:sz w:val="24"/>
          <w:szCs w:val="24"/>
        </w:rPr>
        <w:t>Onaolapo</w:t>
      </w:r>
      <w:proofErr w:type="spellEnd"/>
      <w:r>
        <w:rPr>
          <w:rFonts w:ascii="Times New Roman" w:hAnsi="Times New Roman"/>
          <w:sz w:val="24"/>
          <w:szCs w:val="24"/>
        </w:rPr>
        <w:t xml:space="preserve">, </w:t>
      </w:r>
      <w:proofErr w:type="spellStart"/>
      <w:r>
        <w:rPr>
          <w:rFonts w:ascii="Times New Roman" w:hAnsi="Times New Roman"/>
          <w:sz w:val="24"/>
          <w:szCs w:val="24"/>
        </w:rPr>
        <w:t>Aworemi</w:t>
      </w:r>
      <w:proofErr w:type="spellEnd"/>
      <w:r>
        <w:rPr>
          <w:rFonts w:ascii="Times New Roman" w:hAnsi="Times New Roman"/>
          <w:sz w:val="24"/>
          <w:szCs w:val="24"/>
        </w:rPr>
        <w:t xml:space="preserve"> and </w:t>
      </w:r>
      <w:proofErr w:type="spellStart"/>
      <w:r>
        <w:rPr>
          <w:rFonts w:ascii="Times New Roman" w:hAnsi="Times New Roman"/>
          <w:sz w:val="24"/>
          <w:szCs w:val="24"/>
        </w:rPr>
        <w:t>Ajala</w:t>
      </w:r>
      <w:proofErr w:type="spellEnd"/>
      <w:r>
        <w:rPr>
          <w:rFonts w:ascii="Times New Roman" w:hAnsi="Times New Roman"/>
          <w:sz w:val="24"/>
          <w:szCs w:val="24"/>
        </w:rPr>
        <w:t xml:space="preserve"> (2013), </w:t>
      </w:r>
      <w:proofErr w:type="spellStart"/>
      <w:r>
        <w:rPr>
          <w:rFonts w:ascii="Times New Roman" w:hAnsi="Times New Roman"/>
          <w:sz w:val="24"/>
          <w:szCs w:val="24"/>
        </w:rPr>
        <w:t>Kwaji</w:t>
      </w:r>
      <w:proofErr w:type="spellEnd"/>
      <w:r>
        <w:rPr>
          <w:rFonts w:ascii="Times New Roman" w:hAnsi="Times New Roman"/>
          <w:sz w:val="24"/>
          <w:szCs w:val="24"/>
        </w:rPr>
        <w:t xml:space="preserve"> and </w:t>
      </w:r>
      <w:proofErr w:type="spellStart"/>
      <w:r>
        <w:rPr>
          <w:rFonts w:ascii="Times New Roman" w:hAnsi="Times New Roman"/>
          <w:sz w:val="24"/>
          <w:szCs w:val="24"/>
        </w:rPr>
        <w:t>Ishaya</w:t>
      </w:r>
      <w:proofErr w:type="spellEnd"/>
      <w:r>
        <w:rPr>
          <w:rFonts w:ascii="Times New Roman" w:hAnsi="Times New Roman"/>
          <w:sz w:val="24"/>
          <w:szCs w:val="24"/>
        </w:rPr>
        <w:t xml:space="preserve"> (2017) and Olawale (2014). The gr</w:t>
      </w:r>
      <w:r w:rsidR="00821FD0">
        <w:rPr>
          <w:rFonts w:ascii="Times New Roman" w:hAnsi="Times New Roman"/>
          <w:sz w:val="24"/>
          <w:szCs w:val="24"/>
        </w:rPr>
        <w:t>anger causality test in Table 10</w:t>
      </w:r>
      <w:r>
        <w:rPr>
          <w:rFonts w:ascii="Times New Roman" w:hAnsi="Times New Roman"/>
          <w:sz w:val="24"/>
          <w:szCs w:val="24"/>
        </w:rPr>
        <w:t xml:space="preserve"> provides evidence that the various sources of taxation have no causal relationship with total federally collected revenue in Nigeria. Put differently, the yearly revenue of the government is not causally related with taxation as executed by the Federal Inland Revenue Services (FIRS) which is sole body responsible for remitting revenue from taxation to the government. This reveals the reliance of the Nigerian government on crude oil sales to generate revenue as against the diversification of the economy through agriculture, solid minerals, quarrying, mining, etc.</w:t>
      </w:r>
    </w:p>
    <w:p w14:paraId="3AEFE7F5" w14:textId="77777777" w:rsidR="002826F0" w:rsidRDefault="002826F0" w:rsidP="002E24C4">
      <w:pPr>
        <w:pStyle w:val="ListParagraph"/>
        <w:spacing w:line="240" w:lineRule="auto"/>
        <w:ind w:firstLine="720"/>
        <w:jc w:val="both"/>
        <w:rPr>
          <w:rFonts w:ascii="Times New Roman" w:hAnsi="Times New Roman"/>
          <w:sz w:val="24"/>
          <w:szCs w:val="24"/>
        </w:rPr>
      </w:pPr>
    </w:p>
    <w:p w14:paraId="20A262AB" w14:textId="77777777" w:rsidR="002826F0" w:rsidRPr="00FB0C0A" w:rsidRDefault="002826F0" w:rsidP="002826F0">
      <w:pPr>
        <w:pStyle w:val="ListParagraph"/>
        <w:numPr>
          <w:ilvl w:val="0"/>
          <w:numId w:val="1"/>
        </w:numPr>
        <w:spacing w:after="0" w:line="240" w:lineRule="auto"/>
        <w:ind w:left="714" w:hanging="357"/>
        <w:jc w:val="both"/>
        <w:rPr>
          <w:rFonts w:ascii="Times New Roman" w:hAnsi="Times New Roman"/>
          <w:sz w:val="24"/>
          <w:szCs w:val="24"/>
        </w:rPr>
      </w:pPr>
      <w:r>
        <w:tab/>
      </w:r>
      <w:r>
        <w:rPr>
          <w:rFonts w:ascii="Times New Roman" w:hAnsi="Times New Roman"/>
          <w:b/>
          <w:sz w:val="24"/>
          <w:szCs w:val="24"/>
        </w:rPr>
        <w:t>CONCLUSION AND POLICY IMPLICATION</w:t>
      </w:r>
    </w:p>
    <w:p w14:paraId="10B00A99" w14:textId="77777777" w:rsidR="002826F0" w:rsidRPr="00540F2E" w:rsidRDefault="002826F0" w:rsidP="002826F0">
      <w:pPr>
        <w:ind w:left="714" w:firstLine="720"/>
        <w:jc w:val="both"/>
        <w:rPr>
          <w:bCs/>
        </w:rPr>
      </w:pPr>
      <w:r>
        <w:t>The federal government of Nigeria has embarked and implemented policies geared toward increasing her revenue from taxation as against crude oil in recent times due to fluctuation in oil price in the international market. This study examined the effect of taxation on revenue generation in Nigeria. From the findings from this study, it is concluded that taxation has not significantly affected revenue generation by the Federal Government of Nigeria.</w:t>
      </w:r>
      <w:r w:rsidR="00C1097E">
        <w:t xml:space="preserve"> </w:t>
      </w:r>
      <w:r w:rsidRPr="00771BDA">
        <w:rPr>
          <w:bCs/>
        </w:rPr>
        <w:t xml:space="preserve">In view of the findings of this research work, </w:t>
      </w:r>
      <w:r>
        <w:rPr>
          <w:bCs/>
        </w:rPr>
        <w:t>it is suggested that t</w:t>
      </w:r>
      <w:r>
        <w:t xml:space="preserve">he </w:t>
      </w:r>
      <w:r w:rsidRPr="00E95506">
        <w:rPr>
          <w:bCs/>
        </w:rPr>
        <w:t>value added tax bases be widened to bring the informal sector into the value added tax net so as to stem possible evasion even by the so faithfully complying under the old rate.</w:t>
      </w:r>
      <w:r>
        <w:rPr>
          <w:bCs/>
        </w:rPr>
        <w:t xml:space="preserve"> Secondly, this study proposes that petroleum profit tax rates</w:t>
      </w:r>
      <w:r w:rsidRPr="00CF6C81">
        <w:rPr>
          <w:bCs/>
        </w:rPr>
        <w:t xml:space="preserve"> in Nigeria be increased as it will lead to additional revenue to the government when applied to tax objec</w:t>
      </w:r>
      <w:r>
        <w:rPr>
          <w:bCs/>
        </w:rPr>
        <w:t xml:space="preserve">t. This is based on the significant effect of petroleum profit tax on total federally collected revenue. Finally, the </w:t>
      </w:r>
      <w:r w:rsidRPr="00471ED7">
        <w:rPr>
          <w:bCs/>
        </w:rPr>
        <w:t xml:space="preserve">Federal Government </w:t>
      </w:r>
      <w:r>
        <w:rPr>
          <w:bCs/>
        </w:rPr>
        <w:t>may consider</w:t>
      </w:r>
      <w:r w:rsidRPr="00471ED7">
        <w:rPr>
          <w:bCs/>
        </w:rPr>
        <w:t xml:space="preserve"> as a matter of urgency reduce tax incentives granted to corporations in Nigeria as this will increase their taxable income or</w:t>
      </w:r>
      <w:r w:rsidR="00381E31">
        <w:rPr>
          <w:bCs/>
        </w:rPr>
        <w:t xml:space="preserve"> </w:t>
      </w:r>
      <w:r w:rsidRPr="00CF6C81">
        <w:rPr>
          <w:bCs/>
        </w:rPr>
        <w:t>profit hence increase their tax liability and lead to increase in Government revenue generated through taxation.</w:t>
      </w:r>
    </w:p>
    <w:p w14:paraId="4C934634" w14:textId="77777777" w:rsidR="002826F0" w:rsidRDefault="002826F0" w:rsidP="00EA50F1">
      <w:pPr>
        <w:jc w:val="both"/>
      </w:pPr>
    </w:p>
    <w:p w14:paraId="48F922B0" w14:textId="77777777" w:rsidR="00EA50F1" w:rsidRDefault="00EA50F1" w:rsidP="00EA50F1">
      <w:pPr>
        <w:jc w:val="both"/>
      </w:pPr>
    </w:p>
    <w:p w14:paraId="18B4A610" w14:textId="77777777" w:rsidR="00EA50F1" w:rsidRDefault="00EA50F1" w:rsidP="00EA50F1">
      <w:pPr>
        <w:jc w:val="both"/>
      </w:pPr>
    </w:p>
    <w:p w14:paraId="096A815D" w14:textId="77777777" w:rsidR="00EA50F1" w:rsidRDefault="00EA50F1" w:rsidP="00EA50F1">
      <w:pPr>
        <w:jc w:val="both"/>
      </w:pPr>
    </w:p>
    <w:p w14:paraId="55F18E0C" w14:textId="77777777" w:rsidR="00EA50F1" w:rsidRDefault="00EA50F1" w:rsidP="00EA50F1">
      <w:pPr>
        <w:jc w:val="both"/>
      </w:pPr>
    </w:p>
    <w:p w14:paraId="2EE34438" w14:textId="77777777" w:rsidR="00EA50F1" w:rsidRPr="008008C7" w:rsidRDefault="008008C7" w:rsidP="008008C7">
      <w:pPr>
        <w:jc w:val="center"/>
        <w:rPr>
          <w:b/>
        </w:rPr>
      </w:pPr>
      <w:r w:rsidRPr="008008C7">
        <w:rPr>
          <w:b/>
        </w:rPr>
        <w:t>REFERENCES</w:t>
      </w:r>
    </w:p>
    <w:p w14:paraId="5FBCD45C" w14:textId="77777777" w:rsidR="008008C7" w:rsidRDefault="008008C7" w:rsidP="008008C7">
      <w:pPr>
        <w:jc w:val="both"/>
      </w:pPr>
      <w:r>
        <w:t>Abiola, J.</w:t>
      </w:r>
      <w:r w:rsidRPr="0061666F">
        <w:t xml:space="preserve"> O.</w:t>
      </w:r>
      <w:r>
        <w:t xml:space="preserve"> (2014). </w:t>
      </w:r>
      <w:r w:rsidRPr="0061666F">
        <w:t>Widening the tax net: lessons from Lagos state, Nigeria</w:t>
      </w:r>
      <w:r>
        <w:t>. Accessed 30</w:t>
      </w:r>
      <w:r w:rsidRPr="0061666F">
        <w:rPr>
          <w:vertAlign w:val="superscript"/>
        </w:rPr>
        <w:t>th</w:t>
      </w:r>
    </w:p>
    <w:p w14:paraId="6A2BBA37" w14:textId="77777777" w:rsidR="008008C7" w:rsidRDefault="008008C7" w:rsidP="008008C7">
      <w:pPr>
        <w:ind w:firstLine="720"/>
        <w:jc w:val="both"/>
      </w:pPr>
      <w:r>
        <w:t>April, 2018. Available: Electronic copy available</w:t>
      </w:r>
      <w:r w:rsidRPr="0061666F">
        <w:t xml:space="preserve">: </w:t>
      </w:r>
      <w:hyperlink r:id="rId10" w:history="1">
        <w:r w:rsidRPr="00C1097E">
          <w:rPr>
            <w:rStyle w:val="Hyperlink"/>
            <w:color w:val="auto"/>
            <w:u w:val="none"/>
          </w:rPr>
          <w:t>http://ssrn.com/abstract=2515207</w:t>
        </w:r>
      </w:hyperlink>
      <w:r w:rsidRPr="00C1097E">
        <w:t>.</w:t>
      </w:r>
    </w:p>
    <w:p w14:paraId="2A93C64B" w14:textId="77777777" w:rsidR="008008C7" w:rsidRDefault="008008C7" w:rsidP="008008C7">
      <w:pPr>
        <w:jc w:val="both"/>
      </w:pPr>
    </w:p>
    <w:p w14:paraId="022AFDD2" w14:textId="77777777" w:rsidR="008008C7" w:rsidRDefault="008008C7" w:rsidP="008008C7">
      <w:pPr>
        <w:jc w:val="both"/>
      </w:pPr>
      <w:r w:rsidRPr="00017CEA">
        <w:t>Abiola</w:t>
      </w:r>
      <w:r>
        <w:t xml:space="preserve">, J. and </w:t>
      </w:r>
      <w:proofErr w:type="spellStart"/>
      <w:r w:rsidRPr="00017CEA">
        <w:t>Asiweh</w:t>
      </w:r>
      <w:proofErr w:type="spellEnd"/>
      <w:r>
        <w:t xml:space="preserve">, M. (2012). </w:t>
      </w:r>
      <w:r w:rsidRPr="00017CEA">
        <w:t xml:space="preserve">Impact of tax administration on government revenue in a </w:t>
      </w:r>
    </w:p>
    <w:p w14:paraId="46581B35" w14:textId="77777777" w:rsidR="00EA50F1" w:rsidRDefault="008008C7" w:rsidP="008008C7">
      <w:pPr>
        <w:ind w:left="720"/>
        <w:jc w:val="both"/>
      </w:pPr>
      <w:r>
        <w:t>developing economy – A</w:t>
      </w:r>
      <w:r w:rsidRPr="00017CEA">
        <w:t xml:space="preserve"> case study of Nigeria</w:t>
      </w:r>
      <w:r>
        <w:t xml:space="preserve">. </w:t>
      </w:r>
      <w:r w:rsidRPr="00017CEA">
        <w:rPr>
          <w:i/>
        </w:rPr>
        <w:t>International Journal of Business and Social Science, 3</w:t>
      </w:r>
      <w:r>
        <w:t>(</w:t>
      </w:r>
      <w:r w:rsidRPr="00017CEA">
        <w:t>8</w:t>
      </w:r>
      <w:r>
        <w:t>), 99-113.</w:t>
      </w:r>
    </w:p>
    <w:p w14:paraId="3D18A9C1" w14:textId="77777777" w:rsidR="00FF14F3" w:rsidRDefault="00FF14F3" w:rsidP="008008C7">
      <w:pPr>
        <w:ind w:left="720"/>
        <w:jc w:val="both"/>
      </w:pPr>
    </w:p>
    <w:p w14:paraId="7635385D" w14:textId="77777777" w:rsidR="003A0A86" w:rsidRDefault="003A0A86" w:rsidP="003A0A86">
      <w:r w:rsidRPr="003A0A86">
        <w:t>Adebayo</w:t>
      </w:r>
      <w:r>
        <w:t xml:space="preserve">, A. A., </w:t>
      </w:r>
      <w:r w:rsidRPr="003A0A86">
        <w:t>Adeyemi</w:t>
      </w:r>
      <w:r>
        <w:t>, A. Z. &amp;</w:t>
      </w:r>
      <w:proofErr w:type="spellStart"/>
      <w:r w:rsidRPr="003A0A86">
        <w:t>Osunwole</w:t>
      </w:r>
      <w:proofErr w:type="spellEnd"/>
      <w:r>
        <w:t xml:space="preserve">, O. O. (2022). </w:t>
      </w:r>
      <w:r w:rsidRPr="003A0A86">
        <w:t xml:space="preserve">Tax administration and revenue </w:t>
      </w:r>
    </w:p>
    <w:p w14:paraId="72C02D29" w14:textId="77777777" w:rsidR="003A0A86" w:rsidRPr="003A0A86" w:rsidRDefault="003A0A86" w:rsidP="003A0A86">
      <w:pPr>
        <w:ind w:left="720"/>
      </w:pPr>
      <w:r w:rsidRPr="003A0A86">
        <w:t>generation: A perspective of Osun Internal Revenue Service</w:t>
      </w:r>
      <w:r>
        <w:t xml:space="preserve">. </w:t>
      </w:r>
      <w:proofErr w:type="spellStart"/>
      <w:r w:rsidRPr="003A0A86">
        <w:rPr>
          <w:i/>
        </w:rPr>
        <w:t>EuroEconomica</w:t>
      </w:r>
      <w:proofErr w:type="spellEnd"/>
      <w:r w:rsidRPr="003A0A86">
        <w:rPr>
          <w:i/>
        </w:rPr>
        <w:t>, 1</w:t>
      </w:r>
      <w:r w:rsidRPr="003A0A86">
        <w:t>(41)</w:t>
      </w:r>
      <w:r>
        <w:t>, 112-124.</w:t>
      </w:r>
    </w:p>
    <w:p w14:paraId="519174F4" w14:textId="77777777" w:rsidR="003A0A86" w:rsidRDefault="003A0A86" w:rsidP="00FF14F3">
      <w:pPr>
        <w:jc w:val="both"/>
      </w:pPr>
    </w:p>
    <w:p w14:paraId="5440A69B" w14:textId="77777777" w:rsidR="0021378F" w:rsidRDefault="0021378F" w:rsidP="00FF14F3">
      <w:pPr>
        <w:jc w:val="both"/>
        <w:rPr>
          <w:i/>
        </w:rPr>
      </w:pPr>
      <w:r>
        <w:t xml:space="preserve">Adegbite, </w:t>
      </w:r>
      <w:r w:rsidRPr="0021378F">
        <w:t xml:space="preserve">T. A. &amp; </w:t>
      </w:r>
      <w:proofErr w:type="spellStart"/>
      <w:r w:rsidRPr="0021378F">
        <w:t>Fasina</w:t>
      </w:r>
      <w:proofErr w:type="spellEnd"/>
      <w:r>
        <w:t xml:space="preserve">, </w:t>
      </w:r>
      <w:r w:rsidRPr="0021378F">
        <w:t>H. T.</w:t>
      </w:r>
      <w:r>
        <w:t xml:space="preserve"> (2019). </w:t>
      </w:r>
      <w:r w:rsidRPr="0021378F">
        <w:t xml:space="preserve">Taxation and revenue generation in </w:t>
      </w:r>
      <w:proofErr w:type="spellStart"/>
      <w:r w:rsidRPr="0021378F">
        <w:t>Nigeria</w:t>
      </w:r>
      <w:r>
        <w:t>.</w:t>
      </w:r>
      <w:r w:rsidRPr="0021378F">
        <w:rPr>
          <w:i/>
        </w:rPr>
        <w:t>Accounting</w:t>
      </w:r>
      <w:proofErr w:type="spellEnd"/>
      <w:r w:rsidRPr="0021378F">
        <w:rPr>
          <w:i/>
        </w:rPr>
        <w:t xml:space="preserve"> </w:t>
      </w:r>
    </w:p>
    <w:p w14:paraId="4F446CB6" w14:textId="77777777" w:rsidR="0021378F" w:rsidRDefault="0021378F" w:rsidP="0021378F">
      <w:pPr>
        <w:ind w:firstLine="720"/>
        <w:jc w:val="both"/>
      </w:pPr>
      <w:r w:rsidRPr="0021378F">
        <w:rPr>
          <w:i/>
        </w:rPr>
        <w:t>and Taxation Review, 3</w:t>
      </w:r>
      <w:r>
        <w:t>(1),</w:t>
      </w:r>
      <w:r w:rsidRPr="0021378F">
        <w:t xml:space="preserve"> 82-92</w:t>
      </w:r>
      <w:r>
        <w:t>.</w:t>
      </w:r>
    </w:p>
    <w:p w14:paraId="0F0B6B3F" w14:textId="77777777" w:rsidR="0021378F" w:rsidRDefault="0021378F" w:rsidP="00FF14F3">
      <w:pPr>
        <w:jc w:val="both"/>
      </w:pPr>
    </w:p>
    <w:p w14:paraId="441DFD4B" w14:textId="77777777" w:rsidR="00FF14F3" w:rsidRDefault="00FF14F3" w:rsidP="00FF14F3">
      <w:pPr>
        <w:jc w:val="both"/>
      </w:pPr>
      <w:proofErr w:type="spellStart"/>
      <w:r>
        <w:t>Afuberoh</w:t>
      </w:r>
      <w:proofErr w:type="spellEnd"/>
      <w:r>
        <w:t xml:space="preserve">, D. and Okoye, E. (2014). </w:t>
      </w:r>
      <w:r w:rsidRPr="0061666F">
        <w:t xml:space="preserve">The impact of taxation on </w:t>
      </w:r>
      <w:r>
        <w:t xml:space="preserve">revenue generation in Nigeria: </w:t>
      </w:r>
    </w:p>
    <w:p w14:paraId="4D8B02EF" w14:textId="77777777" w:rsidR="00FF14F3" w:rsidRDefault="00FF14F3" w:rsidP="00FF14F3">
      <w:pPr>
        <w:ind w:left="720"/>
        <w:jc w:val="both"/>
      </w:pPr>
      <w:r>
        <w:t>A</w:t>
      </w:r>
      <w:r w:rsidRPr="0061666F">
        <w:t xml:space="preserve"> study of Federal Capital Territory and selected states</w:t>
      </w:r>
      <w:r>
        <w:t xml:space="preserve">. </w:t>
      </w:r>
      <w:r w:rsidRPr="0061666F">
        <w:rPr>
          <w:i/>
        </w:rPr>
        <w:t>International Journal of Public Administration and Management Research, 2</w:t>
      </w:r>
      <w:r>
        <w:t>(</w:t>
      </w:r>
      <w:r w:rsidRPr="0061666F">
        <w:t>2</w:t>
      </w:r>
      <w:r>
        <w:t>), 22-47.</w:t>
      </w:r>
    </w:p>
    <w:p w14:paraId="68FC58BF" w14:textId="77777777" w:rsidR="00FF14F3" w:rsidRDefault="00FF14F3" w:rsidP="00FF14F3">
      <w:pPr>
        <w:jc w:val="both"/>
      </w:pPr>
    </w:p>
    <w:p w14:paraId="33E593FE" w14:textId="77777777" w:rsidR="00FF14F3" w:rsidRDefault="00FF14F3" w:rsidP="00FF14F3">
      <w:pPr>
        <w:jc w:val="both"/>
      </w:pPr>
      <w:r w:rsidRPr="001B7738">
        <w:t>Ap</w:t>
      </w:r>
      <w:r>
        <w:t>pah, E.(</w:t>
      </w:r>
      <w:r w:rsidRPr="001B7738">
        <w:t>2011</w:t>
      </w:r>
      <w:r>
        <w:t>)</w:t>
      </w:r>
      <w:r w:rsidRPr="001B7738">
        <w:t>. C</w:t>
      </w:r>
      <w:r>
        <w:t xml:space="preserve">ooperate tax incentive: A tool for the economic growth and </w:t>
      </w:r>
      <w:r w:rsidRPr="001B7738">
        <w:t>develop</w:t>
      </w:r>
      <w:r>
        <w:t xml:space="preserve">ment </w:t>
      </w:r>
    </w:p>
    <w:p w14:paraId="096B53BD" w14:textId="77777777" w:rsidR="00FF14F3" w:rsidRDefault="00FF14F3" w:rsidP="00FF14F3">
      <w:pPr>
        <w:ind w:firstLine="720"/>
        <w:jc w:val="both"/>
      </w:pPr>
      <w:r>
        <w:t xml:space="preserve">of Nigeria. </w:t>
      </w:r>
      <w:r w:rsidRPr="001B7738">
        <w:rPr>
          <w:i/>
        </w:rPr>
        <w:t>International Journal of Social Sciences, 3</w:t>
      </w:r>
      <w:r>
        <w:t>(2),</w:t>
      </w:r>
      <w:r w:rsidRPr="001B7738">
        <w:t xml:space="preserve"> 20- 27.</w:t>
      </w:r>
    </w:p>
    <w:p w14:paraId="757832AD" w14:textId="77777777" w:rsidR="00FF14F3" w:rsidRDefault="00FF14F3" w:rsidP="008008C7">
      <w:pPr>
        <w:ind w:left="720"/>
        <w:jc w:val="both"/>
      </w:pPr>
    </w:p>
    <w:p w14:paraId="1F3D1FD2" w14:textId="77777777" w:rsidR="00FF14F3" w:rsidRDefault="00FF14F3" w:rsidP="00FF14F3">
      <w:pPr>
        <w:jc w:val="both"/>
      </w:pPr>
      <w:r w:rsidRPr="00787B90">
        <w:t>Bereket</w:t>
      </w:r>
      <w:r>
        <w:t xml:space="preserve">, S. and </w:t>
      </w:r>
      <w:r w:rsidRPr="00787B90">
        <w:t>Durga</w:t>
      </w:r>
      <w:r>
        <w:t xml:space="preserve">, R. P. V. (2018). </w:t>
      </w:r>
      <w:r w:rsidRPr="00787B90">
        <w:t xml:space="preserve">Analysis of the contribution of tax to the local </w:t>
      </w:r>
    </w:p>
    <w:p w14:paraId="06FA7044" w14:textId="77777777" w:rsidR="00FF14F3" w:rsidRDefault="00FF14F3" w:rsidP="00FF14F3">
      <w:pPr>
        <w:ind w:left="720"/>
        <w:jc w:val="both"/>
      </w:pPr>
      <w:r w:rsidRPr="00787B90">
        <w:t>government revenue generation</w:t>
      </w:r>
      <w:r>
        <w:t xml:space="preserve">. </w:t>
      </w:r>
      <w:r w:rsidRPr="00787B90">
        <w:rPr>
          <w:i/>
        </w:rPr>
        <w:t>International Journal of Business and Management Invention, 7</w:t>
      </w:r>
      <w:r>
        <w:t>(4), 47-56.</w:t>
      </w:r>
    </w:p>
    <w:p w14:paraId="50B1A44A" w14:textId="77777777" w:rsidR="00FF14F3" w:rsidRDefault="00FF14F3" w:rsidP="00FF14F3">
      <w:pPr>
        <w:jc w:val="both"/>
      </w:pPr>
    </w:p>
    <w:p w14:paraId="49F87E94" w14:textId="77777777" w:rsidR="00FF14F3" w:rsidRDefault="00FF14F3" w:rsidP="00FF14F3">
      <w:pPr>
        <w:jc w:val="both"/>
      </w:pPr>
      <w:r>
        <w:t>Bhartia, H. L. (</w:t>
      </w:r>
      <w:r w:rsidRPr="001B7738">
        <w:t>2010</w:t>
      </w:r>
      <w:r>
        <w:t>)</w:t>
      </w:r>
      <w:r w:rsidRPr="001B7738">
        <w:t xml:space="preserve">. </w:t>
      </w:r>
      <w:r w:rsidRPr="003D7503">
        <w:rPr>
          <w:i/>
        </w:rPr>
        <w:t>Public finance.</w:t>
      </w:r>
      <w:r w:rsidRPr="001B7738">
        <w:t xml:space="preserve"> New Delhi:  Vikas publishing house PVT Ltd.</w:t>
      </w:r>
    </w:p>
    <w:p w14:paraId="5D1CC97B" w14:textId="77777777" w:rsidR="00FF14F3" w:rsidRDefault="00FF14F3" w:rsidP="00FF14F3">
      <w:pPr>
        <w:jc w:val="both"/>
      </w:pPr>
    </w:p>
    <w:p w14:paraId="346A6C18" w14:textId="77777777" w:rsidR="00FF14F3" w:rsidRDefault="00FF14F3" w:rsidP="00FF14F3">
      <w:pPr>
        <w:jc w:val="both"/>
      </w:pPr>
      <w:r>
        <w:t>Brautigam, D.(</w:t>
      </w:r>
      <w:r w:rsidRPr="0016160C">
        <w:t>2008</w:t>
      </w:r>
      <w:r>
        <w:t>)</w:t>
      </w:r>
      <w:r w:rsidRPr="0016160C">
        <w:t xml:space="preserve">. Taxation and governance in Africa. </w:t>
      </w:r>
      <w:r>
        <w:t>Accessed 30</w:t>
      </w:r>
      <w:r w:rsidRPr="0016160C">
        <w:rPr>
          <w:vertAlign w:val="superscript"/>
        </w:rPr>
        <w:t>th</w:t>
      </w:r>
      <w:r>
        <w:t xml:space="preserve"> April, 2018. </w:t>
      </w:r>
    </w:p>
    <w:p w14:paraId="71C1AA95" w14:textId="77777777" w:rsidR="00FF14F3" w:rsidRDefault="00FF14F3" w:rsidP="00FF14F3">
      <w:pPr>
        <w:ind w:firstLine="720"/>
        <w:jc w:val="both"/>
      </w:pPr>
      <w:r>
        <w:t xml:space="preserve">Available: </w:t>
      </w:r>
      <w:hyperlink r:id="rId11" w:history="1">
        <w:r w:rsidRPr="00C1097E">
          <w:rPr>
            <w:rStyle w:val="Hyperlink"/>
            <w:color w:val="auto"/>
            <w:u w:val="none"/>
          </w:rPr>
          <w:t>http://www.aei.org/publication/taxation-andgovernance-in-africa</w:t>
        </w:r>
      </w:hyperlink>
      <w:r w:rsidRPr="00C1097E">
        <w:t>.</w:t>
      </w:r>
    </w:p>
    <w:p w14:paraId="2DBA1C7A" w14:textId="77777777" w:rsidR="00FF14F3" w:rsidRDefault="00FF14F3" w:rsidP="008008C7">
      <w:pPr>
        <w:ind w:left="720"/>
        <w:jc w:val="both"/>
      </w:pPr>
    </w:p>
    <w:p w14:paraId="57E34205" w14:textId="77777777" w:rsidR="00FF14F3" w:rsidRDefault="00FF14F3" w:rsidP="00FF14F3">
      <w:pPr>
        <w:jc w:val="both"/>
      </w:pPr>
      <w:r>
        <w:t xml:space="preserve">Desislava, S. and Nikolay, P. (2012). An empirical evidence for the impact of taxation on </w:t>
      </w:r>
    </w:p>
    <w:p w14:paraId="4468A184" w14:textId="77777777" w:rsidR="00FF14F3" w:rsidRDefault="00FF14F3" w:rsidP="00FF14F3">
      <w:pPr>
        <w:ind w:left="720"/>
        <w:jc w:val="both"/>
      </w:pPr>
      <w:r>
        <w:t>economic growth in the European Union. Book of proceeding – Tourism and Management Studies International Conference, Algarve, 30</w:t>
      </w:r>
      <w:r w:rsidRPr="00FC7CF2">
        <w:rPr>
          <w:vertAlign w:val="superscript"/>
        </w:rPr>
        <w:t>th</w:t>
      </w:r>
      <w:r>
        <w:t xml:space="preserve"> December, 2012.</w:t>
      </w:r>
    </w:p>
    <w:p w14:paraId="7D092DC6" w14:textId="77777777" w:rsidR="00FF14F3" w:rsidRDefault="00FF14F3" w:rsidP="00FF14F3">
      <w:pPr>
        <w:jc w:val="both"/>
      </w:pPr>
    </w:p>
    <w:p w14:paraId="642E098D" w14:textId="77777777" w:rsidR="0021378F" w:rsidRDefault="0021378F" w:rsidP="00FF14F3">
      <w:pPr>
        <w:jc w:val="both"/>
        <w:rPr>
          <w:i/>
        </w:rPr>
      </w:pPr>
      <w:r>
        <w:t xml:space="preserve">Eke, R.I. &amp; </w:t>
      </w:r>
      <w:proofErr w:type="spellStart"/>
      <w:r>
        <w:t>Omogbai</w:t>
      </w:r>
      <w:proofErr w:type="spellEnd"/>
      <w:r>
        <w:t>, P.</w:t>
      </w:r>
      <w:r w:rsidRPr="0021378F">
        <w:t xml:space="preserve"> A.</w:t>
      </w:r>
      <w:r>
        <w:t xml:space="preserve"> (2022). </w:t>
      </w:r>
      <w:r w:rsidRPr="0021378F">
        <w:t>Tax reforms and revenue generation in Nigeria</w:t>
      </w:r>
      <w:r>
        <w:t xml:space="preserve">. </w:t>
      </w:r>
      <w:r w:rsidRPr="0021378F">
        <w:rPr>
          <w:i/>
        </w:rPr>
        <w:t xml:space="preserve">Advance </w:t>
      </w:r>
    </w:p>
    <w:p w14:paraId="5531538B" w14:textId="77777777" w:rsidR="0021378F" w:rsidRDefault="0021378F" w:rsidP="0021378F">
      <w:pPr>
        <w:ind w:firstLine="720"/>
        <w:jc w:val="both"/>
      </w:pPr>
      <w:r w:rsidRPr="0021378F">
        <w:rPr>
          <w:i/>
        </w:rPr>
        <w:t>Journal of Management, Accounting and Finance, 4</w:t>
      </w:r>
      <w:r>
        <w:t>(12), 34-44.</w:t>
      </w:r>
    </w:p>
    <w:p w14:paraId="605ED5DC" w14:textId="77777777" w:rsidR="0021378F" w:rsidRDefault="0021378F" w:rsidP="00FF14F3">
      <w:pPr>
        <w:jc w:val="both"/>
      </w:pPr>
    </w:p>
    <w:p w14:paraId="313F3503" w14:textId="77777777" w:rsidR="00FF14F3" w:rsidRDefault="00FF14F3" w:rsidP="00FF14F3">
      <w:pPr>
        <w:jc w:val="both"/>
        <w:rPr>
          <w:i/>
        </w:rPr>
      </w:pPr>
      <w:r w:rsidRPr="00B279A6">
        <w:t>Garba</w:t>
      </w:r>
      <w:r>
        <w:t xml:space="preserve">, M. B. (2015). </w:t>
      </w:r>
      <w:r w:rsidRPr="00B279A6">
        <w:rPr>
          <w:i/>
        </w:rPr>
        <w:t xml:space="preserve">A legal examination of the role of taxation in revenue generation and </w:t>
      </w:r>
    </w:p>
    <w:p w14:paraId="60E170A1" w14:textId="77777777" w:rsidR="00FF14F3" w:rsidRDefault="00FF14F3" w:rsidP="00FF14F3">
      <w:pPr>
        <w:ind w:firstLine="720"/>
        <w:jc w:val="both"/>
      </w:pPr>
      <w:r w:rsidRPr="00B279A6">
        <w:rPr>
          <w:i/>
        </w:rPr>
        <w:t>economic development in Nigeria,</w:t>
      </w:r>
      <w:r>
        <w:t xml:space="preserve"> (Master’s thesis, </w:t>
      </w:r>
      <w:r w:rsidRPr="00B279A6">
        <w:t>Ahmadu Bello University, Zaria</w:t>
      </w:r>
      <w:r>
        <w:t>).</w:t>
      </w:r>
    </w:p>
    <w:p w14:paraId="43AAC7B3" w14:textId="77777777" w:rsidR="00FF14F3" w:rsidRDefault="00FF14F3" w:rsidP="00FF14F3">
      <w:pPr>
        <w:jc w:val="both"/>
      </w:pPr>
    </w:p>
    <w:p w14:paraId="09BBF77F" w14:textId="77777777" w:rsidR="00FF14F3" w:rsidRDefault="00FF14F3" w:rsidP="00FF14F3">
      <w:pPr>
        <w:jc w:val="both"/>
      </w:pPr>
      <w:r>
        <w:t>Jhingan, M. I.(</w:t>
      </w:r>
      <w:r w:rsidRPr="003D7503">
        <w:t>2012</w:t>
      </w:r>
      <w:r>
        <w:t xml:space="preserve">). </w:t>
      </w:r>
      <w:r w:rsidRPr="003D7503">
        <w:rPr>
          <w:i/>
        </w:rPr>
        <w:t>Money, banking, international trade and public finance.</w:t>
      </w:r>
      <w:r w:rsidRPr="003D7503">
        <w:t xml:space="preserve">  New Delhi: </w:t>
      </w:r>
    </w:p>
    <w:p w14:paraId="0B1271F8" w14:textId="77777777" w:rsidR="00FF14F3" w:rsidRDefault="00FF14F3" w:rsidP="00FF14F3">
      <w:pPr>
        <w:ind w:firstLine="720"/>
        <w:jc w:val="both"/>
      </w:pPr>
      <w:proofErr w:type="spellStart"/>
      <w:r w:rsidRPr="003D7503">
        <w:lastRenderedPageBreak/>
        <w:t>Vrinada</w:t>
      </w:r>
      <w:proofErr w:type="spellEnd"/>
      <w:r w:rsidRPr="003D7503">
        <w:t xml:space="preserve"> publication.</w:t>
      </w:r>
    </w:p>
    <w:p w14:paraId="5DAAFEB9" w14:textId="77777777" w:rsidR="00FF14F3" w:rsidRDefault="00FF14F3" w:rsidP="00FF14F3">
      <w:pPr>
        <w:ind w:firstLine="720"/>
        <w:jc w:val="both"/>
      </w:pPr>
    </w:p>
    <w:p w14:paraId="03FAF1ED" w14:textId="77777777" w:rsidR="00FF14F3" w:rsidRDefault="00FF14F3" w:rsidP="00FF14F3">
      <w:pPr>
        <w:jc w:val="both"/>
      </w:pPr>
      <w:proofErr w:type="spellStart"/>
      <w:r w:rsidRPr="00017CEA">
        <w:t>Kipilimba</w:t>
      </w:r>
      <w:proofErr w:type="spellEnd"/>
      <w:r>
        <w:t xml:space="preserve">, T. F. (2017). </w:t>
      </w:r>
      <w:r w:rsidRPr="00017CEA">
        <w:t xml:space="preserve">Impact of tax administration towards government revenue in </w:t>
      </w:r>
    </w:p>
    <w:p w14:paraId="4D1FC818" w14:textId="77777777" w:rsidR="00FF14F3" w:rsidRDefault="00FF14F3" w:rsidP="00FF14F3">
      <w:pPr>
        <w:ind w:firstLine="720"/>
        <w:jc w:val="both"/>
      </w:pPr>
      <w:r>
        <w:t>Tanzania- C</w:t>
      </w:r>
      <w:r w:rsidRPr="00017CEA">
        <w:t xml:space="preserve">ase of Dar-es Salaam </w:t>
      </w:r>
      <w:proofErr w:type="spellStart"/>
      <w:r w:rsidRPr="00017CEA">
        <w:t>region</w:t>
      </w:r>
      <w:r>
        <w:t>.</w:t>
      </w:r>
      <w:r w:rsidRPr="00017CEA">
        <w:rPr>
          <w:i/>
        </w:rPr>
        <w:t>Social</w:t>
      </w:r>
      <w:proofErr w:type="spellEnd"/>
      <w:r w:rsidRPr="00017CEA">
        <w:rPr>
          <w:i/>
        </w:rPr>
        <w:t xml:space="preserve"> Sciences, 7</w:t>
      </w:r>
      <w:r>
        <w:t>(1),</w:t>
      </w:r>
      <w:r w:rsidRPr="00017CEA">
        <w:t xml:space="preserve"> 13-21</w:t>
      </w:r>
      <w:r>
        <w:t>.</w:t>
      </w:r>
    </w:p>
    <w:p w14:paraId="574C26FF" w14:textId="77777777" w:rsidR="00FF14F3" w:rsidRDefault="00FF14F3" w:rsidP="00FF14F3">
      <w:pPr>
        <w:jc w:val="both"/>
      </w:pPr>
      <w:proofErr w:type="spellStart"/>
      <w:r>
        <w:t>Kwaji</w:t>
      </w:r>
      <w:proofErr w:type="spellEnd"/>
      <w:r>
        <w:t xml:space="preserve">, S. F. and </w:t>
      </w:r>
      <w:r w:rsidRPr="00EF6F99">
        <w:t>Ishaya</w:t>
      </w:r>
      <w:r>
        <w:t xml:space="preserve">, J. D. (2017). </w:t>
      </w:r>
      <w:r w:rsidRPr="00EF6F99">
        <w:t xml:space="preserve">Empirical analysis of tax revenue collection by the </w:t>
      </w:r>
    </w:p>
    <w:p w14:paraId="1F80DC28" w14:textId="77777777" w:rsidR="00FF14F3" w:rsidRDefault="00FF14F3" w:rsidP="00FF14F3">
      <w:pPr>
        <w:ind w:left="720"/>
        <w:jc w:val="both"/>
      </w:pPr>
      <w:r w:rsidRPr="00EF6F99">
        <w:t xml:space="preserve">federal government in </w:t>
      </w:r>
      <w:proofErr w:type="spellStart"/>
      <w:r w:rsidRPr="00EF6F99">
        <w:t>Nigeria</w:t>
      </w:r>
      <w:r>
        <w:t>.</w:t>
      </w:r>
      <w:r w:rsidRPr="00EF6F99">
        <w:rPr>
          <w:i/>
        </w:rPr>
        <w:t>European</w:t>
      </w:r>
      <w:proofErr w:type="spellEnd"/>
      <w:r w:rsidRPr="00EF6F99">
        <w:rPr>
          <w:i/>
        </w:rPr>
        <w:t xml:space="preserve"> Journal of Accounting, Auditing and Finance Research, 5</w:t>
      </w:r>
      <w:r>
        <w:t xml:space="preserve">(2), </w:t>
      </w:r>
      <w:r w:rsidRPr="00EF6F99">
        <w:t>1- 11</w:t>
      </w:r>
      <w:r>
        <w:t>.</w:t>
      </w:r>
    </w:p>
    <w:p w14:paraId="2D8AA401" w14:textId="77777777" w:rsidR="00FF14F3" w:rsidRDefault="00FF14F3" w:rsidP="00FF14F3">
      <w:pPr>
        <w:jc w:val="both"/>
      </w:pPr>
    </w:p>
    <w:p w14:paraId="3AC27A0E" w14:textId="77777777" w:rsidR="00FF14F3" w:rsidRDefault="00FF14F3" w:rsidP="00FF14F3">
      <w:pPr>
        <w:jc w:val="both"/>
      </w:pPr>
      <w:proofErr w:type="spellStart"/>
      <w:r w:rsidRPr="00787B90">
        <w:t>Madugba</w:t>
      </w:r>
      <w:proofErr w:type="spellEnd"/>
      <w:r w:rsidRPr="00787B90">
        <w:t>,</w:t>
      </w:r>
      <w:r>
        <w:t xml:space="preserve"> J. U., </w:t>
      </w:r>
      <w:proofErr w:type="spellStart"/>
      <w:r w:rsidRPr="00787B90">
        <w:t>Ekwe</w:t>
      </w:r>
      <w:proofErr w:type="spellEnd"/>
      <w:r w:rsidRPr="00787B90">
        <w:t>,</w:t>
      </w:r>
      <w:r>
        <w:t xml:space="preserve"> M. C. and </w:t>
      </w:r>
      <w:r w:rsidRPr="00787B90">
        <w:t>Kalu,</w:t>
      </w:r>
      <w:r>
        <w:t xml:space="preserve"> J. M. (2015). </w:t>
      </w:r>
      <w:r w:rsidRPr="00787B90">
        <w:t xml:space="preserve">Corporate tax and revenue generation: </w:t>
      </w:r>
    </w:p>
    <w:p w14:paraId="51D12DB2" w14:textId="77777777" w:rsidR="00FF14F3" w:rsidRDefault="00FF14F3" w:rsidP="00FF14F3">
      <w:pPr>
        <w:ind w:left="720"/>
        <w:jc w:val="both"/>
      </w:pPr>
      <w:r>
        <w:t>E</w:t>
      </w:r>
      <w:r w:rsidRPr="00787B90">
        <w:t>vidence from Nigeria</w:t>
      </w:r>
      <w:r>
        <w:t xml:space="preserve">. </w:t>
      </w:r>
      <w:r w:rsidRPr="00787B90">
        <w:rPr>
          <w:i/>
        </w:rPr>
        <w:t>Journal of Emerging Trends in Economics and Management Sciences, 6</w:t>
      </w:r>
      <w:r>
        <w:t xml:space="preserve">(5), </w:t>
      </w:r>
      <w:r w:rsidRPr="00787B90">
        <w:t>333-339</w:t>
      </w:r>
      <w:r>
        <w:t>.</w:t>
      </w:r>
    </w:p>
    <w:p w14:paraId="60D2F1DC" w14:textId="77777777" w:rsidR="00FF14F3" w:rsidRDefault="00FF14F3" w:rsidP="00FF14F3">
      <w:pPr>
        <w:jc w:val="both"/>
      </w:pPr>
    </w:p>
    <w:p w14:paraId="179569DA" w14:textId="77777777" w:rsidR="00FF14F3" w:rsidRDefault="00FF14F3" w:rsidP="00FF14F3">
      <w:pPr>
        <w:pStyle w:val="NormalWeb"/>
        <w:spacing w:before="0" w:beforeAutospacing="0" w:after="0" w:afterAutospacing="0"/>
        <w:jc w:val="both"/>
      </w:pPr>
      <w:r>
        <w:t>Mansfield, E.(</w:t>
      </w:r>
      <w:r w:rsidRPr="003D7503">
        <w:t>1961</w:t>
      </w:r>
      <w:r>
        <w:t xml:space="preserve">). Technical charge and the </w:t>
      </w:r>
      <w:r w:rsidRPr="003D7503">
        <w:t>rate of im</w:t>
      </w:r>
      <w:r>
        <w:t xml:space="preserve">itation.  </w:t>
      </w:r>
      <w:proofErr w:type="spellStart"/>
      <w:r w:rsidRPr="003D7503">
        <w:rPr>
          <w:i/>
        </w:rPr>
        <w:t>Econometrica</w:t>
      </w:r>
      <w:proofErr w:type="spellEnd"/>
      <w:r w:rsidRPr="003D7503">
        <w:rPr>
          <w:i/>
        </w:rPr>
        <w:t>, 4</w:t>
      </w:r>
      <w:r>
        <w:t xml:space="preserve">(25), </w:t>
      </w:r>
      <w:r w:rsidRPr="003D7503">
        <w:t>741-</w:t>
      </w:r>
    </w:p>
    <w:p w14:paraId="5A0A9D5F" w14:textId="77777777" w:rsidR="00FF14F3" w:rsidRDefault="00FF14F3" w:rsidP="00FF14F3">
      <w:pPr>
        <w:pStyle w:val="NormalWeb"/>
        <w:spacing w:before="0" w:beforeAutospacing="0" w:after="0" w:afterAutospacing="0"/>
        <w:ind w:firstLine="720"/>
        <w:jc w:val="both"/>
      </w:pPr>
      <w:r w:rsidRPr="003D7503">
        <w:t>756.</w:t>
      </w:r>
    </w:p>
    <w:p w14:paraId="644422CC" w14:textId="77777777" w:rsidR="00FF14F3" w:rsidRDefault="00FF14F3" w:rsidP="00FF14F3">
      <w:pPr>
        <w:pStyle w:val="NormalWeb"/>
        <w:spacing w:before="0" w:beforeAutospacing="0" w:after="0" w:afterAutospacing="0"/>
        <w:jc w:val="both"/>
      </w:pPr>
    </w:p>
    <w:p w14:paraId="24F7CB6C" w14:textId="77777777" w:rsidR="00FF14F3" w:rsidRDefault="00FF14F3" w:rsidP="00FF14F3">
      <w:pPr>
        <w:pStyle w:val="NormalWeb"/>
        <w:spacing w:before="0" w:beforeAutospacing="0" w:after="0" w:afterAutospacing="0"/>
        <w:jc w:val="both"/>
      </w:pPr>
      <w:r w:rsidRPr="003D7503">
        <w:t xml:space="preserve">Musgrave, R. A. </w:t>
      </w:r>
      <w:r>
        <w:t>and Musgrave, P. B.(</w:t>
      </w:r>
      <w:r w:rsidRPr="003D7503">
        <w:t>2004</w:t>
      </w:r>
      <w:r>
        <w:t>)</w:t>
      </w:r>
      <w:r w:rsidRPr="003D7503">
        <w:t xml:space="preserve">.  </w:t>
      </w:r>
      <w:r w:rsidRPr="003D7503">
        <w:rPr>
          <w:i/>
        </w:rPr>
        <w:t>Public finance in theory and practice taxation</w:t>
      </w:r>
      <w:r w:rsidRPr="003D7503">
        <w:t xml:space="preserve">. </w:t>
      </w:r>
    </w:p>
    <w:p w14:paraId="5143A382" w14:textId="77777777" w:rsidR="00FF14F3" w:rsidRDefault="00FF14F3" w:rsidP="00FF14F3">
      <w:pPr>
        <w:pStyle w:val="NormalWeb"/>
        <w:spacing w:before="0" w:beforeAutospacing="0" w:after="0" w:afterAutospacing="0"/>
        <w:ind w:firstLine="720"/>
        <w:jc w:val="both"/>
      </w:pPr>
      <w:r w:rsidRPr="003D7503">
        <w:t>McGraw Hill, New Delhi India.</w:t>
      </w:r>
    </w:p>
    <w:p w14:paraId="2AE491B0" w14:textId="77777777" w:rsidR="00FF14F3" w:rsidRDefault="00FF14F3" w:rsidP="00FF14F3">
      <w:pPr>
        <w:pStyle w:val="NormalWeb"/>
        <w:spacing w:before="0" w:beforeAutospacing="0" w:after="0" w:afterAutospacing="0"/>
        <w:jc w:val="both"/>
      </w:pPr>
    </w:p>
    <w:p w14:paraId="1DB5D027" w14:textId="77777777" w:rsidR="00FF14F3" w:rsidRDefault="00FF14F3" w:rsidP="00FF14F3">
      <w:pPr>
        <w:pStyle w:val="NormalWeb"/>
        <w:spacing w:before="0" w:beforeAutospacing="0" w:after="0" w:afterAutospacing="0"/>
        <w:jc w:val="both"/>
      </w:pPr>
      <w:proofErr w:type="spellStart"/>
      <w:r w:rsidRPr="00EF6F99">
        <w:t>Nchuchuwe</w:t>
      </w:r>
      <w:proofErr w:type="spellEnd"/>
      <w:r>
        <w:t xml:space="preserve">, F. F. and </w:t>
      </w:r>
      <w:r w:rsidRPr="00EF6F99">
        <w:t>Ojo</w:t>
      </w:r>
      <w:r>
        <w:t xml:space="preserve">, D. A. (2017). </w:t>
      </w:r>
      <w:r w:rsidRPr="00EF6F99">
        <w:t xml:space="preserve">E-governance, revenue generation and public </w:t>
      </w:r>
    </w:p>
    <w:p w14:paraId="62FF1905" w14:textId="77777777" w:rsidR="00FF14F3" w:rsidRDefault="00FF14F3" w:rsidP="00FF14F3">
      <w:pPr>
        <w:pStyle w:val="NormalWeb"/>
        <w:spacing w:before="0" w:beforeAutospacing="0" w:after="0" w:afterAutospacing="0"/>
        <w:ind w:left="720"/>
        <w:jc w:val="both"/>
      </w:pPr>
      <w:r w:rsidRPr="00EF6F99">
        <w:t>service delivery in Nigeria: an overview of the e- taxation system in Lagos state</w:t>
      </w:r>
      <w:r>
        <w:t xml:space="preserve">. </w:t>
      </w:r>
      <w:r w:rsidRPr="002612CD">
        <w:rPr>
          <w:bCs/>
          <w:iCs/>
          <w:kern w:val="24"/>
          <w:lang w:val="en-GB"/>
        </w:rPr>
        <w:t xml:space="preserve">Being Presentation at </w:t>
      </w:r>
      <w:r>
        <w:t>Covenant University Conference on E-Governance.</w:t>
      </w:r>
    </w:p>
    <w:p w14:paraId="6F6FBF23" w14:textId="77777777" w:rsidR="00FF14F3" w:rsidRDefault="00FF14F3" w:rsidP="00FF14F3">
      <w:pPr>
        <w:pStyle w:val="NormalWeb"/>
        <w:spacing w:before="0" w:beforeAutospacing="0" w:after="0" w:afterAutospacing="0"/>
        <w:jc w:val="both"/>
      </w:pPr>
    </w:p>
    <w:p w14:paraId="2D049841" w14:textId="77777777" w:rsidR="00FF14F3" w:rsidRDefault="00FF14F3" w:rsidP="00FF14F3">
      <w:pPr>
        <w:pStyle w:val="NormalWeb"/>
        <w:spacing w:before="0" w:beforeAutospacing="0" w:after="0" w:afterAutospacing="0"/>
        <w:jc w:val="both"/>
        <w:rPr>
          <w:i/>
        </w:rPr>
      </w:pPr>
      <w:proofErr w:type="spellStart"/>
      <w:r w:rsidRPr="00FF14F3">
        <w:t>Nwadi</w:t>
      </w:r>
      <w:proofErr w:type="spellEnd"/>
      <w:r>
        <w:t xml:space="preserve">, O. B. (2022). </w:t>
      </w:r>
      <w:r w:rsidRPr="00FF14F3">
        <w:t>Analysis of tax income on revenue generation in Nigeria</w:t>
      </w:r>
      <w:r>
        <w:t xml:space="preserve">. </w:t>
      </w:r>
      <w:r w:rsidRPr="00FF14F3">
        <w:rPr>
          <w:i/>
        </w:rPr>
        <w:t xml:space="preserve">Journal of </w:t>
      </w:r>
    </w:p>
    <w:p w14:paraId="2451B6E1" w14:textId="77777777" w:rsidR="00FF14F3" w:rsidRDefault="00FF14F3" w:rsidP="00FF14F3">
      <w:pPr>
        <w:pStyle w:val="NormalWeb"/>
        <w:spacing w:before="0" w:beforeAutospacing="0" w:after="0" w:afterAutospacing="0"/>
        <w:ind w:firstLine="720"/>
        <w:jc w:val="both"/>
      </w:pPr>
      <w:r w:rsidRPr="00FF14F3">
        <w:rPr>
          <w:i/>
        </w:rPr>
        <w:t>Contemporary Issues in Accounting, 3</w:t>
      </w:r>
      <w:r>
        <w:t>(</w:t>
      </w:r>
      <w:r w:rsidRPr="00FF14F3">
        <w:t>1</w:t>
      </w:r>
      <w:r>
        <w:t>), 198-216.</w:t>
      </w:r>
    </w:p>
    <w:p w14:paraId="6DE1913B" w14:textId="77777777" w:rsidR="00FF14F3" w:rsidRDefault="00FF14F3" w:rsidP="00FF14F3">
      <w:pPr>
        <w:pStyle w:val="NormalWeb"/>
        <w:spacing w:before="0" w:beforeAutospacing="0" w:after="0" w:afterAutospacing="0"/>
        <w:jc w:val="both"/>
      </w:pPr>
    </w:p>
    <w:p w14:paraId="018D66D2" w14:textId="77777777" w:rsidR="00FF14F3" w:rsidRDefault="00FF14F3" w:rsidP="00FF14F3">
      <w:pPr>
        <w:pStyle w:val="NormalWeb"/>
        <w:spacing w:before="0" w:beforeAutospacing="0" w:after="0" w:afterAutospacing="0"/>
        <w:jc w:val="both"/>
      </w:pPr>
      <w:proofErr w:type="spellStart"/>
      <w:r w:rsidRPr="0061666F">
        <w:t>Nwaiwu</w:t>
      </w:r>
      <w:proofErr w:type="spellEnd"/>
      <w:r w:rsidRPr="0061666F">
        <w:t>, J.N.</w:t>
      </w:r>
      <w:r>
        <w:t xml:space="preserve"> and </w:t>
      </w:r>
      <w:r w:rsidRPr="0061666F">
        <w:t>Macgregor, T. C.</w:t>
      </w:r>
      <w:r>
        <w:t xml:space="preserve"> (2018). </w:t>
      </w:r>
      <w:r w:rsidRPr="0061666F">
        <w:t xml:space="preserve">Webometric indices of tax audit and tax revenue </w:t>
      </w:r>
    </w:p>
    <w:p w14:paraId="28AE266F" w14:textId="77777777" w:rsidR="00FF14F3" w:rsidRDefault="00FF14F3" w:rsidP="00FF14F3">
      <w:pPr>
        <w:pStyle w:val="NormalWeb"/>
        <w:spacing w:before="0" w:beforeAutospacing="0" w:after="0" w:afterAutospacing="0"/>
        <w:ind w:left="720"/>
        <w:jc w:val="both"/>
      </w:pPr>
      <w:r w:rsidRPr="0061666F">
        <w:t>generation research in Nigeria</w:t>
      </w:r>
      <w:r>
        <w:t xml:space="preserve">. </w:t>
      </w:r>
      <w:r w:rsidRPr="0061666F">
        <w:rPr>
          <w:i/>
        </w:rPr>
        <w:t xml:space="preserve">International Journal of Advanced Academic Research | Social </w:t>
      </w:r>
      <w:r>
        <w:rPr>
          <w:i/>
        </w:rPr>
        <w:t>and</w:t>
      </w:r>
      <w:r w:rsidRPr="0061666F">
        <w:rPr>
          <w:i/>
        </w:rPr>
        <w:t xml:space="preserve"> Management Sciences, 4</w:t>
      </w:r>
      <w:r>
        <w:t>(</w:t>
      </w:r>
      <w:r w:rsidRPr="0061666F">
        <w:t>2</w:t>
      </w:r>
      <w:r>
        <w:t>), 33-54.</w:t>
      </w:r>
    </w:p>
    <w:p w14:paraId="3C05473E" w14:textId="77777777" w:rsidR="00FF14F3" w:rsidRDefault="00FF14F3" w:rsidP="008008C7">
      <w:pPr>
        <w:ind w:left="720"/>
        <w:jc w:val="both"/>
      </w:pPr>
    </w:p>
    <w:p w14:paraId="318AEF7A" w14:textId="77777777" w:rsidR="00FF14F3" w:rsidRDefault="00FF14F3" w:rsidP="00FF14F3">
      <w:pPr>
        <w:pStyle w:val="NormalWeb"/>
        <w:spacing w:before="0" w:beforeAutospacing="0" w:after="0" w:afterAutospacing="0"/>
        <w:jc w:val="both"/>
      </w:pPr>
      <w:r w:rsidRPr="00734BA4">
        <w:t>Obara</w:t>
      </w:r>
      <w:r>
        <w:t xml:space="preserve">, L. C. and </w:t>
      </w:r>
      <w:proofErr w:type="spellStart"/>
      <w:r w:rsidRPr="00734BA4">
        <w:t>Nangih</w:t>
      </w:r>
      <w:proofErr w:type="spellEnd"/>
      <w:r>
        <w:t xml:space="preserve">, E. (2017). </w:t>
      </w:r>
      <w:r w:rsidRPr="00734BA4">
        <w:t xml:space="preserve">Tax compliance barriers and internally generated </w:t>
      </w:r>
    </w:p>
    <w:p w14:paraId="3A11E44D" w14:textId="77777777" w:rsidR="00FF14F3" w:rsidRDefault="00FF14F3" w:rsidP="00FF14F3">
      <w:pPr>
        <w:pStyle w:val="NormalWeb"/>
        <w:spacing w:before="0" w:beforeAutospacing="0" w:after="0" w:afterAutospacing="0"/>
        <w:ind w:left="720"/>
        <w:jc w:val="both"/>
      </w:pPr>
      <w:r w:rsidRPr="00734BA4">
        <w:t xml:space="preserve">revenue </w:t>
      </w:r>
      <w:r>
        <w:t>in Nigeria: E</w:t>
      </w:r>
      <w:r w:rsidRPr="00734BA4">
        <w:t>mpirical from small and medium enterprises in Portharcourt metropolis</w:t>
      </w:r>
      <w:r>
        <w:t xml:space="preserve">. </w:t>
      </w:r>
      <w:r w:rsidRPr="00734BA4">
        <w:rPr>
          <w:i/>
        </w:rPr>
        <w:t>International Journal of Academic Research in Accounting, Finance and Management Sciences, 7</w:t>
      </w:r>
      <w:r>
        <w:t xml:space="preserve">(4), </w:t>
      </w:r>
      <w:r w:rsidRPr="00734BA4">
        <w:t>169–176</w:t>
      </w:r>
      <w:r>
        <w:t>.</w:t>
      </w:r>
    </w:p>
    <w:p w14:paraId="5B7034AA" w14:textId="77777777" w:rsidR="00FF14F3" w:rsidRDefault="00FF14F3" w:rsidP="00FF14F3">
      <w:pPr>
        <w:pStyle w:val="NormalWeb"/>
        <w:spacing w:before="0" w:beforeAutospacing="0" w:after="0" w:afterAutospacing="0"/>
        <w:jc w:val="both"/>
      </w:pPr>
    </w:p>
    <w:p w14:paraId="7AA13DAA" w14:textId="77777777" w:rsidR="00FF14F3" w:rsidRPr="002612CD" w:rsidRDefault="00FF14F3" w:rsidP="00FF14F3">
      <w:pPr>
        <w:pStyle w:val="NormalWeb"/>
        <w:spacing w:before="0" w:beforeAutospacing="0" w:after="0" w:afterAutospacing="0"/>
        <w:jc w:val="both"/>
      </w:pPr>
      <w:r w:rsidRPr="002612CD">
        <w:t xml:space="preserve">Ogundare, A. J. (2016). Role of taxation in generating adequate revenue for Nigeria to </w:t>
      </w:r>
    </w:p>
    <w:p w14:paraId="16C78FC8" w14:textId="77777777" w:rsidR="00FF14F3" w:rsidRPr="002612CD" w:rsidRDefault="00FF14F3" w:rsidP="00FF14F3">
      <w:pPr>
        <w:pStyle w:val="NormalWeb"/>
        <w:spacing w:before="0" w:beforeAutospacing="0" w:after="0" w:afterAutospacing="0"/>
        <w:ind w:left="720"/>
        <w:jc w:val="both"/>
        <w:rPr>
          <w:bCs/>
          <w:iCs/>
          <w:kern w:val="24"/>
          <w:lang w:val="en-GB"/>
        </w:rPr>
      </w:pPr>
      <w:r w:rsidRPr="002612CD">
        <w:t xml:space="preserve">promote economic growth. </w:t>
      </w:r>
      <w:r w:rsidRPr="002612CD">
        <w:rPr>
          <w:bCs/>
          <w:iCs/>
          <w:kern w:val="24"/>
          <w:lang w:val="en-GB"/>
        </w:rPr>
        <w:t>Being Presentation at Management Retreat of Association of Professional Bodies of Nigeria held on 29</w:t>
      </w:r>
      <w:r w:rsidRPr="002612CD">
        <w:rPr>
          <w:bCs/>
          <w:iCs/>
          <w:kern w:val="24"/>
          <w:vertAlign w:val="superscript"/>
          <w:lang w:val="en-GB"/>
        </w:rPr>
        <w:t>th</w:t>
      </w:r>
      <w:r w:rsidRPr="002612CD">
        <w:rPr>
          <w:bCs/>
          <w:iCs/>
          <w:kern w:val="24"/>
          <w:lang w:val="en-GB"/>
        </w:rPr>
        <w:t xml:space="preserve"> -31</w:t>
      </w:r>
      <w:r w:rsidRPr="002612CD">
        <w:rPr>
          <w:bCs/>
          <w:iCs/>
          <w:kern w:val="24"/>
          <w:vertAlign w:val="superscript"/>
          <w:lang w:val="en-GB"/>
        </w:rPr>
        <w:t>st</w:t>
      </w:r>
      <w:r w:rsidRPr="002612CD">
        <w:rPr>
          <w:bCs/>
          <w:iCs/>
          <w:kern w:val="24"/>
          <w:lang w:val="en-GB"/>
        </w:rPr>
        <w:t xml:space="preserve"> January, 2016 at the Tinapa Lakeside Hotel, Calabar</w:t>
      </w:r>
    </w:p>
    <w:p w14:paraId="00E3AA3A" w14:textId="77777777" w:rsidR="00FF14F3" w:rsidRPr="00481E41" w:rsidRDefault="00FF14F3" w:rsidP="00FF14F3">
      <w:pPr>
        <w:pStyle w:val="NormalWeb"/>
        <w:spacing w:before="0" w:beforeAutospacing="0" w:after="0" w:afterAutospacing="0"/>
        <w:ind w:left="720"/>
        <w:jc w:val="both"/>
      </w:pPr>
    </w:p>
    <w:p w14:paraId="390619E2" w14:textId="77777777" w:rsidR="00FF14F3" w:rsidRDefault="00FF14F3" w:rsidP="00FF14F3">
      <w:pPr>
        <w:jc w:val="both"/>
      </w:pPr>
      <w:proofErr w:type="spellStart"/>
      <w:r w:rsidRPr="00017CEA">
        <w:t>Ofurum</w:t>
      </w:r>
      <w:proofErr w:type="spellEnd"/>
      <w:r>
        <w:t xml:space="preserve">, C. N., </w:t>
      </w:r>
      <w:proofErr w:type="spellStart"/>
      <w:r w:rsidRPr="00017CEA">
        <w:t>Amaefule</w:t>
      </w:r>
      <w:proofErr w:type="spellEnd"/>
      <w:r w:rsidRPr="00017CEA">
        <w:t>,</w:t>
      </w:r>
      <w:r>
        <w:t xml:space="preserve"> L. I., </w:t>
      </w:r>
      <w:proofErr w:type="spellStart"/>
      <w:r w:rsidRPr="00017CEA">
        <w:t>Okonya</w:t>
      </w:r>
      <w:proofErr w:type="spellEnd"/>
      <w:r w:rsidRPr="00017CEA">
        <w:t>,</w:t>
      </w:r>
      <w:r>
        <w:t xml:space="preserve"> B. E. and </w:t>
      </w:r>
      <w:proofErr w:type="spellStart"/>
      <w:r w:rsidRPr="00017CEA">
        <w:t>Amaefule</w:t>
      </w:r>
      <w:proofErr w:type="spellEnd"/>
      <w:r>
        <w:t xml:space="preserve">, C. H. (2018). </w:t>
      </w:r>
      <w:r w:rsidRPr="00017CEA">
        <w:t>Impact of e–</w:t>
      </w:r>
    </w:p>
    <w:p w14:paraId="3A1BD064" w14:textId="77777777" w:rsidR="00FF14F3" w:rsidRDefault="00FF14F3" w:rsidP="00FF14F3">
      <w:pPr>
        <w:ind w:left="720"/>
        <w:jc w:val="both"/>
      </w:pPr>
      <w:r w:rsidRPr="00017CEA">
        <w:t>taxation on Nigeria’</w:t>
      </w:r>
      <w:r>
        <w:t>s revenue and economic growth: A</w:t>
      </w:r>
      <w:r w:rsidRPr="00017CEA">
        <w:t xml:space="preserve"> pre – post analysis</w:t>
      </w:r>
      <w:r>
        <w:t xml:space="preserve">. </w:t>
      </w:r>
      <w:r w:rsidRPr="00017CEA">
        <w:t>International Journal of Fi</w:t>
      </w:r>
      <w:r>
        <w:t>nance and Accounting, 7(2),</w:t>
      </w:r>
      <w:r w:rsidRPr="00017CEA">
        <w:t xml:space="preserve"> 19-26</w:t>
      </w:r>
      <w:r>
        <w:t>.</w:t>
      </w:r>
    </w:p>
    <w:p w14:paraId="581650BD" w14:textId="77777777" w:rsidR="00FF14F3" w:rsidRDefault="00FF14F3" w:rsidP="00FF14F3">
      <w:pPr>
        <w:jc w:val="both"/>
      </w:pPr>
    </w:p>
    <w:p w14:paraId="6B243647" w14:textId="77777777" w:rsidR="00FF14F3" w:rsidRDefault="00FF14F3" w:rsidP="00FF14F3">
      <w:pPr>
        <w:jc w:val="both"/>
      </w:pPr>
      <w:r w:rsidRPr="00EF6F99">
        <w:t>Olaoye</w:t>
      </w:r>
      <w:r>
        <w:t xml:space="preserve">, C. O. and </w:t>
      </w:r>
      <w:r w:rsidRPr="00EF6F99">
        <w:t>Ayeni</w:t>
      </w:r>
      <w:r>
        <w:t xml:space="preserve">, O. F. (2018). </w:t>
      </w:r>
      <w:r w:rsidRPr="00EF6F99">
        <w:t xml:space="preserve">Effects of value added tax and custom duties on </w:t>
      </w:r>
    </w:p>
    <w:p w14:paraId="674336E7" w14:textId="77777777" w:rsidR="00FF14F3" w:rsidRDefault="00FF14F3" w:rsidP="00FF14F3">
      <w:pPr>
        <w:ind w:left="720"/>
        <w:jc w:val="both"/>
      </w:pPr>
      <w:r w:rsidRPr="00EF6F99">
        <w:t>revenue generation in Nigeria (2000-2016)</w:t>
      </w:r>
      <w:r>
        <w:t xml:space="preserve">. </w:t>
      </w:r>
      <w:r w:rsidRPr="00EF6F99">
        <w:rPr>
          <w:i/>
        </w:rPr>
        <w:t>European Journal of Accounting, Auditing and Finance Research, 6</w:t>
      </w:r>
      <w:r>
        <w:t xml:space="preserve">(3), </w:t>
      </w:r>
      <w:r w:rsidRPr="00EF6F99">
        <w:t>78-85</w:t>
      </w:r>
      <w:r>
        <w:t>.</w:t>
      </w:r>
    </w:p>
    <w:p w14:paraId="189E3887" w14:textId="77777777" w:rsidR="00FF14F3" w:rsidRDefault="00FF14F3" w:rsidP="00FF14F3">
      <w:pPr>
        <w:jc w:val="both"/>
      </w:pPr>
    </w:p>
    <w:p w14:paraId="08EB4925" w14:textId="77777777" w:rsidR="00FF14F3" w:rsidRDefault="00FF14F3" w:rsidP="00FF14F3">
      <w:pPr>
        <w:jc w:val="both"/>
      </w:pPr>
      <w:r w:rsidRPr="0061666F">
        <w:t>Olawale</w:t>
      </w:r>
      <w:r>
        <w:t xml:space="preserve">, L. S. (2014). </w:t>
      </w:r>
      <w:r w:rsidRPr="0061666F">
        <w:t>The impact of value added tax on revenue generation in Nigeria</w:t>
      </w:r>
      <w:r>
        <w:t xml:space="preserve">. </w:t>
      </w:r>
    </w:p>
    <w:p w14:paraId="4561C976" w14:textId="77777777" w:rsidR="00FF14F3" w:rsidRDefault="00FF14F3" w:rsidP="00FF14F3">
      <w:pPr>
        <w:ind w:left="720"/>
        <w:jc w:val="both"/>
      </w:pPr>
      <w:r>
        <w:t>Accessed 30</w:t>
      </w:r>
      <w:r w:rsidRPr="0061666F">
        <w:rPr>
          <w:vertAlign w:val="superscript"/>
        </w:rPr>
        <w:t>th</w:t>
      </w:r>
      <w:r>
        <w:t xml:space="preserve"> April, 2018. Available: Electronic copy available</w:t>
      </w:r>
      <w:r w:rsidRPr="0061666F">
        <w:t xml:space="preserve">: </w:t>
      </w:r>
      <w:hyperlink r:id="rId12" w:history="1">
        <w:r w:rsidRPr="00C1097E">
          <w:rPr>
            <w:rStyle w:val="Hyperlink"/>
            <w:color w:val="auto"/>
            <w:u w:val="none"/>
          </w:rPr>
          <w:t>http://ssrn.com/abstract=2513207</w:t>
        </w:r>
      </w:hyperlink>
      <w:r w:rsidRPr="00C1097E">
        <w:t>.</w:t>
      </w:r>
    </w:p>
    <w:p w14:paraId="537A9679" w14:textId="77777777" w:rsidR="00FF14F3" w:rsidRPr="00430CF1" w:rsidRDefault="00FF14F3" w:rsidP="00FF14F3">
      <w:pPr>
        <w:jc w:val="both"/>
        <w:rPr>
          <w:i/>
        </w:rPr>
      </w:pPr>
      <w:proofErr w:type="spellStart"/>
      <w:r w:rsidRPr="00430CF1">
        <w:t>Oluba</w:t>
      </w:r>
      <w:proofErr w:type="spellEnd"/>
      <w:r w:rsidRPr="00430CF1">
        <w:t>, M.N</w:t>
      </w:r>
      <w:r>
        <w:t>.</w:t>
      </w:r>
      <w:r w:rsidRPr="00430CF1">
        <w:t xml:space="preserve"> (2008)</w:t>
      </w:r>
      <w:r>
        <w:t>.</w:t>
      </w:r>
      <w:r w:rsidRPr="00430CF1">
        <w:t xml:space="preserve"> Justifying resis</w:t>
      </w:r>
      <w:r>
        <w:t xml:space="preserve">tance of tax payment in </w:t>
      </w:r>
      <w:proofErr w:type="spellStart"/>
      <w:r>
        <w:t>Nigeria.</w:t>
      </w:r>
      <w:r w:rsidRPr="00430CF1">
        <w:rPr>
          <w:i/>
        </w:rPr>
        <w:t>Economic</w:t>
      </w:r>
      <w:proofErr w:type="spellEnd"/>
      <w:r w:rsidRPr="00430CF1">
        <w:rPr>
          <w:i/>
        </w:rPr>
        <w:t xml:space="preserve"> Reflection, </w:t>
      </w:r>
    </w:p>
    <w:p w14:paraId="20EB7B4C" w14:textId="77777777" w:rsidR="00FF14F3" w:rsidRDefault="00FF14F3" w:rsidP="00FF14F3">
      <w:pPr>
        <w:ind w:firstLine="720"/>
        <w:jc w:val="both"/>
      </w:pPr>
      <w:r w:rsidRPr="00430CF1">
        <w:rPr>
          <w:i/>
        </w:rPr>
        <w:t>B</w:t>
      </w:r>
      <w:r>
        <w:t>(3), 1-7.</w:t>
      </w:r>
    </w:p>
    <w:p w14:paraId="04E5D633" w14:textId="77777777" w:rsidR="00FF14F3" w:rsidRDefault="00FF14F3" w:rsidP="00FF14F3">
      <w:pPr>
        <w:jc w:val="both"/>
      </w:pPr>
    </w:p>
    <w:p w14:paraId="00570FDD" w14:textId="77777777" w:rsidR="00FF14F3" w:rsidRPr="001240B4" w:rsidRDefault="00FF14F3" w:rsidP="00FF14F3">
      <w:pPr>
        <w:jc w:val="both"/>
      </w:pPr>
      <w:proofErr w:type="spellStart"/>
      <w:r w:rsidRPr="001240B4">
        <w:t>Onaolapo</w:t>
      </w:r>
      <w:proofErr w:type="spellEnd"/>
      <w:r w:rsidRPr="001240B4">
        <w:t xml:space="preserve">, A. A., </w:t>
      </w:r>
      <w:proofErr w:type="spellStart"/>
      <w:r w:rsidRPr="001240B4">
        <w:t>Aworemi</w:t>
      </w:r>
      <w:proofErr w:type="spellEnd"/>
      <w:r w:rsidRPr="001240B4">
        <w:t xml:space="preserve">, R. J. </w:t>
      </w:r>
      <w:r>
        <w:t>and</w:t>
      </w:r>
      <w:r w:rsidRPr="001240B4">
        <w:t xml:space="preserve"> Ajala, O. A. (2013). Assessment of value added tax and </w:t>
      </w:r>
    </w:p>
    <w:p w14:paraId="270840A4" w14:textId="77777777" w:rsidR="00FF14F3" w:rsidRPr="001240B4" w:rsidRDefault="00FF14F3" w:rsidP="00FF14F3">
      <w:pPr>
        <w:ind w:left="720"/>
        <w:jc w:val="both"/>
      </w:pPr>
      <w:r w:rsidRPr="001240B4">
        <w:t xml:space="preserve">its effects on revenue generation in Nigeria. </w:t>
      </w:r>
      <w:r w:rsidRPr="001240B4">
        <w:rPr>
          <w:i/>
        </w:rPr>
        <w:t>International Journal of Business and Social Science, 4</w:t>
      </w:r>
      <w:r w:rsidRPr="001240B4">
        <w:t>(1), 220-225.</w:t>
      </w:r>
    </w:p>
    <w:p w14:paraId="02A4A5A1" w14:textId="77777777" w:rsidR="00FF14F3" w:rsidRPr="001240B4" w:rsidRDefault="00FF14F3" w:rsidP="00FF14F3">
      <w:pPr>
        <w:jc w:val="both"/>
      </w:pPr>
    </w:p>
    <w:p w14:paraId="0172CF62" w14:textId="77777777" w:rsidR="00FF14F3" w:rsidRDefault="00FF14F3" w:rsidP="00FF14F3">
      <w:pPr>
        <w:jc w:val="both"/>
      </w:pPr>
      <w:proofErr w:type="spellStart"/>
      <w:r w:rsidRPr="001240B4">
        <w:t>Oriakhi</w:t>
      </w:r>
      <w:proofErr w:type="spellEnd"/>
      <w:r w:rsidRPr="001240B4">
        <w:t xml:space="preserve">, D. E. </w:t>
      </w:r>
      <w:r>
        <w:t>and</w:t>
      </w:r>
      <w:r w:rsidRPr="001240B4">
        <w:t xml:space="preserve"> </w:t>
      </w:r>
      <w:proofErr w:type="spellStart"/>
      <w:r w:rsidRPr="001240B4">
        <w:t>Ahur</w:t>
      </w:r>
      <w:proofErr w:type="spellEnd"/>
      <w:r w:rsidRPr="001240B4">
        <w:t xml:space="preserve">, R. R. (2014). The impact of tax reform on federal revenue </w:t>
      </w:r>
    </w:p>
    <w:p w14:paraId="2C8A976E" w14:textId="77777777" w:rsidR="00FF14F3" w:rsidRPr="001240B4" w:rsidRDefault="00FF14F3" w:rsidP="00FF14F3">
      <w:pPr>
        <w:ind w:firstLine="720"/>
        <w:jc w:val="both"/>
      </w:pPr>
      <w:r w:rsidRPr="001240B4">
        <w:t xml:space="preserve">generation in Nigeria. </w:t>
      </w:r>
      <w:r w:rsidRPr="001240B4">
        <w:rPr>
          <w:i/>
        </w:rPr>
        <w:t>Journal of Policy and Development Studies, 9</w:t>
      </w:r>
      <w:r w:rsidRPr="001240B4">
        <w:t>(1), 92-108.</w:t>
      </w:r>
    </w:p>
    <w:p w14:paraId="5BE0239B" w14:textId="77777777" w:rsidR="00FF14F3" w:rsidRPr="001240B4" w:rsidRDefault="00FF14F3" w:rsidP="00FF14F3">
      <w:pPr>
        <w:jc w:val="both"/>
      </w:pPr>
    </w:p>
    <w:p w14:paraId="40C2D766" w14:textId="77777777" w:rsidR="00FF14F3" w:rsidRDefault="00FF14F3" w:rsidP="00FF14F3">
      <w:pPr>
        <w:jc w:val="both"/>
      </w:pPr>
      <w:r w:rsidRPr="001240B4">
        <w:t>Oseni, A. I. (2017). The effects of value added tax on</w:t>
      </w:r>
      <w:r w:rsidRPr="00734BA4">
        <w:t xml:space="preserve"> government’s revenue generation </w:t>
      </w:r>
    </w:p>
    <w:p w14:paraId="0DCE3D5F" w14:textId="77777777" w:rsidR="00FF14F3" w:rsidRDefault="00FF14F3" w:rsidP="00FF14F3">
      <w:pPr>
        <w:ind w:left="720"/>
        <w:jc w:val="both"/>
      </w:pPr>
      <w:r w:rsidRPr="00734BA4">
        <w:t>profile in Nigeria: a conceptual approach</w:t>
      </w:r>
      <w:r>
        <w:t xml:space="preserve">. </w:t>
      </w:r>
      <w:r w:rsidRPr="00734BA4">
        <w:rPr>
          <w:i/>
        </w:rPr>
        <w:t>International Journal of Economics and Financial Management, 2</w:t>
      </w:r>
      <w:r>
        <w:t>(</w:t>
      </w:r>
      <w:r w:rsidRPr="00734BA4">
        <w:t>4</w:t>
      </w:r>
      <w:r>
        <w:t>), 16-23.</w:t>
      </w:r>
    </w:p>
    <w:p w14:paraId="3C152CC5" w14:textId="77777777" w:rsidR="00FF14F3" w:rsidRDefault="00FF14F3" w:rsidP="00FF14F3">
      <w:pPr>
        <w:jc w:val="both"/>
      </w:pPr>
    </w:p>
    <w:p w14:paraId="13635171" w14:textId="77777777" w:rsidR="00FF14F3" w:rsidRDefault="00FF14F3" w:rsidP="00FF14F3">
      <w:pPr>
        <w:jc w:val="both"/>
      </w:pPr>
      <w:r>
        <w:t xml:space="preserve">Pfister, M. (2009). Taxation for investment and development: An overview of policy </w:t>
      </w:r>
    </w:p>
    <w:p w14:paraId="643827A7" w14:textId="77777777" w:rsidR="00FF14F3" w:rsidRDefault="00FF14F3" w:rsidP="00FF14F3">
      <w:pPr>
        <w:ind w:left="720"/>
        <w:jc w:val="both"/>
      </w:pPr>
      <w:r>
        <w:t>challenges in Africa. Ministerial meeting and roundtable of the NEPAD – OECD Africa Investment Initiative, 11-12</w:t>
      </w:r>
      <w:r w:rsidRPr="003D7503">
        <w:rPr>
          <w:vertAlign w:val="superscript"/>
        </w:rPr>
        <w:t>th</w:t>
      </w:r>
      <w:r>
        <w:t xml:space="preserve"> November, 2009.</w:t>
      </w:r>
    </w:p>
    <w:p w14:paraId="59561612" w14:textId="77777777" w:rsidR="00FF14F3" w:rsidRDefault="00FF14F3" w:rsidP="00FF14F3">
      <w:pPr>
        <w:jc w:val="both"/>
      </w:pPr>
    </w:p>
    <w:p w14:paraId="569999AA" w14:textId="77777777" w:rsidR="00FF14F3" w:rsidRDefault="00FF14F3" w:rsidP="00FF14F3">
      <w:pPr>
        <w:jc w:val="both"/>
      </w:pPr>
      <w:r>
        <w:t xml:space="preserve">Samuel, O. L. (2014). </w:t>
      </w:r>
      <w:r w:rsidRPr="0061666F">
        <w:t>The impact of value added tax on revenue generation in Nigeria</w:t>
      </w:r>
      <w:r>
        <w:t xml:space="preserve">. </w:t>
      </w:r>
    </w:p>
    <w:p w14:paraId="5DA8E287" w14:textId="77777777" w:rsidR="00FF14F3" w:rsidRDefault="00FF14F3" w:rsidP="00FF14F3">
      <w:pPr>
        <w:ind w:left="720"/>
        <w:jc w:val="both"/>
      </w:pPr>
      <w:r>
        <w:t>Accessed 30</w:t>
      </w:r>
      <w:r w:rsidRPr="0061666F">
        <w:rPr>
          <w:vertAlign w:val="superscript"/>
        </w:rPr>
        <w:t>th</w:t>
      </w:r>
      <w:r>
        <w:t xml:space="preserve"> April, 2018. Available: Electronic copy available</w:t>
      </w:r>
      <w:r w:rsidRPr="0061666F">
        <w:t xml:space="preserve">: </w:t>
      </w:r>
      <w:hyperlink r:id="rId13" w:history="1">
        <w:r w:rsidRPr="00C1097E">
          <w:rPr>
            <w:rStyle w:val="Hyperlink"/>
            <w:color w:val="auto"/>
            <w:u w:val="none"/>
          </w:rPr>
          <w:t>http://ssrn.com/abstract=2513207</w:t>
        </w:r>
      </w:hyperlink>
      <w:r w:rsidRPr="00C1097E">
        <w:t>.</w:t>
      </w:r>
    </w:p>
    <w:p w14:paraId="330731BB" w14:textId="77777777" w:rsidR="00FF14F3" w:rsidRDefault="00FF14F3" w:rsidP="00FF14F3">
      <w:pPr>
        <w:jc w:val="both"/>
      </w:pPr>
    </w:p>
    <w:p w14:paraId="360BA0DC" w14:textId="77777777" w:rsidR="00FF14F3" w:rsidRDefault="00FF14F3" w:rsidP="00FF14F3">
      <w:pPr>
        <w:jc w:val="both"/>
      </w:pPr>
      <w:r w:rsidRPr="00734BA4">
        <w:t>Samuel,</w:t>
      </w:r>
      <w:r>
        <w:t xml:space="preserve"> S. E. and </w:t>
      </w:r>
      <w:proofErr w:type="spellStart"/>
      <w:r w:rsidRPr="00734BA4">
        <w:t>Tyokoso</w:t>
      </w:r>
      <w:proofErr w:type="spellEnd"/>
      <w:r w:rsidRPr="00734BA4">
        <w:t>,</w:t>
      </w:r>
      <w:r>
        <w:t xml:space="preserve"> G. (2014). </w:t>
      </w:r>
      <w:r w:rsidRPr="00734BA4">
        <w:t>Ta</w:t>
      </w:r>
      <w:r>
        <w:t>xation and revenue generation: A</w:t>
      </w:r>
      <w:r w:rsidRPr="00734BA4">
        <w:t xml:space="preserve">n empirical </w:t>
      </w:r>
    </w:p>
    <w:p w14:paraId="7726EE29" w14:textId="77777777" w:rsidR="00FF14F3" w:rsidRDefault="00FF14F3" w:rsidP="00FF14F3">
      <w:pPr>
        <w:ind w:left="720"/>
        <w:jc w:val="both"/>
      </w:pPr>
      <w:r w:rsidRPr="00734BA4">
        <w:t>investigation of selected states in Nigeria</w:t>
      </w:r>
      <w:r>
        <w:t xml:space="preserve">. </w:t>
      </w:r>
      <w:r w:rsidRPr="00734BA4">
        <w:rPr>
          <w:i/>
        </w:rPr>
        <w:t>Journal of Poverty, Investment and Development,</w:t>
      </w:r>
      <w:r>
        <w:t xml:space="preserve"> 4, 102-114.</w:t>
      </w:r>
    </w:p>
    <w:p w14:paraId="2B8B9DB9" w14:textId="77777777" w:rsidR="0021378F" w:rsidRDefault="0021378F" w:rsidP="00FF14F3">
      <w:pPr>
        <w:jc w:val="both"/>
      </w:pPr>
    </w:p>
    <w:p w14:paraId="262E7B61" w14:textId="77777777" w:rsidR="00FF14F3" w:rsidRDefault="00FF14F3" w:rsidP="00FF14F3">
      <w:pPr>
        <w:jc w:val="both"/>
      </w:pPr>
      <w:proofErr w:type="spellStart"/>
      <w:r w:rsidRPr="00017CEA">
        <w:t>Soetan</w:t>
      </w:r>
      <w:proofErr w:type="spellEnd"/>
      <w:r w:rsidRPr="00017CEA">
        <w:t>, T.A.</w:t>
      </w:r>
      <w:r>
        <w:t xml:space="preserve"> (2017). </w:t>
      </w:r>
      <w:r w:rsidRPr="00017CEA">
        <w:t xml:space="preserve">Tax administration and tax </w:t>
      </w:r>
      <w:r>
        <w:t>revenue generation in Nigeria: T</w:t>
      </w:r>
      <w:r w:rsidRPr="00017CEA">
        <w:t xml:space="preserve">axpayers </w:t>
      </w:r>
    </w:p>
    <w:p w14:paraId="6040026A" w14:textId="77777777" w:rsidR="00FF14F3" w:rsidRDefault="00FF14F3" w:rsidP="00FF14F3">
      <w:pPr>
        <w:ind w:left="720"/>
        <w:jc w:val="both"/>
      </w:pPr>
      <w:r w:rsidRPr="00017CEA">
        <w:t>perspective</w:t>
      </w:r>
      <w:r>
        <w:t xml:space="preserve">. </w:t>
      </w:r>
      <w:r w:rsidRPr="00734BA4">
        <w:rPr>
          <w:i/>
        </w:rPr>
        <w:t>International Journal of Latest Engineering and Management Research, 2</w:t>
      </w:r>
      <w:r>
        <w:t>(10), 38-47.</w:t>
      </w:r>
    </w:p>
    <w:p w14:paraId="12A995F8" w14:textId="77777777" w:rsidR="00FF14F3" w:rsidRDefault="00FF14F3" w:rsidP="00FF14F3">
      <w:pPr>
        <w:jc w:val="both"/>
      </w:pPr>
    </w:p>
    <w:p w14:paraId="0EEB0F6F" w14:textId="77777777" w:rsidR="00FF14F3" w:rsidRDefault="00FF14F3" w:rsidP="00FF14F3">
      <w:pPr>
        <w:jc w:val="both"/>
      </w:pPr>
      <w:r w:rsidRPr="00787B90">
        <w:t>Umar</w:t>
      </w:r>
      <w:r>
        <w:t xml:space="preserve">, M. A., </w:t>
      </w:r>
      <w:proofErr w:type="spellStart"/>
      <w:r w:rsidRPr="00787B90">
        <w:t>Derashid</w:t>
      </w:r>
      <w:proofErr w:type="spellEnd"/>
      <w:r>
        <w:t xml:space="preserve">, C. and Ibrahim, I. (2017). </w:t>
      </w:r>
      <w:r w:rsidRPr="00787B90">
        <w:t xml:space="preserve">Challenges of tax revenue generation in </w:t>
      </w:r>
    </w:p>
    <w:p w14:paraId="6ABBBB9C" w14:textId="77777777" w:rsidR="00FF14F3" w:rsidRDefault="00FF14F3" w:rsidP="00FF14F3">
      <w:pPr>
        <w:ind w:left="720"/>
        <w:jc w:val="both"/>
      </w:pPr>
      <w:r w:rsidRPr="00787B90">
        <w:t>developing countries:</w:t>
      </w:r>
      <w:r>
        <w:t xml:space="preserve"> A</w:t>
      </w:r>
      <w:r w:rsidRPr="00787B90">
        <w:t>dopting the carrot and stick approach</w:t>
      </w:r>
      <w:r>
        <w:t xml:space="preserve">. </w:t>
      </w:r>
      <w:r w:rsidRPr="00787B90">
        <w:rPr>
          <w:i/>
        </w:rPr>
        <w:t>Journal of Humanities and Social Science, 22</w:t>
      </w:r>
      <w:r>
        <w:t>(1), 30-34.</w:t>
      </w:r>
    </w:p>
    <w:p w14:paraId="3F1948E8" w14:textId="77777777" w:rsidR="00FF14F3" w:rsidRPr="002826F0" w:rsidRDefault="00FF14F3" w:rsidP="00FF14F3">
      <w:pPr>
        <w:ind w:left="720"/>
        <w:jc w:val="both"/>
      </w:pPr>
    </w:p>
    <w:sectPr w:rsidR="00FF14F3" w:rsidRPr="002826F0" w:rsidSect="00DF027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BFC7C" w14:textId="77777777" w:rsidR="0065548F" w:rsidRDefault="0065548F" w:rsidP="0021378F">
      <w:r>
        <w:separator/>
      </w:r>
    </w:p>
  </w:endnote>
  <w:endnote w:type="continuationSeparator" w:id="0">
    <w:p w14:paraId="627DB6BD" w14:textId="77777777" w:rsidR="0065548F" w:rsidRDefault="0065548F" w:rsidP="00213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BBE11" w14:textId="77777777" w:rsidR="00074C43" w:rsidRDefault="00074C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1268264"/>
      <w:docPartObj>
        <w:docPartGallery w:val="Page Numbers (Bottom of Page)"/>
        <w:docPartUnique/>
      </w:docPartObj>
    </w:sdtPr>
    <w:sdtEndPr>
      <w:rPr>
        <w:noProof/>
      </w:rPr>
    </w:sdtEndPr>
    <w:sdtContent>
      <w:p w14:paraId="24A64021" w14:textId="77777777" w:rsidR="0021378F" w:rsidRDefault="00DF0276">
        <w:pPr>
          <w:pStyle w:val="Footer"/>
          <w:jc w:val="right"/>
        </w:pPr>
        <w:r>
          <w:fldChar w:fldCharType="begin"/>
        </w:r>
        <w:r w:rsidR="0021378F">
          <w:instrText xml:space="preserve"> PAGE   \* MERGEFORMAT </w:instrText>
        </w:r>
        <w:r>
          <w:fldChar w:fldCharType="separate"/>
        </w:r>
        <w:r w:rsidR="00E907E0">
          <w:rPr>
            <w:noProof/>
          </w:rPr>
          <w:t>1</w:t>
        </w:r>
        <w:r>
          <w:rPr>
            <w:noProof/>
          </w:rPr>
          <w:fldChar w:fldCharType="end"/>
        </w:r>
      </w:p>
    </w:sdtContent>
  </w:sdt>
  <w:p w14:paraId="18F70144" w14:textId="77777777" w:rsidR="0021378F" w:rsidRDefault="002137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7DEA3" w14:textId="77777777" w:rsidR="00074C43" w:rsidRDefault="00074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DDA0B" w14:textId="77777777" w:rsidR="0065548F" w:rsidRDefault="0065548F" w:rsidP="0021378F">
      <w:r>
        <w:separator/>
      </w:r>
    </w:p>
  </w:footnote>
  <w:footnote w:type="continuationSeparator" w:id="0">
    <w:p w14:paraId="3240F43D" w14:textId="77777777" w:rsidR="0065548F" w:rsidRDefault="0065548F" w:rsidP="00213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9B0AB" w14:textId="78074E5F" w:rsidR="00074C43" w:rsidRDefault="00074C43">
    <w:pPr>
      <w:pStyle w:val="Header"/>
    </w:pPr>
    <w:r>
      <w:rPr>
        <w:noProof/>
      </w:rPr>
      <w:pict w14:anchorId="058C72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59275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FA542" w14:textId="46582D92" w:rsidR="00074C43" w:rsidRDefault="00074C43">
    <w:pPr>
      <w:pStyle w:val="Header"/>
    </w:pPr>
    <w:r>
      <w:rPr>
        <w:noProof/>
      </w:rPr>
      <w:pict w14:anchorId="34B2B1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59275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59494" w14:textId="49EB41BA" w:rsidR="00074C43" w:rsidRDefault="00074C43">
    <w:pPr>
      <w:pStyle w:val="Header"/>
    </w:pPr>
    <w:r>
      <w:rPr>
        <w:noProof/>
      </w:rPr>
      <w:pict w14:anchorId="17BD08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59275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4136F"/>
    <w:multiLevelType w:val="hybridMultilevel"/>
    <w:tmpl w:val="5756E6CA"/>
    <w:lvl w:ilvl="0" w:tplc="5E5ECE6C">
      <w:start w:val="1"/>
      <w:numFmt w:val="decimal"/>
      <w:lvlText w:val="%1."/>
      <w:lvlJc w:val="left"/>
      <w:pPr>
        <w:ind w:left="720" w:hanging="360"/>
      </w:pPr>
      <w:rPr>
        <w:rFonts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F94464"/>
    <w:multiLevelType w:val="hybridMultilevel"/>
    <w:tmpl w:val="17C66150"/>
    <w:lvl w:ilvl="0" w:tplc="7F1015F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5C12740"/>
    <w:multiLevelType w:val="hybridMultilevel"/>
    <w:tmpl w:val="BBF67B92"/>
    <w:lvl w:ilvl="0" w:tplc="58C4E12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6764"/>
    <w:rsid w:val="00007E06"/>
    <w:rsid w:val="00074C43"/>
    <w:rsid w:val="00076223"/>
    <w:rsid w:val="000E1EA5"/>
    <w:rsid w:val="001922A5"/>
    <w:rsid w:val="001B60DC"/>
    <w:rsid w:val="0021378F"/>
    <w:rsid w:val="002826F0"/>
    <w:rsid w:val="002E24C4"/>
    <w:rsid w:val="002F6AD6"/>
    <w:rsid w:val="00341C69"/>
    <w:rsid w:val="00381E31"/>
    <w:rsid w:val="00390EE1"/>
    <w:rsid w:val="003A0A86"/>
    <w:rsid w:val="003F6CAF"/>
    <w:rsid w:val="004C491C"/>
    <w:rsid w:val="004E7292"/>
    <w:rsid w:val="004F7B88"/>
    <w:rsid w:val="005C07D9"/>
    <w:rsid w:val="0062084B"/>
    <w:rsid w:val="0065548F"/>
    <w:rsid w:val="007023DC"/>
    <w:rsid w:val="007D0038"/>
    <w:rsid w:val="008008C7"/>
    <w:rsid w:val="00821FD0"/>
    <w:rsid w:val="0083306D"/>
    <w:rsid w:val="00876EEC"/>
    <w:rsid w:val="008C4FE9"/>
    <w:rsid w:val="00A85B24"/>
    <w:rsid w:val="00AC590B"/>
    <w:rsid w:val="00AE63DA"/>
    <w:rsid w:val="00B26753"/>
    <w:rsid w:val="00B44A70"/>
    <w:rsid w:val="00B66764"/>
    <w:rsid w:val="00C1097E"/>
    <w:rsid w:val="00C408DD"/>
    <w:rsid w:val="00C41CFC"/>
    <w:rsid w:val="00CD1034"/>
    <w:rsid w:val="00D279D7"/>
    <w:rsid w:val="00D5029A"/>
    <w:rsid w:val="00D5299E"/>
    <w:rsid w:val="00D910DD"/>
    <w:rsid w:val="00DF0276"/>
    <w:rsid w:val="00E031FF"/>
    <w:rsid w:val="00E14F63"/>
    <w:rsid w:val="00E676F7"/>
    <w:rsid w:val="00E83684"/>
    <w:rsid w:val="00E907E0"/>
    <w:rsid w:val="00EA41AC"/>
    <w:rsid w:val="00EA50F1"/>
    <w:rsid w:val="00F40BDA"/>
    <w:rsid w:val="00F547DD"/>
    <w:rsid w:val="00F841ED"/>
    <w:rsid w:val="00F87085"/>
    <w:rsid w:val="00FF14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B0A3C0"/>
  <w15:docId w15:val="{8B67DD80-D7C4-41B2-9537-3C0A1C71B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EA5"/>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1EA5"/>
    <w:rPr>
      <w:color w:val="0563C1" w:themeColor="hyperlink"/>
      <w:u w:val="single"/>
    </w:rPr>
  </w:style>
  <w:style w:type="paragraph" w:styleId="ListParagraph">
    <w:name w:val="List Paragraph"/>
    <w:basedOn w:val="Normal"/>
    <w:uiPriority w:val="34"/>
    <w:qFormat/>
    <w:rsid w:val="00CD1034"/>
    <w:pPr>
      <w:spacing w:after="160" w:line="256" w:lineRule="auto"/>
      <w:ind w:left="720"/>
      <w:contextualSpacing/>
    </w:pPr>
    <w:rPr>
      <w:rFonts w:ascii="Calibri" w:eastAsia="Calibri" w:hAnsi="Calibri"/>
      <w:sz w:val="22"/>
      <w:szCs w:val="22"/>
      <w:lang w:eastAsia="en-US"/>
    </w:rPr>
  </w:style>
  <w:style w:type="paragraph" w:customStyle="1" w:styleId="msolistparagraph0">
    <w:name w:val="msolistparagraph"/>
    <w:basedOn w:val="Normal"/>
    <w:rsid w:val="002826F0"/>
    <w:pPr>
      <w:spacing w:after="160" w:line="256" w:lineRule="auto"/>
      <w:ind w:left="720"/>
      <w:contextualSpacing/>
    </w:pPr>
    <w:rPr>
      <w:rFonts w:ascii="Calibri" w:eastAsia="Calibri" w:hAnsi="Calibri"/>
      <w:sz w:val="22"/>
      <w:szCs w:val="22"/>
      <w:lang w:eastAsia="en-US"/>
    </w:rPr>
  </w:style>
  <w:style w:type="paragraph" w:styleId="NormalWeb">
    <w:name w:val="Normal (Web)"/>
    <w:basedOn w:val="Normal"/>
    <w:uiPriority w:val="99"/>
    <w:semiHidden/>
    <w:unhideWhenUsed/>
    <w:rsid w:val="00FF14F3"/>
    <w:pPr>
      <w:spacing w:before="100" w:beforeAutospacing="1" w:after="100" w:afterAutospacing="1"/>
    </w:pPr>
    <w:rPr>
      <w:lang w:val="en-US" w:eastAsia="en-US"/>
    </w:rPr>
  </w:style>
  <w:style w:type="paragraph" w:styleId="Header">
    <w:name w:val="header"/>
    <w:basedOn w:val="Normal"/>
    <w:link w:val="HeaderChar"/>
    <w:uiPriority w:val="99"/>
    <w:unhideWhenUsed/>
    <w:rsid w:val="0021378F"/>
    <w:pPr>
      <w:tabs>
        <w:tab w:val="center" w:pos="4680"/>
        <w:tab w:val="right" w:pos="9360"/>
      </w:tabs>
    </w:pPr>
  </w:style>
  <w:style w:type="character" w:customStyle="1" w:styleId="HeaderChar">
    <w:name w:val="Header Char"/>
    <w:basedOn w:val="DefaultParagraphFont"/>
    <w:link w:val="Header"/>
    <w:uiPriority w:val="99"/>
    <w:rsid w:val="0021378F"/>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21378F"/>
    <w:pPr>
      <w:tabs>
        <w:tab w:val="center" w:pos="4680"/>
        <w:tab w:val="right" w:pos="9360"/>
      </w:tabs>
    </w:pPr>
  </w:style>
  <w:style w:type="character" w:customStyle="1" w:styleId="FooterChar">
    <w:name w:val="Footer Char"/>
    <w:basedOn w:val="DefaultParagraphFont"/>
    <w:link w:val="Footer"/>
    <w:uiPriority w:val="99"/>
    <w:rsid w:val="0021378F"/>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C1097E"/>
    <w:rPr>
      <w:rFonts w:ascii="Tahoma" w:hAnsi="Tahoma" w:cs="Tahoma"/>
      <w:sz w:val="16"/>
      <w:szCs w:val="16"/>
    </w:rPr>
  </w:style>
  <w:style w:type="character" w:customStyle="1" w:styleId="BalloonTextChar">
    <w:name w:val="Balloon Text Char"/>
    <w:basedOn w:val="DefaultParagraphFont"/>
    <w:link w:val="BalloonText"/>
    <w:uiPriority w:val="99"/>
    <w:semiHidden/>
    <w:rsid w:val="00C1097E"/>
    <w:rPr>
      <w:rFonts w:ascii="Tahoma" w:eastAsia="Times New Roman" w:hAnsi="Tahoma" w:cs="Tahoma"/>
      <w:sz w:val="16"/>
      <w:szCs w:val="16"/>
      <w:lang w:val="en-GB" w:eastAsia="en-GB"/>
    </w:rPr>
  </w:style>
  <w:style w:type="character" w:styleId="UnresolvedMention">
    <w:name w:val="Unresolved Mention"/>
    <w:basedOn w:val="DefaultParagraphFont"/>
    <w:uiPriority w:val="99"/>
    <w:semiHidden/>
    <w:unhideWhenUsed/>
    <w:rsid w:val="00F87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93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rn.com/abstract=2513207"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srn.com/abstract=2513207"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ei.org/publication/taxation-andgovernance-in-africa"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srn.com/abstract=2515207"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984</TotalTime>
  <Pages>18</Pages>
  <Words>8566</Words>
  <Characters>48830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SDI 1084</cp:lastModifiedBy>
  <cp:revision>40</cp:revision>
  <dcterms:created xsi:type="dcterms:W3CDTF">2024-08-26T02:26:00Z</dcterms:created>
  <dcterms:modified xsi:type="dcterms:W3CDTF">2025-03-07T07:56:00Z</dcterms:modified>
</cp:coreProperties>
</file>