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923A6" w14:textId="77777777" w:rsidR="008326B0" w:rsidRDefault="008326B0">
      <w:pPr>
        <w:widowControl w:val="0"/>
        <w:pBdr>
          <w:top w:val="nil"/>
          <w:left w:val="nil"/>
          <w:bottom w:val="nil"/>
          <w:right w:val="nil"/>
          <w:between w:val="nil"/>
        </w:pBdr>
        <w:spacing w:line="276" w:lineRule="auto"/>
      </w:pPr>
    </w:p>
    <w:p w14:paraId="49308897" w14:textId="77777777" w:rsidR="00453598" w:rsidRDefault="00453598">
      <w:pPr>
        <w:widowControl w:val="0"/>
        <w:pBdr>
          <w:top w:val="nil"/>
          <w:left w:val="nil"/>
          <w:bottom w:val="nil"/>
          <w:right w:val="nil"/>
          <w:between w:val="nil"/>
        </w:pBdr>
        <w:spacing w:line="276" w:lineRule="auto"/>
      </w:pPr>
    </w:p>
    <w:p w14:paraId="6839654E" w14:textId="77777777" w:rsidR="008326B0" w:rsidRDefault="008326B0">
      <w:pPr>
        <w:pStyle w:val="Title"/>
        <w:spacing w:after="0"/>
        <w:jc w:val="both"/>
        <w:rPr>
          <w:rFonts w:ascii="Arial" w:eastAsia="Arial" w:hAnsi="Arial" w:cs="Arial"/>
        </w:rPr>
      </w:pPr>
    </w:p>
    <w:p w14:paraId="7CF03E8B" w14:textId="77777777" w:rsidR="008326B0" w:rsidRDefault="00000000">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COMPARATIVE ANALYSIS OF HELMINTH PREVALENCE IN MARKET AND STREET FAIR SAMPLES: PUBLIC HEALTH IMPLICATIONS</w:t>
      </w:r>
    </w:p>
    <w:p w14:paraId="279C5934" w14:textId="77777777" w:rsidR="008326B0" w:rsidRDefault="008326B0">
      <w:pPr>
        <w:pBdr>
          <w:top w:val="nil"/>
          <w:left w:val="nil"/>
          <w:bottom w:val="nil"/>
          <w:right w:val="nil"/>
          <w:between w:val="nil"/>
        </w:pBdr>
        <w:jc w:val="both"/>
        <w:rPr>
          <w:rFonts w:ascii="Arial" w:eastAsia="Arial" w:hAnsi="Arial" w:cs="Arial"/>
          <w:b/>
          <w:color w:val="000000"/>
          <w:sz w:val="36"/>
          <w:szCs w:val="36"/>
        </w:rPr>
      </w:pPr>
    </w:p>
    <w:p w14:paraId="64C5C80E" w14:textId="77777777" w:rsidR="008326B0" w:rsidRDefault="008326B0">
      <w:pPr>
        <w:pBdr>
          <w:top w:val="nil"/>
          <w:left w:val="nil"/>
          <w:bottom w:val="nil"/>
          <w:right w:val="nil"/>
          <w:between w:val="nil"/>
        </w:pBdr>
        <w:jc w:val="right"/>
        <w:rPr>
          <w:rFonts w:ascii="Arial" w:eastAsia="Arial" w:hAnsi="Arial" w:cs="Arial"/>
          <w:i/>
          <w:sz w:val="16"/>
          <w:szCs w:val="16"/>
        </w:rPr>
      </w:pPr>
    </w:p>
    <w:p w14:paraId="1298AE69" w14:textId="77777777" w:rsidR="008326B0" w:rsidRDefault="008326B0">
      <w:pPr>
        <w:pBdr>
          <w:top w:val="nil"/>
          <w:left w:val="nil"/>
          <w:bottom w:val="nil"/>
          <w:right w:val="nil"/>
          <w:between w:val="nil"/>
        </w:pBdr>
        <w:jc w:val="both"/>
        <w:rPr>
          <w:rFonts w:ascii="Arial" w:eastAsia="Arial" w:hAnsi="Arial" w:cs="Arial"/>
          <w:color w:val="000000"/>
        </w:rPr>
      </w:pPr>
    </w:p>
    <w:p w14:paraId="0667A626" w14:textId="77777777" w:rsidR="008326B0" w:rsidRDefault="008326B0">
      <w:pPr>
        <w:pBdr>
          <w:top w:val="nil"/>
          <w:left w:val="nil"/>
          <w:bottom w:val="nil"/>
          <w:right w:val="nil"/>
          <w:between w:val="nil"/>
        </w:pBdr>
        <w:jc w:val="both"/>
        <w:rPr>
          <w:rFonts w:ascii="Arial" w:eastAsia="Arial" w:hAnsi="Arial" w:cs="Arial"/>
          <w:color w:val="000000"/>
        </w:rPr>
      </w:pPr>
    </w:p>
    <w:p w14:paraId="515DB587" w14:textId="77777777" w:rsidR="008326B0" w:rsidRDefault="00000000">
      <w:pPr>
        <w:pBdr>
          <w:top w:val="nil"/>
          <w:left w:val="nil"/>
          <w:bottom w:val="nil"/>
          <w:right w:val="nil"/>
          <w:between w:val="nil"/>
        </w:pBdr>
        <w:jc w:val="both"/>
        <w:rPr>
          <w:rFonts w:ascii="Arial" w:eastAsia="Arial" w:hAnsi="Arial" w:cs="Arial"/>
          <w:color w:val="000000"/>
          <w:sz w:val="16"/>
          <w:szCs w:val="16"/>
        </w:rPr>
        <w:sectPr w:rsidR="008326B0" w:rsidSect="00426D3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2E32E840" wp14:editId="7204B44A">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7CBAE11F" w14:textId="70921A7C" w:rsidR="008326B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326B0" w14:paraId="3E07CE3B" w14:textId="77777777">
        <w:tc>
          <w:tcPr>
            <w:tcW w:w="8424" w:type="dxa"/>
            <w:shd w:val="clear" w:color="auto" w:fill="F2F2F2"/>
          </w:tcPr>
          <w:p w14:paraId="285B6217"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b/>
              </w:rPr>
              <w:t>Introduction:</w:t>
            </w:r>
            <w:r>
              <w:rPr>
                <w:rFonts w:ascii="Arial" w:eastAsia="Arial" w:hAnsi="Arial" w:cs="Arial"/>
              </w:rPr>
              <w:t xml:space="preserve"> The contamination of food by intestinal helminths poses a significant public health challenge, especially in regions where sanitary conditions are poor. This study addresses the prevalence of parasites in leafy vegetables sold in markets and street fairs. </w:t>
            </w:r>
          </w:p>
          <w:p w14:paraId="54CEE1B3" w14:textId="77777777" w:rsidR="008326B0" w:rsidRDefault="008326B0">
            <w:pPr>
              <w:pBdr>
                <w:top w:val="nil"/>
                <w:left w:val="nil"/>
                <w:bottom w:val="nil"/>
                <w:right w:val="nil"/>
                <w:between w:val="nil"/>
              </w:pBdr>
              <w:jc w:val="both"/>
              <w:rPr>
                <w:rFonts w:ascii="Arial" w:eastAsia="Arial" w:hAnsi="Arial" w:cs="Arial"/>
              </w:rPr>
            </w:pPr>
          </w:p>
          <w:p w14:paraId="1FB56599"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b/>
              </w:rPr>
              <w:t xml:space="preserve">Objective: </w:t>
            </w:r>
            <w:r>
              <w:rPr>
                <w:rFonts w:ascii="Arial" w:eastAsia="Arial" w:hAnsi="Arial" w:cs="Arial"/>
              </w:rPr>
              <w:t xml:space="preserve">To analyze and compare the prevalence of intestinal helminths in leafy vegetable samples collected from street fairs and supermarkets in Bahia. </w:t>
            </w:r>
          </w:p>
          <w:p w14:paraId="0D0762B2" w14:textId="77777777" w:rsidR="008326B0" w:rsidRDefault="008326B0">
            <w:pPr>
              <w:pBdr>
                <w:top w:val="nil"/>
                <w:left w:val="nil"/>
                <w:bottom w:val="nil"/>
                <w:right w:val="nil"/>
                <w:between w:val="nil"/>
              </w:pBdr>
              <w:jc w:val="both"/>
              <w:rPr>
                <w:rFonts w:ascii="Arial" w:eastAsia="Arial" w:hAnsi="Arial" w:cs="Arial"/>
              </w:rPr>
            </w:pPr>
          </w:p>
          <w:p w14:paraId="6F61FE68"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b/>
              </w:rPr>
              <w:t xml:space="preserve">Methodology: </w:t>
            </w:r>
            <w:r>
              <w:rPr>
                <w:rFonts w:ascii="Arial" w:eastAsia="Arial" w:hAnsi="Arial" w:cs="Arial"/>
              </w:rPr>
              <w:t xml:space="preserve">Ten samples of leafy vegetables were collected from different points of sale, stored in sterile bags, and transported for laboratory analysis. The samples were washed with sterile distilled water, and the resulting sediment was microscopically examined after the addition of Lugol's solution. </w:t>
            </w:r>
          </w:p>
          <w:p w14:paraId="1D69E161" w14:textId="77777777" w:rsidR="008326B0" w:rsidRDefault="008326B0">
            <w:pPr>
              <w:pBdr>
                <w:top w:val="nil"/>
                <w:left w:val="nil"/>
                <w:bottom w:val="nil"/>
                <w:right w:val="nil"/>
                <w:between w:val="nil"/>
              </w:pBdr>
              <w:jc w:val="both"/>
              <w:rPr>
                <w:rFonts w:ascii="Arial" w:eastAsia="Arial" w:hAnsi="Arial" w:cs="Arial"/>
              </w:rPr>
            </w:pPr>
          </w:p>
          <w:p w14:paraId="01F81AFC"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b/>
              </w:rPr>
              <w:t>Results and Discussion:</w:t>
            </w:r>
            <w:r>
              <w:rPr>
                <w:rFonts w:ascii="Arial" w:eastAsia="Arial" w:hAnsi="Arial" w:cs="Arial"/>
              </w:rPr>
              <w:t xml:space="preserve"> In the market, Entamoeba sp. was the most prevalent species, accounting for 41.25% of occurrences, while in the street fair, Taenia sp. predominated, representing 43.75% of the samples. The comparison revealed significant variations between the locations, reflecting possible differences in hygiene and handling practices. </w:t>
            </w:r>
          </w:p>
          <w:p w14:paraId="262FF9BC"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b/>
              </w:rPr>
              <w:t>Conclusion:</w:t>
            </w:r>
            <w:r>
              <w:rPr>
                <w:rFonts w:ascii="Arial" w:eastAsia="Arial" w:hAnsi="Arial" w:cs="Arial"/>
              </w:rPr>
              <w:t xml:space="preserve"> The prevalence of different helminths in both locations highlights the importance of targeted sanitary interventions to improve food safety and reduce the risk of parasitic infection.</w:t>
            </w:r>
          </w:p>
          <w:p w14:paraId="198C6004" w14:textId="77777777" w:rsidR="008326B0" w:rsidRDefault="008326B0">
            <w:pPr>
              <w:pBdr>
                <w:top w:val="nil"/>
                <w:left w:val="nil"/>
                <w:bottom w:val="nil"/>
                <w:right w:val="nil"/>
                <w:between w:val="nil"/>
              </w:pBdr>
              <w:jc w:val="both"/>
              <w:rPr>
                <w:rFonts w:ascii="Arial" w:eastAsia="Arial" w:hAnsi="Arial" w:cs="Arial"/>
              </w:rPr>
            </w:pPr>
          </w:p>
          <w:p w14:paraId="394C4535" w14:textId="77777777" w:rsidR="008326B0" w:rsidRDefault="008326B0">
            <w:pPr>
              <w:pBdr>
                <w:top w:val="nil"/>
                <w:left w:val="nil"/>
                <w:bottom w:val="nil"/>
                <w:right w:val="nil"/>
                <w:between w:val="nil"/>
              </w:pBdr>
              <w:jc w:val="both"/>
              <w:rPr>
                <w:rFonts w:ascii="Arial" w:eastAsia="Arial" w:hAnsi="Arial" w:cs="Arial"/>
                <w:color w:val="000000"/>
              </w:rPr>
            </w:pPr>
          </w:p>
        </w:tc>
      </w:tr>
    </w:tbl>
    <w:p w14:paraId="4C7F8E51" w14:textId="77777777" w:rsidR="008326B0" w:rsidRDefault="008326B0">
      <w:pPr>
        <w:pBdr>
          <w:top w:val="nil"/>
          <w:left w:val="nil"/>
          <w:bottom w:val="nil"/>
          <w:right w:val="nil"/>
          <w:between w:val="nil"/>
        </w:pBdr>
        <w:jc w:val="both"/>
        <w:rPr>
          <w:rFonts w:ascii="Arial" w:eastAsia="Arial" w:hAnsi="Arial" w:cs="Arial"/>
          <w:i/>
          <w:color w:val="000000"/>
        </w:rPr>
      </w:pPr>
    </w:p>
    <w:p w14:paraId="54838DF2" w14:textId="77777777" w:rsidR="008326B0"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rPr>
        <w:t xml:space="preserve">Keywords: Helminths, Food contamination, Food safety, </w:t>
      </w:r>
      <w:proofErr w:type="gramStart"/>
      <w:r>
        <w:rPr>
          <w:rFonts w:ascii="Arial" w:eastAsia="Arial" w:hAnsi="Arial" w:cs="Arial"/>
          <w:i/>
        </w:rPr>
        <w:t>Public</w:t>
      </w:r>
      <w:proofErr w:type="gramEnd"/>
      <w:r>
        <w:rPr>
          <w:rFonts w:ascii="Arial" w:eastAsia="Arial" w:hAnsi="Arial" w:cs="Arial"/>
          <w:i/>
        </w:rPr>
        <w:t xml:space="preserve"> health.</w:t>
      </w:r>
    </w:p>
    <w:p w14:paraId="55E9528E" w14:textId="77777777" w:rsidR="008326B0" w:rsidRDefault="008326B0">
      <w:pPr>
        <w:pBdr>
          <w:top w:val="nil"/>
          <w:left w:val="nil"/>
          <w:bottom w:val="nil"/>
          <w:right w:val="nil"/>
          <w:between w:val="nil"/>
        </w:pBdr>
        <w:jc w:val="both"/>
        <w:rPr>
          <w:rFonts w:ascii="Arial" w:eastAsia="Arial" w:hAnsi="Arial" w:cs="Arial"/>
          <w:i/>
          <w:color w:val="000000"/>
        </w:rPr>
      </w:pPr>
    </w:p>
    <w:p w14:paraId="73110306" w14:textId="77777777" w:rsidR="008326B0" w:rsidRDefault="008326B0">
      <w:pPr>
        <w:pBdr>
          <w:top w:val="nil"/>
          <w:left w:val="nil"/>
          <w:bottom w:val="nil"/>
          <w:right w:val="nil"/>
          <w:between w:val="nil"/>
        </w:pBdr>
        <w:jc w:val="both"/>
        <w:rPr>
          <w:rFonts w:ascii="Arial" w:eastAsia="Arial" w:hAnsi="Arial" w:cs="Arial"/>
          <w:i/>
          <w:color w:val="000000"/>
          <w:sz w:val="18"/>
          <w:szCs w:val="18"/>
        </w:rPr>
      </w:pPr>
    </w:p>
    <w:p w14:paraId="6EADFD88" w14:textId="77777777" w:rsidR="008326B0" w:rsidRDefault="008326B0">
      <w:pPr>
        <w:pBdr>
          <w:top w:val="nil"/>
          <w:left w:val="nil"/>
          <w:bottom w:val="nil"/>
          <w:right w:val="nil"/>
          <w:between w:val="nil"/>
        </w:pBdr>
        <w:jc w:val="both"/>
        <w:rPr>
          <w:rFonts w:ascii="Arial" w:eastAsia="Arial" w:hAnsi="Arial" w:cs="Arial"/>
          <w:i/>
          <w:color w:val="000000"/>
        </w:rPr>
      </w:pPr>
    </w:p>
    <w:p w14:paraId="23E42A17" w14:textId="77777777" w:rsidR="008326B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32F8C8D" w14:textId="77777777" w:rsidR="008326B0" w:rsidRDefault="008326B0">
      <w:pPr>
        <w:keepNext/>
        <w:pBdr>
          <w:top w:val="nil"/>
          <w:left w:val="nil"/>
          <w:bottom w:val="nil"/>
          <w:right w:val="nil"/>
          <w:between w:val="nil"/>
        </w:pBdr>
        <w:jc w:val="both"/>
        <w:rPr>
          <w:rFonts w:ascii="Arial" w:eastAsia="Arial" w:hAnsi="Arial" w:cs="Arial"/>
          <w:b/>
          <w:smallCaps/>
          <w:color w:val="000000"/>
          <w:sz w:val="22"/>
          <w:szCs w:val="22"/>
        </w:rPr>
      </w:pPr>
    </w:p>
    <w:p w14:paraId="522FA8AE"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Food contamination by pathogens, including intestinal parasites, poses a significant challenge to global public health. This directly impacts food safety and population well-being, especially in regions where fresh foods are consumed without proper supply chains. The presence of parasites in vegetables, such as leafy greens, can be linked to harmful agricultural practices and the use of contaminated water, which increases the risk of infection [1]. Intestinal parasitic infections, like those caused by helminths, are common in areas with poor sanitary infrastructure, affecting millions of people, particularly in tropical and subtropical regions where the incidence is higher [2]. </w:t>
      </w:r>
    </w:p>
    <w:p w14:paraId="0967028B"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Helminths, such as Ascaris lumbricoides, Trichuris </w:t>
      </w:r>
      <w:proofErr w:type="spellStart"/>
      <w:r>
        <w:rPr>
          <w:rFonts w:ascii="Arial" w:eastAsia="Arial" w:hAnsi="Arial" w:cs="Arial"/>
        </w:rPr>
        <w:t>trichiura</w:t>
      </w:r>
      <w:proofErr w:type="spellEnd"/>
      <w:r>
        <w:rPr>
          <w:rFonts w:ascii="Arial" w:eastAsia="Arial" w:hAnsi="Arial" w:cs="Arial"/>
        </w:rPr>
        <w:t xml:space="preserve">, and hookworms, are examples of parasites that can be found in contaminated food. These parasites are primarily transmitted through the ingestion of eggs present in improperly washed food or food exposed to compromised sanitary conditions [3]. Fecal-oral transmission, associated with inadequate hygiene, </w:t>
      </w:r>
      <w:r>
        <w:rPr>
          <w:rFonts w:ascii="Arial" w:eastAsia="Arial" w:hAnsi="Arial" w:cs="Arial"/>
        </w:rPr>
        <w:lastRenderedPageBreak/>
        <w:t xml:space="preserve">is a common route of infection, highlighting the importance of strict hygiene practices in food production and handling [4]. In this context, epidemiological studies reveal that the consumption of raw food increases the risk of intestinal parasitic transmission, posing a global public health concern [5]. </w:t>
      </w:r>
    </w:p>
    <w:p w14:paraId="4FD9451E"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Contamination of fresh foods, especially leafy vegetables, is a persistent issue due to frequent handling and exposure during sales in markets and fairs. Contaminated water and soil are potential sources of parasites, contributing to infection in locations where hygiene measures are insufficient [6]. Additionally, the lack of sanitation practices increases the prevalence of helminths in agricultural products, potentially leading to outbreaks of parasitic diseases in vulnerable communities [7]. The implementation of monitoring programs and effective hygiene procedures can mitigate these risks and improve food safety [6]. </w:t>
      </w:r>
    </w:p>
    <w:p w14:paraId="5D3D79B2"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relationship between the presence of parasites in food and the epidemiology of infections is complex and underscores the need for an integrated approach to control and prevention. Studies indicate that monitoring practices, combined with sanitary interventions, are essential to reduce the parasitic load in food and prevent outbreaks [3]. Helminth infections can range from mild symptoms, such as abdominal discomfort, to severe complications, depending on the parasite involved and the host's health status [8]. Assessing the contamination of food sold in environments such as markets and supermarkets is therefore crucial for developing effective public health policies [9]. </w:t>
      </w:r>
    </w:p>
    <w:p w14:paraId="1A728DCA"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This study aims to analyze samples of leafy vegetables sold at open markets and supermarkets in Bahia to identify contamination by intestinal helminths. The central question guiding this investigation is: what is the degree of contamination by intestinal helminths in leafy vegetables sold in these locations? The relevance of this research lies in the need to assess food safety and support mitigation strategies to protect public health. Evaluating the extent of this contamination can promote better sanitation practices and contribute to food safety and public health at a regional level.</w:t>
      </w:r>
    </w:p>
    <w:p w14:paraId="37B635FB" w14:textId="77777777" w:rsidR="008326B0" w:rsidRDefault="008326B0">
      <w:pPr>
        <w:pBdr>
          <w:top w:val="nil"/>
          <w:left w:val="nil"/>
          <w:bottom w:val="nil"/>
          <w:right w:val="nil"/>
          <w:between w:val="nil"/>
        </w:pBdr>
        <w:jc w:val="both"/>
        <w:rPr>
          <w:rFonts w:ascii="Arial" w:eastAsia="Arial" w:hAnsi="Arial" w:cs="Arial"/>
        </w:rPr>
      </w:pPr>
    </w:p>
    <w:p w14:paraId="6441AF7B" w14:textId="77777777" w:rsidR="008326B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46F5DE98" w14:textId="77777777" w:rsidR="008326B0" w:rsidRDefault="008326B0">
      <w:pPr>
        <w:keepNext/>
        <w:pBdr>
          <w:top w:val="nil"/>
          <w:left w:val="nil"/>
          <w:bottom w:val="nil"/>
          <w:right w:val="nil"/>
          <w:between w:val="nil"/>
        </w:pBdr>
        <w:jc w:val="both"/>
        <w:rPr>
          <w:rFonts w:ascii="Arial" w:eastAsia="Arial" w:hAnsi="Arial" w:cs="Arial"/>
          <w:b/>
          <w:smallCaps/>
          <w:color w:val="000000"/>
          <w:sz w:val="22"/>
          <w:szCs w:val="22"/>
        </w:rPr>
      </w:pPr>
    </w:p>
    <w:p w14:paraId="6169500C"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For the analysis of intestinal helminth contamination in leafy vegetables sold at open markets and supermarkets in the state of Bahia, samples were collected and laboratory analyses were conducted following a rigorous protocol. Initially, a total of 10 leafy vegetable samples were collected from different points of sale and placed in sterile bags to ensure integrity and prevent contamination during transport to the laboratory. Upon arrival at the laboratory, the samples remained in their original collection bags to maintain sterility.</w:t>
      </w:r>
    </w:p>
    <w:p w14:paraId="2030CC9B"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The samples were then subjected to careful washing with sterile distilled water, still within the bags. The resulting wash water was collected in a conical-bottomed glass beaker, which was ideal for the sedimentation of particles. After a 24-hour period, the sediment accumulated at the bottom of the beaker was used for microscopic analysis. An aliquot of the sediment was drawn using a sterile Pasteur pipette and transferred onto a glass slide. To enhance visualization of parasitic structures, a drop of Lugol’s solution was added to the aliquot, followed by the placement of a coverslip.</w:t>
      </w:r>
    </w:p>
    <w:p w14:paraId="0B260D89"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Microscopic analysis was performed using optical criteria at a final magnification of 1000x, allowing for the specific identification of eggs, larvae, and other parasitic structures. Findings were documented with photographs to enable later identification and comparison with a parasitological atlas, ensuring accuracy in the classification of observed parasites. This methodology allowed for efficient sample collection, preparation, and analysis, ensuring the reliability of the data obtained and the detection of potential intestinal helminth contamination in the tested leafy vegetables.</w:t>
      </w:r>
    </w:p>
    <w:p w14:paraId="4DE1EF39" w14:textId="77777777" w:rsidR="008326B0" w:rsidRDefault="008326B0">
      <w:pPr>
        <w:pBdr>
          <w:top w:val="nil"/>
          <w:left w:val="nil"/>
          <w:bottom w:val="nil"/>
          <w:right w:val="nil"/>
          <w:between w:val="nil"/>
        </w:pBdr>
        <w:jc w:val="both"/>
        <w:rPr>
          <w:rFonts w:ascii="Arial" w:eastAsia="Arial" w:hAnsi="Arial" w:cs="Arial"/>
        </w:rPr>
      </w:pPr>
    </w:p>
    <w:p w14:paraId="6FA34F39" w14:textId="77777777" w:rsidR="008326B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67231EAA" w14:textId="77777777" w:rsidR="008326B0" w:rsidRDefault="008326B0">
      <w:pPr>
        <w:keepNext/>
        <w:pBdr>
          <w:top w:val="nil"/>
          <w:left w:val="nil"/>
          <w:bottom w:val="nil"/>
          <w:right w:val="nil"/>
          <w:between w:val="nil"/>
        </w:pBdr>
        <w:jc w:val="both"/>
        <w:rPr>
          <w:rFonts w:ascii="Arial" w:eastAsia="Arial" w:hAnsi="Arial" w:cs="Arial"/>
          <w:b/>
          <w:smallCaps/>
          <w:color w:val="000000"/>
          <w:sz w:val="22"/>
          <w:szCs w:val="22"/>
        </w:rPr>
      </w:pPr>
    </w:p>
    <w:p w14:paraId="495C3B65" w14:textId="77777777" w:rsidR="008326B0" w:rsidRDefault="008326B0">
      <w:pPr>
        <w:pBdr>
          <w:top w:val="nil"/>
          <w:left w:val="nil"/>
          <w:bottom w:val="nil"/>
          <w:right w:val="nil"/>
          <w:between w:val="nil"/>
        </w:pBdr>
        <w:jc w:val="both"/>
        <w:rPr>
          <w:rFonts w:ascii="Arial" w:eastAsia="Arial" w:hAnsi="Arial" w:cs="Arial"/>
        </w:rPr>
      </w:pPr>
    </w:p>
    <w:p w14:paraId="725F7126"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Market Samples</w:t>
      </w:r>
    </w:p>
    <w:p w14:paraId="5284A861" w14:textId="77777777" w:rsidR="008326B0" w:rsidRDefault="008326B0">
      <w:pPr>
        <w:pBdr>
          <w:top w:val="nil"/>
          <w:left w:val="nil"/>
          <w:bottom w:val="nil"/>
          <w:right w:val="nil"/>
          <w:between w:val="nil"/>
        </w:pBdr>
        <w:jc w:val="both"/>
        <w:rPr>
          <w:rFonts w:ascii="Arial" w:eastAsia="Arial" w:hAnsi="Arial" w:cs="Arial"/>
        </w:rPr>
      </w:pPr>
    </w:p>
    <w:p w14:paraId="463C6888"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Table 01: Total helminth specimens from market samples.</w:t>
      </w:r>
    </w:p>
    <w:p w14:paraId="1682F456" w14:textId="77777777" w:rsidR="008326B0" w:rsidRDefault="008326B0">
      <w:pPr>
        <w:widowControl w:val="0"/>
        <w:spacing w:line="360" w:lineRule="auto"/>
        <w:ind w:firstLine="720"/>
        <w:jc w:val="both"/>
        <w:rPr>
          <w:rFonts w:ascii="Arial" w:eastAsia="Arial" w:hAnsi="Arial" w:cs="Arial"/>
          <w:sz w:val="24"/>
          <w:szCs w:val="24"/>
        </w:rPr>
      </w:pPr>
    </w:p>
    <w:tbl>
      <w:tblPr>
        <w:tblStyle w:val="a0"/>
        <w:tblW w:w="6420" w:type="dxa"/>
        <w:jc w:val="center"/>
        <w:tblLayout w:type="fixed"/>
        <w:tblLook w:val="0600" w:firstRow="0" w:lastRow="0" w:firstColumn="0" w:lastColumn="0" w:noHBand="1" w:noVBand="1"/>
      </w:tblPr>
      <w:tblGrid>
        <w:gridCol w:w="1605"/>
        <w:gridCol w:w="1605"/>
        <w:gridCol w:w="1605"/>
        <w:gridCol w:w="1605"/>
      </w:tblGrid>
      <w:tr w:rsidR="008326B0" w14:paraId="575C37F2" w14:textId="77777777">
        <w:trPr>
          <w:trHeight w:val="315"/>
          <w:jc w:val="center"/>
        </w:trPr>
        <w:tc>
          <w:tcPr>
            <w:tcW w:w="1605" w:type="dxa"/>
            <w:tcBorders>
              <w:bottom w:val="single" w:sz="6" w:space="0" w:color="000000"/>
            </w:tcBorders>
            <w:tcMar>
              <w:top w:w="40" w:type="dxa"/>
              <w:left w:w="40" w:type="dxa"/>
              <w:bottom w:w="40" w:type="dxa"/>
              <w:right w:w="40" w:type="dxa"/>
            </w:tcMar>
            <w:vAlign w:val="center"/>
          </w:tcPr>
          <w:p w14:paraId="38E4534C" w14:textId="77777777" w:rsidR="008326B0" w:rsidRDefault="00000000">
            <w:pPr>
              <w:widowControl w:val="0"/>
              <w:spacing w:line="276" w:lineRule="auto"/>
              <w:jc w:val="center"/>
              <w:rPr>
                <w:rFonts w:ascii="Arial" w:eastAsia="Arial" w:hAnsi="Arial" w:cs="Arial"/>
                <w:b/>
              </w:rPr>
            </w:pPr>
            <w:r>
              <w:rPr>
                <w:rFonts w:ascii="Arial" w:eastAsia="Arial" w:hAnsi="Arial" w:cs="Arial"/>
                <w:b/>
              </w:rPr>
              <w:t>Identification</w:t>
            </w:r>
          </w:p>
        </w:tc>
        <w:tc>
          <w:tcPr>
            <w:tcW w:w="1605" w:type="dxa"/>
            <w:tcBorders>
              <w:bottom w:val="single" w:sz="6" w:space="0" w:color="000000"/>
            </w:tcBorders>
            <w:tcMar>
              <w:top w:w="40" w:type="dxa"/>
              <w:left w:w="40" w:type="dxa"/>
              <w:bottom w:w="40" w:type="dxa"/>
              <w:right w:w="40" w:type="dxa"/>
            </w:tcMar>
            <w:vAlign w:val="center"/>
          </w:tcPr>
          <w:p w14:paraId="2A5C4C19" w14:textId="77777777" w:rsidR="008326B0" w:rsidRDefault="00000000">
            <w:pPr>
              <w:widowControl w:val="0"/>
              <w:spacing w:line="276" w:lineRule="auto"/>
              <w:jc w:val="center"/>
              <w:rPr>
                <w:rFonts w:ascii="Arial" w:eastAsia="Arial" w:hAnsi="Arial" w:cs="Arial"/>
                <w:b/>
              </w:rPr>
            </w:pPr>
            <w:r>
              <w:rPr>
                <w:rFonts w:ascii="Arial" w:eastAsia="Arial" w:hAnsi="Arial" w:cs="Arial"/>
                <w:b/>
              </w:rPr>
              <w:t>Total</w:t>
            </w:r>
          </w:p>
        </w:tc>
        <w:tc>
          <w:tcPr>
            <w:tcW w:w="1605" w:type="dxa"/>
            <w:tcBorders>
              <w:bottom w:val="single" w:sz="6" w:space="0" w:color="000000"/>
            </w:tcBorders>
            <w:tcMar>
              <w:top w:w="40" w:type="dxa"/>
              <w:left w:w="40" w:type="dxa"/>
              <w:bottom w:w="40" w:type="dxa"/>
              <w:right w:w="40" w:type="dxa"/>
            </w:tcMar>
            <w:vAlign w:val="center"/>
          </w:tcPr>
          <w:p w14:paraId="31E02B7B" w14:textId="77777777" w:rsidR="008326B0" w:rsidRDefault="00000000">
            <w:pPr>
              <w:widowControl w:val="0"/>
              <w:spacing w:line="276" w:lineRule="auto"/>
              <w:jc w:val="center"/>
              <w:rPr>
                <w:rFonts w:ascii="Arial" w:eastAsia="Arial" w:hAnsi="Arial" w:cs="Arial"/>
                <w:b/>
              </w:rPr>
            </w:pPr>
            <w:r>
              <w:rPr>
                <w:rFonts w:ascii="Arial" w:eastAsia="Arial" w:hAnsi="Arial" w:cs="Arial"/>
                <w:b/>
              </w:rPr>
              <w:t>Average</w:t>
            </w:r>
          </w:p>
        </w:tc>
        <w:tc>
          <w:tcPr>
            <w:tcW w:w="1605" w:type="dxa"/>
            <w:tcBorders>
              <w:bottom w:val="single" w:sz="6" w:space="0" w:color="000000"/>
            </w:tcBorders>
            <w:tcMar>
              <w:top w:w="40" w:type="dxa"/>
              <w:left w:w="40" w:type="dxa"/>
              <w:bottom w:w="40" w:type="dxa"/>
              <w:right w:w="40" w:type="dxa"/>
            </w:tcMar>
            <w:vAlign w:val="center"/>
          </w:tcPr>
          <w:p w14:paraId="7FF0E3B3" w14:textId="77777777" w:rsidR="008326B0" w:rsidRDefault="00000000">
            <w:pPr>
              <w:widowControl w:val="0"/>
              <w:spacing w:line="276" w:lineRule="auto"/>
              <w:jc w:val="center"/>
              <w:rPr>
                <w:rFonts w:ascii="Arial" w:eastAsia="Arial" w:hAnsi="Arial" w:cs="Arial"/>
                <w:b/>
              </w:rPr>
            </w:pPr>
            <w:r>
              <w:rPr>
                <w:rFonts w:ascii="Arial" w:eastAsia="Arial" w:hAnsi="Arial" w:cs="Arial"/>
                <w:b/>
              </w:rPr>
              <w:t>Percentage</w:t>
            </w:r>
          </w:p>
        </w:tc>
      </w:tr>
      <w:tr w:rsidR="008326B0" w14:paraId="7895F3B1" w14:textId="77777777">
        <w:trPr>
          <w:trHeight w:val="315"/>
          <w:jc w:val="center"/>
        </w:trPr>
        <w:tc>
          <w:tcPr>
            <w:tcW w:w="1605" w:type="dxa"/>
            <w:tcBorders>
              <w:top w:val="single" w:sz="6" w:space="0" w:color="000000"/>
              <w:bottom w:val="single" w:sz="6" w:space="0" w:color="000000"/>
            </w:tcBorders>
            <w:tcMar>
              <w:top w:w="40" w:type="dxa"/>
              <w:left w:w="40" w:type="dxa"/>
              <w:bottom w:w="40" w:type="dxa"/>
              <w:right w:w="40" w:type="dxa"/>
            </w:tcMar>
            <w:vAlign w:val="center"/>
          </w:tcPr>
          <w:p w14:paraId="07DB2ABD" w14:textId="77777777" w:rsidR="008326B0" w:rsidRDefault="00000000">
            <w:pPr>
              <w:widowControl w:val="0"/>
              <w:spacing w:line="276" w:lineRule="auto"/>
              <w:jc w:val="center"/>
              <w:rPr>
                <w:rFonts w:ascii="Arial" w:eastAsia="Arial" w:hAnsi="Arial" w:cs="Arial"/>
              </w:rPr>
            </w:pPr>
            <w:r>
              <w:rPr>
                <w:rFonts w:ascii="Arial" w:eastAsia="Arial" w:hAnsi="Arial" w:cs="Arial"/>
              </w:rPr>
              <w:t>Entamoeba sp.</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7E0356BE" w14:textId="77777777" w:rsidR="008326B0" w:rsidRDefault="00000000">
            <w:pPr>
              <w:widowControl w:val="0"/>
              <w:spacing w:line="276" w:lineRule="auto"/>
              <w:jc w:val="center"/>
              <w:rPr>
                <w:rFonts w:ascii="Arial" w:eastAsia="Arial" w:hAnsi="Arial" w:cs="Arial"/>
              </w:rPr>
            </w:pPr>
            <w:r>
              <w:rPr>
                <w:rFonts w:ascii="Arial" w:eastAsia="Arial" w:hAnsi="Arial" w:cs="Arial"/>
              </w:rPr>
              <w:t>33</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6123BF2B" w14:textId="77777777" w:rsidR="008326B0" w:rsidRDefault="00000000">
            <w:pPr>
              <w:widowControl w:val="0"/>
              <w:spacing w:line="276" w:lineRule="auto"/>
              <w:jc w:val="center"/>
              <w:rPr>
                <w:rFonts w:ascii="Arial" w:eastAsia="Arial" w:hAnsi="Arial" w:cs="Arial"/>
              </w:rPr>
            </w:pPr>
            <w:r>
              <w:rPr>
                <w:rFonts w:ascii="Arial" w:eastAsia="Arial" w:hAnsi="Arial" w:cs="Arial"/>
              </w:rPr>
              <w:t>6.6</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3369B01C" w14:textId="77777777" w:rsidR="008326B0" w:rsidRDefault="00000000">
            <w:pPr>
              <w:widowControl w:val="0"/>
              <w:spacing w:line="276" w:lineRule="auto"/>
              <w:jc w:val="center"/>
              <w:rPr>
                <w:rFonts w:ascii="Arial" w:eastAsia="Arial" w:hAnsi="Arial" w:cs="Arial"/>
              </w:rPr>
            </w:pPr>
            <w:r>
              <w:rPr>
                <w:rFonts w:ascii="Arial" w:eastAsia="Arial" w:hAnsi="Arial" w:cs="Arial"/>
              </w:rPr>
              <w:t>41.25</w:t>
            </w:r>
          </w:p>
        </w:tc>
      </w:tr>
      <w:tr w:rsidR="008326B0" w14:paraId="5147C55E" w14:textId="77777777">
        <w:trPr>
          <w:trHeight w:val="525"/>
          <w:jc w:val="center"/>
        </w:trPr>
        <w:tc>
          <w:tcPr>
            <w:tcW w:w="1605" w:type="dxa"/>
            <w:tcBorders>
              <w:top w:val="single" w:sz="6" w:space="0" w:color="000000"/>
              <w:bottom w:val="single" w:sz="6" w:space="0" w:color="000000"/>
            </w:tcBorders>
            <w:tcMar>
              <w:top w:w="40" w:type="dxa"/>
              <w:left w:w="40" w:type="dxa"/>
              <w:bottom w:w="40" w:type="dxa"/>
              <w:right w:w="40" w:type="dxa"/>
            </w:tcMar>
            <w:vAlign w:val="center"/>
          </w:tcPr>
          <w:p w14:paraId="2BB2BF1E" w14:textId="77777777" w:rsidR="008326B0" w:rsidRDefault="00000000">
            <w:pPr>
              <w:widowControl w:val="0"/>
              <w:spacing w:line="276" w:lineRule="auto"/>
              <w:jc w:val="center"/>
              <w:rPr>
                <w:rFonts w:ascii="Arial" w:eastAsia="Arial" w:hAnsi="Arial" w:cs="Arial"/>
              </w:rPr>
            </w:pPr>
            <w:r>
              <w:rPr>
                <w:rFonts w:ascii="Arial" w:eastAsia="Arial" w:hAnsi="Arial" w:cs="Arial"/>
              </w:rPr>
              <w:t>Ascaris lumbricoides</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035AB872" w14:textId="77777777" w:rsidR="008326B0" w:rsidRDefault="00000000">
            <w:pPr>
              <w:widowControl w:val="0"/>
              <w:spacing w:line="276" w:lineRule="auto"/>
              <w:jc w:val="center"/>
              <w:rPr>
                <w:rFonts w:ascii="Arial" w:eastAsia="Arial" w:hAnsi="Arial" w:cs="Arial"/>
              </w:rPr>
            </w:pPr>
            <w:r>
              <w:rPr>
                <w:rFonts w:ascii="Arial" w:eastAsia="Arial" w:hAnsi="Arial" w:cs="Arial"/>
              </w:rPr>
              <w:t>12</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4A629906" w14:textId="77777777" w:rsidR="008326B0" w:rsidRDefault="00000000">
            <w:pPr>
              <w:widowControl w:val="0"/>
              <w:spacing w:line="276" w:lineRule="auto"/>
              <w:jc w:val="center"/>
              <w:rPr>
                <w:rFonts w:ascii="Arial" w:eastAsia="Arial" w:hAnsi="Arial" w:cs="Arial"/>
              </w:rPr>
            </w:pPr>
            <w:r>
              <w:rPr>
                <w:rFonts w:ascii="Arial" w:eastAsia="Arial" w:hAnsi="Arial" w:cs="Arial"/>
              </w:rPr>
              <w:t>2.4</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43954A14" w14:textId="77777777" w:rsidR="008326B0" w:rsidRDefault="00000000">
            <w:pPr>
              <w:widowControl w:val="0"/>
              <w:spacing w:line="276" w:lineRule="auto"/>
              <w:jc w:val="center"/>
              <w:rPr>
                <w:rFonts w:ascii="Arial" w:eastAsia="Arial" w:hAnsi="Arial" w:cs="Arial"/>
              </w:rPr>
            </w:pPr>
            <w:r>
              <w:rPr>
                <w:rFonts w:ascii="Arial" w:eastAsia="Arial" w:hAnsi="Arial" w:cs="Arial"/>
              </w:rPr>
              <w:t>15.0</w:t>
            </w:r>
          </w:p>
        </w:tc>
      </w:tr>
      <w:tr w:rsidR="008326B0" w14:paraId="103FCF30" w14:textId="77777777">
        <w:trPr>
          <w:trHeight w:val="525"/>
          <w:jc w:val="center"/>
        </w:trPr>
        <w:tc>
          <w:tcPr>
            <w:tcW w:w="1605" w:type="dxa"/>
            <w:tcBorders>
              <w:top w:val="single" w:sz="6" w:space="0" w:color="000000"/>
              <w:bottom w:val="single" w:sz="6" w:space="0" w:color="000000"/>
            </w:tcBorders>
            <w:tcMar>
              <w:top w:w="40" w:type="dxa"/>
              <w:left w:w="40" w:type="dxa"/>
              <w:bottom w:w="40" w:type="dxa"/>
              <w:right w:w="40" w:type="dxa"/>
            </w:tcMar>
            <w:vAlign w:val="center"/>
          </w:tcPr>
          <w:p w14:paraId="496B9AC3" w14:textId="77777777" w:rsidR="008326B0" w:rsidRDefault="00000000">
            <w:pPr>
              <w:widowControl w:val="0"/>
              <w:spacing w:line="276" w:lineRule="auto"/>
              <w:jc w:val="center"/>
              <w:rPr>
                <w:rFonts w:ascii="Arial" w:eastAsia="Arial" w:hAnsi="Arial" w:cs="Arial"/>
              </w:rPr>
            </w:pPr>
            <w:proofErr w:type="spellStart"/>
            <w:r>
              <w:rPr>
                <w:rFonts w:ascii="Arial" w:eastAsia="Arial" w:hAnsi="Arial" w:cs="Arial"/>
              </w:rPr>
              <w:t>Schistossoma</w:t>
            </w:r>
            <w:proofErr w:type="spellEnd"/>
            <w:r>
              <w:rPr>
                <w:rFonts w:ascii="Arial" w:eastAsia="Arial" w:hAnsi="Arial" w:cs="Arial"/>
              </w:rPr>
              <w:t xml:space="preserve"> </w:t>
            </w:r>
            <w:proofErr w:type="spellStart"/>
            <w:r>
              <w:rPr>
                <w:rFonts w:ascii="Arial" w:eastAsia="Arial" w:hAnsi="Arial" w:cs="Arial"/>
              </w:rPr>
              <w:t>mansoni</w:t>
            </w:r>
            <w:proofErr w:type="spellEnd"/>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401D0F18" w14:textId="77777777" w:rsidR="008326B0" w:rsidRDefault="00000000">
            <w:pPr>
              <w:widowControl w:val="0"/>
              <w:spacing w:line="276" w:lineRule="auto"/>
              <w:jc w:val="center"/>
              <w:rPr>
                <w:rFonts w:ascii="Arial" w:eastAsia="Arial" w:hAnsi="Arial" w:cs="Arial"/>
              </w:rPr>
            </w:pPr>
            <w:r>
              <w:rPr>
                <w:rFonts w:ascii="Arial" w:eastAsia="Arial" w:hAnsi="Arial" w:cs="Arial"/>
              </w:rPr>
              <w:t>3</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35D8E6E8" w14:textId="77777777" w:rsidR="008326B0" w:rsidRDefault="00000000">
            <w:pPr>
              <w:widowControl w:val="0"/>
              <w:spacing w:line="276" w:lineRule="auto"/>
              <w:jc w:val="center"/>
              <w:rPr>
                <w:rFonts w:ascii="Arial" w:eastAsia="Arial" w:hAnsi="Arial" w:cs="Arial"/>
              </w:rPr>
            </w:pPr>
            <w:r>
              <w:rPr>
                <w:rFonts w:ascii="Arial" w:eastAsia="Arial" w:hAnsi="Arial" w:cs="Arial"/>
              </w:rPr>
              <w:t>0.6</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5D1F2E4B" w14:textId="77777777" w:rsidR="008326B0" w:rsidRDefault="00000000">
            <w:pPr>
              <w:widowControl w:val="0"/>
              <w:spacing w:line="276" w:lineRule="auto"/>
              <w:jc w:val="center"/>
              <w:rPr>
                <w:rFonts w:ascii="Arial" w:eastAsia="Arial" w:hAnsi="Arial" w:cs="Arial"/>
              </w:rPr>
            </w:pPr>
            <w:r>
              <w:rPr>
                <w:rFonts w:ascii="Arial" w:eastAsia="Arial" w:hAnsi="Arial" w:cs="Arial"/>
              </w:rPr>
              <w:t>3.75</w:t>
            </w:r>
          </w:p>
        </w:tc>
      </w:tr>
      <w:tr w:rsidR="008326B0" w14:paraId="1772B5A5" w14:textId="77777777">
        <w:trPr>
          <w:trHeight w:val="525"/>
          <w:jc w:val="center"/>
        </w:trPr>
        <w:tc>
          <w:tcPr>
            <w:tcW w:w="1605" w:type="dxa"/>
            <w:tcBorders>
              <w:top w:val="single" w:sz="6" w:space="0" w:color="000000"/>
              <w:bottom w:val="single" w:sz="6" w:space="0" w:color="000000"/>
            </w:tcBorders>
            <w:tcMar>
              <w:top w:w="40" w:type="dxa"/>
              <w:left w:w="40" w:type="dxa"/>
              <w:bottom w:w="40" w:type="dxa"/>
              <w:right w:w="40" w:type="dxa"/>
            </w:tcMar>
            <w:vAlign w:val="center"/>
          </w:tcPr>
          <w:p w14:paraId="7AFC130A" w14:textId="77777777" w:rsidR="008326B0" w:rsidRDefault="00000000">
            <w:pPr>
              <w:widowControl w:val="0"/>
              <w:spacing w:line="276" w:lineRule="auto"/>
              <w:jc w:val="center"/>
              <w:rPr>
                <w:rFonts w:ascii="Arial" w:eastAsia="Arial" w:hAnsi="Arial" w:cs="Arial"/>
              </w:rPr>
            </w:pPr>
            <w:proofErr w:type="spellStart"/>
            <w:r>
              <w:rPr>
                <w:rFonts w:ascii="Arial" w:eastAsia="Arial" w:hAnsi="Arial" w:cs="Arial"/>
              </w:rPr>
              <w:t>Stroguloids</w:t>
            </w:r>
            <w:proofErr w:type="spellEnd"/>
            <w:r>
              <w:rPr>
                <w:rFonts w:ascii="Arial" w:eastAsia="Arial" w:hAnsi="Arial" w:cs="Arial"/>
              </w:rPr>
              <w:t xml:space="preserve"> </w:t>
            </w:r>
            <w:proofErr w:type="spellStart"/>
            <w:r>
              <w:rPr>
                <w:rFonts w:ascii="Arial" w:eastAsia="Arial" w:hAnsi="Arial" w:cs="Arial"/>
              </w:rPr>
              <w:t>stercoralis</w:t>
            </w:r>
            <w:proofErr w:type="spellEnd"/>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33736616" w14:textId="77777777" w:rsidR="008326B0" w:rsidRDefault="00000000">
            <w:pPr>
              <w:widowControl w:val="0"/>
              <w:spacing w:line="276" w:lineRule="auto"/>
              <w:jc w:val="center"/>
              <w:rPr>
                <w:rFonts w:ascii="Arial" w:eastAsia="Arial" w:hAnsi="Arial" w:cs="Arial"/>
              </w:rPr>
            </w:pPr>
            <w:r>
              <w:rPr>
                <w:rFonts w:ascii="Arial" w:eastAsia="Arial" w:hAnsi="Arial" w:cs="Arial"/>
              </w:rPr>
              <w:t>1</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6D2032C8" w14:textId="77777777" w:rsidR="008326B0" w:rsidRDefault="00000000">
            <w:pPr>
              <w:widowControl w:val="0"/>
              <w:spacing w:line="276" w:lineRule="auto"/>
              <w:jc w:val="center"/>
              <w:rPr>
                <w:rFonts w:ascii="Arial" w:eastAsia="Arial" w:hAnsi="Arial" w:cs="Arial"/>
              </w:rPr>
            </w:pPr>
            <w:r>
              <w:rPr>
                <w:rFonts w:ascii="Arial" w:eastAsia="Arial" w:hAnsi="Arial" w:cs="Arial"/>
              </w:rPr>
              <w:t>0.2</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074905DD" w14:textId="77777777" w:rsidR="008326B0" w:rsidRDefault="00000000">
            <w:pPr>
              <w:widowControl w:val="0"/>
              <w:spacing w:line="276" w:lineRule="auto"/>
              <w:jc w:val="center"/>
              <w:rPr>
                <w:rFonts w:ascii="Arial" w:eastAsia="Arial" w:hAnsi="Arial" w:cs="Arial"/>
              </w:rPr>
            </w:pPr>
            <w:r>
              <w:rPr>
                <w:rFonts w:ascii="Arial" w:eastAsia="Arial" w:hAnsi="Arial" w:cs="Arial"/>
              </w:rPr>
              <w:t>1.25</w:t>
            </w:r>
          </w:p>
        </w:tc>
      </w:tr>
      <w:tr w:rsidR="008326B0" w14:paraId="2A37B3F5" w14:textId="77777777">
        <w:trPr>
          <w:trHeight w:val="315"/>
          <w:jc w:val="center"/>
        </w:trPr>
        <w:tc>
          <w:tcPr>
            <w:tcW w:w="1605" w:type="dxa"/>
            <w:tcBorders>
              <w:top w:val="single" w:sz="6" w:space="0" w:color="000000"/>
              <w:bottom w:val="single" w:sz="6" w:space="0" w:color="000000"/>
            </w:tcBorders>
            <w:tcMar>
              <w:top w:w="40" w:type="dxa"/>
              <w:left w:w="40" w:type="dxa"/>
              <w:bottom w:w="40" w:type="dxa"/>
              <w:right w:w="40" w:type="dxa"/>
            </w:tcMar>
            <w:vAlign w:val="center"/>
          </w:tcPr>
          <w:p w14:paraId="26AF43EC" w14:textId="77777777" w:rsidR="008326B0" w:rsidRDefault="00000000">
            <w:pPr>
              <w:widowControl w:val="0"/>
              <w:spacing w:line="276" w:lineRule="auto"/>
              <w:jc w:val="center"/>
              <w:rPr>
                <w:rFonts w:ascii="Arial" w:eastAsia="Arial" w:hAnsi="Arial" w:cs="Arial"/>
              </w:rPr>
            </w:pPr>
            <w:r>
              <w:rPr>
                <w:rFonts w:ascii="Arial" w:eastAsia="Arial" w:hAnsi="Arial" w:cs="Arial"/>
              </w:rPr>
              <w:lastRenderedPageBreak/>
              <w:t>Taenia sp.</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2CCD8B6E" w14:textId="77777777" w:rsidR="008326B0" w:rsidRDefault="00000000">
            <w:pPr>
              <w:widowControl w:val="0"/>
              <w:spacing w:line="276" w:lineRule="auto"/>
              <w:jc w:val="center"/>
              <w:rPr>
                <w:rFonts w:ascii="Arial" w:eastAsia="Arial" w:hAnsi="Arial" w:cs="Arial"/>
              </w:rPr>
            </w:pPr>
            <w:r>
              <w:rPr>
                <w:rFonts w:ascii="Arial" w:eastAsia="Arial" w:hAnsi="Arial" w:cs="Arial"/>
              </w:rPr>
              <w:t>10</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646AB481" w14:textId="77777777" w:rsidR="008326B0" w:rsidRDefault="00000000">
            <w:pPr>
              <w:widowControl w:val="0"/>
              <w:spacing w:line="276" w:lineRule="auto"/>
              <w:jc w:val="center"/>
              <w:rPr>
                <w:rFonts w:ascii="Arial" w:eastAsia="Arial" w:hAnsi="Arial" w:cs="Arial"/>
              </w:rPr>
            </w:pPr>
            <w:r>
              <w:rPr>
                <w:rFonts w:ascii="Arial" w:eastAsia="Arial" w:hAnsi="Arial" w:cs="Arial"/>
              </w:rPr>
              <w:t>2.0</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6C9BA5E2" w14:textId="77777777" w:rsidR="008326B0" w:rsidRDefault="00000000">
            <w:pPr>
              <w:widowControl w:val="0"/>
              <w:spacing w:line="276" w:lineRule="auto"/>
              <w:jc w:val="center"/>
              <w:rPr>
                <w:rFonts w:ascii="Arial" w:eastAsia="Arial" w:hAnsi="Arial" w:cs="Arial"/>
              </w:rPr>
            </w:pPr>
            <w:r>
              <w:rPr>
                <w:rFonts w:ascii="Arial" w:eastAsia="Arial" w:hAnsi="Arial" w:cs="Arial"/>
              </w:rPr>
              <w:t>12.5</w:t>
            </w:r>
          </w:p>
        </w:tc>
      </w:tr>
      <w:tr w:rsidR="008326B0" w14:paraId="77BC721A" w14:textId="77777777">
        <w:trPr>
          <w:trHeight w:val="315"/>
          <w:jc w:val="center"/>
        </w:trPr>
        <w:tc>
          <w:tcPr>
            <w:tcW w:w="1605" w:type="dxa"/>
            <w:tcBorders>
              <w:top w:val="single" w:sz="6" w:space="0" w:color="000000"/>
              <w:bottom w:val="single" w:sz="6" w:space="0" w:color="000000"/>
            </w:tcBorders>
            <w:tcMar>
              <w:top w:w="40" w:type="dxa"/>
              <w:left w:w="40" w:type="dxa"/>
              <w:bottom w:w="40" w:type="dxa"/>
              <w:right w:w="40" w:type="dxa"/>
            </w:tcMar>
            <w:vAlign w:val="center"/>
          </w:tcPr>
          <w:p w14:paraId="35FF845D" w14:textId="77777777" w:rsidR="008326B0" w:rsidRDefault="00000000">
            <w:pPr>
              <w:widowControl w:val="0"/>
              <w:spacing w:line="276" w:lineRule="auto"/>
              <w:jc w:val="center"/>
              <w:rPr>
                <w:rFonts w:ascii="Arial" w:eastAsia="Arial" w:hAnsi="Arial" w:cs="Arial"/>
              </w:rPr>
            </w:pPr>
            <w:proofErr w:type="spellStart"/>
            <w:r>
              <w:rPr>
                <w:rFonts w:ascii="Arial" w:eastAsia="Arial" w:hAnsi="Arial" w:cs="Arial"/>
              </w:rPr>
              <w:t>Ancilostomídeos</w:t>
            </w:r>
            <w:proofErr w:type="spellEnd"/>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2685ACC4" w14:textId="77777777" w:rsidR="008326B0" w:rsidRDefault="00000000">
            <w:pPr>
              <w:widowControl w:val="0"/>
              <w:spacing w:line="276" w:lineRule="auto"/>
              <w:jc w:val="center"/>
              <w:rPr>
                <w:rFonts w:ascii="Arial" w:eastAsia="Arial" w:hAnsi="Arial" w:cs="Arial"/>
              </w:rPr>
            </w:pPr>
            <w:r>
              <w:rPr>
                <w:rFonts w:ascii="Arial" w:eastAsia="Arial" w:hAnsi="Arial" w:cs="Arial"/>
              </w:rPr>
              <w:t>5</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7141B1E4" w14:textId="77777777" w:rsidR="008326B0" w:rsidRDefault="00000000">
            <w:pPr>
              <w:widowControl w:val="0"/>
              <w:spacing w:line="276" w:lineRule="auto"/>
              <w:jc w:val="center"/>
              <w:rPr>
                <w:rFonts w:ascii="Arial" w:eastAsia="Arial" w:hAnsi="Arial" w:cs="Arial"/>
              </w:rPr>
            </w:pPr>
            <w:r>
              <w:rPr>
                <w:rFonts w:ascii="Arial" w:eastAsia="Arial" w:hAnsi="Arial" w:cs="Arial"/>
              </w:rPr>
              <w:t>1.0</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00527E1B" w14:textId="77777777" w:rsidR="008326B0" w:rsidRDefault="00000000">
            <w:pPr>
              <w:widowControl w:val="0"/>
              <w:spacing w:line="276" w:lineRule="auto"/>
              <w:jc w:val="center"/>
              <w:rPr>
                <w:rFonts w:ascii="Arial" w:eastAsia="Arial" w:hAnsi="Arial" w:cs="Arial"/>
              </w:rPr>
            </w:pPr>
            <w:r>
              <w:rPr>
                <w:rFonts w:ascii="Arial" w:eastAsia="Arial" w:hAnsi="Arial" w:cs="Arial"/>
              </w:rPr>
              <w:t>6.25</w:t>
            </w:r>
          </w:p>
        </w:tc>
      </w:tr>
      <w:tr w:rsidR="008326B0" w14:paraId="5C5C348B" w14:textId="77777777">
        <w:trPr>
          <w:trHeight w:val="525"/>
          <w:jc w:val="center"/>
        </w:trPr>
        <w:tc>
          <w:tcPr>
            <w:tcW w:w="1605" w:type="dxa"/>
            <w:tcBorders>
              <w:top w:val="single" w:sz="6" w:space="0" w:color="000000"/>
              <w:bottom w:val="single" w:sz="6" w:space="0" w:color="000000"/>
            </w:tcBorders>
            <w:tcMar>
              <w:top w:w="40" w:type="dxa"/>
              <w:left w:w="40" w:type="dxa"/>
              <w:bottom w:w="40" w:type="dxa"/>
              <w:right w:w="40" w:type="dxa"/>
            </w:tcMar>
            <w:vAlign w:val="center"/>
          </w:tcPr>
          <w:p w14:paraId="1372344E" w14:textId="77777777" w:rsidR="008326B0" w:rsidRDefault="00000000">
            <w:pPr>
              <w:widowControl w:val="0"/>
              <w:spacing w:line="276" w:lineRule="auto"/>
              <w:jc w:val="center"/>
              <w:rPr>
                <w:rFonts w:ascii="Arial" w:eastAsia="Arial" w:hAnsi="Arial" w:cs="Arial"/>
              </w:rPr>
            </w:pPr>
            <w:r>
              <w:rPr>
                <w:rFonts w:ascii="Arial" w:eastAsia="Arial" w:hAnsi="Arial" w:cs="Arial"/>
              </w:rPr>
              <w:t xml:space="preserve">Echinococcus </w:t>
            </w:r>
            <w:proofErr w:type="spellStart"/>
            <w:r>
              <w:rPr>
                <w:rFonts w:ascii="Arial" w:eastAsia="Arial" w:hAnsi="Arial" w:cs="Arial"/>
              </w:rPr>
              <w:t>granulosus</w:t>
            </w:r>
            <w:proofErr w:type="spellEnd"/>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1F4D4292" w14:textId="77777777" w:rsidR="008326B0" w:rsidRDefault="00000000">
            <w:pPr>
              <w:widowControl w:val="0"/>
              <w:spacing w:line="276" w:lineRule="auto"/>
              <w:jc w:val="center"/>
              <w:rPr>
                <w:rFonts w:ascii="Arial" w:eastAsia="Arial" w:hAnsi="Arial" w:cs="Arial"/>
              </w:rPr>
            </w:pPr>
            <w:r>
              <w:rPr>
                <w:rFonts w:ascii="Arial" w:eastAsia="Arial" w:hAnsi="Arial" w:cs="Arial"/>
              </w:rPr>
              <w:t>1</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71FF9149" w14:textId="77777777" w:rsidR="008326B0" w:rsidRDefault="00000000">
            <w:pPr>
              <w:widowControl w:val="0"/>
              <w:spacing w:line="276" w:lineRule="auto"/>
              <w:jc w:val="center"/>
              <w:rPr>
                <w:rFonts w:ascii="Arial" w:eastAsia="Arial" w:hAnsi="Arial" w:cs="Arial"/>
              </w:rPr>
            </w:pPr>
            <w:r>
              <w:rPr>
                <w:rFonts w:ascii="Arial" w:eastAsia="Arial" w:hAnsi="Arial" w:cs="Arial"/>
              </w:rPr>
              <w:t>0.2</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74758AD6" w14:textId="77777777" w:rsidR="008326B0" w:rsidRDefault="00000000">
            <w:pPr>
              <w:widowControl w:val="0"/>
              <w:spacing w:line="276" w:lineRule="auto"/>
              <w:jc w:val="center"/>
              <w:rPr>
                <w:rFonts w:ascii="Arial" w:eastAsia="Arial" w:hAnsi="Arial" w:cs="Arial"/>
              </w:rPr>
            </w:pPr>
            <w:r>
              <w:rPr>
                <w:rFonts w:ascii="Arial" w:eastAsia="Arial" w:hAnsi="Arial" w:cs="Arial"/>
              </w:rPr>
              <w:t>1.25</w:t>
            </w:r>
          </w:p>
        </w:tc>
      </w:tr>
      <w:tr w:rsidR="008326B0" w14:paraId="1F2CB2AB" w14:textId="77777777">
        <w:trPr>
          <w:trHeight w:val="525"/>
          <w:jc w:val="center"/>
        </w:trPr>
        <w:tc>
          <w:tcPr>
            <w:tcW w:w="1605" w:type="dxa"/>
            <w:tcBorders>
              <w:top w:val="single" w:sz="6" w:space="0" w:color="000000"/>
              <w:bottom w:val="single" w:sz="6" w:space="0" w:color="000000"/>
            </w:tcBorders>
            <w:tcMar>
              <w:top w:w="40" w:type="dxa"/>
              <w:left w:w="40" w:type="dxa"/>
              <w:bottom w:w="40" w:type="dxa"/>
              <w:right w:w="40" w:type="dxa"/>
            </w:tcMar>
            <w:vAlign w:val="center"/>
          </w:tcPr>
          <w:p w14:paraId="58589BA0" w14:textId="77777777" w:rsidR="008326B0" w:rsidRDefault="00000000">
            <w:pPr>
              <w:widowControl w:val="0"/>
              <w:spacing w:line="276" w:lineRule="auto"/>
              <w:jc w:val="center"/>
              <w:rPr>
                <w:rFonts w:ascii="Arial" w:eastAsia="Arial" w:hAnsi="Arial" w:cs="Arial"/>
              </w:rPr>
            </w:pPr>
            <w:r>
              <w:rPr>
                <w:rFonts w:ascii="Arial" w:eastAsia="Arial" w:hAnsi="Arial" w:cs="Arial"/>
              </w:rPr>
              <w:t>Enterobius vermicularis</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5A572EE0" w14:textId="77777777" w:rsidR="008326B0" w:rsidRDefault="00000000">
            <w:pPr>
              <w:widowControl w:val="0"/>
              <w:spacing w:line="276" w:lineRule="auto"/>
              <w:jc w:val="center"/>
              <w:rPr>
                <w:rFonts w:ascii="Arial" w:eastAsia="Arial" w:hAnsi="Arial" w:cs="Arial"/>
              </w:rPr>
            </w:pPr>
            <w:r>
              <w:rPr>
                <w:rFonts w:ascii="Arial" w:eastAsia="Arial" w:hAnsi="Arial" w:cs="Arial"/>
              </w:rPr>
              <w:t>7</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5DAE3AD7" w14:textId="77777777" w:rsidR="008326B0" w:rsidRDefault="00000000">
            <w:pPr>
              <w:widowControl w:val="0"/>
              <w:spacing w:line="276" w:lineRule="auto"/>
              <w:jc w:val="center"/>
              <w:rPr>
                <w:rFonts w:ascii="Arial" w:eastAsia="Arial" w:hAnsi="Arial" w:cs="Arial"/>
              </w:rPr>
            </w:pPr>
            <w:r>
              <w:rPr>
                <w:rFonts w:ascii="Arial" w:eastAsia="Arial" w:hAnsi="Arial" w:cs="Arial"/>
              </w:rPr>
              <w:t>1.4</w:t>
            </w:r>
          </w:p>
        </w:tc>
        <w:tc>
          <w:tcPr>
            <w:tcW w:w="1605" w:type="dxa"/>
            <w:tcBorders>
              <w:top w:val="single" w:sz="6" w:space="0" w:color="000000"/>
              <w:bottom w:val="single" w:sz="6" w:space="0" w:color="000000"/>
            </w:tcBorders>
            <w:tcMar>
              <w:top w:w="40" w:type="dxa"/>
              <w:left w:w="40" w:type="dxa"/>
              <w:bottom w:w="40" w:type="dxa"/>
              <w:right w:w="40" w:type="dxa"/>
            </w:tcMar>
            <w:vAlign w:val="center"/>
          </w:tcPr>
          <w:p w14:paraId="0014206D" w14:textId="77777777" w:rsidR="008326B0" w:rsidRDefault="00000000">
            <w:pPr>
              <w:widowControl w:val="0"/>
              <w:spacing w:line="276" w:lineRule="auto"/>
              <w:jc w:val="center"/>
              <w:rPr>
                <w:rFonts w:ascii="Arial" w:eastAsia="Arial" w:hAnsi="Arial" w:cs="Arial"/>
              </w:rPr>
            </w:pPr>
            <w:r>
              <w:rPr>
                <w:rFonts w:ascii="Arial" w:eastAsia="Arial" w:hAnsi="Arial" w:cs="Arial"/>
              </w:rPr>
              <w:t>8.75</w:t>
            </w:r>
          </w:p>
        </w:tc>
      </w:tr>
      <w:tr w:rsidR="008326B0" w14:paraId="4F30A843" w14:textId="77777777">
        <w:trPr>
          <w:trHeight w:val="525"/>
          <w:jc w:val="center"/>
        </w:trPr>
        <w:tc>
          <w:tcPr>
            <w:tcW w:w="1605" w:type="dxa"/>
            <w:tcBorders>
              <w:top w:val="single" w:sz="6" w:space="0" w:color="000000"/>
            </w:tcBorders>
            <w:tcMar>
              <w:top w:w="40" w:type="dxa"/>
              <w:left w:w="40" w:type="dxa"/>
              <w:bottom w:w="40" w:type="dxa"/>
              <w:right w:w="40" w:type="dxa"/>
            </w:tcMar>
            <w:vAlign w:val="center"/>
          </w:tcPr>
          <w:p w14:paraId="10CEFF06" w14:textId="77777777" w:rsidR="008326B0" w:rsidRDefault="00000000">
            <w:pPr>
              <w:widowControl w:val="0"/>
              <w:spacing w:line="276" w:lineRule="auto"/>
              <w:jc w:val="center"/>
              <w:rPr>
                <w:rFonts w:ascii="Arial" w:eastAsia="Arial" w:hAnsi="Arial" w:cs="Arial"/>
              </w:rPr>
            </w:pPr>
            <w:proofErr w:type="spellStart"/>
            <w:r>
              <w:rPr>
                <w:rFonts w:ascii="Arial" w:eastAsia="Arial" w:hAnsi="Arial" w:cs="Arial"/>
              </w:rPr>
              <w:t>Fascíola</w:t>
            </w:r>
            <w:proofErr w:type="spellEnd"/>
            <w:r>
              <w:rPr>
                <w:rFonts w:ascii="Arial" w:eastAsia="Arial" w:hAnsi="Arial" w:cs="Arial"/>
              </w:rPr>
              <w:t xml:space="preserve"> </w:t>
            </w:r>
            <w:proofErr w:type="spellStart"/>
            <w:r>
              <w:rPr>
                <w:rFonts w:ascii="Arial" w:eastAsia="Arial" w:hAnsi="Arial" w:cs="Arial"/>
              </w:rPr>
              <w:t>hepática</w:t>
            </w:r>
            <w:proofErr w:type="spellEnd"/>
          </w:p>
        </w:tc>
        <w:tc>
          <w:tcPr>
            <w:tcW w:w="1605" w:type="dxa"/>
            <w:tcBorders>
              <w:top w:val="single" w:sz="6" w:space="0" w:color="000000"/>
            </w:tcBorders>
            <w:tcMar>
              <w:top w:w="40" w:type="dxa"/>
              <w:left w:w="40" w:type="dxa"/>
              <w:bottom w:w="40" w:type="dxa"/>
              <w:right w:w="40" w:type="dxa"/>
            </w:tcMar>
            <w:vAlign w:val="center"/>
          </w:tcPr>
          <w:p w14:paraId="701A536E" w14:textId="77777777" w:rsidR="008326B0" w:rsidRDefault="00000000">
            <w:pPr>
              <w:widowControl w:val="0"/>
              <w:spacing w:line="276" w:lineRule="auto"/>
              <w:jc w:val="center"/>
              <w:rPr>
                <w:rFonts w:ascii="Arial" w:eastAsia="Arial" w:hAnsi="Arial" w:cs="Arial"/>
              </w:rPr>
            </w:pPr>
            <w:r>
              <w:rPr>
                <w:rFonts w:ascii="Arial" w:eastAsia="Arial" w:hAnsi="Arial" w:cs="Arial"/>
              </w:rPr>
              <w:t>8</w:t>
            </w:r>
          </w:p>
        </w:tc>
        <w:tc>
          <w:tcPr>
            <w:tcW w:w="1605" w:type="dxa"/>
            <w:tcBorders>
              <w:top w:val="single" w:sz="6" w:space="0" w:color="000000"/>
            </w:tcBorders>
            <w:tcMar>
              <w:top w:w="40" w:type="dxa"/>
              <w:left w:w="40" w:type="dxa"/>
              <w:bottom w:w="40" w:type="dxa"/>
              <w:right w:w="40" w:type="dxa"/>
            </w:tcMar>
            <w:vAlign w:val="center"/>
          </w:tcPr>
          <w:p w14:paraId="3CFFA363" w14:textId="77777777" w:rsidR="008326B0" w:rsidRDefault="00000000">
            <w:pPr>
              <w:widowControl w:val="0"/>
              <w:spacing w:line="276" w:lineRule="auto"/>
              <w:jc w:val="center"/>
              <w:rPr>
                <w:rFonts w:ascii="Arial" w:eastAsia="Arial" w:hAnsi="Arial" w:cs="Arial"/>
              </w:rPr>
            </w:pPr>
            <w:r>
              <w:rPr>
                <w:rFonts w:ascii="Arial" w:eastAsia="Arial" w:hAnsi="Arial" w:cs="Arial"/>
              </w:rPr>
              <w:t>1.6</w:t>
            </w:r>
          </w:p>
        </w:tc>
        <w:tc>
          <w:tcPr>
            <w:tcW w:w="1605" w:type="dxa"/>
            <w:tcBorders>
              <w:top w:val="single" w:sz="6" w:space="0" w:color="000000"/>
            </w:tcBorders>
            <w:tcMar>
              <w:top w:w="40" w:type="dxa"/>
              <w:left w:w="40" w:type="dxa"/>
              <w:bottom w:w="40" w:type="dxa"/>
              <w:right w:w="40" w:type="dxa"/>
            </w:tcMar>
            <w:vAlign w:val="center"/>
          </w:tcPr>
          <w:p w14:paraId="362BF3B1" w14:textId="77777777" w:rsidR="008326B0" w:rsidRDefault="00000000">
            <w:pPr>
              <w:widowControl w:val="0"/>
              <w:spacing w:line="276" w:lineRule="auto"/>
              <w:jc w:val="center"/>
              <w:rPr>
                <w:rFonts w:ascii="Arial" w:eastAsia="Arial" w:hAnsi="Arial" w:cs="Arial"/>
              </w:rPr>
            </w:pPr>
            <w:r>
              <w:rPr>
                <w:rFonts w:ascii="Arial" w:eastAsia="Arial" w:hAnsi="Arial" w:cs="Arial"/>
              </w:rPr>
              <w:t>10.0</w:t>
            </w:r>
          </w:p>
        </w:tc>
      </w:tr>
    </w:tbl>
    <w:p w14:paraId="18B3FFD0" w14:textId="77777777" w:rsidR="008326B0" w:rsidRDefault="008326B0">
      <w:pPr>
        <w:widowControl w:val="0"/>
        <w:spacing w:before="240" w:after="240" w:line="360" w:lineRule="auto"/>
        <w:ind w:firstLine="720"/>
        <w:jc w:val="both"/>
        <w:rPr>
          <w:rFonts w:ascii="Arial" w:eastAsia="Arial" w:hAnsi="Arial" w:cs="Arial"/>
        </w:rPr>
      </w:pPr>
    </w:p>
    <w:p w14:paraId="4C699080" w14:textId="77777777" w:rsidR="008326B0" w:rsidRDefault="008326B0">
      <w:pPr>
        <w:pBdr>
          <w:top w:val="nil"/>
          <w:left w:val="nil"/>
          <w:bottom w:val="nil"/>
          <w:right w:val="nil"/>
          <w:between w:val="nil"/>
        </w:pBdr>
        <w:jc w:val="both"/>
        <w:rPr>
          <w:rFonts w:ascii="Arial" w:eastAsia="Arial" w:hAnsi="Arial" w:cs="Arial"/>
        </w:rPr>
      </w:pPr>
    </w:p>
    <w:p w14:paraId="08D95259"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An analysis of the market samples (Table 01) revealed that Entamoeba sp. was the most prevalent species, with a total of 33 occurrences, an average of 6.6 per sample, and representing 41.25% of the total. Following this, Ascaris lumbricoides showed 12 occurrences, averaging 2.4 per sample and accounting for 15% of the total. Taenia sp. had 10 occurrences, an average of 2 per sample, representing 12.5% of the total.</w:t>
      </w:r>
    </w:p>
    <w:p w14:paraId="1438DDA0"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Other species, such as Schistosoma </w:t>
      </w:r>
      <w:proofErr w:type="spellStart"/>
      <w:r>
        <w:rPr>
          <w:rFonts w:ascii="Arial" w:eastAsia="Arial" w:hAnsi="Arial" w:cs="Arial"/>
        </w:rPr>
        <w:t>mansoni</w:t>
      </w:r>
      <w:proofErr w:type="spellEnd"/>
      <w:r>
        <w:rPr>
          <w:rFonts w:ascii="Arial" w:eastAsia="Arial" w:hAnsi="Arial" w:cs="Arial"/>
        </w:rPr>
        <w:t xml:space="preserve"> and </w:t>
      </w:r>
      <w:proofErr w:type="spellStart"/>
      <w:r>
        <w:rPr>
          <w:rFonts w:ascii="Arial" w:eastAsia="Arial" w:hAnsi="Arial" w:cs="Arial"/>
        </w:rPr>
        <w:t>Strongyloides</w:t>
      </w:r>
      <w:proofErr w:type="spellEnd"/>
      <w:r>
        <w:rPr>
          <w:rFonts w:ascii="Arial" w:eastAsia="Arial" w:hAnsi="Arial" w:cs="Arial"/>
        </w:rPr>
        <w:t xml:space="preserve"> </w:t>
      </w:r>
      <w:proofErr w:type="spellStart"/>
      <w:r>
        <w:rPr>
          <w:rFonts w:ascii="Arial" w:eastAsia="Arial" w:hAnsi="Arial" w:cs="Arial"/>
        </w:rPr>
        <w:t>stercoralis</w:t>
      </w:r>
      <w:proofErr w:type="spellEnd"/>
      <w:r>
        <w:rPr>
          <w:rFonts w:ascii="Arial" w:eastAsia="Arial" w:hAnsi="Arial" w:cs="Arial"/>
        </w:rPr>
        <w:t>, had fewer occurrences, with 3 and 1 occurrence, respectively, corresponding to 3.75% and 1.25% of the total. This distribution (Graph 01) highlights that, although some helminth species are found more frequently in market samples, others appear more sporadically. These data are essential for understanding the prevalence and distribution of infestations in the tested samples.</w:t>
      </w:r>
    </w:p>
    <w:p w14:paraId="649B0CED" w14:textId="77777777" w:rsidR="008326B0" w:rsidRDefault="008326B0">
      <w:pPr>
        <w:pBdr>
          <w:top w:val="nil"/>
          <w:left w:val="nil"/>
          <w:bottom w:val="nil"/>
          <w:right w:val="nil"/>
          <w:between w:val="nil"/>
        </w:pBdr>
        <w:jc w:val="both"/>
        <w:rPr>
          <w:rFonts w:ascii="Arial" w:eastAsia="Arial" w:hAnsi="Arial" w:cs="Arial"/>
        </w:rPr>
      </w:pPr>
    </w:p>
    <w:p w14:paraId="2B4BDD14" w14:textId="77777777" w:rsidR="008326B0" w:rsidRDefault="008326B0">
      <w:pPr>
        <w:pBdr>
          <w:top w:val="nil"/>
          <w:left w:val="nil"/>
          <w:bottom w:val="nil"/>
          <w:right w:val="nil"/>
          <w:between w:val="nil"/>
        </w:pBdr>
        <w:jc w:val="both"/>
        <w:rPr>
          <w:rFonts w:ascii="Arial" w:eastAsia="Arial" w:hAnsi="Arial" w:cs="Arial"/>
        </w:rPr>
      </w:pPr>
    </w:p>
    <w:p w14:paraId="186D2135"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Graph 01: Distribution of helminth specimens in market samples.</w:t>
      </w:r>
    </w:p>
    <w:p w14:paraId="2D9FB909" w14:textId="77777777" w:rsidR="008326B0" w:rsidRDefault="008326B0">
      <w:pPr>
        <w:pBdr>
          <w:top w:val="nil"/>
          <w:left w:val="nil"/>
          <w:bottom w:val="nil"/>
          <w:right w:val="nil"/>
          <w:between w:val="nil"/>
        </w:pBdr>
        <w:jc w:val="both"/>
        <w:rPr>
          <w:rFonts w:ascii="Arial" w:eastAsia="Arial" w:hAnsi="Arial" w:cs="Arial"/>
        </w:rPr>
      </w:pPr>
    </w:p>
    <w:p w14:paraId="638A4C62" w14:textId="77777777" w:rsidR="008326B0" w:rsidRDefault="00000000">
      <w:pPr>
        <w:widowControl w:val="0"/>
        <w:spacing w:line="360" w:lineRule="auto"/>
        <w:jc w:val="both"/>
        <w:rPr>
          <w:rFonts w:ascii="Arial" w:eastAsia="Arial" w:hAnsi="Arial" w:cs="Arial"/>
        </w:rPr>
      </w:pPr>
      <w:r>
        <w:rPr>
          <w:rFonts w:ascii="Arial" w:eastAsia="Arial" w:hAnsi="Arial" w:cs="Arial"/>
          <w:noProof/>
          <w:sz w:val="24"/>
          <w:szCs w:val="24"/>
        </w:rPr>
        <w:drawing>
          <wp:inline distT="114300" distB="114300" distL="114300" distR="114300" wp14:anchorId="3985814E" wp14:editId="51BE6214">
            <wp:extent cx="5212080" cy="2590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212080" cy="2590800"/>
                    </a:xfrm>
                    <a:prstGeom prst="rect">
                      <a:avLst/>
                    </a:prstGeom>
                    <a:ln/>
                  </pic:spPr>
                </pic:pic>
              </a:graphicData>
            </a:graphic>
          </wp:inline>
        </w:drawing>
      </w:r>
    </w:p>
    <w:p w14:paraId="4BA13BB2" w14:textId="77777777" w:rsidR="008326B0" w:rsidRDefault="008326B0">
      <w:pPr>
        <w:pBdr>
          <w:top w:val="nil"/>
          <w:left w:val="nil"/>
          <w:bottom w:val="nil"/>
          <w:right w:val="nil"/>
          <w:between w:val="nil"/>
        </w:pBdr>
        <w:jc w:val="both"/>
        <w:rPr>
          <w:rFonts w:ascii="Arial" w:eastAsia="Arial" w:hAnsi="Arial" w:cs="Arial"/>
        </w:rPr>
      </w:pPr>
    </w:p>
    <w:p w14:paraId="037BEB51" w14:textId="77777777" w:rsidR="008326B0" w:rsidRDefault="008326B0">
      <w:pPr>
        <w:pBdr>
          <w:top w:val="nil"/>
          <w:left w:val="nil"/>
          <w:bottom w:val="nil"/>
          <w:right w:val="nil"/>
          <w:between w:val="nil"/>
        </w:pBdr>
        <w:jc w:val="both"/>
        <w:rPr>
          <w:rFonts w:ascii="Arial" w:eastAsia="Arial" w:hAnsi="Arial" w:cs="Arial"/>
        </w:rPr>
      </w:pPr>
    </w:p>
    <w:p w14:paraId="43FF3920"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Table 02: Total helminth specimens from open market samples.</w:t>
      </w:r>
    </w:p>
    <w:p w14:paraId="313F4B08" w14:textId="77777777" w:rsidR="008326B0" w:rsidRDefault="008326B0">
      <w:pPr>
        <w:widowControl w:val="0"/>
        <w:ind w:firstLine="720"/>
        <w:jc w:val="both"/>
        <w:rPr>
          <w:rFonts w:ascii="Arial" w:eastAsia="Arial" w:hAnsi="Arial" w:cs="Arial"/>
          <w:sz w:val="24"/>
          <w:szCs w:val="24"/>
        </w:rPr>
      </w:pPr>
    </w:p>
    <w:sdt>
      <w:sdtPr>
        <w:tag w:val="goog_rdk_0"/>
        <w:id w:val="-169957260"/>
        <w:lock w:val="contentLocked"/>
      </w:sdtPr>
      <w:sdtContent>
        <w:tbl>
          <w:tblPr>
            <w:tblStyle w:val="a1"/>
            <w:tblW w:w="6000" w:type="dxa"/>
            <w:jc w:val="center"/>
            <w:tblLayout w:type="fixed"/>
            <w:tblLook w:val="0600" w:firstRow="0" w:lastRow="0" w:firstColumn="0" w:lastColumn="0" w:noHBand="1" w:noVBand="1"/>
          </w:tblPr>
          <w:tblGrid>
            <w:gridCol w:w="1500"/>
            <w:gridCol w:w="1500"/>
            <w:gridCol w:w="1500"/>
            <w:gridCol w:w="1500"/>
          </w:tblGrid>
          <w:tr w:rsidR="008326B0" w14:paraId="6D0A4272" w14:textId="77777777">
            <w:trPr>
              <w:trHeight w:val="315"/>
              <w:jc w:val="center"/>
            </w:trPr>
            <w:tc>
              <w:tcPr>
                <w:tcW w:w="1500" w:type="dxa"/>
                <w:tcBorders>
                  <w:bottom w:val="single" w:sz="6" w:space="0" w:color="000000"/>
                </w:tcBorders>
                <w:tcMar>
                  <w:top w:w="40" w:type="dxa"/>
                  <w:left w:w="40" w:type="dxa"/>
                  <w:bottom w:w="40" w:type="dxa"/>
                  <w:right w:w="40" w:type="dxa"/>
                </w:tcMar>
                <w:vAlign w:val="center"/>
              </w:tcPr>
              <w:p w14:paraId="642E338B" w14:textId="77777777" w:rsidR="008326B0" w:rsidRDefault="00000000">
                <w:pPr>
                  <w:widowControl w:val="0"/>
                  <w:spacing w:line="276" w:lineRule="auto"/>
                  <w:jc w:val="center"/>
                  <w:rPr>
                    <w:rFonts w:ascii="Arial" w:eastAsia="Arial" w:hAnsi="Arial" w:cs="Arial"/>
                    <w:b/>
                  </w:rPr>
                </w:pPr>
                <w:r>
                  <w:rPr>
                    <w:rFonts w:ascii="Arial" w:eastAsia="Arial" w:hAnsi="Arial" w:cs="Arial"/>
                    <w:b/>
                  </w:rPr>
                  <w:t>Identification</w:t>
                </w:r>
              </w:p>
            </w:tc>
            <w:tc>
              <w:tcPr>
                <w:tcW w:w="1500" w:type="dxa"/>
                <w:tcBorders>
                  <w:bottom w:val="single" w:sz="6" w:space="0" w:color="000000"/>
                </w:tcBorders>
                <w:tcMar>
                  <w:top w:w="40" w:type="dxa"/>
                  <w:left w:w="40" w:type="dxa"/>
                  <w:bottom w:w="40" w:type="dxa"/>
                  <w:right w:w="40" w:type="dxa"/>
                </w:tcMar>
                <w:vAlign w:val="center"/>
              </w:tcPr>
              <w:p w14:paraId="5B7C39D4" w14:textId="77777777" w:rsidR="008326B0" w:rsidRDefault="00000000">
                <w:pPr>
                  <w:widowControl w:val="0"/>
                  <w:spacing w:line="276" w:lineRule="auto"/>
                  <w:jc w:val="center"/>
                  <w:rPr>
                    <w:rFonts w:ascii="Arial" w:eastAsia="Arial" w:hAnsi="Arial" w:cs="Arial"/>
                    <w:b/>
                  </w:rPr>
                </w:pPr>
                <w:r>
                  <w:rPr>
                    <w:rFonts w:ascii="Arial" w:eastAsia="Arial" w:hAnsi="Arial" w:cs="Arial"/>
                    <w:b/>
                  </w:rPr>
                  <w:t>Total</w:t>
                </w:r>
              </w:p>
            </w:tc>
            <w:tc>
              <w:tcPr>
                <w:tcW w:w="1500" w:type="dxa"/>
                <w:tcBorders>
                  <w:bottom w:val="single" w:sz="6" w:space="0" w:color="000000"/>
                </w:tcBorders>
                <w:tcMar>
                  <w:top w:w="40" w:type="dxa"/>
                  <w:left w:w="40" w:type="dxa"/>
                  <w:bottom w:w="40" w:type="dxa"/>
                  <w:right w:w="40" w:type="dxa"/>
                </w:tcMar>
                <w:vAlign w:val="center"/>
              </w:tcPr>
              <w:p w14:paraId="47C36E28" w14:textId="77777777" w:rsidR="008326B0" w:rsidRDefault="00000000">
                <w:pPr>
                  <w:widowControl w:val="0"/>
                  <w:spacing w:line="276" w:lineRule="auto"/>
                  <w:jc w:val="center"/>
                  <w:rPr>
                    <w:rFonts w:ascii="Arial" w:eastAsia="Arial" w:hAnsi="Arial" w:cs="Arial"/>
                    <w:b/>
                  </w:rPr>
                </w:pPr>
                <w:r>
                  <w:rPr>
                    <w:rFonts w:ascii="Arial" w:eastAsia="Arial" w:hAnsi="Arial" w:cs="Arial"/>
                    <w:b/>
                  </w:rPr>
                  <w:t>Average</w:t>
                </w:r>
              </w:p>
            </w:tc>
            <w:tc>
              <w:tcPr>
                <w:tcW w:w="1500" w:type="dxa"/>
                <w:tcBorders>
                  <w:bottom w:val="single" w:sz="6" w:space="0" w:color="000000"/>
                </w:tcBorders>
                <w:tcMar>
                  <w:top w:w="40" w:type="dxa"/>
                  <w:left w:w="40" w:type="dxa"/>
                  <w:bottom w:w="40" w:type="dxa"/>
                  <w:right w:w="40" w:type="dxa"/>
                </w:tcMar>
                <w:vAlign w:val="center"/>
              </w:tcPr>
              <w:p w14:paraId="2F65BCD7" w14:textId="77777777" w:rsidR="008326B0" w:rsidRDefault="00000000">
                <w:pPr>
                  <w:widowControl w:val="0"/>
                  <w:spacing w:line="276" w:lineRule="auto"/>
                  <w:jc w:val="center"/>
                  <w:rPr>
                    <w:rFonts w:ascii="Arial" w:eastAsia="Arial" w:hAnsi="Arial" w:cs="Arial"/>
                    <w:b/>
                  </w:rPr>
                </w:pPr>
                <w:r>
                  <w:rPr>
                    <w:rFonts w:ascii="Arial" w:eastAsia="Arial" w:hAnsi="Arial" w:cs="Arial"/>
                    <w:b/>
                  </w:rPr>
                  <w:t>Percentage</w:t>
                </w:r>
              </w:p>
            </w:tc>
          </w:tr>
          <w:tr w:rsidR="008326B0" w14:paraId="72210B94" w14:textId="77777777">
            <w:trPr>
              <w:trHeight w:val="315"/>
              <w:jc w:val="center"/>
            </w:trPr>
            <w:tc>
              <w:tcPr>
                <w:tcW w:w="1500" w:type="dxa"/>
                <w:tcBorders>
                  <w:top w:val="single" w:sz="6" w:space="0" w:color="000000"/>
                  <w:bottom w:val="single" w:sz="6" w:space="0" w:color="000000"/>
                </w:tcBorders>
                <w:tcMar>
                  <w:top w:w="40" w:type="dxa"/>
                  <w:left w:w="40" w:type="dxa"/>
                  <w:bottom w:w="40" w:type="dxa"/>
                  <w:right w:w="40" w:type="dxa"/>
                </w:tcMar>
                <w:vAlign w:val="center"/>
              </w:tcPr>
              <w:p w14:paraId="3DA3EE0D" w14:textId="77777777" w:rsidR="008326B0" w:rsidRDefault="00000000">
                <w:pPr>
                  <w:widowControl w:val="0"/>
                  <w:spacing w:line="276" w:lineRule="auto"/>
                  <w:jc w:val="center"/>
                  <w:rPr>
                    <w:rFonts w:ascii="Arial" w:eastAsia="Arial" w:hAnsi="Arial" w:cs="Arial"/>
                  </w:rPr>
                </w:pPr>
                <w:r>
                  <w:rPr>
                    <w:rFonts w:ascii="Arial" w:eastAsia="Arial" w:hAnsi="Arial" w:cs="Arial"/>
                  </w:rPr>
                  <w:t>Taenia sp.</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54F02C15" w14:textId="77777777" w:rsidR="008326B0" w:rsidRDefault="00000000">
                <w:pPr>
                  <w:widowControl w:val="0"/>
                  <w:spacing w:line="276" w:lineRule="auto"/>
                  <w:jc w:val="center"/>
                  <w:rPr>
                    <w:rFonts w:ascii="Arial" w:eastAsia="Arial" w:hAnsi="Arial" w:cs="Arial"/>
                  </w:rPr>
                </w:pPr>
                <w:r>
                  <w:rPr>
                    <w:rFonts w:ascii="Arial" w:eastAsia="Arial" w:hAnsi="Arial" w:cs="Arial"/>
                  </w:rPr>
                  <w:t>14</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1CD806C9" w14:textId="77777777" w:rsidR="008326B0" w:rsidRDefault="00000000">
                <w:pPr>
                  <w:widowControl w:val="0"/>
                  <w:spacing w:line="276" w:lineRule="auto"/>
                  <w:jc w:val="center"/>
                  <w:rPr>
                    <w:rFonts w:ascii="Arial" w:eastAsia="Arial" w:hAnsi="Arial" w:cs="Arial"/>
                  </w:rPr>
                </w:pPr>
                <w:r>
                  <w:rPr>
                    <w:rFonts w:ascii="Arial" w:eastAsia="Arial" w:hAnsi="Arial" w:cs="Arial"/>
                  </w:rPr>
                  <w:t>2.8</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268908BD" w14:textId="77777777" w:rsidR="008326B0" w:rsidRDefault="00000000">
                <w:pPr>
                  <w:widowControl w:val="0"/>
                  <w:spacing w:line="276" w:lineRule="auto"/>
                  <w:jc w:val="center"/>
                  <w:rPr>
                    <w:rFonts w:ascii="Arial" w:eastAsia="Arial" w:hAnsi="Arial" w:cs="Arial"/>
                  </w:rPr>
                </w:pPr>
                <w:r>
                  <w:rPr>
                    <w:rFonts w:ascii="Arial" w:eastAsia="Arial" w:hAnsi="Arial" w:cs="Arial"/>
                  </w:rPr>
                  <w:t>43.75</w:t>
                </w:r>
              </w:p>
            </w:tc>
          </w:tr>
          <w:tr w:rsidR="008326B0" w14:paraId="0A138FBC" w14:textId="77777777">
            <w:trPr>
              <w:trHeight w:val="315"/>
              <w:jc w:val="center"/>
            </w:trPr>
            <w:tc>
              <w:tcPr>
                <w:tcW w:w="1500" w:type="dxa"/>
                <w:tcBorders>
                  <w:top w:val="single" w:sz="6" w:space="0" w:color="000000"/>
                  <w:bottom w:val="single" w:sz="6" w:space="0" w:color="000000"/>
                </w:tcBorders>
                <w:tcMar>
                  <w:top w:w="40" w:type="dxa"/>
                  <w:left w:w="40" w:type="dxa"/>
                  <w:bottom w:w="40" w:type="dxa"/>
                  <w:right w:w="40" w:type="dxa"/>
                </w:tcMar>
                <w:vAlign w:val="center"/>
              </w:tcPr>
              <w:p w14:paraId="78C6338F" w14:textId="77777777" w:rsidR="008326B0" w:rsidRDefault="00000000">
                <w:pPr>
                  <w:widowControl w:val="0"/>
                  <w:spacing w:line="276" w:lineRule="auto"/>
                  <w:jc w:val="center"/>
                  <w:rPr>
                    <w:rFonts w:ascii="Arial" w:eastAsia="Arial" w:hAnsi="Arial" w:cs="Arial"/>
                  </w:rPr>
                </w:pPr>
                <w:r>
                  <w:rPr>
                    <w:rFonts w:ascii="Arial" w:eastAsia="Arial" w:hAnsi="Arial" w:cs="Arial"/>
                  </w:rPr>
                  <w:t>Entamoeba sp.</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66B4EC75" w14:textId="77777777" w:rsidR="008326B0" w:rsidRDefault="00000000">
                <w:pPr>
                  <w:widowControl w:val="0"/>
                  <w:spacing w:line="276" w:lineRule="auto"/>
                  <w:jc w:val="center"/>
                  <w:rPr>
                    <w:rFonts w:ascii="Arial" w:eastAsia="Arial" w:hAnsi="Arial" w:cs="Arial"/>
                  </w:rPr>
                </w:pPr>
                <w:r>
                  <w:rPr>
                    <w:rFonts w:ascii="Arial" w:eastAsia="Arial" w:hAnsi="Arial" w:cs="Arial"/>
                  </w:rPr>
                  <w:t>12</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45E039EB" w14:textId="77777777" w:rsidR="008326B0" w:rsidRDefault="00000000">
                <w:pPr>
                  <w:widowControl w:val="0"/>
                  <w:spacing w:line="276" w:lineRule="auto"/>
                  <w:jc w:val="center"/>
                  <w:rPr>
                    <w:rFonts w:ascii="Arial" w:eastAsia="Arial" w:hAnsi="Arial" w:cs="Arial"/>
                  </w:rPr>
                </w:pPr>
                <w:r>
                  <w:rPr>
                    <w:rFonts w:ascii="Arial" w:eastAsia="Arial" w:hAnsi="Arial" w:cs="Arial"/>
                  </w:rPr>
                  <w:t>2.4</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461AB80C" w14:textId="77777777" w:rsidR="008326B0" w:rsidRDefault="00000000">
                <w:pPr>
                  <w:widowControl w:val="0"/>
                  <w:spacing w:line="276" w:lineRule="auto"/>
                  <w:jc w:val="center"/>
                  <w:rPr>
                    <w:rFonts w:ascii="Arial" w:eastAsia="Arial" w:hAnsi="Arial" w:cs="Arial"/>
                  </w:rPr>
                </w:pPr>
                <w:r>
                  <w:rPr>
                    <w:rFonts w:ascii="Arial" w:eastAsia="Arial" w:hAnsi="Arial" w:cs="Arial"/>
                  </w:rPr>
                  <w:t>37.5</w:t>
                </w:r>
              </w:p>
            </w:tc>
          </w:tr>
          <w:tr w:rsidR="008326B0" w14:paraId="69386653" w14:textId="77777777">
            <w:trPr>
              <w:trHeight w:val="525"/>
              <w:jc w:val="center"/>
            </w:trPr>
            <w:tc>
              <w:tcPr>
                <w:tcW w:w="1500" w:type="dxa"/>
                <w:tcBorders>
                  <w:top w:val="single" w:sz="6" w:space="0" w:color="000000"/>
                  <w:bottom w:val="single" w:sz="6" w:space="0" w:color="000000"/>
                </w:tcBorders>
                <w:tcMar>
                  <w:top w:w="40" w:type="dxa"/>
                  <w:left w:w="40" w:type="dxa"/>
                  <w:bottom w:w="40" w:type="dxa"/>
                  <w:right w:w="40" w:type="dxa"/>
                </w:tcMar>
                <w:vAlign w:val="center"/>
              </w:tcPr>
              <w:p w14:paraId="2B7DDDF0" w14:textId="77777777" w:rsidR="008326B0" w:rsidRDefault="00000000">
                <w:pPr>
                  <w:widowControl w:val="0"/>
                  <w:spacing w:line="276" w:lineRule="auto"/>
                  <w:jc w:val="center"/>
                  <w:rPr>
                    <w:rFonts w:ascii="Arial" w:eastAsia="Arial" w:hAnsi="Arial" w:cs="Arial"/>
                  </w:rPr>
                </w:pPr>
                <w:r>
                  <w:rPr>
                    <w:rFonts w:ascii="Arial" w:eastAsia="Arial" w:hAnsi="Arial" w:cs="Arial"/>
                  </w:rPr>
                  <w:t>Ascaris lumbricoides</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16B81456" w14:textId="77777777" w:rsidR="008326B0" w:rsidRDefault="00000000">
                <w:pPr>
                  <w:widowControl w:val="0"/>
                  <w:spacing w:line="276" w:lineRule="auto"/>
                  <w:jc w:val="center"/>
                  <w:rPr>
                    <w:rFonts w:ascii="Arial" w:eastAsia="Arial" w:hAnsi="Arial" w:cs="Arial"/>
                  </w:rPr>
                </w:pPr>
                <w:r>
                  <w:rPr>
                    <w:rFonts w:ascii="Arial" w:eastAsia="Arial" w:hAnsi="Arial" w:cs="Arial"/>
                  </w:rPr>
                  <w:t>2</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2EF0DA0C" w14:textId="77777777" w:rsidR="008326B0" w:rsidRDefault="00000000">
                <w:pPr>
                  <w:widowControl w:val="0"/>
                  <w:spacing w:line="276" w:lineRule="auto"/>
                  <w:jc w:val="center"/>
                  <w:rPr>
                    <w:rFonts w:ascii="Arial" w:eastAsia="Arial" w:hAnsi="Arial" w:cs="Arial"/>
                  </w:rPr>
                </w:pPr>
                <w:r>
                  <w:rPr>
                    <w:rFonts w:ascii="Arial" w:eastAsia="Arial" w:hAnsi="Arial" w:cs="Arial"/>
                  </w:rPr>
                  <w:t>0.4</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68E9B7AD" w14:textId="77777777" w:rsidR="008326B0" w:rsidRDefault="00000000">
                <w:pPr>
                  <w:widowControl w:val="0"/>
                  <w:spacing w:line="276" w:lineRule="auto"/>
                  <w:jc w:val="center"/>
                  <w:rPr>
                    <w:rFonts w:ascii="Arial" w:eastAsia="Arial" w:hAnsi="Arial" w:cs="Arial"/>
                  </w:rPr>
                </w:pPr>
                <w:r>
                  <w:rPr>
                    <w:rFonts w:ascii="Arial" w:eastAsia="Arial" w:hAnsi="Arial" w:cs="Arial"/>
                  </w:rPr>
                  <w:t>6.25</w:t>
                </w:r>
              </w:p>
            </w:tc>
          </w:tr>
          <w:tr w:rsidR="008326B0" w14:paraId="37A3D231" w14:textId="77777777">
            <w:trPr>
              <w:trHeight w:val="525"/>
              <w:jc w:val="center"/>
            </w:trPr>
            <w:tc>
              <w:tcPr>
                <w:tcW w:w="1500" w:type="dxa"/>
                <w:tcBorders>
                  <w:top w:val="single" w:sz="6" w:space="0" w:color="000000"/>
                  <w:bottom w:val="single" w:sz="6" w:space="0" w:color="000000"/>
                </w:tcBorders>
                <w:tcMar>
                  <w:top w:w="40" w:type="dxa"/>
                  <w:left w:w="40" w:type="dxa"/>
                  <w:bottom w:w="40" w:type="dxa"/>
                  <w:right w:w="40" w:type="dxa"/>
                </w:tcMar>
                <w:vAlign w:val="center"/>
              </w:tcPr>
              <w:p w14:paraId="33BA6F5F" w14:textId="77777777" w:rsidR="008326B0" w:rsidRDefault="00000000">
                <w:pPr>
                  <w:widowControl w:val="0"/>
                  <w:spacing w:line="276" w:lineRule="auto"/>
                  <w:jc w:val="center"/>
                  <w:rPr>
                    <w:rFonts w:ascii="Arial" w:eastAsia="Arial" w:hAnsi="Arial" w:cs="Arial"/>
                  </w:rPr>
                </w:pPr>
                <w:r>
                  <w:rPr>
                    <w:rFonts w:ascii="Arial" w:eastAsia="Arial" w:hAnsi="Arial" w:cs="Arial"/>
                  </w:rPr>
                  <w:lastRenderedPageBreak/>
                  <w:t>Enterobius vermicularis</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124F5499" w14:textId="77777777" w:rsidR="008326B0" w:rsidRDefault="00000000">
                <w:pPr>
                  <w:widowControl w:val="0"/>
                  <w:spacing w:line="276" w:lineRule="auto"/>
                  <w:jc w:val="center"/>
                  <w:rPr>
                    <w:rFonts w:ascii="Arial" w:eastAsia="Arial" w:hAnsi="Arial" w:cs="Arial"/>
                  </w:rPr>
                </w:pPr>
                <w:r>
                  <w:rPr>
                    <w:rFonts w:ascii="Arial" w:eastAsia="Arial" w:hAnsi="Arial" w:cs="Arial"/>
                  </w:rPr>
                  <w:t>2</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086D3732" w14:textId="77777777" w:rsidR="008326B0" w:rsidRDefault="00000000">
                <w:pPr>
                  <w:widowControl w:val="0"/>
                  <w:spacing w:line="276" w:lineRule="auto"/>
                  <w:jc w:val="center"/>
                  <w:rPr>
                    <w:rFonts w:ascii="Arial" w:eastAsia="Arial" w:hAnsi="Arial" w:cs="Arial"/>
                  </w:rPr>
                </w:pPr>
                <w:r>
                  <w:rPr>
                    <w:rFonts w:ascii="Arial" w:eastAsia="Arial" w:hAnsi="Arial" w:cs="Arial"/>
                  </w:rPr>
                  <w:t>0.4</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60EB22D3" w14:textId="77777777" w:rsidR="008326B0" w:rsidRDefault="00000000">
                <w:pPr>
                  <w:widowControl w:val="0"/>
                  <w:spacing w:line="276" w:lineRule="auto"/>
                  <w:jc w:val="center"/>
                  <w:rPr>
                    <w:rFonts w:ascii="Arial" w:eastAsia="Arial" w:hAnsi="Arial" w:cs="Arial"/>
                  </w:rPr>
                </w:pPr>
                <w:r>
                  <w:rPr>
                    <w:rFonts w:ascii="Arial" w:eastAsia="Arial" w:hAnsi="Arial" w:cs="Arial"/>
                  </w:rPr>
                  <w:t>6.25</w:t>
                </w:r>
              </w:p>
            </w:tc>
          </w:tr>
          <w:tr w:rsidR="008326B0" w14:paraId="1CA55008" w14:textId="77777777">
            <w:trPr>
              <w:trHeight w:val="525"/>
              <w:jc w:val="center"/>
            </w:trPr>
            <w:tc>
              <w:tcPr>
                <w:tcW w:w="1500" w:type="dxa"/>
                <w:tcBorders>
                  <w:top w:val="single" w:sz="6" w:space="0" w:color="000000"/>
                  <w:bottom w:val="single" w:sz="6" w:space="0" w:color="000000"/>
                </w:tcBorders>
                <w:tcMar>
                  <w:top w:w="40" w:type="dxa"/>
                  <w:left w:w="40" w:type="dxa"/>
                  <w:bottom w:w="40" w:type="dxa"/>
                  <w:right w:w="40" w:type="dxa"/>
                </w:tcMar>
                <w:vAlign w:val="center"/>
              </w:tcPr>
              <w:p w14:paraId="22C37DF7" w14:textId="77777777" w:rsidR="008326B0" w:rsidRDefault="00000000">
                <w:pPr>
                  <w:widowControl w:val="0"/>
                  <w:spacing w:line="276" w:lineRule="auto"/>
                  <w:jc w:val="center"/>
                  <w:rPr>
                    <w:rFonts w:ascii="Arial" w:eastAsia="Arial" w:hAnsi="Arial" w:cs="Arial"/>
                  </w:rPr>
                </w:pPr>
                <w:r>
                  <w:rPr>
                    <w:rFonts w:ascii="Arial" w:eastAsia="Arial" w:hAnsi="Arial" w:cs="Arial"/>
                  </w:rPr>
                  <w:t>Trichuris trichura</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40C4303E" w14:textId="77777777" w:rsidR="008326B0" w:rsidRDefault="00000000">
                <w:pPr>
                  <w:widowControl w:val="0"/>
                  <w:spacing w:line="276" w:lineRule="auto"/>
                  <w:jc w:val="center"/>
                  <w:rPr>
                    <w:rFonts w:ascii="Arial" w:eastAsia="Arial" w:hAnsi="Arial" w:cs="Arial"/>
                  </w:rPr>
                </w:pPr>
                <w:r>
                  <w:rPr>
                    <w:rFonts w:ascii="Arial" w:eastAsia="Arial" w:hAnsi="Arial" w:cs="Arial"/>
                  </w:rPr>
                  <w:t>1</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417B8740" w14:textId="77777777" w:rsidR="008326B0" w:rsidRDefault="00000000">
                <w:pPr>
                  <w:widowControl w:val="0"/>
                  <w:spacing w:line="276" w:lineRule="auto"/>
                  <w:jc w:val="center"/>
                  <w:rPr>
                    <w:rFonts w:ascii="Arial" w:eastAsia="Arial" w:hAnsi="Arial" w:cs="Arial"/>
                  </w:rPr>
                </w:pPr>
                <w:r>
                  <w:rPr>
                    <w:rFonts w:ascii="Arial" w:eastAsia="Arial" w:hAnsi="Arial" w:cs="Arial"/>
                  </w:rPr>
                  <w:t>0.2</w:t>
                </w:r>
              </w:p>
            </w:tc>
            <w:tc>
              <w:tcPr>
                <w:tcW w:w="1500" w:type="dxa"/>
                <w:tcBorders>
                  <w:top w:val="single" w:sz="6" w:space="0" w:color="000000"/>
                  <w:bottom w:val="single" w:sz="6" w:space="0" w:color="000000"/>
                </w:tcBorders>
                <w:tcMar>
                  <w:top w:w="40" w:type="dxa"/>
                  <w:left w:w="40" w:type="dxa"/>
                  <w:bottom w:w="40" w:type="dxa"/>
                  <w:right w:w="40" w:type="dxa"/>
                </w:tcMar>
                <w:vAlign w:val="center"/>
              </w:tcPr>
              <w:p w14:paraId="3B007C17" w14:textId="77777777" w:rsidR="008326B0" w:rsidRDefault="00000000">
                <w:pPr>
                  <w:widowControl w:val="0"/>
                  <w:spacing w:line="276" w:lineRule="auto"/>
                  <w:jc w:val="center"/>
                  <w:rPr>
                    <w:rFonts w:ascii="Arial" w:eastAsia="Arial" w:hAnsi="Arial" w:cs="Arial"/>
                  </w:rPr>
                </w:pPr>
                <w:r>
                  <w:rPr>
                    <w:rFonts w:ascii="Arial" w:eastAsia="Arial" w:hAnsi="Arial" w:cs="Arial"/>
                  </w:rPr>
                  <w:t>3.125</w:t>
                </w:r>
              </w:p>
            </w:tc>
          </w:tr>
          <w:tr w:rsidR="008326B0" w14:paraId="1FA4D67E" w14:textId="77777777">
            <w:trPr>
              <w:trHeight w:val="525"/>
              <w:jc w:val="center"/>
            </w:trPr>
            <w:tc>
              <w:tcPr>
                <w:tcW w:w="1500" w:type="dxa"/>
                <w:tcBorders>
                  <w:top w:val="single" w:sz="6" w:space="0" w:color="000000"/>
                </w:tcBorders>
                <w:tcMar>
                  <w:top w:w="40" w:type="dxa"/>
                  <w:left w:w="40" w:type="dxa"/>
                  <w:bottom w:w="40" w:type="dxa"/>
                  <w:right w:w="40" w:type="dxa"/>
                </w:tcMar>
                <w:vAlign w:val="center"/>
              </w:tcPr>
              <w:p w14:paraId="0CFBF5F0" w14:textId="77777777" w:rsidR="008326B0" w:rsidRDefault="00000000">
                <w:pPr>
                  <w:widowControl w:val="0"/>
                  <w:spacing w:line="276" w:lineRule="auto"/>
                  <w:jc w:val="center"/>
                  <w:rPr>
                    <w:rFonts w:ascii="Arial" w:eastAsia="Arial" w:hAnsi="Arial" w:cs="Arial"/>
                  </w:rPr>
                </w:pPr>
                <w:r>
                  <w:rPr>
                    <w:rFonts w:ascii="Arial" w:eastAsia="Arial" w:hAnsi="Arial" w:cs="Arial"/>
                  </w:rPr>
                  <w:t>Fasciola hepatica</w:t>
                </w:r>
              </w:p>
            </w:tc>
            <w:tc>
              <w:tcPr>
                <w:tcW w:w="1500" w:type="dxa"/>
                <w:tcBorders>
                  <w:top w:val="single" w:sz="6" w:space="0" w:color="000000"/>
                </w:tcBorders>
                <w:tcMar>
                  <w:top w:w="40" w:type="dxa"/>
                  <w:left w:w="40" w:type="dxa"/>
                  <w:bottom w:w="40" w:type="dxa"/>
                  <w:right w:w="40" w:type="dxa"/>
                </w:tcMar>
                <w:vAlign w:val="center"/>
              </w:tcPr>
              <w:p w14:paraId="3916A00D" w14:textId="77777777" w:rsidR="008326B0" w:rsidRDefault="00000000">
                <w:pPr>
                  <w:widowControl w:val="0"/>
                  <w:spacing w:line="276" w:lineRule="auto"/>
                  <w:jc w:val="center"/>
                  <w:rPr>
                    <w:rFonts w:ascii="Arial" w:eastAsia="Arial" w:hAnsi="Arial" w:cs="Arial"/>
                  </w:rPr>
                </w:pPr>
                <w:r>
                  <w:rPr>
                    <w:rFonts w:ascii="Arial" w:eastAsia="Arial" w:hAnsi="Arial" w:cs="Arial"/>
                  </w:rPr>
                  <w:t>1</w:t>
                </w:r>
              </w:p>
            </w:tc>
            <w:tc>
              <w:tcPr>
                <w:tcW w:w="1500" w:type="dxa"/>
                <w:tcBorders>
                  <w:top w:val="single" w:sz="6" w:space="0" w:color="000000"/>
                </w:tcBorders>
                <w:tcMar>
                  <w:top w:w="40" w:type="dxa"/>
                  <w:left w:w="40" w:type="dxa"/>
                  <w:bottom w:w="40" w:type="dxa"/>
                  <w:right w:w="40" w:type="dxa"/>
                </w:tcMar>
                <w:vAlign w:val="center"/>
              </w:tcPr>
              <w:p w14:paraId="3406DE7A" w14:textId="77777777" w:rsidR="008326B0" w:rsidRDefault="00000000">
                <w:pPr>
                  <w:widowControl w:val="0"/>
                  <w:spacing w:line="276" w:lineRule="auto"/>
                  <w:jc w:val="center"/>
                  <w:rPr>
                    <w:rFonts w:ascii="Arial" w:eastAsia="Arial" w:hAnsi="Arial" w:cs="Arial"/>
                  </w:rPr>
                </w:pPr>
                <w:r>
                  <w:rPr>
                    <w:rFonts w:ascii="Arial" w:eastAsia="Arial" w:hAnsi="Arial" w:cs="Arial"/>
                  </w:rPr>
                  <w:t>0.2</w:t>
                </w:r>
              </w:p>
            </w:tc>
            <w:tc>
              <w:tcPr>
                <w:tcW w:w="1500" w:type="dxa"/>
                <w:tcBorders>
                  <w:top w:val="single" w:sz="6" w:space="0" w:color="000000"/>
                </w:tcBorders>
                <w:tcMar>
                  <w:top w:w="40" w:type="dxa"/>
                  <w:left w:w="40" w:type="dxa"/>
                  <w:bottom w:w="40" w:type="dxa"/>
                  <w:right w:w="40" w:type="dxa"/>
                </w:tcMar>
                <w:vAlign w:val="center"/>
              </w:tcPr>
              <w:p w14:paraId="0691BA4D" w14:textId="77777777" w:rsidR="008326B0" w:rsidRDefault="00000000">
                <w:pPr>
                  <w:widowControl w:val="0"/>
                  <w:spacing w:line="276" w:lineRule="auto"/>
                  <w:jc w:val="center"/>
                  <w:rPr>
                    <w:rFonts w:ascii="Arial" w:eastAsia="Arial" w:hAnsi="Arial" w:cs="Arial"/>
                  </w:rPr>
                </w:pPr>
                <w:r>
                  <w:rPr>
                    <w:rFonts w:ascii="Arial" w:eastAsia="Arial" w:hAnsi="Arial" w:cs="Arial"/>
                  </w:rPr>
                  <w:t>3.125</w:t>
                </w:r>
              </w:p>
            </w:tc>
          </w:tr>
        </w:tbl>
      </w:sdtContent>
    </w:sdt>
    <w:p w14:paraId="11C5744C" w14:textId="77777777" w:rsidR="008326B0" w:rsidRDefault="008326B0">
      <w:pPr>
        <w:widowControl w:val="0"/>
        <w:spacing w:before="240" w:after="240" w:line="360" w:lineRule="auto"/>
        <w:ind w:firstLine="720"/>
        <w:jc w:val="both"/>
        <w:rPr>
          <w:rFonts w:ascii="Arial" w:eastAsia="Arial" w:hAnsi="Arial" w:cs="Arial"/>
        </w:rPr>
      </w:pPr>
    </w:p>
    <w:p w14:paraId="5F0B36E3" w14:textId="77777777" w:rsidR="008326B0" w:rsidRDefault="008326B0">
      <w:pPr>
        <w:pBdr>
          <w:top w:val="nil"/>
          <w:left w:val="nil"/>
          <w:bottom w:val="nil"/>
          <w:right w:val="nil"/>
          <w:between w:val="nil"/>
        </w:pBdr>
        <w:jc w:val="both"/>
        <w:rPr>
          <w:rFonts w:ascii="Arial" w:eastAsia="Arial" w:hAnsi="Arial" w:cs="Arial"/>
        </w:rPr>
      </w:pPr>
    </w:p>
    <w:p w14:paraId="4C4593E8"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Table 02 provides detailed information about helminth species found in samples collected from the open market. Each row indicates a helminth species, showing the total number of occurrences, the average per sample, and the percentage of the total number of occurrences of all species combined.</w:t>
      </w:r>
    </w:p>
    <w:p w14:paraId="24480546"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Taenia sp. was the most prevalent species, with a total of 14 occurrences, resulting in an average of 2.8 per sample and a significant percentage of the total. Following this, Entamoeba sp. had 12 total occurrences, averaging 2.4 per sample, also showing relevant presence. Conversely, Ascaris lumbricoides and Enterobius vermicularis appeared with lower frequency, each having 2 occurrences and an average of 0.4 per sample, indicating lower prevalence. Trichuris </w:t>
      </w:r>
      <w:proofErr w:type="spellStart"/>
      <w:r>
        <w:rPr>
          <w:rFonts w:ascii="Arial" w:eastAsia="Arial" w:hAnsi="Arial" w:cs="Arial"/>
        </w:rPr>
        <w:t>trichiura</w:t>
      </w:r>
      <w:proofErr w:type="spellEnd"/>
      <w:r>
        <w:rPr>
          <w:rFonts w:ascii="Arial" w:eastAsia="Arial" w:hAnsi="Arial" w:cs="Arial"/>
        </w:rPr>
        <w:t xml:space="preserve"> and Fasciola hepatica were observed only once each, resulting in an average of 0.2 per sample and contributing the lowest percentages of the total.</w:t>
      </w:r>
    </w:p>
    <w:p w14:paraId="79FF07AC"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These data provide a clear understanding of the distribution (Graph 02) of different helminth species in the tested samples, highlighting the most and least frequent species, which can be useful for evaluating contamination patterns and guiding public health measures.</w:t>
      </w:r>
    </w:p>
    <w:p w14:paraId="47D648FF" w14:textId="77777777" w:rsidR="008326B0" w:rsidRDefault="008326B0">
      <w:pPr>
        <w:pBdr>
          <w:top w:val="nil"/>
          <w:left w:val="nil"/>
          <w:bottom w:val="nil"/>
          <w:right w:val="nil"/>
          <w:between w:val="nil"/>
        </w:pBdr>
        <w:jc w:val="both"/>
        <w:rPr>
          <w:rFonts w:ascii="Arial" w:eastAsia="Arial" w:hAnsi="Arial" w:cs="Arial"/>
        </w:rPr>
      </w:pPr>
    </w:p>
    <w:p w14:paraId="02BB2DB1"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Graph 02: Distribution of helminth specimens in open market samples.</w:t>
      </w:r>
    </w:p>
    <w:p w14:paraId="61D4849D" w14:textId="77777777" w:rsidR="008326B0" w:rsidRDefault="00000000">
      <w:pPr>
        <w:widowControl w:val="0"/>
        <w:spacing w:line="360" w:lineRule="auto"/>
        <w:jc w:val="both"/>
        <w:rPr>
          <w:rFonts w:ascii="Arial" w:eastAsia="Arial" w:hAnsi="Arial" w:cs="Arial"/>
        </w:rPr>
      </w:pPr>
      <w:r>
        <w:rPr>
          <w:rFonts w:ascii="Arial" w:eastAsia="Arial" w:hAnsi="Arial" w:cs="Arial"/>
          <w:noProof/>
          <w:sz w:val="24"/>
          <w:szCs w:val="24"/>
        </w:rPr>
        <w:drawing>
          <wp:inline distT="114300" distB="114300" distL="114300" distR="114300" wp14:anchorId="0FC583D1" wp14:editId="275EA7A5">
            <wp:extent cx="5212080" cy="25908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212080" cy="2590800"/>
                    </a:xfrm>
                    <a:prstGeom prst="rect">
                      <a:avLst/>
                    </a:prstGeom>
                    <a:ln/>
                  </pic:spPr>
                </pic:pic>
              </a:graphicData>
            </a:graphic>
          </wp:inline>
        </w:drawing>
      </w:r>
    </w:p>
    <w:p w14:paraId="30F06669"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Graph 03 shows a comparison of the total frequency of helminths found in market and open market samples, with blue bars representing market frequencies and green bars representing open market frequencies. The distribution of each species is shown side-by-side, facilitating visualization of differences in prevalence between the two locations.</w:t>
      </w:r>
    </w:p>
    <w:p w14:paraId="11959FCA"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It is noted that Entamoeba sp. had a high total frequency in the market, but its presence was lower in the open market. Conversely, Taenia sp. was predominant in both locations, with a higher frequency in the open market compared to the market. Species like Ascaris lumbricoides and Enterobius vermicularis had low frequencies in both environments but were present.</w:t>
      </w:r>
    </w:p>
    <w:p w14:paraId="341FD376"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It is noteworthy that Schistosoma </w:t>
      </w:r>
      <w:proofErr w:type="spellStart"/>
      <w:r>
        <w:rPr>
          <w:rFonts w:ascii="Arial" w:eastAsia="Arial" w:hAnsi="Arial" w:cs="Arial"/>
        </w:rPr>
        <w:t>mansoni</w:t>
      </w:r>
      <w:proofErr w:type="spellEnd"/>
      <w:r>
        <w:rPr>
          <w:rFonts w:ascii="Arial" w:eastAsia="Arial" w:hAnsi="Arial" w:cs="Arial"/>
        </w:rPr>
        <w:t xml:space="preserve"> appeared in market samples but was not found in open market samples. On the other hand, Trichuris </w:t>
      </w:r>
      <w:proofErr w:type="spellStart"/>
      <w:r>
        <w:rPr>
          <w:rFonts w:ascii="Arial" w:eastAsia="Arial" w:hAnsi="Arial" w:cs="Arial"/>
        </w:rPr>
        <w:t>trichiura</w:t>
      </w:r>
      <w:proofErr w:type="spellEnd"/>
      <w:r>
        <w:rPr>
          <w:rFonts w:ascii="Arial" w:eastAsia="Arial" w:hAnsi="Arial" w:cs="Arial"/>
        </w:rPr>
        <w:t xml:space="preserve"> and Fasciola hepatica showed low frequencies in the open market and minimal or no representation in market samples.</w:t>
      </w:r>
    </w:p>
    <w:p w14:paraId="44002FDB"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This visual analysis highlights variations in helminth prevalence between the two locations, showing that while some species are common in both, others appear exclusively or in greater quantities in only one environment. These data may reflect differences in contamination factors and occurrence conditions between the market and open market settings.</w:t>
      </w:r>
    </w:p>
    <w:p w14:paraId="5638C42B" w14:textId="77777777" w:rsidR="008326B0" w:rsidRDefault="008326B0">
      <w:pPr>
        <w:pBdr>
          <w:top w:val="nil"/>
          <w:left w:val="nil"/>
          <w:bottom w:val="nil"/>
          <w:right w:val="nil"/>
          <w:between w:val="nil"/>
        </w:pBdr>
        <w:jc w:val="both"/>
        <w:rPr>
          <w:rFonts w:ascii="Arial" w:eastAsia="Arial" w:hAnsi="Arial" w:cs="Arial"/>
        </w:rPr>
      </w:pPr>
    </w:p>
    <w:p w14:paraId="5ACA76C4"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Graph 03: Comparative analysis between collection locations.</w:t>
      </w:r>
    </w:p>
    <w:p w14:paraId="243B328B" w14:textId="77777777" w:rsidR="008326B0" w:rsidRDefault="00000000">
      <w:pPr>
        <w:widowControl w:val="0"/>
        <w:spacing w:line="360" w:lineRule="auto"/>
        <w:jc w:val="both"/>
        <w:rPr>
          <w:rFonts w:ascii="Arial" w:eastAsia="Arial" w:hAnsi="Arial" w:cs="Arial"/>
        </w:rPr>
      </w:pPr>
      <w:r>
        <w:rPr>
          <w:rFonts w:ascii="Arial" w:eastAsia="Arial" w:hAnsi="Arial" w:cs="Arial"/>
          <w:b/>
          <w:noProof/>
          <w:sz w:val="24"/>
          <w:szCs w:val="24"/>
        </w:rPr>
        <w:lastRenderedPageBreak/>
        <w:drawing>
          <wp:inline distT="114300" distB="114300" distL="114300" distR="114300" wp14:anchorId="755219B0" wp14:editId="69B07058">
            <wp:extent cx="5212080" cy="2590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212080" cy="2590800"/>
                    </a:xfrm>
                    <a:prstGeom prst="rect">
                      <a:avLst/>
                    </a:prstGeom>
                    <a:ln/>
                  </pic:spPr>
                </pic:pic>
              </a:graphicData>
            </a:graphic>
          </wp:inline>
        </w:drawing>
      </w:r>
    </w:p>
    <w:p w14:paraId="0E0EC335" w14:textId="77777777" w:rsidR="008326B0" w:rsidRDefault="00000000">
      <w:pPr>
        <w:spacing w:before="240" w:after="200"/>
        <w:jc w:val="both"/>
        <w:rPr>
          <w:rFonts w:ascii="Arial" w:eastAsia="Arial" w:hAnsi="Arial" w:cs="Arial"/>
        </w:rPr>
      </w:pPr>
      <w:r>
        <w:rPr>
          <w:rFonts w:ascii="Arial" w:eastAsia="Arial" w:hAnsi="Arial" w:cs="Arial"/>
        </w:rPr>
        <w:t xml:space="preserve"> The analysis of helminth samples collected from different locations, such as markets and open markets, shows significant variations in the prevalence of identified species. In the market, Entamoeba sp. stands out as the most prevalent species, with 33 occurrences representing 41.25% of the total and an average of 6.6 per sample. This high frequency may indicate food handling conditions and water contamination sources that favor the spread of this parasite. Other species, such as Ascaris lumbricoides, had lower prevalence, with 12 occurrences [13], and Taenia sp. showed 10 occurrences [14], suggesting distinct contamination patterns [15].</w:t>
      </w:r>
    </w:p>
    <w:p w14:paraId="67639162" w14:textId="77777777" w:rsidR="008326B0" w:rsidRDefault="00000000">
      <w:pPr>
        <w:spacing w:before="240" w:after="200"/>
        <w:jc w:val="both"/>
        <w:rPr>
          <w:rFonts w:ascii="Arial" w:eastAsia="Arial" w:hAnsi="Arial" w:cs="Arial"/>
        </w:rPr>
      </w:pPr>
      <w:r>
        <w:rPr>
          <w:rFonts w:ascii="Arial" w:eastAsia="Arial" w:hAnsi="Arial" w:cs="Arial"/>
        </w:rPr>
        <w:t xml:space="preserve">In open market samples, the situation changes. Taenia sp. was the most prevalent species, totaling 14 occurrences and representing 43.75% of the total. Entamoeba sp. followed, with 12 occurrences, corresponding to 37.5%. Meanwhile, Ascaris lumbricoides and Enterobius vermicularis appeared with only 2 occurrences each, indicating lower incidence. Other species, such as Trichuris </w:t>
      </w:r>
      <w:proofErr w:type="spellStart"/>
      <w:r>
        <w:rPr>
          <w:rFonts w:ascii="Arial" w:eastAsia="Arial" w:hAnsi="Arial" w:cs="Arial"/>
        </w:rPr>
        <w:t>trichiura</w:t>
      </w:r>
      <w:proofErr w:type="spellEnd"/>
      <w:r>
        <w:rPr>
          <w:rFonts w:ascii="Arial" w:eastAsia="Arial" w:hAnsi="Arial" w:cs="Arial"/>
        </w:rPr>
        <w:t xml:space="preserve"> and Fasciola hepatica, were observed only once, reflecting minimal representation in the tested samples [16].</w:t>
      </w:r>
    </w:p>
    <w:p w14:paraId="71CD413A" w14:textId="77777777" w:rsidR="008326B0" w:rsidRDefault="00000000">
      <w:pPr>
        <w:spacing w:before="240" w:after="200"/>
        <w:jc w:val="both"/>
        <w:rPr>
          <w:rFonts w:ascii="Arial" w:eastAsia="Arial" w:hAnsi="Arial" w:cs="Arial"/>
        </w:rPr>
      </w:pPr>
      <w:r>
        <w:rPr>
          <w:rFonts w:ascii="Arial" w:eastAsia="Arial" w:hAnsi="Arial" w:cs="Arial"/>
        </w:rPr>
        <w:t xml:space="preserve">Comparing the two locations shows that while Entamoeba sp. was highly prevalent in the market, it had a lower presence in the open market. Conversely, Taenia sp. maintained high frequency in both, being more predominant in the open market. This difference may be attributed to specific environmental and sanitary factors of each location, such as food handling practices and access to clean water. Additionally, the absence of Schistosoma </w:t>
      </w:r>
      <w:proofErr w:type="spellStart"/>
      <w:r>
        <w:rPr>
          <w:rFonts w:ascii="Arial" w:eastAsia="Arial" w:hAnsi="Arial" w:cs="Arial"/>
        </w:rPr>
        <w:t>mansoni</w:t>
      </w:r>
      <w:proofErr w:type="spellEnd"/>
      <w:r>
        <w:rPr>
          <w:rFonts w:ascii="Arial" w:eastAsia="Arial" w:hAnsi="Arial" w:cs="Arial"/>
        </w:rPr>
        <w:t xml:space="preserve"> in the open market and the presence of other helminth species, such as Trichuris </w:t>
      </w:r>
      <w:proofErr w:type="spellStart"/>
      <w:r>
        <w:rPr>
          <w:rFonts w:ascii="Arial" w:eastAsia="Arial" w:hAnsi="Arial" w:cs="Arial"/>
        </w:rPr>
        <w:t>trichiura</w:t>
      </w:r>
      <w:proofErr w:type="spellEnd"/>
      <w:r>
        <w:rPr>
          <w:rFonts w:ascii="Arial" w:eastAsia="Arial" w:hAnsi="Arial" w:cs="Arial"/>
        </w:rPr>
        <w:t>, emphasize differences in contamination conditions between the analyzed environments [17].</w:t>
      </w:r>
    </w:p>
    <w:p w14:paraId="6A4C4C19" w14:textId="77777777" w:rsidR="008326B0" w:rsidRDefault="00000000">
      <w:pPr>
        <w:spacing w:before="240" w:after="200"/>
        <w:jc w:val="both"/>
        <w:rPr>
          <w:rFonts w:ascii="Arial" w:eastAsia="Arial" w:hAnsi="Arial" w:cs="Arial"/>
        </w:rPr>
      </w:pPr>
      <w:r>
        <w:rPr>
          <w:rFonts w:ascii="Arial" w:eastAsia="Arial" w:hAnsi="Arial" w:cs="Arial"/>
        </w:rPr>
        <w:t>These observations have direct public health implications, as the prevalence of different helminth species in distinct locations reflects the need for targeted interventions. For example, the high incidence of Entamoeba sp. in the market suggests the importance of policies that strengthen water safety and food handling hygiene. Conversely, the predominance of Taenia sp. in the open market may indicate the need for stricter control practices for animal-derived food and educational programs on personal and sanitary hygiene for vendors and consumers [18].</w:t>
      </w:r>
    </w:p>
    <w:p w14:paraId="0C104901" w14:textId="77777777" w:rsidR="008326B0" w:rsidRDefault="008326B0">
      <w:pPr>
        <w:pBdr>
          <w:top w:val="nil"/>
          <w:left w:val="nil"/>
          <w:bottom w:val="nil"/>
          <w:right w:val="nil"/>
          <w:between w:val="nil"/>
        </w:pBdr>
        <w:jc w:val="both"/>
        <w:rPr>
          <w:rFonts w:ascii="Arial" w:eastAsia="Arial" w:hAnsi="Arial" w:cs="Arial"/>
        </w:rPr>
      </w:pPr>
    </w:p>
    <w:p w14:paraId="67CD70BF" w14:textId="77777777" w:rsidR="008326B0" w:rsidRDefault="008326B0">
      <w:pPr>
        <w:pBdr>
          <w:top w:val="nil"/>
          <w:left w:val="nil"/>
          <w:bottom w:val="nil"/>
          <w:right w:val="nil"/>
          <w:between w:val="nil"/>
        </w:pBdr>
        <w:jc w:val="both"/>
        <w:rPr>
          <w:rFonts w:ascii="Arial" w:eastAsia="Arial" w:hAnsi="Arial" w:cs="Arial"/>
          <w:color w:val="000000"/>
        </w:rPr>
      </w:pPr>
    </w:p>
    <w:p w14:paraId="4F6B30DE" w14:textId="77777777" w:rsidR="008326B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5E3E9A8D" w14:textId="77777777" w:rsidR="008326B0" w:rsidRDefault="008326B0">
      <w:pPr>
        <w:pBdr>
          <w:top w:val="nil"/>
          <w:left w:val="nil"/>
          <w:bottom w:val="nil"/>
          <w:right w:val="nil"/>
          <w:between w:val="nil"/>
        </w:pBdr>
        <w:jc w:val="both"/>
        <w:rPr>
          <w:rFonts w:ascii="Arial" w:eastAsia="Arial" w:hAnsi="Arial" w:cs="Arial"/>
        </w:rPr>
      </w:pPr>
    </w:p>
    <w:p w14:paraId="22BBEE43" w14:textId="77777777" w:rsidR="008326B0" w:rsidRDefault="00000000">
      <w:pPr>
        <w:pBdr>
          <w:top w:val="nil"/>
          <w:left w:val="nil"/>
          <w:bottom w:val="nil"/>
          <w:right w:val="nil"/>
          <w:between w:val="nil"/>
        </w:pBdr>
        <w:jc w:val="both"/>
        <w:rPr>
          <w:rFonts w:ascii="Arial" w:eastAsia="Arial" w:hAnsi="Arial" w:cs="Arial"/>
        </w:rPr>
      </w:pPr>
      <w:r>
        <w:rPr>
          <w:rFonts w:ascii="Arial" w:eastAsia="Arial" w:hAnsi="Arial" w:cs="Arial"/>
        </w:rPr>
        <w:t>It is concluded that a detailed understanding of the distribution of helminths in different locations is essential for formulating effective intervention strategies. The visual and comparative analysis of occurrences reinforces the importance of continuous monitoring and health education programs to mitigate the risks of parasitic infestations. Improvements in sanitary infrastructure and the quality control of food and water should be prioritized to reduce parasite prevalence and protect public health</w:t>
      </w:r>
    </w:p>
    <w:p w14:paraId="1EB04E6B" w14:textId="77777777" w:rsidR="008326B0" w:rsidRDefault="008326B0">
      <w:pPr>
        <w:pBdr>
          <w:top w:val="nil"/>
          <w:left w:val="nil"/>
          <w:bottom w:val="nil"/>
          <w:right w:val="nil"/>
          <w:between w:val="nil"/>
        </w:pBdr>
        <w:jc w:val="both"/>
        <w:rPr>
          <w:rFonts w:ascii="Arial" w:eastAsia="Arial" w:hAnsi="Arial" w:cs="Arial"/>
        </w:rPr>
      </w:pPr>
    </w:p>
    <w:p w14:paraId="6CBD1CAF" w14:textId="77777777" w:rsidR="008326B0" w:rsidRDefault="008326B0">
      <w:pPr>
        <w:pBdr>
          <w:top w:val="nil"/>
          <w:left w:val="nil"/>
          <w:bottom w:val="nil"/>
          <w:right w:val="nil"/>
          <w:between w:val="nil"/>
        </w:pBdr>
        <w:jc w:val="both"/>
        <w:rPr>
          <w:rFonts w:ascii="Arial" w:eastAsia="Arial" w:hAnsi="Arial" w:cs="Arial"/>
          <w:color w:val="000000"/>
        </w:rPr>
      </w:pPr>
    </w:p>
    <w:p w14:paraId="369EB841" w14:textId="77777777" w:rsidR="008326B0" w:rsidRDefault="008326B0">
      <w:pPr>
        <w:pBdr>
          <w:top w:val="nil"/>
          <w:left w:val="nil"/>
          <w:bottom w:val="nil"/>
          <w:right w:val="nil"/>
          <w:between w:val="nil"/>
        </w:pBdr>
        <w:jc w:val="both"/>
        <w:rPr>
          <w:rFonts w:ascii="Arial" w:eastAsia="Arial" w:hAnsi="Arial" w:cs="Arial"/>
        </w:rPr>
      </w:pPr>
    </w:p>
    <w:p w14:paraId="7E8A92F6" w14:textId="77777777" w:rsidR="008326B0" w:rsidRDefault="008326B0">
      <w:pPr>
        <w:keepNext/>
        <w:pBdr>
          <w:top w:val="nil"/>
          <w:left w:val="nil"/>
          <w:bottom w:val="nil"/>
          <w:right w:val="nil"/>
          <w:between w:val="nil"/>
        </w:pBdr>
        <w:jc w:val="both"/>
        <w:rPr>
          <w:rFonts w:ascii="Arial" w:eastAsia="Arial" w:hAnsi="Arial" w:cs="Arial"/>
          <w:u w:val="single"/>
        </w:rPr>
      </w:pPr>
    </w:p>
    <w:p w14:paraId="2534F1FD" w14:textId="77777777" w:rsidR="008326B0" w:rsidRDefault="008326B0">
      <w:pPr>
        <w:keepNext/>
        <w:pBdr>
          <w:top w:val="nil"/>
          <w:left w:val="nil"/>
          <w:bottom w:val="nil"/>
          <w:right w:val="nil"/>
          <w:between w:val="nil"/>
        </w:pBdr>
        <w:jc w:val="both"/>
        <w:rPr>
          <w:rFonts w:ascii="Arial" w:eastAsia="Arial" w:hAnsi="Arial" w:cs="Arial"/>
          <w:color w:val="000000"/>
        </w:rPr>
      </w:pPr>
    </w:p>
    <w:p w14:paraId="7B342BE2" w14:textId="77777777" w:rsidR="008326B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B84670D" w14:textId="77777777" w:rsidR="008326B0" w:rsidRDefault="008326B0">
      <w:pPr>
        <w:keepNext/>
        <w:pBdr>
          <w:top w:val="nil"/>
          <w:left w:val="nil"/>
          <w:bottom w:val="nil"/>
          <w:right w:val="nil"/>
          <w:between w:val="nil"/>
        </w:pBdr>
        <w:jc w:val="both"/>
        <w:rPr>
          <w:rFonts w:ascii="Arial" w:eastAsia="Arial" w:hAnsi="Arial" w:cs="Arial"/>
          <w:b/>
          <w:smallCaps/>
          <w:color w:val="000000"/>
          <w:sz w:val="22"/>
          <w:szCs w:val="22"/>
        </w:rPr>
      </w:pPr>
    </w:p>
    <w:p w14:paraId="7F3E061F"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1. Adhikari, S., Hunter, E., Van De Vossenberg, J., &amp; Thomas, J. (2023). A review of latrine front characteristics associated with the risk of microbial infection; reveals a lack of pathogen density data. International Journal of Hygiene and Environmental Health, 254, 100234.</w:t>
      </w:r>
    </w:p>
    <w:p w14:paraId="097DDA36"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3C290257"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2. Girma, A., &amp; Genet, A. (2024). Prevalence and factors associated with intestinal parasitic infections among preschool children in Ethiopia: A systematic review and meta-analysis. Epidemiology and Parasite Control, 26, 100345.</w:t>
      </w:r>
    </w:p>
    <w:p w14:paraId="0C4B8A57"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4906F110"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3. Holland, CV (2023). A walk on the wild side: A review of the epidemiology of </w:t>
      </w:r>
      <w:proofErr w:type="spellStart"/>
      <w:r w:rsidRPr="00F21299">
        <w:rPr>
          <w:rFonts w:ascii="Arial" w:eastAsia="Arial" w:hAnsi="Arial" w:cs="Arial"/>
          <w:smallCaps/>
          <w:color w:val="000000"/>
          <w:sz w:val="22"/>
          <w:szCs w:val="22"/>
        </w:rPr>
        <w:t>Toxocara</w:t>
      </w:r>
      <w:proofErr w:type="spellEnd"/>
      <w:r w:rsidRPr="00F21299">
        <w:rPr>
          <w:rFonts w:ascii="Arial" w:eastAsia="Arial" w:hAnsi="Arial" w:cs="Arial"/>
          <w:smallCaps/>
          <w:color w:val="000000"/>
          <w:sz w:val="22"/>
          <w:szCs w:val="22"/>
        </w:rPr>
        <w:t xml:space="preserve"> </w:t>
      </w:r>
      <w:proofErr w:type="spellStart"/>
      <w:r w:rsidRPr="00F21299">
        <w:rPr>
          <w:rFonts w:ascii="Arial" w:eastAsia="Arial" w:hAnsi="Arial" w:cs="Arial"/>
          <w:smallCaps/>
          <w:color w:val="000000"/>
          <w:sz w:val="22"/>
          <w:szCs w:val="22"/>
        </w:rPr>
        <w:t>canis</w:t>
      </w:r>
      <w:proofErr w:type="spellEnd"/>
      <w:r w:rsidRPr="00F21299">
        <w:rPr>
          <w:rFonts w:ascii="Arial" w:eastAsia="Arial" w:hAnsi="Arial" w:cs="Arial"/>
          <w:smallCaps/>
          <w:color w:val="000000"/>
          <w:sz w:val="22"/>
          <w:szCs w:val="22"/>
        </w:rPr>
        <w:t xml:space="preserve"> and </w:t>
      </w:r>
      <w:proofErr w:type="spellStart"/>
      <w:r w:rsidRPr="00F21299">
        <w:rPr>
          <w:rFonts w:ascii="Arial" w:eastAsia="Arial" w:hAnsi="Arial" w:cs="Arial"/>
          <w:smallCaps/>
          <w:color w:val="000000"/>
          <w:sz w:val="22"/>
          <w:szCs w:val="22"/>
        </w:rPr>
        <w:t>Toxocara</w:t>
      </w:r>
      <w:proofErr w:type="spellEnd"/>
      <w:r w:rsidRPr="00F21299">
        <w:rPr>
          <w:rFonts w:ascii="Arial" w:eastAsia="Arial" w:hAnsi="Arial" w:cs="Arial"/>
          <w:smallCaps/>
          <w:color w:val="000000"/>
          <w:sz w:val="22"/>
          <w:szCs w:val="22"/>
        </w:rPr>
        <w:t xml:space="preserve"> </w:t>
      </w:r>
      <w:proofErr w:type="spellStart"/>
      <w:r w:rsidRPr="00F21299">
        <w:rPr>
          <w:rFonts w:ascii="Arial" w:eastAsia="Arial" w:hAnsi="Arial" w:cs="Arial"/>
          <w:smallCaps/>
          <w:color w:val="000000"/>
          <w:sz w:val="22"/>
          <w:szCs w:val="22"/>
        </w:rPr>
        <w:t>cati</w:t>
      </w:r>
      <w:proofErr w:type="spellEnd"/>
      <w:r w:rsidRPr="00F21299">
        <w:rPr>
          <w:rFonts w:ascii="Arial" w:eastAsia="Arial" w:hAnsi="Arial" w:cs="Arial"/>
          <w:smallCaps/>
          <w:color w:val="000000"/>
          <w:sz w:val="22"/>
          <w:szCs w:val="22"/>
        </w:rPr>
        <w:t xml:space="preserve"> in wild hosts. Parasitology: Parasites and Wildlife, 22, 216–228.</w:t>
      </w:r>
    </w:p>
    <w:p w14:paraId="2A5ADB44"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7A9A7B1E"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4. Mahapatra, S., Ali, M. H., Samal, K., &amp; </w:t>
      </w:r>
      <w:proofErr w:type="spellStart"/>
      <w:r w:rsidRPr="00F21299">
        <w:rPr>
          <w:rFonts w:ascii="Arial" w:eastAsia="Arial" w:hAnsi="Arial" w:cs="Arial"/>
          <w:smallCaps/>
          <w:color w:val="000000"/>
          <w:sz w:val="22"/>
          <w:szCs w:val="22"/>
        </w:rPr>
        <w:t>Moulick</w:t>
      </w:r>
      <w:proofErr w:type="spellEnd"/>
      <w:r w:rsidRPr="00F21299">
        <w:rPr>
          <w:rFonts w:ascii="Arial" w:eastAsia="Arial" w:hAnsi="Arial" w:cs="Arial"/>
          <w:smallCaps/>
          <w:color w:val="000000"/>
          <w:sz w:val="22"/>
          <w:szCs w:val="22"/>
        </w:rPr>
        <w:t>, S. (2022). Diagnostic and treatment technologies for detection and removal of helminths in wastewater and sludge. Energy Nexus, 8, 100101.</w:t>
      </w:r>
    </w:p>
    <w:p w14:paraId="13722FAD"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1E9BCA67"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5. Mota, J. D. O., </w:t>
      </w:r>
      <w:proofErr w:type="spellStart"/>
      <w:r w:rsidRPr="00F21299">
        <w:rPr>
          <w:rFonts w:ascii="Arial" w:eastAsia="Arial" w:hAnsi="Arial" w:cs="Arial"/>
          <w:smallCaps/>
          <w:color w:val="000000"/>
          <w:sz w:val="22"/>
          <w:szCs w:val="22"/>
        </w:rPr>
        <w:t>Boué</w:t>
      </w:r>
      <w:proofErr w:type="spellEnd"/>
      <w:r w:rsidRPr="00F21299">
        <w:rPr>
          <w:rFonts w:ascii="Arial" w:eastAsia="Arial" w:hAnsi="Arial" w:cs="Arial"/>
          <w:smallCaps/>
          <w:color w:val="000000"/>
          <w:sz w:val="22"/>
          <w:szCs w:val="22"/>
        </w:rPr>
        <w:t xml:space="preserve">, G., Prévost, H., Maillet, A., </w:t>
      </w:r>
      <w:proofErr w:type="spellStart"/>
      <w:r w:rsidRPr="00F21299">
        <w:rPr>
          <w:rFonts w:ascii="Arial" w:eastAsia="Arial" w:hAnsi="Arial" w:cs="Arial"/>
          <w:smallCaps/>
          <w:color w:val="000000"/>
          <w:sz w:val="22"/>
          <w:szCs w:val="22"/>
        </w:rPr>
        <w:t>Jaffres</w:t>
      </w:r>
      <w:proofErr w:type="spellEnd"/>
      <w:r w:rsidRPr="00F21299">
        <w:rPr>
          <w:rFonts w:ascii="Arial" w:eastAsia="Arial" w:hAnsi="Arial" w:cs="Arial"/>
          <w:smallCaps/>
          <w:color w:val="000000"/>
          <w:sz w:val="22"/>
          <w:szCs w:val="22"/>
        </w:rPr>
        <w:t xml:space="preserve">, E., </w:t>
      </w:r>
      <w:proofErr w:type="spellStart"/>
      <w:r w:rsidRPr="00F21299">
        <w:rPr>
          <w:rFonts w:ascii="Arial" w:eastAsia="Arial" w:hAnsi="Arial" w:cs="Arial"/>
          <w:smallCaps/>
          <w:color w:val="000000"/>
          <w:sz w:val="22"/>
          <w:szCs w:val="22"/>
        </w:rPr>
        <w:t>Maignien</w:t>
      </w:r>
      <w:proofErr w:type="spellEnd"/>
      <w:r w:rsidRPr="00F21299">
        <w:rPr>
          <w:rFonts w:ascii="Arial" w:eastAsia="Arial" w:hAnsi="Arial" w:cs="Arial"/>
          <w:smallCaps/>
          <w:color w:val="000000"/>
          <w:sz w:val="22"/>
          <w:szCs w:val="22"/>
        </w:rPr>
        <w:t xml:space="preserve">, T., </w:t>
      </w:r>
      <w:proofErr w:type="spellStart"/>
      <w:r w:rsidRPr="00F21299">
        <w:rPr>
          <w:rFonts w:ascii="Arial" w:eastAsia="Arial" w:hAnsi="Arial" w:cs="Arial"/>
          <w:smallCaps/>
          <w:color w:val="000000"/>
          <w:sz w:val="22"/>
          <w:szCs w:val="22"/>
        </w:rPr>
        <w:t>Arnich</w:t>
      </w:r>
      <w:proofErr w:type="spellEnd"/>
      <w:r w:rsidRPr="00F21299">
        <w:rPr>
          <w:rFonts w:ascii="Arial" w:eastAsia="Arial" w:hAnsi="Arial" w:cs="Arial"/>
          <w:smallCaps/>
          <w:color w:val="000000"/>
          <w:sz w:val="22"/>
          <w:szCs w:val="22"/>
        </w:rPr>
        <w:t>, N., Sanaa, M., &amp; Federighi, M. (2021). Environmental monitoring program to support microbiological food safety and quality in food industries: a review of research scope and guidelines. Journal of Food Safety and Microbiology, 130, 100789.</w:t>
      </w:r>
    </w:p>
    <w:p w14:paraId="59B0A0FE"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681D065D"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6. Nguyen, T. H., </w:t>
      </w:r>
      <w:proofErr w:type="spellStart"/>
      <w:r w:rsidRPr="00F21299">
        <w:rPr>
          <w:rFonts w:ascii="Arial" w:eastAsia="Arial" w:hAnsi="Arial" w:cs="Arial"/>
          <w:smallCaps/>
          <w:color w:val="000000"/>
          <w:sz w:val="22"/>
          <w:szCs w:val="22"/>
        </w:rPr>
        <w:t>Dorny</w:t>
      </w:r>
      <w:proofErr w:type="spellEnd"/>
      <w:r w:rsidRPr="00F21299">
        <w:rPr>
          <w:rFonts w:ascii="Arial" w:eastAsia="Arial" w:hAnsi="Arial" w:cs="Arial"/>
          <w:smallCaps/>
          <w:color w:val="000000"/>
          <w:sz w:val="22"/>
          <w:szCs w:val="22"/>
        </w:rPr>
        <w:t xml:space="preserve">, P., Nguyen, T. T. G., &amp; </w:t>
      </w:r>
      <w:proofErr w:type="spellStart"/>
      <w:r w:rsidRPr="00F21299">
        <w:rPr>
          <w:rFonts w:ascii="Arial" w:eastAsia="Arial" w:hAnsi="Arial" w:cs="Arial"/>
          <w:smallCaps/>
          <w:color w:val="000000"/>
          <w:sz w:val="22"/>
          <w:szCs w:val="22"/>
        </w:rPr>
        <w:t>Dermaauw</w:t>
      </w:r>
      <w:proofErr w:type="spellEnd"/>
      <w:r w:rsidRPr="00F21299">
        <w:rPr>
          <w:rFonts w:ascii="Arial" w:eastAsia="Arial" w:hAnsi="Arial" w:cs="Arial"/>
          <w:smallCaps/>
          <w:color w:val="000000"/>
          <w:sz w:val="22"/>
          <w:szCs w:val="22"/>
        </w:rPr>
        <w:t>, V. (2021). Helminth infections in fish in Vietnam: a systematic review. International Journal of Parasitology: Parasites and Wildlife, 13–32, 100456.</w:t>
      </w:r>
    </w:p>
    <w:p w14:paraId="3C8A12AC"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17FB381D"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7. Tinkler, H. S. (2020). Preventative chemotherapy and anthelmintic resistance of soil-transmitted helminths – Can we learn nothing from veterinary medicine? One Health, 9, 100567.</w:t>
      </w:r>
    </w:p>
    <w:p w14:paraId="1BA46C08"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0DD12AED"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8. Trevisan, C., Torgerson, P. R., &amp; Robertson, L. J. (2019). Foodborne parasites in Europe: current situation and future trends. Trends in Parasitology, 35(9), 695–710.</w:t>
      </w:r>
    </w:p>
    <w:p w14:paraId="2C688C88"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41E40D5B"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9. Che-Kamaruddin, N., et al. (2024). Prevalence and risk factors of fasciolosis in a cattle population on farms in Taiping, Malaysia. Veterinary Parasitology: Regional Studies and Reports, 49, 100998.</w:t>
      </w:r>
    </w:p>
    <w:p w14:paraId="64E12EA1"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2DC6B6C6"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10. Foster, T., et al. (2021). Modeling </w:t>
      </w:r>
      <w:proofErr w:type="spellStart"/>
      <w:r w:rsidRPr="00F21299">
        <w:rPr>
          <w:rFonts w:ascii="Arial" w:eastAsia="Arial" w:hAnsi="Arial" w:cs="Arial"/>
          <w:smallCaps/>
          <w:color w:val="000000"/>
          <w:sz w:val="22"/>
          <w:szCs w:val="22"/>
        </w:rPr>
        <w:t>faecal</w:t>
      </w:r>
      <w:proofErr w:type="spellEnd"/>
      <w:r w:rsidRPr="00F21299">
        <w:rPr>
          <w:rFonts w:ascii="Arial" w:eastAsia="Arial" w:hAnsi="Arial" w:cs="Arial"/>
          <w:smallCaps/>
          <w:color w:val="000000"/>
          <w:sz w:val="22"/>
          <w:szCs w:val="22"/>
        </w:rPr>
        <w:t xml:space="preserve"> pathogen flows and health risks in urban Bangladesh: Implications for sanitation decision-making. International Journal of Hygiene and Environmental Health, 233, 113669.</w:t>
      </w:r>
    </w:p>
    <w:p w14:paraId="3B5E8D11"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3556956D"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11. </w:t>
      </w:r>
      <w:proofErr w:type="spellStart"/>
      <w:r w:rsidRPr="00F21299">
        <w:rPr>
          <w:rFonts w:ascii="Arial" w:eastAsia="Arial" w:hAnsi="Arial" w:cs="Arial"/>
          <w:smallCaps/>
          <w:color w:val="000000"/>
          <w:sz w:val="22"/>
          <w:szCs w:val="22"/>
        </w:rPr>
        <w:t>Lappan</w:t>
      </w:r>
      <w:proofErr w:type="spellEnd"/>
      <w:r w:rsidRPr="00F21299">
        <w:rPr>
          <w:rFonts w:ascii="Arial" w:eastAsia="Arial" w:hAnsi="Arial" w:cs="Arial"/>
          <w:smallCaps/>
          <w:color w:val="000000"/>
          <w:sz w:val="22"/>
          <w:szCs w:val="22"/>
        </w:rPr>
        <w:t>, R., et al. (2021). Monitoring diverse enteric pathogens in environmental and host reservoirs with TaqMan array cards and standard qPCR: a methodological comparison study. The Lancet Planetary Health, 5, e297–e308.</w:t>
      </w:r>
    </w:p>
    <w:p w14:paraId="55AF3EAD"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3F046903"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12. Mahdavi, F., et al. (2024). Design and evaluation of loop-mediated isothermal amplification for rapid detection of </w:t>
      </w:r>
      <w:proofErr w:type="spellStart"/>
      <w:r w:rsidRPr="00F21299">
        <w:rPr>
          <w:rFonts w:ascii="Arial" w:eastAsia="Arial" w:hAnsi="Arial" w:cs="Arial"/>
          <w:smallCaps/>
          <w:color w:val="000000"/>
          <w:sz w:val="22"/>
          <w:szCs w:val="22"/>
        </w:rPr>
        <w:t>Enterocytozoon</w:t>
      </w:r>
      <w:proofErr w:type="spellEnd"/>
      <w:r w:rsidRPr="00F21299">
        <w:rPr>
          <w:rFonts w:ascii="Arial" w:eastAsia="Arial" w:hAnsi="Arial" w:cs="Arial"/>
          <w:smallCaps/>
          <w:color w:val="000000"/>
          <w:sz w:val="22"/>
          <w:szCs w:val="22"/>
        </w:rPr>
        <w:t xml:space="preserve"> </w:t>
      </w:r>
      <w:proofErr w:type="spellStart"/>
      <w:r w:rsidRPr="00F21299">
        <w:rPr>
          <w:rFonts w:ascii="Arial" w:eastAsia="Arial" w:hAnsi="Arial" w:cs="Arial"/>
          <w:smallCaps/>
          <w:color w:val="000000"/>
          <w:sz w:val="22"/>
          <w:szCs w:val="22"/>
        </w:rPr>
        <w:t>bieneusi</w:t>
      </w:r>
      <w:proofErr w:type="spellEnd"/>
      <w:r w:rsidRPr="00F21299">
        <w:rPr>
          <w:rFonts w:ascii="Arial" w:eastAsia="Arial" w:hAnsi="Arial" w:cs="Arial"/>
          <w:smallCaps/>
          <w:color w:val="000000"/>
          <w:sz w:val="22"/>
          <w:szCs w:val="22"/>
        </w:rPr>
        <w:t>. Food and Waterborne Parasitology, 35, e00225.</w:t>
      </w:r>
    </w:p>
    <w:p w14:paraId="273D5CBA"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781B0DBB"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13. Mationg, M. L. S., et al. (2022). “The Magic Glasses Philippines”: a randomized controlled cluster of a health education package for the prevention of intestinal worm infections in school-aged children. The Lancet Regional Health - Western Pacific, 18, 100312.</w:t>
      </w:r>
    </w:p>
    <w:p w14:paraId="40EAA7AF"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052FBC05"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14. McIntyre, K. M., et al. (2024). Understanding the interests of academics from diverse disciplines to identify prospective focus for a UK-based transdisciplinary network involving farm-to-fork </w:t>
      </w:r>
      <w:r w:rsidRPr="00F21299">
        <w:rPr>
          <w:rFonts w:ascii="Arial" w:eastAsia="Arial" w:hAnsi="Arial" w:cs="Arial"/>
          <w:smallCaps/>
          <w:color w:val="000000"/>
          <w:sz w:val="22"/>
          <w:szCs w:val="22"/>
        </w:rPr>
        <w:lastRenderedPageBreak/>
        <w:t xml:space="preserve">stakeholders on antimicrobial resistance in agricultural systems: An online survey. Uma </w:t>
      </w:r>
      <w:proofErr w:type="spellStart"/>
      <w:r w:rsidRPr="00F21299">
        <w:rPr>
          <w:rFonts w:ascii="Arial" w:eastAsia="Arial" w:hAnsi="Arial" w:cs="Arial"/>
          <w:smallCaps/>
          <w:color w:val="000000"/>
          <w:sz w:val="22"/>
          <w:szCs w:val="22"/>
        </w:rPr>
        <w:t>Saúde</w:t>
      </w:r>
      <w:proofErr w:type="spellEnd"/>
      <w:r w:rsidRPr="00F21299">
        <w:rPr>
          <w:rFonts w:ascii="Arial" w:eastAsia="Arial" w:hAnsi="Arial" w:cs="Arial"/>
          <w:smallCaps/>
          <w:color w:val="000000"/>
          <w:sz w:val="22"/>
          <w:szCs w:val="22"/>
        </w:rPr>
        <w:t>, 19, 100884.</w:t>
      </w:r>
    </w:p>
    <w:p w14:paraId="134CBE52"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022E139A"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15. </w:t>
      </w:r>
      <w:proofErr w:type="spellStart"/>
      <w:r w:rsidRPr="00F21299">
        <w:rPr>
          <w:rFonts w:ascii="Arial" w:eastAsia="Arial" w:hAnsi="Arial" w:cs="Arial"/>
          <w:smallCaps/>
          <w:color w:val="000000"/>
          <w:sz w:val="22"/>
          <w:szCs w:val="22"/>
        </w:rPr>
        <w:t>Mukutmoni</w:t>
      </w:r>
      <w:proofErr w:type="spellEnd"/>
      <w:r w:rsidRPr="00F21299">
        <w:rPr>
          <w:rFonts w:ascii="Arial" w:eastAsia="Arial" w:hAnsi="Arial" w:cs="Arial"/>
          <w:smallCaps/>
          <w:color w:val="000000"/>
          <w:sz w:val="22"/>
          <w:szCs w:val="22"/>
        </w:rPr>
        <w:t>, M., et al. (2023). Perceptions and practices of urban slum-dwelling women concerning soil-transmitted helminths infections in Bangladesh: A cross-sectional study. Epidemiology and Parasite Control, 21, e00291.</w:t>
      </w:r>
    </w:p>
    <w:p w14:paraId="3CB2BD2F"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30107D6F"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16. </w:t>
      </w:r>
      <w:proofErr w:type="spellStart"/>
      <w:r w:rsidRPr="00F21299">
        <w:rPr>
          <w:rFonts w:ascii="Arial" w:eastAsia="Arial" w:hAnsi="Arial" w:cs="Arial"/>
          <w:smallCaps/>
          <w:color w:val="000000"/>
          <w:sz w:val="22"/>
          <w:szCs w:val="22"/>
        </w:rPr>
        <w:t>Pawestri</w:t>
      </w:r>
      <w:proofErr w:type="spellEnd"/>
      <w:r w:rsidRPr="00F21299">
        <w:rPr>
          <w:rFonts w:ascii="Arial" w:eastAsia="Arial" w:hAnsi="Arial" w:cs="Arial"/>
          <w:smallCaps/>
          <w:color w:val="000000"/>
          <w:sz w:val="22"/>
          <w:szCs w:val="22"/>
        </w:rPr>
        <w:t>, A. R., et al. (2021). Seasonal prevalence, risk factors, and One Health intervention for prevention of intestinal parasitic infection in underprivileged communities on the Thai-Myanmar border. International Journal of Infectious Diseases, 105, 152–160.</w:t>
      </w:r>
    </w:p>
    <w:p w14:paraId="03A8CF23" w14:textId="77777777" w:rsidR="00F21299" w:rsidRPr="00F21299" w:rsidRDefault="00F21299" w:rsidP="00F21299">
      <w:pPr>
        <w:keepNext/>
        <w:pBdr>
          <w:top w:val="nil"/>
          <w:left w:val="nil"/>
          <w:bottom w:val="nil"/>
          <w:right w:val="nil"/>
          <w:between w:val="nil"/>
        </w:pBdr>
        <w:jc w:val="both"/>
        <w:rPr>
          <w:rFonts w:ascii="Arial" w:eastAsia="Arial" w:hAnsi="Arial" w:cs="Arial"/>
          <w:smallCaps/>
          <w:color w:val="000000"/>
          <w:sz w:val="22"/>
          <w:szCs w:val="22"/>
        </w:rPr>
      </w:pPr>
    </w:p>
    <w:p w14:paraId="1184C980" w14:textId="7E1F33F3" w:rsidR="008326B0" w:rsidRDefault="00F21299" w:rsidP="00F21299">
      <w:pPr>
        <w:keepNext/>
        <w:pBdr>
          <w:top w:val="nil"/>
          <w:left w:val="nil"/>
          <w:bottom w:val="nil"/>
          <w:right w:val="nil"/>
          <w:between w:val="nil"/>
        </w:pBdr>
        <w:jc w:val="both"/>
        <w:rPr>
          <w:rFonts w:ascii="Arial" w:eastAsia="Arial" w:hAnsi="Arial" w:cs="Arial"/>
          <w:smallCaps/>
          <w:color w:val="000000"/>
          <w:sz w:val="22"/>
          <w:szCs w:val="22"/>
        </w:rPr>
      </w:pPr>
      <w:r w:rsidRPr="00F21299">
        <w:rPr>
          <w:rFonts w:ascii="Arial" w:eastAsia="Arial" w:hAnsi="Arial" w:cs="Arial"/>
          <w:smallCaps/>
          <w:color w:val="000000"/>
          <w:sz w:val="22"/>
          <w:szCs w:val="22"/>
        </w:rPr>
        <w:t xml:space="preserve">17. </w:t>
      </w:r>
      <w:proofErr w:type="spellStart"/>
      <w:r w:rsidRPr="00F21299">
        <w:rPr>
          <w:rFonts w:ascii="Arial" w:eastAsia="Arial" w:hAnsi="Arial" w:cs="Arial"/>
          <w:smallCaps/>
          <w:color w:val="000000"/>
          <w:sz w:val="22"/>
          <w:szCs w:val="22"/>
        </w:rPr>
        <w:t>Razafiarimanga</w:t>
      </w:r>
      <w:proofErr w:type="spellEnd"/>
      <w:r w:rsidRPr="00F21299">
        <w:rPr>
          <w:rFonts w:ascii="Arial" w:eastAsia="Arial" w:hAnsi="Arial" w:cs="Arial"/>
          <w:smallCaps/>
          <w:color w:val="000000"/>
          <w:sz w:val="22"/>
          <w:szCs w:val="22"/>
        </w:rPr>
        <w:t>, Z. N., et al. (2022). Risk factors for intestinal parasite harbors in an informal suburb on the west coast of Madagascar. Epidemiology and Parasite Control, 19, e00267.</w:t>
      </w:r>
    </w:p>
    <w:sectPr w:rsidR="008326B0" w:rsidSect="00426D37">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BFCE3" w14:textId="77777777" w:rsidR="000A3B71" w:rsidRDefault="000A3B71">
      <w:r>
        <w:separator/>
      </w:r>
    </w:p>
  </w:endnote>
  <w:endnote w:type="continuationSeparator" w:id="0">
    <w:p w14:paraId="0F44BC91" w14:textId="77777777" w:rsidR="000A3B71" w:rsidRDefault="000A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E5A4BAC6-1584-4EAB-8F37-286EF9990823}"/>
    <w:embedBold r:id="rId2" w:fontKey="{C9BAFD6C-B912-452F-A06F-3CCD57EE037C}"/>
  </w:font>
  <w:font w:name="Helvetica">
    <w:panose1 w:val="020B0604020202020204"/>
    <w:charset w:val="00"/>
    <w:family w:val="swiss"/>
    <w:pitch w:val="variable"/>
    <w:sig w:usb0="E0002EFF" w:usb1="C000785B" w:usb2="00000009" w:usb3="00000000" w:csb0="000001FF" w:csb1="00000000"/>
    <w:embedRegular r:id="rId3" w:fontKey="{0DDB117F-F59E-47E6-892E-D922BEC40EC1}"/>
    <w:embedBold r:id="rId4" w:fontKey="{96AC5B32-002F-427C-9B7A-73B39A8CD646}"/>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5C93A146-B9F9-4822-A9E5-C0C04BCBA29F}"/>
  </w:font>
  <w:font w:name="Tahoma">
    <w:panose1 w:val="020B0604030504040204"/>
    <w:charset w:val="00"/>
    <w:family w:val="swiss"/>
    <w:pitch w:val="variable"/>
    <w:sig w:usb0="E1002EFF" w:usb1="C000605B" w:usb2="00000029" w:usb3="00000000" w:csb0="000101FF" w:csb1="00000000"/>
    <w:embedRegular r:id="rId6" w:fontKey="{37FA31A0-9890-47E9-AA60-B8BBBEAEA3B4}"/>
  </w:font>
  <w:font w:name="Georgia">
    <w:panose1 w:val="02040502050405020303"/>
    <w:charset w:val="00"/>
    <w:family w:val="roman"/>
    <w:pitch w:val="variable"/>
    <w:sig w:usb0="00000287" w:usb1="00000000" w:usb2="00000000" w:usb3="00000000" w:csb0="0000009F" w:csb1="00000000"/>
    <w:embedRegular r:id="rId7" w:fontKey="{DCAB8192-7CA1-48A8-B275-2E3A51985E48}"/>
    <w:embedItalic r:id="rId8" w:fontKey="{795C0C3C-0FAE-49A7-943D-2A6AEF3B06E4}"/>
  </w:font>
  <w:font w:name="Cambria">
    <w:panose1 w:val="02040503050406030204"/>
    <w:charset w:val="00"/>
    <w:family w:val="roman"/>
    <w:pitch w:val="variable"/>
    <w:sig w:usb0="E00006FF" w:usb1="420024FF" w:usb2="02000000" w:usb3="00000000" w:csb0="0000019F" w:csb1="00000000"/>
    <w:embedRegular r:id="rId9" w:fontKey="{FABF28F7-08F2-4258-91C8-48E6A16F2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E3CCE" w14:textId="77777777" w:rsidR="008326B0" w:rsidRDefault="008326B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66179" w14:textId="77777777" w:rsidR="00426D37" w:rsidRDefault="00426D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2CD52" w14:textId="7DEE43AF" w:rsidR="008326B0" w:rsidRPr="000768C1" w:rsidRDefault="008326B0" w:rsidP="000768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2EEDD" w14:textId="77777777" w:rsidR="008326B0" w:rsidRDefault="008326B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DB3E4" w14:textId="77777777" w:rsidR="000A3B71" w:rsidRDefault="000A3B71">
      <w:r>
        <w:separator/>
      </w:r>
    </w:p>
  </w:footnote>
  <w:footnote w:type="continuationSeparator" w:id="0">
    <w:p w14:paraId="1BF6E5E0" w14:textId="77777777" w:rsidR="000A3B71" w:rsidRDefault="000A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918FB" w14:textId="30821B65" w:rsidR="008326B0" w:rsidRDefault="00426D37">
    <w:pPr>
      <w:pBdr>
        <w:top w:val="nil"/>
        <w:left w:val="nil"/>
        <w:bottom w:val="nil"/>
        <w:right w:val="nil"/>
        <w:between w:val="nil"/>
      </w:pBdr>
      <w:tabs>
        <w:tab w:val="center" w:pos="4320"/>
        <w:tab w:val="right" w:pos="8640"/>
      </w:tabs>
      <w:rPr>
        <w:rFonts w:ascii="Helvetica Neue" w:hAnsi="Helvetica Neue"/>
        <w:color w:val="000000"/>
      </w:rPr>
    </w:pPr>
    <w:r>
      <w:rPr>
        <w:noProof/>
      </w:rPr>
      <w:pict w14:anchorId="478AB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188235"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F06F9" w14:textId="1936B800" w:rsidR="008326B0" w:rsidRDefault="00426D37">
    <w:pPr>
      <w:pBdr>
        <w:top w:val="nil"/>
        <w:left w:val="nil"/>
        <w:bottom w:val="nil"/>
        <w:right w:val="nil"/>
        <w:between w:val="nil"/>
      </w:pBdr>
      <w:tabs>
        <w:tab w:val="center" w:pos="4320"/>
        <w:tab w:val="right" w:pos="8640"/>
      </w:tabs>
      <w:rPr>
        <w:rFonts w:ascii="Helvetica Neue" w:hAnsi="Helvetica Neue"/>
        <w:color w:val="000000"/>
      </w:rPr>
    </w:pPr>
    <w:r>
      <w:rPr>
        <w:noProof/>
      </w:rPr>
      <w:pict w14:anchorId="5B02E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188236"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E5522" w14:textId="74CC5F35" w:rsidR="008326B0" w:rsidRDefault="00426D37">
    <w:pPr>
      <w:ind w:left="2160"/>
      <w:jc w:val="center"/>
      <w:rPr>
        <w:rFonts w:ascii="Times New Roman" w:eastAsia="Times New Roman" w:hAnsi="Times New Roman" w:cs="Times New Roman"/>
        <w:i/>
        <w:sz w:val="18"/>
        <w:szCs w:val="18"/>
      </w:rPr>
    </w:pPr>
    <w:r>
      <w:rPr>
        <w:noProof/>
      </w:rPr>
      <w:pict w14:anchorId="68E00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188234"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564D0DF" w14:textId="77777777" w:rsidR="008326B0"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7ADB47B" w14:textId="77777777" w:rsidR="008326B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DF1B8BD" w14:textId="77777777" w:rsidR="008326B0"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D48ED45" w14:textId="77777777" w:rsidR="008326B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1C35C43" w14:textId="77777777" w:rsidR="008326B0"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EB75B44" w14:textId="77777777" w:rsidR="008326B0"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09DF3" w14:textId="358FE3DB" w:rsidR="00426D37" w:rsidRDefault="00426D37">
    <w:pPr>
      <w:pStyle w:val="Header"/>
    </w:pPr>
    <w:r>
      <w:rPr>
        <w:noProof/>
      </w:rPr>
      <w:pict w14:anchorId="4E4484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188238"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902A3" w14:textId="0A3DB14B" w:rsidR="00426D37" w:rsidRDefault="00426D37">
    <w:pPr>
      <w:pStyle w:val="Header"/>
    </w:pPr>
    <w:r>
      <w:rPr>
        <w:noProof/>
      </w:rPr>
      <w:pict w14:anchorId="16D1D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188239"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D8132" w14:textId="2F9E4702" w:rsidR="00426D37" w:rsidRDefault="00426D37">
    <w:pPr>
      <w:pStyle w:val="Header"/>
    </w:pPr>
    <w:r>
      <w:rPr>
        <w:noProof/>
      </w:rPr>
      <w:pict w14:anchorId="37B4D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188237"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F05018"/>
    <w:multiLevelType w:val="multilevel"/>
    <w:tmpl w:val="FB1AE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382AB0"/>
    <w:multiLevelType w:val="multilevel"/>
    <w:tmpl w:val="BB68FE5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5809062">
    <w:abstractNumId w:val="0"/>
  </w:num>
  <w:num w:numId="2" w16cid:durableId="669526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6B0"/>
    <w:rsid w:val="000768C1"/>
    <w:rsid w:val="000A3B71"/>
    <w:rsid w:val="00327504"/>
    <w:rsid w:val="00414EFF"/>
    <w:rsid w:val="00426D37"/>
    <w:rsid w:val="00444887"/>
    <w:rsid w:val="00453598"/>
    <w:rsid w:val="00485502"/>
    <w:rsid w:val="005544EB"/>
    <w:rsid w:val="008326B0"/>
    <w:rsid w:val="00A6760C"/>
    <w:rsid w:val="00B14131"/>
    <w:rsid w:val="00B8244A"/>
    <w:rsid w:val="00DC3141"/>
    <w:rsid w:val="00F21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D1C70"/>
  <w15:docId w15:val="{9104A302-30DA-47E5-8F02-4AD23068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header" Target="header5.xml"/><Relationship Id="rId10"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o2HoDFLTMhf6yObJD6sIHwsow==">CgMxLjAaHwoBMBIaChgICVIUChJ0YWJsZS50eTg0dGxzODk3MGg4AHIhMUxONlMtNEZSVzNxbEVNZ1d4Y0d1S1dHNWxEQWpBdkhR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2623</Words>
  <Characters>14954</Characters>
  <Application>Microsoft Office Word</Application>
  <DocSecurity>0</DocSecurity>
  <Lines>124</Lines>
  <Paragraphs>35</Paragraphs>
  <ScaleCrop>false</ScaleCrop>
  <Company/>
  <LinksUpToDate>false</LinksUpToDate>
  <CharactersWithSpaces>17542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Editor-23</cp:lastModifiedBy>
  <cp:revision>11</cp:revision>
  <dcterms:created xsi:type="dcterms:W3CDTF">2014-10-25T14:34:00Z</dcterms:created>
  <dcterms:modified xsi:type="dcterms:W3CDTF">2024-11-20T12:58:00Z</dcterms:modified>
</cp:coreProperties>
</file>