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1785" w14:textId="77777777" w:rsidR="0037139C" w:rsidRDefault="0037139C" w:rsidP="0037139C">
      <w:pPr>
        <w:pStyle w:val="Author"/>
        <w:jc w:val="both"/>
        <w:rPr>
          <w:rFonts w:ascii="Arial" w:hAnsi="Arial" w:cs="Arial"/>
          <w:bCs/>
          <w:i/>
          <w:iCs/>
          <w:kern w:val="28"/>
          <w:sz w:val="36"/>
          <w:u w:val="single"/>
        </w:rPr>
      </w:pPr>
    </w:p>
    <w:p w14:paraId="5F93E141" w14:textId="0C1C4DC4" w:rsidR="0037139C" w:rsidRPr="0037139C" w:rsidRDefault="0037139C" w:rsidP="0037139C">
      <w:pPr>
        <w:pStyle w:val="Author"/>
        <w:jc w:val="both"/>
        <w:rPr>
          <w:rFonts w:ascii="Arial" w:hAnsi="Arial" w:cs="Arial"/>
          <w:bCs/>
          <w:i/>
          <w:iCs/>
          <w:kern w:val="28"/>
          <w:sz w:val="32"/>
          <w:szCs w:val="18"/>
          <w:u w:val="single"/>
        </w:rPr>
      </w:pPr>
      <w:r w:rsidRPr="0037139C">
        <w:rPr>
          <w:rFonts w:ascii="Arial" w:hAnsi="Arial" w:cs="Arial"/>
          <w:bCs/>
          <w:i/>
          <w:iCs/>
          <w:kern w:val="28"/>
          <w:sz w:val="32"/>
          <w:szCs w:val="18"/>
          <w:u w:val="single"/>
        </w:rPr>
        <w:t>Original Research Article</w:t>
      </w:r>
    </w:p>
    <w:p w14:paraId="6D49EA98" w14:textId="77777777" w:rsidR="0037139C" w:rsidRDefault="0037139C" w:rsidP="001807CD">
      <w:pPr>
        <w:pStyle w:val="Author"/>
        <w:spacing w:line="240" w:lineRule="auto"/>
        <w:jc w:val="both"/>
        <w:rPr>
          <w:rFonts w:ascii="Arial" w:hAnsi="Arial" w:cs="Arial"/>
          <w:bCs/>
          <w:iCs/>
          <w:kern w:val="28"/>
          <w:sz w:val="36"/>
        </w:rPr>
      </w:pPr>
    </w:p>
    <w:p w14:paraId="5B354434" w14:textId="7FC2BFED" w:rsidR="001807CD" w:rsidRDefault="001807CD" w:rsidP="001807CD">
      <w:pPr>
        <w:pStyle w:val="Author"/>
        <w:spacing w:line="240" w:lineRule="auto"/>
        <w:jc w:val="both"/>
        <w:rPr>
          <w:rFonts w:ascii="Arial" w:hAnsi="Arial" w:cs="Arial"/>
          <w:bCs/>
          <w:iCs/>
          <w:kern w:val="28"/>
          <w:sz w:val="36"/>
        </w:rPr>
      </w:pPr>
      <w:r w:rsidRPr="001807CD">
        <w:rPr>
          <w:rFonts w:ascii="Arial" w:hAnsi="Arial" w:cs="Arial"/>
          <w:bCs/>
          <w:iCs/>
          <w:kern w:val="28"/>
          <w:sz w:val="36"/>
        </w:rPr>
        <w:t xml:space="preserve">Awareness and Key Determinants of Climate-Smart Agricultural Technologies Adoption </w:t>
      </w:r>
      <w:r w:rsidR="00F173A1">
        <w:rPr>
          <w:rFonts w:ascii="Arial" w:hAnsi="Arial" w:cs="Arial"/>
          <w:bCs/>
          <w:iCs/>
          <w:kern w:val="28"/>
          <w:sz w:val="36"/>
        </w:rPr>
        <w:t>a</w:t>
      </w:r>
      <w:r w:rsidRPr="001807CD">
        <w:rPr>
          <w:rFonts w:ascii="Arial" w:hAnsi="Arial" w:cs="Arial"/>
          <w:bCs/>
          <w:iCs/>
          <w:kern w:val="28"/>
          <w:sz w:val="36"/>
        </w:rPr>
        <w:t>mong Smallholder Farmers in Telangana</w:t>
      </w:r>
    </w:p>
    <w:p w14:paraId="400DA038" w14:textId="77777777" w:rsidR="001807CD" w:rsidRDefault="001807CD" w:rsidP="001807CD">
      <w:pPr>
        <w:pStyle w:val="Author"/>
        <w:spacing w:line="240" w:lineRule="auto"/>
        <w:jc w:val="both"/>
        <w:rPr>
          <w:rFonts w:ascii="Arial" w:hAnsi="Arial" w:cs="Arial"/>
          <w:bCs/>
          <w:iCs/>
          <w:kern w:val="28"/>
          <w:sz w:val="36"/>
        </w:rPr>
      </w:pPr>
    </w:p>
    <w:p w14:paraId="67FC848B" w14:textId="77777777" w:rsidR="00B53D98" w:rsidRDefault="00B53D98" w:rsidP="007B396F">
      <w:pPr>
        <w:pStyle w:val="Affiliation"/>
        <w:spacing w:after="0" w:line="240" w:lineRule="auto"/>
        <w:rPr>
          <w:rFonts w:ascii="Arial" w:hAnsi="Arial" w:cs="Arial"/>
        </w:rPr>
      </w:pPr>
    </w:p>
    <w:p w14:paraId="10646983" w14:textId="402F0C6D" w:rsidR="0037139C" w:rsidRPr="007B396F" w:rsidRDefault="0037139C" w:rsidP="007B396F">
      <w:pPr>
        <w:pStyle w:val="Affiliation"/>
        <w:spacing w:after="0" w:line="240" w:lineRule="auto"/>
        <w:rPr>
          <w:rFonts w:ascii="Arial" w:hAnsi="Arial" w:cs="Arial"/>
        </w:rPr>
      </w:pPr>
      <w:r>
        <w:rPr>
          <w:rFonts w:ascii="Arial" w:hAnsi="Arial" w:cs="Arial"/>
        </w:rPr>
        <w:t xml:space="preserve"> </w:t>
      </w:r>
    </w:p>
    <w:p w14:paraId="37960C0B" w14:textId="77777777" w:rsidR="00FA2120" w:rsidRDefault="00FA2120" w:rsidP="00252B55">
      <w:pPr>
        <w:pStyle w:val="Affiliation"/>
        <w:spacing w:after="0" w:line="240" w:lineRule="auto"/>
        <w:rPr>
          <w:rFonts w:ascii="Arial" w:hAnsi="Arial" w:cs="Arial"/>
        </w:rPr>
      </w:pPr>
    </w:p>
    <w:p w14:paraId="019925A5" w14:textId="77777777" w:rsidR="002C57D2" w:rsidRPr="00FB3A86" w:rsidRDefault="002C57D2" w:rsidP="00441B6F">
      <w:pPr>
        <w:pStyle w:val="Affiliation"/>
        <w:spacing w:after="0" w:line="240" w:lineRule="auto"/>
        <w:jc w:val="both"/>
        <w:rPr>
          <w:rFonts w:ascii="Arial" w:hAnsi="Arial" w:cs="Arial"/>
        </w:rPr>
      </w:pPr>
    </w:p>
    <w:p w14:paraId="6B45CA2F" w14:textId="77777777" w:rsidR="00B01FCD" w:rsidRPr="00FB3A86" w:rsidRDefault="002E5BD8" w:rsidP="00441B6F">
      <w:pPr>
        <w:pStyle w:val="Copyright"/>
        <w:spacing w:after="0" w:line="240" w:lineRule="auto"/>
        <w:jc w:val="both"/>
        <w:rPr>
          <w:rFonts w:ascii="Arial" w:hAnsi="Arial" w:cs="Arial"/>
        </w:rPr>
        <w:sectPr w:rsidR="00B01FCD" w:rsidRPr="00FB3A86" w:rsidSect="00B53D9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6E105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F6A6376" w14:textId="298F545E" w:rsidR="00B01FCD" w:rsidRDefault="00B01FCD" w:rsidP="00441B6F">
      <w:pPr>
        <w:pStyle w:val="AbstHead"/>
        <w:spacing w:after="0"/>
        <w:jc w:val="both"/>
        <w:rPr>
          <w:rFonts w:ascii="Arial" w:hAnsi="Arial" w:cs="Arial"/>
        </w:rPr>
      </w:pPr>
      <w:r w:rsidRPr="00FB3A86">
        <w:rPr>
          <w:rFonts w:ascii="Arial" w:hAnsi="Arial" w:cs="Arial"/>
        </w:rPr>
        <w:t>ABSTRACT</w:t>
      </w:r>
    </w:p>
    <w:p w14:paraId="5F768AF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6CFE82F" w14:textId="77777777" w:rsidTr="001E44FE">
        <w:tc>
          <w:tcPr>
            <w:tcW w:w="9576" w:type="dxa"/>
            <w:shd w:val="clear" w:color="auto" w:fill="F2F2F2"/>
          </w:tcPr>
          <w:p w14:paraId="039BA09A"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Aims:</w:t>
            </w:r>
            <w:r w:rsidRPr="00755775">
              <w:rPr>
                <w:rFonts w:ascii="Arial" w:eastAsia="Calibri" w:hAnsi="Arial" w:cs="Arial"/>
                <w:b/>
                <w:szCs w:val="22"/>
                <w:lang w:val="en-IN"/>
              </w:rPr>
              <w:t xml:space="preserve"> </w:t>
            </w:r>
            <w:r w:rsidRPr="00755775">
              <w:rPr>
                <w:rFonts w:ascii="Arial" w:eastAsia="Calibri" w:hAnsi="Arial" w:cs="Arial"/>
                <w:bCs/>
                <w:szCs w:val="22"/>
                <w:lang w:val="en-IN"/>
              </w:rPr>
              <w:t>This study aims to assess the awareness of Climate-Smart Agricultural (CSA) technologies among smallholder farmers in Telangana and identify the key determinants influencing their adoption.</w:t>
            </w:r>
          </w:p>
          <w:p w14:paraId="046CDF2F"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Study Design:</w:t>
            </w:r>
            <w:r w:rsidRPr="00755775">
              <w:rPr>
                <w:rFonts w:ascii="Arial" w:eastAsia="Calibri" w:hAnsi="Arial" w:cs="Arial"/>
                <w:b/>
                <w:szCs w:val="22"/>
                <w:lang w:val="en-IN"/>
              </w:rPr>
              <w:t xml:space="preserve"> </w:t>
            </w:r>
            <w:r w:rsidRPr="00755775">
              <w:rPr>
                <w:rFonts w:ascii="Arial" w:eastAsia="Calibri" w:hAnsi="Arial" w:cs="Arial"/>
                <w:bCs/>
                <w:szCs w:val="22"/>
                <w:lang w:val="en-IN"/>
              </w:rPr>
              <w:t>The study utilized primary data collected from farmers, capturing their opinions and awareness regarding climate change and CSA technologies.</w:t>
            </w:r>
          </w:p>
          <w:p w14:paraId="5FBABA21"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Place and Duration of Study:</w:t>
            </w:r>
            <w:r w:rsidRPr="00755775">
              <w:rPr>
                <w:rFonts w:ascii="Arial" w:eastAsia="Calibri" w:hAnsi="Arial" w:cs="Arial"/>
                <w:b/>
                <w:szCs w:val="22"/>
                <w:lang w:val="en-IN"/>
              </w:rPr>
              <w:t xml:space="preserve"> </w:t>
            </w:r>
            <w:r w:rsidRPr="00755775">
              <w:rPr>
                <w:rFonts w:ascii="Arial" w:eastAsia="Calibri" w:hAnsi="Arial" w:cs="Arial"/>
                <w:bCs/>
                <w:szCs w:val="22"/>
                <w:lang w:val="en-IN"/>
              </w:rPr>
              <w:t>The research was conducted in Telangana, India, with data collection taking place during April and May 2024.</w:t>
            </w:r>
          </w:p>
          <w:p w14:paraId="19837CB3"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Methodology:</w:t>
            </w:r>
            <w:r w:rsidRPr="00755775">
              <w:rPr>
                <w:rFonts w:ascii="Arial" w:eastAsia="Calibri" w:hAnsi="Arial" w:cs="Arial"/>
                <w:b/>
                <w:szCs w:val="22"/>
                <w:lang w:val="en-IN"/>
              </w:rPr>
              <w:t xml:space="preserve"> </w:t>
            </w:r>
            <w:r w:rsidRPr="00755775">
              <w:rPr>
                <w:rFonts w:ascii="Arial" w:eastAsia="Calibri" w:hAnsi="Arial" w:cs="Arial"/>
                <w:bCs/>
                <w:szCs w:val="22"/>
                <w:lang w:val="en-IN"/>
              </w:rPr>
              <w:t xml:space="preserve">A total of 440 smallholder farmers, including both men and women, participated in the study. Descriptive statistics, such as mean and percentages, were used to </w:t>
            </w:r>
            <w:proofErr w:type="spellStart"/>
            <w:r w:rsidRPr="00755775">
              <w:rPr>
                <w:rFonts w:ascii="Arial" w:eastAsia="Calibri" w:hAnsi="Arial" w:cs="Arial"/>
                <w:bCs/>
                <w:szCs w:val="22"/>
                <w:lang w:val="en-IN"/>
              </w:rPr>
              <w:t>analyze</w:t>
            </w:r>
            <w:proofErr w:type="spellEnd"/>
            <w:r w:rsidRPr="00755775">
              <w:rPr>
                <w:rFonts w:ascii="Arial" w:eastAsia="Calibri" w:hAnsi="Arial" w:cs="Arial"/>
                <w:bCs/>
                <w:szCs w:val="22"/>
                <w:lang w:val="en-IN"/>
              </w:rPr>
              <w:t xml:space="preserve"> farmers' awareness levels, while logistic regression was applied to identify the major determinants of CSA adoption.</w:t>
            </w:r>
          </w:p>
          <w:p w14:paraId="6453AA67" w14:textId="77777777" w:rsidR="00755775" w:rsidRPr="00755775" w:rsidRDefault="00755775" w:rsidP="00755775">
            <w:pPr>
              <w:pStyle w:val="Body"/>
              <w:spacing w:after="0"/>
              <w:rPr>
                <w:rFonts w:ascii="Arial" w:eastAsia="Calibri" w:hAnsi="Arial" w:cs="Arial"/>
                <w:bCs/>
                <w:szCs w:val="22"/>
                <w:lang w:val="en-IN"/>
              </w:rPr>
            </w:pPr>
            <w:r w:rsidRPr="00755775">
              <w:rPr>
                <w:rFonts w:ascii="Arial" w:eastAsia="Calibri" w:hAnsi="Arial" w:cs="Arial"/>
                <w:b/>
                <w:bCs/>
                <w:szCs w:val="22"/>
                <w:lang w:val="en-IN"/>
              </w:rPr>
              <w:t>Results:</w:t>
            </w:r>
            <w:r w:rsidRPr="00755775">
              <w:rPr>
                <w:rFonts w:ascii="Arial" w:eastAsia="Calibri" w:hAnsi="Arial" w:cs="Arial"/>
                <w:b/>
                <w:szCs w:val="22"/>
                <w:lang w:val="en-IN"/>
              </w:rPr>
              <w:t xml:space="preserve"> </w:t>
            </w:r>
            <w:r w:rsidRPr="00755775">
              <w:rPr>
                <w:rFonts w:ascii="Arial" w:eastAsia="Calibri" w:hAnsi="Arial" w:cs="Arial"/>
                <w:bCs/>
                <w:szCs w:val="22"/>
                <w:lang w:val="en-IN"/>
              </w:rPr>
              <w:t>The findings indicate that farmers in the study area have low to moderate awareness of climate change and CSA technologies. The key factors influencing CSA adoption include knowledge of CSA, access to climate change information, and engagement with agricultural extension services.</w:t>
            </w:r>
          </w:p>
          <w:p w14:paraId="5CD58804" w14:textId="2365F358" w:rsidR="00505F06" w:rsidRPr="00755775" w:rsidRDefault="00755775" w:rsidP="00441B6F">
            <w:pPr>
              <w:pStyle w:val="Body"/>
              <w:spacing w:after="0"/>
              <w:rPr>
                <w:rFonts w:ascii="Arial" w:eastAsia="Calibri" w:hAnsi="Arial" w:cs="Arial"/>
                <w:b/>
                <w:szCs w:val="22"/>
                <w:lang w:val="en-IN"/>
              </w:rPr>
            </w:pPr>
            <w:r w:rsidRPr="00755775">
              <w:rPr>
                <w:rFonts w:ascii="Arial" w:eastAsia="Calibri" w:hAnsi="Arial" w:cs="Arial"/>
                <w:b/>
                <w:bCs/>
                <w:szCs w:val="22"/>
                <w:lang w:val="en-IN"/>
              </w:rPr>
              <w:t>Conclusion:</w:t>
            </w:r>
            <w:r w:rsidRPr="00755775">
              <w:rPr>
                <w:rFonts w:ascii="Arial" w:eastAsia="Calibri" w:hAnsi="Arial" w:cs="Arial"/>
                <w:b/>
                <w:szCs w:val="22"/>
                <w:lang w:val="en-IN"/>
              </w:rPr>
              <w:t xml:space="preserve"> </w:t>
            </w:r>
            <w:r w:rsidRPr="00755775">
              <w:rPr>
                <w:rFonts w:ascii="Arial" w:eastAsia="Calibri" w:hAnsi="Arial" w:cs="Arial"/>
                <w:bCs/>
                <w:szCs w:val="22"/>
                <w:lang w:val="en-IN"/>
              </w:rPr>
              <w:t>Given the low awareness levels of CSA among farmers, it is essential to enhance awareness through targeted initiatives and strengthen agricultural extension services to improve adoption rates.</w:t>
            </w:r>
          </w:p>
        </w:tc>
      </w:tr>
    </w:tbl>
    <w:p w14:paraId="710B07AC" w14:textId="77777777" w:rsidR="00636EB2" w:rsidRDefault="00636EB2" w:rsidP="00441B6F">
      <w:pPr>
        <w:pStyle w:val="Body"/>
        <w:spacing w:after="0"/>
        <w:rPr>
          <w:rFonts w:ascii="Arial" w:hAnsi="Arial" w:cs="Arial"/>
          <w:i/>
        </w:rPr>
      </w:pPr>
    </w:p>
    <w:p w14:paraId="4F323EF4" w14:textId="3281ECC4" w:rsidR="00A24E7E" w:rsidRDefault="00A24E7E" w:rsidP="00441B6F">
      <w:pPr>
        <w:pStyle w:val="Body"/>
        <w:spacing w:after="0"/>
        <w:rPr>
          <w:rFonts w:ascii="Arial" w:hAnsi="Arial" w:cs="Arial"/>
          <w:i/>
        </w:rPr>
      </w:pPr>
      <w:r>
        <w:rPr>
          <w:rFonts w:ascii="Arial" w:hAnsi="Arial" w:cs="Arial"/>
          <w:i/>
        </w:rPr>
        <w:t xml:space="preserve">Keywords: </w:t>
      </w:r>
      <w:r w:rsidR="00FA2120">
        <w:rPr>
          <w:rFonts w:ascii="Arial" w:hAnsi="Arial" w:cs="Arial"/>
          <w:i/>
        </w:rPr>
        <w:t xml:space="preserve">Climate Smart Agriculture, </w:t>
      </w:r>
      <w:r w:rsidR="006B1118">
        <w:rPr>
          <w:rFonts w:ascii="Arial" w:hAnsi="Arial" w:cs="Arial"/>
          <w:i/>
        </w:rPr>
        <w:t>Awareness, Smallholders, Telangana</w:t>
      </w:r>
    </w:p>
    <w:p w14:paraId="480A6DDD" w14:textId="77777777" w:rsidR="004404A5" w:rsidRDefault="004404A5" w:rsidP="00441B6F">
      <w:pPr>
        <w:pStyle w:val="Body"/>
        <w:spacing w:after="0"/>
        <w:rPr>
          <w:rFonts w:ascii="Arial" w:hAnsi="Arial" w:cs="Arial"/>
          <w:i/>
        </w:rPr>
      </w:pPr>
    </w:p>
    <w:p w14:paraId="7298E600" w14:textId="30A7D6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BC87FB" w14:textId="77777777" w:rsidR="00790ADA" w:rsidRPr="00FB3A86" w:rsidRDefault="00790ADA" w:rsidP="00441B6F">
      <w:pPr>
        <w:pStyle w:val="AbstHead"/>
        <w:spacing w:after="0"/>
        <w:jc w:val="both"/>
        <w:rPr>
          <w:rFonts w:ascii="Arial" w:hAnsi="Arial" w:cs="Arial"/>
        </w:rPr>
      </w:pPr>
    </w:p>
    <w:p w14:paraId="6E301C3A" w14:textId="185D0471" w:rsidR="00C01A0A" w:rsidRPr="00C01A0A" w:rsidRDefault="00C01A0A" w:rsidP="00C01A0A">
      <w:pPr>
        <w:pStyle w:val="Body"/>
        <w:ind w:firstLine="720"/>
        <w:rPr>
          <w:rFonts w:ascii="Arial" w:hAnsi="Arial" w:cs="Arial"/>
        </w:rPr>
      </w:pPr>
      <w:r w:rsidRPr="00C01A0A">
        <w:rPr>
          <w:rFonts w:ascii="Arial" w:hAnsi="Arial" w:cs="Arial"/>
        </w:rPr>
        <w:t xml:space="preserve">Agriculture is one of the major </w:t>
      </w:r>
      <w:r w:rsidR="00B81418" w:rsidRPr="00C01A0A">
        <w:rPr>
          <w:rFonts w:ascii="Arial" w:hAnsi="Arial" w:cs="Arial"/>
        </w:rPr>
        <w:t>reasons</w:t>
      </w:r>
      <w:r w:rsidRPr="00C01A0A">
        <w:rPr>
          <w:rFonts w:ascii="Arial" w:hAnsi="Arial" w:cs="Arial"/>
        </w:rPr>
        <w:t xml:space="preserve"> for climate change, globally it generates 19–29 per cent of total greenhouse gas (GHG) emissions especially the non-Carbon dioxide (CO</w:t>
      </w:r>
      <w:r w:rsidRPr="00B81418">
        <w:rPr>
          <w:rFonts w:ascii="Arial" w:hAnsi="Arial" w:cs="Arial"/>
          <w:vertAlign w:val="subscript"/>
        </w:rPr>
        <w:t>2</w:t>
      </w:r>
      <w:r w:rsidRPr="00C01A0A">
        <w:rPr>
          <w:rFonts w:ascii="Arial" w:hAnsi="Arial" w:cs="Arial"/>
        </w:rPr>
        <w:t>) gases methane (CH</w:t>
      </w:r>
      <w:r w:rsidRPr="00B81418">
        <w:rPr>
          <w:rFonts w:ascii="Arial" w:hAnsi="Arial" w:cs="Arial"/>
          <w:vertAlign w:val="subscript"/>
        </w:rPr>
        <w:t>4</w:t>
      </w:r>
      <w:r w:rsidRPr="00C01A0A">
        <w:rPr>
          <w:rFonts w:ascii="Arial" w:hAnsi="Arial" w:cs="Arial"/>
        </w:rPr>
        <w:t>) and nitrous oxide (N</w:t>
      </w:r>
      <w:r w:rsidRPr="00757ED2">
        <w:rPr>
          <w:rFonts w:ascii="Arial" w:hAnsi="Arial" w:cs="Arial"/>
          <w:vertAlign w:val="subscript"/>
        </w:rPr>
        <w:t>2</w:t>
      </w:r>
      <w:r w:rsidRPr="00C01A0A">
        <w:rPr>
          <w:rFonts w:ascii="Arial" w:hAnsi="Arial" w:cs="Arial"/>
        </w:rPr>
        <w:t>O) comprise a uniquely large share (Lynch et al., 2021, World Bank, 2021). While the Indian agriculture is also adversely impacted by the vicissitudes of climate change, in India the agriculture sector contributes 14 per cent of the total GHG emissions. Within the sector, 54.6 per cent of GHG emissions were due to enteric fermentation, followed by fertilizer application (19.1 %), rice cultivation (17.5%), manure management (6.7%), and residues burning (2.2%). (UNFCCC, 2021).</w:t>
      </w:r>
    </w:p>
    <w:p w14:paraId="46B7C392" w14:textId="77777777" w:rsidR="00C01A0A" w:rsidRPr="00C01A0A" w:rsidRDefault="00C01A0A" w:rsidP="0085163C">
      <w:pPr>
        <w:pStyle w:val="Body"/>
        <w:ind w:firstLine="720"/>
        <w:rPr>
          <w:rFonts w:ascii="Arial" w:hAnsi="Arial" w:cs="Arial"/>
        </w:rPr>
      </w:pPr>
      <w:r w:rsidRPr="00C01A0A">
        <w:rPr>
          <w:rFonts w:ascii="Arial" w:hAnsi="Arial" w:cs="Arial"/>
        </w:rPr>
        <w:t xml:space="preserve">Under such circumstances, there is a need for adoption of sustainable farm practices to overcome the issues. Food Agricultural Organization (FAO) has launched the </w:t>
      </w:r>
      <w:r w:rsidRPr="00C01A0A">
        <w:rPr>
          <w:rFonts w:ascii="Arial" w:hAnsi="Arial" w:cs="Arial"/>
        </w:rPr>
        <w:lastRenderedPageBreak/>
        <w:t>concept of Climate Smart Agriculture (CSA) as an approach to guide the management of agriculture in the era of climate change during 2009, and since then has been reshaped through inputs and interactions of multiple stakeholders involved in developing and implementing the concept. The Indian Council of Agricultural Research (ICAR), Consultative Group on International Agricultural Research (CGIAR) system and various other state level institutes etc., have developed CSA technologies and approaches to assist the Indian agricultural sector to be less vulnerable to the adverse impacts of climate change (Khatri-Chhetri et al, 2017).</w:t>
      </w:r>
    </w:p>
    <w:p w14:paraId="12D6A477" w14:textId="77777777" w:rsidR="00C01A0A" w:rsidRPr="00C01A0A" w:rsidRDefault="00C01A0A" w:rsidP="00E06E16">
      <w:pPr>
        <w:pStyle w:val="Body"/>
        <w:ind w:firstLine="720"/>
        <w:rPr>
          <w:rFonts w:ascii="Arial" w:hAnsi="Arial" w:cs="Arial"/>
        </w:rPr>
      </w:pPr>
      <w:r w:rsidRPr="00C01A0A">
        <w:rPr>
          <w:rFonts w:ascii="Arial" w:hAnsi="Arial" w:cs="Arial"/>
        </w:rPr>
        <w:t>CSA technologies help cope up with climate change impact on agriculture by achieving goals of adaptation, mitigation and resilience. These technologies vary with location and hence, identification of area specific technologies for resilient farming is a necessity as well as a challenge. Integrated learnings through policy dialogues, stakeholder consultations, training and capacity development have potential to promote local, need based, incremental and transformative adaptation options and for expanding resilient agriculture (ICAR, IWMI and CCAFS, 2020).</w:t>
      </w:r>
    </w:p>
    <w:p w14:paraId="6E1BE96A" w14:textId="2E790CC2" w:rsidR="00790ADA" w:rsidRDefault="00C01A0A" w:rsidP="0085163C">
      <w:pPr>
        <w:pStyle w:val="Body"/>
        <w:spacing w:after="0"/>
        <w:ind w:firstLine="720"/>
        <w:rPr>
          <w:rFonts w:ascii="Arial" w:hAnsi="Arial" w:cs="Arial"/>
        </w:rPr>
      </w:pPr>
      <w:r w:rsidRPr="00C01A0A">
        <w:rPr>
          <w:rFonts w:ascii="Arial" w:hAnsi="Arial" w:cs="Arial"/>
        </w:rPr>
        <w:t>India is one of the vulnerable countries to climate change in the world, vulnerability is the degree to which a system is unable to cope with the adverse effects of climate change (IPCC, 2001). The vulnerability Index range of Indian states is 0.42 to 0.67 (IIT Mandi &amp; IIT Guwahati, 2020), that means all most all the states of the country are vulnerable to climate change. The Telangana state’s vulnerability index is 0.48 which comes under Semi-arid region.  The state is purposively selected for the study because of the causes of GHGs increasing in the state, such as Paddy crop acreage has been increased from 19.78 million hectares (</w:t>
      </w:r>
      <w:proofErr w:type="spellStart"/>
      <w:r w:rsidRPr="00C01A0A">
        <w:rPr>
          <w:rFonts w:ascii="Arial" w:hAnsi="Arial" w:cs="Arial"/>
        </w:rPr>
        <w:t>Mha</w:t>
      </w:r>
      <w:proofErr w:type="spellEnd"/>
      <w:r w:rsidRPr="00C01A0A">
        <w:rPr>
          <w:rFonts w:ascii="Arial" w:hAnsi="Arial" w:cs="Arial"/>
        </w:rPr>
        <w:t xml:space="preserve">) (2010-11) to 31.86 </w:t>
      </w:r>
      <w:proofErr w:type="spellStart"/>
      <w:r w:rsidRPr="00C01A0A">
        <w:rPr>
          <w:rFonts w:ascii="Arial" w:hAnsi="Arial" w:cs="Arial"/>
        </w:rPr>
        <w:t>Mha</w:t>
      </w:r>
      <w:proofErr w:type="spellEnd"/>
      <w:r w:rsidRPr="00C01A0A">
        <w:rPr>
          <w:rFonts w:ascii="Arial" w:hAnsi="Arial" w:cs="Arial"/>
        </w:rPr>
        <w:t xml:space="preserve"> (2020-21) with the highest growth rate (5.82 %) among all the states of the country. </w:t>
      </w:r>
      <w:r w:rsidR="00160B35" w:rsidRPr="00160B35">
        <w:rPr>
          <w:rFonts w:ascii="Arial" w:hAnsi="Arial" w:cs="Arial"/>
        </w:rPr>
        <w:t>The livestock population has increased from 26.7 million in 2012 to 32.6 million in 2019, reflecting a growth rate of 22.21%, making it the second-highest state after West Bengal (23.32%). Additionally, the state has the highest average fertilizer usage in the country, at 233 kg/ha (DES, 2023). However, there is a lack of knowledge among farmers regarding climate change issues and the adoption of CSA technologies (</w:t>
      </w:r>
      <w:proofErr w:type="spellStart"/>
      <w:r w:rsidR="00160B35" w:rsidRPr="00160B35">
        <w:rPr>
          <w:rFonts w:ascii="Arial" w:hAnsi="Arial" w:cs="Arial"/>
        </w:rPr>
        <w:t>Acharitha</w:t>
      </w:r>
      <w:proofErr w:type="spellEnd"/>
      <w:r w:rsidR="00160B35" w:rsidRPr="00160B35">
        <w:rPr>
          <w:rFonts w:ascii="Arial" w:hAnsi="Arial" w:cs="Arial"/>
        </w:rPr>
        <w:t xml:space="preserve"> et al., 2022; Yuvaraj et al., 2022), and very few studies have addressed this issue</w:t>
      </w:r>
      <w:r w:rsidR="00E312D1">
        <w:rPr>
          <w:rFonts w:ascii="Arial" w:hAnsi="Arial" w:cs="Arial"/>
        </w:rPr>
        <w:t>.</w:t>
      </w:r>
      <w:r w:rsidR="00C76ECB">
        <w:rPr>
          <w:rFonts w:ascii="Arial" w:hAnsi="Arial" w:cs="Arial"/>
        </w:rPr>
        <w:t xml:space="preserve"> In the scenario, t</w:t>
      </w:r>
      <w:r w:rsidRPr="00C01A0A">
        <w:rPr>
          <w:rFonts w:ascii="Arial" w:hAnsi="Arial" w:cs="Arial"/>
        </w:rPr>
        <w:t xml:space="preserve">he present study aimed at to </w:t>
      </w:r>
      <w:r w:rsidR="00C76ECB" w:rsidRPr="00C01A0A">
        <w:rPr>
          <w:rFonts w:ascii="Arial" w:hAnsi="Arial" w:cs="Arial"/>
        </w:rPr>
        <w:t>analyze</w:t>
      </w:r>
      <w:r w:rsidRPr="00C01A0A">
        <w:rPr>
          <w:rFonts w:ascii="Arial" w:hAnsi="Arial" w:cs="Arial"/>
        </w:rPr>
        <w:t xml:space="preserve"> the awareness and determinants of CSA technologies in the study area.</w:t>
      </w:r>
    </w:p>
    <w:p w14:paraId="722E512B" w14:textId="77777777" w:rsidR="00C01A0A" w:rsidRPr="00FB3A86" w:rsidRDefault="00C01A0A" w:rsidP="00C01A0A">
      <w:pPr>
        <w:pStyle w:val="Body"/>
        <w:spacing w:after="0"/>
        <w:rPr>
          <w:rFonts w:ascii="Arial" w:hAnsi="Arial" w:cs="Arial"/>
        </w:rPr>
      </w:pPr>
    </w:p>
    <w:p w14:paraId="3FD66A1D" w14:textId="7C85CF5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F13EA61" w14:textId="624D5B05" w:rsidR="00956BD2" w:rsidRPr="00FB3A86" w:rsidRDefault="00956BD2" w:rsidP="00441B6F">
      <w:pPr>
        <w:pStyle w:val="AbstHead"/>
        <w:spacing w:after="0"/>
        <w:jc w:val="both"/>
        <w:rPr>
          <w:rFonts w:ascii="Arial" w:hAnsi="Arial" w:cs="Arial"/>
        </w:rPr>
      </w:pPr>
    </w:p>
    <w:p w14:paraId="4BD84827" w14:textId="39D16D6E" w:rsidR="00956BD2" w:rsidRPr="00551CB9" w:rsidRDefault="00956BD2" w:rsidP="00956BD2">
      <w:pPr>
        <w:pStyle w:val="Body"/>
        <w:jc w:val="left"/>
        <w:rPr>
          <w:rFonts w:ascii="Arial" w:hAnsi="Arial" w:cs="Arial"/>
          <w:b/>
          <w:bCs/>
        </w:rPr>
      </w:pPr>
      <w:r w:rsidRPr="00551CB9">
        <w:rPr>
          <w:rFonts w:ascii="Arial" w:hAnsi="Arial" w:cs="Arial"/>
          <w:b/>
          <w:bCs/>
        </w:rPr>
        <w:t xml:space="preserve">2.1 </w:t>
      </w:r>
      <w:r w:rsidRPr="002E3583">
        <w:rPr>
          <w:rFonts w:ascii="Arial" w:hAnsi="Arial" w:cs="Arial"/>
          <w:b/>
          <w:bCs/>
          <w:sz w:val="22"/>
          <w:szCs w:val="22"/>
        </w:rPr>
        <w:t>Data collection and analysis</w:t>
      </w:r>
    </w:p>
    <w:p w14:paraId="16C55947" w14:textId="4295A8C4" w:rsidR="00B940A6" w:rsidRDefault="002E3583" w:rsidP="00B940A6">
      <w:pPr>
        <w:pStyle w:val="Body"/>
        <w:ind w:firstLine="720"/>
        <w:rPr>
          <w:rFonts w:ascii="Arial" w:hAnsi="Arial" w:cs="Arial"/>
        </w:rPr>
      </w:pPr>
      <w:r>
        <w:rPr>
          <w:rFonts w:ascii="Arial" w:hAnsi="Arial" w:cs="Arial"/>
        </w:rPr>
        <w:t>Data from</w:t>
      </w:r>
      <w:r w:rsidR="00B940A6" w:rsidRPr="00B940A6">
        <w:rPr>
          <w:rFonts w:ascii="Arial" w:hAnsi="Arial" w:cs="Arial"/>
        </w:rPr>
        <w:t xml:space="preserve"> 440 farmers were </w:t>
      </w:r>
      <w:r>
        <w:rPr>
          <w:rFonts w:ascii="Arial" w:hAnsi="Arial" w:cs="Arial"/>
        </w:rPr>
        <w:t>collected</w:t>
      </w:r>
      <w:r w:rsidR="00B940A6" w:rsidRPr="00B940A6">
        <w:rPr>
          <w:rFonts w:ascii="Arial" w:hAnsi="Arial" w:cs="Arial"/>
        </w:rPr>
        <w:t xml:space="preserve"> for the study from four districts of Telangan</w:t>
      </w:r>
      <w:r w:rsidR="007175A4">
        <w:rPr>
          <w:rFonts w:ascii="Arial" w:hAnsi="Arial" w:cs="Arial"/>
        </w:rPr>
        <w:t xml:space="preserve">a which are </w:t>
      </w:r>
      <w:r w:rsidR="00B940A6" w:rsidRPr="00B940A6">
        <w:rPr>
          <w:rFonts w:ascii="Arial" w:hAnsi="Arial" w:cs="Arial"/>
        </w:rPr>
        <w:t>Nagar Kurnool, Mahbubnagar, Nirmal, and Adilaba</w:t>
      </w:r>
      <w:r w:rsidR="00942E89">
        <w:rPr>
          <w:rFonts w:ascii="Arial" w:hAnsi="Arial" w:cs="Arial"/>
        </w:rPr>
        <w:t xml:space="preserve">d, the districts were selected </w:t>
      </w:r>
      <w:r w:rsidR="00B940A6" w:rsidRPr="00B940A6">
        <w:rPr>
          <w:rFonts w:ascii="Arial" w:hAnsi="Arial" w:cs="Arial"/>
        </w:rPr>
        <w:t xml:space="preserve">based on their vulnerability to climate change </w:t>
      </w:r>
      <w:r w:rsidR="00862CEB">
        <w:rPr>
          <w:rFonts w:ascii="Arial" w:hAnsi="Arial" w:cs="Arial"/>
        </w:rPr>
        <w:t>(</w:t>
      </w:r>
      <w:r w:rsidR="00862CEB" w:rsidRPr="00F26108">
        <w:rPr>
          <w:rFonts w:ascii="Arial" w:hAnsi="Arial" w:cs="Arial"/>
        </w:rPr>
        <w:t>EPTR</w:t>
      </w:r>
      <w:r w:rsidR="00862CEB">
        <w:rPr>
          <w:rFonts w:ascii="Arial" w:hAnsi="Arial" w:cs="Arial"/>
        </w:rPr>
        <w:t>I, 2015;</w:t>
      </w:r>
      <w:r w:rsidR="000D14F7">
        <w:rPr>
          <w:rFonts w:ascii="Arial" w:hAnsi="Arial" w:cs="Arial"/>
        </w:rPr>
        <w:t xml:space="preserve"> </w:t>
      </w:r>
      <w:r w:rsidR="00361B42" w:rsidRPr="00F26108">
        <w:rPr>
          <w:rFonts w:ascii="Arial" w:hAnsi="Arial" w:cs="Arial"/>
        </w:rPr>
        <w:t>Kadiyala</w:t>
      </w:r>
      <w:r w:rsidR="00361B42">
        <w:rPr>
          <w:rFonts w:ascii="Arial" w:hAnsi="Arial" w:cs="Arial"/>
        </w:rPr>
        <w:t xml:space="preserve">, 2021; </w:t>
      </w:r>
      <w:r w:rsidR="000D14F7" w:rsidRPr="00F26108">
        <w:rPr>
          <w:rFonts w:ascii="Arial" w:hAnsi="Arial" w:cs="Arial"/>
        </w:rPr>
        <w:t>Ramya Sri</w:t>
      </w:r>
      <w:r w:rsidR="000D14F7">
        <w:rPr>
          <w:rFonts w:ascii="Arial" w:hAnsi="Arial" w:cs="Arial"/>
        </w:rPr>
        <w:t>, 2020</w:t>
      </w:r>
      <w:r w:rsidR="00812BA2">
        <w:rPr>
          <w:rFonts w:ascii="Arial" w:hAnsi="Arial" w:cs="Arial"/>
        </w:rPr>
        <w:t>)</w:t>
      </w:r>
      <w:r w:rsidR="00862CEB">
        <w:rPr>
          <w:rFonts w:ascii="Arial" w:hAnsi="Arial" w:cs="Arial"/>
        </w:rPr>
        <w:t xml:space="preserve"> </w:t>
      </w:r>
      <w:r w:rsidR="00B940A6" w:rsidRPr="00B940A6">
        <w:rPr>
          <w:rFonts w:ascii="Arial" w:hAnsi="Arial" w:cs="Arial"/>
        </w:rPr>
        <w:t>and the presence of interventions from the National Innovations on Climate Resilient Agriculture (NICRA)</w:t>
      </w:r>
      <w:r w:rsidR="00C74A0D">
        <w:rPr>
          <w:rFonts w:ascii="Arial" w:hAnsi="Arial" w:cs="Arial"/>
        </w:rPr>
        <w:t xml:space="preserve"> project of ICAR</w:t>
      </w:r>
      <w:r w:rsidR="00B940A6" w:rsidRPr="00B940A6">
        <w:rPr>
          <w:rFonts w:ascii="Arial" w:hAnsi="Arial" w:cs="Arial"/>
        </w:rPr>
        <w:t>. A structured questionnaire was used to collect data on farmers' awareness of climate change, adoption of CSA technologies, and their interaction with agricultural extension services. Farmers were asked to express their awareness of climate change using a five-point Likert scale, where 1 represented "Strongly disagree," 2 "Agree," 3 "Neutral," 4 "Disagree," and 5 "Strongly agree." Awareness of various CSA technologies was assessed using a binary response format (Yes/No), and information was gathered on the sources of awareness and the frequency of their contact with agricultural extension institutes. Simple statistical measures such as means and percentages were used to summarize the responses.</w:t>
      </w:r>
    </w:p>
    <w:p w14:paraId="1BE4662C" w14:textId="77777777" w:rsidR="00DF4180" w:rsidRPr="00B940A6" w:rsidRDefault="00DF4180" w:rsidP="00B940A6">
      <w:pPr>
        <w:pStyle w:val="Body"/>
        <w:ind w:firstLine="720"/>
        <w:rPr>
          <w:rFonts w:ascii="Arial" w:hAnsi="Arial" w:cs="Arial"/>
        </w:rPr>
      </w:pPr>
    </w:p>
    <w:p w14:paraId="7602F4B3" w14:textId="77777777" w:rsidR="0057649F" w:rsidRPr="00956BD2" w:rsidRDefault="0057649F" w:rsidP="0057649F">
      <w:pPr>
        <w:pStyle w:val="Body"/>
        <w:rPr>
          <w:rFonts w:ascii="Arial" w:hAnsi="Arial" w:cs="Arial"/>
          <w:b/>
          <w:bCs/>
        </w:rPr>
      </w:pPr>
      <w:r>
        <w:rPr>
          <w:rFonts w:ascii="Arial" w:hAnsi="Arial" w:cs="Arial"/>
          <w:b/>
          <w:bCs/>
        </w:rPr>
        <w:lastRenderedPageBreak/>
        <w:t xml:space="preserve">2.2 </w:t>
      </w:r>
      <w:r w:rsidRPr="00956BD2">
        <w:rPr>
          <w:rFonts w:ascii="Arial" w:hAnsi="Arial" w:cs="Arial"/>
          <w:b/>
          <w:bCs/>
        </w:rPr>
        <w:t>Econometric Model Specification</w:t>
      </w:r>
    </w:p>
    <w:p w14:paraId="4A854F87" w14:textId="3205A608" w:rsidR="00B940A6" w:rsidRDefault="00212E4E" w:rsidP="00212E4E">
      <w:pPr>
        <w:pStyle w:val="Body"/>
        <w:ind w:firstLine="720"/>
        <w:rPr>
          <w:rFonts w:ascii="Arial" w:hAnsi="Arial" w:cs="Arial"/>
        </w:rPr>
      </w:pPr>
      <w:r>
        <w:rPr>
          <w:rFonts w:ascii="Arial" w:hAnsi="Arial" w:cs="Arial"/>
        </w:rPr>
        <w:t>T</w:t>
      </w:r>
      <w:r w:rsidRPr="00212E4E">
        <w:rPr>
          <w:rFonts w:ascii="Arial" w:hAnsi="Arial" w:cs="Arial"/>
        </w:rPr>
        <w:t xml:space="preserve">o examine the determinants </w:t>
      </w:r>
      <w:r w:rsidR="000024BC">
        <w:rPr>
          <w:rFonts w:ascii="Arial" w:hAnsi="Arial" w:cs="Arial"/>
        </w:rPr>
        <w:t>of</w:t>
      </w:r>
      <w:r w:rsidRPr="00212E4E">
        <w:rPr>
          <w:rFonts w:ascii="Arial" w:hAnsi="Arial" w:cs="Arial"/>
        </w:rPr>
        <w:t xml:space="preserve"> the adoption of CSA technologies, a binary logistic regression model was utilized, given that CSA adoption is a binary variable (1 for adoption, 0 otherwise). This approach effectively estimates the probability of adoption based on a set of independent variables, encompassing socioeconomic, institutional, and perception-based factors. The analysis provides valuable insights into the key drivers shaping farmers' decisions to adopt CSA technologies.</w:t>
      </w:r>
      <w:r>
        <w:rPr>
          <w:rFonts w:ascii="Arial" w:hAnsi="Arial" w:cs="Arial"/>
        </w:rPr>
        <w:t xml:space="preserve"> </w:t>
      </w:r>
      <w:r>
        <w:rPr>
          <w:rFonts w:ascii="Arial" w:hAnsi="Arial" w:cs="Arial"/>
        </w:rPr>
        <w:tab/>
      </w:r>
      <w:r w:rsidR="00B940A6" w:rsidRPr="00B940A6">
        <w:rPr>
          <w:rFonts w:ascii="Arial" w:hAnsi="Arial" w:cs="Arial"/>
        </w:rPr>
        <w:t>The logistic regression model is specified as follows:</w:t>
      </w:r>
    </w:p>
    <w:p w14:paraId="1D849CBA" w14:textId="77FC5F12" w:rsidR="00FF60D5" w:rsidRDefault="002F2797" w:rsidP="000D2259">
      <w:pPr>
        <w:pStyle w:val="Body"/>
        <w:spacing w:after="0"/>
        <w:ind w:firstLine="720"/>
        <w:rPr>
          <w:rFonts w:ascii="Arial" w:hAnsi="Arial" w:cs="Arial"/>
          <w:vertAlign w:val="subscript"/>
        </w:rPr>
      </w:pPr>
      <w:r w:rsidRPr="00FF60D5">
        <w:rPr>
          <w:rFonts w:ascii="Arial" w:hAnsi="Arial" w:cs="Arial"/>
        </w:rPr>
        <w:t>L</w:t>
      </w:r>
      <w:r w:rsidR="00FF60D5" w:rsidRPr="00FF60D5">
        <w:rPr>
          <w:rFonts w:ascii="Arial" w:hAnsi="Arial" w:cs="Arial"/>
        </w:rPr>
        <w:t>og</w:t>
      </w:r>
      <w:r>
        <w:rPr>
          <w:rFonts w:ascii="Arial" w:hAnsi="Arial" w:cs="Arial"/>
        </w:rPr>
        <w:t xml:space="preserve"> </w:t>
      </w:r>
      <w:r w:rsidR="00FF60D5" w:rsidRPr="00FF60D5">
        <w:rPr>
          <w:rFonts w:ascii="Arial" w:hAnsi="Arial" w:cs="Arial"/>
        </w:rPr>
        <w:t>(P</w:t>
      </w:r>
      <w:r w:rsidR="00FF60D5" w:rsidRPr="00FF60D5">
        <w:rPr>
          <w:rFonts w:ascii="Arial" w:hAnsi="Arial" w:cs="Arial"/>
          <w:vertAlign w:val="subscript"/>
        </w:rPr>
        <w:t>i</w:t>
      </w:r>
      <w:r w:rsidR="00FF60D5" w:rsidRPr="00FF60D5">
        <w:rPr>
          <w:rFonts w:ascii="Arial" w:hAnsi="Arial" w:cs="Arial"/>
        </w:rPr>
        <w:t xml:space="preserve"> / (1 - P</w:t>
      </w:r>
      <w:r w:rsidR="00FF60D5" w:rsidRPr="00FF60D5">
        <w:rPr>
          <w:rFonts w:ascii="Arial" w:hAnsi="Arial" w:cs="Arial"/>
          <w:vertAlign w:val="subscript"/>
        </w:rPr>
        <w:t>i</w:t>
      </w:r>
      <w:r w:rsidR="00FF60D5" w:rsidRPr="00FF60D5">
        <w:rPr>
          <w:rFonts w:ascii="Arial" w:hAnsi="Arial" w:cs="Arial"/>
        </w:rPr>
        <w:t>)) = β</w:t>
      </w:r>
      <w:r w:rsidR="00FF60D5" w:rsidRPr="00FF60D5">
        <w:rPr>
          <w:rFonts w:ascii="Arial" w:hAnsi="Arial" w:cs="Arial"/>
          <w:vertAlign w:val="subscript"/>
        </w:rPr>
        <w:t>0</w:t>
      </w:r>
      <w:r w:rsidR="00FF60D5" w:rsidRPr="00FF60D5">
        <w:rPr>
          <w:rFonts w:ascii="Arial" w:hAnsi="Arial" w:cs="Arial"/>
        </w:rPr>
        <w:t xml:space="preserve"> + Σ β</w:t>
      </w:r>
      <w:r w:rsidR="00FF60D5" w:rsidRPr="00FF60D5">
        <w:rPr>
          <w:rFonts w:ascii="Arial" w:hAnsi="Arial" w:cs="Arial"/>
          <w:vertAlign w:val="subscript"/>
        </w:rPr>
        <w:t>j</w:t>
      </w:r>
      <w:r w:rsidR="00FF60D5" w:rsidRPr="00FF60D5">
        <w:rPr>
          <w:rFonts w:ascii="Arial" w:hAnsi="Arial" w:cs="Arial"/>
        </w:rPr>
        <w:t xml:space="preserve"> </w:t>
      </w:r>
      <w:proofErr w:type="spellStart"/>
      <w:r w:rsidR="00FF60D5" w:rsidRPr="00FF60D5">
        <w:rPr>
          <w:rFonts w:ascii="Arial" w:hAnsi="Arial" w:cs="Arial"/>
        </w:rPr>
        <w:t>X</w:t>
      </w:r>
      <w:r w:rsidR="00FF60D5" w:rsidRPr="00FF60D5">
        <w:rPr>
          <w:rFonts w:ascii="Arial" w:hAnsi="Arial" w:cs="Arial"/>
          <w:vertAlign w:val="subscript"/>
        </w:rPr>
        <w:t>ij</w:t>
      </w:r>
      <w:proofErr w:type="spellEnd"/>
      <w:r w:rsidR="00FF60D5" w:rsidRPr="00FF60D5">
        <w:rPr>
          <w:rFonts w:ascii="Arial" w:hAnsi="Arial" w:cs="Arial"/>
        </w:rPr>
        <w:t xml:space="preserve"> + </w:t>
      </w:r>
      <w:proofErr w:type="spellStart"/>
      <w:r w:rsidR="00FF60D5" w:rsidRPr="00FF60D5">
        <w:rPr>
          <w:rFonts w:ascii="Arial" w:hAnsi="Arial" w:cs="Arial"/>
        </w:rPr>
        <w:t>ε</w:t>
      </w:r>
      <w:r w:rsidR="00FF60D5" w:rsidRPr="00FF60D5">
        <w:rPr>
          <w:rFonts w:ascii="Arial" w:hAnsi="Arial" w:cs="Arial"/>
          <w:vertAlign w:val="subscript"/>
        </w:rPr>
        <w:t>i</w:t>
      </w:r>
      <w:proofErr w:type="spellEnd"/>
    </w:p>
    <w:p w14:paraId="19643833" w14:textId="77777777" w:rsidR="005405E4" w:rsidRDefault="005405E4" w:rsidP="000D2259">
      <w:pPr>
        <w:pStyle w:val="Body"/>
        <w:spacing w:after="0"/>
        <w:ind w:firstLine="720"/>
        <w:rPr>
          <w:rFonts w:ascii="Arial" w:hAnsi="Arial" w:cs="Arial"/>
        </w:rPr>
      </w:pPr>
    </w:p>
    <w:p w14:paraId="01F1A9FB" w14:textId="28BD1AA3"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2F2797">
        <w:rPr>
          <w:rFonts w:ascii="Arial" w:hAnsi="Arial" w:cs="Arial"/>
        </w:rPr>
        <w:t>P</w:t>
      </w:r>
      <w:r w:rsidR="002F2797" w:rsidRPr="002F2797">
        <w:rPr>
          <w:rFonts w:ascii="Arial" w:hAnsi="Arial" w:cs="Arial"/>
          <w:vertAlign w:val="subscript"/>
        </w:rPr>
        <w:t>i</w:t>
      </w:r>
      <w:r w:rsidRPr="002F2797">
        <w:rPr>
          <w:rFonts w:ascii="Arial" w:hAnsi="Arial" w:cs="Arial"/>
          <w:vertAlign w:val="subscript"/>
        </w:rPr>
        <w:t xml:space="preserve"> </w:t>
      </w:r>
      <w:r w:rsidRPr="00B940A6">
        <w:rPr>
          <w:rFonts w:ascii="Arial" w:hAnsi="Arial" w:cs="Arial"/>
        </w:rPr>
        <w:t xml:space="preserve">is the probability that the </w:t>
      </w:r>
      <w:proofErr w:type="spellStart"/>
      <w:r w:rsidRPr="00B940A6">
        <w:rPr>
          <w:rFonts w:ascii="Arial" w:hAnsi="Arial" w:cs="Arial"/>
        </w:rPr>
        <w:t>i</w:t>
      </w:r>
      <w:r w:rsidRPr="0010450E">
        <w:rPr>
          <w:rFonts w:ascii="Arial" w:hAnsi="Arial" w:cs="Arial"/>
          <w:vertAlign w:val="superscript"/>
        </w:rPr>
        <w:t>th</w:t>
      </w:r>
      <w:proofErr w:type="spellEnd"/>
      <w:r w:rsidRPr="00B940A6">
        <w:rPr>
          <w:rFonts w:ascii="Arial" w:hAnsi="Arial" w:cs="Arial"/>
        </w:rPr>
        <w:t xml:space="preserve"> household adopts CSA technologies,</w:t>
      </w:r>
    </w:p>
    <w:p w14:paraId="2F12BF7A" w14:textId="2B2EE835"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proofErr w:type="spellStart"/>
      <w:r w:rsidRPr="00B940A6">
        <w:rPr>
          <w:rFonts w:ascii="Arial" w:hAnsi="Arial" w:cs="Arial"/>
        </w:rPr>
        <w:t>X</w:t>
      </w:r>
      <w:r w:rsidRPr="00CF1858">
        <w:rPr>
          <w:rFonts w:ascii="Arial" w:hAnsi="Arial" w:cs="Arial"/>
          <w:vertAlign w:val="subscript"/>
        </w:rPr>
        <w:t>ij</w:t>
      </w:r>
      <w:proofErr w:type="spellEnd"/>
      <w:r w:rsidRPr="00B940A6">
        <w:rPr>
          <w:rFonts w:ascii="Arial" w:hAnsi="Arial" w:cs="Arial"/>
        </w:rPr>
        <w:t xml:space="preserve"> represents the </w:t>
      </w:r>
      <w:proofErr w:type="spellStart"/>
      <w:r w:rsidRPr="00B940A6">
        <w:rPr>
          <w:rFonts w:ascii="Arial" w:hAnsi="Arial" w:cs="Arial"/>
        </w:rPr>
        <w:t>j</w:t>
      </w:r>
      <w:r w:rsidRPr="00CF1858">
        <w:rPr>
          <w:rFonts w:ascii="Arial" w:hAnsi="Arial" w:cs="Arial"/>
          <w:vertAlign w:val="superscript"/>
        </w:rPr>
        <w:t>th</w:t>
      </w:r>
      <w:proofErr w:type="spellEnd"/>
      <w:r w:rsidRPr="00B940A6">
        <w:rPr>
          <w:rFonts w:ascii="Arial" w:hAnsi="Arial" w:cs="Arial"/>
        </w:rPr>
        <w:t xml:space="preserve"> explanatory variable,</w:t>
      </w:r>
    </w:p>
    <w:p w14:paraId="7D487520" w14:textId="47BAAE2D"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FA52D2" w:rsidRPr="00B940A6">
        <w:rPr>
          <w:rFonts w:ascii="Arial" w:hAnsi="Arial" w:cs="Arial"/>
        </w:rPr>
        <w:t>β</w:t>
      </w:r>
      <w:r w:rsidR="00FA52D2">
        <w:rPr>
          <w:rFonts w:ascii="Arial" w:hAnsi="Arial" w:cs="Arial"/>
          <w:vertAlign w:val="subscript"/>
        </w:rPr>
        <w:t>0</w:t>
      </w:r>
      <w:r w:rsidR="00FA52D2">
        <w:rPr>
          <w:rFonts w:ascii="Arial" w:hAnsi="Arial" w:cs="Arial"/>
        </w:rPr>
        <w:t xml:space="preserve">, </w:t>
      </w:r>
      <w:r w:rsidRPr="00B940A6">
        <w:rPr>
          <w:rFonts w:ascii="Arial" w:hAnsi="Arial" w:cs="Arial"/>
        </w:rPr>
        <w:t>β</w:t>
      </w:r>
      <w:r w:rsidRPr="004C1436">
        <w:rPr>
          <w:rFonts w:ascii="Arial" w:hAnsi="Arial" w:cs="Arial"/>
          <w:vertAlign w:val="subscript"/>
        </w:rPr>
        <w:t>j</w:t>
      </w:r>
      <w:r w:rsidRPr="00B940A6">
        <w:rPr>
          <w:rFonts w:ascii="Arial" w:hAnsi="Arial" w:cs="Arial"/>
        </w:rPr>
        <w:t xml:space="preserve"> are the coefficients to be estimated,</w:t>
      </w:r>
    </w:p>
    <w:p w14:paraId="5FC23A3E" w14:textId="2F86BCD2" w:rsid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t>ϵ</w:t>
      </w:r>
      <w:proofErr w:type="spellStart"/>
      <w:r w:rsidRPr="00164DA2">
        <w:rPr>
          <w:rFonts w:ascii="Arial" w:hAnsi="Arial" w:cs="Arial"/>
          <w:vertAlign w:val="subscript"/>
        </w:rPr>
        <w:t>i</w:t>
      </w:r>
      <w:proofErr w:type="spellEnd"/>
      <w:r w:rsidRPr="00B940A6">
        <w:rPr>
          <w:rFonts w:ascii="Arial" w:hAnsi="Arial" w:cs="Arial"/>
        </w:rPr>
        <w:t xml:space="preserve"> is the error term.</w:t>
      </w:r>
    </w:p>
    <w:p w14:paraId="37161A48" w14:textId="77777777" w:rsidR="000D2259" w:rsidRPr="00B940A6" w:rsidRDefault="000D2259" w:rsidP="000D2259">
      <w:pPr>
        <w:pStyle w:val="Body"/>
        <w:spacing w:after="0"/>
        <w:rPr>
          <w:rFonts w:ascii="Arial" w:hAnsi="Arial" w:cs="Arial"/>
        </w:rPr>
      </w:pPr>
    </w:p>
    <w:p w14:paraId="394152D6" w14:textId="71531DD0" w:rsidR="00B940A6" w:rsidRPr="004D6E3E" w:rsidRDefault="00B940A6" w:rsidP="000D2259">
      <w:pPr>
        <w:pStyle w:val="Body"/>
        <w:spacing w:after="0"/>
        <w:rPr>
          <w:rFonts w:ascii="Arial" w:hAnsi="Arial" w:cs="Arial"/>
          <w:b/>
          <w:bCs/>
        </w:rPr>
      </w:pPr>
      <w:r w:rsidRPr="004D6E3E">
        <w:rPr>
          <w:rFonts w:ascii="Arial" w:hAnsi="Arial" w:cs="Arial"/>
          <w:b/>
          <w:bCs/>
        </w:rPr>
        <w:t>Variables in the Model</w:t>
      </w:r>
      <w:r w:rsidR="004D6E3E">
        <w:rPr>
          <w:rFonts w:ascii="Arial" w:hAnsi="Arial" w:cs="Arial"/>
          <w:b/>
          <w:bCs/>
        </w:rPr>
        <w:t>:</w:t>
      </w:r>
    </w:p>
    <w:p w14:paraId="1A13AE51" w14:textId="29ED5F93" w:rsidR="00B940A6" w:rsidRPr="00B940A6" w:rsidRDefault="00B940A6" w:rsidP="000D2259">
      <w:pPr>
        <w:pStyle w:val="Body"/>
        <w:spacing w:after="0"/>
        <w:rPr>
          <w:rFonts w:ascii="Arial" w:hAnsi="Arial" w:cs="Arial"/>
        </w:rPr>
      </w:pPr>
      <w:r w:rsidRPr="00B940A6">
        <w:rPr>
          <w:rFonts w:ascii="Arial" w:hAnsi="Arial" w:cs="Arial"/>
        </w:rPr>
        <w:t>The dependent variable is the adoption of CSA technologies</w:t>
      </w:r>
    </w:p>
    <w:p w14:paraId="00131359" w14:textId="77777777" w:rsidR="00B940A6" w:rsidRPr="00B940A6" w:rsidRDefault="00B940A6" w:rsidP="000D2259">
      <w:pPr>
        <w:pStyle w:val="Body"/>
        <w:spacing w:after="0"/>
        <w:rPr>
          <w:rFonts w:ascii="Arial" w:hAnsi="Arial" w:cs="Arial"/>
        </w:rPr>
      </w:pPr>
      <w:r w:rsidRPr="00B940A6">
        <w:rPr>
          <w:rFonts w:ascii="Arial" w:hAnsi="Arial" w:cs="Arial"/>
        </w:rPr>
        <w:t>The independent variables include:</w:t>
      </w:r>
    </w:p>
    <w:p w14:paraId="76DA0077" w14:textId="3BA0EA81" w:rsidR="00B940A6" w:rsidRPr="00B940A6" w:rsidRDefault="00B940A6" w:rsidP="000D2259">
      <w:pPr>
        <w:pStyle w:val="Body"/>
        <w:numPr>
          <w:ilvl w:val="0"/>
          <w:numId w:val="31"/>
        </w:numPr>
        <w:spacing w:after="0"/>
        <w:rPr>
          <w:rFonts w:ascii="Arial" w:hAnsi="Arial" w:cs="Arial"/>
        </w:rPr>
      </w:pPr>
      <w:r w:rsidRPr="00B940A6">
        <w:rPr>
          <w:rFonts w:ascii="Arial" w:hAnsi="Arial" w:cs="Arial"/>
        </w:rPr>
        <w:t>Knowledge on CSA technologies (binary)</w:t>
      </w:r>
    </w:p>
    <w:p w14:paraId="2450CBD8" w14:textId="769F2731" w:rsidR="00B940A6" w:rsidRPr="00B940A6" w:rsidRDefault="00B940A6" w:rsidP="000D2259">
      <w:pPr>
        <w:pStyle w:val="Body"/>
        <w:numPr>
          <w:ilvl w:val="0"/>
          <w:numId w:val="31"/>
        </w:numPr>
        <w:spacing w:after="0"/>
        <w:rPr>
          <w:rFonts w:ascii="Arial" w:hAnsi="Arial" w:cs="Arial"/>
        </w:rPr>
      </w:pPr>
      <w:r w:rsidRPr="00B940A6">
        <w:rPr>
          <w:rFonts w:ascii="Arial" w:hAnsi="Arial" w:cs="Arial"/>
        </w:rPr>
        <w:t>Awareness of climate change (binary)</w:t>
      </w:r>
    </w:p>
    <w:p w14:paraId="4AA8F343" w14:textId="52AF6CD3" w:rsidR="00B940A6" w:rsidRPr="00B940A6" w:rsidRDefault="00B940A6" w:rsidP="000D2259">
      <w:pPr>
        <w:pStyle w:val="Body"/>
        <w:numPr>
          <w:ilvl w:val="0"/>
          <w:numId w:val="31"/>
        </w:numPr>
        <w:spacing w:after="0"/>
        <w:rPr>
          <w:rFonts w:ascii="Arial" w:hAnsi="Arial" w:cs="Arial"/>
        </w:rPr>
      </w:pPr>
      <w:r w:rsidRPr="00B940A6">
        <w:rPr>
          <w:rFonts w:ascii="Arial" w:hAnsi="Arial" w:cs="Arial"/>
        </w:rPr>
        <w:t>Access to climate change information (binary)</w:t>
      </w:r>
    </w:p>
    <w:p w14:paraId="4E892A5B" w14:textId="35316709" w:rsidR="00B940A6" w:rsidRPr="00B940A6" w:rsidRDefault="006F242A" w:rsidP="000D2259">
      <w:pPr>
        <w:pStyle w:val="Body"/>
        <w:numPr>
          <w:ilvl w:val="0"/>
          <w:numId w:val="31"/>
        </w:numPr>
        <w:spacing w:after="0"/>
        <w:rPr>
          <w:rFonts w:ascii="Arial" w:hAnsi="Arial" w:cs="Arial"/>
        </w:rPr>
      </w:pPr>
      <w:r>
        <w:rPr>
          <w:rFonts w:ascii="Arial" w:hAnsi="Arial" w:cs="Arial"/>
        </w:rPr>
        <w:t xml:space="preserve">Gender of </w:t>
      </w:r>
      <w:r w:rsidR="00B940A6" w:rsidRPr="00B940A6">
        <w:rPr>
          <w:rFonts w:ascii="Arial" w:hAnsi="Arial" w:cs="Arial"/>
        </w:rPr>
        <w:t>Household head (1 = Male, 0 = Female)</w:t>
      </w:r>
    </w:p>
    <w:p w14:paraId="7F2AB6CD" w14:textId="0BADB028"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crop failure (continuous</w:t>
      </w:r>
      <w:r w:rsidR="00C25268">
        <w:rPr>
          <w:rFonts w:ascii="Arial" w:hAnsi="Arial" w:cs="Arial"/>
        </w:rPr>
        <w:t>, in Rs</w:t>
      </w:r>
      <w:r w:rsidRPr="00B940A6">
        <w:rPr>
          <w:rFonts w:ascii="Arial" w:hAnsi="Arial" w:cs="Arial"/>
        </w:rPr>
        <w:t>)</w:t>
      </w:r>
    </w:p>
    <w:p w14:paraId="24B3DD32" w14:textId="07072660"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livestock shock (continuous</w:t>
      </w:r>
      <w:r w:rsidR="00C25268">
        <w:rPr>
          <w:rFonts w:ascii="Arial" w:hAnsi="Arial" w:cs="Arial"/>
        </w:rPr>
        <w:t>, in Rs</w:t>
      </w:r>
      <w:r w:rsidRPr="00B940A6">
        <w:rPr>
          <w:rFonts w:ascii="Arial" w:hAnsi="Arial" w:cs="Arial"/>
        </w:rPr>
        <w:t>)</w:t>
      </w:r>
    </w:p>
    <w:p w14:paraId="2339916C" w14:textId="1146F47F" w:rsidR="00B940A6" w:rsidRPr="00B940A6" w:rsidRDefault="00B940A6" w:rsidP="000D2259">
      <w:pPr>
        <w:pStyle w:val="Body"/>
        <w:numPr>
          <w:ilvl w:val="0"/>
          <w:numId w:val="31"/>
        </w:numPr>
        <w:spacing w:after="0"/>
        <w:rPr>
          <w:rFonts w:ascii="Arial" w:hAnsi="Arial" w:cs="Arial"/>
        </w:rPr>
      </w:pPr>
      <w:r w:rsidRPr="00B940A6">
        <w:rPr>
          <w:rFonts w:ascii="Arial" w:hAnsi="Arial" w:cs="Arial"/>
        </w:rPr>
        <w:t>Market shocks experienced (binary)</w:t>
      </w:r>
    </w:p>
    <w:p w14:paraId="728C8FEF" w14:textId="6A1E73FE" w:rsidR="00B940A6" w:rsidRPr="00B940A6" w:rsidRDefault="00B940A6" w:rsidP="000D2259">
      <w:pPr>
        <w:pStyle w:val="Body"/>
        <w:numPr>
          <w:ilvl w:val="0"/>
          <w:numId w:val="31"/>
        </w:numPr>
        <w:spacing w:after="0"/>
        <w:rPr>
          <w:rFonts w:ascii="Arial" w:hAnsi="Arial" w:cs="Arial"/>
        </w:rPr>
      </w:pPr>
      <w:r w:rsidRPr="00B940A6">
        <w:rPr>
          <w:rFonts w:ascii="Arial" w:hAnsi="Arial" w:cs="Arial"/>
        </w:rPr>
        <w:t>Social safety net participation (binary)</w:t>
      </w:r>
    </w:p>
    <w:p w14:paraId="157AAA67" w14:textId="2D54B888" w:rsidR="00B940A6" w:rsidRPr="00B940A6" w:rsidRDefault="00B940A6" w:rsidP="000D2259">
      <w:pPr>
        <w:pStyle w:val="Body"/>
        <w:numPr>
          <w:ilvl w:val="0"/>
          <w:numId w:val="31"/>
        </w:numPr>
        <w:spacing w:after="0"/>
        <w:rPr>
          <w:rFonts w:ascii="Arial" w:hAnsi="Arial" w:cs="Arial"/>
        </w:rPr>
      </w:pPr>
      <w:r w:rsidRPr="00B940A6">
        <w:rPr>
          <w:rFonts w:ascii="Arial" w:hAnsi="Arial" w:cs="Arial"/>
        </w:rPr>
        <w:t>Membership in social/community organizations (binary)</w:t>
      </w:r>
    </w:p>
    <w:p w14:paraId="1DE7FE86" w14:textId="26380A68" w:rsidR="00B940A6" w:rsidRPr="00B940A6" w:rsidRDefault="00B940A6" w:rsidP="000D2259">
      <w:pPr>
        <w:pStyle w:val="Body"/>
        <w:numPr>
          <w:ilvl w:val="0"/>
          <w:numId w:val="31"/>
        </w:numPr>
        <w:spacing w:after="0"/>
        <w:rPr>
          <w:rFonts w:ascii="Arial" w:hAnsi="Arial" w:cs="Arial"/>
        </w:rPr>
      </w:pPr>
      <w:r w:rsidRPr="00B940A6">
        <w:rPr>
          <w:rFonts w:ascii="Arial" w:hAnsi="Arial" w:cs="Arial"/>
        </w:rPr>
        <w:t>Landholding size (continuous, in hectares)</w:t>
      </w:r>
    </w:p>
    <w:p w14:paraId="681C0AA2" w14:textId="130D356F" w:rsidR="00B940A6" w:rsidRPr="00B940A6" w:rsidRDefault="00B940A6" w:rsidP="000D2259">
      <w:pPr>
        <w:pStyle w:val="Body"/>
        <w:numPr>
          <w:ilvl w:val="0"/>
          <w:numId w:val="31"/>
        </w:numPr>
        <w:spacing w:after="0"/>
        <w:rPr>
          <w:rFonts w:ascii="Arial" w:hAnsi="Arial" w:cs="Arial"/>
        </w:rPr>
      </w:pPr>
      <w:r w:rsidRPr="00B940A6">
        <w:rPr>
          <w:rFonts w:ascii="Arial" w:hAnsi="Arial" w:cs="Arial"/>
        </w:rPr>
        <w:t>Educational level of household head (continuous)</w:t>
      </w:r>
    </w:p>
    <w:p w14:paraId="16D0CC49" w14:textId="009D5D3F" w:rsidR="00B940A6" w:rsidRPr="00B940A6" w:rsidRDefault="00B940A6" w:rsidP="000D2259">
      <w:pPr>
        <w:pStyle w:val="Body"/>
        <w:numPr>
          <w:ilvl w:val="0"/>
          <w:numId w:val="31"/>
        </w:numPr>
        <w:spacing w:after="0"/>
        <w:rPr>
          <w:rFonts w:ascii="Arial" w:hAnsi="Arial" w:cs="Arial"/>
        </w:rPr>
      </w:pPr>
      <w:r w:rsidRPr="00B940A6">
        <w:rPr>
          <w:rFonts w:ascii="Arial" w:hAnsi="Arial" w:cs="Arial"/>
        </w:rPr>
        <w:t>Household labor force (continuous, number of working members)</w:t>
      </w:r>
    </w:p>
    <w:p w14:paraId="6339C16B" w14:textId="300EDBE8" w:rsidR="00B940A6" w:rsidRPr="00B940A6" w:rsidRDefault="00B940A6" w:rsidP="000D2259">
      <w:pPr>
        <w:pStyle w:val="Body"/>
        <w:numPr>
          <w:ilvl w:val="0"/>
          <w:numId w:val="31"/>
        </w:numPr>
        <w:spacing w:after="0"/>
        <w:rPr>
          <w:rFonts w:ascii="Arial" w:hAnsi="Arial" w:cs="Arial"/>
        </w:rPr>
      </w:pPr>
      <w:r w:rsidRPr="00B940A6">
        <w:rPr>
          <w:rFonts w:ascii="Arial" w:hAnsi="Arial" w:cs="Arial"/>
        </w:rPr>
        <w:t>Experience in farming (continuous, in years)</w:t>
      </w:r>
    </w:p>
    <w:p w14:paraId="39BE08DA" w14:textId="34490A5A" w:rsidR="00B940A6" w:rsidRPr="00B940A6" w:rsidRDefault="00B940A6" w:rsidP="000D2259">
      <w:pPr>
        <w:pStyle w:val="Body"/>
        <w:numPr>
          <w:ilvl w:val="0"/>
          <w:numId w:val="31"/>
        </w:numPr>
        <w:spacing w:after="0"/>
        <w:rPr>
          <w:rFonts w:ascii="Arial" w:hAnsi="Arial" w:cs="Arial"/>
        </w:rPr>
      </w:pPr>
      <w:r w:rsidRPr="00B940A6">
        <w:rPr>
          <w:rFonts w:ascii="Arial" w:hAnsi="Arial" w:cs="Arial"/>
        </w:rPr>
        <w:t>Access to extension services (binary)</w:t>
      </w:r>
    </w:p>
    <w:p w14:paraId="614B515D" w14:textId="4B8ABDED" w:rsidR="00A03B96" w:rsidRDefault="00B940A6" w:rsidP="00B41C92">
      <w:pPr>
        <w:pStyle w:val="Body"/>
        <w:ind w:firstLine="360"/>
        <w:rPr>
          <w:rFonts w:ascii="Arial" w:hAnsi="Arial" w:cs="Arial"/>
        </w:rPr>
      </w:pPr>
      <w:r w:rsidRPr="00B940A6">
        <w:rPr>
          <w:rFonts w:ascii="Arial" w:hAnsi="Arial" w:cs="Arial"/>
        </w:rPr>
        <w:t>The regression results were reported in two forms:</w:t>
      </w:r>
      <w:r w:rsidR="00C82F27">
        <w:rPr>
          <w:rFonts w:ascii="Arial" w:hAnsi="Arial" w:cs="Arial"/>
        </w:rPr>
        <w:t xml:space="preserve"> </w:t>
      </w:r>
      <w:r w:rsidRPr="00B940A6">
        <w:rPr>
          <w:rFonts w:ascii="Arial" w:hAnsi="Arial" w:cs="Arial"/>
        </w:rPr>
        <w:t>Log-odds coefficients (β) to indicate the direction and significance of relationships.</w:t>
      </w:r>
      <w:r w:rsidR="00C82F27">
        <w:rPr>
          <w:rFonts w:ascii="Arial" w:hAnsi="Arial" w:cs="Arial"/>
        </w:rPr>
        <w:t xml:space="preserve"> </w:t>
      </w:r>
      <w:r w:rsidRPr="00B940A6">
        <w:rPr>
          <w:rFonts w:ascii="Arial" w:hAnsi="Arial" w:cs="Arial"/>
        </w:rPr>
        <w:t>Odds ratios (ORs) to provide a more intuitive interpretation of the effect size. An odds ratio greater than 1 suggests a positive influence on CSA adoption, while an odds ratio less than 1 indicates a negative effect.</w:t>
      </w:r>
    </w:p>
    <w:p w14:paraId="240B522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B47B5" w14:textId="3EECB6A2" w:rsidR="00790ADA" w:rsidRPr="00FB3A86" w:rsidRDefault="00790ADA" w:rsidP="00441B6F">
      <w:pPr>
        <w:pStyle w:val="Head1"/>
        <w:spacing w:after="0"/>
        <w:jc w:val="both"/>
        <w:rPr>
          <w:rFonts w:ascii="Arial" w:hAnsi="Arial" w:cs="Arial"/>
        </w:rPr>
      </w:pPr>
    </w:p>
    <w:p w14:paraId="39951D2F" w14:textId="732D9F89" w:rsidR="007E4CDA" w:rsidRDefault="008F457A" w:rsidP="007E4CDA">
      <w:pPr>
        <w:rPr>
          <w:rFonts w:ascii="Arial" w:hAnsi="Arial" w:cs="Arial"/>
          <w:b/>
          <w:bCs/>
        </w:rPr>
      </w:pPr>
      <w:r>
        <w:rPr>
          <w:rFonts w:ascii="Arial" w:hAnsi="Arial" w:cs="Arial"/>
          <w:b/>
          <w:bCs/>
        </w:rPr>
        <w:t xml:space="preserve">3.1 </w:t>
      </w:r>
      <w:r w:rsidR="007E4CDA">
        <w:rPr>
          <w:rFonts w:ascii="Arial" w:hAnsi="Arial" w:cs="Arial"/>
          <w:b/>
          <w:bCs/>
        </w:rPr>
        <w:t>Descriptive statistics of sample farmers:</w:t>
      </w:r>
    </w:p>
    <w:p w14:paraId="34841200" w14:textId="77777777" w:rsidR="007E4CDA" w:rsidRDefault="007E4CDA" w:rsidP="007E4CDA">
      <w:pPr>
        <w:rPr>
          <w:rFonts w:ascii="Arial" w:hAnsi="Arial" w:cs="Arial"/>
          <w:b/>
          <w:bCs/>
        </w:rPr>
      </w:pPr>
    </w:p>
    <w:p w14:paraId="111D2D6C" w14:textId="6F3478EA" w:rsidR="00837742" w:rsidRPr="00A40277" w:rsidRDefault="00837742" w:rsidP="008779FB">
      <w:pPr>
        <w:rPr>
          <w:rFonts w:ascii="Arial" w:hAnsi="Arial" w:cs="Arial"/>
          <w:b/>
          <w:bCs/>
        </w:rPr>
      </w:pPr>
      <w:r w:rsidRPr="00A40277">
        <w:rPr>
          <w:rFonts w:ascii="Arial" w:hAnsi="Arial" w:cs="Arial"/>
          <w:b/>
          <w:bCs/>
        </w:rPr>
        <w:t>Table</w:t>
      </w:r>
      <w:r w:rsidR="005A2296">
        <w:rPr>
          <w:rFonts w:ascii="Arial" w:hAnsi="Arial" w:cs="Arial"/>
          <w:b/>
          <w:bCs/>
        </w:rPr>
        <w:t xml:space="preserve"> 1</w:t>
      </w:r>
      <w:r w:rsidR="00095A9E">
        <w:rPr>
          <w:rFonts w:ascii="Arial" w:hAnsi="Arial" w:cs="Arial"/>
          <w:b/>
          <w:bCs/>
        </w:rPr>
        <w:t>.</w:t>
      </w:r>
      <w:r w:rsidRPr="00A40277">
        <w:rPr>
          <w:rFonts w:ascii="Arial" w:hAnsi="Arial" w:cs="Arial"/>
          <w:b/>
          <w:bCs/>
        </w:rPr>
        <w:t xml:space="preserve"> Descriptive statistics of sample farmers</w:t>
      </w:r>
    </w:p>
    <w:tbl>
      <w:tblPr>
        <w:tblStyle w:val="TableGrid"/>
        <w:tblW w:w="5676" w:type="dxa"/>
        <w:jc w:val="center"/>
        <w:tblLook w:val="04A0" w:firstRow="1" w:lastRow="0" w:firstColumn="1" w:lastColumn="0" w:noHBand="0" w:noVBand="1"/>
      </w:tblPr>
      <w:tblGrid>
        <w:gridCol w:w="856"/>
        <w:gridCol w:w="3426"/>
        <w:gridCol w:w="1394"/>
      </w:tblGrid>
      <w:tr w:rsidR="00837742" w:rsidRPr="00A40277" w14:paraId="1500B4F1" w14:textId="77777777" w:rsidTr="005B1F04">
        <w:trPr>
          <w:trHeight w:val="290"/>
          <w:jc w:val="center"/>
        </w:trPr>
        <w:tc>
          <w:tcPr>
            <w:tcW w:w="856" w:type="dxa"/>
            <w:vAlign w:val="center"/>
          </w:tcPr>
          <w:p w14:paraId="27643B43" w14:textId="77777777"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S No</w:t>
            </w:r>
          </w:p>
        </w:tc>
        <w:tc>
          <w:tcPr>
            <w:tcW w:w="3426" w:type="dxa"/>
            <w:noWrap/>
            <w:vAlign w:val="center"/>
          </w:tcPr>
          <w:p w14:paraId="4B424791" w14:textId="77777777" w:rsidR="00837742" w:rsidRPr="00B04ED3"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Particulars</w:t>
            </w:r>
          </w:p>
        </w:tc>
        <w:tc>
          <w:tcPr>
            <w:tcW w:w="1394" w:type="dxa"/>
            <w:noWrap/>
            <w:vAlign w:val="center"/>
          </w:tcPr>
          <w:p w14:paraId="48C0516E" w14:textId="77777777" w:rsidR="00837742" w:rsidRPr="00B04ED3"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Value</w:t>
            </w:r>
          </w:p>
        </w:tc>
      </w:tr>
      <w:tr w:rsidR="00837742" w:rsidRPr="00A40277" w14:paraId="42382FCC" w14:textId="77777777" w:rsidTr="005B1F04">
        <w:trPr>
          <w:trHeight w:val="290"/>
          <w:jc w:val="center"/>
        </w:trPr>
        <w:tc>
          <w:tcPr>
            <w:tcW w:w="856" w:type="dxa"/>
            <w:vAlign w:val="center"/>
          </w:tcPr>
          <w:p w14:paraId="572A3C1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3426" w:type="dxa"/>
            <w:noWrap/>
            <w:vAlign w:val="center"/>
            <w:hideMark/>
          </w:tcPr>
          <w:p w14:paraId="0A4F5310" w14:textId="7CE89B79" w:rsidR="00837742" w:rsidRPr="00B04ED3" w:rsidRDefault="00647F3B" w:rsidP="005B1F0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a</w:t>
            </w:r>
            <w:r w:rsidR="00837742" w:rsidRPr="00B04ED3">
              <w:rPr>
                <w:rFonts w:ascii="Arial" w:eastAsia="Times New Roman" w:hAnsi="Arial" w:cs="Arial"/>
                <w:color w:val="000000"/>
                <w:sz w:val="20"/>
                <w:szCs w:val="20"/>
                <w:lang w:eastAsia="en-IN"/>
              </w:rPr>
              <w:t>ge</w:t>
            </w:r>
            <w:r>
              <w:rPr>
                <w:rFonts w:ascii="Arial" w:eastAsia="Times New Roman" w:hAnsi="Arial" w:cs="Arial"/>
                <w:color w:val="000000"/>
                <w:sz w:val="20"/>
                <w:szCs w:val="20"/>
                <w:lang w:eastAsia="en-IN"/>
              </w:rPr>
              <w:t xml:space="preserve"> of respondents</w:t>
            </w:r>
          </w:p>
        </w:tc>
        <w:tc>
          <w:tcPr>
            <w:tcW w:w="1394" w:type="dxa"/>
            <w:noWrap/>
            <w:vAlign w:val="center"/>
            <w:hideMark/>
          </w:tcPr>
          <w:p w14:paraId="20323C18"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45.39</w:t>
            </w:r>
          </w:p>
        </w:tc>
      </w:tr>
      <w:tr w:rsidR="00837742" w:rsidRPr="00A40277" w14:paraId="39053A5E" w14:textId="77777777" w:rsidTr="005B1F04">
        <w:trPr>
          <w:trHeight w:val="290"/>
          <w:jc w:val="center"/>
        </w:trPr>
        <w:tc>
          <w:tcPr>
            <w:tcW w:w="856" w:type="dxa"/>
            <w:vAlign w:val="center"/>
          </w:tcPr>
          <w:p w14:paraId="008E7F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3426" w:type="dxa"/>
            <w:noWrap/>
            <w:vAlign w:val="center"/>
          </w:tcPr>
          <w:p w14:paraId="75AEC1B0" w14:textId="03F560DF" w:rsidR="00837742" w:rsidRPr="00A40277" w:rsidRDefault="00647F3B" w:rsidP="005B1F0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e</w:t>
            </w:r>
            <w:r w:rsidR="00837742" w:rsidRPr="00B04ED3">
              <w:rPr>
                <w:rFonts w:ascii="Arial" w:eastAsia="Times New Roman" w:hAnsi="Arial" w:cs="Arial"/>
                <w:color w:val="000000"/>
                <w:sz w:val="20"/>
                <w:szCs w:val="20"/>
                <w:lang w:eastAsia="en-IN"/>
              </w:rPr>
              <w:t xml:space="preserve">xperience in </w:t>
            </w:r>
            <w:r w:rsidR="00837742" w:rsidRPr="00A40277">
              <w:rPr>
                <w:rFonts w:ascii="Arial" w:eastAsia="Times New Roman" w:hAnsi="Arial" w:cs="Arial"/>
                <w:color w:val="000000"/>
                <w:sz w:val="20"/>
                <w:szCs w:val="20"/>
                <w:lang w:eastAsia="en-IN"/>
              </w:rPr>
              <w:t>farming</w:t>
            </w:r>
          </w:p>
        </w:tc>
        <w:tc>
          <w:tcPr>
            <w:tcW w:w="1394" w:type="dxa"/>
            <w:noWrap/>
            <w:vAlign w:val="center"/>
          </w:tcPr>
          <w:p w14:paraId="4C497473"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20.4</w:t>
            </w:r>
          </w:p>
        </w:tc>
      </w:tr>
      <w:tr w:rsidR="00837742" w:rsidRPr="00A40277" w14:paraId="5CCF5461" w14:textId="77777777" w:rsidTr="005B1F04">
        <w:trPr>
          <w:trHeight w:val="290"/>
          <w:jc w:val="center"/>
        </w:trPr>
        <w:tc>
          <w:tcPr>
            <w:tcW w:w="856" w:type="dxa"/>
            <w:vAlign w:val="center"/>
          </w:tcPr>
          <w:p w14:paraId="189CF2C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3426" w:type="dxa"/>
            <w:noWrap/>
            <w:vAlign w:val="center"/>
          </w:tcPr>
          <w:p w14:paraId="581A92D6" w14:textId="1F8C022B" w:rsidR="00837742" w:rsidRPr="00A40277"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Average landholding size</w:t>
            </w:r>
            <w:r w:rsidR="00496D19">
              <w:rPr>
                <w:rFonts w:ascii="Arial" w:eastAsia="Times New Roman" w:hAnsi="Arial" w:cs="Arial"/>
                <w:color w:val="000000"/>
                <w:sz w:val="20"/>
                <w:szCs w:val="20"/>
                <w:lang w:eastAsia="en-IN"/>
              </w:rPr>
              <w:t xml:space="preserve"> (ha)</w:t>
            </w:r>
          </w:p>
        </w:tc>
        <w:tc>
          <w:tcPr>
            <w:tcW w:w="1394" w:type="dxa"/>
            <w:noWrap/>
            <w:vAlign w:val="center"/>
          </w:tcPr>
          <w:p w14:paraId="0E7FEDB8"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1.36</w:t>
            </w:r>
          </w:p>
        </w:tc>
      </w:tr>
      <w:tr w:rsidR="00837742" w:rsidRPr="00A40277" w14:paraId="50804AC5" w14:textId="77777777" w:rsidTr="005B1F04">
        <w:trPr>
          <w:trHeight w:val="290"/>
          <w:jc w:val="center"/>
        </w:trPr>
        <w:tc>
          <w:tcPr>
            <w:tcW w:w="856" w:type="dxa"/>
            <w:vAlign w:val="center"/>
          </w:tcPr>
          <w:p w14:paraId="18E4F1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3426" w:type="dxa"/>
            <w:noWrap/>
            <w:vAlign w:val="center"/>
            <w:hideMark/>
          </w:tcPr>
          <w:p w14:paraId="220B8A3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Education</w:t>
            </w:r>
          </w:p>
        </w:tc>
        <w:tc>
          <w:tcPr>
            <w:tcW w:w="1394" w:type="dxa"/>
            <w:noWrap/>
            <w:vAlign w:val="center"/>
            <w:hideMark/>
          </w:tcPr>
          <w:p w14:paraId="2FC26A99" w14:textId="77777777" w:rsidR="00837742" w:rsidRPr="00B04ED3" w:rsidRDefault="00837742" w:rsidP="005B1F04">
            <w:pPr>
              <w:jc w:val="center"/>
              <w:rPr>
                <w:rFonts w:ascii="Arial" w:eastAsia="Times New Roman" w:hAnsi="Arial" w:cs="Arial"/>
                <w:color w:val="000000"/>
                <w:sz w:val="20"/>
                <w:szCs w:val="20"/>
                <w:lang w:eastAsia="en-IN"/>
              </w:rPr>
            </w:pPr>
          </w:p>
        </w:tc>
      </w:tr>
      <w:tr w:rsidR="00837742" w:rsidRPr="00A40277" w14:paraId="7169D882" w14:textId="77777777" w:rsidTr="005B1F04">
        <w:trPr>
          <w:trHeight w:val="290"/>
          <w:jc w:val="center"/>
        </w:trPr>
        <w:tc>
          <w:tcPr>
            <w:tcW w:w="856" w:type="dxa"/>
            <w:vAlign w:val="center"/>
          </w:tcPr>
          <w:p w14:paraId="64C14394"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654A60B3" w14:textId="77777777" w:rsidR="00837742" w:rsidRPr="00B04ED3"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Illiterate</w:t>
            </w:r>
          </w:p>
        </w:tc>
        <w:tc>
          <w:tcPr>
            <w:tcW w:w="1394" w:type="dxa"/>
            <w:noWrap/>
            <w:vAlign w:val="center"/>
            <w:hideMark/>
          </w:tcPr>
          <w:p w14:paraId="716CAE5B"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90</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20.45</w:t>
            </w:r>
            <w:r w:rsidRPr="00A40277">
              <w:rPr>
                <w:rFonts w:ascii="Arial" w:eastAsia="Times New Roman" w:hAnsi="Arial" w:cs="Arial"/>
                <w:color w:val="000000"/>
                <w:sz w:val="20"/>
                <w:szCs w:val="20"/>
                <w:lang w:eastAsia="en-IN"/>
              </w:rPr>
              <w:t>)</w:t>
            </w:r>
          </w:p>
        </w:tc>
      </w:tr>
      <w:tr w:rsidR="00837742" w:rsidRPr="00A40277" w14:paraId="0F52F3CE" w14:textId="77777777" w:rsidTr="005B1F04">
        <w:trPr>
          <w:trHeight w:val="290"/>
          <w:jc w:val="center"/>
        </w:trPr>
        <w:tc>
          <w:tcPr>
            <w:tcW w:w="856" w:type="dxa"/>
            <w:vAlign w:val="center"/>
          </w:tcPr>
          <w:p w14:paraId="04A3F262"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20965685"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Primary (1-5)</w:t>
            </w:r>
          </w:p>
        </w:tc>
        <w:tc>
          <w:tcPr>
            <w:tcW w:w="1394" w:type="dxa"/>
            <w:noWrap/>
            <w:vAlign w:val="center"/>
            <w:hideMark/>
          </w:tcPr>
          <w:p w14:paraId="4281F9A4"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121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27.5</w:t>
            </w:r>
            <w:r w:rsidRPr="00A40277">
              <w:rPr>
                <w:rFonts w:ascii="Arial" w:eastAsia="Times New Roman" w:hAnsi="Arial" w:cs="Arial"/>
                <w:color w:val="000000"/>
                <w:sz w:val="20"/>
                <w:szCs w:val="20"/>
                <w:lang w:eastAsia="en-IN"/>
              </w:rPr>
              <w:t>0)</w:t>
            </w:r>
          </w:p>
        </w:tc>
      </w:tr>
      <w:tr w:rsidR="00837742" w:rsidRPr="00A40277" w14:paraId="08BE4289" w14:textId="77777777" w:rsidTr="005B1F04">
        <w:trPr>
          <w:trHeight w:val="290"/>
          <w:jc w:val="center"/>
        </w:trPr>
        <w:tc>
          <w:tcPr>
            <w:tcW w:w="856" w:type="dxa"/>
            <w:vAlign w:val="center"/>
          </w:tcPr>
          <w:p w14:paraId="7C5FD689"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03B64886"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Secondary (6-10)</w:t>
            </w:r>
          </w:p>
        </w:tc>
        <w:tc>
          <w:tcPr>
            <w:tcW w:w="1394" w:type="dxa"/>
            <w:noWrap/>
            <w:vAlign w:val="center"/>
            <w:hideMark/>
          </w:tcPr>
          <w:p w14:paraId="0308EED0"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105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23.86</w:t>
            </w:r>
            <w:r w:rsidRPr="00A40277">
              <w:rPr>
                <w:rFonts w:ascii="Arial" w:eastAsia="Times New Roman" w:hAnsi="Arial" w:cs="Arial"/>
                <w:color w:val="000000"/>
                <w:sz w:val="20"/>
                <w:szCs w:val="20"/>
                <w:lang w:eastAsia="en-IN"/>
              </w:rPr>
              <w:t>)</w:t>
            </w:r>
          </w:p>
        </w:tc>
      </w:tr>
      <w:tr w:rsidR="00837742" w:rsidRPr="00A40277" w14:paraId="39A72501" w14:textId="77777777" w:rsidTr="005B1F04">
        <w:trPr>
          <w:trHeight w:val="290"/>
          <w:jc w:val="center"/>
        </w:trPr>
        <w:tc>
          <w:tcPr>
            <w:tcW w:w="856" w:type="dxa"/>
            <w:vAlign w:val="center"/>
          </w:tcPr>
          <w:p w14:paraId="060B3241"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76939FB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Intermediate</w:t>
            </w:r>
          </w:p>
        </w:tc>
        <w:tc>
          <w:tcPr>
            <w:tcW w:w="1394" w:type="dxa"/>
            <w:noWrap/>
            <w:vAlign w:val="center"/>
            <w:hideMark/>
          </w:tcPr>
          <w:p w14:paraId="18636F07"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15.68</w:t>
            </w:r>
            <w:r w:rsidRPr="00A40277">
              <w:rPr>
                <w:rFonts w:ascii="Arial" w:eastAsia="Times New Roman" w:hAnsi="Arial" w:cs="Arial"/>
                <w:color w:val="000000"/>
                <w:sz w:val="20"/>
                <w:szCs w:val="20"/>
                <w:lang w:eastAsia="en-IN"/>
              </w:rPr>
              <w:t>)</w:t>
            </w:r>
          </w:p>
        </w:tc>
      </w:tr>
      <w:tr w:rsidR="00837742" w:rsidRPr="00A40277" w14:paraId="7C4BC156" w14:textId="77777777" w:rsidTr="005B1F04">
        <w:trPr>
          <w:trHeight w:val="290"/>
          <w:jc w:val="center"/>
        </w:trPr>
        <w:tc>
          <w:tcPr>
            <w:tcW w:w="856" w:type="dxa"/>
            <w:vAlign w:val="center"/>
          </w:tcPr>
          <w:p w14:paraId="5C435973"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1ECB7290"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Graduate and above</w:t>
            </w:r>
          </w:p>
        </w:tc>
        <w:tc>
          <w:tcPr>
            <w:tcW w:w="1394" w:type="dxa"/>
            <w:noWrap/>
            <w:vAlign w:val="center"/>
            <w:hideMark/>
          </w:tcPr>
          <w:p w14:paraId="7DF6B35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55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12.5</w:t>
            </w:r>
            <w:r w:rsidRPr="00A40277">
              <w:rPr>
                <w:rFonts w:ascii="Arial" w:eastAsia="Times New Roman" w:hAnsi="Arial" w:cs="Arial"/>
                <w:color w:val="000000"/>
                <w:sz w:val="20"/>
                <w:szCs w:val="20"/>
                <w:lang w:eastAsia="en-IN"/>
              </w:rPr>
              <w:t>0)</w:t>
            </w:r>
          </w:p>
        </w:tc>
      </w:tr>
      <w:tr w:rsidR="00837742" w:rsidRPr="00A40277" w14:paraId="205D8E20" w14:textId="77777777" w:rsidTr="005B1F04">
        <w:trPr>
          <w:trHeight w:val="290"/>
          <w:jc w:val="center"/>
        </w:trPr>
        <w:tc>
          <w:tcPr>
            <w:tcW w:w="856" w:type="dxa"/>
            <w:vAlign w:val="center"/>
          </w:tcPr>
          <w:p w14:paraId="0748B119" w14:textId="2FA98028"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5</w:t>
            </w:r>
          </w:p>
        </w:tc>
        <w:tc>
          <w:tcPr>
            <w:tcW w:w="3426" w:type="dxa"/>
            <w:noWrap/>
            <w:vAlign w:val="center"/>
            <w:hideMark/>
          </w:tcPr>
          <w:p w14:paraId="0ABEC302"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534BDCA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379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86.13</w:t>
            </w:r>
            <w:r w:rsidRPr="00A40277">
              <w:rPr>
                <w:rFonts w:ascii="Arial" w:eastAsia="Times New Roman" w:hAnsi="Arial" w:cs="Arial"/>
                <w:color w:val="000000"/>
                <w:sz w:val="20"/>
                <w:szCs w:val="20"/>
                <w:lang w:eastAsia="en-IN"/>
              </w:rPr>
              <w:t>)</w:t>
            </w:r>
          </w:p>
        </w:tc>
      </w:tr>
      <w:tr w:rsidR="00837742" w:rsidRPr="00A40277" w14:paraId="4B1D7451" w14:textId="77777777" w:rsidTr="005B1F04">
        <w:trPr>
          <w:trHeight w:val="290"/>
          <w:jc w:val="center"/>
        </w:trPr>
        <w:tc>
          <w:tcPr>
            <w:tcW w:w="856" w:type="dxa"/>
            <w:vAlign w:val="center"/>
          </w:tcPr>
          <w:p w14:paraId="40221AB8" w14:textId="14A65DC5"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6</w:t>
            </w:r>
          </w:p>
        </w:tc>
        <w:tc>
          <w:tcPr>
            <w:tcW w:w="3426" w:type="dxa"/>
            <w:noWrap/>
            <w:vAlign w:val="center"/>
            <w:hideMark/>
          </w:tcPr>
          <w:p w14:paraId="7767EE6A"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Female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69325616"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13.86</w:t>
            </w:r>
            <w:r w:rsidRPr="00A40277">
              <w:rPr>
                <w:rFonts w:ascii="Arial" w:eastAsia="Times New Roman" w:hAnsi="Arial" w:cs="Arial"/>
                <w:color w:val="000000"/>
                <w:sz w:val="20"/>
                <w:szCs w:val="20"/>
                <w:lang w:eastAsia="en-IN"/>
              </w:rPr>
              <w:t>)</w:t>
            </w:r>
          </w:p>
        </w:tc>
      </w:tr>
      <w:tr w:rsidR="00837742" w:rsidRPr="00A40277" w14:paraId="55D697C5" w14:textId="77777777" w:rsidTr="005B1F04">
        <w:trPr>
          <w:trHeight w:val="290"/>
          <w:jc w:val="center"/>
        </w:trPr>
        <w:tc>
          <w:tcPr>
            <w:tcW w:w="856" w:type="dxa"/>
            <w:vAlign w:val="center"/>
          </w:tcPr>
          <w:p w14:paraId="44041799" w14:textId="4D67FCDF"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7</w:t>
            </w:r>
          </w:p>
        </w:tc>
        <w:tc>
          <w:tcPr>
            <w:tcW w:w="3426" w:type="dxa"/>
            <w:noWrap/>
            <w:vAlign w:val="center"/>
            <w:hideMark/>
          </w:tcPr>
          <w:p w14:paraId="6C0A300E"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Total sample size</w:t>
            </w:r>
          </w:p>
        </w:tc>
        <w:tc>
          <w:tcPr>
            <w:tcW w:w="1394" w:type="dxa"/>
            <w:noWrap/>
            <w:vAlign w:val="center"/>
            <w:hideMark/>
          </w:tcPr>
          <w:p w14:paraId="5DE2835E"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440</w:t>
            </w:r>
            <w:r w:rsidRPr="00A40277">
              <w:rPr>
                <w:rFonts w:ascii="Arial" w:eastAsia="Times New Roman" w:hAnsi="Arial" w:cs="Arial"/>
                <w:color w:val="000000"/>
                <w:sz w:val="20"/>
                <w:szCs w:val="20"/>
                <w:lang w:eastAsia="en-IN"/>
              </w:rPr>
              <w:t xml:space="preserve"> (100.00)</w:t>
            </w:r>
          </w:p>
        </w:tc>
      </w:tr>
    </w:tbl>
    <w:p w14:paraId="24894C9D" w14:textId="77777777" w:rsidR="00837742" w:rsidRPr="00A40277" w:rsidRDefault="00837742" w:rsidP="00837742">
      <w:pPr>
        <w:jc w:val="center"/>
        <w:rPr>
          <w:rFonts w:ascii="Arial" w:hAnsi="Arial" w:cs="Arial"/>
        </w:rPr>
      </w:pPr>
      <w:r w:rsidRPr="00A40277">
        <w:rPr>
          <w:rFonts w:ascii="Arial" w:hAnsi="Arial" w:cs="Arial"/>
        </w:rPr>
        <w:t>Figures in the parenthesis shows percentage to the total</w:t>
      </w:r>
    </w:p>
    <w:p w14:paraId="73CB034E" w14:textId="77777777" w:rsidR="004D35B9" w:rsidRDefault="004D35B9" w:rsidP="00FB3BD8">
      <w:pPr>
        <w:pStyle w:val="Body"/>
        <w:ind w:firstLine="720"/>
        <w:rPr>
          <w:rFonts w:ascii="Arial" w:hAnsi="Arial" w:cs="Arial"/>
        </w:rPr>
      </w:pPr>
    </w:p>
    <w:p w14:paraId="471C0AD1" w14:textId="6456DF8D" w:rsidR="00540347" w:rsidRDefault="003C5713" w:rsidP="00FB3BD8">
      <w:pPr>
        <w:pStyle w:val="Body"/>
        <w:ind w:firstLine="720"/>
        <w:rPr>
          <w:rFonts w:ascii="Arial" w:hAnsi="Arial" w:cs="Arial"/>
        </w:rPr>
      </w:pPr>
      <w:r w:rsidRPr="003C5713">
        <w:rPr>
          <w:rFonts w:ascii="Arial" w:hAnsi="Arial" w:cs="Arial"/>
        </w:rPr>
        <w:t>The descriptive statistics of the sample farmers (Table 1) indicate that the average age is 45.39 years, with a mean farming experience of 20.4 years, suggesting that most farmers have significant agricultural experience, which may influence their adoption of new technologies. The average landholding size is 1.36 hectares, reflecting the predominance of smallholder farmers, which could impact their capacity to implement CSA practices. In terms of education, 20.45% of farmers are illiterate, while 27.50% have completed primary education, 23.86% attended secondary school, 15.68% reached the intermediate level, and 12.50% attained graduate-level education or higher, indicating that while many have basic education, fewer have advanced literacy, which may affect their ability to adopt agricultural innovations. CSA adoption is evenly split, with 50% adopters and 50% non-adopters, facilitating a comparative analysis of influencing factors. Gender disparity is evident, with 86.13% of households being male-headed and only 13.86% female-headed, highlighting the need for further exploration of gender dynamics in agricultural decision-making and CSA adoption.</w:t>
      </w:r>
    </w:p>
    <w:p w14:paraId="3D0386E6" w14:textId="7A484079" w:rsidR="00837742" w:rsidRDefault="008F457A" w:rsidP="00837742">
      <w:pPr>
        <w:pStyle w:val="Body"/>
        <w:rPr>
          <w:rFonts w:ascii="Arial" w:hAnsi="Arial" w:cs="Arial"/>
          <w:b/>
          <w:bCs/>
        </w:rPr>
      </w:pPr>
      <w:r>
        <w:rPr>
          <w:rFonts w:ascii="Arial" w:hAnsi="Arial" w:cs="Arial"/>
          <w:b/>
          <w:bCs/>
        </w:rPr>
        <w:t xml:space="preserve">3.2 </w:t>
      </w:r>
      <w:r w:rsidR="00837742" w:rsidRPr="007E4CDA">
        <w:rPr>
          <w:rFonts w:ascii="Arial" w:hAnsi="Arial" w:cs="Arial"/>
          <w:b/>
          <w:bCs/>
        </w:rPr>
        <w:t>Awareness o</w:t>
      </w:r>
      <w:r w:rsidR="00FB3BD8">
        <w:rPr>
          <w:rFonts w:ascii="Arial" w:hAnsi="Arial" w:cs="Arial"/>
          <w:b/>
          <w:bCs/>
        </w:rPr>
        <w:t>n</w:t>
      </w:r>
      <w:r w:rsidR="00837742" w:rsidRPr="007E4CDA">
        <w:rPr>
          <w:rFonts w:ascii="Arial" w:hAnsi="Arial" w:cs="Arial"/>
          <w:b/>
          <w:bCs/>
        </w:rPr>
        <w:t xml:space="preserve"> climate change:</w:t>
      </w:r>
    </w:p>
    <w:p w14:paraId="6E3EAD94" w14:textId="77777777" w:rsidR="003C5713" w:rsidRPr="00837742" w:rsidRDefault="003C5713" w:rsidP="003C5713">
      <w:pPr>
        <w:pStyle w:val="Body"/>
        <w:ind w:firstLine="720"/>
        <w:rPr>
          <w:rFonts w:ascii="Arial" w:hAnsi="Arial" w:cs="Arial"/>
        </w:rPr>
      </w:pPr>
      <w:r w:rsidRPr="00837742">
        <w:rPr>
          <w:rFonts w:ascii="Arial" w:hAnsi="Arial" w:cs="Arial"/>
        </w:rPr>
        <w:t>The given figure</w:t>
      </w:r>
      <w:r>
        <w:rPr>
          <w:rFonts w:ascii="Arial" w:hAnsi="Arial" w:cs="Arial"/>
        </w:rPr>
        <w:t>.1</w:t>
      </w:r>
      <w:r w:rsidRPr="00837742">
        <w:rPr>
          <w:rFonts w:ascii="Arial" w:hAnsi="Arial" w:cs="Arial"/>
        </w:rPr>
        <w:t xml:space="preserve"> represents the awareness of farmers regarding various CSA technologies, as indicated by their responses to different climate-related phenomena. The responses are categorized into five levels: Strongly Agree (blue), Agree (orange), Neutral (gray), Disagree (yellow), and Strongly Disagree (dark blue). Each phenomenon related to climate change impacts and CSA awareness is analyzed below.</w:t>
      </w:r>
    </w:p>
    <w:p w14:paraId="1F373D2D" w14:textId="56A99829" w:rsidR="000F11C9" w:rsidRPr="000F11C9" w:rsidRDefault="000F11C9" w:rsidP="000F11C9">
      <w:pPr>
        <w:pStyle w:val="Body"/>
        <w:ind w:firstLine="720"/>
        <w:rPr>
          <w:rFonts w:ascii="Arial" w:hAnsi="Arial" w:cs="Arial"/>
        </w:rPr>
      </w:pPr>
      <w:r w:rsidRPr="000F11C9">
        <w:rPr>
          <w:rFonts w:ascii="Arial" w:hAnsi="Arial" w:cs="Arial"/>
        </w:rPr>
        <w:t>Farmers exhibited mixed awareness regarding extreme weather events and climate variability. For hailstorms, 26.59% agreed that they are occurring, while 17.27% strongly disagreed, reflecting diverse experiences. Similarly, awareness of floods varied, with 31.59% strongly disagreeing, indicating that many farmers do not perceive floods as a major concern. However, groundwater depletion emerged as a widely recognized issue, with 48.41% strongly agreeing and 38.41% agreeing that water levels are declining. Temperature fluctuations were also evident, as 60.23% strongly agreed that daytime temperatures are rising, while perceptions of night-time temperature changes were more divided. Awareness of untimely rainfall was relatively high, with 33.64% strongly agreeing and 33.18% agreeing, though a small proportion (9.77%) remained neutral or disagreed, possibly due to regional differences. Monsoon pattern changes further revealed contrasting opinions; 55.23% agreed that monsoon withdrawal is happening earlier, while 59.77% strongly agreed on delayed onset, indicating strong recognition of shifting rainfall patterns. These findings suggest that while farmers are highly aware of certain climate risks like groundwater depletion and temperature rise, perceptions of other climate events remain varied based on their localized experiences.</w:t>
      </w:r>
    </w:p>
    <w:p w14:paraId="4B5AF846" w14:textId="0E1500F3" w:rsidR="00837742" w:rsidRPr="00837742" w:rsidRDefault="00837742" w:rsidP="00837742">
      <w:pPr>
        <w:pStyle w:val="Body"/>
        <w:rPr>
          <w:rFonts w:ascii="Arial" w:hAnsi="Arial" w:cs="Arial"/>
        </w:rPr>
      </w:pPr>
      <w:r w:rsidRPr="00A40277">
        <w:rPr>
          <w:rFonts w:ascii="Arial" w:hAnsi="Arial" w:cs="Arial"/>
          <w:noProof/>
        </w:rPr>
        <w:lastRenderedPageBreak/>
        <w:drawing>
          <wp:inline distT="0" distB="0" distL="0" distR="0" wp14:anchorId="3D731CC8" wp14:editId="31EC0B0B">
            <wp:extent cx="5613991" cy="3859618"/>
            <wp:effectExtent l="0" t="0" r="0" b="0"/>
            <wp:docPr id="2089275499" name="Chart 1">
              <a:extLst xmlns:a="http://schemas.openxmlformats.org/drawingml/2006/main">
                <a:ext uri="{FF2B5EF4-FFF2-40B4-BE49-F238E27FC236}">
                  <a16:creationId xmlns:a16="http://schemas.microsoft.com/office/drawing/2014/main" id="{63A4F790-A422-3303-B8E8-53B36E5F5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383A5" w14:textId="40770D30" w:rsidR="00837742" w:rsidRPr="00056402" w:rsidRDefault="00837742" w:rsidP="00837742">
      <w:pPr>
        <w:pStyle w:val="Body"/>
        <w:jc w:val="center"/>
        <w:rPr>
          <w:rFonts w:ascii="Arial" w:hAnsi="Arial" w:cs="Arial"/>
          <w:b/>
          <w:bCs/>
        </w:rPr>
      </w:pPr>
      <w:r w:rsidRPr="00056402">
        <w:rPr>
          <w:rFonts w:ascii="Arial" w:hAnsi="Arial" w:cs="Arial"/>
          <w:b/>
          <w:bCs/>
        </w:rPr>
        <w:t>Figure.</w:t>
      </w:r>
      <w:r w:rsidR="000B6800" w:rsidRPr="00056402">
        <w:rPr>
          <w:rFonts w:ascii="Arial" w:hAnsi="Arial" w:cs="Arial"/>
          <w:b/>
          <w:bCs/>
        </w:rPr>
        <w:t>1</w:t>
      </w:r>
      <w:r w:rsidRPr="00056402">
        <w:rPr>
          <w:rFonts w:ascii="Arial" w:hAnsi="Arial" w:cs="Arial"/>
          <w:b/>
          <w:bCs/>
        </w:rPr>
        <w:t xml:space="preserve"> Farmers awareness on climate change</w:t>
      </w:r>
    </w:p>
    <w:p w14:paraId="48876A7B" w14:textId="76D0D705" w:rsidR="00837742" w:rsidRDefault="008F457A" w:rsidP="00837742">
      <w:pPr>
        <w:rPr>
          <w:rFonts w:ascii="Arial" w:hAnsi="Arial" w:cs="Arial"/>
          <w:b/>
          <w:bCs/>
        </w:rPr>
      </w:pPr>
      <w:r>
        <w:rPr>
          <w:rFonts w:ascii="Arial" w:hAnsi="Arial" w:cs="Arial"/>
          <w:b/>
          <w:bCs/>
        </w:rPr>
        <w:t xml:space="preserve">3.3 </w:t>
      </w:r>
      <w:r w:rsidR="00837742" w:rsidRPr="00A40277">
        <w:rPr>
          <w:rFonts w:ascii="Arial" w:hAnsi="Arial" w:cs="Arial"/>
          <w:b/>
          <w:bCs/>
        </w:rPr>
        <w:t xml:space="preserve">Awareness on Climate Smart Agricultural technologies: </w:t>
      </w:r>
    </w:p>
    <w:p w14:paraId="3C822DA8" w14:textId="77777777" w:rsidR="007E4CDA" w:rsidRPr="00A40277" w:rsidRDefault="007E4CDA" w:rsidP="00837742">
      <w:pPr>
        <w:rPr>
          <w:rFonts w:ascii="Arial" w:hAnsi="Arial" w:cs="Arial"/>
          <w:b/>
          <w:bCs/>
        </w:rPr>
      </w:pPr>
    </w:p>
    <w:p w14:paraId="0E0CB9AB" w14:textId="35ECD16A" w:rsidR="00837742" w:rsidRPr="00A40277" w:rsidRDefault="00837742" w:rsidP="00837742">
      <w:pPr>
        <w:jc w:val="center"/>
        <w:rPr>
          <w:rFonts w:ascii="Arial" w:hAnsi="Arial" w:cs="Arial"/>
          <w:b/>
          <w:bCs/>
        </w:rPr>
      </w:pPr>
      <w:r w:rsidRPr="00A40277">
        <w:rPr>
          <w:rFonts w:ascii="Arial" w:hAnsi="Arial" w:cs="Arial"/>
          <w:b/>
          <w:bCs/>
        </w:rPr>
        <w:t xml:space="preserve">Table </w:t>
      </w:r>
      <w:r w:rsidR="00BB4483">
        <w:rPr>
          <w:rFonts w:ascii="Arial" w:hAnsi="Arial" w:cs="Arial"/>
          <w:b/>
          <w:bCs/>
        </w:rPr>
        <w:t>2</w:t>
      </w:r>
      <w:r w:rsidRPr="00A40277">
        <w:rPr>
          <w:rFonts w:ascii="Arial" w:hAnsi="Arial" w:cs="Arial"/>
          <w:b/>
          <w:bCs/>
        </w:rPr>
        <w:t xml:space="preserve">. Farmers awareness on </w:t>
      </w:r>
      <w:r w:rsidR="006F5339">
        <w:rPr>
          <w:rFonts w:ascii="Arial" w:hAnsi="Arial" w:cs="Arial"/>
          <w:b/>
          <w:bCs/>
        </w:rPr>
        <w:t xml:space="preserve">various </w:t>
      </w:r>
      <w:r w:rsidRPr="00A40277">
        <w:rPr>
          <w:rFonts w:ascii="Arial" w:hAnsi="Arial" w:cs="Arial"/>
          <w:b/>
          <w:bCs/>
        </w:rPr>
        <w:t>Climate Smart Agricultural technologies</w:t>
      </w:r>
    </w:p>
    <w:tbl>
      <w:tblPr>
        <w:tblStyle w:val="TableGrid"/>
        <w:tblW w:w="7942" w:type="dxa"/>
        <w:jc w:val="center"/>
        <w:tblLook w:val="04A0" w:firstRow="1" w:lastRow="0" w:firstColumn="1" w:lastColumn="0" w:noHBand="0" w:noVBand="1"/>
      </w:tblPr>
      <w:tblGrid>
        <w:gridCol w:w="704"/>
        <w:gridCol w:w="5298"/>
        <w:gridCol w:w="970"/>
        <w:gridCol w:w="970"/>
      </w:tblGrid>
      <w:tr w:rsidR="00837742" w:rsidRPr="00A40277" w14:paraId="4F210D1C" w14:textId="77777777" w:rsidTr="005B1F04">
        <w:trPr>
          <w:trHeight w:val="490"/>
          <w:jc w:val="center"/>
        </w:trPr>
        <w:tc>
          <w:tcPr>
            <w:tcW w:w="704" w:type="dxa"/>
            <w:vAlign w:val="center"/>
          </w:tcPr>
          <w:p w14:paraId="193B8574"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298" w:type="dxa"/>
            <w:vAlign w:val="center"/>
            <w:hideMark/>
          </w:tcPr>
          <w:p w14:paraId="1B7B6CB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Particulars</w:t>
            </w:r>
          </w:p>
        </w:tc>
        <w:tc>
          <w:tcPr>
            <w:tcW w:w="970" w:type="dxa"/>
            <w:vAlign w:val="center"/>
            <w:hideMark/>
          </w:tcPr>
          <w:p w14:paraId="69056298" w14:textId="2A4974E4"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Yes</w:t>
            </w:r>
            <w:r w:rsidR="00884047">
              <w:rPr>
                <w:rFonts w:ascii="Arial" w:eastAsia="Times New Roman" w:hAnsi="Arial" w:cs="Arial"/>
                <w:b/>
                <w:bCs/>
                <w:color w:val="000000"/>
                <w:sz w:val="20"/>
                <w:szCs w:val="20"/>
                <w:lang w:eastAsia="en-IN"/>
              </w:rPr>
              <w:t xml:space="preserve"> (%)</w:t>
            </w:r>
          </w:p>
        </w:tc>
        <w:tc>
          <w:tcPr>
            <w:tcW w:w="970" w:type="dxa"/>
            <w:vAlign w:val="center"/>
            <w:hideMark/>
          </w:tcPr>
          <w:p w14:paraId="0EA44613" w14:textId="0FAACF9C"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No</w:t>
            </w:r>
            <w:r w:rsidR="00884047">
              <w:rPr>
                <w:rFonts w:ascii="Arial" w:eastAsia="Times New Roman" w:hAnsi="Arial" w:cs="Arial"/>
                <w:b/>
                <w:bCs/>
                <w:color w:val="000000"/>
                <w:sz w:val="20"/>
                <w:szCs w:val="20"/>
                <w:lang w:eastAsia="en-IN"/>
              </w:rPr>
              <w:t xml:space="preserve"> (%)</w:t>
            </w:r>
          </w:p>
        </w:tc>
      </w:tr>
      <w:tr w:rsidR="00837742" w:rsidRPr="00A40277" w14:paraId="598E536A" w14:textId="77777777" w:rsidTr="005B1F04">
        <w:trPr>
          <w:trHeight w:val="600"/>
          <w:jc w:val="center"/>
        </w:trPr>
        <w:tc>
          <w:tcPr>
            <w:tcW w:w="704" w:type="dxa"/>
            <w:vAlign w:val="center"/>
          </w:tcPr>
          <w:p w14:paraId="4200CC94"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w:t>
            </w:r>
          </w:p>
        </w:tc>
        <w:tc>
          <w:tcPr>
            <w:tcW w:w="5298" w:type="dxa"/>
            <w:vAlign w:val="center"/>
            <w:hideMark/>
          </w:tcPr>
          <w:p w14:paraId="33B528B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about the technologies involved for climate resilience?</w:t>
            </w:r>
          </w:p>
        </w:tc>
        <w:tc>
          <w:tcPr>
            <w:tcW w:w="970" w:type="dxa"/>
            <w:vAlign w:val="center"/>
            <w:hideMark/>
          </w:tcPr>
          <w:p w14:paraId="47E73A30"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49.77</w:t>
            </w:r>
          </w:p>
        </w:tc>
        <w:tc>
          <w:tcPr>
            <w:tcW w:w="970" w:type="dxa"/>
            <w:vAlign w:val="center"/>
            <w:hideMark/>
          </w:tcPr>
          <w:p w14:paraId="0CB0112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50.23</w:t>
            </w:r>
          </w:p>
        </w:tc>
      </w:tr>
      <w:tr w:rsidR="00837742" w:rsidRPr="00A40277" w14:paraId="6790FB28" w14:textId="77777777" w:rsidTr="005B1F04">
        <w:trPr>
          <w:trHeight w:val="662"/>
          <w:jc w:val="center"/>
        </w:trPr>
        <w:tc>
          <w:tcPr>
            <w:tcW w:w="704" w:type="dxa"/>
            <w:vAlign w:val="center"/>
          </w:tcPr>
          <w:p w14:paraId="4422F255"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2</w:t>
            </w:r>
          </w:p>
        </w:tc>
        <w:tc>
          <w:tcPr>
            <w:tcW w:w="5298" w:type="dxa"/>
            <w:vAlign w:val="center"/>
            <w:hideMark/>
          </w:tcPr>
          <w:p w14:paraId="0BB7852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drought tolerant varieties help in achieving optimum yield despite less rainfall?</w:t>
            </w:r>
          </w:p>
        </w:tc>
        <w:tc>
          <w:tcPr>
            <w:tcW w:w="970" w:type="dxa"/>
            <w:vAlign w:val="center"/>
            <w:hideMark/>
          </w:tcPr>
          <w:p w14:paraId="1A7B7C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55.91</w:t>
            </w:r>
          </w:p>
        </w:tc>
        <w:tc>
          <w:tcPr>
            <w:tcW w:w="970" w:type="dxa"/>
            <w:vAlign w:val="center"/>
            <w:hideMark/>
          </w:tcPr>
          <w:p w14:paraId="0E72DCE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44.09</w:t>
            </w:r>
          </w:p>
        </w:tc>
      </w:tr>
      <w:tr w:rsidR="00837742" w:rsidRPr="00A40277" w14:paraId="466EEE37" w14:textId="77777777" w:rsidTr="005B1F04">
        <w:trPr>
          <w:trHeight w:val="700"/>
          <w:jc w:val="center"/>
        </w:trPr>
        <w:tc>
          <w:tcPr>
            <w:tcW w:w="704" w:type="dxa"/>
            <w:vAlign w:val="center"/>
          </w:tcPr>
          <w:p w14:paraId="40000FB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3</w:t>
            </w:r>
          </w:p>
        </w:tc>
        <w:tc>
          <w:tcPr>
            <w:tcW w:w="5298" w:type="dxa"/>
            <w:vAlign w:val="center"/>
            <w:hideMark/>
          </w:tcPr>
          <w:p w14:paraId="5D66AAD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direct seeded rice can reduce emission of harmful greenhouse gas?</w:t>
            </w:r>
          </w:p>
        </w:tc>
        <w:tc>
          <w:tcPr>
            <w:tcW w:w="970" w:type="dxa"/>
            <w:vAlign w:val="center"/>
            <w:hideMark/>
          </w:tcPr>
          <w:p w14:paraId="46B4635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38.86</w:t>
            </w:r>
          </w:p>
        </w:tc>
        <w:tc>
          <w:tcPr>
            <w:tcW w:w="970" w:type="dxa"/>
            <w:vAlign w:val="center"/>
            <w:hideMark/>
          </w:tcPr>
          <w:p w14:paraId="11535EF7"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61.14</w:t>
            </w:r>
          </w:p>
        </w:tc>
      </w:tr>
      <w:tr w:rsidR="00837742" w:rsidRPr="00A40277" w14:paraId="7E24FED4" w14:textId="77777777" w:rsidTr="005B1F04">
        <w:trPr>
          <w:trHeight w:val="841"/>
          <w:jc w:val="center"/>
        </w:trPr>
        <w:tc>
          <w:tcPr>
            <w:tcW w:w="704" w:type="dxa"/>
            <w:vAlign w:val="center"/>
          </w:tcPr>
          <w:p w14:paraId="28B58E9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4</w:t>
            </w:r>
          </w:p>
        </w:tc>
        <w:tc>
          <w:tcPr>
            <w:tcW w:w="5298" w:type="dxa"/>
            <w:vAlign w:val="center"/>
            <w:hideMark/>
          </w:tcPr>
          <w:p w14:paraId="582B41A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growing green manure and incorporating into soil improves nitrogen supply and soil quality.</w:t>
            </w:r>
          </w:p>
        </w:tc>
        <w:tc>
          <w:tcPr>
            <w:tcW w:w="970" w:type="dxa"/>
            <w:vAlign w:val="center"/>
            <w:hideMark/>
          </w:tcPr>
          <w:p w14:paraId="0E8313A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51.14</w:t>
            </w:r>
          </w:p>
        </w:tc>
        <w:tc>
          <w:tcPr>
            <w:tcW w:w="970" w:type="dxa"/>
            <w:vAlign w:val="center"/>
            <w:hideMark/>
          </w:tcPr>
          <w:p w14:paraId="559632B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48.86</w:t>
            </w:r>
          </w:p>
        </w:tc>
      </w:tr>
      <w:tr w:rsidR="00837742" w:rsidRPr="00A40277" w14:paraId="675E8ABA" w14:textId="77777777" w:rsidTr="005B1F04">
        <w:trPr>
          <w:trHeight w:val="699"/>
          <w:jc w:val="center"/>
        </w:trPr>
        <w:tc>
          <w:tcPr>
            <w:tcW w:w="704" w:type="dxa"/>
            <w:vAlign w:val="center"/>
          </w:tcPr>
          <w:p w14:paraId="6C51157B"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5</w:t>
            </w:r>
          </w:p>
        </w:tc>
        <w:tc>
          <w:tcPr>
            <w:tcW w:w="5298" w:type="dxa"/>
            <w:vAlign w:val="center"/>
            <w:hideMark/>
          </w:tcPr>
          <w:p w14:paraId="7DB2034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HDPS cotton reduces the risk of terminal drought and failure due to pests</w:t>
            </w:r>
          </w:p>
        </w:tc>
        <w:tc>
          <w:tcPr>
            <w:tcW w:w="970" w:type="dxa"/>
            <w:vAlign w:val="center"/>
            <w:hideMark/>
          </w:tcPr>
          <w:p w14:paraId="31355EF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35.45</w:t>
            </w:r>
          </w:p>
        </w:tc>
        <w:tc>
          <w:tcPr>
            <w:tcW w:w="970" w:type="dxa"/>
            <w:vAlign w:val="center"/>
            <w:hideMark/>
          </w:tcPr>
          <w:p w14:paraId="6787FF6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64.55</w:t>
            </w:r>
          </w:p>
        </w:tc>
      </w:tr>
      <w:tr w:rsidR="00837742" w:rsidRPr="00A40277" w14:paraId="0489C91A" w14:textId="77777777" w:rsidTr="005B1F04">
        <w:trPr>
          <w:trHeight w:val="837"/>
          <w:jc w:val="center"/>
        </w:trPr>
        <w:tc>
          <w:tcPr>
            <w:tcW w:w="704" w:type="dxa"/>
            <w:vAlign w:val="center"/>
          </w:tcPr>
          <w:p w14:paraId="30FD002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lastRenderedPageBreak/>
              <w:t>6</w:t>
            </w:r>
          </w:p>
        </w:tc>
        <w:tc>
          <w:tcPr>
            <w:tcW w:w="5298" w:type="dxa"/>
            <w:vAlign w:val="center"/>
            <w:hideMark/>
          </w:tcPr>
          <w:p w14:paraId="74FA9D7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Rooftop rain water collection provides good opportunities for augmenting the common pool of groundwater resources</w:t>
            </w:r>
          </w:p>
        </w:tc>
        <w:tc>
          <w:tcPr>
            <w:tcW w:w="970" w:type="dxa"/>
            <w:vAlign w:val="center"/>
            <w:hideMark/>
          </w:tcPr>
          <w:p w14:paraId="4D7705B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72.05</w:t>
            </w:r>
          </w:p>
        </w:tc>
        <w:tc>
          <w:tcPr>
            <w:tcW w:w="970" w:type="dxa"/>
            <w:vAlign w:val="center"/>
            <w:hideMark/>
          </w:tcPr>
          <w:p w14:paraId="6A24101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27.95</w:t>
            </w:r>
          </w:p>
        </w:tc>
      </w:tr>
      <w:tr w:rsidR="00837742" w:rsidRPr="00A40277" w14:paraId="36E8F00D" w14:textId="77777777" w:rsidTr="005B1F04">
        <w:trPr>
          <w:trHeight w:val="551"/>
          <w:jc w:val="center"/>
        </w:trPr>
        <w:tc>
          <w:tcPr>
            <w:tcW w:w="704" w:type="dxa"/>
            <w:vAlign w:val="center"/>
          </w:tcPr>
          <w:p w14:paraId="34F4AB4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7</w:t>
            </w:r>
          </w:p>
        </w:tc>
        <w:tc>
          <w:tcPr>
            <w:tcW w:w="5298" w:type="dxa"/>
            <w:vAlign w:val="center"/>
            <w:hideMark/>
          </w:tcPr>
          <w:p w14:paraId="295AE16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farm machinery is an important intervention for timely completion of farm operations?</w:t>
            </w:r>
          </w:p>
        </w:tc>
        <w:tc>
          <w:tcPr>
            <w:tcW w:w="970" w:type="dxa"/>
            <w:vAlign w:val="center"/>
            <w:hideMark/>
          </w:tcPr>
          <w:p w14:paraId="1E8567B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87.95</w:t>
            </w:r>
          </w:p>
        </w:tc>
        <w:tc>
          <w:tcPr>
            <w:tcW w:w="970" w:type="dxa"/>
            <w:vAlign w:val="center"/>
            <w:hideMark/>
          </w:tcPr>
          <w:p w14:paraId="7EE8754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12.05</w:t>
            </w:r>
          </w:p>
        </w:tc>
      </w:tr>
      <w:tr w:rsidR="00837742" w:rsidRPr="00A40277" w14:paraId="02EC94E8" w14:textId="77777777" w:rsidTr="005B1F04">
        <w:trPr>
          <w:trHeight w:val="842"/>
          <w:jc w:val="center"/>
        </w:trPr>
        <w:tc>
          <w:tcPr>
            <w:tcW w:w="704" w:type="dxa"/>
            <w:vAlign w:val="center"/>
          </w:tcPr>
          <w:p w14:paraId="214DFDEA"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8</w:t>
            </w:r>
          </w:p>
        </w:tc>
        <w:tc>
          <w:tcPr>
            <w:tcW w:w="5298" w:type="dxa"/>
            <w:vAlign w:val="center"/>
            <w:hideMark/>
          </w:tcPr>
          <w:p w14:paraId="4812AFA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 xml:space="preserve">Are you aware about Automatic Weather Stations, which are issuing customized </w:t>
            </w:r>
            <w:proofErr w:type="spellStart"/>
            <w:r w:rsidRPr="00A40277">
              <w:rPr>
                <w:rFonts w:ascii="Arial" w:eastAsia="Times New Roman" w:hAnsi="Arial" w:cs="Arial"/>
                <w:color w:val="000000"/>
                <w:sz w:val="20"/>
                <w:szCs w:val="20"/>
                <w:lang w:eastAsia="en-IN"/>
              </w:rPr>
              <w:t>agro</w:t>
            </w:r>
            <w:proofErr w:type="spellEnd"/>
            <w:r w:rsidRPr="00A40277">
              <w:rPr>
                <w:rFonts w:ascii="Arial" w:eastAsia="Times New Roman" w:hAnsi="Arial" w:cs="Arial"/>
                <w:color w:val="000000"/>
                <w:sz w:val="20"/>
                <w:szCs w:val="20"/>
                <w:lang w:eastAsia="en-IN"/>
              </w:rPr>
              <w:t xml:space="preserve"> advisory service and improving weather literacy?</w:t>
            </w:r>
          </w:p>
        </w:tc>
        <w:tc>
          <w:tcPr>
            <w:tcW w:w="970" w:type="dxa"/>
            <w:vAlign w:val="center"/>
            <w:hideMark/>
          </w:tcPr>
          <w:p w14:paraId="0FE99BF9"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47.05</w:t>
            </w:r>
          </w:p>
        </w:tc>
        <w:tc>
          <w:tcPr>
            <w:tcW w:w="970" w:type="dxa"/>
            <w:vAlign w:val="center"/>
            <w:hideMark/>
          </w:tcPr>
          <w:p w14:paraId="10114E1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52.95</w:t>
            </w:r>
          </w:p>
        </w:tc>
      </w:tr>
      <w:tr w:rsidR="00837742" w:rsidRPr="00A40277" w14:paraId="593D83FA" w14:textId="77777777" w:rsidTr="005B1F04">
        <w:trPr>
          <w:trHeight w:val="854"/>
          <w:jc w:val="center"/>
        </w:trPr>
        <w:tc>
          <w:tcPr>
            <w:tcW w:w="704" w:type="dxa"/>
            <w:vAlign w:val="center"/>
          </w:tcPr>
          <w:p w14:paraId="49193AA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9</w:t>
            </w:r>
          </w:p>
        </w:tc>
        <w:tc>
          <w:tcPr>
            <w:tcW w:w="5298" w:type="dxa"/>
            <w:vAlign w:val="center"/>
            <w:hideMark/>
          </w:tcPr>
          <w:p w14:paraId="67EB351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that site specific nutrient application and Integrated nutrient management help in bringing climate resiliency?</w:t>
            </w:r>
          </w:p>
        </w:tc>
        <w:tc>
          <w:tcPr>
            <w:tcW w:w="970" w:type="dxa"/>
            <w:vAlign w:val="center"/>
            <w:hideMark/>
          </w:tcPr>
          <w:p w14:paraId="456094D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40.23</w:t>
            </w:r>
          </w:p>
        </w:tc>
        <w:tc>
          <w:tcPr>
            <w:tcW w:w="970" w:type="dxa"/>
            <w:vAlign w:val="center"/>
            <w:hideMark/>
          </w:tcPr>
          <w:p w14:paraId="253ABBA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59.77</w:t>
            </w:r>
          </w:p>
        </w:tc>
      </w:tr>
      <w:tr w:rsidR="00837742" w:rsidRPr="00A40277" w14:paraId="59AD16AA" w14:textId="77777777" w:rsidTr="005B1F04">
        <w:trPr>
          <w:trHeight w:val="697"/>
          <w:jc w:val="center"/>
        </w:trPr>
        <w:tc>
          <w:tcPr>
            <w:tcW w:w="704" w:type="dxa"/>
            <w:vAlign w:val="center"/>
          </w:tcPr>
          <w:p w14:paraId="27FD0243"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10</w:t>
            </w:r>
          </w:p>
        </w:tc>
        <w:tc>
          <w:tcPr>
            <w:tcW w:w="5298" w:type="dxa"/>
            <w:vAlign w:val="center"/>
            <w:hideMark/>
          </w:tcPr>
          <w:p w14:paraId="304C822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Crop-specific insurance to compensate income loss due to vagaries of weather.</w:t>
            </w:r>
          </w:p>
        </w:tc>
        <w:tc>
          <w:tcPr>
            <w:tcW w:w="970" w:type="dxa"/>
            <w:vAlign w:val="center"/>
            <w:hideMark/>
          </w:tcPr>
          <w:p w14:paraId="022A0CC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49.32</w:t>
            </w:r>
          </w:p>
        </w:tc>
        <w:tc>
          <w:tcPr>
            <w:tcW w:w="970" w:type="dxa"/>
            <w:vAlign w:val="center"/>
            <w:hideMark/>
          </w:tcPr>
          <w:p w14:paraId="223801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50.68</w:t>
            </w:r>
          </w:p>
        </w:tc>
      </w:tr>
    </w:tbl>
    <w:p w14:paraId="0E425527" w14:textId="77777777" w:rsidR="00837742" w:rsidRPr="00837742" w:rsidRDefault="00837742" w:rsidP="00837742">
      <w:pPr>
        <w:pStyle w:val="Body"/>
        <w:rPr>
          <w:rFonts w:ascii="Arial" w:hAnsi="Arial" w:cs="Arial"/>
        </w:rPr>
      </w:pPr>
    </w:p>
    <w:p w14:paraId="21C96993" w14:textId="536C000A" w:rsidR="00837742" w:rsidRPr="00837742" w:rsidRDefault="00837742" w:rsidP="00BB4483">
      <w:pPr>
        <w:pStyle w:val="Body"/>
        <w:ind w:firstLine="720"/>
        <w:rPr>
          <w:rFonts w:ascii="Arial" w:hAnsi="Arial" w:cs="Arial"/>
        </w:rPr>
      </w:pPr>
      <w:r w:rsidRPr="00837742">
        <w:rPr>
          <w:rFonts w:ascii="Arial" w:hAnsi="Arial" w:cs="Arial"/>
        </w:rPr>
        <w:t>The table</w:t>
      </w:r>
      <w:r w:rsidR="00BB4483">
        <w:rPr>
          <w:rFonts w:ascii="Arial" w:hAnsi="Arial" w:cs="Arial"/>
        </w:rPr>
        <w:t xml:space="preserve"> 2</w:t>
      </w:r>
      <w:r w:rsidRPr="00837742">
        <w:rPr>
          <w:rFonts w:ascii="Arial" w:hAnsi="Arial" w:cs="Arial"/>
        </w:rPr>
        <w:t xml:space="preserve"> presents insights into farmers' awareness of various CSA</w:t>
      </w:r>
      <w:r w:rsidR="00DC0C44">
        <w:rPr>
          <w:rFonts w:ascii="Arial" w:hAnsi="Arial" w:cs="Arial"/>
        </w:rPr>
        <w:t xml:space="preserve"> </w:t>
      </w:r>
      <w:r w:rsidRPr="00837742">
        <w:rPr>
          <w:rFonts w:ascii="Arial" w:hAnsi="Arial" w:cs="Arial"/>
        </w:rPr>
        <w:t>technologies and their role in climate resilience. The data suggests a mixed level of awareness, with some technologies being widely recognized while others remain relatively unknown among the farming community.</w:t>
      </w:r>
    </w:p>
    <w:p w14:paraId="1CC36A83" w14:textId="7F1587EC" w:rsidR="00837742" w:rsidRPr="00837742" w:rsidRDefault="00837742" w:rsidP="001E312E">
      <w:pPr>
        <w:pStyle w:val="Body"/>
        <w:ind w:firstLine="720"/>
        <w:rPr>
          <w:rFonts w:ascii="Arial" w:hAnsi="Arial" w:cs="Arial"/>
        </w:rPr>
      </w:pPr>
      <w:r w:rsidRPr="00837742">
        <w:rPr>
          <w:rFonts w:ascii="Arial" w:hAnsi="Arial" w:cs="Arial"/>
        </w:rPr>
        <w:t xml:space="preserve">Nearly half of the farmers (49.77%) reported being aware of technologies that contribute to climate resilience, while 50.23% were unaware. This indicates a balanced division in awareness, highlighting the need for increased dissemination of knowledge on CSA technologies. In particular, </w:t>
      </w:r>
      <w:r w:rsidR="00FF6FAE" w:rsidRPr="00837742">
        <w:rPr>
          <w:rFonts w:ascii="Arial" w:hAnsi="Arial" w:cs="Arial"/>
        </w:rPr>
        <w:t>55.9</w:t>
      </w:r>
      <w:r w:rsidR="00FF6FAE">
        <w:rPr>
          <w:rFonts w:ascii="Arial" w:hAnsi="Arial" w:cs="Arial"/>
        </w:rPr>
        <w:t>1</w:t>
      </w:r>
      <w:r w:rsidR="00794AE6">
        <w:rPr>
          <w:rFonts w:ascii="Arial" w:hAnsi="Arial" w:cs="Arial"/>
        </w:rPr>
        <w:t>%</w:t>
      </w:r>
      <w:r w:rsidRPr="00837742">
        <w:rPr>
          <w:rFonts w:ascii="Arial" w:hAnsi="Arial" w:cs="Arial"/>
        </w:rPr>
        <w:t xml:space="preserve"> of farmers acknowledged the role of drought-tolerant varieties in maintaining optimal yields despite limited rainfall. However, a considerable percentage (44.09%) lacked awareness of this critical adaptation strategy, which is vital for climate resilience.</w:t>
      </w:r>
      <w:r w:rsidR="004E7171">
        <w:rPr>
          <w:rFonts w:ascii="Arial" w:hAnsi="Arial" w:cs="Arial"/>
        </w:rPr>
        <w:t xml:space="preserve"> </w:t>
      </w:r>
      <w:r w:rsidRPr="00837742">
        <w:rPr>
          <w:rFonts w:ascii="Arial" w:hAnsi="Arial" w:cs="Arial"/>
        </w:rPr>
        <w:t>A concerning gap is evident in the awareness of direct-seeded rice (DSR) technology, which can help reduce greenhouse gas emissions. Only 38.86% of farmers knew about this technique, while a majority (61.14%) were unaware, suggesting that the adoption of climate-friendly rice cultivation practices may be limited. Similarly, the practice of growing and incorporating green manure into the soil, which enhances nitrogen availability and improves soil quality, was known to 51.14% of farmers, while 48.86% were unaware of its benefits.</w:t>
      </w:r>
      <w:r w:rsidR="001E312E">
        <w:rPr>
          <w:rFonts w:ascii="Arial" w:hAnsi="Arial" w:cs="Arial"/>
        </w:rPr>
        <w:t xml:space="preserve"> </w:t>
      </w:r>
      <w:r w:rsidRPr="00837742">
        <w:rPr>
          <w:rFonts w:ascii="Arial" w:hAnsi="Arial" w:cs="Arial"/>
        </w:rPr>
        <w:t>Awareness about High-Density Planting System (HDPS) in cotton, which reduces risks associated with terminal drought and pest failures, was relatively low. Only 35.45% of farmers knew about HDPS, whereas a majority (64.55%) were unaware. This reflects a significant gap in knowledge about advanced agronomic practices that could enhance cotton yields in water-stressed environments. On the other hand, rooftop rainwater collection, a promising solution for groundwater augmentation, had relatively high awareness, with 72.05% of farmers recognizing its importance. However, 27.95% were still unfamiliar with this technique, suggesting room for further awareness campaigns.</w:t>
      </w:r>
    </w:p>
    <w:p w14:paraId="3563FE98" w14:textId="5798FC55" w:rsidR="00837742" w:rsidRPr="00837742" w:rsidRDefault="00837742" w:rsidP="001E312E">
      <w:pPr>
        <w:pStyle w:val="Body"/>
        <w:ind w:firstLine="720"/>
        <w:rPr>
          <w:rFonts w:ascii="Arial" w:hAnsi="Arial" w:cs="Arial"/>
        </w:rPr>
      </w:pPr>
      <w:r w:rsidRPr="00837742">
        <w:rPr>
          <w:rFonts w:ascii="Arial" w:hAnsi="Arial" w:cs="Arial"/>
        </w:rPr>
        <w:t xml:space="preserve">The highest awareness level was observed regarding the role of farm machinery in ensuring timely farm operations, with 87.95% of farmers acknowledging its importance, while only 12.05% remained uninformed. This indicates a strong recognition of mechanization as a key strategy for climate adaptation. However, awareness about Automatic Weather Stations (AWS), which provide customized </w:t>
      </w:r>
      <w:proofErr w:type="spellStart"/>
      <w:r w:rsidRPr="00837742">
        <w:rPr>
          <w:rFonts w:ascii="Arial" w:hAnsi="Arial" w:cs="Arial"/>
        </w:rPr>
        <w:t>agro</w:t>
      </w:r>
      <w:proofErr w:type="spellEnd"/>
      <w:r w:rsidRPr="00837742">
        <w:rPr>
          <w:rFonts w:ascii="Arial" w:hAnsi="Arial" w:cs="Arial"/>
        </w:rPr>
        <w:t>-advisory services, was relatively lower, with 47.05% of farmers being informed and 52.95% lacking knowledge about this crucial weather literacy tool.</w:t>
      </w:r>
      <w:r w:rsidR="001E312E">
        <w:rPr>
          <w:rFonts w:ascii="Arial" w:hAnsi="Arial" w:cs="Arial"/>
        </w:rPr>
        <w:t xml:space="preserve"> </w:t>
      </w:r>
      <w:r w:rsidRPr="00837742">
        <w:rPr>
          <w:rFonts w:ascii="Arial" w:hAnsi="Arial" w:cs="Arial"/>
        </w:rPr>
        <w:t xml:space="preserve">Site-specific nutrient management, including Integrated Nutrient Management (INM), is critical for building climate resilience, yet only 40.23% of farmers were aware of its benefits, </w:t>
      </w:r>
      <w:r w:rsidRPr="00837742">
        <w:rPr>
          <w:rFonts w:ascii="Arial" w:hAnsi="Arial" w:cs="Arial"/>
        </w:rPr>
        <w:lastRenderedPageBreak/>
        <w:t>while 59.77% were not. This reflects the need for greater emphasis on precision nutrient application techniques. Finally, awareness regarding crop-specific insurance, which helps compensate for income losses due to extreme weather events, was fairly balanced, with 49.32% of farmers being informed while 50.68% were unaware.</w:t>
      </w:r>
    </w:p>
    <w:p w14:paraId="582AEE06" w14:textId="4CB80D61" w:rsidR="00837742" w:rsidRPr="00837742" w:rsidRDefault="00837742" w:rsidP="00B67EB5">
      <w:pPr>
        <w:pStyle w:val="Body"/>
        <w:ind w:firstLine="720"/>
        <w:rPr>
          <w:rFonts w:ascii="Arial" w:hAnsi="Arial" w:cs="Arial"/>
        </w:rPr>
      </w:pPr>
      <w:r w:rsidRPr="00837742">
        <w:rPr>
          <w:rFonts w:ascii="Arial" w:hAnsi="Arial" w:cs="Arial"/>
        </w:rPr>
        <w:t xml:space="preserve">Overall, significant gaps </w:t>
      </w:r>
      <w:r w:rsidR="00AF2CB9">
        <w:rPr>
          <w:rFonts w:ascii="Arial" w:hAnsi="Arial" w:cs="Arial"/>
        </w:rPr>
        <w:t xml:space="preserve">observed </w:t>
      </w:r>
      <w:r w:rsidRPr="00837742">
        <w:rPr>
          <w:rFonts w:ascii="Arial" w:hAnsi="Arial" w:cs="Arial"/>
        </w:rPr>
        <w:t>in farmers' awareness of key CSA technologies. While knowledge about farm mechanization and water conservation techniques is relatively high, there is limited awareness about climate-friendly agronomic practices, precision nutrient management, and insurance mechanisms. This underscores the need for targeted extension programs, farmer training, and awareness campaigns to enhance the adoption of CSA technologies for improved climate resilience.</w:t>
      </w:r>
    </w:p>
    <w:p w14:paraId="330617C8" w14:textId="30ACC39A" w:rsidR="00837742" w:rsidRDefault="008F457A" w:rsidP="00837742">
      <w:pPr>
        <w:rPr>
          <w:rFonts w:ascii="Arial" w:hAnsi="Arial" w:cs="Arial"/>
          <w:b/>
          <w:bCs/>
        </w:rPr>
      </w:pPr>
      <w:r>
        <w:rPr>
          <w:rFonts w:ascii="Arial" w:hAnsi="Arial" w:cs="Arial"/>
          <w:b/>
          <w:bCs/>
        </w:rPr>
        <w:t xml:space="preserve">3.4 </w:t>
      </w:r>
      <w:r w:rsidR="00837742" w:rsidRPr="00A40277">
        <w:rPr>
          <w:rFonts w:ascii="Arial" w:hAnsi="Arial" w:cs="Arial"/>
          <w:b/>
          <w:bCs/>
        </w:rPr>
        <w:t>Source of climate change/agricultural information:</w:t>
      </w:r>
    </w:p>
    <w:p w14:paraId="1AAD1612" w14:textId="77777777" w:rsidR="008F457A" w:rsidRPr="00A40277" w:rsidRDefault="008F457A" w:rsidP="00837742">
      <w:pPr>
        <w:rPr>
          <w:rFonts w:ascii="Arial" w:hAnsi="Arial" w:cs="Arial"/>
          <w:b/>
          <w:bCs/>
        </w:rPr>
      </w:pPr>
    </w:p>
    <w:p w14:paraId="0BCB1752" w14:textId="699F3296" w:rsidR="00837742" w:rsidRPr="00A40277" w:rsidRDefault="00837742" w:rsidP="00837742">
      <w:pPr>
        <w:rPr>
          <w:rFonts w:ascii="Arial" w:hAnsi="Arial" w:cs="Arial"/>
          <w:b/>
          <w:bCs/>
        </w:rPr>
      </w:pPr>
      <w:r w:rsidRPr="00A40277">
        <w:rPr>
          <w:rFonts w:ascii="Arial" w:hAnsi="Arial" w:cs="Arial"/>
          <w:b/>
          <w:bCs/>
        </w:rPr>
        <w:t xml:space="preserve">Table </w:t>
      </w:r>
      <w:r w:rsidR="0040223E">
        <w:rPr>
          <w:rFonts w:ascii="Arial" w:hAnsi="Arial" w:cs="Arial"/>
          <w:b/>
          <w:bCs/>
        </w:rPr>
        <w:t>3</w:t>
      </w:r>
      <w:r w:rsidRPr="00A40277">
        <w:rPr>
          <w:rFonts w:ascii="Arial" w:hAnsi="Arial" w:cs="Arial"/>
          <w:b/>
          <w:bCs/>
        </w:rPr>
        <w:t>. Source of information</w:t>
      </w:r>
    </w:p>
    <w:tbl>
      <w:tblPr>
        <w:tblStyle w:val="TableGrid"/>
        <w:tblW w:w="8441" w:type="dxa"/>
        <w:jc w:val="center"/>
        <w:tblLook w:val="04A0" w:firstRow="1" w:lastRow="0" w:firstColumn="1" w:lastColumn="0" w:noHBand="0" w:noVBand="1"/>
      </w:tblPr>
      <w:tblGrid>
        <w:gridCol w:w="708"/>
        <w:gridCol w:w="5607"/>
        <w:gridCol w:w="992"/>
        <w:gridCol w:w="1134"/>
      </w:tblGrid>
      <w:tr w:rsidR="00837742" w:rsidRPr="00A40277" w14:paraId="6B94821E" w14:textId="77777777" w:rsidTr="001D1E9A">
        <w:trPr>
          <w:trHeight w:val="403"/>
          <w:jc w:val="center"/>
        </w:trPr>
        <w:tc>
          <w:tcPr>
            <w:tcW w:w="708" w:type="dxa"/>
            <w:vAlign w:val="center"/>
          </w:tcPr>
          <w:p w14:paraId="094A677B"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607" w:type="dxa"/>
            <w:vAlign w:val="center"/>
            <w:hideMark/>
          </w:tcPr>
          <w:p w14:paraId="0670802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 xml:space="preserve">Particulars </w:t>
            </w:r>
          </w:p>
        </w:tc>
        <w:tc>
          <w:tcPr>
            <w:tcW w:w="992" w:type="dxa"/>
            <w:vAlign w:val="center"/>
            <w:hideMark/>
          </w:tcPr>
          <w:p w14:paraId="24F00612" w14:textId="77339528"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w:t>
            </w:r>
            <w:r w:rsidR="00AF2CB9">
              <w:rPr>
                <w:rFonts w:ascii="Arial" w:eastAsia="Times New Roman" w:hAnsi="Arial" w:cs="Arial"/>
                <w:b/>
                <w:bCs/>
                <w:color w:val="000000"/>
                <w:sz w:val="20"/>
                <w:szCs w:val="20"/>
                <w:lang w:eastAsia="en-IN"/>
              </w:rPr>
              <w:t xml:space="preserve"> (%)</w:t>
            </w:r>
          </w:p>
        </w:tc>
        <w:tc>
          <w:tcPr>
            <w:tcW w:w="1134" w:type="dxa"/>
            <w:vAlign w:val="center"/>
            <w:hideMark/>
          </w:tcPr>
          <w:p w14:paraId="2725AE17" w14:textId="4A7AF85E"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w:t>
            </w:r>
            <w:r w:rsidR="00AF2CB9">
              <w:rPr>
                <w:rFonts w:ascii="Arial" w:eastAsia="Times New Roman" w:hAnsi="Arial" w:cs="Arial"/>
                <w:b/>
                <w:bCs/>
                <w:color w:val="000000"/>
                <w:sz w:val="20"/>
                <w:szCs w:val="20"/>
                <w:lang w:eastAsia="en-IN"/>
              </w:rPr>
              <w:t xml:space="preserve"> (%)</w:t>
            </w:r>
          </w:p>
        </w:tc>
      </w:tr>
      <w:tr w:rsidR="00837742" w:rsidRPr="00A40277" w14:paraId="70574296" w14:textId="77777777" w:rsidTr="001D1E9A">
        <w:trPr>
          <w:trHeight w:val="565"/>
          <w:jc w:val="center"/>
        </w:trPr>
        <w:tc>
          <w:tcPr>
            <w:tcW w:w="708" w:type="dxa"/>
            <w:vAlign w:val="center"/>
          </w:tcPr>
          <w:p w14:paraId="3B50A9F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5607" w:type="dxa"/>
            <w:vAlign w:val="center"/>
            <w:hideMark/>
          </w:tcPr>
          <w:p w14:paraId="2095465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Have you ever received advice on agriculture from extension services</w:t>
            </w:r>
          </w:p>
        </w:tc>
        <w:tc>
          <w:tcPr>
            <w:tcW w:w="992" w:type="dxa"/>
            <w:vAlign w:val="center"/>
            <w:hideMark/>
          </w:tcPr>
          <w:p w14:paraId="19B7663F"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89.09</w:t>
            </w:r>
          </w:p>
        </w:tc>
        <w:tc>
          <w:tcPr>
            <w:tcW w:w="1134" w:type="dxa"/>
            <w:vAlign w:val="center"/>
            <w:hideMark/>
          </w:tcPr>
          <w:p w14:paraId="2BDA4A0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10.90</w:t>
            </w:r>
          </w:p>
        </w:tc>
      </w:tr>
      <w:tr w:rsidR="00837742" w:rsidRPr="00A40277" w14:paraId="74480456" w14:textId="77777777" w:rsidTr="001D1E9A">
        <w:trPr>
          <w:trHeight w:val="419"/>
          <w:jc w:val="center"/>
        </w:trPr>
        <w:tc>
          <w:tcPr>
            <w:tcW w:w="708" w:type="dxa"/>
            <w:vAlign w:val="center"/>
          </w:tcPr>
          <w:p w14:paraId="5EA2765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5607" w:type="dxa"/>
            <w:vAlign w:val="center"/>
            <w:hideMark/>
          </w:tcPr>
          <w:p w14:paraId="19A2DF9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agriculture bulletin, newsletter or magazine</w:t>
            </w:r>
          </w:p>
        </w:tc>
        <w:tc>
          <w:tcPr>
            <w:tcW w:w="992" w:type="dxa"/>
            <w:vAlign w:val="center"/>
            <w:hideMark/>
          </w:tcPr>
          <w:p w14:paraId="186790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53.40</w:t>
            </w:r>
          </w:p>
        </w:tc>
        <w:tc>
          <w:tcPr>
            <w:tcW w:w="1134" w:type="dxa"/>
            <w:vAlign w:val="center"/>
            <w:hideMark/>
          </w:tcPr>
          <w:p w14:paraId="580FE16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46.59</w:t>
            </w:r>
          </w:p>
        </w:tc>
      </w:tr>
      <w:tr w:rsidR="00837742" w:rsidRPr="00A40277" w14:paraId="346DC80D" w14:textId="77777777" w:rsidTr="001D1E9A">
        <w:trPr>
          <w:trHeight w:val="411"/>
          <w:jc w:val="center"/>
        </w:trPr>
        <w:tc>
          <w:tcPr>
            <w:tcW w:w="708" w:type="dxa"/>
            <w:vAlign w:val="center"/>
          </w:tcPr>
          <w:p w14:paraId="09DB4D1C"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5607" w:type="dxa"/>
            <w:vAlign w:val="center"/>
            <w:hideMark/>
          </w:tcPr>
          <w:p w14:paraId="3D29D40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 xml:space="preserve">Through Television agricultural </w:t>
            </w:r>
            <w:proofErr w:type="spellStart"/>
            <w:r w:rsidRPr="00A40277">
              <w:rPr>
                <w:rFonts w:ascii="Arial" w:eastAsia="Times New Roman" w:hAnsi="Arial" w:cs="Arial"/>
                <w:color w:val="000000"/>
                <w:sz w:val="20"/>
                <w:szCs w:val="20"/>
                <w:lang w:eastAsia="en-IN"/>
              </w:rPr>
              <w:t>programmes</w:t>
            </w:r>
            <w:proofErr w:type="spellEnd"/>
          </w:p>
        </w:tc>
        <w:tc>
          <w:tcPr>
            <w:tcW w:w="992" w:type="dxa"/>
            <w:vAlign w:val="center"/>
            <w:hideMark/>
          </w:tcPr>
          <w:p w14:paraId="08B72A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60.68</w:t>
            </w:r>
          </w:p>
        </w:tc>
        <w:tc>
          <w:tcPr>
            <w:tcW w:w="1134" w:type="dxa"/>
            <w:vAlign w:val="center"/>
            <w:hideMark/>
          </w:tcPr>
          <w:p w14:paraId="75E02EB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39.31</w:t>
            </w:r>
          </w:p>
        </w:tc>
      </w:tr>
      <w:tr w:rsidR="00837742" w:rsidRPr="00A40277" w14:paraId="2138E60D" w14:textId="77777777" w:rsidTr="001D1E9A">
        <w:trPr>
          <w:trHeight w:val="310"/>
          <w:jc w:val="center"/>
        </w:trPr>
        <w:tc>
          <w:tcPr>
            <w:tcW w:w="708" w:type="dxa"/>
            <w:vAlign w:val="center"/>
          </w:tcPr>
          <w:p w14:paraId="72A067F9"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5607" w:type="dxa"/>
            <w:vAlign w:val="center"/>
            <w:hideMark/>
          </w:tcPr>
          <w:p w14:paraId="0EC19FB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social media</w:t>
            </w:r>
          </w:p>
        </w:tc>
        <w:tc>
          <w:tcPr>
            <w:tcW w:w="992" w:type="dxa"/>
            <w:vAlign w:val="center"/>
            <w:hideMark/>
          </w:tcPr>
          <w:p w14:paraId="3518E47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23.18</w:t>
            </w:r>
          </w:p>
        </w:tc>
        <w:tc>
          <w:tcPr>
            <w:tcW w:w="1134" w:type="dxa"/>
            <w:vAlign w:val="center"/>
            <w:hideMark/>
          </w:tcPr>
          <w:p w14:paraId="1701201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76.81</w:t>
            </w:r>
          </w:p>
        </w:tc>
      </w:tr>
      <w:tr w:rsidR="00837742" w:rsidRPr="00A40277" w14:paraId="77BDE90A" w14:textId="77777777" w:rsidTr="001D1E9A">
        <w:trPr>
          <w:trHeight w:val="662"/>
          <w:jc w:val="center"/>
        </w:trPr>
        <w:tc>
          <w:tcPr>
            <w:tcW w:w="708" w:type="dxa"/>
            <w:vAlign w:val="center"/>
          </w:tcPr>
          <w:p w14:paraId="1EDE567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w:t>
            </w:r>
          </w:p>
        </w:tc>
        <w:tc>
          <w:tcPr>
            <w:tcW w:w="5607" w:type="dxa"/>
            <w:vAlign w:val="center"/>
            <w:hideMark/>
          </w:tcPr>
          <w:p w14:paraId="52A6FF19" w14:textId="4A6CD12C"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Membership of Farmer</w:t>
            </w:r>
            <w:r w:rsidR="002D19A2">
              <w:rPr>
                <w:rFonts w:ascii="Arial" w:eastAsia="Times New Roman" w:hAnsi="Arial" w:cs="Arial"/>
                <w:color w:val="000000"/>
                <w:sz w:val="20"/>
                <w:szCs w:val="20"/>
                <w:lang w:eastAsia="en-IN"/>
              </w:rPr>
              <w:t>’</w:t>
            </w:r>
            <w:r w:rsidRPr="00A40277">
              <w:rPr>
                <w:rFonts w:ascii="Arial" w:eastAsia="Times New Roman" w:hAnsi="Arial" w:cs="Arial"/>
                <w:color w:val="000000"/>
                <w:sz w:val="20"/>
                <w:szCs w:val="20"/>
                <w:lang w:eastAsia="en-IN"/>
              </w:rPr>
              <w:t xml:space="preserve">s </w:t>
            </w:r>
            <w:r w:rsidR="002D19A2">
              <w:rPr>
                <w:rFonts w:ascii="Arial" w:eastAsia="Times New Roman" w:hAnsi="Arial" w:cs="Arial"/>
                <w:color w:val="000000"/>
                <w:sz w:val="20"/>
                <w:szCs w:val="20"/>
                <w:lang w:eastAsia="en-IN"/>
              </w:rPr>
              <w:t>g</w:t>
            </w:r>
            <w:r w:rsidRPr="00A40277">
              <w:rPr>
                <w:rFonts w:ascii="Arial" w:eastAsia="Times New Roman" w:hAnsi="Arial" w:cs="Arial"/>
                <w:color w:val="000000"/>
                <w:sz w:val="20"/>
                <w:szCs w:val="20"/>
                <w:lang w:eastAsia="en-IN"/>
              </w:rPr>
              <w:t>roups or any agriculture-based initiative</w:t>
            </w:r>
          </w:p>
        </w:tc>
        <w:tc>
          <w:tcPr>
            <w:tcW w:w="992" w:type="dxa"/>
            <w:vAlign w:val="center"/>
            <w:hideMark/>
          </w:tcPr>
          <w:p w14:paraId="6B9537F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49.54</w:t>
            </w:r>
          </w:p>
        </w:tc>
        <w:tc>
          <w:tcPr>
            <w:tcW w:w="1134" w:type="dxa"/>
            <w:vAlign w:val="center"/>
            <w:hideMark/>
          </w:tcPr>
          <w:p w14:paraId="5690454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50.45</w:t>
            </w:r>
          </w:p>
        </w:tc>
      </w:tr>
    </w:tbl>
    <w:p w14:paraId="45314513" w14:textId="77777777" w:rsidR="000E6602" w:rsidRDefault="000E6602" w:rsidP="00185C87">
      <w:pPr>
        <w:pStyle w:val="Body"/>
        <w:ind w:firstLine="720"/>
        <w:rPr>
          <w:rFonts w:ascii="Arial" w:hAnsi="Arial" w:cs="Arial"/>
        </w:rPr>
      </w:pPr>
    </w:p>
    <w:p w14:paraId="04697C58" w14:textId="072C2FC5" w:rsidR="00837742" w:rsidRPr="00837742" w:rsidRDefault="00837742" w:rsidP="00185C87">
      <w:pPr>
        <w:pStyle w:val="Body"/>
        <w:ind w:firstLine="720"/>
        <w:rPr>
          <w:rFonts w:ascii="Arial" w:hAnsi="Arial" w:cs="Arial"/>
        </w:rPr>
      </w:pPr>
      <w:r w:rsidRPr="00837742">
        <w:rPr>
          <w:rFonts w:ascii="Arial" w:hAnsi="Arial" w:cs="Arial"/>
        </w:rPr>
        <w:t xml:space="preserve">The table </w:t>
      </w:r>
      <w:r w:rsidR="00A75AD3">
        <w:rPr>
          <w:rFonts w:ascii="Arial" w:hAnsi="Arial" w:cs="Arial"/>
        </w:rPr>
        <w:t xml:space="preserve">3, </w:t>
      </w:r>
      <w:r w:rsidRPr="00837742">
        <w:rPr>
          <w:rFonts w:ascii="Arial" w:hAnsi="Arial" w:cs="Arial"/>
        </w:rPr>
        <w:t>provides insights into the various sources of agricultural information that farmers rely on, highlighting both the strengths and gaps in information dissemination. A significant majority of farmers (89.09%) reported receiving agricultural advice from extension services, demonstrating the effectiveness of formal extension mechanisms in reaching farmers with critical information on agricultural practices and climate resilience. However, a small proportion (10.90%) have never accessed extension services, suggesting potential barriers such as lack of accessibility, awareness, or engagement with agricultural extension personnel. Strengthening the reach and efficiency of these services can further enhance farmers' knowledge and adoption of improved technologies.</w:t>
      </w:r>
      <w:r w:rsidR="00185C87">
        <w:rPr>
          <w:rFonts w:ascii="Arial" w:hAnsi="Arial" w:cs="Arial"/>
        </w:rPr>
        <w:t xml:space="preserve"> </w:t>
      </w:r>
      <w:r w:rsidRPr="00837742">
        <w:rPr>
          <w:rFonts w:ascii="Arial" w:hAnsi="Arial" w:cs="Arial"/>
        </w:rPr>
        <w:t>Printed agricultural materials, such as bulletins, newsletters, and magazines, serve as an important information source for many farmers, with 53.40% stating they had accessed agricultural information through such publications. However, 46.59% of farmers had never used this medium, indicating that literacy levels, accessibility, or interest in printed materials might be limiting factors. Efforts to make such resources more engaging, simplified, and widely available could help improve their reach.</w:t>
      </w:r>
    </w:p>
    <w:p w14:paraId="630FA020" w14:textId="7D478F5B" w:rsidR="00837742" w:rsidRPr="00837742" w:rsidRDefault="00837742" w:rsidP="00A917D0">
      <w:pPr>
        <w:pStyle w:val="Body"/>
        <w:ind w:firstLine="720"/>
        <w:rPr>
          <w:rFonts w:ascii="Arial" w:hAnsi="Arial" w:cs="Arial"/>
        </w:rPr>
      </w:pPr>
      <w:r w:rsidRPr="00837742">
        <w:rPr>
          <w:rFonts w:ascii="Arial" w:hAnsi="Arial" w:cs="Arial"/>
        </w:rPr>
        <w:t>Television remains a key medium for disseminating agricultural information, with 60.68% of farmers indicating that they had received agricultural knowledge through TV programs. This suggests that agricultural broadcasts are an effective means of communication. However, 39.31% of farmers reported not using television as an information source, which could be due to factors such as limited access to agriculture-focused programs, preference for other media, or reliance on personal experience and traditional knowledge.</w:t>
      </w:r>
      <w:r w:rsidR="00103B29">
        <w:rPr>
          <w:rFonts w:ascii="Arial" w:hAnsi="Arial" w:cs="Arial"/>
        </w:rPr>
        <w:t xml:space="preserve"> </w:t>
      </w:r>
      <w:r w:rsidRPr="00837742">
        <w:rPr>
          <w:rFonts w:ascii="Arial" w:hAnsi="Arial" w:cs="Arial"/>
        </w:rPr>
        <w:t xml:space="preserve">One of the most notable findings is the relatively low usage of social media as a source of agricultural information, with only 23.18% of farmers utilizing it, while a large </w:t>
      </w:r>
      <w:r w:rsidRPr="00837742">
        <w:rPr>
          <w:rFonts w:ascii="Arial" w:hAnsi="Arial" w:cs="Arial"/>
        </w:rPr>
        <w:lastRenderedPageBreak/>
        <w:t>majority (76.81%) do not rely on social media for agricultural knowledge. This highlights a digital divide, where limited access to smartphones, internet connectivity, or digital literacy might be preventing farmers from leveraging social media platforms for agricultural updates. Given the increasing role of digital extension services, efforts should be made to improve farmers’ digital engagement through training programs, WhatsApp groups, YouTube videos, and other interactive online platforms.</w:t>
      </w:r>
      <w:r w:rsidR="00A917D0">
        <w:rPr>
          <w:rFonts w:ascii="Arial" w:hAnsi="Arial" w:cs="Arial"/>
        </w:rPr>
        <w:t xml:space="preserve"> </w:t>
      </w:r>
      <w:r w:rsidRPr="00837742">
        <w:rPr>
          <w:rFonts w:ascii="Arial" w:hAnsi="Arial" w:cs="Arial"/>
        </w:rPr>
        <w:t>Membership in Farmers' Research Groups or agricultural initiatives is another potential source of information, yet the awareness and participation in such initiatives remain balanced. Around 49.54% of farmers reported being members of such groups, while 50.45% were not. This suggests that while farmer-based organizations can be effective in knowledge-sharing and collective decision-making, more efforts are needed to encourage broader participation and establish more inclusive farmer networks.</w:t>
      </w:r>
    </w:p>
    <w:p w14:paraId="697EE89A" w14:textId="25C55420" w:rsidR="00837742" w:rsidRPr="00837742" w:rsidRDefault="00837742" w:rsidP="00E64803">
      <w:pPr>
        <w:pStyle w:val="Body"/>
        <w:ind w:firstLine="720"/>
        <w:rPr>
          <w:rFonts w:ascii="Arial" w:hAnsi="Arial" w:cs="Arial"/>
        </w:rPr>
      </w:pPr>
      <w:r w:rsidRPr="00837742">
        <w:rPr>
          <w:rFonts w:ascii="Arial" w:hAnsi="Arial" w:cs="Arial"/>
        </w:rPr>
        <w:t xml:space="preserve">Overall, the traditional extension services and mass media, such as television and agricultural publications, continue to be the primary sources of agricultural information, digital platforms and farmer-led initiatives remain underutilized. To enhance farmers' access to </w:t>
      </w:r>
      <w:r w:rsidR="004371A1">
        <w:rPr>
          <w:rFonts w:ascii="Arial" w:hAnsi="Arial" w:cs="Arial"/>
        </w:rPr>
        <w:t>CSA</w:t>
      </w:r>
      <w:r w:rsidRPr="00837742">
        <w:rPr>
          <w:rFonts w:ascii="Arial" w:hAnsi="Arial" w:cs="Arial"/>
        </w:rPr>
        <w:t xml:space="preserve"> knowledge, it is essential to strengthen extension outreach, promote digital literacy, and encourage greater participation in farmer networks. Expanding the use of social media and mobile-based advisory services could play a crucial role in bridging the information gap and ensuring that farmers have timely access to relevant agricultural knowledge.</w:t>
      </w:r>
    </w:p>
    <w:p w14:paraId="44AE5B40" w14:textId="33DC720B" w:rsidR="00837742" w:rsidRPr="00837742" w:rsidRDefault="001B1155" w:rsidP="00FC47FA">
      <w:pPr>
        <w:pStyle w:val="Body"/>
        <w:jc w:val="center"/>
        <w:rPr>
          <w:rFonts w:ascii="Arial" w:hAnsi="Arial" w:cs="Arial"/>
        </w:rPr>
      </w:pPr>
      <w:r w:rsidRPr="00A40277">
        <w:rPr>
          <w:rFonts w:ascii="Arial" w:hAnsi="Arial" w:cs="Arial"/>
          <w:noProof/>
        </w:rPr>
        <w:drawing>
          <wp:inline distT="0" distB="0" distL="0" distR="0" wp14:anchorId="2B0FDC5A" wp14:editId="1A851FB2">
            <wp:extent cx="4572000" cy="2743200"/>
            <wp:effectExtent l="0" t="0" r="0" b="0"/>
            <wp:docPr id="1637469218" name="Chart 1">
              <a:extLst xmlns:a="http://schemas.openxmlformats.org/drawingml/2006/main">
                <a:ext uri="{FF2B5EF4-FFF2-40B4-BE49-F238E27FC236}">
                  <a16:creationId xmlns:a16="http://schemas.microsoft.com/office/drawing/2014/main" id="{BEB2DCF2-3379-E0B2-7807-18E300C72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CFFE05" w14:textId="4FBC8EBD" w:rsidR="00837742" w:rsidRPr="00837742" w:rsidRDefault="00837742" w:rsidP="004B53BC">
      <w:pPr>
        <w:pStyle w:val="Body"/>
        <w:jc w:val="center"/>
        <w:rPr>
          <w:rFonts w:ascii="Arial" w:hAnsi="Arial" w:cs="Arial"/>
        </w:rPr>
      </w:pPr>
      <w:r w:rsidRPr="00837742">
        <w:rPr>
          <w:rFonts w:ascii="Arial" w:hAnsi="Arial" w:cs="Arial"/>
        </w:rPr>
        <w:t xml:space="preserve">Figure. </w:t>
      </w:r>
      <w:r w:rsidR="00FC47FA">
        <w:rPr>
          <w:rFonts w:ascii="Arial" w:hAnsi="Arial" w:cs="Arial"/>
        </w:rPr>
        <w:t xml:space="preserve">2. </w:t>
      </w:r>
      <w:r w:rsidRPr="00837742">
        <w:rPr>
          <w:rFonts w:ascii="Arial" w:hAnsi="Arial" w:cs="Arial"/>
        </w:rPr>
        <w:t>Source of information by agent</w:t>
      </w:r>
    </w:p>
    <w:p w14:paraId="0CBFADB0" w14:textId="1A2FAF9A" w:rsidR="003043E8" w:rsidRDefault="003043E8" w:rsidP="00A14586">
      <w:pPr>
        <w:pStyle w:val="Body"/>
        <w:ind w:firstLine="720"/>
        <w:rPr>
          <w:rFonts w:ascii="Arial" w:hAnsi="Arial" w:cs="Arial"/>
        </w:rPr>
      </w:pPr>
      <w:r w:rsidRPr="003043E8">
        <w:rPr>
          <w:rFonts w:ascii="Arial" w:hAnsi="Arial" w:cs="Arial"/>
        </w:rPr>
        <w:t xml:space="preserve">Figure 2 highlights the primary sources of agricultural and climate change information for farmers, with government agencies being the most significant source (52.50%), followed by fellow farmers (24.55%), traders (19.09%), and NGOs (2.50%). The high reliance on government initiatives underscores the effectiveness of public-sector interventions in disseminating </w:t>
      </w:r>
      <w:r w:rsidR="009B57D7">
        <w:rPr>
          <w:rFonts w:ascii="Arial" w:hAnsi="Arial" w:cs="Arial"/>
        </w:rPr>
        <w:t>CSA</w:t>
      </w:r>
      <w:r w:rsidRPr="003043E8">
        <w:rPr>
          <w:rFonts w:ascii="Arial" w:hAnsi="Arial" w:cs="Arial"/>
        </w:rPr>
        <w:t xml:space="preserve"> knowledge. Peer-to-peer learning also plays a crucial role, emphasizing the need for farmer-led knowledge-sharing platforms. Traders contribute to input-related decisions, though their role in climate resilience awareness is limited. The minimal contribution of NGOs suggests the need for greater engagement. Strengthening multi-channel dissemination by integrating government services, NGOs, and peer learning mechanisms can enhance farmers’ awareness and adoption of climate-smart practices.</w:t>
      </w:r>
    </w:p>
    <w:p w14:paraId="12E3EDA1" w14:textId="3435D8BC" w:rsidR="00837742" w:rsidRPr="00837742" w:rsidRDefault="001B1155" w:rsidP="003043E8">
      <w:pPr>
        <w:pStyle w:val="Body"/>
        <w:jc w:val="center"/>
        <w:rPr>
          <w:rFonts w:ascii="Arial" w:hAnsi="Arial" w:cs="Arial"/>
        </w:rPr>
      </w:pPr>
      <w:r w:rsidRPr="00A40277">
        <w:rPr>
          <w:rFonts w:ascii="Arial" w:hAnsi="Arial" w:cs="Arial"/>
          <w:noProof/>
        </w:rPr>
        <w:lastRenderedPageBreak/>
        <w:drawing>
          <wp:inline distT="0" distB="0" distL="0" distR="0" wp14:anchorId="182B5A6F" wp14:editId="52390181">
            <wp:extent cx="4286250" cy="2381250"/>
            <wp:effectExtent l="0" t="0" r="0" b="0"/>
            <wp:docPr id="797448430" name="Chart 1">
              <a:extLst xmlns:a="http://schemas.openxmlformats.org/drawingml/2006/main">
                <a:ext uri="{FF2B5EF4-FFF2-40B4-BE49-F238E27FC236}">
                  <a16:creationId xmlns:a16="http://schemas.microsoft.com/office/drawing/2014/main" id="{F76DD4B1-AB66-7F1D-71C8-EDFAF0CC2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1FF308" w14:textId="619B18E6" w:rsidR="00837742" w:rsidRPr="00837742" w:rsidRDefault="00837742" w:rsidP="001D4B35">
      <w:pPr>
        <w:pStyle w:val="Body"/>
        <w:jc w:val="center"/>
        <w:rPr>
          <w:rFonts w:ascii="Arial" w:hAnsi="Arial" w:cs="Arial"/>
        </w:rPr>
      </w:pPr>
      <w:r w:rsidRPr="00837742">
        <w:rPr>
          <w:rFonts w:ascii="Arial" w:hAnsi="Arial" w:cs="Arial"/>
        </w:rPr>
        <w:t>Figure.</w:t>
      </w:r>
      <w:r w:rsidR="003043E8">
        <w:rPr>
          <w:rFonts w:ascii="Arial" w:hAnsi="Arial" w:cs="Arial"/>
        </w:rPr>
        <w:t xml:space="preserve"> 3</w:t>
      </w:r>
      <w:r w:rsidRPr="00837742">
        <w:rPr>
          <w:rFonts w:ascii="Arial" w:hAnsi="Arial" w:cs="Arial"/>
        </w:rPr>
        <w:t xml:space="preserve"> Frequency of contact with extension institutes</w:t>
      </w:r>
    </w:p>
    <w:p w14:paraId="27423C17" w14:textId="6FE503BD" w:rsidR="00811575" w:rsidRDefault="00811575" w:rsidP="00811575">
      <w:pPr>
        <w:pStyle w:val="Body"/>
        <w:ind w:firstLine="720"/>
        <w:rPr>
          <w:rFonts w:ascii="Arial" w:hAnsi="Arial" w:cs="Arial"/>
        </w:rPr>
      </w:pPr>
      <w:r w:rsidRPr="00811575">
        <w:rPr>
          <w:rFonts w:ascii="Arial" w:hAnsi="Arial" w:cs="Arial"/>
        </w:rPr>
        <w:t xml:space="preserve">Figure 3 illustrates farmers' frequency of contact with extension institutes, crucial for disseminating agricultural knowledge and climate-smart practices. The majority (47.05%) engage frequently, indicating strong reliance on extension services for updated farming information, while 24.77% interact very frequently, likely representing progressive farmers keen on continuous learning. However, 28.18% have irregular contact, possibly due to lack of awareness, accessibility issues, or reliance on alternative sources. Strengthening extension outreach through digital platforms, mobile advisories, and field visits can enhance farmer engagement, ensuring broader access to knowledge and improved adoption of </w:t>
      </w:r>
      <w:r w:rsidR="00520E07">
        <w:rPr>
          <w:rFonts w:ascii="Arial" w:hAnsi="Arial" w:cs="Arial"/>
        </w:rPr>
        <w:t>CSA</w:t>
      </w:r>
      <w:r w:rsidRPr="00811575">
        <w:rPr>
          <w:rFonts w:ascii="Arial" w:hAnsi="Arial" w:cs="Arial"/>
        </w:rPr>
        <w:t xml:space="preserve"> practices</w:t>
      </w:r>
      <w:r w:rsidR="00A240B9">
        <w:rPr>
          <w:rFonts w:ascii="Arial" w:hAnsi="Arial" w:cs="Arial"/>
        </w:rPr>
        <w:t>.</w:t>
      </w:r>
    </w:p>
    <w:p w14:paraId="74A412C4" w14:textId="3E7C6617" w:rsidR="00837742" w:rsidRPr="008F457A" w:rsidRDefault="008F457A" w:rsidP="00837742">
      <w:pPr>
        <w:pStyle w:val="Body"/>
        <w:rPr>
          <w:rFonts w:ascii="Arial" w:hAnsi="Arial" w:cs="Arial"/>
          <w:b/>
          <w:bCs/>
        </w:rPr>
      </w:pPr>
      <w:r w:rsidRPr="008F457A">
        <w:rPr>
          <w:rFonts w:ascii="Arial" w:hAnsi="Arial" w:cs="Arial"/>
          <w:b/>
          <w:bCs/>
        </w:rPr>
        <w:t xml:space="preserve">3.5 </w:t>
      </w:r>
      <w:r w:rsidR="00837742" w:rsidRPr="008F457A">
        <w:rPr>
          <w:rFonts w:ascii="Arial" w:hAnsi="Arial" w:cs="Arial"/>
          <w:b/>
          <w:bCs/>
        </w:rPr>
        <w:t xml:space="preserve">Determinants of adoption of </w:t>
      </w:r>
      <w:r w:rsidR="005E2B77">
        <w:rPr>
          <w:rFonts w:ascii="Arial" w:hAnsi="Arial" w:cs="Arial"/>
          <w:b/>
          <w:bCs/>
        </w:rPr>
        <w:t>CSA</w:t>
      </w:r>
      <w:r w:rsidR="00837742" w:rsidRPr="008F457A">
        <w:rPr>
          <w:rFonts w:ascii="Arial" w:hAnsi="Arial" w:cs="Arial"/>
          <w:b/>
          <w:bCs/>
        </w:rPr>
        <w:t xml:space="preserve"> technologies: </w:t>
      </w:r>
    </w:p>
    <w:p w14:paraId="5570DDA4" w14:textId="6C849665" w:rsidR="00837742" w:rsidRPr="00A14586" w:rsidRDefault="00837742" w:rsidP="00837742">
      <w:pPr>
        <w:pStyle w:val="Body"/>
        <w:rPr>
          <w:rFonts w:ascii="Arial" w:hAnsi="Arial" w:cs="Arial"/>
          <w:b/>
          <w:bCs/>
        </w:rPr>
      </w:pPr>
      <w:r w:rsidRPr="00A14586">
        <w:rPr>
          <w:rFonts w:ascii="Arial" w:hAnsi="Arial" w:cs="Arial"/>
          <w:b/>
          <w:bCs/>
        </w:rPr>
        <w:t xml:space="preserve">Table </w:t>
      </w:r>
      <w:r w:rsidR="00A14586" w:rsidRPr="00A14586">
        <w:rPr>
          <w:rFonts w:ascii="Arial" w:hAnsi="Arial" w:cs="Arial"/>
          <w:b/>
          <w:bCs/>
        </w:rPr>
        <w:t xml:space="preserve">4. </w:t>
      </w:r>
      <w:r w:rsidRPr="00A14586">
        <w:rPr>
          <w:rFonts w:ascii="Arial" w:hAnsi="Arial" w:cs="Arial"/>
          <w:b/>
          <w:bCs/>
        </w:rPr>
        <w:t>Determinants of Adoption of CSA by Logistic Regression</w:t>
      </w:r>
    </w:p>
    <w:tbl>
      <w:tblPr>
        <w:tblStyle w:val="TableGrid"/>
        <w:tblW w:w="0" w:type="auto"/>
        <w:jc w:val="center"/>
        <w:tblLook w:val="04A0" w:firstRow="1" w:lastRow="0" w:firstColumn="1" w:lastColumn="0" w:noHBand="0" w:noVBand="1"/>
      </w:tblPr>
      <w:tblGrid>
        <w:gridCol w:w="3584"/>
        <w:gridCol w:w="1561"/>
        <w:gridCol w:w="1467"/>
        <w:gridCol w:w="1276"/>
      </w:tblGrid>
      <w:tr w:rsidR="0046560B" w:rsidRPr="00A40277" w14:paraId="7C269120" w14:textId="77777777" w:rsidTr="005B1F04">
        <w:trPr>
          <w:jc w:val="center"/>
        </w:trPr>
        <w:tc>
          <w:tcPr>
            <w:tcW w:w="0" w:type="auto"/>
            <w:vAlign w:val="center"/>
            <w:hideMark/>
          </w:tcPr>
          <w:p w14:paraId="78C26300"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Variable</w:t>
            </w:r>
          </w:p>
        </w:tc>
        <w:tc>
          <w:tcPr>
            <w:tcW w:w="0" w:type="auto"/>
            <w:vAlign w:val="center"/>
            <w:hideMark/>
          </w:tcPr>
          <w:p w14:paraId="545CEA8A"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Coefficient (β)</w:t>
            </w:r>
          </w:p>
        </w:tc>
        <w:tc>
          <w:tcPr>
            <w:tcW w:w="1467" w:type="dxa"/>
            <w:vAlign w:val="center"/>
            <w:hideMark/>
          </w:tcPr>
          <w:p w14:paraId="0B9E8D92"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Odds Ratio (OR)</w:t>
            </w:r>
          </w:p>
        </w:tc>
        <w:tc>
          <w:tcPr>
            <w:tcW w:w="1276" w:type="dxa"/>
            <w:vAlign w:val="center"/>
            <w:hideMark/>
          </w:tcPr>
          <w:p w14:paraId="5CA9E0EB" w14:textId="77777777" w:rsidR="0046560B" w:rsidRPr="00A40277" w:rsidRDefault="0046560B" w:rsidP="005B1F04">
            <w:pPr>
              <w:spacing w:after="160" w:line="259" w:lineRule="auto"/>
              <w:rPr>
                <w:rFonts w:ascii="Arial" w:hAnsi="Arial" w:cs="Arial"/>
                <w:b/>
                <w:bCs/>
                <w:sz w:val="20"/>
                <w:szCs w:val="20"/>
              </w:rPr>
            </w:pPr>
            <w:r w:rsidRPr="007027AE">
              <w:rPr>
                <w:rFonts w:ascii="Arial" w:hAnsi="Arial" w:cs="Arial"/>
                <w:b/>
                <w:bCs/>
                <w:i/>
                <w:iCs/>
                <w:sz w:val="20"/>
                <w:szCs w:val="20"/>
              </w:rPr>
              <w:t>P</w:t>
            </w:r>
            <w:r w:rsidRPr="00A40277">
              <w:rPr>
                <w:rFonts w:ascii="Arial" w:hAnsi="Arial" w:cs="Arial"/>
                <w:b/>
                <w:bCs/>
                <w:sz w:val="20"/>
                <w:szCs w:val="20"/>
              </w:rPr>
              <w:t>-value</w:t>
            </w:r>
          </w:p>
        </w:tc>
      </w:tr>
      <w:tr w:rsidR="0046560B" w:rsidRPr="00A40277" w14:paraId="193C2C09" w14:textId="77777777" w:rsidTr="005B1F04">
        <w:trPr>
          <w:jc w:val="center"/>
        </w:trPr>
        <w:tc>
          <w:tcPr>
            <w:tcW w:w="0" w:type="auto"/>
            <w:vAlign w:val="center"/>
            <w:hideMark/>
          </w:tcPr>
          <w:p w14:paraId="6E9A7F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Knowledge on CSA Technologies</w:t>
            </w:r>
          </w:p>
        </w:tc>
        <w:tc>
          <w:tcPr>
            <w:tcW w:w="0" w:type="auto"/>
            <w:vAlign w:val="center"/>
            <w:hideMark/>
          </w:tcPr>
          <w:p w14:paraId="380E83B2" w14:textId="6988AA5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5.4269</w:t>
            </w:r>
            <w:r w:rsidR="00263659">
              <w:rPr>
                <w:rFonts w:ascii="Arial" w:hAnsi="Arial" w:cs="Arial"/>
                <w:sz w:val="20"/>
                <w:szCs w:val="20"/>
              </w:rPr>
              <w:t>***</w:t>
            </w:r>
          </w:p>
        </w:tc>
        <w:tc>
          <w:tcPr>
            <w:tcW w:w="1467" w:type="dxa"/>
            <w:vAlign w:val="center"/>
            <w:hideMark/>
          </w:tcPr>
          <w:p w14:paraId="1FDF18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227.44</w:t>
            </w:r>
          </w:p>
        </w:tc>
        <w:tc>
          <w:tcPr>
            <w:tcW w:w="1276" w:type="dxa"/>
            <w:vAlign w:val="center"/>
            <w:hideMark/>
          </w:tcPr>
          <w:p w14:paraId="4CACB8D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1E6FC587" w14:textId="77777777" w:rsidTr="005B1F04">
        <w:trPr>
          <w:jc w:val="center"/>
        </w:trPr>
        <w:tc>
          <w:tcPr>
            <w:tcW w:w="0" w:type="auto"/>
            <w:vAlign w:val="center"/>
            <w:hideMark/>
          </w:tcPr>
          <w:p w14:paraId="3472088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Awareness on Climate Change</w:t>
            </w:r>
          </w:p>
        </w:tc>
        <w:tc>
          <w:tcPr>
            <w:tcW w:w="0" w:type="auto"/>
            <w:vAlign w:val="center"/>
            <w:hideMark/>
          </w:tcPr>
          <w:p w14:paraId="15BDB97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0.1345</w:t>
            </w:r>
          </w:p>
        </w:tc>
        <w:tc>
          <w:tcPr>
            <w:tcW w:w="1467" w:type="dxa"/>
            <w:vAlign w:val="center"/>
            <w:hideMark/>
          </w:tcPr>
          <w:p w14:paraId="2A80302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1.14</w:t>
            </w:r>
          </w:p>
        </w:tc>
        <w:tc>
          <w:tcPr>
            <w:tcW w:w="1276" w:type="dxa"/>
            <w:vAlign w:val="center"/>
            <w:hideMark/>
          </w:tcPr>
          <w:p w14:paraId="12C4AEB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0.560</w:t>
            </w:r>
          </w:p>
        </w:tc>
      </w:tr>
      <w:tr w:rsidR="0046560B" w:rsidRPr="00A40277" w14:paraId="09DF9C84" w14:textId="77777777" w:rsidTr="005B1F04">
        <w:trPr>
          <w:jc w:val="center"/>
        </w:trPr>
        <w:tc>
          <w:tcPr>
            <w:tcW w:w="0" w:type="auto"/>
            <w:vAlign w:val="center"/>
            <w:hideMark/>
          </w:tcPr>
          <w:p w14:paraId="40F989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Access to Climate Change Info</w:t>
            </w:r>
          </w:p>
        </w:tc>
        <w:tc>
          <w:tcPr>
            <w:tcW w:w="0" w:type="auto"/>
            <w:vAlign w:val="center"/>
            <w:hideMark/>
          </w:tcPr>
          <w:p w14:paraId="400DD26F" w14:textId="4EAA96D9"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3.0256</w:t>
            </w:r>
            <w:r w:rsidR="00263659">
              <w:rPr>
                <w:rFonts w:ascii="Arial" w:hAnsi="Arial" w:cs="Arial"/>
                <w:sz w:val="20"/>
                <w:szCs w:val="20"/>
              </w:rPr>
              <w:t>***</w:t>
            </w:r>
          </w:p>
        </w:tc>
        <w:tc>
          <w:tcPr>
            <w:tcW w:w="1467" w:type="dxa"/>
            <w:vAlign w:val="center"/>
            <w:hideMark/>
          </w:tcPr>
          <w:p w14:paraId="6D4ECF4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20.61</w:t>
            </w:r>
          </w:p>
        </w:tc>
        <w:tc>
          <w:tcPr>
            <w:tcW w:w="1276" w:type="dxa"/>
            <w:vAlign w:val="center"/>
            <w:hideMark/>
          </w:tcPr>
          <w:p w14:paraId="0373BB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3505E479" w14:textId="77777777" w:rsidTr="005B1F04">
        <w:trPr>
          <w:jc w:val="center"/>
        </w:trPr>
        <w:tc>
          <w:tcPr>
            <w:tcW w:w="0" w:type="auto"/>
            <w:vAlign w:val="center"/>
            <w:hideMark/>
          </w:tcPr>
          <w:p w14:paraId="628423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Male-Headed Household</w:t>
            </w:r>
          </w:p>
        </w:tc>
        <w:tc>
          <w:tcPr>
            <w:tcW w:w="0" w:type="auto"/>
            <w:vAlign w:val="center"/>
            <w:hideMark/>
          </w:tcPr>
          <w:p w14:paraId="0245A002" w14:textId="112A7A6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-0.9409</w:t>
            </w:r>
            <w:r w:rsidR="00263659">
              <w:rPr>
                <w:rFonts w:ascii="Arial" w:hAnsi="Arial" w:cs="Arial"/>
                <w:sz w:val="20"/>
                <w:szCs w:val="20"/>
              </w:rPr>
              <w:t>**</w:t>
            </w:r>
          </w:p>
        </w:tc>
        <w:tc>
          <w:tcPr>
            <w:tcW w:w="1467" w:type="dxa"/>
            <w:vAlign w:val="center"/>
            <w:hideMark/>
          </w:tcPr>
          <w:p w14:paraId="4418247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0.39</w:t>
            </w:r>
          </w:p>
        </w:tc>
        <w:tc>
          <w:tcPr>
            <w:tcW w:w="1276" w:type="dxa"/>
            <w:vAlign w:val="center"/>
            <w:hideMark/>
          </w:tcPr>
          <w:p w14:paraId="6D3C1531"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w:t>
            </w:r>
          </w:p>
        </w:tc>
      </w:tr>
      <w:tr w:rsidR="0046560B" w:rsidRPr="00A40277" w14:paraId="5F9B71EF" w14:textId="77777777" w:rsidTr="005B1F04">
        <w:trPr>
          <w:jc w:val="center"/>
        </w:trPr>
        <w:tc>
          <w:tcPr>
            <w:tcW w:w="0" w:type="auto"/>
            <w:vAlign w:val="center"/>
            <w:hideMark/>
          </w:tcPr>
          <w:p w14:paraId="3E1AD08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(Crop Failure)</w:t>
            </w:r>
          </w:p>
        </w:tc>
        <w:tc>
          <w:tcPr>
            <w:tcW w:w="0" w:type="auto"/>
            <w:vAlign w:val="center"/>
            <w:hideMark/>
          </w:tcPr>
          <w:p w14:paraId="25BF557D" w14:textId="76F90B0D"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0.0000375</w:t>
            </w:r>
            <w:r w:rsidR="00263659">
              <w:rPr>
                <w:rFonts w:ascii="Arial" w:hAnsi="Arial" w:cs="Arial"/>
                <w:sz w:val="20"/>
                <w:szCs w:val="20"/>
              </w:rPr>
              <w:t>**</w:t>
            </w:r>
          </w:p>
        </w:tc>
        <w:tc>
          <w:tcPr>
            <w:tcW w:w="1467" w:type="dxa"/>
            <w:vAlign w:val="center"/>
            <w:hideMark/>
          </w:tcPr>
          <w:p w14:paraId="383F72F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1.0000</w:t>
            </w:r>
          </w:p>
        </w:tc>
        <w:tc>
          <w:tcPr>
            <w:tcW w:w="1276" w:type="dxa"/>
            <w:vAlign w:val="center"/>
            <w:hideMark/>
          </w:tcPr>
          <w:p w14:paraId="7529CC9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0.041</w:t>
            </w:r>
          </w:p>
        </w:tc>
      </w:tr>
      <w:tr w:rsidR="0046560B" w:rsidRPr="00A40277" w14:paraId="0C91BF69" w14:textId="77777777" w:rsidTr="005B1F04">
        <w:trPr>
          <w:jc w:val="center"/>
        </w:trPr>
        <w:tc>
          <w:tcPr>
            <w:tcW w:w="0" w:type="auto"/>
            <w:vAlign w:val="center"/>
            <w:hideMark/>
          </w:tcPr>
          <w:p w14:paraId="696EC20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(Animal Shock)</w:t>
            </w:r>
          </w:p>
        </w:tc>
        <w:tc>
          <w:tcPr>
            <w:tcW w:w="0" w:type="auto"/>
            <w:vAlign w:val="center"/>
            <w:hideMark/>
          </w:tcPr>
          <w:p w14:paraId="59157495" w14:textId="65A23D70"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-0.0000609</w:t>
            </w:r>
            <w:r w:rsidR="00263659">
              <w:rPr>
                <w:rFonts w:ascii="Arial" w:hAnsi="Arial" w:cs="Arial"/>
                <w:sz w:val="20"/>
                <w:szCs w:val="20"/>
              </w:rPr>
              <w:t>**</w:t>
            </w:r>
          </w:p>
        </w:tc>
        <w:tc>
          <w:tcPr>
            <w:tcW w:w="1467" w:type="dxa"/>
            <w:vAlign w:val="center"/>
            <w:hideMark/>
          </w:tcPr>
          <w:p w14:paraId="2726584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0.9999</w:t>
            </w:r>
          </w:p>
        </w:tc>
        <w:tc>
          <w:tcPr>
            <w:tcW w:w="1276" w:type="dxa"/>
            <w:vAlign w:val="center"/>
            <w:hideMark/>
          </w:tcPr>
          <w:p w14:paraId="0514DDE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0.001</w:t>
            </w:r>
          </w:p>
        </w:tc>
      </w:tr>
      <w:tr w:rsidR="0046560B" w:rsidRPr="00A40277" w14:paraId="38852C4B" w14:textId="77777777" w:rsidTr="005B1F04">
        <w:trPr>
          <w:jc w:val="center"/>
        </w:trPr>
        <w:tc>
          <w:tcPr>
            <w:tcW w:w="0" w:type="auto"/>
            <w:vAlign w:val="center"/>
            <w:hideMark/>
          </w:tcPr>
          <w:p w14:paraId="4E68E67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Market Shock</w:t>
            </w:r>
          </w:p>
        </w:tc>
        <w:tc>
          <w:tcPr>
            <w:tcW w:w="0" w:type="auto"/>
            <w:vAlign w:val="center"/>
            <w:hideMark/>
          </w:tcPr>
          <w:p w14:paraId="295EAD2A" w14:textId="5C54259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-0.9728</w:t>
            </w:r>
            <w:r w:rsidR="00263659">
              <w:rPr>
                <w:rFonts w:ascii="Arial" w:hAnsi="Arial" w:cs="Arial"/>
                <w:sz w:val="20"/>
                <w:szCs w:val="20"/>
              </w:rPr>
              <w:t>***</w:t>
            </w:r>
          </w:p>
        </w:tc>
        <w:tc>
          <w:tcPr>
            <w:tcW w:w="1467" w:type="dxa"/>
            <w:vAlign w:val="center"/>
            <w:hideMark/>
          </w:tcPr>
          <w:p w14:paraId="3025EB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0.38</w:t>
            </w:r>
          </w:p>
        </w:tc>
        <w:tc>
          <w:tcPr>
            <w:tcW w:w="1276" w:type="dxa"/>
            <w:vAlign w:val="center"/>
            <w:hideMark/>
          </w:tcPr>
          <w:p w14:paraId="39D1967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0.003</w:t>
            </w:r>
          </w:p>
        </w:tc>
      </w:tr>
      <w:tr w:rsidR="0046560B" w:rsidRPr="00A40277" w14:paraId="3DF73E4C" w14:textId="77777777" w:rsidTr="005B1F04">
        <w:trPr>
          <w:jc w:val="center"/>
        </w:trPr>
        <w:tc>
          <w:tcPr>
            <w:tcW w:w="0" w:type="auto"/>
            <w:vAlign w:val="center"/>
            <w:hideMark/>
          </w:tcPr>
          <w:p w14:paraId="6800F86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Social Safety Nets</w:t>
            </w:r>
          </w:p>
        </w:tc>
        <w:tc>
          <w:tcPr>
            <w:tcW w:w="0" w:type="auto"/>
            <w:vAlign w:val="center"/>
            <w:hideMark/>
          </w:tcPr>
          <w:p w14:paraId="0846B2B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-0.0623</w:t>
            </w:r>
          </w:p>
        </w:tc>
        <w:tc>
          <w:tcPr>
            <w:tcW w:w="1467" w:type="dxa"/>
            <w:vAlign w:val="center"/>
            <w:hideMark/>
          </w:tcPr>
          <w:p w14:paraId="1B42861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w:t>
            </w:r>
          </w:p>
        </w:tc>
        <w:tc>
          <w:tcPr>
            <w:tcW w:w="1276" w:type="dxa"/>
            <w:vAlign w:val="center"/>
            <w:hideMark/>
          </w:tcPr>
          <w:p w14:paraId="621E42D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0.766</w:t>
            </w:r>
          </w:p>
        </w:tc>
      </w:tr>
      <w:tr w:rsidR="0046560B" w:rsidRPr="00A40277" w14:paraId="44C35D2C" w14:textId="77777777" w:rsidTr="005B1F04">
        <w:trPr>
          <w:jc w:val="center"/>
        </w:trPr>
        <w:tc>
          <w:tcPr>
            <w:tcW w:w="0" w:type="auto"/>
            <w:vAlign w:val="center"/>
            <w:hideMark/>
          </w:tcPr>
          <w:p w14:paraId="511DBDA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Membership in Social/Community Org</w:t>
            </w:r>
          </w:p>
        </w:tc>
        <w:tc>
          <w:tcPr>
            <w:tcW w:w="0" w:type="auto"/>
            <w:vAlign w:val="center"/>
            <w:hideMark/>
          </w:tcPr>
          <w:p w14:paraId="7D028E6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-0.3492</w:t>
            </w:r>
          </w:p>
        </w:tc>
        <w:tc>
          <w:tcPr>
            <w:tcW w:w="1467" w:type="dxa"/>
            <w:vAlign w:val="center"/>
            <w:hideMark/>
          </w:tcPr>
          <w:p w14:paraId="661E0F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0.71</w:t>
            </w:r>
          </w:p>
        </w:tc>
        <w:tc>
          <w:tcPr>
            <w:tcW w:w="1276" w:type="dxa"/>
            <w:vAlign w:val="center"/>
            <w:hideMark/>
          </w:tcPr>
          <w:p w14:paraId="2A48C53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0.225</w:t>
            </w:r>
          </w:p>
        </w:tc>
      </w:tr>
      <w:tr w:rsidR="0046560B" w:rsidRPr="00A40277" w14:paraId="43CA6B18" w14:textId="77777777" w:rsidTr="005B1F04">
        <w:trPr>
          <w:jc w:val="center"/>
        </w:trPr>
        <w:tc>
          <w:tcPr>
            <w:tcW w:w="0" w:type="auto"/>
            <w:vAlign w:val="center"/>
            <w:hideMark/>
          </w:tcPr>
          <w:p w14:paraId="15DA3AA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lastRenderedPageBreak/>
              <w:t>Landholding</w:t>
            </w:r>
          </w:p>
        </w:tc>
        <w:tc>
          <w:tcPr>
            <w:tcW w:w="0" w:type="auto"/>
            <w:vAlign w:val="center"/>
            <w:hideMark/>
          </w:tcPr>
          <w:p w14:paraId="7009C2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-0.0404</w:t>
            </w:r>
          </w:p>
        </w:tc>
        <w:tc>
          <w:tcPr>
            <w:tcW w:w="1467" w:type="dxa"/>
            <w:vAlign w:val="center"/>
            <w:hideMark/>
          </w:tcPr>
          <w:p w14:paraId="417AAFC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0.96</w:t>
            </w:r>
          </w:p>
        </w:tc>
        <w:tc>
          <w:tcPr>
            <w:tcW w:w="1276" w:type="dxa"/>
            <w:vAlign w:val="center"/>
            <w:hideMark/>
          </w:tcPr>
          <w:p w14:paraId="1AB5996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0.665</w:t>
            </w:r>
          </w:p>
        </w:tc>
      </w:tr>
      <w:tr w:rsidR="0046560B" w:rsidRPr="00A40277" w14:paraId="40487CE8" w14:textId="77777777" w:rsidTr="005B1F04">
        <w:trPr>
          <w:jc w:val="center"/>
        </w:trPr>
        <w:tc>
          <w:tcPr>
            <w:tcW w:w="0" w:type="auto"/>
            <w:vAlign w:val="center"/>
            <w:hideMark/>
          </w:tcPr>
          <w:p w14:paraId="477B426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Educational Level of Head</w:t>
            </w:r>
          </w:p>
        </w:tc>
        <w:tc>
          <w:tcPr>
            <w:tcW w:w="0" w:type="auto"/>
            <w:vAlign w:val="center"/>
            <w:hideMark/>
          </w:tcPr>
          <w:p w14:paraId="5EB006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0.0198</w:t>
            </w:r>
          </w:p>
        </w:tc>
        <w:tc>
          <w:tcPr>
            <w:tcW w:w="1467" w:type="dxa"/>
            <w:vAlign w:val="center"/>
            <w:hideMark/>
          </w:tcPr>
          <w:p w14:paraId="21FF9B3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1.02</w:t>
            </w:r>
          </w:p>
        </w:tc>
        <w:tc>
          <w:tcPr>
            <w:tcW w:w="1276" w:type="dxa"/>
            <w:vAlign w:val="center"/>
            <w:hideMark/>
          </w:tcPr>
          <w:p w14:paraId="65F3426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0.565</w:t>
            </w:r>
          </w:p>
        </w:tc>
      </w:tr>
      <w:tr w:rsidR="0046560B" w:rsidRPr="00A40277" w14:paraId="05B7B779" w14:textId="77777777" w:rsidTr="005B1F04">
        <w:trPr>
          <w:jc w:val="center"/>
        </w:trPr>
        <w:tc>
          <w:tcPr>
            <w:tcW w:w="0" w:type="auto"/>
            <w:vAlign w:val="center"/>
            <w:hideMark/>
          </w:tcPr>
          <w:p w14:paraId="37ECAF4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Household Labor Force</w:t>
            </w:r>
          </w:p>
        </w:tc>
        <w:tc>
          <w:tcPr>
            <w:tcW w:w="0" w:type="auto"/>
            <w:vAlign w:val="center"/>
            <w:hideMark/>
          </w:tcPr>
          <w:p w14:paraId="0E0D9003" w14:textId="3BC4C88B"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0.3339</w:t>
            </w:r>
            <w:r w:rsidR="00263659">
              <w:rPr>
                <w:rFonts w:ascii="Arial" w:hAnsi="Arial" w:cs="Arial"/>
                <w:sz w:val="20"/>
                <w:szCs w:val="20"/>
              </w:rPr>
              <w:t>**</w:t>
            </w:r>
          </w:p>
        </w:tc>
        <w:tc>
          <w:tcPr>
            <w:tcW w:w="1467" w:type="dxa"/>
            <w:vAlign w:val="center"/>
            <w:hideMark/>
          </w:tcPr>
          <w:p w14:paraId="395A8CA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1.40</w:t>
            </w:r>
          </w:p>
        </w:tc>
        <w:tc>
          <w:tcPr>
            <w:tcW w:w="1276" w:type="dxa"/>
            <w:vAlign w:val="center"/>
            <w:hideMark/>
          </w:tcPr>
          <w:p w14:paraId="61D364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0.013</w:t>
            </w:r>
          </w:p>
        </w:tc>
      </w:tr>
      <w:tr w:rsidR="0046560B" w:rsidRPr="00A40277" w14:paraId="560FBE65" w14:textId="77777777" w:rsidTr="005B1F04">
        <w:trPr>
          <w:jc w:val="center"/>
        </w:trPr>
        <w:tc>
          <w:tcPr>
            <w:tcW w:w="0" w:type="auto"/>
            <w:vAlign w:val="center"/>
            <w:hideMark/>
          </w:tcPr>
          <w:p w14:paraId="7406403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Experience in Farming</w:t>
            </w:r>
          </w:p>
        </w:tc>
        <w:tc>
          <w:tcPr>
            <w:tcW w:w="0" w:type="auto"/>
            <w:vAlign w:val="center"/>
            <w:hideMark/>
          </w:tcPr>
          <w:p w14:paraId="2EDB9FEF" w14:textId="40DD7213"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-0.0356</w:t>
            </w:r>
            <w:r w:rsidR="00263659">
              <w:rPr>
                <w:rFonts w:ascii="Arial" w:hAnsi="Arial" w:cs="Arial"/>
                <w:sz w:val="20"/>
                <w:szCs w:val="20"/>
              </w:rPr>
              <w:t>***</w:t>
            </w:r>
          </w:p>
        </w:tc>
        <w:tc>
          <w:tcPr>
            <w:tcW w:w="1467" w:type="dxa"/>
            <w:vAlign w:val="center"/>
            <w:hideMark/>
          </w:tcPr>
          <w:p w14:paraId="3A934EC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w:t>
            </w:r>
          </w:p>
        </w:tc>
        <w:tc>
          <w:tcPr>
            <w:tcW w:w="1276" w:type="dxa"/>
            <w:vAlign w:val="center"/>
            <w:hideMark/>
          </w:tcPr>
          <w:p w14:paraId="404299B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68A55608" w14:textId="77777777" w:rsidTr="005B1F04">
        <w:trPr>
          <w:jc w:val="center"/>
        </w:trPr>
        <w:tc>
          <w:tcPr>
            <w:tcW w:w="0" w:type="auto"/>
            <w:vAlign w:val="center"/>
            <w:hideMark/>
          </w:tcPr>
          <w:p w14:paraId="35081C6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Availing Extension Services</w:t>
            </w:r>
          </w:p>
        </w:tc>
        <w:tc>
          <w:tcPr>
            <w:tcW w:w="0" w:type="auto"/>
            <w:vAlign w:val="center"/>
            <w:hideMark/>
          </w:tcPr>
          <w:p w14:paraId="1335A077" w14:textId="2FBF38C5"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3.3021</w:t>
            </w:r>
            <w:r w:rsidR="00A14586">
              <w:rPr>
                <w:rFonts w:ascii="Arial" w:hAnsi="Arial" w:cs="Arial"/>
                <w:sz w:val="20"/>
                <w:szCs w:val="20"/>
              </w:rPr>
              <w:t>***</w:t>
            </w:r>
          </w:p>
        </w:tc>
        <w:tc>
          <w:tcPr>
            <w:tcW w:w="1467" w:type="dxa"/>
            <w:vAlign w:val="center"/>
            <w:hideMark/>
          </w:tcPr>
          <w:p w14:paraId="0B59A5F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27.17</w:t>
            </w:r>
          </w:p>
        </w:tc>
        <w:tc>
          <w:tcPr>
            <w:tcW w:w="1276" w:type="dxa"/>
            <w:vAlign w:val="center"/>
            <w:hideMark/>
          </w:tcPr>
          <w:p w14:paraId="093F9E3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7199C0F7" w14:textId="77777777" w:rsidTr="005B1F04">
        <w:trPr>
          <w:jc w:val="center"/>
        </w:trPr>
        <w:tc>
          <w:tcPr>
            <w:tcW w:w="0" w:type="auto"/>
            <w:vAlign w:val="center"/>
            <w:hideMark/>
          </w:tcPr>
          <w:p w14:paraId="29E257A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Constant</w:t>
            </w:r>
          </w:p>
        </w:tc>
        <w:tc>
          <w:tcPr>
            <w:tcW w:w="0" w:type="auto"/>
            <w:vAlign w:val="center"/>
            <w:hideMark/>
          </w:tcPr>
          <w:p w14:paraId="6B48BCD0" w14:textId="6B944BC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-8.5660</w:t>
            </w:r>
            <w:r w:rsidR="00A14586">
              <w:rPr>
                <w:rFonts w:ascii="Arial" w:hAnsi="Arial" w:cs="Arial"/>
                <w:sz w:val="20"/>
                <w:szCs w:val="20"/>
              </w:rPr>
              <w:t>***</w:t>
            </w:r>
          </w:p>
        </w:tc>
        <w:tc>
          <w:tcPr>
            <w:tcW w:w="1467" w:type="dxa"/>
            <w:vAlign w:val="center"/>
            <w:hideMark/>
          </w:tcPr>
          <w:p w14:paraId="6080650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0.0002</w:t>
            </w:r>
          </w:p>
        </w:tc>
        <w:tc>
          <w:tcPr>
            <w:tcW w:w="1276" w:type="dxa"/>
            <w:vAlign w:val="center"/>
            <w:hideMark/>
          </w:tcPr>
          <w:p w14:paraId="38B0CC4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bl>
    <w:p w14:paraId="686FEE0D" w14:textId="07CB9948" w:rsidR="00837742" w:rsidRPr="00837742" w:rsidRDefault="00837742" w:rsidP="00837742">
      <w:pPr>
        <w:pStyle w:val="Body"/>
        <w:rPr>
          <w:rFonts w:ascii="Arial" w:hAnsi="Arial" w:cs="Arial"/>
        </w:rPr>
      </w:pPr>
      <w:r w:rsidRPr="00837742">
        <w:rPr>
          <w:rFonts w:ascii="Arial" w:hAnsi="Arial" w:cs="Arial"/>
        </w:rPr>
        <w:t xml:space="preserve">If </w:t>
      </w:r>
      <w:r w:rsidR="00263659">
        <w:rPr>
          <w:rFonts w:ascii="Arial" w:hAnsi="Arial" w:cs="Arial"/>
        </w:rPr>
        <w:t>***</w:t>
      </w:r>
      <w:r w:rsidR="007027AE" w:rsidRPr="007027AE">
        <w:rPr>
          <w:rFonts w:ascii="Arial" w:hAnsi="Arial" w:cs="Arial"/>
          <w:i/>
          <w:iCs/>
        </w:rPr>
        <w:t>P</w:t>
      </w:r>
      <w:r w:rsidRPr="00837742">
        <w:rPr>
          <w:rFonts w:ascii="Arial" w:hAnsi="Arial" w:cs="Arial"/>
        </w:rPr>
        <w:t>&lt;.0</w:t>
      </w:r>
      <w:r w:rsidR="007027AE">
        <w:rPr>
          <w:rFonts w:ascii="Arial" w:hAnsi="Arial" w:cs="Arial"/>
        </w:rPr>
        <w:t>1</w:t>
      </w:r>
      <w:r w:rsidRPr="00837742">
        <w:rPr>
          <w:rFonts w:ascii="Arial" w:hAnsi="Arial" w:cs="Arial"/>
        </w:rPr>
        <w:t xml:space="preserve">, significant at 1% level; If </w:t>
      </w:r>
      <w:r w:rsidR="00263659">
        <w:rPr>
          <w:rFonts w:ascii="Arial" w:hAnsi="Arial" w:cs="Arial"/>
        </w:rPr>
        <w:t>**</w:t>
      </w:r>
      <w:r w:rsidR="007027AE" w:rsidRPr="007027AE">
        <w:rPr>
          <w:rFonts w:ascii="Arial" w:hAnsi="Arial" w:cs="Arial"/>
          <w:i/>
          <w:iCs/>
        </w:rPr>
        <w:t>P</w:t>
      </w:r>
      <w:r w:rsidRPr="00837742">
        <w:rPr>
          <w:rFonts w:ascii="Arial" w:hAnsi="Arial" w:cs="Arial"/>
        </w:rPr>
        <w:t xml:space="preserve">&lt;.05, significant at 5% level, </w:t>
      </w:r>
    </w:p>
    <w:p w14:paraId="097E77F1" w14:textId="77777777" w:rsidR="006B1576" w:rsidRDefault="006E660E" w:rsidP="006B1576">
      <w:pPr>
        <w:pStyle w:val="Body"/>
        <w:spacing w:after="0"/>
        <w:ind w:firstLine="720"/>
        <w:rPr>
          <w:rFonts w:ascii="Arial" w:hAnsi="Arial" w:cs="Arial"/>
        </w:rPr>
      </w:pPr>
      <w:r w:rsidRPr="006E660E">
        <w:rPr>
          <w:rFonts w:ascii="Arial" w:hAnsi="Arial" w:cs="Arial"/>
        </w:rPr>
        <w:t xml:space="preserve">The logistic regression results highlight key factors influencing CSA adoption among farmers. Knowledge of CSA technologies is the strongest determinant, increasing adoption likelihood by 227 times. Access to climate change information also significantly boosts adoption (20.61 times), while male-headed households are less likely to adopt, suggesting that female-headed households may be more proactive. Financial loss due to crop failure slightly encourages adoption, whereas livestock-related losses discourage it. Market shocks reduce adoption by </w:t>
      </w:r>
      <w:r w:rsidR="00C137A3">
        <w:rPr>
          <w:rFonts w:ascii="Arial" w:hAnsi="Arial" w:cs="Arial"/>
        </w:rPr>
        <w:t>0.38 times</w:t>
      </w:r>
      <w:r w:rsidRPr="006E660E">
        <w:rPr>
          <w:rFonts w:ascii="Arial" w:hAnsi="Arial" w:cs="Arial"/>
        </w:rPr>
        <w:t xml:space="preserve">, reflecting economic uncertainties. </w:t>
      </w:r>
      <w:r w:rsidR="00C137A3">
        <w:rPr>
          <w:rFonts w:ascii="Arial" w:hAnsi="Arial" w:cs="Arial"/>
        </w:rPr>
        <w:t>Household l</w:t>
      </w:r>
      <w:r w:rsidRPr="006E660E">
        <w:rPr>
          <w:rFonts w:ascii="Arial" w:hAnsi="Arial" w:cs="Arial"/>
        </w:rPr>
        <w:t>abor availability positively influences CSA uptake (1.40 times), and access to extension services significantly enhances adoption (27.17 times), reinforcing the importance of advisory support. However, factors like climate change awareness, social organization membership, social safety nets, landholding, and education level do not significantly impact adoption. These findings emphasize the need for policies focused on training, extension strengthening, and financial support to boost CSA adoption.</w:t>
      </w:r>
    </w:p>
    <w:p w14:paraId="6CB0E8D8" w14:textId="77777777" w:rsidR="006B1576" w:rsidRDefault="006B1576" w:rsidP="006B1576">
      <w:pPr>
        <w:pStyle w:val="Body"/>
        <w:spacing w:after="0"/>
        <w:ind w:firstLine="720"/>
        <w:rPr>
          <w:rFonts w:ascii="Arial" w:hAnsi="Arial" w:cs="Arial"/>
        </w:rPr>
      </w:pPr>
    </w:p>
    <w:p w14:paraId="62AC940C" w14:textId="5F9F608B" w:rsidR="006B1576" w:rsidRPr="006B1576" w:rsidRDefault="006B1576" w:rsidP="006B1576">
      <w:pPr>
        <w:pStyle w:val="Body"/>
        <w:spacing w:after="0"/>
        <w:rPr>
          <w:rFonts w:ascii="Arial" w:hAnsi="Arial" w:cs="Arial"/>
          <w:b/>
          <w:bCs/>
          <w:sz w:val="22"/>
          <w:szCs w:val="22"/>
        </w:rPr>
      </w:pPr>
      <w:r w:rsidRPr="006B1576">
        <w:rPr>
          <w:rFonts w:ascii="Arial" w:hAnsi="Arial" w:cs="Arial"/>
          <w:b/>
          <w:bCs/>
          <w:sz w:val="22"/>
          <w:szCs w:val="22"/>
        </w:rPr>
        <w:t>4. CONCLUSION</w:t>
      </w:r>
    </w:p>
    <w:p w14:paraId="291BB9F8" w14:textId="77777777" w:rsidR="006B1576" w:rsidRDefault="006B1576" w:rsidP="006B1576">
      <w:pPr>
        <w:pStyle w:val="Body"/>
        <w:spacing w:after="0"/>
        <w:rPr>
          <w:rFonts w:ascii="Arial" w:hAnsi="Arial" w:cs="Arial"/>
        </w:rPr>
      </w:pPr>
    </w:p>
    <w:p w14:paraId="47EFED98" w14:textId="7B078AE6" w:rsidR="006B1576" w:rsidRDefault="006B1576" w:rsidP="006B1576">
      <w:pPr>
        <w:pStyle w:val="Body"/>
        <w:spacing w:after="0"/>
        <w:ind w:firstLine="720"/>
        <w:rPr>
          <w:rFonts w:ascii="Arial" w:hAnsi="Arial" w:cs="Arial"/>
        </w:rPr>
      </w:pPr>
      <w:r w:rsidRPr="00EA19E7">
        <w:rPr>
          <w:rFonts w:ascii="Arial" w:hAnsi="Arial" w:cs="Arial"/>
        </w:rPr>
        <w:t xml:space="preserve">The study </w:t>
      </w:r>
      <w:r w:rsidRPr="00E4264D">
        <w:rPr>
          <w:rFonts w:ascii="Arial" w:hAnsi="Arial" w:cs="Arial"/>
          <w:bCs/>
        </w:rPr>
        <w:t xml:space="preserve">highlighted that smallholder farmers in Telangana have </w:t>
      </w:r>
      <w:r w:rsidR="002A7E53">
        <w:rPr>
          <w:rFonts w:ascii="Arial" w:hAnsi="Arial" w:cs="Arial"/>
          <w:bCs/>
        </w:rPr>
        <w:t xml:space="preserve">less or </w:t>
      </w:r>
      <w:r w:rsidRPr="00E4264D">
        <w:rPr>
          <w:rFonts w:ascii="Arial" w:hAnsi="Arial" w:cs="Arial"/>
          <w:bCs/>
        </w:rPr>
        <w:t xml:space="preserve">moderate awareness of CSA technologies, despite their potential to improve climate resilience. </w:t>
      </w:r>
      <w:r w:rsidR="002A7E53" w:rsidRPr="00EA19E7">
        <w:rPr>
          <w:rFonts w:ascii="Arial" w:hAnsi="Arial" w:cs="Arial"/>
        </w:rPr>
        <w:t xml:space="preserve">While </w:t>
      </w:r>
      <w:r w:rsidR="002A7E53" w:rsidRPr="00EA19E7">
        <w:rPr>
          <w:rFonts w:ascii="Arial" w:hAnsi="Arial" w:cs="Arial"/>
          <w:bCs/>
        </w:rPr>
        <w:t>government extension services</w:t>
      </w:r>
      <w:r w:rsidR="002A7E53" w:rsidRPr="00EA19E7">
        <w:rPr>
          <w:rFonts w:ascii="Arial" w:hAnsi="Arial" w:cs="Arial"/>
        </w:rPr>
        <w:t xml:space="preserve"> are a key source of agricultural information, </w:t>
      </w:r>
      <w:r w:rsidR="002A7E53" w:rsidRPr="00EA19E7">
        <w:rPr>
          <w:rFonts w:ascii="Arial" w:hAnsi="Arial" w:cs="Arial"/>
          <w:bCs/>
        </w:rPr>
        <w:t>digital platforms and social media remain underutilized</w:t>
      </w:r>
      <w:r w:rsidR="002A7E53">
        <w:rPr>
          <w:rFonts w:ascii="Arial" w:hAnsi="Arial" w:cs="Arial"/>
          <w:bCs/>
        </w:rPr>
        <w:t>.</w:t>
      </w:r>
      <w:r w:rsidR="002A7E53" w:rsidRPr="00E4264D">
        <w:rPr>
          <w:rFonts w:ascii="Arial" w:hAnsi="Arial" w:cs="Arial"/>
          <w:bCs/>
        </w:rPr>
        <w:t xml:space="preserve"> </w:t>
      </w:r>
      <w:r w:rsidRPr="00E4264D">
        <w:rPr>
          <w:rFonts w:ascii="Arial" w:hAnsi="Arial" w:cs="Arial"/>
          <w:bCs/>
        </w:rPr>
        <w:t xml:space="preserve">The logistic regression analysis identifies </w:t>
      </w:r>
      <w:r w:rsidRPr="00EA19E7">
        <w:rPr>
          <w:rFonts w:ascii="Arial" w:hAnsi="Arial" w:cs="Arial"/>
          <w:bCs/>
        </w:rPr>
        <w:t>knowledge of CSA, access to climate change information, and extension services</w:t>
      </w:r>
      <w:r w:rsidRPr="00EA19E7">
        <w:rPr>
          <w:rFonts w:ascii="Arial" w:hAnsi="Arial" w:cs="Arial"/>
        </w:rPr>
        <w:t xml:space="preserve"> as the most significant factors influencing adoption. However, </w:t>
      </w:r>
      <w:r w:rsidRPr="00EA19E7">
        <w:rPr>
          <w:rFonts w:ascii="Arial" w:hAnsi="Arial" w:cs="Arial"/>
          <w:bCs/>
        </w:rPr>
        <w:t>financial losses, market shocks, and male-headed households</w:t>
      </w:r>
      <w:r w:rsidRPr="00EA19E7">
        <w:rPr>
          <w:rFonts w:ascii="Arial" w:hAnsi="Arial" w:cs="Arial"/>
        </w:rPr>
        <w:t xml:space="preserve"> show lower adoption rates, indicating structural barriers. Strengthening </w:t>
      </w:r>
      <w:r w:rsidRPr="00EA19E7">
        <w:rPr>
          <w:rFonts w:ascii="Arial" w:hAnsi="Arial" w:cs="Arial"/>
          <w:bCs/>
        </w:rPr>
        <w:t>farmer training, extension outreach, and digital advisory services</w:t>
      </w:r>
      <w:r w:rsidRPr="00EA19E7">
        <w:rPr>
          <w:rFonts w:ascii="Arial" w:hAnsi="Arial" w:cs="Arial"/>
        </w:rPr>
        <w:t xml:space="preserve"> is essential to increase awareness and adoption of CSA technologies, ensuring greater resilience against climate change.</w:t>
      </w:r>
      <w:r>
        <w:rPr>
          <w:rFonts w:ascii="Arial" w:hAnsi="Arial" w:cs="Arial"/>
        </w:rPr>
        <w:t xml:space="preserve"> </w:t>
      </w:r>
    </w:p>
    <w:p w14:paraId="78698E85" w14:textId="77777777" w:rsidR="006B1576" w:rsidRDefault="006B1576" w:rsidP="006B1576">
      <w:pPr>
        <w:pStyle w:val="Body"/>
        <w:spacing w:after="0"/>
        <w:ind w:firstLine="720"/>
        <w:rPr>
          <w:rFonts w:ascii="Arial" w:hAnsi="Arial" w:cs="Arial"/>
        </w:rPr>
      </w:pPr>
    </w:p>
    <w:p w14:paraId="42573DDE" w14:textId="77777777" w:rsidR="00262B95" w:rsidRDefault="00262B95" w:rsidP="00F26108">
      <w:pPr>
        <w:jc w:val="both"/>
        <w:rPr>
          <w:rFonts w:ascii="Arial" w:hAnsi="Arial" w:cs="Arial"/>
          <w:b/>
          <w:bCs/>
          <w:sz w:val="22"/>
          <w:szCs w:val="22"/>
        </w:rPr>
      </w:pPr>
      <w:bookmarkStart w:id="0" w:name="_GoBack"/>
      <w:bookmarkEnd w:id="0"/>
    </w:p>
    <w:p w14:paraId="313B4BC2" w14:textId="70FA0323" w:rsidR="00D22DC1" w:rsidRPr="007269AF" w:rsidRDefault="007269AF" w:rsidP="00F26108">
      <w:pPr>
        <w:jc w:val="both"/>
        <w:rPr>
          <w:rFonts w:ascii="Arial" w:hAnsi="Arial" w:cs="Arial"/>
          <w:b/>
          <w:bCs/>
          <w:sz w:val="22"/>
          <w:szCs w:val="22"/>
        </w:rPr>
      </w:pPr>
      <w:r w:rsidRPr="007269AF">
        <w:rPr>
          <w:rFonts w:ascii="Arial" w:hAnsi="Arial" w:cs="Arial"/>
          <w:b/>
          <w:bCs/>
          <w:sz w:val="22"/>
          <w:szCs w:val="22"/>
        </w:rPr>
        <w:t>REFERENCES</w:t>
      </w:r>
    </w:p>
    <w:p w14:paraId="4BDE729C" w14:textId="5AD93223" w:rsidR="00D22DC1" w:rsidRPr="00F26108" w:rsidRDefault="00D22DC1" w:rsidP="00F26108">
      <w:pPr>
        <w:ind w:left="426" w:hanging="426"/>
        <w:jc w:val="both"/>
        <w:rPr>
          <w:rFonts w:ascii="Arial" w:hAnsi="Arial" w:cs="Arial"/>
        </w:rPr>
      </w:pPr>
      <w:proofErr w:type="spellStart"/>
      <w:r w:rsidRPr="00F26108">
        <w:rPr>
          <w:rFonts w:ascii="Arial" w:hAnsi="Arial" w:cs="Arial"/>
        </w:rPr>
        <w:t>Acharitha</w:t>
      </w:r>
      <w:proofErr w:type="spellEnd"/>
      <w:r w:rsidRPr="00F26108">
        <w:rPr>
          <w:rFonts w:ascii="Arial" w:hAnsi="Arial" w:cs="Arial"/>
        </w:rPr>
        <w:t xml:space="preserve">, G., Savitha, B., Rekha, B and Babu, K.M. </w:t>
      </w:r>
      <w:r w:rsidR="0074438D">
        <w:rPr>
          <w:rFonts w:ascii="Arial" w:hAnsi="Arial" w:cs="Arial"/>
        </w:rPr>
        <w:t>(</w:t>
      </w:r>
      <w:r w:rsidRPr="00F26108">
        <w:rPr>
          <w:rFonts w:ascii="Arial" w:hAnsi="Arial" w:cs="Arial"/>
        </w:rPr>
        <w:t>2022</w:t>
      </w:r>
      <w:r w:rsidR="0074438D">
        <w:rPr>
          <w:rFonts w:ascii="Arial" w:hAnsi="Arial" w:cs="Arial"/>
        </w:rPr>
        <w:t>)</w:t>
      </w:r>
      <w:r w:rsidRPr="00F26108">
        <w:rPr>
          <w:rFonts w:ascii="Arial" w:hAnsi="Arial" w:cs="Arial"/>
        </w:rPr>
        <w:t>. Problems in the Adoption of Climate-</w:t>
      </w:r>
      <w:r w:rsidR="00F26108">
        <w:rPr>
          <w:rFonts w:ascii="Arial" w:hAnsi="Arial" w:cs="Arial"/>
        </w:rPr>
        <w:t xml:space="preserve"> </w:t>
      </w:r>
      <w:r w:rsidRPr="00F26108">
        <w:rPr>
          <w:rFonts w:ascii="Arial" w:hAnsi="Arial" w:cs="Arial"/>
        </w:rPr>
        <w:t xml:space="preserve">Resilient Technologies by the Farmers of Telangana State, India. </w:t>
      </w:r>
      <w:r w:rsidRPr="00F26108">
        <w:rPr>
          <w:rFonts w:ascii="Arial" w:hAnsi="Arial" w:cs="Arial"/>
          <w:i/>
          <w:iCs/>
        </w:rPr>
        <w:t>International Journal of</w:t>
      </w:r>
      <w:r w:rsidR="00F26108">
        <w:rPr>
          <w:rFonts w:ascii="Arial" w:hAnsi="Arial" w:cs="Arial"/>
          <w:i/>
          <w:iCs/>
        </w:rPr>
        <w:t xml:space="preserve"> </w:t>
      </w:r>
      <w:r w:rsidRPr="00F26108">
        <w:rPr>
          <w:rFonts w:ascii="Arial" w:hAnsi="Arial" w:cs="Arial"/>
          <w:i/>
          <w:iCs/>
        </w:rPr>
        <w:t>Environment and Climate Change</w:t>
      </w:r>
      <w:r w:rsidRPr="00F26108">
        <w:rPr>
          <w:rFonts w:ascii="Arial" w:hAnsi="Arial" w:cs="Arial"/>
        </w:rPr>
        <w:t xml:space="preserve">, </w:t>
      </w:r>
      <w:r w:rsidRPr="007269AF">
        <w:rPr>
          <w:rFonts w:ascii="Arial" w:hAnsi="Arial" w:cs="Arial"/>
        </w:rPr>
        <w:t>12</w:t>
      </w:r>
      <w:r w:rsidRPr="00F26108">
        <w:rPr>
          <w:rFonts w:ascii="Arial" w:hAnsi="Arial" w:cs="Arial"/>
        </w:rPr>
        <w:t xml:space="preserve">(11): 3385-3389. </w:t>
      </w:r>
      <w:hyperlink r:id="rId17" w:history="1">
        <w:r w:rsidRPr="009104AE">
          <w:rPr>
            <w:rStyle w:val="Hyperlink"/>
            <w:rFonts w:ascii="Arial" w:hAnsi="Arial" w:cs="Arial"/>
            <w:color w:val="0070C0"/>
          </w:rPr>
          <w:t>https://doi.org/10.9734/ijecc/2022/v12i111389</w:t>
        </w:r>
      </w:hyperlink>
      <w:r w:rsidRPr="00F26108">
        <w:rPr>
          <w:rFonts w:ascii="Arial" w:hAnsi="Arial" w:cs="Arial"/>
        </w:rPr>
        <w:t xml:space="preserve"> </w:t>
      </w:r>
    </w:p>
    <w:p w14:paraId="2F7DE0DF" w14:textId="1994BB38" w:rsidR="00D22DC1" w:rsidRPr="00F26108" w:rsidRDefault="00D22DC1" w:rsidP="00B45A2D">
      <w:pPr>
        <w:ind w:left="426" w:hanging="426"/>
        <w:jc w:val="both"/>
        <w:rPr>
          <w:rFonts w:ascii="Arial" w:hAnsi="Arial" w:cs="Arial"/>
        </w:rPr>
      </w:pPr>
      <w:r w:rsidRPr="00F26108">
        <w:rPr>
          <w:rFonts w:ascii="Arial" w:hAnsi="Arial" w:cs="Arial"/>
        </w:rPr>
        <w:t xml:space="preserve">Directorate of Economics and Statistics, (DES). </w:t>
      </w:r>
      <w:r w:rsidR="0074438D">
        <w:rPr>
          <w:rFonts w:ascii="Arial" w:hAnsi="Arial" w:cs="Arial"/>
        </w:rPr>
        <w:t>(</w:t>
      </w:r>
      <w:r w:rsidRPr="00F26108">
        <w:rPr>
          <w:rFonts w:ascii="Arial" w:hAnsi="Arial" w:cs="Arial"/>
        </w:rPr>
        <w:t>2023</w:t>
      </w:r>
      <w:r w:rsidR="0074438D">
        <w:rPr>
          <w:rFonts w:ascii="Arial" w:hAnsi="Arial" w:cs="Arial"/>
        </w:rPr>
        <w:t>)</w:t>
      </w:r>
      <w:r w:rsidRPr="00F26108">
        <w:rPr>
          <w:rFonts w:ascii="Arial" w:hAnsi="Arial" w:cs="Arial"/>
        </w:rPr>
        <w:t xml:space="preserve">. Department of Agriculture and Farmers Welfare, Ministry of Agriculture &amp; Farmers' Welfare, Government of India.  </w:t>
      </w:r>
      <w:hyperlink r:id="rId18" w:history="1">
        <w:r w:rsidRPr="009104AE">
          <w:rPr>
            <w:rStyle w:val="Hyperlink"/>
            <w:rFonts w:ascii="Arial" w:hAnsi="Arial" w:cs="Arial"/>
            <w:color w:val="0070C0"/>
          </w:rPr>
          <w:t>https://desagri.gov.in/</w:t>
        </w:r>
      </w:hyperlink>
      <w:r w:rsidRPr="00F26108">
        <w:rPr>
          <w:rFonts w:ascii="Arial" w:hAnsi="Arial" w:cs="Arial"/>
        </w:rPr>
        <w:t xml:space="preserve"> (Last Accessed on 20</w:t>
      </w:r>
      <w:r w:rsidRPr="00F26108">
        <w:rPr>
          <w:rFonts w:ascii="Arial" w:hAnsi="Arial" w:cs="Arial"/>
          <w:vertAlign w:val="superscript"/>
        </w:rPr>
        <w:t>th</w:t>
      </w:r>
      <w:r w:rsidRPr="00F26108">
        <w:rPr>
          <w:rFonts w:ascii="Arial" w:hAnsi="Arial" w:cs="Arial"/>
        </w:rPr>
        <w:t xml:space="preserve"> December, 2024)</w:t>
      </w:r>
    </w:p>
    <w:p w14:paraId="0B288862" w14:textId="55B966D7" w:rsidR="00D22DC1" w:rsidRPr="00F26108" w:rsidRDefault="00D22DC1" w:rsidP="00F26108">
      <w:pPr>
        <w:jc w:val="both"/>
        <w:rPr>
          <w:rFonts w:ascii="Arial" w:hAnsi="Arial" w:cs="Arial"/>
        </w:rPr>
      </w:pPr>
      <w:r w:rsidRPr="00F26108">
        <w:rPr>
          <w:rFonts w:ascii="Arial" w:hAnsi="Arial" w:cs="Arial"/>
        </w:rPr>
        <w:t xml:space="preserve">Environment Protection Training &amp; Research Institute (EPTRI). </w:t>
      </w:r>
      <w:r w:rsidR="0074438D">
        <w:rPr>
          <w:rFonts w:ascii="Arial" w:hAnsi="Arial" w:cs="Arial"/>
        </w:rPr>
        <w:t>(</w:t>
      </w:r>
      <w:r w:rsidRPr="00F26108">
        <w:rPr>
          <w:rFonts w:ascii="Arial" w:hAnsi="Arial" w:cs="Arial"/>
        </w:rPr>
        <w:t>2015</w:t>
      </w:r>
      <w:r w:rsidR="0074438D">
        <w:rPr>
          <w:rFonts w:ascii="Arial" w:hAnsi="Arial" w:cs="Arial"/>
        </w:rPr>
        <w:t>)</w:t>
      </w:r>
      <w:r w:rsidRPr="00F26108">
        <w:rPr>
          <w:rFonts w:ascii="Arial" w:hAnsi="Arial" w:cs="Arial"/>
        </w:rPr>
        <w:t xml:space="preserve">. State Action Plan on </w:t>
      </w:r>
    </w:p>
    <w:p w14:paraId="2D04C203" w14:textId="77777777" w:rsidR="00D22DC1" w:rsidRPr="00F26108" w:rsidRDefault="00D22DC1" w:rsidP="00F26108">
      <w:pPr>
        <w:ind w:left="426"/>
        <w:jc w:val="both"/>
        <w:rPr>
          <w:rFonts w:ascii="Arial" w:hAnsi="Arial" w:cs="Arial"/>
        </w:rPr>
      </w:pPr>
      <w:r w:rsidRPr="00F26108">
        <w:rPr>
          <w:rFonts w:ascii="Arial" w:hAnsi="Arial" w:cs="Arial"/>
        </w:rPr>
        <w:t>Climate Change for Telangana, Ministry of Environment, Forests and Climate change, Government of India.</w:t>
      </w:r>
    </w:p>
    <w:p w14:paraId="2A93BF96" w14:textId="77777777" w:rsidR="00D22DC1" w:rsidRPr="00F26108" w:rsidRDefault="00D22DC1" w:rsidP="00F26108">
      <w:pPr>
        <w:jc w:val="both"/>
        <w:rPr>
          <w:rFonts w:ascii="Arial" w:hAnsi="Arial" w:cs="Arial"/>
        </w:rPr>
      </w:pPr>
      <w:r w:rsidRPr="00F26108">
        <w:rPr>
          <w:rFonts w:ascii="Arial" w:hAnsi="Arial" w:cs="Arial"/>
        </w:rPr>
        <w:t xml:space="preserve">Indian Council of Agricultural Research (ICAR), International Water Management Institute </w:t>
      </w:r>
    </w:p>
    <w:p w14:paraId="0129B6D0" w14:textId="2CB1BF1B" w:rsidR="00D22DC1" w:rsidRPr="00F26108" w:rsidRDefault="00D22DC1" w:rsidP="00F26108">
      <w:pPr>
        <w:ind w:left="426"/>
        <w:jc w:val="both"/>
        <w:rPr>
          <w:rFonts w:ascii="Arial" w:hAnsi="Arial" w:cs="Arial"/>
        </w:rPr>
      </w:pPr>
      <w:r w:rsidRPr="00F26108">
        <w:rPr>
          <w:rFonts w:ascii="Arial" w:hAnsi="Arial" w:cs="Arial"/>
        </w:rPr>
        <w:lastRenderedPageBreak/>
        <w:t xml:space="preserve">(IWMI), CGIAR Research Program on Climate Change, Agriculture and Food Security (CCAFS). </w:t>
      </w:r>
      <w:r w:rsidR="00016AD7">
        <w:rPr>
          <w:rFonts w:ascii="Arial" w:hAnsi="Arial" w:cs="Arial"/>
        </w:rPr>
        <w:t>(</w:t>
      </w:r>
      <w:r w:rsidRPr="00F26108">
        <w:rPr>
          <w:rFonts w:ascii="Arial" w:hAnsi="Arial" w:cs="Arial"/>
        </w:rPr>
        <w:t>2020</w:t>
      </w:r>
      <w:r w:rsidR="00016AD7">
        <w:rPr>
          <w:rFonts w:ascii="Arial" w:hAnsi="Arial" w:cs="Arial"/>
        </w:rPr>
        <w:t>)</w:t>
      </w:r>
      <w:r w:rsidRPr="00F26108">
        <w:rPr>
          <w:rFonts w:ascii="Arial" w:hAnsi="Arial" w:cs="Arial"/>
        </w:rPr>
        <w:t>. Scaling Out Climate-Smart Agriculture for Resilient Farming in Adilabad District of Telangana.</w:t>
      </w:r>
    </w:p>
    <w:p w14:paraId="3856EA75" w14:textId="77777777" w:rsidR="00D22DC1" w:rsidRPr="00F26108" w:rsidRDefault="00D22DC1" w:rsidP="00F26108">
      <w:pPr>
        <w:autoSpaceDE w:val="0"/>
        <w:autoSpaceDN w:val="0"/>
        <w:jc w:val="both"/>
        <w:rPr>
          <w:rFonts w:ascii="Arial" w:hAnsi="Arial" w:cs="Arial"/>
        </w:rPr>
      </w:pPr>
      <w:r w:rsidRPr="00F26108">
        <w:rPr>
          <w:rFonts w:ascii="Arial" w:hAnsi="Arial" w:cs="Arial"/>
        </w:rPr>
        <w:t xml:space="preserve">Indian Institute of Technology (IIT), Mandi &amp; Indian Institute of Technology (IIT), Guwahati. </w:t>
      </w:r>
    </w:p>
    <w:p w14:paraId="796D5A60" w14:textId="77777777" w:rsidR="00D22DC1" w:rsidRPr="00F26108" w:rsidRDefault="00D22DC1" w:rsidP="00F26108">
      <w:pPr>
        <w:autoSpaceDE w:val="0"/>
        <w:autoSpaceDN w:val="0"/>
        <w:ind w:left="426"/>
        <w:jc w:val="both"/>
        <w:rPr>
          <w:rFonts w:ascii="Arial" w:hAnsi="Arial" w:cs="Arial"/>
        </w:rPr>
      </w:pPr>
      <w:r w:rsidRPr="00F26108">
        <w:rPr>
          <w:rFonts w:ascii="Arial" w:hAnsi="Arial" w:cs="Arial"/>
        </w:rPr>
        <w:t>(2020). Climate Vulnerability Assessment for Adaptation Planning in India Using a Common Framework.</w:t>
      </w:r>
    </w:p>
    <w:p w14:paraId="3C9816DF" w14:textId="32388B08" w:rsidR="00D22DC1" w:rsidRPr="00F26108" w:rsidRDefault="00D22DC1" w:rsidP="00F26108">
      <w:pPr>
        <w:ind w:left="426" w:hanging="426"/>
        <w:jc w:val="both"/>
        <w:rPr>
          <w:rFonts w:ascii="Arial" w:hAnsi="Arial" w:cs="Arial"/>
        </w:rPr>
      </w:pPr>
      <w:r w:rsidRPr="00F26108">
        <w:rPr>
          <w:rFonts w:ascii="Arial" w:hAnsi="Arial" w:cs="Arial"/>
        </w:rPr>
        <w:t>IPCC, 2001: Climate Change</w:t>
      </w:r>
      <w:r w:rsidR="00016AD7">
        <w:rPr>
          <w:rFonts w:ascii="Arial" w:hAnsi="Arial" w:cs="Arial"/>
        </w:rPr>
        <w:t>.</w:t>
      </w:r>
      <w:r w:rsidRPr="00F26108">
        <w:rPr>
          <w:rFonts w:ascii="Arial" w:hAnsi="Arial" w:cs="Arial"/>
        </w:rPr>
        <w:t xml:space="preserve"> </w:t>
      </w:r>
      <w:r w:rsidR="00016AD7">
        <w:rPr>
          <w:rFonts w:ascii="Arial" w:hAnsi="Arial" w:cs="Arial"/>
        </w:rPr>
        <w:t>(</w:t>
      </w:r>
      <w:r w:rsidRPr="00F26108">
        <w:rPr>
          <w:rFonts w:ascii="Arial" w:hAnsi="Arial" w:cs="Arial"/>
        </w:rPr>
        <w:t>2001</w:t>
      </w:r>
      <w:r w:rsidR="00016AD7">
        <w:rPr>
          <w:rFonts w:ascii="Arial" w:hAnsi="Arial" w:cs="Arial"/>
        </w:rPr>
        <w:t>).</w:t>
      </w:r>
      <w:r w:rsidRPr="00F26108">
        <w:rPr>
          <w:rFonts w:ascii="Arial" w:hAnsi="Arial" w:cs="Arial"/>
        </w:rPr>
        <w:t xml:space="preserve"> The Scientific Basis. Contribution of Working Group I to the Third Assessment Report of the Intergovernmental Panel on Climate Change [Houghton, J.T., Y. Ding, D.J. Griggs, M. </w:t>
      </w:r>
      <w:proofErr w:type="spellStart"/>
      <w:r w:rsidRPr="00F26108">
        <w:rPr>
          <w:rFonts w:ascii="Arial" w:hAnsi="Arial" w:cs="Arial"/>
        </w:rPr>
        <w:t>Noguer</w:t>
      </w:r>
      <w:proofErr w:type="spellEnd"/>
      <w:r w:rsidRPr="00F26108">
        <w:rPr>
          <w:rFonts w:ascii="Arial" w:hAnsi="Arial" w:cs="Arial"/>
        </w:rPr>
        <w:t>, P.J. van der Linden, X. Dai, K. Maskell, and C.A. Johnson (eds.)]. Cambridge University Press, Cambridge, United Kingdom and New York, NY, USA"</w:t>
      </w:r>
    </w:p>
    <w:p w14:paraId="209E6125" w14:textId="5984A91E" w:rsidR="00D22DC1" w:rsidRPr="009104AE" w:rsidRDefault="00D22DC1" w:rsidP="00750C7D">
      <w:pPr>
        <w:autoSpaceDE w:val="0"/>
        <w:autoSpaceDN w:val="0"/>
        <w:ind w:left="426" w:hanging="426"/>
        <w:jc w:val="both"/>
        <w:rPr>
          <w:rFonts w:ascii="Arial" w:hAnsi="Arial" w:cs="Arial"/>
          <w:color w:val="00B0F0"/>
        </w:rPr>
      </w:pPr>
      <w:r w:rsidRPr="00F26108">
        <w:rPr>
          <w:rFonts w:ascii="Arial" w:hAnsi="Arial" w:cs="Arial"/>
        </w:rPr>
        <w:t xml:space="preserve">Kadiyala, M. D. M., Gummadi, S., Irshad, M. A., Palanisamy, R., Gumma, M. K and Whitbread, A.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xml:space="preserve">. Assessment of climate change and vulnerability in Indian state of Telangana for better agricultural planning. </w:t>
      </w:r>
      <w:r w:rsidRPr="00F26108">
        <w:rPr>
          <w:rFonts w:ascii="Arial" w:hAnsi="Arial" w:cs="Arial"/>
          <w:i/>
          <w:iCs/>
        </w:rPr>
        <w:t xml:space="preserve">Theoretical and Applied </w:t>
      </w:r>
      <w:r w:rsidRPr="007269AF">
        <w:rPr>
          <w:rFonts w:ascii="Arial" w:hAnsi="Arial" w:cs="Arial"/>
          <w:i/>
          <w:iCs/>
        </w:rPr>
        <w:t>Climatology</w:t>
      </w:r>
      <w:r w:rsidRPr="007269AF">
        <w:rPr>
          <w:rFonts w:ascii="Arial" w:hAnsi="Arial" w:cs="Arial"/>
        </w:rPr>
        <w:t>, 143(1</w:t>
      </w:r>
      <w:r w:rsidRPr="00F26108">
        <w:rPr>
          <w:rFonts w:ascii="Arial" w:hAnsi="Arial" w:cs="Arial"/>
        </w:rPr>
        <w:t xml:space="preserve">–2), 309–325. </w:t>
      </w:r>
      <w:hyperlink r:id="rId19" w:history="1">
        <w:r w:rsidRPr="009104AE">
          <w:rPr>
            <w:rStyle w:val="Hyperlink"/>
            <w:rFonts w:ascii="Arial" w:hAnsi="Arial" w:cs="Arial"/>
            <w:color w:val="0070C0"/>
          </w:rPr>
          <w:t>https://doi.org/10.1007/s00704-020-03425-8</w:t>
        </w:r>
      </w:hyperlink>
    </w:p>
    <w:p w14:paraId="770179AB" w14:textId="0D36FF5E" w:rsidR="00D22DC1" w:rsidRPr="00F26108" w:rsidRDefault="00D22DC1" w:rsidP="00F26108">
      <w:pPr>
        <w:autoSpaceDE w:val="0"/>
        <w:autoSpaceDN w:val="0"/>
        <w:jc w:val="both"/>
        <w:rPr>
          <w:rFonts w:ascii="Arial" w:hAnsi="Arial" w:cs="Arial"/>
        </w:rPr>
      </w:pPr>
      <w:r w:rsidRPr="00F26108">
        <w:rPr>
          <w:rFonts w:ascii="Arial" w:hAnsi="Arial" w:cs="Arial"/>
        </w:rPr>
        <w:t xml:space="preserve">Khatri-Chhetri, A., Aggarwal, P. K., Joshi, P. K and Vyas, S. </w:t>
      </w:r>
      <w:r w:rsidR="00EE351D">
        <w:rPr>
          <w:rFonts w:ascii="Arial" w:hAnsi="Arial" w:cs="Arial"/>
        </w:rPr>
        <w:t>(</w:t>
      </w:r>
      <w:r w:rsidRPr="00F26108">
        <w:rPr>
          <w:rFonts w:ascii="Arial" w:hAnsi="Arial" w:cs="Arial"/>
        </w:rPr>
        <w:t>2017</w:t>
      </w:r>
      <w:r w:rsidR="00EE351D">
        <w:rPr>
          <w:rFonts w:ascii="Arial" w:hAnsi="Arial" w:cs="Arial"/>
        </w:rPr>
        <w:t>)</w:t>
      </w:r>
      <w:r w:rsidRPr="00F26108">
        <w:rPr>
          <w:rFonts w:ascii="Arial" w:hAnsi="Arial" w:cs="Arial"/>
        </w:rPr>
        <w:t xml:space="preserve">. Farmers’ prioritization of </w:t>
      </w:r>
    </w:p>
    <w:p w14:paraId="0EA57BED" w14:textId="77777777" w:rsidR="00D22DC1" w:rsidRPr="00F26108" w:rsidRDefault="00D22DC1" w:rsidP="006B56A0">
      <w:pPr>
        <w:autoSpaceDE w:val="0"/>
        <w:autoSpaceDN w:val="0"/>
        <w:ind w:left="426"/>
        <w:jc w:val="both"/>
        <w:rPr>
          <w:rFonts w:ascii="Arial" w:hAnsi="Arial" w:cs="Arial"/>
        </w:rPr>
      </w:pPr>
      <w:r w:rsidRPr="00F26108">
        <w:rPr>
          <w:rFonts w:ascii="Arial" w:hAnsi="Arial" w:cs="Arial"/>
        </w:rPr>
        <w:t>climate-smart agriculture (CSA) technologies. Agricultural Systems</w:t>
      </w:r>
      <w:r w:rsidRPr="007269AF">
        <w:rPr>
          <w:rFonts w:ascii="Arial" w:hAnsi="Arial" w:cs="Arial"/>
        </w:rPr>
        <w:t>, 151,</w:t>
      </w:r>
      <w:r w:rsidRPr="00F26108">
        <w:rPr>
          <w:rFonts w:ascii="Arial" w:hAnsi="Arial" w:cs="Arial"/>
        </w:rPr>
        <w:t xml:space="preserve"> 184–191. </w:t>
      </w:r>
      <w:hyperlink r:id="rId20" w:history="1">
        <w:r w:rsidRPr="009104AE">
          <w:rPr>
            <w:rStyle w:val="Hyperlink"/>
            <w:rFonts w:ascii="Arial" w:hAnsi="Arial" w:cs="Arial"/>
            <w:color w:val="0070C0"/>
          </w:rPr>
          <w:t>https://doi.org/10.1016/j.agsy.2016.10.005</w:t>
        </w:r>
      </w:hyperlink>
      <w:r w:rsidRPr="00F26108">
        <w:rPr>
          <w:rFonts w:ascii="Arial" w:hAnsi="Arial" w:cs="Arial"/>
        </w:rPr>
        <w:t xml:space="preserve"> </w:t>
      </w:r>
    </w:p>
    <w:p w14:paraId="15C3D91C" w14:textId="718D4BCD" w:rsidR="00D22DC1" w:rsidRPr="00F26108" w:rsidRDefault="00D22DC1" w:rsidP="006B56A0">
      <w:pPr>
        <w:ind w:left="567" w:hanging="567"/>
        <w:jc w:val="both"/>
        <w:rPr>
          <w:rFonts w:ascii="Arial" w:hAnsi="Arial" w:cs="Arial"/>
        </w:rPr>
      </w:pPr>
      <w:r w:rsidRPr="00F26108">
        <w:rPr>
          <w:rFonts w:ascii="Arial" w:hAnsi="Arial" w:cs="Arial"/>
        </w:rPr>
        <w:t xml:space="preserve">Lynch, J., Cain, M., Frame, D and </w:t>
      </w:r>
      <w:proofErr w:type="spellStart"/>
      <w:r w:rsidRPr="00F26108">
        <w:rPr>
          <w:rFonts w:ascii="Arial" w:hAnsi="Arial" w:cs="Arial"/>
        </w:rPr>
        <w:t>Pierrehumbert</w:t>
      </w:r>
      <w:proofErr w:type="spellEnd"/>
      <w:r w:rsidRPr="00F26108">
        <w:rPr>
          <w:rFonts w:ascii="Arial" w:hAnsi="Arial" w:cs="Arial"/>
        </w:rPr>
        <w:t xml:space="preserve">, R.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Agriculture’s Contribution to Climate Change and Role in Mitigation Is Distinct from Predominantly Fossil CO</w:t>
      </w:r>
      <w:r w:rsidRPr="00F26108">
        <w:rPr>
          <w:rFonts w:ascii="Arial" w:hAnsi="Arial" w:cs="Arial"/>
          <w:vertAlign w:val="subscript"/>
        </w:rPr>
        <w:t>2</w:t>
      </w:r>
      <w:r w:rsidRPr="00F26108">
        <w:rPr>
          <w:rFonts w:ascii="Arial" w:hAnsi="Arial" w:cs="Arial"/>
        </w:rPr>
        <w:t xml:space="preserve">-Emitting Sectors. </w:t>
      </w:r>
      <w:r w:rsidRPr="00F26108">
        <w:rPr>
          <w:rFonts w:ascii="Arial" w:hAnsi="Arial" w:cs="Arial"/>
          <w:i/>
          <w:iCs/>
        </w:rPr>
        <w:t>Frontiers in Sustainable Food Systems</w:t>
      </w:r>
      <w:r w:rsidRPr="00F26108">
        <w:rPr>
          <w:rFonts w:ascii="Arial" w:hAnsi="Arial" w:cs="Arial"/>
        </w:rPr>
        <w:t xml:space="preserve">, 4. </w:t>
      </w:r>
      <w:hyperlink r:id="rId21" w:history="1">
        <w:r w:rsidRPr="009104AE">
          <w:rPr>
            <w:rStyle w:val="Hyperlink"/>
            <w:rFonts w:ascii="Arial" w:hAnsi="Arial" w:cs="Arial"/>
            <w:color w:val="0070C0"/>
          </w:rPr>
          <w:t>https://doi.org/10.3389/fsufs.2020.518039</w:t>
        </w:r>
      </w:hyperlink>
      <w:r w:rsidRPr="00F26108">
        <w:rPr>
          <w:rFonts w:ascii="Arial" w:hAnsi="Arial" w:cs="Arial"/>
          <w:u w:val="single"/>
        </w:rPr>
        <w:t xml:space="preserve"> </w:t>
      </w:r>
    </w:p>
    <w:p w14:paraId="09802A1D" w14:textId="439CB538" w:rsidR="00D22DC1" w:rsidRPr="00F26108" w:rsidRDefault="00D22DC1" w:rsidP="00EE351D">
      <w:pPr>
        <w:autoSpaceDE w:val="0"/>
        <w:autoSpaceDN w:val="0"/>
        <w:ind w:left="567" w:hanging="567"/>
        <w:jc w:val="both"/>
        <w:rPr>
          <w:rFonts w:ascii="Arial" w:hAnsi="Arial" w:cs="Arial"/>
        </w:rPr>
      </w:pPr>
      <w:r w:rsidRPr="00F26108">
        <w:rPr>
          <w:rFonts w:ascii="Arial" w:hAnsi="Arial" w:cs="Arial"/>
        </w:rPr>
        <w:t xml:space="preserve">Ramya Sri Ch., Suhasini, K., Vijaya Kumari, R., Seema. and Janaiah, A. </w:t>
      </w:r>
      <w:r w:rsidR="00EE351D">
        <w:rPr>
          <w:rFonts w:ascii="Arial" w:hAnsi="Arial" w:cs="Arial"/>
        </w:rPr>
        <w:t>(</w:t>
      </w:r>
      <w:r w:rsidRPr="00F26108">
        <w:rPr>
          <w:rFonts w:ascii="Arial" w:hAnsi="Arial" w:cs="Arial"/>
        </w:rPr>
        <w:t>2020</w:t>
      </w:r>
      <w:r w:rsidR="00EE351D">
        <w:rPr>
          <w:rFonts w:ascii="Arial" w:hAnsi="Arial" w:cs="Arial"/>
        </w:rPr>
        <w:t>)</w:t>
      </w:r>
      <w:r w:rsidRPr="00F26108">
        <w:rPr>
          <w:rFonts w:ascii="Arial" w:hAnsi="Arial" w:cs="Arial"/>
        </w:rPr>
        <w:t xml:space="preserve">. Is Telangana State in South India vulnerable to climate change? A micro level analysis. </w:t>
      </w:r>
      <w:proofErr w:type="spellStart"/>
      <w:r w:rsidRPr="00F26108">
        <w:rPr>
          <w:rFonts w:ascii="Arial" w:hAnsi="Arial" w:cs="Arial"/>
          <w:i/>
          <w:iCs/>
        </w:rPr>
        <w:t>Multilogic</w:t>
      </w:r>
      <w:proofErr w:type="spellEnd"/>
      <w:r w:rsidRPr="00F26108">
        <w:rPr>
          <w:rFonts w:ascii="Arial" w:hAnsi="Arial" w:cs="Arial"/>
          <w:i/>
          <w:iCs/>
        </w:rPr>
        <w:t xml:space="preserve"> in </w:t>
      </w:r>
      <w:r w:rsidRPr="007269AF">
        <w:rPr>
          <w:rFonts w:ascii="Arial" w:hAnsi="Arial" w:cs="Arial"/>
          <w:i/>
          <w:iCs/>
        </w:rPr>
        <w:t>Science</w:t>
      </w:r>
      <w:r w:rsidRPr="007269AF">
        <w:rPr>
          <w:rFonts w:ascii="Arial" w:hAnsi="Arial" w:cs="Arial"/>
        </w:rPr>
        <w:t>, 10(34</w:t>
      </w:r>
      <w:r w:rsidRPr="00F26108">
        <w:rPr>
          <w:rFonts w:ascii="Arial" w:hAnsi="Arial" w:cs="Arial"/>
        </w:rPr>
        <w:t>), 883–887.</w:t>
      </w:r>
    </w:p>
    <w:p w14:paraId="658F3965" w14:textId="729251F0" w:rsidR="00D22DC1" w:rsidRPr="00F26108" w:rsidRDefault="00D22DC1" w:rsidP="006B56A0">
      <w:pPr>
        <w:ind w:left="567" w:hanging="567"/>
        <w:jc w:val="both"/>
        <w:rPr>
          <w:rFonts w:ascii="Arial" w:hAnsi="Arial" w:cs="Arial"/>
        </w:rPr>
      </w:pPr>
      <w:r w:rsidRPr="00F26108">
        <w:rPr>
          <w:rFonts w:ascii="Arial" w:hAnsi="Arial" w:cs="Arial"/>
        </w:rPr>
        <w:t>UNFCCC</w:t>
      </w:r>
      <w:r w:rsidR="00567EF3">
        <w:rPr>
          <w:rFonts w:ascii="Arial" w:hAnsi="Arial" w:cs="Arial"/>
        </w:rPr>
        <w:t>.</w:t>
      </w:r>
      <w:r w:rsidRPr="00F26108">
        <w:rPr>
          <w:rFonts w:ascii="Arial" w:hAnsi="Arial" w:cs="Arial"/>
        </w:rPr>
        <w:t xml:space="preserve"> </w:t>
      </w:r>
      <w:r w:rsidR="00567EF3">
        <w:rPr>
          <w:rFonts w:ascii="Arial" w:hAnsi="Arial" w:cs="Arial"/>
        </w:rPr>
        <w:t>(</w:t>
      </w:r>
      <w:r w:rsidRPr="00F26108">
        <w:rPr>
          <w:rFonts w:ascii="Arial" w:hAnsi="Arial" w:cs="Arial"/>
        </w:rPr>
        <w:t>2021</w:t>
      </w:r>
      <w:r w:rsidR="00567EF3">
        <w:rPr>
          <w:rFonts w:ascii="Arial" w:hAnsi="Arial" w:cs="Arial"/>
        </w:rPr>
        <w:t>)</w:t>
      </w:r>
      <w:r w:rsidRPr="00F26108">
        <w:rPr>
          <w:rFonts w:ascii="Arial" w:hAnsi="Arial" w:cs="Arial"/>
        </w:rPr>
        <w:t>. Third Biennial Update Report submitted by the Ministry of Environment, Forest and Climate Change, Government of India</w:t>
      </w:r>
    </w:p>
    <w:p w14:paraId="1ECEEDFA" w14:textId="3AE3A416" w:rsidR="00D22DC1" w:rsidRPr="00F26108" w:rsidRDefault="00D22DC1" w:rsidP="006B56A0">
      <w:pPr>
        <w:ind w:left="567" w:hanging="567"/>
        <w:jc w:val="both"/>
        <w:rPr>
          <w:rFonts w:ascii="Arial" w:hAnsi="Arial" w:cs="Arial"/>
        </w:rPr>
      </w:pPr>
      <w:r w:rsidRPr="00F26108">
        <w:rPr>
          <w:rFonts w:ascii="Arial" w:hAnsi="Arial" w:cs="Arial"/>
        </w:rPr>
        <w:t>World bank</w:t>
      </w:r>
      <w:r w:rsidR="004E0785">
        <w:rPr>
          <w:rFonts w:ascii="Arial" w:hAnsi="Arial" w:cs="Arial"/>
        </w:rPr>
        <w:t>.</w:t>
      </w:r>
      <w:r w:rsidRPr="00F26108">
        <w:rPr>
          <w:rFonts w:ascii="Arial" w:hAnsi="Arial" w:cs="Arial"/>
        </w:rPr>
        <w:t xml:space="preserve"> </w:t>
      </w:r>
      <w:r w:rsidR="004E0785">
        <w:rPr>
          <w:rFonts w:ascii="Arial" w:hAnsi="Arial" w:cs="Arial"/>
        </w:rPr>
        <w:t>(</w:t>
      </w:r>
      <w:r w:rsidRPr="00F26108">
        <w:rPr>
          <w:rFonts w:ascii="Arial" w:hAnsi="Arial" w:cs="Arial"/>
        </w:rPr>
        <w:t>2021</w:t>
      </w:r>
      <w:r w:rsidR="004E0785">
        <w:rPr>
          <w:rFonts w:ascii="Arial" w:hAnsi="Arial" w:cs="Arial"/>
        </w:rPr>
        <w:t>)</w:t>
      </w:r>
      <w:r w:rsidRPr="00F26108">
        <w:rPr>
          <w:rFonts w:ascii="Arial" w:hAnsi="Arial" w:cs="Arial"/>
        </w:rPr>
        <w:t xml:space="preserve">. </w:t>
      </w:r>
      <w:hyperlink r:id="rId22" w:history="1">
        <w:r w:rsidRPr="009104AE">
          <w:rPr>
            <w:rStyle w:val="Hyperlink"/>
            <w:rFonts w:ascii="Arial" w:hAnsi="Arial" w:cs="Arial"/>
            <w:color w:val="0070C0"/>
          </w:rPr>
          <w:t>https://www.worldbank.org/en/topic/climate-smart-agriculture</w:t>
        </w:r>
      </w:hyperlink>
      <w:r w:rsidRPr="00F26108">
        <w:rPr>
          <w:rFonts w:ascii="Arial" w:hAnsi="Arial" w:cs="Arial"/>
        </w:rPr>
        <w:t xml:space="preserve"> (Last Accessed on 12</w:t>
      </w:r>
      <w:r w:rsidRPr="00F26108">
        <w:rPr>
          <w:rFonts w:ascii="Arial" w:hAnsi="Arial" w:cs="Arial"/>
          <w:vertAlign w:val="superscript"/>
        </w:rPr>
        <w:t>th</w:t>
      </w:r>
      <w:r w:rsidRPr="00F26108">
        <w:rPr>
          <w:rFonts w:ascii="Arial" w:hAnsi="Arial" w:cs="Arial"/>
        </w:rPr>
        <w:t xml:space="preserve"> December, 2024)</w:t>
      </w:r>
    </w:p>
    <w:p w14:paraId="36B3CFA5" w14:textId="6F3CAF2C" w:rsidR="00D22DC1" w:rsidRPr="00F26108" w:rsidRDefault="00D22DC1" w:rsidP="006B56A0">
      <w:pPr>
        <w:ind w:left="567" w:hanging="567"/>
        <w:jc w:val="both"/>
        <w:rPr>
          <w:rFonts w:ascii="Arial" w:hAnsi="Arial" w:cs="Arial"/>
        </w:rPr>
      </w:pPr>
      <w:r w:rsidRPr="00F26108">
        <w:rPr>
          <w:rFonts w:ascii="Arial" w:hAnsi="Arial" w:cs="Arial"/>
        </w:rPr>
        <w:t xml:space="preserve">Yuvaraj, C., Shankar, K.R., Rao, I.S., Supriya, K., Sailaja, A.D and Sreenivas, G. </w:t>
      </w:r>
      <w:r w:rsidR="004E0785">
        <w:rPr>
          <w:rFonts w:ascii="Arial" w:hAnsi="Arial" w:cs="Arial"/>
        </w:rPr>
        <w:t>(</w:t>
      </w:r>
      <w:r w:rsidRPr="00F26108">
        <w:rPr>
          <w:rFonts w:ascii="Arial" w:hAnsi="Arial" w:cs="Arial"/>
        </w:rPr>
        <w:t>2022</w:t>
      </w:r>
      <w:r w:rsidR="004E0785">
        <w:rPr>
          <w:rFonts w:ascii="Arial" w:hAnsi="Arial" w:cs="Arial"/>
        </w:rPr>
        <w:t>)</w:t>
      </w:r>
      <w:r w:rsidRPr="00F26108">
        <w:rPr>
          <w:rFonts w:ascii="Arial" w:hAnsi="Arial" w:cs="Arial"/>
        </w:rPr>
        <w:t xml:space="preserve">. A Study on Adoption and Factors Determining the Adoption of Recommended Climate Smart Agriculture (CSA) Practices by the Farmers of Telangana State. </w:t>
      </w:r>
      <w:r w:rsidRPr="00F26108">
        <w:rPr>
          <w:rFonts w:ascii="Arial" w:hAnsi="Arial" w:cs="Arial"/>
          <w:i/>
          <w:iCs/>
        </w:rPr>
        <w:t>International Journal of Environment and Climate Change</w:t>
      </w:r>
      <w:r w:rsidRPr="007269AF">
        <w:rPr>
          <w:rFonts w:ascii="Arial" w:hAnsi="Arial" w:cs="Arial"/>
        </w:rPr>
        <w:t>, 12(5):</w:t>
      </w:r>
      <w:r w:rsidRPr="00F26108">
        <w:rPr>
          <w:rFonts w:ascii="Arial" w:hAnsi="Arial" w:cs="Arial"/>
        </w:rPr>
        <w:t xml:space="preserve"> 97-103. </w:t>
      </w:r>
      <w:hyperlink r:id="rId23" w:history="1">
        <w:r w:rsidRPr="009104AE">
          <w:rPr>
            <w:rStyle w:val="Hyperlink"/>
            <w:rFonts w:ascii="Arial" w:hAnsi="Arial" w:cs="Arial"/>
            <w:color w:val="0070C0"/>
          </w:rPr>
          <w:t>https://doi.org/10.9734/ijecc/2022/v12i530678</w:t>
        </w:r>
      </w:hyperlink>
      <w:r w:rsidRPr="00F26108">
        <w:rPr>
          <w:rFonts w:ascii="Arial" w:hAnsi="Arial" w:cs="Arial"/>
        </w:rPr>
        <w:t xml:space="preserve"> </w:t>
      </w:r>
    </w:p>
    <w:p w14:paraId="2B31BE64" w14:textId="77777777" w:rsidR="00D22DC1" w:rsidRDefault="00D22DC1" w:rsidP="00D22DC1"/>
    <w:p w14:paraId="2F9B0FED" w14:textId="77777777" w:rsidR="006B1576" w:rsidRPr="00FB3A86" w:rsidRDefault="006B1576" w:rsidP="006B1576">
      <w:pPr>
        <w:pStyle w:val="Body"/>
        <w:spacing w:after="0"/>
        <w:rPr>
          <w:rFonts w:ascii="Arial" w:hAnsi="Arial" w:cs="Arial"/>
        </w:rPr>
      </w:pPr>
    </w:p>
    <w:sectPr w:rsidR="006B1576" w:rsidRPr="00FB3A86" w:rsidSect="00B53D9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0C1F" w14:textId="77777777" w:rsidR="002E5BD8" w:rsidRDefault="002E5BD8" w:rsidP="00C37E61">
      <w:r>
        <w:separator/>
      </w:r>
    </w:p>
  </w:endnote>
  <w:endnote w:type="continuationSeparator" w:id="0">
    <w:p w14:paraId="56E21C9E" w14:textId="77777777" w:rsidR="002E5BD8" w:rsidRDefault="002E5BD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6DFA" w14:textId="77777777" w:rsidR="00B53D98" w:rsidRDefault="00B5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0315" w14:textId="77777777" w:rsidR="00B53D98" w:rsidRDefault="00B5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CE39" w14:textId="77777777" w:rsidR="009E048A" w:rsidRDefault="009E048A">
    <w:pPr>
      <w:pStyle w:val="Footer"/>
      <w:rPr>
        <w:rFonts w:ascii="Arial" w:hAnsi="Arial" w:cs="Arial"/>
        <w:sz w:val="16"/>
      </w:rPr>
    </w:pPr>
  </w:p>
  <w:p w14:paraId="119718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97B91D" w14:textId="77777777" w:rsidR="009E048A" w:rsidRDefault="009E048A">
    <w:pPr>
      <w:pStyle w:val="Footer"/>
      <w:rPr>
        <w:rFonts w:ascii="Arial" w:hAnsi="Arial" w:cs="Arial"/>
        <w:sz w:val="16"/>
      </w:rPr>
    </w:pPr>
  </w:p>
  <w:p w14:paraId="13A5805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AFFEB" w14:textId="77777777" w:rsidR="002E5BD8" w:rsidRDefault="002E5BD8" w:rsidP="00C37E61">
      <w:r>
        <w:separator/>
      </w:r>
    </w:p>
  </w:footnote>
  <w:footnote w:type="continuationSeparator" w:id="0">
    <w:p w14:paraId="0B9AB901" w14:textId="77777777" w:rsidR="002E5BD8" w:rsidRDefault="002E5B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F286" w14:textId="008D0428" w:rsidR="00B53D98" w:rsidRDefault="00B53D98">
    <w:pPr>
      <w:pStyle w:val="Header"/>
    </w:pPr>
    <w:r>
      <w:rPr>
        <w:noProof/>
      </w:rPr>
      <w:pict w14:anchorId="2AAB1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DAD1" w14:textId="1A3BD53F" w:rsidR="00B53D98" w:rsidRDefault="00B53D98">
    <w:pPr>
      <w:pStyle w:val="Header"/>
    </w:pPr>
    <w:r>
      <w:rPr>
        <w:noProof/>
      </w:rPr>
      <w:pict w14:anchorId="598D3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6ECC" w14:textId="7F4A2FA0" w:rsidR="00296529" w:rsidRPr="00296529" w:rsidRDefault="00B53D98" w:rsidP="00296529">
    <w:pPr>
      <w:ind w:left="2160"/>
      <w:jc w:val="center"/>
      <w:rPr>
        <w:rFonts w:ascii="Times New Roman" w:eastAsia="Calibri" w:hAnsi="Times New Roman"/>
        <w:i/>
        <w:sz w:val="18"/>
        <w:szCs w:val="22"/>
      </w:rPr>
    </w:pPr>
    <w:r>
      <w:rPr>
        <w:noProof/>
      </w:rPr>
      <w:pict w14:anchorId="5F84A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973BE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E13AA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93BB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81D6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08ABA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AD527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F34C2"/>
    <w:multiLevelType w:val="hybridMultilevel"/>
    <w:tmpl w:val="74204BA8"/>
    <w:lvl w:ilvl="0" w:tplc="20E666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0F58EC"/>
    <w:multiLevelType w:val="hybridMultilevel"/>
    <w:tmpl w:val="CA500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BC5"/>
    <w:multiLevelType w:val="hybridMultilevel"/>
    <w:tmpl w:val="830A7C46"/>
    <w:lvl w:ilvl="0" w:tplc="5F30097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2"/>
  </w:num>
  <w:num w:numId="31">
    <w:abstractNumId w:val="8"/>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4BC"/>
    <w:rsid w:val="00016AD7"/>
    <w:rsid w:val="00024CD8"/>
    <w:rsid w:val="00030174"/>
    <w:rsid w:val="000308B6"/>
    <w:rsid w:val="0004579C"/>
    <w:rsid w:val="00056402"/>
    <w:rsid w:val="00095A9E"/>
    <w:rsid w:val="000A47FA"/>
    <w:rsid w:val="000A65D3"/>
    <w:rsid w:val="000B1D94"/>
    <w:rsid w:val="000B1E33"/>
    <w:rsid w:val="000B6800"/>
    <w:rsid w:val="000C3160"/>
    <w:rsid w:val="000D14F7"/>
    <w:rsid w:val="000D2259"/>
    <w:rsid w:val="000D689F"/>
    <w:rsid w:val="000E6602"/>
    <w:rsid w:val="000E7B7B"/>
    <w:rsid w:val="000E7D62"/>
    <w:rsid w:val="000F11C9"/>
    <w:rsid w:val="00103357"/>
    <w:rsid w:val="00103B29"/>
    <w:rsid w:val="0010450E"/>
    <w:rsid w:val="001144CF"/>
    <w:rsid w:val="00123C9F"/>
    <w:rsid w:val="00126190"/>
    <w:rsid w:val="001308F3"/>
    <w:rsid w:val="00130F17"/>
    <w:rsid w:val="001320BF"/>
    <w:rsid w:val="0013658B"/>
    <w:rsid w:val="001517BC"/>
    <w:rsid w:val="00160B35"/>
    <w:rsid w:val="00163BC4"/>
    <w:rsid w:val="00164DA2"/>
    <w:rsid w:val="001807CD"/>
    <w:rsid w:val="00185C87"/>
    <w:rsid w:val="001860B2"/>
    <w:rsid w:val="001901AE"/>
    <w:rsid w:val="00191062"/>
    <w:rsid w:val="00192B72"/>
    <w:rsid w:val="001A29D8"/>
    <w:rsid w:val="001A5CAA"/>
    <w:rsid w:val="001B0427"/>
    <w:rsid w:val="001B1155"/>
    <w:rsid w:val="001B2CF4"/>
    <w:rsid w:val="001B2EBD"/>
    <w:rsid w:val="001C4A0E"/>
    <w:rsid w:val="001C5983"/>
    <w:rsid w:val="001D1E9A"/>
    <w:rsid w:val="001D3A51"/>
    <w:rsid w:val="001D4B35"/>
    <w:rsid w:val="001E10D2"/>
    <w:rsid w:val="001E25B4"/>
    <w:rsid w:val="001E312E"/>
    <w:rsid w:val="001E44FE"/>
    <w:rsid w:val="001F1C06"/>
    <w:rsid w:val="00200595"/>
    <w:rsid w:val="00204835"/>
    <w:rsid w:val="0021167A"/>
    <w:rsid w:val="00212E4E"/>
    <w:rsid w:val="00231920"/>
    <w:rsid w:val="0023195C"/>
    <w:rsid w:val="0023335D"/>
    <w:rsid w:val="00237AE1"/>
    <w:rsid w:val="0024282C"/>
    <w:rsid w:val="002441BC"/>
    <w:rsid w:val="002460DC"/>
    <w:rsid w:val="00250985"/>
    <w:rsid w:val="00252B55"/>
    <w:rsid w:val="002556F6"/>
    <w:rsid w:val="00262B95"/>
    <w:rsid w:val="00263659"/>
    <w:rsid w:val="00276137"/>
    <w:rsid w:val="00276EA0"/>
    <w:rsid w:val="002817FB"/>
    <w:rsid w:val="002825F5"/>
    <w:rsid w:val="00283105"/>
    <w:rsid w:val="00284C4C"/>
    <w:rsid w:val="00287E68"/>
    <w:rsid w:val="00291A5F"/>
    <w:rsid w:val="00296529"/>
    <w:rsid w:val="002A7E53"/>
    <w:rsid w:val="002B27FB"/>
    <w:rsid w:val="002B685A"/>
    <w:rsid w:val="002B782B"/>
    <w:rsid w:val="002C57D2"/>
    <w:rsid w:val="002D15A9"/>
    <w:rsid w:val="002D19A2"/>
    <w:rsid w:val="002E0D56"/>
    <w:rsid w:val="002E3583"/>
    <w:rsid w:val="002E5BD8"/>
    <w:rsid w:val="002F0031"/>
    <w:rsid w:val="002F2797"/>
    <w:rsid w:val="003043E8"/>
    <w:rsid w:val="00315186"/>
    <w:rsid w:val="00315BF5"/>
    <w:rsid w:val="00331EE5"/>
    <w:rsid w:val="0033343E"/>
    <w:rsid w:val="00345A12"/>
    <w:rsid w:val="003512C2"/>
    <w:rsid w:val="00353B20"/>
    <w:rsid w:val="00361B42"/>
    <w:rsid w:val="0037139C"/>
    <w:rsid w:val="00371FB6"/>
    <w:rsid w:val="003763C1"/>
    <w:rsid w:val="00376BBE"/>
    <w:rsid w:val="00380E5B"/>
    <w:rsid w:val="0039224F"/>
    <w:rsid w:val="003A3553"/>
    <w:rsid w:val="003A43A4"/>
    <w:rsid w:val="003A7E18"/>
    <w:rsid w:val="003B4397"/>
    <w:rsid w:val="003B5E12"/>
    <w:rsid w:val="003C4C86"/>
    <w:rsid w:val="003C5713"/>
    <w:rsid w:val="003C6258"/>
    <w:rsid w:val="003E2904"/>
    <w:rsid w:val="00401927"/>
    <w:rsid w:val="0040223E"/>
    <w:rsid w:val="0041027F"/>
    <w:rsid w:val="00412475"/>
    <w:rsid w:val="0041710E"/>
    <w:rsid w:val="00423789"/>
    <w:rsid w:val="00424454"/>
    <w:rsid w:val="004371A1"/>
    <w:rsid w:val="004404A5"/>
    <w:rsid w:val="00440F43"/>
    <w:rsid w:val="00441B6F"/>
    <w:rsid w:val="00446221"/>
    <w:rsid w:val="00450E62"/>
    <w:rsid w:val="004539DB"/>
    <w:rsid w:val="00455E65"/>
    <w:rsid w:val="0046268C"/>
    <w:rsid w:val="00464FFC"/>
    <w:rsid w:val="0046560B"/>
    <w:rsid w:val="00471A80"/>
    <w:rsid w:val="00492118"/>
    <w:rsid w:val="00496D19"/>
    <w:rsid w:val="004B2393"/>
    <w:rsid w:val="004B53BC"/>
    <w:rsid w:val="004C1436"/>
    <w:rsid w:val="004D305E"/>
    <w:rsid w:val="004D35B9"/>
    <w:rsid w:val="004D4277"/>
    <w:rsid w:val="004D6E3E"/>
    <w:rsid w:val="004E0785"/>
    <w:rsid w:val="004E7171"/>
    <w:rsid w:val="004F00AE"/>
    <w:rsid w:val="004F2C1D"/>
    <w:rsid w:val="004F3930"/>
    <w:rsid w:val="00502516"/>
    <w:rsid w:val="00505F06"/>
    <w:rsid w:val="00506828"/>
    <w:rsid w:val="00512C6C"/>
    <w:rsid w:val="00514128"/>
    <w:rsid w:val="0052025A"/>
    <w:rsid w:val="00520E07"/>
    <w:rsid w:val="0053056E"/>
    <w:rsid w:val="00534D74"/>
    <w:rsid w:val="00540347"/>
    <w:rsid w:val="005405E4"/>
    <w:rsid w:val="0055012F"/>
    <w:rsid w:val="00551CB9"/>
    <w:rsid w:val="00554FDA"/>
    <w:rsid w:val="00561AD9"/>
    <w:rsid w:val="005626D8"/>
    <w:rsid w:val="00567EF3"/>
    <w:rsid w:val="0057649F"/>
    <w:rsid w:val="005A2296"/>
    <w:rsid w:val="005A766E"/>
    <w:rsid w:val="005A7CF1"/>
    <w:rsid w:val="005B3C0A"/>
    <w:rsid w:val="005C784C"/>
    <w:rsid w:val="005D17F6"/>
    <w:rsid w:val="005E2B77"/>
    <w:rsid w:val="005E5539"/>
    <w:rsid w:val="00602BF5"/>
    <w:rsid w:val="00616D29"/>
    <w:rsid w:val="00617FDD"/>
    <w:rsid w:val="00633614"/>
    <w:rsid w:val="00633F68"/>
    <w:rsid w:val="00636EB2"/>
    <w:rsid w:val="006375B8"/>
    <w:rsid w:val="00647F3B"/>
    <w:rsid w:val="0066510A"/>
    <w:rsid w:val="00665977"/>
    <w:rsid w:val="00673F9F"/>
    <w:rsid w:val="00680F0B"/>
    <w:rsid w:val="006850F5"/>
    <w:rsid w:val="00686953"/>
    <w:rsid w:val="00687DEA"/>
    <w:rsid w:val="00687E67"/>
    <w:rsid w:val="006919E2"/>
    <w:rsid w:val="006967F7"/>
    <w:rsid w:val="006A250C"/>
    <w:rsid w:val="006B1118"/>
    <w:rsid w:val="006B1576"/>
    <w:rsid w:val="006B21D3"/>
    <w:rsid w:val="006B56A0"/>
    <w:rsid w:val="006B57D0"/>
    <w:rsid w:val="006D30FF"/>
    <w:rsid w:val="006D63E1"/>
    <w:rsid w:val="006D6940"/>
    <w:rsid w:val="006E4E8C"/>
    <w:rsid w:val="006E51F2"/>
    <w:rsid w:val="006E660E"/>
    <w:rsid w:val="006F11EC"/>
    <w:rsid w:val="006F242A"/>
    <w:rsid w:val="006F4843"/>
    <w:rsid w:val="006F5339"/>
    <w:rsid w:val="0070082C"/>
    <w:rsid w:val="007027AE"/>
    <w:rsid w:val="00710BBE"/>
    <w:rsid w:val="00714D36"/>
    <w:rsid w:val="007175A4"/>
    <w:rsid w:val="007269AF"/>
    <w:rsid w:val="007369E6"/>
    <w:rsid w:val="0074438D"/>
    <w:rsid w:val="00746E59"/>
    <w:rsid w:val="00750C7D"/>
    <w:rsid w:val="00754C9A"/>
    <w:rsid w:val="00755775"/>
    <w:rsid w:val="0075599A"/>
    <w:rsid w:val="00757ED2"/>
    <w:rsid w:val="00761D52"/>
    <w:rsid w:val="0077749E"/>
    <w:rsid w:val="00783618"/>
    <w:rsid w:val="00790ADA"/>
    <w:rsid w:val="00794AE6"/>
    <w:rsid w:val="007A5EED"/>
    <w:rsid w:val="007B396F"/>
    <w:rsid w:val="007C1624"/>
    <w:rsid w:val="007D2288"/>
    <w:rsid w:val="007E088F"/>
    <w:rsid w:val="007E4CDA"/>
    <w:rsid w:val="007F7B32"/>
    <w:rsid w:val="00803D43"/>
    <w:rsid w:val="00804BC2"/>
    <w:rsid w:val="00811575"/>
    <w:rsid w:val="00812BA2"/>
    <w:rsid w:val="0081431A"/>
    <w:rsid w:val="008177E6"/>
    <w:rsid w:val="00822E04"/>
    <w:rsid w:val="0083216F"/>
    <w:rsid w:val="008356B7"/>
    <w:rsid w:val="00837742"/>
    <w:rsid w:val="0085163C"/>
    <w:rsid w:val="00860000"/>
    <w:rsid w:val="00862CEB"/>
    <w:rsid w:val="00863BD3"/>
    <w:rsid w:val="008641ED"/>
    <w:rsid w:val="00866D66"/>
    <w:rsid w:val="008671C6"/>
    <w:rsid w:val="008718D4"/>
    <w:rsid w:val="00875803"/>
    <w:rsid w:val="008779FB"/>
    <w:rsid w:val="00884047"/>
    <w:rsid w:val="008936E1"/>
    <w:rsid w:val="008B459E"/>
    <w:rsid w:val="008E13AE"/>
    <w:rsid w:val="008E1506"/>
    <w:rsid w:val="008E710C"/>
    <w:rsid w:val="008F457A"/>
    <w:rsid w:val="008F474C"/>
    <w:rsid w:val="008F5A1A"/>
    <w:rsid w:val="008F65C1"/>
    <w:rsid w:val="008F69D6"/>
    <w:rsid w:val="00902823"/>
    <w:rsid w:val="009104AE"/>
    <w:rsid w:val="00915CA6"/>
    <w:rsid w:val="00927834"/>
    <w:rsid w:val="009353C3"/>
    <w:rsid w:val="00942E89"/>
    <w:rsid w:val="00944112"/>
    <w:rsid w:val="009500A6"/>
    <w:rsid w:val="00953BBE"/>
    <w:rsid w:val="00956BD2"/>
    <w:rsid w:val="00957C18"/>
    <w:rsid w:val="00961CC4"/>
    <w:rsid w:val="00964C8C"/>
    <w:rsid w:val="009659BA"/>
    <w:rsid w:val="009676A3"/>
    <w:rsid w:val="009719D6"/>
    <w:rsid w:val="00972AA5"/>
    <w:rsid w:val="00976BA1"/>
    <w:rsid w:val="00977F0F"/>
    <w:rsid w:val="00980F4B"/>
    <w:rsid w:val="00983040"/>
    <w:rsid w:val="009942B4"/>
    <w:rsid w:val="009B3FB9"/>
    <w:rsid w:val="009B57D7"/>
    <w:rsid w:val="009C2465"/>
    <w:rsid w:val="009D35A0"/>
    <w:rsid w:val="009D7EB7"/>
    <w:rsid w:val="009E048A"/>
    <w:rsid w:val="009E08E9"/>
    <w:rsid w:val="009E1A46"/>
    <w:rsid w:val="009E3DB9"/>
    <w:rsid w:val="009E59DE"/>
    <w:rsid w:val="009E6E35"/>
    <w:rsid w:val="009F037D"/>
    <w:rsid w:val="009F0EDA"/>
    <w:rsid w:val="00A02143"/>
    <w:rsid w:val="00A03B96"/>
    <w:rsid w:val="00A05B19"/>
    <w:rsid w:val="00A1134E"/>
    <w:rsid w:val="00A14586"/>
    <w:rsid w:val="00A240B9"/>
    <w:rsid w:val="00A24E7E"/>
    <w:rsid w:val="00A258C3"/>
    <w:rsid w:val="00A26884"/>
    <w:rsid w:val="00A347C0"/>
    <w:rsid w:val="00A45226"/>
    <w:rsid w:val="00A51431"/>
    <w:rsid w:val="00A539AD"/>
    <w:rsid w:val="00A75AD3"/>
    <w:rsid w:val="00A8581E"/>
    <w:rsid w:val="00A917D0"/>
    <w:rsid w:val="00A94063"/>
    <w:rsid w:val="00AA185C"/>
    <w:rsid w:val="00AA6219"/>
    <w:rsid w:val="00AA74E0"/>
    <w:rsid w:val="00AB703F"/>
    <w:rsid w:val="00AC6BB8"/>
    <w:rsid w:val="00AD4F2E"/>
    <w:rsid w:val="00AE008F"/>
    <w:rsid w:val="00AF2CB9"/>
    <w:rsid w:val="00B01FCD"/>
    <w:rsid w:val="00B1776C"/>
    <w:rsid w:val="00B33266"/>
    <w:rsid w:val="00B41C92"/>
    <w:rsid w:val="00B45A2D"/>
    <w:rsid w:val="00B52583"/>
    <w:rsid w:val="00B52896"/>
    <w:rsid w:val="00B53D98"/>
    <w:rsid w:val="00B67EB5"/>
    <w:rsid w:val="00B81418"/>
    <w:rsid w:val="00B8151E"/>
    <w:rsid w:val="00B91F7E"/>
    <w:rsid w:val="00B940A6"/>
    <w:rsid w:val="00B95236"/>
    <w:rsid w:val="00B96BD9"/>
    <w:rsid w:val="00BA1B01"/>
    <w:rsid w:val="00BA218F"/>
    <w:rsid w:val="00BA2641"/>
    <w:rsid w:val="00BB37AA"/>
    <w:rsid w:val="00BB4483"/>
    <w:rsid w:val="00BC11F0"/>
    <w:rsid w:val="00BC53A0"/>
    <w:rsid w:val="00BC6026"/>
    <w:rsid w:val="00BD7FA0"/>
    <w:rsid w:val="00BE26D5"/>
    <w:rsid w:val="00BE62AD"/>
    <w:rsid w:val="00BF121F"/>
    <w:rsid w:val="00BF1F80"/>
    <w:rsid w:val="00C01A0A"/>
    <w:rsid w:val="00C0423C"/>
    <w:rsid w:val="00C04E21"/>
    <w:rsid w:val="00C137A3"/>
    <w:rsid w:val="00C166EF"/>
    <w:rsid w:val="00C17EB0"/>
    <w:rsid w:val="00C25268"/>
    <w:rsid w:val="00C27F5F"/>
    <w:rsid w:val="00C309A8"/>
    <w:rsid w:val="00C30A0F"/>
    <w:rsid w:val="00C37E61"/>
    <w:rsid w:val="00C43868"/>
    <w:rsid w:val="00C44F67"/>
    <w:rsid w:val="00C524AA"/>
    <w:rsid w:val="00C70F1B"/>
    <w:rsid w:val="00C71A47"/>
    <w:rsid w:val="00C7464C"/>
    <w:rsid w:val="00C74A0D"/>
    <w:rsid w:val="00C76ECB"/>
    <w:rsid w:val="00C82F27"/>
    <w:rsid w:val="00C85588"/>
    <w:rsid w:val="00CA389C"/>
    <w:rsid w:val="00CA38F9"/>
    <w:rsid w:val="00CC6391"/>
    <w:rsid w:val="00CC64A9"/>
    <w:rsid w:val="00CD6755"/>
    <w:rsid w:val="00CD6856"/>
    <w:rsid w:val="00CE0089"/>
    <w:rsid w:val="00CE793C"/>
    <w:rsid w:val="00CF1844"/>
    <w:rsid w:val="00CF1858"/>
    <w:rsid w:val="00CF193C"/>
    <w:rsid w:val="00D07678"/>
    <w:rsid w:val="00D173F1"/>
    <w:rsid w:val="00D22DC1"/>
    <w:rsid w:val="00D36240"/>
    <w:rsid w:val="00D362DF"/>
    <w:rsid w:val="00D47405"/>
    <w:rsid w:val="00D64B79"/>
    <w:rsid w:val="00D74CB0"/>
    <w:rsid w:val="00D7502D"/>
    <w:rsid w:val="00D8295D"/>
    <w:rsid w:val="00D84390"/>
    <w:rsid w:val="00D93234"/>
    <w:rsid w:val="00D936EE"/>
    <w:rsid w:val="00DA0424"/>
    <w:rsid w:val="00DC0C44"/>
    <w:rsid w:val="00DC2A65"/>
    <w:rsid w:val="00DD1B92"/>
    <w:rsid w:val="00DD29EC"/>
    <w:rsid w:val="00DE15F0"/>
    <w:rsid w:val="00DE2DD7"/>
    <w:rsid w:val="00DE4ECC"/>
    <w:rsid w:val="00DE5663"/>
    <w:rsid w:val="00DE74B5"/>
    <w:rsid w:val="00DE78AA"/>
    <w:rsid w:val="00DF4180"/>
    <w:rsid w:val="00E053D0"/>
    <w:rsid w:val="00E06E16"/>
    <w:rsid w:val="00E15994"/>
    <w:rsid w:val="00E3114E"/>
    <w:rsid w:val="00E312D1"/>
    <w:rsid w:val="00E31A70"/>
    <w:rsid w:val="00E35B02"/>
    <w:rsid w:val="00E4264D"/>
    <w:rsid w:val="00E471E9"/>
    <w:rsid w:val="00E62648"/>
    <w:rsid w:val="00E64803"/>
    <w:rsid w:val="00E66496"/>
    <w:rsid w:val="00E66B35"/>
    <w:rsid w:val="00E66E10"/>
    <w:rsid w:val="00E769F6"/>
    <w:rsid w:val="00E8407C"/>
    <w:rsid w:val="00E84F3C"/>
    <w:rsid w:val="00E870DD"/>
    <w:rsid w:val="00E91892"/>
    <w:rsid w:val="00EA012C"/>
    <w:rsid w:val="00EA19E7"/>
    <w:rsid w:val="00EB41D0"/>
    <w:rsid w:val="00EB4977"/>
    <w:rsid w:val="00EB65EA"/>
    <w:rsid w:val="00EB7EB4"/>
    <w:rsid w:val="00EC6A55"/>
    <w:rsid w:val="00ED0288"/>
    <w:rsid w:val="00EE351D"/>
    <w:rsid w:val="00EE3E63"/>
    <w:rsid w:val="00EE52CB"/>
    <w:rsid w:val="00EF581D"/>
    <w:rsid w:val="00EF7FD8"/>
    <w:rsid w:val="00F06F59"/>
    <w:rsid w:val="00F173A1"/>
    <w:rsid w:val="00F17988"/>
    <w:rsid w:val="00F26108"/>
    <w:rsid w:val="00F26434"/>
    <w:rsid w:val="00F45D4D"/>
    <w:rsid w:val="00F468BB"/>
    <w:rsid w:val="00F469F0"/>
    <w:rsid w:val="00F53273"/>
    <w:rsid w:val="00F60E7C"/>
    <w:rsid w:val="00F65507"/>
    <w:rsid w:val="00F755E4"/>
    <w:rsid w:val="00F77D02"/>
    <w:rsid w:val="00FA1A3C"/>
    <w:rsid w:val="00FA2120"/>
    <w:rsid w:val="00FA52D2"/>
    <w:rsid w:val="00FB3A86"/>
    <w:rsid w:val="00FB3BD8"/>
    <w:rsid w:val="00FC3D5E"/>
    <w:rsid w:val="00FC47FA"/>
    <w:rsid w:val="00FD36C8"/>
    <w:rsid w:val="00FD385D"/>
    <w:rsid w:val="00FE3487"/>
    <w:rsid w:val="00FF60D5"/>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9D614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37742"/>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65875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6240437">
      <w:bodyDiv w:val="1"/>
      <w:marLeft w:val="0"/>
      <w:marRight w:val="0"/>
      <w:marTop w:val="0"/>
      <w:marBottom w:val="0"/>
      <w:divBdr>
        <w:top w:val="none" w:sz="0" w:space="0" w:color="auto"/>
        <w:left w:val="none" w:sz="0" w:space="0" w:color="auto"/>
        <w:bottom w:val="none" w:sz="0" w:space="0" w:color="auto"/>
        <w:right w:val="none" w:sz="0" w:space="0" w:color="auto"/>
      </w:divBdr>
    </w:div>
    <w:div w:id="16378349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8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sagri.gov.in/" TargetMode="External"/><Relationship Id="rId3" Type="http://schemas.openxmlformats.org/officeDocument/2006/relationships/styles" Target="styles.xml"/><Relationship Id="rId21" Type="http://schemas.openxmlformats.org/officeDocument/2006/relationships/hyperlink" Target="https://doi.org/10.3389/fsufs.2020.51803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ijecc/2022/v12i1113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016/j.agsy.2016.1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9734/ijecc/2022/v12i530678" TargetMode="External"/><Relationship Id="rId10" Type="http://schemas.openxmlformats.org/officeDocument/2006/relationships/footer" Target="footer1.xml"/><Relationship Id="rId19" Type="http://schemas.openxmlformats.org/officeDocument/2006/relationships/hyperlink" Target="https://doi.org/10.1007/s00704-020-03425-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worldbank.org/en/topic/climate-smart-agri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Sheet1!$QP$5</c:f>
              <c:strCache>
                <c:ptCount val="1"/>
                <c:pt idx="0">
                  <c:v>Strongly agree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Sheet1!$QP$6:$QP$15</c:f>
              <c:numCache>
                <c:formatCode>0.00</c:formatCode>
                <c:ptCount val="10"/>
                <c:pt idx="0">
                  <c:v>59.772727272727273</c:v>
                </c:pt>
                <c:pt idx="1">
                  <c:v>6.1363636363636367</c:v>
                </c:pt>
                <c:pt idx="2">
                  <c:v>22.727272727272727</c:v>
                </c:pt>
                <c:pt idx="3">
                  <c:v>7.9545454545454541</c:v>
                </c:pt>
                <c:pt idx="4">
                  <c:v>33.636363636363633</c:v>
                </c:pt>
                <c:pt idx="5">
                  <c:v>60.227272727272727</c:v>
                </c:pt>
                <c:pt idx="6">
                  <c:v>31.363636363636363</c:v>
                </c:pt>
                <c:pt idx="7">
                  <c:v>48.409090909090907</c:v>
                </c:pt>
                <c:pt idx="8">
                  <c:v>9.3181818181818183</c:v>
                </c:pt>
                <c:pt idx="9">
                  <c:v>7.9545454545454541</c:v>
                </c:pt>
              </c:numCache>
            </c:numRef>
          </c:val>
          <c:extLst>
            <c:ext xmlns:c16="http://schemas.microsoft.com/office/drawing/2014/chart" uri="{C3380CC4-5D6E-409C-BE32-E72D297353CC}">
              <c16:uniqueId val="{00000000-37A2-4ED9-933F-B12FBD7A0492}"/>
            </c:ext>
          </c:extLst>
        </c:ser>
        <c:ser>
          <c:idx val="1"/>
          <c:order val="1"/>
          <c:tx>
            <c:strRef>
              <c:f>Sheet1!$QQ$5</c:f>
              <c:strCache>
                <c:ptCount val="1"/>
                <c:pt idx="0">
                  <c:v>Agree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Sheet1!$QQ$6:$QQ$15</c:f>
              <c:numCache>
                <c:formatCode>0.00</c:formatCode>
                <c:ptCount val="10"/>
                <c:pt idx="0">
                  <c:v>33.18181818181818</c:v>
                </c:pt>
                <c:pt idx="1">
                  <c:v>22.045454545454547</c:v>
                </c:pt>
                <c:pt idx="2">
                  <c:v>55.227272727272727</c:v>
                </c:pt>
                <c:pt idx="3">
                  <c:v>17.045454545454547</c:v>
                </c:pt>
                <c:pt idx="4">
                  <c:v>33.18181818181818</c:v>
                </c:pt>
                <c:pt idx="5">
                  <c:v>35.68181818181818</c:v>
                </c:pt>
                <c:pt idx="6">
                  <c:v>31.818181818181817</c:v>
                </c:pt>
                <c:pt idx="7">
                  <c:v>38.409090909090907</c:v>
                </c:pt>
                <c:pt idx="8">
                  <c:v>23.181818181818183</c:v>
                </c:pt>
                <c:pt idx="9">
                  <c:v>26.59090909090909</c:v>
                </c:pt>
              </c:numCache>
            </c:numRef>
          </c:val>
          <c:extLst>
            <c:ext xmlns:c16="http://schemas.microsoft.com/office/drawing/2014/chart" uri="{C3380CC4-5D6E-409C-BE32-E72D297353CC}">
              <c16:uniqueId val="{00000001-37A2-4ED9-933F-B12FBD7A0492}"/>
            </c:ext>
          </c:extLst>
        </c:ser>
        <c:ser>
          <c:idx val="2"/>
          <c:order val="2"/>
          <c:tx>
            <c:strRef>
              <c:f>Sheet1!$QR$5</c:f>
              <c:strCache>
                <c:ptCount val="1"/>
                <c:pt idx="0">
                  <c:v>Neutral</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Sheet1!$QR$6:$QR$15</c:f>
              <c:numCache>
                <c:formatCode>0.00</c:formatCode>
                <c:ptCount val="10"/>
                <c:pt idx="0">
                  <c:v>6.5909090909090908</c:v>
                </c:pt>
                <c:pt idx="1">
                  <c:v>11.363636363636363</c:v>
                </c:pt>
                <c:pt idx="2">
                  <c:v>13.409090909090908</c:v>
                </c:pt>
                <c:pt idx="3">
                  <c:v>17.5</c:v>
                </c:pt>
                <c:pt idx="4">
                  <c:v>9.7727272727272734</c:v>
                </c:pt>
                <c:pt idx="5">
                  <c:v>2.0454545454545454</c:v>
                </c:pt>
                <c:pt idx="6">
                  <c:v>26.136363636363637</c:v>
                </c:pt>
                <c:pt idx="7">
                  <c:v>3.4090909090909092</c:v>
                </c:pt>
                <c:pt idx="8">
                  <c:v>17.954545454545453</c:v>
                </c:pt>
                <c:pt idx="9">
                  <c:v>17.727272727272727</c:v>
                </c:pt>
              </c:numCache>
            </c:numRef>
          </c:val>
          <c:extLst>
            <c:ext xmlns:c16="http://schemas.microsoft.com/office/drawing/2014/chart" uri="{C3380CC4-5D6E-409C-BE32-E72D297353CC}">
              <c16:uniqueId val="{00000002-37A2-4ED9-933F-B12FBD7A0492}"/>
            </c:ext>
          </c:extLst>
        </c:ser>
        <c:ser>
          <c:idx val="3"/>
          <c:order val="3"/>
          <c:tx>
            <c:strRef>
              <c:f>Sheet1!$QS$5</c:f>
              <c:strCache>
                <c:ptCount val="1"/>
                <c:pt idx="0">
                  <c:v>Disagree</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Sheet1!$QS$6:$QS$15</c:f>
              <c:numCache>
                <c:formatCode>0.00</c:formatCode>
                <c:ptCount val="10"/>
                <c:pt idx="0">
                  <c:v>6.5909090909090908</c:v>
                </c:pt>
                <c:pt idx="1">
                  <c:v>11.363636363636363</c:v>
                </c:pt>
                <c:pt idx="2">
                  <c:v>13.409090909090908</c:v>
                </c:pt>
                <c:pt idx="3">
                  <c:v>17.5</c:v>
                </c:pt>
                <c:pt idx="4">
                  <c:v>9.7727272727272734</c:v>
                </c:pt>
                <c:pt idx="5">
                  <c:v>2.0454545454545454</c:v>
                </c:pt>
                <c:pt idx="6">
                  <c:v>26.136363636363637</c:v>
                </c:pt>
                <c:pt idx="7">
                  <c:v>3.4090909090909092</c:v>
                </c:pt>
                <c:pt idx="8">
                  <c:v>17.954545454545453</c:v>
                </c:pt>
                <c:pt idx="9">
                  <c:v>17.727272727272727</c:v>
                </c:pt>
              </c:numCache>
            </c:numRef>
          </c:val>
          <c:extLst>
            <c:ext xmlns:c16="http://schemas.microsoft.com/office/drawing/2014/chart" uri="{C3380CC4-5D6E-409C-BE32-E72D297353CC}">
              <c16:uniqueId val="{00000003-37A2-4ED9-933F-B12FBD7A0492}"/>
            </c:ext>
          </c:extLst>
        </c:ser>
        <c:ser>
          <c:idx val="4"/>
          <c:order val="4"/>
          <c:tx>
            <c:strRef>
              <c:f>Sheet1!$QT$5</c:f>
              <c:strCache>
                <c:ptCount val="1"/>
                <c:pt idx="0">
                  <c:v>Strongly disagree</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Sheet1!$QT$6:$QT$15</c:f>
              <c:numCache>
                <c:formatCode>0.00</c:formatCode>
                <c:ptCount val="10"/>
                <c:pt idx="0">
                  <c:v>0.45454545454545453</c:v>
                </c:pt>
                <c:pt idx="1">
                  <c:v>45.227272727272727</c:v>
                </c:pt>
                <c:pt idx="2">
                  <c:v>7.5</c:v>
                </c:pt>
                <c:pt idx="3">
                  <c:v>37.727272727272727</c:v>
                </c:pt>
                <c:pt idx="4">
                  <c:v>8.1818181818181817</c:v>
                </c:pt>
                <c:pt idx="5">
                  <c:v>1.5909090909090908</c:v>
                </c:pt>
                <c:pt idx="6">
                  <c:v>9.7727272727272734</c:v>
                </c:pt>
                <c:pt idx="7">
                  <c:v>8.1818181818181817</c:v>
                </c:pt>
                <c:pt idx="8">
                  <c:v>31.59090909090909</c:v>
                </c:pt>
                <c:pt idx="9">
                  <c:v>17.272727272727273</c:v>
                </c:pt>
              </c:numCache>
            </c:numRef>
          </c:val>
          <c:extLst>
            <c:ext xmlns:c16="http://schemas.microsoft.com/office/drawing/2014/chart" uri="{C3380CC4-5D6E-409C-BE32-E72D297353CC}">
              <c16:uniqueId val="{00000004-37A2-4ED9-933F-B12FBD7A0492}"/>
            </c:ext>
          </c:extLst>
        </c:ser>
        <c:dLbls>
          <c:dLblPos val="ctr"/>
          <c:showLegendKey val="0"/>
          <c:showVal val="1"/>
          <c:showCatName val="0"/>
          <c:showSerName val="0"/>
          <c:showPercent val="0"/>
          <c:showBubbleSize val="0"/>
        </c:dLbls>
        <c:gapWidth val="50"/>
        <c:overlap val="100"/>
        <c:axId val="784025152"/>
        <c:axId val="784023712"/>
      </c:barChart>
      <c:catAx>
        <c:axId val="78402515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23712"/>
        <c:crosses val="autoZero"/>
        <c:auto val="1"/>
        <c:lblAlgn val="ctr"/>
        <c:lblOffset val="100"/>
        <c:noMultiLvlLbl val="0"/>
      </c:catAx>
      <c:valAx>
        <c:axId val="784023712"/>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2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Sheet1!$QZ$48:$RC$48</c:f>
              <c:strCache>
                <c:ptCount val="4"/>
                <c:pt idx="0">
                  <c:v>Government</c:v>
                </c:pt>
                <c:pt idx="1">
                  <c:v>NGO</c:v>
                </c:pt>
                <c:pt idx="2">
                  <c:v>Trader</c:v>
                </c:pt>
                <c:pt idx="3">
                  <c:v>Fellow farmer</c:v>
                </c:pt>
              </c:strCache>
            </c:strRef>
          </c:cat>
          <c:val>
            <c:numRef>
              <c:f>Sheet1!$QZ$49:$RC$49</c:f>
              <c:numCache>
                <c:formatCode>0.00</c:formatCode>
                <c:ptCount val="4"/>
                <c:pt idx="0">
                  <c:v>52.5</c:v>
                </c:pt>
                <c:pt idx="1">
                  <c:v>2.5</c:v>
                </c:pt>
                <c:pt idx="2">
                  <c:v>19.09090909090909</c:v>
                </c:pt>
                <c:pt idx="3">
                  <c:v>24.545454545454547</c:v>
                </c:pt>
              </c:numCache>
            </c:numRef>
          </c:val>
          <c:extLst>
            <c:ext xmlns:c16="http://schemas.microsoft.com/office/drawing/2014/chart" uri="{C3380CC4-5D6E-409C-BE32-E72D297353CC}">
              <c16:uniqueId val="{00000000-69BB-4A3F-ABFE-8C27BADFC820}"/>
            </c:ext>
          </c:extLst>
        </c:ser>
        <c:dLbls>
          <c:dLblPos val="inEnd"/>
          <c:showLegendKey val="0"/>
          <c:showVal val="1"/>
          <c:showCatName val="0"/>
          <c:showSerName val="0"/>
          <c:showPercent val="0"/>
          <c:showBubbleSize val="0"/>
        </c:dLbls>
        <c:gapWidth val="100"/>
        <c:overlap val="-24"/>
        <c:axId val="784032832"/>
        <c:axId val="784033312"/>
      </c:barChart>
      <c:catAx>
        <c:axId val="784032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3312"/>
        <c:crosses val="autoZero"/>
        <c:auto val="1"/>
        <c:lblAlgn val="ctr"/>
        <c:lblOffset val="100"/>
        <c:noMultiLvlLbl val="0"/>
      </c:catAx>
      <c:valAx>
        <c:axId val="7840333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Sheet1!$QZ$50:$RB$50</c:f>
              <c:strCache>
                <c:ptCount val="3"/>
                <c:pt idx="0">
                  <c:v>Very frequent</c:v>
                </c:pt>
                <c:pt idx="1">
                  <c:v>Frequent</c:v>
                </c:pt>
                <c:pt idx="2">
                  <c:v>Irregular</c:v>
                </c:pt>
              </c:strCache>
            </c:strRef>
          </c:cat>
          <c:val>
            <c:numRef>
              <c:f>Sheet1!$QZ$51:$RB$51</c:f>
              <c:numCache>
                <c:formatCode>0.00</c:formatCode>
                <c:ptCount val="3"/>
                <c:pt idx="0">
                  <c:v>24.772727272727273</c:v>
                </c:pt>
                <c:pt idx="1">
                  <c:v>47.045454545454547</c:v>
                </c:pt>
                <c:pt idx="2">
                  <c:v>28.18181818181818</c:v>
                </c:pt>
              </c:numCache>
            </c:numRef>
          </c:val>
          <c:extLst>
            <c:ext xmlns:c16="http://schemas.microsoft.com/office/drawing/2014/chart" uri="{C3380CC4-5D6E-409C-BE32-E72D297353CC}">
              <c16:uniqueId val="{00000000-0F3F-4FAD-B9AD-6892702733AB}"/>
            </c:ext>
          </c:extLst>
        </c:ser>
        <c:dLbls>
          <c:dLblPos val="inEnd"/>
          <c:showLegendKey val="0"/>
          <c:showVal val="1"/>
          <c:showCatName val="0"/>
          <c:showSerName val="0"/>
          <c:showPercent val="0"/>
          <c:showBubbleSize val="0"/>
        </c:dLbls>
        <c:gapWidth val="100"/>
        <c:overlap val="-24"/>
        <c:axId val="781540784"/>
        <c:axId val="781547984"/>
      </c:barChart>
      <c:catAx>
        <c:axId val="7815407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7984"/>
        <c:crosses val="autoZero"/>
        <c:auto val="1"/>
        <c:lblAlgn val="ctr"/>
        <c:lblOffset val="100"/>
        <c:noMultiLvlLbl val="0"/>
      </c:catAx>
      <c:valAx>
        <c:axId val="78154798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1E2C-43FE-4934-B685-BB674653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405</TotalTime>
  <Pages>11</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262</cp:revision>
  <cp:lastPrinted>1999-07-06T11:00:00Z</cp:lastPrinted>
  <dcterms:created xsi:type="dcterms:W3CDTF">2014-10-25T14:34:00Z</dcterms:created>
  <dcterms:modified xsi:type="dcterms:W3CDTF">2025-03-18T10:19:00Z</dcterms:modified>
</cp:coreProperties>
</file>