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7D1C2" w14:textId="77777777" w:rsidR="00524A8B" w:rsidRPr="00756B32" w:rsidRDefault="00524A8B" w:rsidP="00524A8B">
      <w:pPr>
        <w:spacing w:line="360" w:lineRule="auto"/>
        <w:jc w:val="center"/>
        <w:rPr>
          <w:rFonts w:ascii="Arial" w:hAnsi="Arial" w:cs="Arial"/>
          <w:b/>
          <w:bCs/>
          <w:sz w:val="36"/>
          <w:szCs w:val="36"/>
          <w:lang w:val="en-US"/>
        </w:rPr>
      </w:pPr>
      <w:r w:rsidRPr="00756B32">
        <w:rPr>
          <w:rFonts w:ascii="Arial" w:hAnsi="Arial" w:cs="Arial"/>
          <w:b/>
          <w:bCs/>
          <w:sz w:val="36"/>
          <w:szCs w:val="36"/>
        </w:rPr>
        <w:t>Effect of Organic Manure and Bio-Fertilizers on the Quality Enhancement of Dragon Fruit (</w:t>
      </w:r>
      <w:proofErr w:type="spellStart"/>
      <w:r w:rsidRPr="00756B32">
        <w:rPr>
          <w:rFonts w:ascii="Arial" w:hAnsi="Arial" w:cs="Arial"/>
          <w:b/>
          <w:bCs/>
          <w:i/>
          <w:sz w:val="36"/>
          <w:szCs w:val="36"/>
        </w:rPr>
        <w:t>Hylocereus</w:t>
      </w:r>
      <w:proofErr w:type="spellEnd"/>
      <w:r w:rsidRPr="00756B32">
        <w:rPr>
          <w:rFonts w:ascii="Arial" w:hAnsi="Arial" w:cs="Arial"/>
          <w:b/>
          <w:bCs/>
          <w:i/>
          <w:sz w:val="36"/>
          <w:szCs w:val="36"/>
        </w:rPr>
        <w:t xml:space="preserve"> </w:t>
      </w:r>
      <w:proofErr w:type="spellStart"/>
      <w:r w:rsidRPr="00756B32">
        <w:rPr>
          <w:rFonts w:ascii="Arial" w:hAnsi="Arial" w:cs="Arial"/>
          <w:b/>
          <w:bCs/>
          <w:i/>
          <w:sz w:val="36"/>
          <w:szCs w:val="36"/>
        </w:rPr>
        <w:t>costaricensis</w:t>
      </w:r>
      <w:proofErr w:type="spellEnd"/>
      <w:r w:rsidRPr="00756B32">
        <w:rPr>
          <w:rFonts w:ascii="Arial" w:hAnsi="Arial" w:cs="Arial"/>
          <w:b/>
          <w:bCs/>
          <w:sz w:val="36"/>
          <w:szCs w:val="36"/>
        </w:rPr>
        <w:t xml:space="preserve">) </w:t>
      </w:r>
      <w:r w:rsidRPr="00756B32">
        <w:rPr>
          <w:rFonts w:ascii="Arial" w:hAnsi="Arial" w:cs="Arial"/>
          <w:b/>
          <w:bCs/>
          <w:sz w:val="36"/>
          <w:szCs w:val="36"/>
          <w:lang w:val="en-US"/>
        </w:rPr>
        <w:t>(Web.) Britton and Rose</w:t>
      </w:r>
    </w:p>
    <w:p w14:paraId="04D4E457" w14:textId="612AC683" w:rsidR="00BB537A" w:rsidRDefault="00BB537A" w:rsidP="00BB537A">
      <w:pPr>
        <w:pStyle w:val="NormalWeb"/>
        <w:spacing w:after="0" w:line="360" w:lineRule="auto"/>
        <w:ind w:right="95"/>
        <w:jc w:val="center"/>
        <w:rPr>
          <w:rFonts w:ascii="Arial" w:hAnsi="Arial" w:cs="Arial"/>
          <w:b/>
          <w:bCs/>
          <w:sz w:val="20"/>
          <w:szCs w:val="20"/>
          <w:lang w:val="en-US"/>
        </w:rPr>
      </w:pPr>
    </w:p>
    <w:p w14:paraId="410E6A8E" w14:textId="77777777" w:rsidR="00CA485F" w:rsidRDefault="00CA485F" w:rsidP="00BB537A">
      <w:pPr>
        <w:pStyle w:val="NormalWeb"/>
        <w:spacing w:after="0" w:line="360" w:lineRule="auto"/>
        <w:ind w:right="95"/>
        <w:jc w:val="center"/>
        <w:rPr>
          <w:rFonts w:ascii="Arial" w:hAnsi="Arial" w:cs="Arial"/>
          <w:b/>
          <w:bCs/>
          <w:sz w:val="20"/>
          <w:szCs w:val="20"/>
          <w:lang w:val="en-US"/>
        </w:rPr>
      </w:pPr>
    </w:p>
    <w:p w14:paraId="764886AA" w14:textId="77777777" w:rsidR="00524A8B" w:rsidRPr="00BB537A" w:rsidRDefault="00524A8B" w:rsidP="00BB537A">
      <w:pPr>
        <w:pStyle w:val="NormalWeb"/>
        <w:spacing w:after="0" w:line="360" w:lineRule="auto"/>
        <w:ind w:right="95"/>
        <w:jc w:val="both"/>
        <w:rPr>
          <w:rFonts w:ascii="Arial" w:hAnsi="Arial" w:cs="Arial"/>
          <w:b/>
          <w:bCs/>
          <w:sz w:val="20"/>
          <w:szCs w:val="20"/>
          <w:lang w:val="en-US"/>
        </w:rPr>
      </w:pPr>
      <w:r w:rsidRPr="00DE582F">
        <w:rPr>
          <w:rFonts w:cs="Times New Roman"/>
          <w:b/>
          <w:bCs/>
          <w:szCs w:val="24"/>
        </w:rPr>
        <w:t>ABSTRACT</w:t>
      </w:r>
    </w:p>
    <w:tbl>
      <w:tblPr>
        <w:tblStyle w:val="TableGrid"/>
        <w:tblpPr w:leftFromText="180" w:rightFromText="180" w:vertAnchor="text" w:horzAnchor="margin" w:tblpX="-1202" w:tblpY="77"/>
        <w:tblW w:w="11165" w:type="dxa"/>
        <w:tblLook w:val="04A0" w:firstRow="1" w:lastRow="0" w:firstColumn="1" w:lastColumn="0" w:noHBand="0" w:noVBand="1"/>
      </w:tblPr>
      <w:tblGrid>
        <w:gridCol w:w="11165"/>
      </w:tblGrid>
      <w:tr w:rsidR="00BB537A" w14:paraId="610CEDB9" w14:textId="77777777" w:rsidTr="00BB537A">
        <w:tc>
          <w:tcPr>
            <w:tcW w:w="11165" w:type="dxa"/>
          </w:tcPr>
          <w:p w14:paraId="57631647" w14:textId="77777777" w:rsidR="00BB537A" w:rsidRPr="00BB537A" w:rsidRDefault="00BB537A" w:rsidP="00BB537A">
            <w:pPr>
              <w:jc w:val="both"/>
              <w:rPr>
                <w:rFonts w:ascii="Arial" w:hAnsi="Arial" w:cs="Arial"/>
                <w:b/>
                <w:sz w:val="24"/>
                <w:szCs w:val="24"/>
              </w:rPr>
            </w:pPr>
            <w:r w:rsidRPr="00BB537A">
              <w:rPr>
                <w:rFonts w:ascii="Arial" w:hAnsi="Arial" w:cs="Arial"/>
                <w:b/>
                <w:sz w:val="24"/>
                <w:szCs w:val="24"/>
              </w:rPr>
              <w:t>Aims:</w:t>
            </w:r>
            <w:r>
              <w:rPr>
                <w:rFonts w:ascii="Arial" w:hAnsi="Arial" w:cs="Arial"/>
                <w:b/>
                <w:sz w:val="24"/>
                <w:szCs w:val="24"/>
              </w:rPr>
              <w:t xml:space="preserve"> </w:t>
            </w:r>
            <w:r w:rsidRPr="00BB537A">
              <w:rPr>
                <w:rFonts w:ascii="Arial" w:hAnsi="Arial" w:cs="Arial"/>
                <w:bCs/>
                <w:sz w:val="24"/>
                <w:szCs w:val="24"/>
              </w:rPr>
              <w:t>This study aimed to assess the effects of vermicompost and bio-fertilizers on the quality attributes of dragon fruit (</w:t>
            </w:r>
            <w:proofErr w:type="spellStart"/>
            <w:r w:rsidRPr="00BB537A">
              <w:rPr>
                <w:rFonts w:ascii="Arial" w:hAnsi="Arial" w:cs="Arial"/>
                <w:bCs/>
                <w:sz w:val="24"/>
                <w:szCs w:val="24"/>
              </w:rPr>
              <w:t>Hylocereus</w:t>
            </w:r>
            <w:proofErr w:type="spellEnd"/>
            <w:r w:rsidRPr="00BB537A">
              <w:rPr>
                <w:rFonts w:ascii="Arial" w:hAnsi="Arial" w:cs="Arial"/>
                <w:bCs/>
                <w:sz w:val="24"/>
                <w:szCs w:val="24"/>
              </w:rPr>
              <w:t xml:space="preserve"> </w:t>
            </w:r>
            <w:proofErr w:type="spellStart"/>
            <w:r w:rsidRPr="00BB537A">
              <w:rPr>
                <w:rFonts w:ascii="Arial" w:hAnsi="Arial" w:cs="Arial"/>
                <w:bCs/>
                <w:sz w:val="24"/>
                <w:szCs w:val="24"/>
              </w:rPr>
              <w:t>costaricensis</w:t>
            </w:r>
            <w:proofErr w:type="spellEnd"/>
            <w:r w:rsidRPr="00BB537A">
              <w:rPr>
                <w:rFonts w:ascii="Arial" w:hAnsi="Arial" w:cs="Arial"/>
                <w:bCs/>
                <w:sz w:val="24"/>
                <w:szCs w:val="24"/>
              </w:rPr>
              <w:t xml:space="preserve"> L.), focusing on improving fruit size, biochemical composition, and overall fruit quality through sustainable agricultural practices.</w:t>
            </w:r>
          </w:p>
          <w:p w14:paraId="0F5A78A3" w14:textId="77777777" w:rsidR="00BB537A" w:rsidRPr="00BB537A" w:rsidRDefault="00BB537A" w:rsidP="00BB537A">
            <w:pPr>
              <w:jc w:val="both"/>
              <w:rPr>
                <w:rFonts w:ascii="Arial" w:hAnsi="Arial" w:cs="Arial"/>
                <w:b/>
                <w:sz w:val="24"/>
                <w:szCs w:val="24"/>
              </w:rPr>
            </w:pPr>
            <w:r w:rsidRPr="00BB537A">
              <w:rPr>
                <w:rFonts w:ascii="Arial" w:hAnsi="Arial" w:cs="Arial"/>
                <w:b/>
                <w:sz w:val="24"/>
                <w:szCs w:val="24"/>
              </w:rPr>
              <w:t>Study Design:</w:t>
            </w:r>
            <w:r>
              <w:rPr>
                <w:rFonts w:ascii="Arial" w:hAnsi="Arial" w:cs="Arial"/>
                <w:b/>
                <w:sz w:val="24"/>
                <w:szCs w:val="24"/>
              </w:rPr>
              <w:t xml:space="preserve"> </w:t>
            </w:r>
            <w:r w:rsidRPr="00BB537A">
              <w:rPr>
                <w:rFonts w:ascii="Arial" w:hAnsi="Arial" w:cs="Arial"/>
                <w:bCs/>
                <w:sz w:val="24"/>
                <w:szCs w:val="24"/>
              </w:rPr>
              <w:t>The experiment was conducted using a randomized block design, consisting of eleven treatments with three replications, including a control. The treatments varied in the combination of vermicompost and bio-fertilizers (Azotobacter, VAM, and PSB) applied to dragon fruit plants.</w:t>
            </w:r>
          </w:p>
          <w:p w14:paraId="1CD2CCB3" w14:textId="77777777" w:rsidR="00BB537A" w:rsidRPr="00BB537A" w:rsidRDefault="00BB537A" w:rsidP="00BB537A">
            <w:pPr>
              <w:jc w:val="both"/>
              <w:rPr>
                <w:rFonts w:ascii="Arial" w:hAnsi="Arial" w:cs="Arial"/>
                <w:b/>
                <w:sz w:val="24"/>
                <w:szCs w:val="24"/>
              </w:rPr>
            </w:pPr>
            <w:r w:rsidRPr="00BB537A">
              <w:rPr>
                <w:rFonts w:ascii="Arial" w:hAnsi="Arial" w:cs="Arial"/>
                <w:b/>
                <w:sz w:val="24"/>
                <w:szCs w:val="24"/>
              </w:rPr>
              <w:t>Place and Duration of Study:</w:t>
            </w:r>
            <w:r>
              <w:rPr>
                <w:rFonts w:ascii="Arial" w:hAnsi="Arial" w:cs="Arial"/>
                <w:b/>
                <w:sz w:val="24"/>
                <w:szCs w:val="24"/>
              </w:rPr>
              <w:t xml:space="preserve"> </w:t>
            </w:r>
            <w:r w:rsidRPr="00BB537A">
              <w:rPr>
                <w:rFonts w:ascii="Arial" w:hAnsi="Arial" w:cs="Arial"/>
                <w:bCs/>
                <w:sz w:val="24"/>
                <w:szCs w:val="24"/>
              </w:rPr>
              <w:t>The study was carried out from 2022 to 2024 at the Orchard, Department of Fruit Science, C.S.A. University of Agriculture and Technology, Kanpur, India.</w:t>
            </w:r>
          </w:p>
          <w:p w14:paraId="5E03AD71" w14:textId="77777777" w:rsidR="00BB537A" w:rsidRPr="00BB537A" w:rsidRDefault="00BB537A" w:rsidP="00BB537A">
            <w:pPr>
              <w:jc w:val="both"/>
              <w:rPr>
                <w:rFonts w:ascii="Arial" w:hAnsi="Arial" w:cs="Arial"/>
                <w:b/>
                <w:sz w:val="24"/>
                <w:szCs w:val="24"/>
              </w:rPr>
            </w:pPr>
            <w:r w:rsidRPr="00BB537A">
              <w:rPr>
                <w:rFonts w:ascii="Arial" w:hAnsi="Arial" w:cs="Arial"/>
                <w:b/>
                <w:sz w:val="24"/>
                <w:szCs w:val="24"/>
              </w:rPr>
              <w:t>Methodology:</w:t>
            </w:r>
            <w:r>
              <w:rPr>
                <w:rFonts w:ascii="Arial" w:hAnsi="Arial" w:cs="Arial"/>
                <w:b/>
                <w:sz w:val="24"/>
                <w:szCs w:val="24"/>
              </w:rPr>
              <w:t xml:space="preserve"> </w:t>
            </w:r>
            <w:r w:rsidRPr="00BB537A">
              <w:rPr>
                <w:rFonts w:ascii="Arial" w:hAnsi="Arial" w:cs="Arial"/>
                <w:bCs/>
                <w:sz w:val="24"/>
                <w:szCs w:val="24"/>
              </w:rPr>
              <w:t>Eleven treatments were tested</w:t>
            </w:r>
            <w:r w:rsidRPr="00BB537A">
              <w:t xml:space="preserve"> </w:t>
            </w:r>
            <w:r w:rsidRPr="00BB537A">
              <w:rPr>
                <w:rFonts w:ascii="Arial" w:hAnsi="Arial" w:cs="Arial"/>
                <w:bCs/>
                <w:sz w:val="24"/>
                <w:szCs w:val="24"/>
              </w:rPr>
              <w:t>T1-Control, T2-Vermicompost @ 0.5 kg/plant, T3-Azotobacter @ 50 g/plant, T4-VAM @ 100 g/plant, T5-PSB @ 50 g/plant, T6-Vermicompost @ 0.5 kg/plant + Azotobacter @ 50 g/plant, T7-Vermicompost @ 0.5 kg/plant + VAM @ 100 g/plant, T8-Vermicompost @ 0.5 kg/plant + PSB @ 50 g/plant, T9-Vermicompost @ 0.5 kg/plant + Azotobacter @ 50 g/plant + VAM @ 100 g/plant, T10-Vermicompost @ 0.5 kg/plant + Azotobacter @ 50 g/plant + PSB @ 50 g/plant and T11-Vermicompost @ 0.5 kg/plant + VAM @ 100 g/plant + PSB @ 50 g/plant. Each treatment was replicated three times.</w:t>
            </w:r>
            <w:r>
              <w:rPr>
                <w:rFonts w:ascii="Arial" w:hAnsi="Arial" w:cs="Arial"/>
                <w:bCs/>
                <w:sz w:val="24"/>
                <w:szCs w:val="24"/>
              </w:rPr>
              <w:t xml:space="preserve"> </w:t>
            </w:r>
            <w:r w:rsidRPr="00BB537A">
              <w:rPr>
                <w:rFonts w:ascii="Arial" w:hAnsi="Arial" w:cs="Arial"/>
                <w:bCs/>
                <w:sz w:val="24"/>
                <w:szCs w:val="24"/>
              </w:rPr>
              <w:t>A basal dose of FYM (5 kg/plant), Trichoderma (25 g/plant), and neem cake (50 g/plant) was applied uniformly. Various quality parameters, such as fruit weight, size, pulp-to-peel ratio, and biochemical properties (total soluble solids, total sugars, ascorbic acid, and acidity), were measured to evaluate fruit quality.</w:t>
            </w:r>
          </w:p>
          <w:p w14:paraId="4E21ADA7" w14:textId="77777777" w:rsidR="00BB537A" w:rsidRPr="00BB537A" w:rsidRDefault="00BB537A" w:rsidP="00BB537A">
            <w:pPr>
              <w:jc w:val="both"/>
              <w:rPr>
                <w:rFonts w:ascii="Arial" w:hAnsi="Arial" w:cs="Arial"/>
                <w:b/>
                <w:sz w:val="24"/>
                <w:szCs w:val="24"/>
              </w:rPr>
            </w:pPr>
            <w:r w:rsidRPr="00BB537A">
              <w:rPr>
                <w:rFonts w:ascii="Arial" w:hAnsi="Arial" w:cs="Arial"/>
                <w:b/>
                <w:sz w:val="24"/>
                <w:szCs w:val="24"/>
              </w:rPr>
              <w:t>Results:</w:t>
            </w:r>
            <w:r>
              <w:rPr>
                <w:rFonts w:ascii="Arial" w:hAnsi="Arial" w:cs="Arial"/>
                <w:b/>
                <w:sz w:val="24"/>
                <w:szCs w:val="24"/>
              </w:rPr>
              <w:t xml:space="preserve"> </w:t>
            </w:r>
            <w:r w:rsidRPr="00BB537A">
              <w:rPr>
                <w:rFonts w:ascii="Arial" w:hAnsi="Arial" w:cs="Arial"/>
                <w:bCs/>
                <w:sz w:val="24"/>
                <w:szCs w:val="24"/>
              </w:rPr>
              <w:t>The application of T</w:t>
            </w:r>
            <w:r w:rsidRPr="00BB537A">
              <w:rPr>
                <w:rFonts w:ascii="Times New Roman" w:hAnsi="Times New Roman" w:cs="Arial"/>
                <w:bCs/>
                <w:sz w:val="24"/>
                <w:szCs w:val="24"/>
              </w:rPr>
              <w:t>₁₁</w:t>
            </w:r>
            <w:r w:rsidRPr="00BB537A">
              <w:rPr>
                <w:rFonts w:ascii="Arial" w:hAnsi="Arial" w:cs="Arial"/>
                <w:bCs/>
                <w:sz w:val="24"/>
                <w:szCs w:val="24"/>
              </w:rPr>
              <w:t xml:space="preserve"> (Vermicompost @ 0.5 kg/plant + VAM @ 100 g/plant + PSB @ 50 g/plant) resulted in the highest fruit weight (280.50 g), length (9.42 cm), diameter (7.64 cm), and volume (254.98 cm³). T</w:t>
            </w:r>
            <w:r w:rsidRPr="00BB537A">
              <w:rPr>
                <w:rFonts w:ascii="Times New Roman" w:hAnsi="Times New Roman" w:cs="Arial"/>
                <w:bCs/>
                <w:sz w:val="24"/>
                <w:szCs w:val="24"/>
              </w:rPr>
              <w:t>₁₁</w:t>
            </w:r>
            <w:r w:rsidRPr="00BB537A">
              <w:rPr>
                <w:rFonts w:ascii="Arial" w:hAnsi="Arial" w:cs="Arial"/>
                <w:bCs/>
                <w:sz w:val="24"/>
                <w:szCs w:val="24"/>
              </w:rPr>
              <w:t xml:space="preserve"> also exhibited superior biochemical attributes, including the highest total soluble solids (15.76° Brix), total sugars (9.42%), and ascorbic acid content (14.26 mg/100 g), with the lowest acidity (0.17%) and highest TSS/acid ratio (92.85).</w:t>
            </w:r>
          </w:p>
          <w:p w14:paraId="7D0FC531" w14:textId="77777777" w:rsidR="00BB537A" w:rsidRPr="00BB537A" w:rsidRDefault="00BB537A" w:rsidP="00BB537A">
            <w:pPr>
              <w:jc w:val="both"/>
              <w:rPr>
                <w:rFonts w:ascii="Arial" w:hAnsi="Arial" w:cs="Arial"/>
                <w:b/>
                <w:sz w:val="24"/>
                <w:szCs w:val="24"/>
              </w:rPr>
            </w:pPr>
            <w:r w:rsidRPr="00BB537A">
              <w:rPr>
                <w:rFonts w:ascii="Arial" w:hAnsi="Arial" w:cs="Arial"/>
                <w:b/>
                <w:sz w:val="24"/>
                <w:szCs w:val="24"/>
              </w:rPr>
              <w:t>Conclusion:</w:t>
            </w:r>
            <w:r>
              <w:rPr>
                <w:rFonts w:ascii="Arial" w:hAnsi="Arial" w:cs="Arial"/>
                <w:b/>
                <w:sz w:val="24"/>
                <w:szCs w:val="24"/>
              </w:rPr>
              <w:t xml:space="preserve"> </w:t>
            </w:r>
            <w:r w:rsidRPr="00BB537A">
              <w:rPr>
                <w:rFonts w:ascii="Arial" w:hAnsi="Arial" w:cs="Arial"/>
                <w:bCs/>
                <w:sz w:val="24"/>
                <w:szCs w:val="24"/>
              </w:rPr>
              <w:t>The integration of vermicompost with VAM and PSB significantly enhanced dragon fruit quality by improving nutrient availability, optimizing physiological processes, and enhancing fruit size and biochemical attributes. These findings suggest that combining organic amendments and beneficial microbes offers a sustainable approach to improving dragon fruit production in tropical regions.</w:t>
            </w:r>
          </w:p>
        </w:tc>
      </w:tr>
    </w:tbl>
    <w:p w14:paraId="5D92E747" w14:textId="77777777" w:rsidR="00CA485F" w:rsidRDefault="00CA485F" w:rsidP="00524A8B">
      <w:pPr>
        <w:jc w:val="both"/>
        <w:rPr>
          <w:rFonts w:ascii="Times New Roman" w:hAnsi="Times New Roman" w:cs="Times New Roman"/>
          <w:b/>
          <w:bCs/>
          <w:sz w:val="24"/>
          <w:szCs w:val="24"/>
        </w:rPr>
      </w:pPr>
    </w:p>
    <w:p w14:paraId="6E6B902A" w14:textId="6041F64E" w:rsidR="00524A8B" w:rsidRDefault="00524A8B" w:rsidP="00524A8B">
      <w:pPr>
        <w:jc w:val="both"/>
        <w:rPr>
          <w:rFonts w:ascii="Times New Roman" w:hAnsi="Times New Roman" w:cs="Times New Roman"/>
          <w:bCs/>
          <w:sz w:val="24"/>
          <w:szCs w:val="24"/>
        </w:rPr>
      </w:pPr>
      <w:r w:rsidRPr="00331EB2">
        <w:rPr>
          <w:rFonts w:ascii="Times New Roman" w:hAnsi="Times New Roman" w:cs="Times New Roman"/>
          <w:b/>
          <w:bCs/>
          <w:sz w:val="24"/>
          <w:szCs w:val="24"/>
        </w:rPr>
        <w:t>Keywords:</w:t>
      </w:r>
      <w:r w:rsidR="00EB199D">
        <w:rPr>
          <w:rFonts w:ascii="Times New Roman" w:hAnsi="Times New Roman" w:cs="Times New Roman"/>
          <w:b/>
          <w:bCs/>
          <w:sz w:val="24"/>
          <w:szCs w:val="24"/>
        </w:rPr>
        <w:t xml:space="preserve"> </w:t>
      </w:r>
      <w:r w:rsidR="00ED6C76">
        <w:rPr>
          <w:rFonts w:ascii="Times New Roman" w:hAnsi="Times New Roman" w:cs="Times New Roman"/>
          <w:bCs/>
          <w:sz w:val="24"/>
          <w:szCs w:val="24"/>
        </w:rPr>
        <w:t>Dragon fruit,</w:t>
      </w:r>
      <w:r w:rsidR="002D343A">
        <w:rPr>
          <w:rFonts w:ascii="Times New Roman" w:hAnsi="Times New Roman" w:cs="Times New Roman"/>
          <w:bCs/>
          <w:sz w:val="24"/>
          <w:szCs w:val="24"/>
        </w:rPr>
        <w:t xml:space="preserve"> </w:t>
      </w:r>
      <w:r w:rsidRPr="00515369">
        <w:rPr>
          <w:rFonts w:ascii="Times New Roman" w:hAnsi="Times New Roman" w:cs="Times New Roman"/>
          <w:bCs/>
          <w:sz w:val="24"/>
          <w:szCs w:val="24"/>
        </w:rPr>
        <w:t>Vermicompo</w:t>
      </w:r>
      <w:r w:rsidR="00ED6C76">
        <w:rPr>
          <w:rFonts w:ascii="Times New Roman" w:hAnsi="Times New Roman" w:cs="Times New Roman"/>
          <w:bCs/>
          <w:sz w:val="24"/>
          <w:szCs w:val="24"/>
        </w:rPr>
        <w:t>st,</w:t>
      </w:r>
      <w:r w:rsidR="009C4813">
        <w:rPr>
          <w:rFonts w:ascii="Times New Roman" w:hAnsi="Times New Roman" w:cs="Times New Roman"/>
          <w:bCs/>
          <w:sz w:val="24"/>
          <w:szCs w:val="24"/>
        </w:rPr>
        <w:t xml:space="preserve"> </w:t>
      </w:r>
      <w:r w:rsidR="009E485C">
        <w:rPr>
          <w:rFonts w:ascii="Times New Roman" w:hAnsi="Times New Roman" w:cs="Times New Roman"/>
          <w:bCs/>
          <w:sz w:val="24"/>
          <w:szCs w:val="24"/>
        </w:rPr>
        <w:t xml:space="preserve">VAM, PSB, Organic nutrition </w:t>
      </w:r>
      <w:r w:rsidR="00ED6C76">
        <w:rPr>
          <w:rFonts w:ascii="Times New Roman" w:hAnsi="Times New Roman" w:cs="Times New Roman"/>
          <w:bCs/>
          <w:sz w:val="24"/>
          <w:szCs w:val="24"/>
        </w:rPr>
        <w:t>TSS</w:t>
      </w:r>
      <w:r w:rsidR="009C4813">
        <w:rPr>
          <w:rFonts w:ascii="Times New Roman" w:hAnsi="Times New Roman" w:cs="Times New Roman"/>
          <w:bCs/>
          <w:sz w:val="24"/>
          <w:szCs w:val="24"/>
        </w:rPr>
        <w:t xml:space="preserve"> and</w:t>
      </w:r>
      <w:r w:rsidRPr="00515369">
        <w:rPr>
          <w:rFonts w:ascii="Times New Roman" w:hAnsi="Times New Roman" w:cs="Times New Roman"/>
          <w:bCs/>
          <w:sz w:val="24"/>
          <w:szCs w:val="24"/>
        </w:rPr>
        <w:t xml:space="preserve"> Fruit quality</w:t>
      </w:r>
    </w:p>
    <w:p w14:paraId="2F868CC7" w14:textId="77777777" w:rsidR="00BB537A" w:rsidRPr="00524A8B" w:rsidRDefault="00BB537A" w:rsidP="00524A8B">
      <w:pPr>
        <w:jc w:val="both"/>
        <w:rPr>
          <w:rFonts w:ascii="Times New Roman" w:hAnsi="Times New Roman" w:cs="Times New Roman"/>
          <w:bCs/>
          <w:sz w:val="24"/>
          <w:szCs w:val="24"/>
        </w:rPr>
      </w:pPr>
    </w:p>
    <w:p w14:paraId="57D368F6" w14:textId="77777777" w:rsidR="00524A8B" w:rsidRDefault="00BB537A" w:rsidP="00524A8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24A8B">
        <w:rPr>
          <w:rFonts w:ascii="Times New Roman" w:hAnsi="Times New Roman" w:cs="Times New Roman"/>
          <w:b/>
          <w:bCs/>
          <w:sz w:val="24"/>
          <w:szCs w:val="24"/>
          <w:lang w:val="en-US"/>
        </w:rPr>
        <w:t xml:space="preserve">INTRODUCTION </w:t>
      </w:r>
    </w:p>
    <w:p w14:paraId="646E87D2" w14:textId="77777777" w:rsidR="00524A8B" w:rsidRPr="003C0616" w:rsidRDefault="00524A8B" w:rsidP="00524A8B">
      <w:pPr>
        <w:spacing w:line="360" w:lineRule="auto"/>
        <w:jc w:val="both"/>
        <w:rPr>
          <w:rFonts w:ascii="Arial" w:hAnsi="Arial" w:cs="Arial"/>
          <w:bCs/>
          <w:lang w:val="en-US"/>
        </w:rPr>
      </w:pPr>
      <w:r w:rsidRPr="003C0616">
        <w:rPr>
          <w:rFonts w:ascii="Arial" w:hAnsi="Arial" w:cs="Arial"/>
          <w:bCs/>
          <w:lang w:val="en-US"/>
        </w:rPr>
        <w:t>Dragon fruit (</w:t>
      </w:r>
      <w:proofErr w:type="spellStart"/>
      <w:r w:rsidRPr="003C0616">
        <w:rPr>
          <w:rFonts w:ascii="Arial" w:hAnsi="Arial" w:cs="Arial"/>
          <w:bCs/>
          <w:i/>
          <w:lang w:val="en-US"/>
        </w:rPr>
        <w:t>Hylocereus</w:t>
      </w:r>
      <w:proofErr w:type="spellEnd"/>
      <w:r w:rsidRPr="003C0616">
        <w:rPr>
          <w:rFonts w:ascii="Arial" w:hAnsi="Arial" w:cs="Arial"/>
          <w:bCs/>
          <w:i/>
          <w:lang w:val="en-US"/>
        </w:rPr>
        <w:t xml:space="preserve"> </w:t>
      </w:r>
      <w:proofErr w:type="spellStart"/>
      <w:r w:rsidRPr="003C0616">
        <w:rPr>
          <w:rFonts w:ascii="Arial" w:hAnsi="Arial" w:cs="Arial"/>
          <w:bCs/>
          <w:i/>
          <w:lang w:val="en-US"/>
        </w:rPr>
        <w:t>costaricensis</w:t>
      </w:r>
      <w:proofErr w:type="spellEnd"/>
      <w:r w:rsidRPr="003C0616">
        <w:rPr>
          <w:rFonts w:ascii="Arial" w:hAnsi="Arial" w:cs="Arial"/>
          <w:bCs/>
          <w:lang w:val="en-US"/>
        </w:rPr>
        <w:t xml:space="preserve">) is emerging as a commercially significant exotic fruit crop in India due to its high nutritional value, economic potential and adaptability to arid and semi-arid conditions. Rich in antioxidants, vitamins, minerals and dietary fibers, it is widely </w:t>
      </w:r>
      <w:r w:rsidRPr="003C0616">
        <w:rPr>
          <w:rFonts w:ascii="Arial" w:hAnsi="Arial" w:cs="Arial"/>
          <w:bCs/>
          <w:lang w:val="en-US"/>
        </w:rPr>
        <w:lastRenderedPageBreak/>
        <w:t xml:space="preserve">consumed for its health benefits and is in demand across global markets (Kim </w:t>
      </w:r>
      <w:r w:rsidR="0027164F" w:rsidRPr="003C0616">
        <w:rPr>
          <w:rFonts w:ascii="Arial" w:hAnsi="Arial" w:cs="Arial"/>
          <w:bCs/>
          <w:i/>
          <w:lang w:val="en-US"/>
        </w:rPr>
        <w:t>et al.</w:t>
      </w:r>
      <w:r w:rsidRPr="003C0616">
        <w:rPr>
          <w:rFonts w:ascii="Arial" w:hAnsi="Arial" w:cs="Arial"/>
          <w:bCs/>
          <w:lang w:val="en-US"/>
        </w:rPr>
        <w:t xml:space="preserve"> 2011). The fruit is particularly valued for its red-purple betacyanin pigments, which have applications in pharmaceuticals, cosmetics and the food industry (</w:t>
      </w:r>
      <w:proofErr w:type="spellStart"/>
      <w:r w:rsidRPr="003C0616">
        <w:rPr>
          <w:rFonts w:ascii="Arial" w:hAnsi="Arial" w:cs="Arial"/>
          <w:bCs/>
          <w:lang w:val="en-US"/>
        </w:rPr>
        <w:t>Priatni</w:t>
      </w:r>
      <w:proofErr w:type="spellEnd"/>
      <w:r w:rsidRPr="003C0616">
        <w:rPr>
          <w:rFonts w:ascii="Arial" w:hAnsi="Arial" w:cs="Arial"/>
          <w:bCs/>
          <w:lang w:val="en-US"/>
        </w:rPr>
        <w:t xml:space="preserve"> and </w:t>
      </w:r>
      <w:proofErr w:type="spellStart"/>
      <w:r w:rsidRPr="003C0616">
        <w:rPr>
          <w:rFonts w:ascii="Arial" w:hAnsi="Arial" w:cs="Arial"/>
          <w:bCs/>
          <w:lang w:val="en-US"/>
        </w:rPr>
        <w:t>Pradita</w:t>
      </w:r>
      <w:proofErr w:type="spellEnd"/>
      <w:r w:rsidRPr="003C0616">
        <w:rPr>
          <w:rFonts w:ascii="Arial" w:hAnsi="Arial" w:cs="Arial"/>
          <w:bCs/>
          <w:lang w:val="en-US"/>
        </w:rPr>
        <w:t>, 2015).</w:t>
      </w:r>
      <w:r w:rsidR="00BB537A" w:rsidRPr="003C0616">
        <w:rPr>
          <w:rFonts w:ascii="Arial" w:hAnsi="Arial" w:cs="Arial"/>
          <w:bCs/>
          <w:lang w:val="en-US"/>
        </w:rPr>
        <w:t xml:space="preserve"> </w:t>
      </w:r>
      <w:r w:rsidRPr="003C0616">
        <w:rPr>
          <w:rFonts w:ascii="Arial" w:hAnsi="Arial" w:cs="Arial"/>
          <w:bCs/>
          <w:lang w:val="en-US"/>
        </w:rPr>
        <w:t>Sustainable production of dragon fruit requires a balanced nutrient management approach. Conventional farming practices relying on chemical fertilizers have led to soil degradation, reduced microbial diversity and environmental concerns (</w:t>
      </w:r>
      <w:proofErr w:type="spellStart"/>
      <w:r w:rsidRPr="003C0616">
        <w:rPr>
          <w:rFonts w:ascii="Arial" w:hAnsi="Arial" w:cs="Arial"/>
          <w:bCs/>
          <w:lang w:val="en-US"/>
        </w:rPr>
        <w:t>Hennao</w:t>
      </w:r>
      <w:proofErr w:type="spellEnd"/>
      <w:r w:rsidRPr="003C0616">
        <w:rPr>
          <w:rFonts w:ascii="Arial" w:hAnsi="Arial" w:cs="Arial"/>
          <w:bCs/>
          <w:lang w:val="en-US"/>
        </w:rPr>
        <w:t xml:space="preserve"> and </w:t>
      </w:r>
      <w:proofErr w:type="spellStart"/>
      <w:r w:rsidRPr="003C0616">
        <w:rPr>
          <w:rFonts w:ascii="Arial" w:hAnsi="Arial" w:cs="Arial"/>
          <w:bCs/>
          <w:lang w:val="en-US"/>
        </w:rPr>
        <w:t>Baanate</w:t>
      </w:r>
      <w:proofErr w:type="spellEnd"/>
      <w:r w:rsidRPr="003C0616">
        <w:rPr>
          <w:rFonts w:ascii="Arial" w:hAnsi="Arial" w:cs="Arial"/>
          <w:bCs/>
          <w:lang w:val="en-US"/>
        </w:rPr>
        <w:t>, 2006). Organic farming, integrating organic manures and bio-fertilizers, offers a viable alternative to enhance soil fertility, improve fruit quality and promote ecological sustainability (</w:t>
      </w:r>
      <w:proofErr w:type="spellStart"/>
      <w:r w:rsidRPr="003C0616">
        <w:rPr>
          <w:rFonts w:ascii="Arial" w:hAnsi="Arial" w:cs="Arial"/>
          <w:bCs/>
          <w:lang w:val="en-US"/>
        </w:rPr>
        <w:t>Babalad</w:t>
      </w:r>
      <w:proofErr w:type="spellEnd"/>
      <w:r w:rsidRPr="003C0616">
        <w:rPr>
          <w:rFonts w:ascii="Arial" w:hAnsi="Arial" w:cs="Arial"/>
          <w:bCs/>
          <w:lang w:val="en-US"/>
        </w:rPr>
        <w:t xml:space="preserve"> </w:t>
      </w:r>
      <w:r w:rsidR="0027164F" w:rsidRPr="003C0616">
        <w:rPr>
          <w:rFonts w:ascii="Arial" w:hAnsi="Arial" w:cs="Arial"/>
          <w:bCs/>
          <w:i/>
          <w:lang w:val="en-US"/>
        </w:rPr>
        <w:t>et al.</w:t>
      </w:r>
      <w:r w:rsidRPr="003C0616">
        <w:rPr>
          <w:rFonts w:ascii="Arial" w:hAnsi="Arial" w:cs="Arial"/>
          <w:bCs/>
          <w:lang w:val="en-US"/>
        </w:rPr>
        <w:t xml:space="preserve"> 2015). Studies indicate that bio-fertilizers like Azotobacter, PSB and mycorrhizae enhance nutrient uptake, improve soil microbial activity and contribute to better fruit yield and quality (Gaskell </w:t>
      </w:r>
      <w:r w:rsidR="0027164F" w:rsidRPr="003C0616">
        <w:rPr>
          <w:rFonts w:ascii="Arial" w:hAnsi="Arial" w:cs="Arial"/>
          <w:bCs/>
          <w:i/>
          <w:lang w:val="en-US"/>
        </w:rPr>
        <w:t>et al.</w:t>
      </w:r>
      <w:r w:rsidRPr="003C0616">
        <w:rPr>
          <w:rFonts w:ascii="Arial" w:hAnsi="Arial" w:cs="Arial"/>
          <w:bCs/>
          <w:lang w:val="en-US"/>
        </w:rPr>
        <w:t xml:space="preserve"> 2007).</w:t>
      </w:r>
    </w:p>
    <w:p w14:paraId="7F5D770D" w14:textId="77777777" w:rsidR="00524A8B" w:rsidRPr="003C0616" w:rsidRDefault="00524A8B" w:rsidP="00524A8B">
      <w:pPr>
        <w:spacing w:line="360" w:lineRule="auto"/>
        <w:jc w:val="both"/>
        <w:rPr>
          <w:rFonts w:ascii="Arial" w:hAnsi="Arial" w:cs="Arial"/>
          <w:bCs/>
          <w:lang w:val="en-US"/>
        </w:rPr>
      </w:pPr>
      <w:r w:rsidRPr="003C0616">
        <w:rPr>
          <w:rFonts w:ascii="Arial" w:hAnsi="Arial" w:cs="Arial"/>
          <w:bCs/>
          <w:lang w:val="en-US"/>
        </w:rPr>
        <w:t>The present study evaluates the impact of organic manure and bio-fertilizers on the quality attributes of dragon fruit, emphasizing their role in enhancing fruit nutritional composition, market value and sustainability. Organic amendments, such as vermicompost and farmyard manure, are known to improve soil fertility, enhance microbial activity and facilitate better nutrient uptake, which directly influences fruit physico-biochemical parameters. Similarly, bio-fertilizers like Azotobacter, phosphate-solubilizing bacteria (PSB) and mycorrhizae contribute to improved root development, nutrient availability and overall plant health.</w:t>
      </w:r>
      <w:r w:rsidR="00BB537A" w:rsidRPr="003C0616">
        <w:rPr>
          <w:rFonts w:ascii="Arial" w:hAnsi="Arial" w:cs="Arial"/>
          <w:bCs/>
          <w:lang w:val="en-US"/>
        </w:rPr>
        <w:t xml:space="preserve"> </w:t>
      </w:r>
      <w:r w:rsidRPr="003C0616">
        <w:rPr>
          <w:rFonts w:ascii="Arial" w:hAnsi="Arial" w:cs="Arial"/>
          <w:bCs/>
          <w:lang w:val="en-US"/>
        </w:rPr>
        <w:t>Despite the well-established benefits of organic manure and bio-fertilizers, limited research has explored their combined effects on the quality enhancement of dragon fruit under Indian agro-climatic conditions. The integration of these organic inputs not only promotes sustainable production by reducing chemical dependency but also improves postharvest quality, shelf life and consumer acceptability. Therefore, the present study, titled “Effect of Organic Manure and Bio-Fertilizers on the Quality Enhancement of Dragon Fruit (</w:t>
      </w:r>
      <w:proofErr w:type="spellStart"/>
      <w:r w:rsidRPr="003C0616">
        <w:rPr>
          <w:rFonts w:ascii="Arial" w:hAnsi="Arial" w:cs="Arial"/>
          <w:bCs/>
          <w:i/>
          <w:lang w:val="en-US"/>
        </w:rPr>
        <w:t>Hylocereus</w:t>
      </w:r>
      <w:proofErr w:type="spellEnd"/>
      <w:r w:rsidRPr="003C0616">
        <w:rPr>
          <w:rFonts w:ascii="Arial" w:hAnsi="Arial" w:cs="Arial"/>
          <w:bCs/>
          <w:i/>
          <w:lang w:val="en-US"/>
        </w:rPr>
        <w:t xml:space="preserve"> </w:t>
      </w:r>
      <w:proofErr w:type="spellStart"/>
      <w:r w:rsidRPr="003C0616">
        <w:rPr>
          <w:rFonts w:ascii="Arial" w:hAnsi="Arial" w:cs="Arial"/>
          <w:bCs/>
          <w:i/>
          <w:lang w:val="en-US"/>
        </w:rPr>
        <w:t>costaricensis</w:t>
      </w:r>
      <w:proofErr w:type="spellEnd"/>
      <w:r w:rsidRPr="003C0616">
        <w:rPr>
          <w:rFonts w:ascii="Arial" w:hAnsi="Arial" w:cs="Arial"/>
          <w:bCs/>
          <w:lang w:val="en-US"/>
        </w:rPr>
        <w:t xml:space="preserve"> L.)”, was conducted to address these knowledge gaps. The findings aim to provide insights into optimizing organic nutrient management strategies to improve the physico-chemical attributes of dragon fruit, thereby enhancing its marketability, nutritional value and sustainability in sub-tropical agro-climatic conditions.</w:t>
      </w:r>
    </w:p>
    <w:p w14:paraId="3FAD1FEA" w14:textId="77777777" w:rsidR="00524A8B" w:rsidRPr="00BB537A" w:rsidRDefault="00524A8B" w:rsidP="00524A8B">
      <w:pPr>
        <w:spacing w:line="360" w:lineRule="auto"/>
        <w:jc w:val="both"/>
        <w:rPr>
          <w:rFonts w:ascii="Arial" w:hAnsi="Arial" w:cs="Arial"/>
          <w:b/>
          <w:bCs/>
          <w:lang w:val="en-US"/>
        </w:rPr>
      </w:pPr>
    </w:p>
    <w:p w14:paraId="6FAE26F3" w14:textId="77777777" w:rsidR="006608FA" w:rsidRPr="00BB537A" w:rsidRDefault="00BB537A" w:rsidP="00524A8B">
      <w:pPr>
        <w:spacing w:line="360" w:lineRule="auto"/>
        <w:jc w:val="both"/>
        <w:rPr>
          <w:rFonts w:ascii="Arial" w:hAnsi="Arial" w:cs="Arial"/>
          <w:b/>
          <w:bCs/>
          <w:lang w:val="en-US"/>
        </w:rPr>
      </w:pPr>
      <w:r w:rsidRPr="00BB537A">
        <w:rPr>
          <w:rFonts w:ascii="Arial" w:hAnsi="Arial" w:cs="Arial"/>
          <w:b/>
          <w:bCs/>
          <w:lang w:val="en-US"/>
        </w:rPr>
        <w:t xml:space="preserve">2. </w:t>
      </w:r>
      <w:r w:rsidR="00524A8B" w:rsidRPr="00BB537A">
        <w:rPr>
          <w:rFonts w:ascii="Arial" w:hAnsi="Arial" w:cs="Arial"/>
          <w:b/>
          <w:bCs/>
          <w:lang w:val="en-US"/>
        </w:rPr>
        <w:t>MATERIAL AND METHODS</w:t>
      </w:r>
    </w:p>
    <w:p w14:paraId="07193B68" w14:textId="77777777"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The</w:t>
      </w:r>
      <w:r w:rsidR="006F35AA" w:rsidRPr="00BB537A">
        <w:rPr>
          <w:rFonts w:ascii="Arial" w:hAnsi="Arial" w:cs="Arial"/>
          <w:bCs/>
          <w:lang w:val="en-US"/>
        </w:rPr>
        <w:t xml:space="preserve"> </w:t>
      </w:r>
      <w:r w:rsidRPr="00BB537A">
        <w:rPr>
          <w:rFonts w:ascii="Arial" w:hAnsi="Arial" w:cs="Arial"/>
          <w:bCs/>
          <w:noProof/>
        </w:rPr>
        <w:t>present</w:t>
      </w:r>
      <w:r w:rsidRPr="00BB537A">
        <w:rPr>
          <w:rFonts w:ascii="Arial" w:hAnsi="Arial" w:cs="Arial"/>
          <w:bCs/>
          <w:lang w:val="en-US"/>
        </w:rPr>
        <w:t xml:space="preserve"> experiment was conducted </w:t>
      </w:r>
      <w:r w:rsidRPr="00BB537A">
        <w:rPr>
          <w:rFonts w:ascii="Arial" w:hAnsi="Arial" w:cs="Arial"/>
          <w:bCs/>
          <w:noProof/>
        </w:rPr>
        <w:t xml:space="preserve">from 2022 to 2024 </w:t>
      </w:r>
      <w:r w:rsidR="00536837" w:rsidRPr="00BB537A">
        <w:rPr>
          <w:rFonts w:ascii="Arial" w:hAnsi="Arial" w:cs="Arial"/>
          <w:bCs/>
          <w:noProof/>
        </w:rPr>
        <w:t xml:space="preserve">in Orchard, Department of Fruit Science, C.S.A. University of Agriculture and Technology, Kanpur, </w:t>
      </w:r>
      <w:proofErr w:type="gramStart"/>
      <w:r w:rsidR="00536837" w:rsidRPr="00BB537A">
        <w:rPr>
          <w:rFonts w:ascii="Arial" w:hAnsi="Arial" w:cs="Arial"/>
          <w:bCs/>
          <w:noProof/>
        </w:rPr>
        <w:t>India,</w:t>
      </w:r>
      <w:r w:rsidRPr="00BB537A">
        <w:rPr>
          <w:rFonts w:ascii="Arial" w:hAnsi="Arial" w:cs="Arial"/>
          <w:bCs/>
          <w:lang w:val="en-US"/>
        </w:rPr>
        <w:t>,</w:t>
      </w:r>
      <w:proofErr w:type="gramEnd"/>
      <w:r w:rsidRPr="00BB537A">
        <w:rPr>
          <w:rFonts w:ascii="Arial" w:hAnsi="Arial" w:cs="Arial"/>
          <w:bCs/>
          <w:lang w:val="en-US"/>
        </w:rPr>
        <w:t xml:space="preserve"> situated at 25.26° to 26.28° N latitude and 79.31° to 80.34° E longitude, with an altitude of 126.0 m above mean sea level. The soil was well-drained with poor fertility and saline-alkaline conditions. </w:t>
      </w:r>
    </w:p>
    <w:p w14:paraId="6E08B376" w14:textId="77777777" w:rsidR="00524A8B" w:rsidRPr="00BB537A" w:rsidRDefault="00524A8B" w:rsidP="00524A8B">
      <w:pPr>
        <w:spacing w:line="360" w:lineRule="auto"/>
        <w:jc w:val="both"/>
        <w:rPr>
          <w:rFonts w:ascii="Arial" w:hAnsi="Arial" w:cs="Arial"/>
          <w:bCs/>
          <w:lang w:val="en-US"/>
        </w:rPr>
      </w:pPr>
      <w:r w:rsidRPr="00BB537A">
        <w:rPr>
          <w:rFonts w:ascii="Arial" w:hAnsi="Arial" w:cs="Arial"/>
          <w:bCs/>
          <w:noProof/>
        </w:rPr>
        <w:lastRenderedPageBreak/>
        <w:t>The annual rainfall is 80–85 cm, primarily received during the northeast monsoon from July to September. Temperatures range from 24°C to 47°C in summer and 5°C to 27.8°C in winter, with relative humidity varying from 35% to 98%.</w:t>
      </w:r>
      <w:r w:rsidR="005C2A58" w:rsidRPr="00BB537A">
        <w:rPr>
          <w:rFonts w:ascii="Arial" w:hAnsi="Arial" w:cs="Arial"/>
          <w:bCs/>
          <w:noProof/>
        </w:rPr>
        <w:t xml:space="preserve"> T</w:t>
      </w:r>
      <w:r w:rsidRPr="00BB537A">
        <w:rPr>
          <w:rFonts w:ascii="Arial" w:hAnsi="Arial" w:cs="Arial"/>
          <w:bCs/>
          <w:lang w:val="en-US"/>
        </w:rPr>
        <w:t xml:space="preserve">he experiment was laid out </w:t>
      </w:r>
      <w:r w:rsidRPr="00BB537A">
        <w:rPr>
          <w:rFonts w:ascii="Arial" w:hAnsi="Arial" w:cs="Arial"/>
          <w:bCs/>
          <w:noProof/>
        </w:rPr>
        <w:t xml:space="preserve">using randomized block design with </w:t>
      </w:r>
      <w:r w:rsidRPr="00BB537A">
        <w:rPr>
          <w:rFonts w:ascii="Arial" w:hAnsi="Arial" w:cs="Arial"/>
          <w:bCs/>
        </w:rPr>
        <w:t>eleven</w:t>
      </w:r>
      <w:r w:rsidRPr="00BB537A">
        <w:rPr>
          <w:rFonts w:ascii="Arial" w:hAnsi="Arial" w:cs="Arial"/>
          <w:bCs/>
          <w:noProof/>
        </w:rPr>
        <w:t xml:space="preserve"> treatments including a control</w:t>
      </w:r>
      <w:r w:rsidRPr="00BB537A">
        <w:rPr>
          <w:rFonts w:ascii="Arial" w:hAnsi="Arial" w:cs="Arial"/>
          <w:bCs/>
          <w:i/>
          <w:iCs/>
          <w:noProof/>
        </w:rPr>
        <w:t xml:space="preserve">viz., </w:t>
      </w:r>
      <w:r w:rsidRPr="00BB537A">
        <w:rPr>
          <w:rFonts w:ascii="Arial" w:hAnsi="Arial" w:cs="Arial"/>
          <w:bCs/>
          <w:lang w:val="en-US"/>
        </w:rPr>
        <w:t>T1-Control, T2-Vermicompost @ 0.5 kg/plant, T3-Azotobacter @ 50 g/plant, T4-VAM @ 100 g/plant, T5-PSB @ 50 g/plant, T6-Vermicompost @ 0.5 kg/plant + Azotobacter @ 50 g/plant, T7-Vermicompost @ 0.5 kg/plant + VAM @ 100 g/plant, T8-Vermicompost @ 0.5 kg/plant + PSB @ 50 g/plant, T9-Vermicompost @ 0.5 kg/plant + Azotobacter @ 50 g/plant + VAM @ 100 g/plant, T10-Vermicompost @ 0.5 kg/plant + Azotobacter @ 50 g/plant + PSB @ 50 g/plant and T11-Vermicompost @ 0.5 kg/plant + VAM @ 100 g/plant + PSB @ 50 g/plant. Each treatment was replicated three times. A basal dose of FYM (5 kg/plant), Trichoderma (25 g/plant) and neem cake (50 g/plant) was applied uniformly across treatments.</w:t>
      </w:r>
    </w:p>
    <w:p w14:paraId="5ED995EC" w14:textId="77777777"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ab/>
        <w:t xml:space="preserve">Observations recorded included fruit weight (g), fruit length (cm), fruit diameter (cm), fruit volume (cc) using the water displacement method and specific gravity calculated as the weight-to-volume ratio. Pulp weight, peel weight and pulp-to-peel ratio were determined using an electronic balance. Pulp and peel thickness (cm) were measured using a vernier caliper. Quality parameters such as total soluble solids (°Brix) were measured with a hand refractometer, titratable acidity (%) via titration (AOAC, 1984), ascorbic acid (mg/100 g) following AOAC (1990) and total sugars (%) using the Lane and Eynon method as per </w:t>
      </w:r>
      <w:proofErr w:type="spellStart"/>
      <w:r w:rsidRPr="00BB537A">
        <w:rPr>
          <w:rFonts w:ascii="Arial" w:hAnsi="Arial" w:cs="Arial"/>
          <w:bCs/>
          <w:lang w:val="en-US"/>
        </w:rPr>
        <w:t>Ranganna</w:t>
      </w:r>
      <w:proofErr w:type="spellEnd"/>
      <w:r w:rsidRPr="00BB537A">
        <w:rPr>
          <w:rFonts w:ascii="Arial" w:hAnsi="Arial" w:cs="Arial"/>
          <w:bCs/>
          <w:lang w:val="en-US"/>
        </w:rPr>
        <w:t xml:space="preserve"> (1987).</w:t>
      </w:r>
    </w:p>
    <w:p w14:paraId="5C5979D7" w14:textId="77777777"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Statistical analysis was performed using ANOVA (</w:t>
      </w:r>
      <w:proofErr w:type="spellStart"/>
      <w:r w:rsidRPr="00BB537A">
        <w:rPr>
          <w:rFonts w:ascii="Arial" w:hAnsi="Arial" w:cs="Arial"/>
          <w:bCs/>
          <w:lang w:val="en-US"/>
        </w:rPr>
        <w:t>Panse</w:t>
      </w:r>
      <w:proofErr w:type="spellEnd"/>
      <w:r w:rsidRPr="00BB537A">
        <w:rPr>
          <w:rFonts w:ascii="Arial" w:hAnsi="Arial" w:cs="Arial"/>
          <w:bCs/>
          <w:lang w:val="en-US"/>
        </w:rPr>
        <w:t xml:space="preserve"> and </w:t>
      </w:r>
      <w:proofErr w:type="spellStart"/>
      <w:r w:rsidRPr="00BB537A">
        <w:rPr>
          <w:rFonts w:ascii="Arial" w:hAnsi="Arial" w:cs="Arial"/>
          <w:bCs/>
          <w:lang w:val="en-US"/>
        </w:rPr>
        <w:t>Sukhatme</w:t>
      </w:r>
      <w:proofErr w:type="spellEnd"/>
      <w:r w:rsidRPr="00BB537A">
        <w:rPr>
          <w:rFonts w:ascii="Arial" w:hAnsi="Arial" w:cs="Arial"/>
          <w:bCs/>
          <w:lang w:val="en-US"/>
        </w:rPr>
        <w:t>, 1985) and mean separation was done via Duncan’s Multiple Range Test (DMRT) at p &lt; 0.05. Correlation and principal component analyses were conducted using XLSTAT software to ensure statistical reliability.</w:t>
      </w:r>
    </w:p>
    <w:p w14:paraId="6FA417A7" w14:textId="77777777" w:rsidR="00756B32" w:rsidRDefault="00756B32" w:rsidP="00524A8B">
      <w:pPr>
        <w:spacing w:line="360" w:lineRule="auto"/>
        <w:jc w:val="both"/>
        <w:rPr>
          <w:rFonts w:ascii="Times New Roman" w:hAnsi="Times New Roman" w:cs="Times New Roman"/>
          <w:b/>
          <w:bCs/>
          <w:sz w:val="24"/>
          <w:szCs w:val="24"/>
          <w:lang w:val="en-US"/>
        </w:rPr>
      </w:pPr>
    </w:p>
    <w:p w14:paraId="052C46C0" w14:textId="77777777" w:rsidR="006F35AA" w:rsidRDefault="006F35AA" w:rsidP="00524A8B">
      <w:pPr>
        <w:spacing w:line="360" w:lineRule="auto"/>
        <w:jc w:val="both"/>
        <w:rPr>
          <w:rFonts w:ascii="Times New Roman" w:hAnsi="Times New Roman" w:cs="Times New Roman"/>
          <w:b/>
          <w:bCs/>
          <w:sz w:val="24"/>
          <w:szCs w:val="24"/>
          <w:lang w:val="en-US"/>
        </w:rPr>
      </w:pPr>
    </w:p>
    <w:p w14:paraId="0EA2E894" w14:textId="77777777" w:rsidR="006F35AA" w:rsidRPr="00F10BFA" w:rsidRDefault="006F35AA" w:rsidP="00524A8B">
      <w:pPr>
        <w:spacing w:line="360" w:lineRule="auto"/>
        <w:jc w:val="both"/>
        <w:rPr>
          <w:rFonts w:ascii="Times New Roman" w:hAnsi="Times New Roman" w:cs="Times New Roman"/>
          <w:b/>
          <w:bCs/>
          <w:sz w:val="24"/>
          <w:szCs w:val="24"/>
          <w:lang w:val="en-US"/>
        </w:rPr>
      </w:pPr>
    </w:p>
    <w:p w14:paraId="1AC12B6B" w14:textId="79E50B8F" w:rsidR="00524A8B" w:rsidRDefault="00BB537A" w:rsidP="00524A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RESULT AND </w:t>
      </w:r>
      <w:r w:rsidR="00524A8B">
        <w:rPr>
          <w:rFonts w:ascii="Times New Roman" w:hAnsi="Times New Roman" w:cs="Times New Roman"/>
          <w:b/>
          <w:bCs/>
          <w:sz w:val="24"/>
          <w:szCs w:val="24"/>
        </w:rPr>
        <w:t>DISCUSSIONS</w:t>
      </w:r>
    </w:p>
    <w:p w14:paraId="7FAB5D71"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presented pooled data (Table 1) revealed that the highest fruit weight (280.50 g)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closely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In contrast, the control (T</w:t>
      </w:r>
      <w:r w:rsidRPr="00BB537A">
        <w:rPr>
          <w:rFonts w:ascii="Times New Roman" w:hAnsi="Times New Roman" w:cs="Arial"/>
          <w:bCs/>
        </w:rPr>
        <w:t>₁</w:t>
      </w:r>
      <w:r w:rsidRPr="00BB537A">
        <w:rPr>
          <w:rFonts w:ascii="Arial" w:hAnsi="Arial" w:cs="Arial"/>
          <w:bCs/>
        </w:rPr>
        <w:t xml:space="preserve">) exhibited the lowest fruit weight (106.66 g). The significant improvement in fruit weight under organic amendments and bio-fertilizer </w:t>
      </w:r>
      <w:r w:rsidRPr="00BB537A">
        <w:rPr>
          <w:rFonts w:ascii="Arial" w:hAnsi="Arial" w:cs="Arial"/>
          <w:bCs/>
        </w:rPr>
        <w:lastRenderedPageBreak/>
        <w:t xml:space="preserve">treatments can be attributed to enhanced soil microbial activity, better nutrient assimilation and improved physiological processes. The combined application of vermicompost and beneficial microbes (VAM, Azotobacter and PSB) likely contributed to increased root proliferation, higher nutrient uptake and improved photosynthetic efficiency, ultimately leading to better fruit development. Vermicompost, rich in essential macro and micronutrients, provides a </w:t>
      </w:r>
      <w:r w:rsidR="005C2A58" w:rsidRPr="00BB537A">
        <w:rPr>
          <w:rFonts w:ascii="Arial" w:hAnsi="Arial" w:cs="Arial"/>
          <w:bCs/>
        </w:rPr>
        <w:t>favourable</w:t>
      </w:r>
      <w:r w:rsidRPr="00BB537A">
        <w:rPr>
          <w:rFonts w:ascii="Arial" w:hAnsi="Arial" w:cs="Arial"/>
          <w:bCs/>
        </w:rPr>
        <w:t xml:space="preserve"> environment for beneficial soil microbes, further enhancing plant growth and fruit set. The role of VAM in improving phosphorus availability and PSB in facilitating phosphate </w:t>
      </w:r>
      <w:r w:rsidR="006F35AA" w:rsidRPr="00BB537A">
        <w:rPr>
          <w:rFonts w:ascii="Arial" w:hAnsi="Arial" w:cs="Arial"/>
          <w:bCs/>
        </w:rPr>
        <w:t>solubilisation</w:t>
      </w:r>
      <w:r w:rsidRPr="00BB537A">
        <w:rPr>
          <w:rFonts w:ascii="Arial" w:hAnsi="Arial" w:cs="Arial"/>
          <w:bCs/>
        </w:rPr>
        <w:t xml:space="preserve"> may have played a crucial role in fruit development. These findings align with previous studies by Bhagat and Panigrahi (2020) in strawberry, Verma </w:t>
      </w:r>
      <w:r w:rsidRPr="00BB537A">
        <w:rPr>
          <w:rFonts w:ascii="Arial" w:hAnsi="Arial" w:cs="Arial"/>
          <w:bCs/>
          <w:i/>
        </w:rPr>
        <w:t xml:space="preserve">et al. </w:t>
      </w:r>
      <w:r w:rsidRPr="00BB537A">
        <w:rPr>
          <w:rFonts w:ascii="Arial" w:hAnsi="Arial" w:cs="Arial"/>
          <w:bCs/>
        </w:rPr>
        <w:t xml:space="preserve"> (2019) and Siddiqua </w:t>
      </w:r>
      <w:r w:rsidRPr="00BB537A">
        <w:rPr>
          <w:rFonts w:ascii="Arial" w:hAnsi="Arial" w:cs="Arial"/>
          <w:bCs/>
          <w:i/>
        </w:rPr>
        <w:t xml:space="preserve">et al. </w:t>
      </w:r>
      <w:r w:rsidRPr="00BB537A">
        <w:rPr>
          <w:rFonts w:ascii="Arial" w:hAnsi="Arial" w:cs="Arial"/>
          <w:bCs/>
        </w:rPr>
        <w:t xml:space="preserve"> (2023) in dragon fruit, which also reported a significant increase in fruit weight due to the synergistic effects of organic manure and bio-fertilizers. The results reaffirm the potential of integrated organic nutrient management in enhancing fruit quality while promoting sustainable cultivation practices.</w:t>
      </w:r>
    </w:p>
    <w:p w14:paraId="6C2CB361"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highest fruit length (9.42 cm) was recorded with T</w:t>
      </w:r>
      <w:r w:rsidRPr="00BB537A">
        <w:rPr>
          <w:rFonts w:ascii="Times New Roman" w:hAnsi="Times New Roman" w:cs="Arial"/>
          <w:bCs/>
        </w:rPr>
        <w:t>₁₁</w:t>
      </w:r>
      <w:r w:rsidRPr="00BB537A">
        <w:rPr>
          <w:rFonts w:ascii="Arial" w:hAnsi="Arial" w:cs="Arial"/>
          <w:bCs/>
        </w:rPr>
        <w:t xml:space="preserve"> [Vermicompost (0.5 kg/plant) + VAM (100 g/plant) + PSB (50 g/plant)], while the lowest (6.90 cm) was observed in the control (T</w:t>
      </w:r>
      <w:r w:rsidRPr="00BB537A">
        <w:rPr>
          <w:rFonts w:ascii="Times New Roman" w:hAnsi="Times New Roman" w:cs="Arial"/>
          <w:bCs/>
        </w:rPr>
        <w:t>₁</w:t>
      </w:r>
      <w:r w:rsidRPr="00BB537A">
        <w:rPr>
          <w:rFonts w:ascii="Arial" w:hAnsi="Arial" w:cs="Arial"/>
          <w:bCs/>
        </w:rPr>
        <w:t xml:space="preserve">). The increase in fruit length can be attributed to improved nutrient uptake, enhanced microbial activity and better soil moisture retention due to organic amendments. VAM and PSB facilitated phosphorus availability, promoting cell elongation and overall fruit growth. These findings align with Yadav </w:t>
      </w:r>
      <w:r w:rsidRPr="00BB537A">
        <w:rPr>
          <w:rFonts w:ascii="Arial" w:hAnsi="Arial" w:cs="Arial"/>
          <w:bCs/>
          <w:i/>
        </w:rPr>
        <w:t xml:space="preserve">et al. </w:t>
      </w:r>
      <w:r w:rsidRPr="00BB537A">
        <w:rPr>
          <w:rFonts w:ascii="Arial" w:hAnsi="Arial" w:cs="Arial"/>
          <w:bCs/>
        </w:rPr>
        <w:t xml:space="preserve"> (2011) in mango, Verma </w:t>
      </w:r>
      <w:r w:rsidRPr="00BB537A">
        <w:rPr>
          <w:rFonts w:ascii="Arial" w:hAnsi="Arial" w:cs="Arial"/>
          <w:bCs/>
          <w:i/>
        </w:rPr>
        <w:t xml:space="preserve">et al. </w:t>
      </w:r>
      <w:r w:rsidRPr="00BB537A">
        <w:rPr>
          <w:rFonts w:ascii="Arial" w:hAnsi="Arial" w:cs="Arial"/>
          <w:bCs/>
        </w:rPr>
        <w:t xml:space="preserve"> (2019) and Khatun </w:t>
      </w:r>
      <w:r w:rsidRPr="00BB537A">
        <w:rPr>
          <w:rFonts w:ascii="Arial" w:hAnsi="Arial" w:cs="Arial"/>
          <w:bCs/>
          <w:i/>
        </w:rPr>
        <w:t xml:space="preserve">et al. </w:t>
      </w:r>
      <w:r w:rsidR="003C0616">
        <w:rPr>
          <w:rFonts w:ascii="Arial" w:hAnsi="Arial" w:cs="Arial"/>
          <w:bCs/>
        </w:rPr>
        <w:t xml:space="preserve"> </w:t>
      </w:r>
      <w:r w:rsidRPr="00BB537A">
        <w:rPr>
          <w:rFonts w:ascii="Arial" w:hAnsi="Arial" w:cs="Arial"/>
          <w:bCs/>
        </w:rPr>
        <w:t>(2023) in dragon fruit, confirming the beneficial role of organic and bio-fertilizers in enhancing fruit quality.</w:t>
      </w:r>
    </w:p>
    <w:p w14:paraId="09EA8FD8"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maximum fruit diameter (7.64 cm) was observed in T</w:t>
      </w:r>
      <w:r w:rsidRPr="00BB537A">
        <w:rPr>
          <w:rFonts w:ascii="Times New Roman" w:hAnsi="Times New Roman" w:cs="Arial"/>
          <w:bCs/>
        </w:rPr>
        <w:t>₁₁</w:t>
      </w:r>
      <w:r w:rsidRPr="00BB537A">
        <w:rPr>
          <w:rFonts w:ascii="Arial" w:hAnsi="Arial" w:cs="Arial"/>
          <w:bCs/>
        </w:rPr>
        <w:t xml:space="preserve"> [Vermicompost (0.5 kg/plant) + VAM (100 g/plant) + PSB (50 g/plant)], while the lowest (5.53 cm) was recorded in the control (T</w:t>
      </w:r>
      <w:r w:rsidRPr="00BB537A">
        <w:rPr>
          <w:rFonts w:ascii="Times New Roman" w:hAnsi="Times New Roman" w:cs="Arial"/>
          <w:bCs/>
        </w:rPr>
        <w:t>₁</w:t>
      </w:r>
      <w:r w:rsidRPr="00BB537A">
        <w:rPr>
          <w:rFonts w:ascii="Arial" w:hAnsi="Arial" w:cs="Arial"/>
          <w:bCs/>
        </w:rPr>
        <w:t>). Treatments T</w:t>
      </w:r>
      <w:r w:rsidRPr="00BB537A">
        <w:rPr>
          <w:rFonts w:ascii="Times New Roman" w:hAnsi="Times New Roman" w:cs="Arial"/>
          <w:bCs/>
        </w:rPr>
        <w:t>₂</w:t>
      </w:r>
      <w:r w:rsidRPr="00BB537A">
        <w:rPr>
          <w:rFonts w:ascii="Arial" w:hAnsi="Arial" w:cs="Arial"/>
          <w:bCs/>
        </w:rPr>
        <w:t xml:space="preserve"> [Vermicompost (0.5 kg/plant)] and T</w:t>
      </w:r>
      <w:r w:rsidRPr="00BB537A">
        <w:rPr>
          <w:rFonts w:ascii="Times New Roman" w:hAnsi="Times New Roman" w:cs="Arial"/>
          <w:bCs/>
        </w:rPr>
        <w:t>₃</w:t>
      </w:r>
      <w:r w:rsidRPr="00BB537A">
        <w:rPr>
          <w:rFonts w:ascii="Arial" w:hAnsi="Arial" w:cs="Arial"/>
          <w:bCs/>
        </w:rPr>
        <w:t xml:space="preserve"> [Azotobacter (50 g/plant)] also showed moderate increases (5.70 cm and 5.88 cm, respectively). The improved fruit diameter can be attributed to enhanced microbial activity, increased nutrient availability and better soil moisture retention due to vermicompost application. These findings are consistent with Verma </w:t>
      </w:r>
      <w:r w:rsidRPr="00BB537A">
        <w:rPr>
          <w:rFonts w:ascii="Arial" w:hAnsi="Arial" w:cs="Arial"/>
          <w:bCs/>
          <w:i/>
        </w:rPr>
        <w:t xml:space="preserve">et al. </w:t>
      </w:r>
      <w:r w:rsidRPr="00BB537A">
        <w:rPr>
          <w:rFonts w:ascii="Arial" w:hAnsi="Arial" w:cs="Arial"/>
          <w:bCs/>
        </w:rPr>
        <w:t xml:space="preserve"> (2019), </w:t>
      </w:r>
      <w:proofErr w:type="spellStart"/>
      <w:r w:rsidRPr="00BB537A">
        <w:rPr>
          <w:rFonts w:ascii="Arial" w:hAnsi="Arial" w:cs="Arial"/>
          <w:bCs/>
        </w:rPr>
        <w:t>Heerawati</w:t>
      </w:r>
      <w:proofErr w:type="spellEnd"/>
      <w:r w:rsidRPr="00BB537A">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(2019</w:t>
      </w:r>
      <w:proofErr w:type="gramStart"/>
      <w:r w:rsidRPr="00BB537A">
        <w:rPr>
          <w:rFonts w:ascii="Arial" w:hAnsi="Arial" w:cs="Arial"/>
          <w:bCs/>
        </w:rPr>
        <w:t xml:space="preserve">) </w:t>
      </w:r>
      <w:r w:rsidR="003C0616">
        <w:rPr>
          <w:rFonts w:ascii="Arial" w:hAnsi="Arial" w:cs="Arial"/>
          <w:bCs/>
        </w:rPr>
        <w:t xml:space="preserve"> </w:t>
      </w:r>
      <w:r w:rsidRPr="00BB537A">
        <w:rPr>
          <w:rFonts w:ascii="Arial" w:hAnsi="Arial" w:cs="Arial"/>
          <w:bCs/>
        </w:rPr>
        <w:t>and</w:t>
      </w:r>
      <w:proofErr w:type="gramEnd"/>
      <w:r w:rsidRPr="00BB537A">
        <w:rPr>
          <w:rFonts w:ascii="Arial" w:hAnsi="Arial" w:cs="Arial"/>
          <w:bCs/>
        </w:rPr>
        <w:t xml:space="preserve"> </w:t>
      </w:r>
      <w:r w:rsidR="003C0616">
        <w:rPr>
          <w:rFonts w:ascii="Arial" w:hAnsi="Arial" w:cs="Arial"/>
          <w:bCs/>
        </w:rPr>
        <w:t xml:space="preserve"> </w:t>
      </w:r>
      <w:r w:rsidRPr="00BB537A">
        <w:rPr>
          <w:rFonts w:ascii="Arial" w:hAnsi="Arial" w:cs="Arial"/>
          <w:bCs/>
        </w:rPr>
        <w:t xml:space="preserve">Siddiqua </w:t>
      </w:r>
      <w:r w:rsidRPr="00BB537A">
        <w:rPr>
          <w:rFonts w:ascii="Arial" w:hAnsi="Arial" w:cs="Arial"/>
          <w:bCs/>
          <w:i/>
        </w:rPr>
        <w:t xml:space="preserve">et al. </w:t>
      </w:r>
      <w:r w:rsidRPr="00BB537A">
        <w:rPr>
          <w:rFonts w:ascii="Arial" w:hAnsi="Arial" w:cs="Arial"/>
          <w:bCs/>
        </w:rPr>
        <w:t xml:space="preserve"> (2023) in dragon fruit.</w:t>
      </w:r>
    </w:p>
    <w:p w14:paraId="069D11D6"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application of T</w:t>
      </w:r>
      <w:r w:rsidRPr="00BB537A">
        <w:rPr>
          <w:rFonts w:ascii="Times New Roman" w:hAnsi="Times New Roman" w:cs="Arial"/>
          <w:bCs/>
        </w:rPr>
        <w:t>₁₁</w:t>
      </w:r>
      <w:r w:rsidRPr="00BB537A">
        <w:rPr>
          <w:rFonts w:ascii="Arial" w:hAnsi="Arial" w:cs="Arial"/>
          <w:bCs/>
        </w:rPr>
        <w:t xml:space="preserve"> [Vermicompost (0.5 kg/plant) + VAM (100 g/plant) + PSB (50 g/plant)] resulted in the highest fruit volume (254.98 cm³) and specific gravity (1.10 g cm</w:t>
      </w:r>
      <w:r w:rsidRPr="00BB537A">
        <w:rPr>
          <w:rFonts w:ascii="Times New Roman" w:hAnsi="Times New Roman" w:cs="Arial"/>
          <w:bCs/>
        </w:rPr>
        <w:t>⁻</w:t>
      </w:r>
      <w:r w:rsidRPr="00BB537A">
        <w:rPr>
          <w:rFonts w:ascii="Arial" w:hAnsi="Arial" w:cs="Arial"/>
          <w:bCs/>
        </w:rPr>
        <w:t>³), whereas the lowest values were recorded in the control (T</w:t>
      </w:r>
      <w:r w:rsidRPr="00BB537A">
        <w:rPr>
          <w:rFonts w:ascii="Times New Roman" w:hAnsi="Times New Roman" w:cs="Arial"/>
          <w:bCs/>
        </w:rPr>
        <w:t>₁</w:t>
      </w:r>
      <w:r w:rsidRPr="00BB537A">
        <w:rPr>
          <w:rFonts w:ascii="Arial" w:hAnsi="Arial" w:cs="Arial"/>
          <w:bCs/>
        </w:rPr>
        <w:t>) treatment (125.58 cm³ and 0.85 g cm</w:t>
      </w:r>
      <w:r w:rsidRPr="00BB537A">
        <w:rPr>
          <w:rFonts w:ascii="Times New Roman" w:hAnsi="Times New Roman" w:cs="Arial"/>
          <w:bCs/>
        </w:rPr>
        <w:t>⁻</w:t>
      </w:r>
      <w:r w:rsidRPr="00BB537A">
        <w:rPr>
          <w:rFonts w:ascii="Arial" w:hAnsi="Arial" w:cs="Arial"/>
          <w:bCs/>
        </w:rPr>
        <w:t>³, respectively). The significant increase in fruit volume and density can be attributed to improved nutrient assimilation, enhanced water retention and increased microbial activity in the rhizosphere, leading to better cell division and expansion.</w:t>
      </w:r>
    </w:p>
    <w:p w14:paraId="52C1F357" w14:textId="77777777" w:rsidR="00524A8B" w:rsidRPr="00BB537A" w:rsidRDefault="00524A8B" w:rsidP="00BB537A">
      <w:pPr>
        <w:spacing w:line="360" w:lineRule="auto"/>
        <w:jc w:val="both"/>
        <w:rPr>
          <w:rFonts w:ascii="Arial" w:hAnsi="Arial" w:cs="Arial"/>
          <w:bCs/>
        </w:rPr>
      </w:pPr>
      <w:r w:rsidRPr="00BB537A">
        <w:rPr>
          <w:rFonts w:ascii="Arial" w:hAnsi="Arial" w:cs="Arial"/>
          <w:bCs/>
        </w:rPr>
        <w:lastRenderedPageBreak/>
        <w:t xml:space="preserve">The combination of vermicompost and bio-fertilizers played a crucial role in improving soil fertility, facilitating better root development and nutrient uptake, which directly influenced fruit growth and quality. The specific gravity, an indicator of fruit density and quality, was also positively affected by enhanced metabolic activities and enzymatic functions due to microbial inoculants. These findings align with the studies of Verma </w:t>
      </w:r>
      <w:r w:rsidRPr="00BB537A">
        <w:rPr>
          <w:rFonts w:ascii="Arial" w:hAnsi="Arial" w:cs="Arial"/>
          <w:bCs/>
          <w:i/>
        </w:rPr>
        <w:t xml:space="preserve">et al. </w:t>
      </w:r>
      <w:r w:rsidRPr="00BB537A">
        <w:rPr>
          <w:rFonts w:ascii="Arial" w:hAnsi="Arial" w:cs="Arial"/>
          <w:bCs/>
        </w:rPr>
        <w:t xml:space="preserve"> (2019), Kumar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14:paraId="75A13E13"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present study revealed that T</w:t>
      </w:r>
      <w:r w:rsidRPr="00BB537A">
        <w:rPr>
          <w:rFonts w:ascii="Times New Roman" w:hAnsi="Times New Roman" w:cs="Arial"/>
          <w:bCs/>
        </w:rPr>
        <w:t>₁₁</w:t>
      </w:r>
      <w:r w:rsidRPr="00BB537A">
        <w:rPr>
          <w:rFonts w:ascii="Arial" w:hAnsi="Arial" w:cs="Arial"/>
          <w:bCs/>
        </w:rPr>
        <w:t xml:space="preserve"> [Vermicompost (0.5 kg/plant) + VAM (100 g/plant) + PSB (50 g/plant)] recorded the highest pulp weight (244.50 g) and peel weight (36 g), whereas the lowest values were observed in the control (T</w:t>
      </w:r>
      <w:r w:rsidRPr="00BB537A">
        <w:rPr>
          <w:rFonts w:ascii="Times New Roman" w:hAnsi="Times New Roman" w:cs="Arial"/>
          <w:bCs/>
        </w:rPr>
        <w:t>₁</w:t>
      </w:r>
      <w:r w:rsidRPr="00BB537A">
        <w:rPr>
          <w:rFonts w:ascii="Arial" w:hAnsi="Arial" w:cs="Arial"/>
          <w:bCs/>
        </w:rPr>
        <w:t>) (81.66 g and 25 g, respectively), followed by T</w:t>
      </w:r>
      <w:r w:rsidRPr="00BB537A">
        <w:rPr>
          <w:rFonts w:ascii="Times New Roman" w:hAnsi="Times New Roman" w:cs="Arial"/>
          <w:bCs/>
        </w:rPr>
        <w:t>₂</w:t>
      </w:r>
      <w:r w:rsidRPr="00BB537A">
        <w:rPr>
          <w:rFonts w:ascii="Arial" w:hAnsi="Arial" w:cs="Arial"/>
          <w:bCs/>
        </w:rPr>
        <w:t xml:space="preserve"> [Vermicompost (0.5 kg/plant)]. The significant increase in pulp weight and peel weight can be attributed to the enhanced nutrient availability and microbial activity facilitated by vermicompost and bio-fertilizers. The improved uptake of essential nutrients such as nitrogen, phosphorus and potassium likely promoted better fruit development, leading to an increase in both pulp and peel weights. Furthermore, the presence of beneficial microbes enhanced enzymatic activity and soil organic matter decomposition, which played a pivotal role in improving fruit quality attributes. A higher pulp weight is desirable in commercial fruit production as it contributes to better marketability and consumer preference. The increased peel weight, while secondary, also suggests enhanced structural integrity and fruit development. These results are in accordance with the findings of Bashir </w:t>
      </w:r>
      <w:r w:rsidRPr="00BB537A">
        <w:rPr>
          <w:rFonts w:ascii="Arial" w:hAnsi="Arial" w:cs="Arial"/>
          <w:bCs/>
          <w:i/>
        </w:rPr>
        <w:t xml:space="preserve">et al. </w:t>
      </w:r>
      <w:r w:rsidRPr="00BB537A">
        <w:rPr>
          <w:rFonts w:ascii="Arial" w:hAnsi="Arial" w:cs="Arial"/>
          <w:bCs/>
        </w:rPr>
        <w:t xml:space="preserve"> (2009) on guava, Verma </w:t>
      </w:r>
      <w:r w:rsidRPr="00BB537A">
        <w:rPr>
          <w:rFonts w:ascii="Arial" w:hAnsi="Arial" w:cs="Arial"/>
          <w:bCs/>
          <w:i/>
        </w:rPr>
        <w:t xml:space="preserve">et al. </w:t>
      </w:r>
      <w:r w:rsidRPr="00BB537A">
        <w:rPr>
          <w:rFonts w:ascii="Arial" w:hAnsi="Arial" w:cs="Arial"/>
          <w:bCs/>
        </w:rPr>
        <w:t xml:space="preserve"> (2019) on dragon </w:t>
      </w:r>
      <w:proofErr w:type="gramStart"/>
      <w:r w:rsidRPr="00BB537A">
        <w:rPr>
          <w:rFonts w:ascii="Arial" w:hAnsi="Arial" w:cs="Arial"/>
          <w:bCs/>
        </w:rPr>
        <w:t xml:space="preserve">fruit </w:t>
      </w:r>
      <w:r w:rsidR="003C0616">
        <w:rPr>
          <w:rFonts w:ascii="Arial" w:hAnsi="Arial" w:cs="Arial"/>
          <w:bCs/>
        </w:rPr>
        <w:t xml:space="preserve"> </w:t>
      </w:r>
      <w:r w:rsidRPr="00BB537A">
        <w:rPr>
          <w:rFonts w:ascii="Arial" w:hAnsi="Arial" w:cs="Arial"/>
          <w:bCs/>
        </w:rPr>
        <w:t>and</w:t>
      </w:r>
      <w:proofErr w:type="gramEnd"/>
      <w:r w:rsidRPr="00BB537A">
        <w:rPr>
          <w:rFonts w:ascii="Arial" w:hAnsi="Arial" w:cs="Arial"/>
          <w:bCs/>
        </w:rPr>
        <w:t xml:space="preserve"> Kumar </w:t>
      </w:r>
      <w:r w:rsidRPr="00BB537A">
        <w:rPr>
          <w:rFonts w:ascii="Arial" w:hAnsi="Arial" w:cs="Arial"/>
          <w:bCs/>
          <w:i/>
        </w:rPr>
        <w:t xml:space="preserve">et al. </w:t>
      </w:r>
      <w:r w:rsidRPr="00BB537A">
        <w:rPr>
          <w:rFonts w:ascii="Arial" w:hAnsi="Arial" w:cs="Arial"/>
          <w:bCs/>
        </w:rPr>
        <w:t xml:space="preserve"> (2022) on papaya, emphasizing the positive role of organic amendments in fruit quality improvement.</w:t>
      </w:r>
    </w:p>
    <w:p w14:paraId="45D74734"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highest pulp-to-peel ratio (7.01) was observed in T</w:t>
      </w:r>
      <w:r w:rsidRPr="00BB537A">
        <w:rPr>
          <w:rFonts w:ascii="Times New Roman" w:hAnsi="Times New Roman" w:cs="Arial"/>
          <w:bCs/>
        </w:rPr>
        <w:t>₁₁</w:t>
      </w:r>
      <w:r w:rsidRPr="00BB537A">
        <w:rPr>
          <w:rFonts w:ascii="Arial" w:hAnsi="Arial" w:cs="Arial"/>
          <w:bCs/>
        </w:rPr>
        <w:t xml:space="preserve"> [Vermicompost (0.5 kg/plant) + VAM (100 g/plant) + PSB (50 g/plant)],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The lowest ratio (3.27) was recorded in the control (T</w:t>
      </w:r>
      <w:r w:rsidRPr="00BB537A">
        <w:rPr>
          <w:rFonts w:ascii="Times New Roman" w:hAnsi="Times New Roman" w:cs="Arial"/>
          <w:bCs/>
        </w:rPr>
        <w:t>₁</w:t>
      </w:r>
      <w:r w:rsidRPr="00BB537A">
        <w:rPr>
          <w:rFonts w:ascii="Arial" w:hAnsi="Arial" w:cs="Arial"/>
          <w:bCs/>
        </w:rPr>
        <w:t xml:space="preserve">) treatment. The increased pulp-to-peel ratio can be attributed to enhanced cell division and expansion facilitated by organic manure and bio-fertilizers, which improved nutrient uptake and mesocarp development. A thicker peel also contributes to reduced postharvest losses by minimizing mechanical damage. These findings are consistent with Kumar and Kumar (2013) in mango, Verma </w:t>
      </w:r>
      <w:r w:rsidRPr="00BB537A">
        <w:rPr>
          <w:rFonts w:ascii="Arial" w:hAnsi="Arial" w:cs="Arial"/>
          <w:bCs/>
          <w:i/>
        </w:rPr>
        <w:t xml:space="preserve">et al. </w:t>
      </w:r>
      <w:r w:rsidRPr="00BB537A">
        <w:rPr>
          <w:rFonts w:ascii="Arial" w:hAnsi="Arial" w:cs="Arial"/>
          <w:bCs/>
        </w:rPr>
        <w:t xml:space="preserve"> (2019) in dragon fruit and Bhagat and Panigrahi (2020) in strawberry.</w:t>
      </w:r>
    </w:p>
    <w:p w14:paraId="6ED369BC"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present study demonstrated that the T</w:t>
      </w:r>
      <w:r w:rsidRPr="00BB537A">
        <w:rPr>
          <w:rFonts w:ascii="Times New Roman" w:hAnsi="Times New Roman" w:cs="Arial"/>
          <w:bCs/>
        </w:rPr>
        <w:t>₁₁</w:t>
      </w:r>
      <w:r w:rsidRPr="00BB537A">
        <w:rPr>
          <w:rFonts w:ascii="Arial" w:hAnsi="Arial" w:cs="Arial"/>
          <w:bCs/>
        </w:rPr>
        <w:t xml:space="preserve"> treatment [Vermicompost (0.5 kg/plant) + VAM (100 g/plant) + PSB (50 g/plant)] resulted in the highest pulp thickness (7.27 cm) and peel thickness (0.36 cm). Conversely, the lowest pulp thickness (5.27 cm) and peel thickness (0.25 cm) were recorded in the control (T</w:t>
      </w:r>
      <w:r w:rsidRPr="00BB537A">
        <w:rPr>
          <w:rFonts w:ascii="Times New Roman" w:hAnsi="Times New Roman" w:cs="Arial"/>
          <w:bCs/>
        </w:rPr>
        <w:t>₁</w:t>
      </w:r>
      <w:r w:rsidRPr="00BB537A">
        <w:rPr>
          <w:rFonts w:ascii="Arial" w:hAnsi="Arial" w:cs="Arial"/>
          <w:bCs/>
        </w:rPr>
        <w:t>) treatment. The significant increase in pulp and peel thickness can be attributed to the synergistic effects of organic amendments and bio-</w:t>
      </w:r>
      <w:r w:rsidRPr="00BB537A">
        <w:rPr>
          <w:rFonts w:ascii="Arial" w:hAnsi="Arial" w:cs="Arial"/>
          <w:bCs/>
        </w:rPr>
        <w:lastRenderedPageBreak/>
        <w:t>fertilizers, which improved soil structure, microbial activity and nutrient uptake efficiency. Vermicompost contributed to higher organic matter content, enhancing soil moisture retention and cation exchange capacity, which are crucial for sustained nutrient availability. Additionally, VAM and PSB facilitated better phosphorus solubilization and root proliferation, leading to improved carbohydrate accumulation in the fruit.</w:t>
      </w:r>
    </w:p>
    <w:p w14:paraId="3F8C34F4" w14:textId="77777777" w:rsidR="00524A8B" w:rsidRPr="00BB537A" w:rsidRDefault="00524A8B" w:rsidP="00BB537A">
      <w:pPr>
        <w:spacing w:line="360" w:lineRule="auto"/>
        <w:jc w:val="both"/>
        <w:rPr>
          <w:rFonts w:ascii="Arial" w:hAnsi="Arial" w:cs="Arial"/>
          <w:bCs/>
        </w:rPr>
      </w:pPr>
      <w:r w:rsidRPr="00BB537A">
        <w:rPr>
          <w:rFonts w:ascii="Arial" w:hAnsi="Arial" w:cs="Arial"/>
          <w:bCs/>
        </w:rPr>
        <w:t xml:space="preserve">A thicker pulp is particularly important for fruit quality as it enhances juiciness and consumer acceptability, while an optimal peel thickness provides better protection against postharvest losses. These findings align with the research of Hazarika </w:t>
      </w:r>
      <w:r w:rsidRPr="00BB537A">
        <w:rPr>
          <w:rFonts w:ascii="Arial" w:hAnsi="Arial" w:cs="Arial"/>
          <w:bCs/>
          <w:i/>
        </w:rPr>
        <w:t xml:space="preserve">et al. </w:t>
      </w:r>
      <w:r w:rsidRPr="00BB537A">
        <w:rPr>
          <w:rFonts w:ascii="Arial" w:hAnsi="Arial" w:cs="Arial"/>
          <w:bCs/>
        </w:rPr>
        <w:t xml:space="preserve"> (2019) on Assam orange, Verma </w:t>
      </w:r>
      <w:r w:rsidRPr="00BB537A">
        <w:rPr>
          <w:rFonts w:ascii="Arial" w:hAnsi="Arial" w:cs="Arial"/>
          <w:bCs/>
          <w:i/>
        </w:rPr>
        <w:t xml:space="preserve">et al. </w:t>
      </w:r>
      <w:r w:rsidRPr="00BB537A">
        <w:rPr>
          <w:rFonts w:ascii="Arial" w:hAnsi="Arial" w:cs="Arial"/>
          <w:bCs/>
        </w:rPr>
        <w:t xml:space="preserve"> (2021) on dragon fruit and Siddiqua </w:t>
      </w:r>
      <w:r w:rsidRPr="00BB537A">
        <w:rPr>
          <w:rFonts w:ascii="Arial" w:hAnsi="Arial" w:cs="Arial"/>
          <w:bCs/>
          <w:i/>
        </w:rPr>
        <w:t xml:space="preserve">et al. </w:t>
      </w:r>
      <w:r w:rsidRPr="00BB537A">
        <w:rPr>
          <w:rFonts w:ascii="Arial" w:hAnsi="Arial" w:cs="Arial"/>
          <w:bCs/>
        </w:rPr>
        <w:t xml:space="preserve"> (2023) on dragon fruit, further supporting the role of integrated organic nutrient management in improving fruit morphology and quality.</w:t>
      </w:r>
    </w:p>
    <w:p w14:paraId="00D83E99"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highest fruit yield (3.84 kg/plant)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significantly outperforming all other treatments. The lowest yield (0.59 kg/plant) was observed in the control (T</w:t>
      </w:r>
      <w:r w:rsidRPr="00BB537A">
        <w:rPr>
          <w:rFonts w:ascii="Times New Roman" w:hAnsi="Times New Roman" w:cs="Arial"/>
          <w:bCs/>
        </w:rPr>
        <w:t>₁</w:t>
      </w:r>
      <w:r w:rsidRPr="00BB537A">
        <w:rPr>
          <w:rFonts w:ascii="Arial" w:hAnsi="Arial" w:cs="Arial"/>
          <w:bCs/>
        </w:rPr>
        <w:t>) treatment.</w:t>
      </w:r>
    </w:p>
    <w:p w14:paraId="02E631C7" w14:textId="77777777" w:rsidR="00524A8B" w:rsidRPr="00BB537A" w:rsidRDefault="00524A8B" w:rsidP="00BB537A">
      <w:pPr>
        <w:spacing w:line="360" w:lineRule="auto"/>
        <w:jc w:val="both"/>
        <w:rPr>
          <w:rFonts w:ascii="Arial" w:hAnsi="Arial" w:cs="Arial"/>
          <w:bCs/>
        </w:rPr>
      </w:pPr>
      <w:r w:rsidRPr="00BB537A">
        <w:rPr>
          <w:rFonts w:ascii="Arial" w:hAnsi="Arial" w:cs="Arial"/>
          <w:bCs/>
        </w:rPr>
        <w:t xml:space="preserve">The increase in fruit yield can be attributed to enhanced microbial activity in the soil, leading to improved nutrient availability, root proliferation and metabolic efficiency in the plant. Vermicompost, combined with bio-fertilizers, facilitated superior protein and carbohydrate synthesis, which directly influenced fruit production. These findings are in accordance with Singh </w:t>
      </w:r>
      <w:r w:rsidRPr="00BB537A">
        <w:rPr>
          <w:rFonts w:ascii="Arial" w:hAnsi="Arial" w:cs="Arial"/>
          <w:bCs/>
          <w:i/>
        </w:rPr>
        <w:t xml:space="preserve">et al. </w:t>
      </w:r>
      <w:r w:rsidRPr="00BB537A">
        <w:rPr>
          <w:rFonts w:ascii="Arial" w:hAnsi="Arial" w:cs="Arial"/>
          <w:bCs/>
        </w:rPr>
        <w:t xml:space="preserve"> (2010</w:t>
      </w:r>
      <w:proofErr w:type="gramStart"/>
      <w:r w:rsidRPr="00BB537A">
        <w:rPr>
          <w:rFonts w:ascii="Arial" w:hAnsi="Arial" w:cs="Arial"/>
          <w:bCs/>
        </w:rPr>
        <w:t>)</w:t>
      </w:r>
      <w:r w:rsidR="006F35AA" w:rsidRPr="00BB537A">
        <w:rPr>
          <w:rFonts w:ascii="Arial" w:hAnsi="Arial" w:cs="Arial"/>
          <w:bCs/>
        </w:rPr>
        <w:t xml:space="preserve"> </w:t>
      </w:r>
      <w:r w:rsidRPr="00BB537A">
        <w:rPr>
          <w:rFonts w:ascii="Arial" w:hAnsi="Arial" w:cs="Arial"/>
          <w:bCs/>
        </w:rPr>
        <w:t xml:space="preserve"> in</w:t>
      </w:r>
      <w:proofErr w:type="gramEnd"/>
      <w:r w:rsidRPr="00BB537A">
        <w:rPr>
          <w:rFonts w:ascii="Arial" w:hAnsi="Arial" w:cs="Arial"/>
          <w:bCs/>
        </w:rPr>
        <w:t xml:space="preserve"> strawberry, Hoe (2014) in dragon fruit and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14:paraId="541049A1" w14:textId="77777777" w:rsidR="00524A8B" w:rsidRPr="00BB537A" w:rsidRDefault="00524A8B" w:rsidP="00BB537A">
      <w:pPr>
        <w:spacing w:line="360" w:lineRule="auto"/>
        <w:jc w:val="both"/>
        <w:rPr>
          <w:rFonts w:ascii="Arial" w:hAnsi="Arial" w:cs="Arial"/>
          <w:bCs/>
        </w:rPr>
      </w:pPr>
    </w:p>
    <w:p w14:paraId="0FE57C85"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highest TSS (15.76° Brix)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The lowest TSS (12.86° Brix) was observed in T</w:t>
      </w:r>
      <w:r w:rsidRPr="00BB537A">
        <w:rPr>
          <w:rFonts w:ascii="Times New Roman" w:hAnsi="Times New Roman" w:cs="Arial"/>
          <w:bCs/>
        </w:rPr>
        <w:t>₁</w:t>
      </w:r>
      <w:r w:rsidRPr="00BB537A">
        <w:rPr>
          <w:rFonts w:ascii="Arial" w:hAnsi="Arial" w:cs="Arial"/>
          <w:bCs/>
        </w:rPr>
        <w:t xml:space="preserve"> (Control). The increased TSS content can be attributed to the improved nutrient assimilation and enhanced metabolic processes facilitated by organic manures and bio-fertilizers. These amendments enhanced soil properties, including water retention, aeration and microbial activity, which likely led to better starch-to-sugar conversion, improving fruit sweetness and quality. The results are in accordance with </w:t>
      </w:r>
      <w:proofErr w:type="spellStart"/>
      <w:r w:rsidRPr="00BB537A">
        <w:rPr>
          <w:rFonts w:ascii="Arial" w:hAnsi="Arial" w:cs="Arial"/>
          <w:bCs/>
        </w:rPr>
        <w:t>Kirad</w:t>
      </w:r>
      <w:proofErr w:type="spellEnd"/>
      <w:r w:rsidRPr="00BB537A">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(2010) in papaya, </w:t>
      </w:r>
      <w:proofErr w:type="spellStart"/>
      <w:r w:rsidRPr="00BB537A">
        <w:rPr>
          <w:rFonts w:ascii="Arial" w:hAnsi="Arial" w:cs="Arial"/>
          <w:bCs/>
        </w:rPr>
        <w:t>Khayum</w:t>
      </w:r>
      <w:proofErr w:type="spellEnd"/>
      <w:r w:rsidRPr="00BB537A">
        <w:rPr>
          <w:rFonts w:ascii="Arial" w:hAnsi="Arial" w:cs="Arial"/>
          <w:bCs/>
        </w:rPr>
        <w:t xml:space="preserve"> (2021) in jamun, Verma </w:t>
      </w:r>
      <w:r w:rsidRPr="00BB537A">
        <w:rPr>
          <w:rFonts w:ascii="Arial" w:hAnsi="Arial" w:cs="Arial"/>
          <w:bCs/>
          <w:i/>
        </w:rPr>
        <w:t xml:space="preserve">et al. </w:t>
      </w:r>
      <w:r w:rsidRPr="00BB537A">
        <w:rPr>
          <w:rFonts w:ascii="Arial" w:hAnsi="Arial" w:cs="Arial"/>
          <w:bCs/>
        </w:rPr>
        <w:t xml:space="preserve"> (2021) and </w:t>
      </w:r>
      <w:proofErr w:type="spellStart"/>
      <w:r w:rsidRPr="00BB537A">
        <w:rPr>
          <w:rFonts w:ascii="Arial" w:hAnsi="Arial" w:cs="Arial"/>
          <w:bCs/>
        </w:rPr>
        <w:t>Heerawati</w:t>
      </w:r>
      <w:proofErr w:type="spellEnd"/>
      <w:r w:rsidRPr="00BB537A">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(2021) in dragon fruit and Siddiqua </w:t>
      </w:r>
      <w:r w:rsidRPr="00BB537A">
        <w:rPr>
          <w:rFonts w:ascii="Arial" w:hAnsi="Arial" w:cs="Arial"/>
          <w:bCs/>
          <w:i/>
        </w:rPr>
        <w:t xml:space="preserve">et al. </w:t>
      </w:r>
      <w:r w:rsidRPr="00BB537A">
        <w:rPr>
          <w:rFonts w:ascii="Arial" w:hAnsi="Arial" w:cs="Arial"/>
          <w:bCs/>
        </w:rPr>
        <w:t xml:space="preserve"> (2023) in dragon fruit.</w:t>
      </w:r>
    </w:p>
    <w:p w14:paraId="71E6A912"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highest total sugar content (9.42%)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The lowest total sugar (8.40%)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 </w:t>
      </w:r>
      <w:r w:rsidRPr="00BB537A">
        <w:rPr>
          <w:rFonts w:ascii="Arial" w:hAnsi="Arial" w:cs="Arial"/>
          <w:bCs/>
        </w:rPr>
        <w:lastRenderedPageBreak/>
        <w:t xml:space="preserve">(8.62%) [Vermicompost (0.5 kg/plant)]. The increase in total sugar content can be attributed to the enhanced nutrient availability and hormonal activity facilitated by organic amendments. The conversion of stored starch into soluble sugars was likely accelerated due to improved metabolic functions and higher enzymatic activity in plants grown under enriched soil conditions. This ultimately led to better carbohydrate synthesis and accumulation in the fruit, enhancing its sweetness and quality. These findings are in agreement with </w:t>
      </w:r>
      <w:proofErr w:type="spellStart"/>
      <w:r w:rsidRPr="00BB537A">
        <w:rPr>
          <w:rFonts w:ascii="Arial" w:hAnsi="Arial" w:cs="Arial"/>
          <w:bCs/>
        </w:rPr>
        <w:t>Khayum</w:t>
      </w:r>
      <w:proofErr w:type="spellEnd"/>
      <w:r w:rsidRPr="00BB537A">
        <w:rPr>
          <w:rFonts w:ascii="Arial" w:hAnsi="Arial" w:cs="Arial"/>
          <w:bCs/>
        </w:rPr>
        <w:t xml:space="preserve"> (2021) in jamun,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14:paraId="38F0FE91"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lowest acidity (0.17%)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This was followed by T</w:t>
      </w:r>
      <w:r w:rsidRPr="00BB537A">
        <w:rPr>
          <w:rFonts w:ascii="Times New Roman" w:hAnsi="Times New Roman" w:cs="Arial"/>
          <w:bCs/>
        </w:rPr>
        <w:t>₁₀</w:t>
      </w:r>
      <w:r w:rsidRPr="00BB537A">
        <w:rPr>
          <w:rFonts w:ascii="Arial" w:hAnsi="Arial" w:cs="Arial"/>
          <w:bCs/>
        </w:rPr>
        <w:t xml:space="preserve"> (0.19%) [Vermicompost (0.5 kg/plant) + Azotobacter (50 g/plant) + PSB (50 g/plant)]. The highest acidity (0.29%)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 (0.27%) [Vermicompost (0.5 kg/plant)]. The reduction in acidity due to the application of organic manures and bio-fertilizers is likely attributed to their role in enhancing microbial activity, which facilitates the conversion of organic acids into sugars via the glycolytic pathway. This process improves the sugar-acid balance, contributing to a smoother and sweeter taste in dragon fruit. Additionally, the enhanced nutrient availability from vermicompost and bio-fertilizers may have boosted enzymatic activities, leading to greater metabolic efficiency in fruit development. These findings align with the reports of Singh and Varu (2013) in guava, </w:t>
      </w:r>
      <w:proofErr w:type="spellStart"/>
      <w:r w:rsidRPr="00BB537A">
        <w:rPr>
          <w:rFonts w:ascii="Arial" w:hAnsi="Arial" w:cs="Arial"/>
          <w:bCs/>
        </w:rPr>
        <w:t>Khayum</w:t>
      </w:r>
      <w:proofErr w:type="spellEnd"/>
      <w:r w:rsidRPr="00BB537A">
        <w:rPr>
          <w:rFonts w:ascii="Arial" w:hAnsi="Arial" w:cs="Arial"/>
          <w:bCs/>
        </w:rPr>
        <w:t xml:space="preserve"> (2021) in jamun and Siddiqua </w:t>
      </w:r>
      <w:r w:rsidRPr="00BB537A">
        <w:rPr>
          <w:rFonts w:ascii="Arial" w:hAnsi="Arial" w:cs="Arial"/>
          <w:bCs/>
          <w:i/>
        </w:rPr>
        <w:t xml:space="preserve">et al. </w:t>
      </w:r>
      <w:r w:rsidRPr="00BB537A">
        <w:rPr>
          <w:rFonts w:ascii="Arial" w:hAnsi="Arial" w:cs="Arial"/>
          <w:bCs/>
        </w:rPr>
        <w:t xml:space="preserve"> (2023) in dragon fruit.</w:t>
      </w:r>
    </w:p>
    <w:p w14:paraId="1062D13A"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highest TSS/acid ratio (92.85)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This was followed by T</w:t>
      </w:r>
      <w:r w:rsidRPr="00BB537A">
        <w:rPr>
          <w:rFonts w:ascii="Times New Roman" w:hAnsi="Times New Roman" w:cs="Arial"/>
          <w:bCs/>
        </w:rPr>
        <w:t>₁₀</w:t>
      </w:r>
      <w:r w:rsidRPr="00BB537A">
        <w:rPr>
          <w:rFonts w:ascii="Arial" w:hAnsi="Arial" w:cs="Arial"/>
          <w:bCs/>
        </w:rPr>
        <w:t xml:space="preserve"> (79.13) [Vermicompost (0.5 kg/plant) + Azotobacter (50 g/plant) + PSB (50 g/plant)]. The lowest TSS/acid ratio (43.96) was observed in T</w:t>
      </w:r>
      <w:r w:rsidRPr="00BB537A">
        <w:rPr>
          <w:rFonts w:ascii="Times New Roman" w:hAnsi="Times New Roman" w:cs="Arial"/>
          <w:bCs/>
        </w:rPr>
        <w:t>₁</w:t>
      </w:r>
      <w:r w:rsidRPr="00BB537A">
        <w:rPr>
          <w:rFonts w:ascii="Arial" w:hAnsi="Arial" w:cs="Arial"/>
          <w:bCs/>
        </w:rPr>
        <w:t xml:space="preserve"> (Control). The higher TSS/acid ratio is primarily attributed to the reduced acidity and enhanced sugar accumulation facilitated by the application of organic manures and bio-fertilizers. These amendments improve nutrient uptake, stimulate enzymatic activity and accelerate metabolic processes such as acid conversion into sugars, leading to better fruit sweetness. The findings align with previous studies by Singh </w:t>
      </w:r>
      <w:r w:rsidRPr="00BB537A">
        <w:rPr>
          <w:rFonts w:ascii="Arial" w:hAnsi="Arial" w:cs="Arial"/>
          <w:bCs/>
          <w:i/>
        </w:rPr>
        <w:t xml:space="preserve">et al. </w:t>
      </w:r>
      <w:r w:rsidRPr="00BB537A">
        <w:rPr>
          <w:rFonts w:ascii="Arial" w:hAnsi="Arial" w:cs="Arial"/>
          <w:bCs/>
        </w:rPr>
        <w:t xml:space="preserve"> (2010) on strawberry, Kumar and Kumar (2013) on mango and Siddiqua </w:t>
      </w:r>
      <w:r w:rsidRPr="00BB537A">
        <w:rPr>
          <w:rFonts w:ascii="Arial" w:hAnsi="Arial" w:cs="Arial"/>
          <w:bCs/>
          <w:i/>
        </w:rPr>
        <w:t xml:space="preserve">et al. </w:t>
      </w:r>
      <w:r w:rsidRPr="00BB537A">
        <w:rPr>
          <w:rFonts w:ascii="Arial" w:hAnsi="Arial" w:cs="Arial"/>
          <w:bCs/>
        </w:rPr>
        <w:t xml:space="preserve"> (2023) on dragon fruit.</w:t>
      </w:r>
    </w:p>
    <w:p w14:paraId="3A015BA9" w14:textId="77777777" w:rsidR="00524A8B" w:rsidRPr="00BB537A" w:rsidRDefault="00524A8B" w:rsidP="00BB537A">
      <w:pPr>
        <w:spacing w:line="360" w:lineRule="auto"/>
        <w:jc w:val="both"/>
        <w:rPr>
          <w:rFonts w:ascii="Arial" w:hAnsi="Arial" w:cs="Arial"/>
          <w:bCs/>
        </w:rPr>
      </w:pPr>
      <w:r w:rsidRPr="00BB537A">
        <w:rPr>
          <w:rFonts w:ascii="Arial" w:hAnsi="Arial" w:cs="Arial"/>
          <w:bCs/>
        </w:rPr>
        <w:t>The highest ascorbic acid content (14.26 mg/100 g)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significantly surpassing all other treatments. The lowest ascorbic acid content (13.43 mg/100 g)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 (13.57 mg/100 g) [Vermicompost (0.5 kg/plant)]. The increase in ascorbic acid can be attributed to the enhanced nutrient availability from organic manures and bio-</w:t>
      </w:r>
      <w:r w:rsidRPr="00BB537A">
        <w:rPr>
          <w:rFonts w:ascii="Arial" w:hAnsi="Arial" w:cs="Arial"/>
          <w:bCs/>
        </w:rPr>
        <w:lastRenderedPageBreak/>
        <w:t xml:space="preserve">fertilizers, which improved plant metabolism and stimulated enzymatic activity. These amendments facilitated the conversion of acids to sugars and other derivatives through glycolytic pathways, ultimately enhancing vitamin C synthesis in the fruit. The results align with the findings of </w:t>
      </w:r>
      <w:proofErr w:type="spellStart"/>
      <w:r w:rsidRPr="00BB537A">
        <w:rPr>
          <w:rFonts w:ascii="Arial" w:hAnsi="Arial" w:cs="Arial"/>
          <w:bCs/>
        </w:rPr>
        <w:t>Khayum</w:t>
      </w:r>
      <w:proofErr w:type="spellEnd"/>
      <w:r w:rsidRPr="00BB537A">
        <w:rPr>
          <w:rFonts w:ascii="Arial" w:hAnsi="Arial" w:cs="Arial"/>
          <w:bCs/>
        </w:rPr>
        <w:t xml:space="preserve"> (2021) in Jamun,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14:paraId="61264812" w14:textId="77777777" w:rsidR="00524A8B" w:rsidRDefault="00524A8B" w:rsidP="00524A8B">
      <w:pPr>
        <w:tabs>
          <w:tab w:val="left" w:pos="0"/>
        </w:tabs>
        <w:spacing w:after="240" w:line="360" w:lineRule="auto"/>
        <w:jc w:val="both"/>
        <w:rPr>
          <w:rFonts w:ascii="Times New Roman" w:hAnsi="Times New Roman" w:cs="Times New Roman"/>
          <w:b/>
          <w:bCs/>
          <w:sz w:val="24"/>
          <w:szCs w:val="24"/>
        </w:rPr>
      </w:pPr>
    </w:p>
    <w:p w14:paraId="14A7C70A" w14:textId="77777777" w:rsidR="00524A8B" w:rsidRDefault="00524A8B" w:rsidP="00524A8B">
      <w:pPr>
        <w:tabs>
          <w:tab w:val="left" w:pos="0"/>
        </w:tabs>
        <w:spacing w:after="240" w:line="360" w:lineRule="auto"/>
        <w:jc w:val="both"/>
        <w:rPr>
          <w:rFonts w:ascii="Times New Roman" w:hAnsi="Times New Roman" w:cs="Times New Roman"/>
          <w:b/>
          <w:bCs/>
          <w:sz w:val="24"/>
          <w:szCs w:val="24"/>
        </w:rPr>
      </w:pPr>
      <w:r w:rsidRPr="006736C2">
        <w:rPr>
          <w:rFonts w:ascii="Times New Roman" w:hAnsi="Times New Roman" w:cs="Times New Roman"/>
          <w:b/>
          <w:bCs/>
          <w:sz w:val="24"/>
          <w:szCs w:val="24"/>
        </w:rPr>
        <w:t xml:space="preserve">CONCLUSION </w:t>
      </w:r>
    </w:p>
    <w:p w14:paraId="038B7EB6" w14:textId="77777777" w:rsidR="00524A8B" w:rsidRDefault="00524A8B" w:rsidP="00524A8B">
      <w:pPr>
        <w:tabs>
          <w:tab w:val="left" w:pos="0"/>
        </w:tabs>
        <w:spacing w:after="240" w:line="360" w:lineRule="auto"/>
        <w:jc w:val="both"/>
        <w:rPr>
          <w:rFonts w:ascii="Times New Roman" w:hAnsi="Times New Roman" w:cs="Times New Roman"/>
          <w:bCs/>
          <w:sz w:val="24"/>
          <w:szCs w:val="24"/>
        </w:rPr>
      </w:pPr>
      <w:r w:rsidRPr="004F632A">
        <w:rPr>
          <w:rFonts w:ascii="Times New Roman" w:hAnsi="Times New Roman" w:cs="Times New Roman"/>
          <w:bCs/>
          <w:sz w:val="24"/>
          <w:szCs w:val="24"/>
        </w:rPr>
        <w:t xml:space="preserve">The present study demonstrated that integrating vermicompost with beneficial bio-fertilizers, particularly VAM and PSB, significantly enhanced the </w:t>
      </w:r>
      <w:r>
        <w:rPr>
          <w:rFonts w:ascii="Times New Roman" w:hAnsi="Times New Roman" w:cs="Times New Roman"/>
          <w:bCs/>
          <w:sz w:val="24"/>
          <w:szCs w:val="24"/>
        </w:rPr>
        <w:t xml:space="preserve">fruit </w:t>
      </w:r>
      <w:r w:rsidRPr="004F632A">
        <w:rPr>
          <w:rFonts w:ascii="Times New Roman" w:hAnsi="Times New Roman" w:cs="Times New Roman"/>
          <w:bCs/>
          <w:sz w:val="24"/>
          <w:szCs w:val="24"/>
        </w:rPr>
        <w:t xml:space="preserve">growth, </w:t>
      </w:r>
      <w:r>
        <w:rPr>
          <w:rFonts w:ascii="Times New Roman" w:hAnsi="Times New Roman" w:cs="Times New Roman"/>
          <w:bCs/>
          <w:sz w:val="24"/>
          <w:szCs w:val="24"/>
        </w:rPr>
        <w:t>yield</w:t>
      </w:r>
      <w:r w:rsidRPr="004F632A">
        <w:rPr>
          <w:rFonts w:ascii="Times New Roman" w:hAnsi="Times New Roman" w:cs="Times New Roman"/>
          <w:bCs/>
          <w:sz w:val="24"/>
          <w:szCs w:val="24"/>
        </w:rPr>
        <w:t xml:space="preserve"> and quality attributes of dragon fruit. The highest fruit w</w:t>
      </w:r>
      <w:r>
        <w:rPr>
          <w:rFonts w:ascii="Times New Roman" w:hAnsi="Times New Roman" w:cs="Times New Roman"/>
          <w:bCs/>
          <w:sz w:val="24"/>
          <w:szCs w:val="24"/>
        </w:rPr>
        <w:t>eight, size, pulp-to-peel ratio</w:t>
      </w:r>
      <w:r w:rsidRPr="004F632A">
        <w:rPr>
          <w:rFonts w:ascii="Times New Roman" w:hAnsi="Times New Roman" w:cs="Times New Roman"/>
          <w:bCs/>
          <w:sz w:val="24"/>
          <w:szCs w:val="24"/>
        </w:rPr>
        <w:t xml:space="preserve"> and superior biochemical traits, including elevated TSS, sugars</w:t>
      </w:r>
      <w:r>
        <w:rPr>
          <w:rFonts w:ascii="Times New Roman" w:hAnsi="Times New Roman" w:cs="Times New Roman"/>
          <w:bCs/>
          <w:sz w:val="24"/>
          <w:szCs w:val="24"/>
        </w:rPr>
        <w:t xml:space="preserve"> and</w:t>
      </w:r>
      <w:r w:rsidRPr="004F632A">
        <w:rPr>
          <w:rFonts w:ascii="Times New Roman" w:hAnsi="Times New Roman" w:cs="Times New Roman"/>
          <w:bCs/>
          <w:sz w:val="24"/>
          <w:szCs w:val="24"/>
        </w:rPr>
        <w:t xml:space="preserve"> ascorbic acid content, were recorded in T₁₁ [Vermicompost (0.5 kg/plant) + VAM (100 g/plant) + PSB (50 g/plant)]. This treatment also exhibited the lowest acidity and the highest TSS/acid ratio, indicating improved fruit palatability. Additionally, the highest fruit yield per plant in T₁₁ underscores the synergistic effect of organic amendments in optimizing plant physiological responses and soil health. These findings highlight the potential of integrating vermicompost with bio-fertilizers as an eco-friendly and sustainable approach to enhancing dragon fruit productivity under tropical conditions.</w:t>
      </w:r>
    </w:p>
    <w:p w14:paraId="364E92D1" w14:textId="77777777" w:rsidR="00CA485F" w:rsidRDefault="00CA485F" w:rsidP="00524A8B">
      <w:pPr>
        <w:adjustRightInd w:val="0"/>
        <w:spacing w:before="120" w:after="120" w:line="240" w:lineRule="auto"/>
        <w:ind w:right="-211"/>
        <w:rPr>
          <w:rFonts w:ascii="Times New Roman" w:hAnsi="Times New Roman" w:cs="Times New Roman"/>
          <w:b/>
          <w:sz w:val="24"/>
          <w:szCs w:val="24"/>
        </w:rPr>
      </w:pPr>
    </w:p>
    <w:p w14:paraId="30A21E58" w14:textId="67BF7093" w:rsidR="00524A8B" w:rsidRDefault="00524A8B" w:rsidP="00524A8B">
      <w:pPr>
        <w:adjustRightInd w:val="0"/>
        <w:spacing w:before="120" w:after="120" w:line="240" w:lineRule="auto"/>
        <w:ind w:right="-211"/>
        <w:rPr>
          <w:rFonts w:ascii="Times New Roman" w:hAnsi="Times New Roman" w:cs="Times New Roman"/>
          <w:b/>
          <w:sz w:val="24"/>
          <w:szCs w:val="24"/>
        </w:rPr>
      </w:pPr>
      <w:bookmarkStart w:id="0" w:name="_GoBack"/>
      <w:bookmarkEnd w:id="0"/>
      <w:r w:rsidRPr="00207636">
        <w:rPr>
          <w:rFonts w:ascii="Times New Roman" w:hAnsi="Times New Roman" w:cs="Times New Roman"/>
          <w:b/>
          <w:sz w:val="24"/>
          <w:szCs w:val="24"/>
        </w:rPr>
        <w:t>REFERENCES</w:t>
      </w:r>
    </w:p>
    <w:p w14:paraId="5672ECBC" w14:textId="77777777" w:rsidR="0027164F" w:rsidRDefault="0027164F" w:rsidP="00524A8B">
      <w:pPr>
        <w:adjustRightInd w:val="0"/>
        <w:spacing w:before="120" w:after="120" w:line="240" w:lineRule="auto"/>
        <w:ind w:right="-211"/>
        <w:rPr>
          <w:rFonts w:ascii="Times New Roman" w:hAnsi="Times New Roman" w:cs="Times New Roman"/>
          <w:b/>
          <w:sz w:val="24"/>
          <w:szCs w:val="24"/>
        </w:rPr>
      </w:pPr>
    </w:p>
    <w:p w14:paraId="11F0CF2D" w14:textId="77777777" w:rsidR="005C2A58" w:rsidRPr="005C2A58" w:rsidRDefault="005C2A58" w:rsidP="005C2A58">
      <w:pPr>
        <w:pStyle w:val="BodyText"/>
        <w:spacing w:before="199" w:line="480" w:lineRule="auto"/>
        <w:ind w:left="851" w:hanging="709"/>
        <w:jc w:val="left"/>
        <w:rPr>
          <w:color w:val="383838"/>
        </w:rPr>
      </w:pPr>
      <w:r w:rsidRPr="005C2A58">
        <w:rPr>
          <w:b/>
          <w:bCs/>
          <w:color w:val="383838"/>
        </w:rPr>
        <w:t>AOAC, (1984).</w:t>
      </w:r>
      <w:r w:rsidRPr="005C2A58">
        <w:rPr>
          <w:color w:val="383838"/>
        </w:rPr>
        <w:t xml:space="preserve"> Official methods of analysis. Ed. Sidney Williams, Association Official Analytical Chemists Virginia. 14</w:t>
      </w:r>
      <w:r w:rsidRPr="005C2A58">
        <w:rPr>
          <w:color w:val="383838"/>
          <w:vertAlign w:val="superscript"/>
        </w:rPr>
        <w:t>th</w:t>
      </w:r>
      <w:r w:rsidRPr="005C2A58">
        <w:rPr>
          <w:color w:val="383838"/>
        </w:rPr>
        <w:t xml:space="preserve"> edition, pp: 424-462.</w:t>
      </w:r>
    </w:p>
    <w:p w14:paraId="5E48B3E2" w14:textId="77777777" w:rsidR="005C2A58" w:rsidRPr="005C2A58" w:rsidRDefault="005C2A58" w:rsidP="005C2A58">
      <w:pPr>
        <w:pStyle w:val="BodyText"/>
        <w:spacing w:before="201" w:line="480" w:lineRule="auto"/>
        <w:ind w:left="851" w:hanging="709"/>
        <w:jc w:val="left"/>
      </w:pPr>
      <w:proofErr w:type="spellStart"/>
      <w:r w:rsidRPr="005C2A58">
        <w:rPr>
          <w:b/>
          <w:bCs/>
          <w:color w:val="383838"/>
        </w:rPr>
        <w:t>Babalad</w:t>
      </w:r>
      <w:proofErr w:type="spellEnd"/>
      <w:r w:rsidRPr="005C2A58">
        <w:rPr>
          <w:b/>
          <w:bCs/>
          <w:color w:val="383838"/>
        </w:rPr>
        <w:t>,</w:t>
      </w:r>
      <w:r w:rsidRPr="005C2A58">
        <w:rPr>
          <w:b/>
          <w:bCs/>
          <w:color w:val="383838"/>
          <w:spacing w:val="52"/>
        </w:rPr>
        <w:t xml:space="preserve"> </w:t>
      </w:r>
      <w:r w:rsidRPr="005C2A58">
        <w:rPr>
          <w:b/>
          <w:bCs/>
          <w:color w:val="383838"/>
        </w:rPr>
        <w:t>H.,</w:t>
      </w:r>
      <w:r w:rsidRPr="005C2A58">
        <w:rPr>
          <w:b/>
          <w:bCs/>
          <w:color w:val="383838"/>
          <w:spacing w:val="52"/>
        </w:rPr>
        <w:t xml:space="preserve"> </w:t>
      </w:r>
      <w:proofErr w:type="spellStart"/>
      <w:r w:rsidRPr="005C2A58">
        <w:rPr>
          <w:b/>
          <w:bCs/>
          <w:color w:val="383838"/>
        </w:rPr>
        <w:t>Channagouda</w:t>
      </w:r>
      <w:proofErr w:type="spellEnd"/>
      <w:r w:rsidRPr="005C2A58">
        <w:rPr>
          <w:b/>
          <w:bCs/>
          <w:color w:val="383838"/>
        </w:rPr>
        <w:t>,</w:t>
      </w:r>
      <w:r w:rsidRPr="005C2A58">
        <w:rPr>
          <w:b/>
          <w:bCs/>
          <w:color w:val="383838"/>
          <w:spacing w:val="50"/>
        </w:rPr>
        <w:t xml:space="preserve"> </w:t>
      </w:r>
      <w:r w:rsidRPr="005C2A58">
        <w:rPr>
          <w:b/>
          <w:bCs/>
          <w:color w:val="383838"/>
        </w:rPr>
        <w:t>R.</w:t>
      </w:r>
      <w:r w:rsidRPr="005C2A58">
        <w:rPr>
          <w:b/>
          <w:bCs/>
          <w:color w:val="383838"/>
          <w:spacing w:val="52"/>
        </w:rPr>
        <w:t xml:space="preserve"> </w:t>
      </w:r>
      <w:r w:rsidRPr="005C2A58">
        <w:rPr>
          <w:b/>
          <w:bCs/>
          <w:color w:val="383838"/>
        </w:rPr>
        <w:t>F.</w:t>
      </w:r>
      <w:r w:rsidRPr="005C2A58">
        <w:rPr>
          <w:b/>
          <w:bCs/>
          <w:color w:val="383838"/>
          <w:spacing w:val="52"/>
        </w:rPr>
        <w:t xml:space="preserve"> </w:t>
      </w:r>
      <w:r w:rsidRPr="005C2A58">
        <w:rPr>
          <w:b/>
          <w:bCs/>
          <w:color w:val="383838"/>
        </w:rPr>
        <w:t>and</w:t>
      </w:r>
      <w:r w:rsidRPr="005C2A58">
        <w:rPr>
          <w:b/>
          <w:bCs/>
          <w:color w:val="383838"/>
          <w:spacing w:val="52"/>
        </w:rPr>
        <w:t xml:space="preserve"> </w:t>
      </w:r>
      <w:proofErr w:type="spellStart"/>
      <w:r w:rsidRPr="005C2A58">
        <w:rPr>
          <w:b/>
          <w:bCs/>
          <w:color w:val="383838"/>
        </w:rPr>
        <w:t>Salimath</w:t>
      </w:r>
      <w:proofErr w:type="spellEnd"/>
      <w:r w:rsidRPr="005C2A58">
        <w:rPr>
          <w:b/>
          <w:bCs/>
          <w:color w:val="383838"/>
        </w:rPr>
        <w:t>,</w:t>
      </w:r>
      <w:r w:rsidRPr="005C2A58">
        <w:rPr>
          <w:b/>
          <w:bCs/>
          <w:color w:val="383838"/>
          <w:spacing w:val="52"/>
        </w:rPr>
        <w:t xml:space="preserve"> </w:t>
      </w:r>
      <w:r w:rsidRPr="005C2A58">
        <w:rPr>
          <w:b/>
          <w:bCs/>
          <w:color w:val="383838"/>
        </w:rPr>
        <w:t>S.</w:t>
      </w:r>
      <w:r w:rsidRPr="005C2A58">
        <w:rPr>
          <w:b/>
          <w:bCs/>
          <w:color w:val="383838"/>
          <w:spacing w:val="53"/>
        </w:rPr>
        <w:t xml:space="preserve"> </w:t>
      </w:r>
      <w:r w:rsidRPr="005C2A58">
        <w:rPr>
          <w:b/>
          <w:bCs/>
          <w:color w:val="383838"/>
        </w:rPr>
        <w:t>B. (2015).</w:t>
      </w:r>
      <w:r w:rsidRPr="005C2A58">
        <w:rPr>
          <w:color w:val="383838"/>
        </w:rPr>
        <w:t xml:space="preserve"> </w:t>
      </w:r>
      <w:r w:rsidRPr="005C2A58">
        <w:rPr>
          <w:color w:val="464646"/>
        </w:rPr>
        <w:t>Effect</w:t>
      </w:r>
      <w:r w:rsidRPr="005C2A58">
        <w:rPr>
          <w:color w:val="464646"/>
          <w:spacing w:val="53"/>
        </w:rPr>
        <w:t xml:space="preserve"> </w:t>
      </w:r>
      <w:r w:rsidRPr="005C2A58">
        <w:rPr>
          <w:color w:val="464646"/>
          <w:spacing w:val="-5"/>
        </w:rPr>
        <w:t xml:space="preserve">of </w:t>
      </w:r>
      <w:r w:rsidRPr="005C2A58">
        <w:rPr>
          <w:color w:val="464646"/>
        </w:rPr>
        <w:t xml:space="preserve">organic farming practices on soil properties and beneficial soil micro- </w:t>
      </w:r>
      <w:proofErr w:type="spellStart"/>
      <w:r w:rsidRPr="005C2A58">
        <w:rPr>
          <w:color w:val="464646"/>
        </w:rPr>
        <w:t>organism.</w:t>
      </w:r>
      <w:r w:rsidRPr="005C2A58">
        <w:rPr>
          <w:i/>
          <w:color w:val="383838"/>
        </w:rPr>
        <w:t>Int</w:t>
      </w:r>
      <w:proofErr w:type="spellEnd"/>
      <w:r w:rsidRPr="005C2A58">
        <w:rPr>
          <w:i/>
          <w:color w:val="383838"/>
        </w:rPr>
        <w:t xml:space="preserve">. J. Forestry </w:t>
      </w:r>
      <w:proofErr w:type="gramStart"/>
      <w:r w:rsidRPr="005C2A58">
        <w:rPr>
          <w:i/>
          <w:color w:val="383838"/>
        </w:rPr>
        <w:t>Crop  improv</w:t>
      </w:r>
      <w:proofErr w:type="gramEnd"/>
      <w:r w:rsidRPr="005C2A58">
        <w:rPr>
          <w:i/>
          <w:color w:val="383838"/>
        </w:rPr>
        <w:t>.,</w:t>
      </w:r>
      <w:r w:rsidRPr="005C2A58">
        <w:rPr>
          <w:b/>
          <w:color w:val="383838"/>
        </w:rPr>
        <w:t>6</w:t>
      </w:r>
      <w:r w:rsidRPr="005C2A58">
        <w:rPr>
          <w:color w:val="383838"/>
        </w:rPr>
        <w:t>(1): 1-11.</w:t>
      </w:r>
    </w:p>
    <w:p w14:paraId="2629CA55" w14:textId="77777777" w:rsidR="005C2A58" w:rsidRPr="005C2A58" w:rsidRDefault="005C2A58" w:rsidP="005C2A58">
      <w:pPr>
        <w:pStyle w:val="BodyText"/>
        <w:spacing w:before="201" w:line="480" w:lineRule="auto"/>
        <w:ind w:left="851" w:hanging="709"/>
        <w:jc w:val="left"/>
      </w:pPr>
      <w:r w:rsidRPr="005C2A58">
        <w:rPr>
          <w:b/>
          <w:bCs/>
          <w:color w:val="383838"/>
        </w:rPr>
        <w:t>Bashir,</w:t>
      </w:r>
      <w:r w:rsidRPr="005C2A58">
        <w:rPr>
          <w:b/>
          <w:bCs/>
          <w:color w:val="383838"/>
          <w:spacing w:val="24"/>
        </w:rPr>
        <w:t xml:space="preserve"> </w:t>
      </w:r>
      <w:r w:rsidRPr="005C2A58">
        <w:rPr>
          <w:b/>
          <w:bCs/>
          <w:color w:val="383838"/>
        </w:rPr>
        <w:t>M.</w:t>
      </w:r>
      <w:r w:rsidRPr="005C2A58">
        <w:rPr>
          <w:b/>
          <w:bCs/>
          <w:color w:val="383838"/>
          <w:spacing w:val="27"/>
        </w:rPr>
        <w:t xml:space="preserve"> </w:t>
      </w:r>
      <w:r w:rsidRPr="005C2A58">
        <w:rPr>
          <w:b/>
          <w:bCs/>
          <w:color w:val="383838"/>
        </w:rPr>
        <w:t>A.,</w:t>
      </w:r>
      <w:r w:rsidRPr="005C2A58">
        <w:rPr>
          <w:b/>
          <w:bCs/>
          <w:color w:val="383838"/>
          <w:spacing w:val="30"/>
        </w:rPr>
        <w:t xml:space="preserve"> </w:t>
      </w:r>
      <w:proofErr w:type="spellStart"/>
      <w:r w:rsidRPr="005C2A58">
        <w:rPr>
          <w:b/>
          <w:bCs/>
          <w:color w:val="383838"/>
        </w:rPr>
        <w:t>ahmad</w:t>
      </w:r>
      <w:proofErr w:type="spellEnd"/>
      <w:r w:rsidRPr="005C2A58">
        <w:rPr>
          <w:b/>
          <w:bCs/>
          <w:color w:val="383838"/>
        </w:rPr>
        <w:t>,</w:t>
      </w:r>
      <w:r w:rsidRPr="005C2A58">
        <w:rPr>
          <w:b/>
          <w:bCs/>
          <w:color w:val="383838"/>
          <w:spacing w:val="26"/>
        </w:rPr>
        <w:t xml:space="preserve"> </w:t>
      </w:r>
      <w:r w:rsidRPr="005C2A58">
        <w:rPr>
          <w:b/>
          <w:bCs/>
          <w:color w:val="383838"/>
        </w:rPr>
        <w:t>M.,</w:t>
      </w:r>
      <w:r w:rsidRPr="005C2A58">
        <w:rPr>
          <w:b/>
          <w:bCs/>
          <w:color w:val="383838"/>
          <w:spacing w:val="27"/>
        </w:rPr>
        <w:t xml:space="preserve"> </w:t>
      </w:r>
      <w:r w:rsidRPr="005C2A58">
        <w:rPr>
          <w:b/>
          <w:bCs/>
          <w:color w:val="383838"/>
        </w:rPr>
        <w:t>Salik,</w:t>
      </w:r>
      <w:r w:rsidRPr="005C2A58">
        <w:rPr>
          <w:b/>
          <w:bCs/>
          <w:color w:val="383838"/>
          <w:spacing w:val="30"/>
        </w:rPr>
        <w:t xml:space="preserve"> </w:t>
      </w:r>
      <w:r w:rsidRPr="005C2A58">
        <w:rPr>
          <w:b/>
          <w:bCs/>
          <w:color w:val="383838"/>
        </w:rPr>
        <w:t>M.</w:t>
      </w:r>
      <w:r w:rsidRPr="005C2A58">
        <w:rPr>
          <w:b/>
          <w:bCs/>
          <w:color w:val="383838"/>
          <w:spacing w:val="26"/>
        </w:rPr>
        <w:t xml:space="preserve"> </w:t>
      </w:r>
      <w:r w:rsidRPr="005C2A58">
        <w:rPr>
          <w:b/>
          <w:bCs/>
          <w:color w:val="383838"/>
        </w:rPr>
        <w:t>R.</w:t>
      </w:r>
      <w:r w:rsidRPr="005C2A58">
        <w:rPr>
          <w:b/>
          <w:bCs/>
          <w:color w:val="383838"/>
          <w:spacing w:val="30"/>
        </w:rPr>
        <w:t xml:space="preserve"> </w:t>
      </w:r>
      <w:r w:rsidRPr="005C2A58">
        <w:rPr>
          <w:b/>
          <w:bCs/>
          <w:color w:val="383838"/>
        </w:rPr>
        <w:t>and</w:t>
      </w:r>
      <w:r w:rsidRPr="005C2A58">
        <w:rPr>
          <w:b/>
          <w:bCs/>
          <w:color w:val="383838"/>
          <w:spacing w:val="24"/>
        </w:rPr>
        <w:t xml:space="preserve"> </w:t>
      </w:r>
      <w:r w:rsidRPr="005C2A58">
        <w:rPr>
          <w:b/>
          <w:bCs/>
          <w:color w:val="383838"/>
        </w:rPr>
        <w:t>Awan,</w:t>
      </w:r>
      <w:r w:rsidRPr="005C2A58">
        <w:rPr>
          <w:b/>
          <w:bCs/>
          <w:color w:val="383838"/>
          <w:spacing w:val="26"/>
        </w:rPr>
        <w:t xml:space="preserve"> </w:t>
      </w:r>
      <w:r w:rsidRPr="005C2A58">
        <w:rPr>
          <w:b/>
          <w:bCs/>
          <w:color w:val="383838"/>
        </w:rPr>
        <w:t>M.</w:t>
      </w:r>
      <w:r w:rsidRPr="005C2A58">
        <w:rPr>
          <w:b/>
          <w:bCs/>
          <w:color w:val="383838"/>
          <w:spacing w:val="35"/>
        </w:rPr>
        <w:t xml:space="preserve"> </w:t>
      </w:r>
      <w:r w:rsidRPr="005C2A58">
        <w:rPr>
          <w:b/>
          <w:bCs/>
          <w:color w:val="383838"/>
        </w:rPr>
        <w:t>Z., (2009).</w:t>
      </w:r>
      <w:r w:rsidRPr="005C2A58">
        <w:rPr>
          <w:color w:val="383838"/>
          <w:spacing w:val="27"/>
        </w:rPr>
        <w:t xml:space="preserve"> </w:t>
      </w:r>
      <w:proofErr w:type="spellStart"/>
      <w:r w:rsidRPr="005C2A58">
        <w:rPr>
          <w:color w:val="383838"/>
          <w:spacing w:val="-2"/>
        </w:rPr>
        <w:t>Manureand</w:t>
      </w:r>
      <w:proofErr w:type="spellEnd"/>
      <w:r w:rsidRPr="005C2A58">
        <w:rPr>
          <w:color w:val="383838"/>
          <w:spacing w:val="-2"/>
        </w:rPr>
        <w:t xml:space="preserve"> </w:t>
      </w:r>
      <w:r w:rsidRPr="005C2A58">
        <w:rPr>
          <w:color w:val="383838"/>
        </w:rPr>
        <w:t xml:space="preserve">fertilizers effect on </w:t>
      </w:r>
      <w:r w:rsidRPr="005C2A58">
        <w:rPr>
          <w:color w:val="383838"/>
          <w:spacing w:val="14"/>
        </w:rPr>
        <w:t xml:space="preserve">yield </w:t>
      </w:r>
      <w:r w:rsidRPr="005C2A58">
        <w:rPr>
          <w:color w:val="383838"/>
        </w:rPr>
        <w:t>and fruit quality of Guava</w:t>
      </w:r>
      <w:r w:rsidRPr="005C2A58">
        <w:rPr>
          <w:color w:val="383838"/>
          <w:spacing w:val="-1"/>
        </w:rPr>
        <w:t xml:space="preserve"> </w:t>
      </w:r>
      <w:r w:rsidRPr="005C2A58">
        <w:rPr>
          <w:color w:val="383838"/>
        </w:rPr>
        <w:t>(</w:t>
      </w:r>
      <w:proofErr w:type="spellStart"/>
      <w:r w:rsidRPr="005C2A58">
        <w:rPr>
          <w:i/>
          <w:color w:val="383838"/>
        </w:rPr>
        <w:t>Psidiumguajava</w:t>
      </w:r>
      <w:r w:rsidRPr="005C2A58">
        <w:rPr>
          <w:color w:val="383838"/>
        </w:rPr>
        <w:t>L</w:t>
      </w:r>
      <w:proofErr w:type="spellEnd"/>
      <w:r w:rsidRPr="005C2A58">
        <w:rPr>
          <w:color w:val="383838"/>
        </w:rPr>
        <w:t>.).</w:t>
      </w:r>
      <w:r w:rsidRPr="005C2A58">
        <w:rPr>
          <w:i/>
          <w:color w:val="383838"/>
        </w:rPr>
        <w:t xml:space="preserve">J. Agric. </w:t>
      </w:r>
      <w:r w:rsidRPr="005C2A58">
        <w:rPr>
          <w:i/>
          <w:color w:val="383838"/>
        </w:rPr>
        <w:lastRenderedPageBreak/>
        <w:t xml:space="preserve">Res., </w:t>
      </w:r>
      <w:r w:rsidRPr="005C2A58">
        <w:rPr>
          <w:b/>
          <w:color w:val="383838"/>
        </w:rPr>
        <w:t>47</w:t>
      </w:r>
      <w:r w:rsidRPr="005C2A58">
        <w:rPr>
          <w:color w:val="383838"/>
        </w:rPr>
        <w:t>:247-251.</w:t>
      </w:r>
    </w:p>
    <w:p w14:paraId="2C43E191" w14:textId="77777777" w:rsidR="005C2A58" w:rsidRPr="005C2A58" w:rsidRDefault="005C2A58" w:rsidP="005C2A58">
      <w:pPr>
        <w:spacing w:line="480" w:lineRule="auto"/>
        <w:ind w:left="851" w:hanging="709"/>
        <w:rPr>
          <w:rFonts w:ascii="Times New Roman" w:hAnsi="Times New Roman" w:cs="Times New Roman"/>
          <w:sz w:val="24"/>
          <w:szCs w:val="24"/>
        </w:rPr>
      </w:pPr>
      <w:r w:rsidRPr="005C2A58">
        <w:rPr>
          <w:rFonts w:ascii="Times New Roman" w:eastAsia="Times New Roman" w:hAnsi="Times New Roman" w:cs="Times New Roman"/>
          <w:b/>
          <w:bCs/>
          <w:sz w:val="24"/>
          <w:szCs w:val="24"/>
        </w:rPr>
        <w:t>Bhagat, P., and Panigrahi, H. (2020).</w:t>
      </w:r>
      <w:r w:rsidRPr="005C2A58">
        <w:rPr>
          <w:rFonts w:ascii="Times New Roman" w:eastAsia="Times New Roman" w:hAnsi="Times New Roman" w:cs="Times New Roman"/>
          <w:sz w:val="24"/>
          <w:szCs w:val="24"/>
        </w:rPr>
        <w:t xml:space="preserve"> Effect of bio-fertilizers on growth, yield and quality of strawberry (</w:t>
      </w:r>
      <w:r w:rsidRPr="005C2A58">
        <w:rPr>
          <w:rFonts w:ascii="Times New Roman" w:eastAsia="Times New Roman" w:hAnsi="Times New Roman" w:cs="Times New Roman"/>
          <w:i/>
          <w:iCs/>
          <w:sz w:val="24"/>
          <w:szCs w:val="24"/>
        </w:rPr>
        <w:t xml:space="preserve">Fragaria x </w:t>
      </w:r>
      <w:proofErr w:type="spellStart"/>
      <w:r w:rsidRPr="005C2A58">
        <w:rPr>
          <w:rFonts w:ascii="Times New Roman" w:eastAsia="Times New Roman" w:hAnsi="Times New Roman" w:cs="Times New Roman"/>
          <w:i/>
          <w:iCs/>
          <w:sz w:val="24"/>
          <w:szCs w:val="24"/>
        </w:rPr>
        <w:t>ananassa</w:t>
      </w:r>
      <w:proofErr w:type="spellEnd"/>
      <w:r w:rsidRPr="005C2A58">
        <w:rPr>
          <w:rFonts w:ascii="Times New Roman" w:eastAsia="Times New Roman" w:hAnsi="Times New Roman" w:cs="Times New Roman"/>
          <w:sz w:val="24"/>
          <w:szCs w:val="24"/>
        </w:rPr>
        <w:t xml:space="preserve"> </w:t>
      </w:r>
      <w:proofErr w:type="spellStart"/>
      <w:r w:rsidRPr="005C2A58">
        <w:rPr>
          <w:rFonts w:ascii="Times New Roman" w:eastAsia="Times New Roman" w:hAnsi="Times New Roman" w:cs="Times New Roman"/>
          <w:sz w:val="24"/>
          <w:szCs w:val="24"/>
        </w:rPr>
        <w:t>Duch</w:t>
      </w:r>
      <w:proofErr w:type="spellEnd"/>
      <w:r w:rsidRPr="005C2A58">
        <w:rPr>
          <w:rFonts w:ascii="Times New Roman" w:eastAsia="Times New Roman" w:hAnsi="Times New Roman" w:cs="Times New Roman"/>
          <w:sz w:val="24"/>
          <w:szCs w:val="24"/>
        </w:rPr>
        <w:t xml:space="preserve">.) cv. Nabila under net tunnel. </w:t>
      </w:r>
      <w:r w:rsidRPr="005C2A58">
        <w:rPr>
          <w:rFonts w:ascii="Times New Roman" w:eastAsia="Times New Roman" w:hAnsi="Times New Roman" w:cs="Times New Roman"/>
          <w:i/>
          <w:iCs/>
          <w:sz w:val="24"/>
          <w:szCs w:val="24"/>
        </w:rPr>
        <w:t>The Pharma Innovation Journal</w:t>
      </w:r>
      <w:r w:rsidRPr="005C2A58">
        <w:rPr>
          <w:rFonts w:ascii="Times New Roman" w:eastAsia="Times New Roman" w:hAnsi="Times New Roman" w:cs="Times New Roman"/>
          <w:sz w:val="24"/>
          <w:szCs w:val="24"/>
        </w:rPr>
        <w:t xml:space="preserve">; </w:t>
      </w:r>
      <w:r w:rsidRPr="005C2A58">
        <w:rPr>
          <w:rFonts w:ascii="Times New Roman" w:eastAsia="Times New Roman" w:hAnsi="Times New Roman" w:cs="Times New Roman"/>
          <w:b/>
          <w:bCs/>
          <w:sz w:val="24"/>
          <w:szCs w:val="24"/>
        </w:rPr>
        <w:t>9</w:t>
      </w:r>
      <w:r w:rsidRPr="005C2A58">
        <w:rPr>
          <w:rFonts w:ascii="Times New Roman" w:eastAsia="Times New Roman" w:hAnsi="Times New Roman" w:cs="Times New Roman"/>
          <w:sz w:val="24"/>
          <w:szCs w:val="24"/>
        </w:rPr>
        <w:t>(1): 442-446.</w:t>
      </w:r>
      <w:r w:rsidRPr="005C2A58">
        <w:rPr>
          <w:rFonts w:ascii="Times New Roman" w:hAnsi="Times New Roman" w:cs="Times New Roman"/>
          <w:sz w:val="24"/>
          <w:szCs w:val="24"/>
        </w:rPr>
        <w:t>\</w:t>
      </w:r>
    </w:p>
    <w:p w14:paraId="4331447A"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 xml:space="preserve">Gaskell, M., Smith, R., Mitchell, J., Korie, S. T., Fouche, C., Hartz, T., </w:t>
      </w:r>
      <w:proofErr w:type="spellStart"/>
      <w:r w:rsidRPr="005C2A58">
        <w:rPr>
          <w:b/>
          <w:bCs/>
          <w:color w:val="222222"/>
          <w:shd w:val="clear" w:color="auto" w:fill="FFFFFF"/>
        </w:rPr>
        <w:t>Hortwath</w:t>
      </w:r>
      <w:proofErr w:type="spellEnd"/>
      <w:r w:rsidRPr="005C2A58">
        <w:rPr>
          <w:b/>
          <w:bCs/>
          <w:color w:val="222222"/>
          <w:shd w:val="clear" w:color="auto" w:fill="FFFFFF"/>
        </w:rPr>
        <w:t>, W. and Jackson, L. (2007).</w:t>
      </w:r>
      <w:r w:rsidRPr="005C2A58">
        <w:rPr>
          <w:color w:val="222222"/>
          <w:shd w:val="clear" w:color="auto" w:fill="FFFFFF"/>
        </w:rPr>
        <w:t xml:space="preserve"> Soil fertility management for organic crops. UCANR publication, pp: 7349.</w:t>
      </w:r>
    </w:p>
    <w:p w14:paraId="541CDD20"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 xml:space="preserve">Gaskell, M., Smith, R., Mitchell, J., Korie, S. T., Fouche, C., Hartz, T., </w:t>
      </w:r>
      <w:proofErr w:type="spellStart"/>
      <w:r w:rsidRPr="005C2A58">
        <w:rPr>
          <w:b/>
          <w:bCs/>
          <w:color w:val="222222"/>
          <w:shd w:val="clear" w:color="auto" w:fill="FFFFFF"/>
        </w:rPr>
        <w:t>Hortwath</w:t>
      </w:r>
      <w:proofErr w:type="spellEnd"/>
      <w:r w:rsidRPr="005C2A58">
        <w:rPr>
          <w:b/>
          <w:bCs/>
          <w:color w:val="222222"/>
          <w:shd w:val="clear" w:color="auto" w:fill="FFFFFF"/>
        </w:rPr>
        <w:t>, W. and Jackson, L. (2007).</w:t>
      </w:r>
      <w:r w:rsidRPr="005C2A58">
        <w:rPr>
          <w:color w:val="222222"/>
          <w:shd w:val="clear" w:color="auto" w:fill="FFFFFF"/>
        </w:rPr>
        <w:t xml:space="preserve"> Soil fertility management for organic crops. UCANR publication, pp: 7349.</w:t>
      </w:r>
    </w:p>
    <w:p w14:paraId="725C0889" w14:textId="77777777" w:rsidR="005C2A58" w:rsidRPr="005C2A58" w:rsidRDefault="005C2A58" w:rsidP="005C2A58">
      <w:pPr>
        <w:tabs>
          <w:tab w:val="left" w:pos="0"/>
        </w:tabs>
        <w:spacing w:after="240" w:line="480" w:lineRule="auto"/>
        <w:ind w:left="851" w:hanging="709"/>
        <w:rPr>
          <w:rFonts w:ascii="Times New Roman" w:hAnsi="Times New Roman" w:cs="Times New Roman"/>
          <w:color w:val="222222"/>
          <w:sz w:val="24"/>
          <w:szCs w:val="24"/>
          <w:shd w:val="clear" w:color="auto" w:fill="FFFFFF"/>
        </w:rPr>
      </w:pPr>
      <w:r w:rsidRPr="005C2A58">
        <w:rPr>
          <w:rFonts w:ascii="Times New Roman" w:hAnsi="Times New Roman" w:cs="Times New Roman"/>
          <w:b/>
          <w:bCs/>
          <w:color w:val="222222"/>
          <w:sz w:val="24"/>
          <w:szCs w:val="24"/>
          <w:shd w:val="clear" w:color="auto" w:fill="FFFFFF"/>
        </w:rPr>
        <w:t>Hazarika, T. K. and Aheibam, B. (2019).</w:t>
      </w:r>
      <w:r w:rsidRPr="005C2A58">
        <w:rPr>
          <w:rFonts w:ascii="Times New Roman" w:hAnsi="Times New Roman" w:cs="Times New Roman"/>
          <w:color w:val="222222"/>
          <w:sz w:val="24"/>
          <w:szCs w:val="24"/>
          <w:shd w:val="clear" w:color="auto" w:fill="FFFFFF"/>
        </w:rPr>
        <w:t xml:space="preserve"> Soil nutrient status, yield and quality of lemon (Citrus limon Burm.) </w:t>
      </w:r>
      <w:proofErr w:type="gramStart"/>
      <w:r w:rsidRPr="005C2A58">
        <w:rPr>
          <w:rFonts w:ascii="Times New Roman" w:hAnsi="Times New Roman" w:cs="Times New Roman"/>
          <w:color w:val="222222"/>
          <w:sz w:val="24"/>
          <w:szCs w:val="24"/>
          <w:shd w:val="clear" w:color="auto" w:fill="FFFFFF"/>
        </w:rPr>
        <w:t>cv.‘</w:t>
      </w:r>
      <w:proofErr w:type="spellStart"/>
      <w:proofErr w:type="gramEnd"/>
      <w:r w:rsidRPr="005C2A58">
        <w:rPr>
          <w:rFonts w:ascii="Times New Roman" w:hAnsi="Times New Roman" w:cs="Times New Roman"/>
          <w:color w:val="222222"/>
          <w:sz w:val="24"/>
          <w:szCs w:val="24"/>
          <w:shd w:val="clear" w:color="auto" w:fill="FFFFFF"/>
        </w:rPr>
        <w:t>Assamlemon’as</w:t>
      </w:r>
      <w:proofErr w:type="spellEnd"/>
      <w:r w:rsidRPr="005C2A58">
        <w:rPr>
          <w:rFonts w:ascii="Times New Roman" w:hAnsi="Times New Roman" w:cs="Times New Roman"/>
          <w:color w:val="222222"/>
          <w:sz w:val="24"/>
          <w:szCs w:val="24"/>
          <w:shd w:val="clear" w:color="auto" w:fill="FFFFFF"/>
        </w:rPr>
        <w:t xml:space="preserve"> influenced by bio-fertilizers, organic and inorganic fertilizers. Journal of Plant Nutrition, 42(8): 853-863</w:t>
      </w:r>
    </w:p>
    <w:p w14:paraId="4FC06FE5" w14:textId="77777777" w:rsidR="005C2A58" w:rsidRPr="005C2A58" w:rsidRDefault="005C2A58" w:rsidP="005C2A58">
      <w:pPr>
        <w:pStyle w:val="BodyText"/>
        <w:spacing w:before="200" w:line="480" w:lineRule="auto"/>
        <w:ind w:left="851" w:hanging="709"/>
        <w:jc w:val="left"/>
        <w:rPr>
          <w:color w:val="222222"/>
          <w:shd w:val="clear" w:color="auto" w:fill="FFFFFF"/>
        </w:rPr>
      </w:pPr>
      <w:proofErr w:type="spellStart"/>
      <w:r w:rsidRPr="005C2A58">
        <w:rPr>
          <w:b/>
          <w:bCs/>
          <w:color w:val="222222"/>
          <w:shd w:val="clear" w:color="auto" w:fill="FFFFFF"/>
        </w:rPr>
        <w:t>Hennao</w:t>
      </w:r>
      <w:proofErr w:type="spellEnd"/>
      <w:r w:rsidRPr="005C2A58">
        <w:rPr>
          <w:b/>
          <w:bCs/>
          <w:color w:val="222222"/>
          <w:shd w:val="clear" w:color="auto" w:fill="FFFFFF"/>
        </w:rPr>
        <w:t xml:space="preserve">, J. and </w:t>
      </w:r>
      <w:proofErr w:type="spellStart"/>
      <w:r w:rsidRPr="005C2A58">
        <w:rPr>
          <w:b/>
          <w:bCs/>
          <w:color w:val="222222"/>
          <w:shd w:val="clear" w:color="auto" w:fill="FFFFFF"/>
        </w:rPr>
        <w:t>Baanate</w:t>
      </w:r>
      <w:proofErr w:type="spellEnd"/>
      <w:r w:rsidRPr="005C2A58">
        <w:rPr>
          <w:b/>
          <w:bCs/>
          <w:color w:val="222222"/>
          <w:shd w:val="clear" w:color="auto" w:fill="FFFFFF"/>
        </w:rPr>
        <w:t>, C. (2006).</w:t>
      </w:r>
      <w:r w:rsidRPr="005C2A58">
        <w:rPr>
          <w:color w:val="222222"/>
          <w:shd w:val="clear" w:color="auto" w:fill="FFFFFF"/>
        </w:rPr>
        <w:t xml:space="preserve"> Agricultural production and soil nutrient mining in Africa: Implication for resource conservation and policy development. IFDC, Alabama, USA.</w:t>
      </w:r>
    </w:p>
    <w:p w14:paraId="24919569" w14:textId="77777777" w:rsidR="005C2A58" w:rsidRPr="005C2A58" w:rsidRDefault="005C2A58" w:rsidP="005C2A58">
      <w:pPr>
        <w:tabs>
          <w:tab w:val="left" w:pos="0"/>
        </w:tabs>
        <w:spacing w:after="240" w:line="480" w:lineRule="auto"/>
        <w:ind w:left="851" w:hanging="709"/>
        <w:rPr>
          <w:rFonts w:ascii="Times New Roman" w:hAnsi="Times New Roman" w:cs="Times New Roman"/>
          <w:color w:val="222222"/>
          <w:sz w:val="24"/>
          <w:szCs w:val="24"/>
          <w:shd w:val="clear" w:color="auto" w:fill="FFFFFF"/>
        </w:rPr>
      </w:pPr>
      <w:r w:rsidRPr="005C2A58">
        <w:rPr>
          <w:rFonts w:ascii="Times New Roman" w:hAnsi="Times New Roman" w:cs="Times New Roman"/>
          <w:b/>
          <w:bCs/>
          <w:color w:val="222222"/>
          <w:sz w:val="24"/>
          <w:szCs w:val="24"/>
          <w:shd w:val="clear" w:color="auto" w:fill="FFFFFF"/>
        </w:rPr>
        <w:t xml:space="preserve">Herawati, N., Aisah, A. R. and </w:t>
      </w:r>
      <w:proofErr w:type="spellStart"/>
      <w:r w:rsidRPr="005C2A58">
        <w:rPr>
          <w:rFonts w:ascii="Times New Roman" w:hAnsi="Times New Roman" w:cs="Times New Roman"/>
          <w:b/>
          <w:bCs/>
          <w:color w:val="222222"/>
          <w:sz w:val="24"/>
          <w:szCs w:val="24"/>
          <w:shd w:val="clear" w:color="auto" w:fill="FFFFFF"/>
        </w:rPr>
        <w:t>Sudarto</w:t>
      </w:r>
      <w:proofErr w:type="spellEnd"/>
      <w:r w:rsidRPr="005C2A58">
        <w:rPr>
          <w:rFonts w:ascii="Times New Roman" w:hAnsi="Times New Roman" w:cs="Times New Roman"/>
          <w:b/>
          <w:bCs/>
          <w:color w:val="222222"/>
          <w:sz w:val="24"/>
          <w:szCs w:val="24"/>
          <w:shd w:val="clear" w:color="auto" w:fill="FFFFFF"/>
        </w:rPr>
        <w:t>, B. N. H. (2021, June).</w:t>
      </w:r>
      <w:r w:rsidRPr="005C2A58">
        <w:rPr>
          <w:rFonts w:ascii="Times New Roman" w:hAnsi="Times New Roman" w:cs="Times New Roman"/>
          <w:color w:val="222222"/>
          <w:sz w:val="24"/>
          <w:szCs w:val="24"/>
          <w:shd w:val="clear" w:color="auto" w:fill="FFFFFF"/>
        </w:rPr>
        <w:t xml:space="preserve"> Organic Fertilizers Increase Yield of Dragon Fruit in Western Lombok, Indonesia. In International Seminar on Promoting Local Resources for Sustainable Agriculture and Development (ISPLRSAD 2020) (pp. 314-317). Atlantis</w:t>
      </w:r>
    </w:p>
    <w:p w14:paraId="001DA23C"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Hoe, T. K. (2014).</w:t>
      </w:r>
      <w:r w:rsidRPr="005C2A58">
        <w:rPr>
          <w:color w:val="222222"/>
          <w:shd w:val="clear" w:color="auto" w:fill="FFFFFF"/>
        </w:rPr>
        <w:t xml:space="preserve"> Effect of compost application to improve the red pitaya yield under various mixture fertilizers rates. Acta Hort., 1024(1): 189.</w:t>
      </w:r>
    </w:p>
    <w:p w14:paraId="0BE5770C"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 xml:space="preserve">Khatun, R., Rahman, M. H., Mondal, M. T. R., Alam, M. S., Ali, M. I., &amp; Islam, M. M. </w:t>
      </w:r>
      <w:r w:rsidRPr="005C2A58">
        <w:rPr>
          <w:b/>
          <w:bCs/>
          <w:color w:val="222222"/>
          <w:shd w:val="clear" w:color="auto" w:fill="FFFFFF"/>
        </w:rPr>
        <w:lastRenderedPageBreak/>
        <w:t>(2023).</w:t>
      </w:r>
      <w:r w:rsidRPr="005C2A58">
        <w:rPr>
          <w:color w:val="222222"/>
          <w:shd w:val="clear" w:color="auto" w:fill="FFFFFF"/>
        </w:rPr>
        <w:t xml:space="preserve"> Growth and Yield Impacts of Organic Manure and Pruning on Dragon Fruit (</w:t>
      </w:r>
      <w:proofErr w:type="spellStart"/>
      <w:r w:rsidRPr="005C2A58">
        <w:rPr>
          <w:color w:val="222222"/>
          <w:shd w:val="clear" w:color="auto" w:fill="FFFFFF"/>
        </w:rPr>
        <w:t>Hylocereus</w:t>
      </w:r>
      <w:proofErr w:type="spellEnd"/>
      <w:r w:rsidRPr="005C2A58">
        <w:rPr>
          <w:color w:val="222222"/>
          <w:shd w:val="clear" w:color="auto" w:fill="FFFFFF"/>
        </w:rPr>
        <w:t xml:space="preserve"> </w:t>
      </w:r>
      <w:proofErr w:type="spellStart"/>
      <w:r w:rsidRPr="005C2A58">
        <w:rPr>
          <w:color w:val="222222"/>
          <w:shd w:val="clear" w:color="auto" w:fill="FFFFFF"/>
        </w:rPr>
        <w:t>undatus</w:t>
      </w:r>
      <w:proofErr w:type="spellEnd"/>
      <w:r w:rsidRPr="005C2A58">
        <w:rPr>
          <w:color w:val="222222"/>
          <w:shd w:val="clear" w:color="auto" w:fill="FFFFFF"/>
        </w:rPr>
        <w:t xml:space="preserve"> Haw.). Journal of Agroforestry and Environment, 16(2), 1-8.</w:t>
      </w:r>
    </w:p>
    <w:p w14:paraId="7D14B104" w14:textId="77777777" w:rsidR="005C2A58" w:rsidRPr="005C2A58" w:rsidRDefault="005C2A58" w:rsidP="005C2A58">
      <w:pPr>
        <w:pStyle w:val="BodyText"/>
        <w:spacing w:before="200" w:line="480" w:lineRule="auto"/>
        <w:ind w:left="851" w:hanging="709"/>
        <w:jc w:val="left"/>
        <w:rPr>
          <w:color w:val="222222"/>
          <w:shd w:val="clear" w:color="auto" w:fill="FFFFFF"/>
        </w:rPr>
      </w:pPr>
      <w:proofErr w:type="spellStart"/>
      <w:r w:rsidRPr="005C2A58">
        <w:rPr>
          <w:b/>
          <w:bCs/>
          <w:color w:val="222222"/>
          <w:shd w:val="clear" w:color="auto" w:fill="FFFFFF"/>
        </w:rPr>
        <w:t>Khayum</w:t>
      </w:r>
      <w:proofErr w:type="spellEnd"/>
      <w:r w:rsidRPr="005C2A58">
        <w:rPr>
          <w:b/>
          <w:bCs/>
          <w:color w:val="222222"/>
          <w:shd w:val="clear" w:color="auto" w:fill="FFFFFF"/>
        </w:rPr>
        <w:t>, A. (2021).</w:t>
      </w:r>
      <w:r w:rsidRPr="005C2A58">
        <w:rPr>
          <w:color w:val="222222"/>
          <w:shd w:val="clear" w:color="auto" w:fill="FFFFFF"/>
        </w:rPr>
        <w:t xml:space="preserve"> </w:t>
      </w:r>
      <w:proofErr w:type="spellStart"/>
      <w:r w:rsidRPr="005C2A58">
        <w:rPr>
          <w:color w:val="222222"/>
          <w:shd w:val="clear" w:color="auto" w:fill="FFFFFF"/>
        </w:rPr>
        <w:t>Physico</w:t>
      </w:r>
      <w:proofErr w:type="spellEnd"/>
      <w:r w:rsidRPr="005C2A58">
        <w:rPr>
          <w:color w:val="222222"/>
          <w:shd w:val="clear" w:color="auto" w:fill="FFFFFF"/>
        </w:rPr>
        <w:t>-chemical profiling of jamun (</w:t>
      </w:r>
      <w:proofErr w:type="spellStart"/>
      <w:r w:rsidRPr="005C2A58">
        <w:rPr>
          <w:color w:val="222222"/>
          <w:shd w:val="clear" w:color="auto" w:fill="FFFFFF"/>
        </w:rPr>
        <w:t>Syzygium</w:t>
      </w:r>
      <w:proofErr w:type="spellEnd"/>
      <w:r w:rsidRPr="005C2A58">
        <w:rPr>
          <w:color w:val="222222"/>
          <w:shd w:val="clear" w:color="auto" w:fill="FFFFFF"/>
        </w:rPr>
        <w:t xml:space="preserve"> </w:t>
      </w:r>
      <w:proofErr w:type="spellStart"/>
      <w:r w:rsidRPr="005C2A58">
        <w:rPr>
          <w:color w:val="222222"/>
          <w:shd w:val="clear" w:color="auto" w:fill="FFFFFF"/>
        </w:rPr>
        <w:t>cuminii</w:t>
      </w:r>
      <w:proofErr w:type="spellEnd"/>
      <w:r w:rsidRPr="005C2A58">
        <w:rPr>
          <w:color w:val="222222"/>
          <w:shd w:val="clear" w:color="auto" w:fill="FFFFFF"/>
        </w:rPr>
        <w:t xml:space="preserve"> </w:t>
      </w:r>
      <w:proofErr w:type="spellStart"/>
      <w:r w:rsidRPr="005C2A58">
        <w:rPr>
          <w:color w:val="222222"/>
          <w:shd w:val="clear" w:color="auto" w:fill="FFFFFF"/>
        </w:rPr>
        <w:t>Skeels</w:t>
      </w:r>
      <w:proofErr w:type="spellEnd"/>
      <w:r w:rsidRPr="005C2A58">
        <w:rPr>
          <w:color w:val="222222"/>
          <w:shd w:val="clear" w:color="auto" w:fill="FFFFFF"/>
        </w:rPr>
        <w:t xml:space="preserve">.) genotypes and development of jamun seed powder chewable tablets (Doctoral dissertation, University of Horticultural Sciences, </w:t>
      </w:r>
      <w:proofErr w:type="gramStart"/>
      <w:r w:rsidRPr="005C2A58">
        <w:rPr>
          <w:color w:val="222222"/>
          <w:shd w:val="clear" w:color="auto" w:fill="FFFFFF"/>
        </w:rPr>
        <w:t>Bagalkot.(</w:t>
      </w:r>
      <w:proofErr w:type="gramEnd"/>
      <w:r w:rsidRPr="005C2A58">
        <w:rPr>
          <w:color w:val="222222"/>
          <w:shd w:val="clear" w:color="auto" w:fill="FFFFFF"/>
        </w:rPr>
        <w:t>College of Horticulture, Bengaluru).).</w:t>
      </w:r>
    </w:p>
    <w:p w14:paraId="1DD7F4BC"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Kim, H. Y. (2011).</w:t>
      </w:r>
      <w:r w:rsidRPr="005C2A58">
        <w:rPr>
          <w:color w:val="222222"/>
          <w:shd w:val="clear" w:color="auto" w:fill="FFFFFF"/>
        </w:rPr>
        <w:t xml:space="preserve"> International graduate students' difficulties: Graduate classes as a community of practices. </w:t>
      </w:r>
      <w:r w:rsidRPr="005C2A58">
        <w:rPr>
          <w:i/>
          <w:iCs/>
          <w:color w:val="222222"/>
          <w:shd w:val="clear" w:color="auto" w:fill="FFFFFF"/>
        </w:rPr>
        <w:t>Teaching in Higher Education</w:t>
      </w:r>
      <w:r w:rsidRPr="005C2A58">
        <w:rPr>
          <w:color w:val="222222"/>
          <w:shd w:val="clear" w:color="auto" w:fill="FFFFFF"/>
        </w:rPr>
        <w:t>, </w:t>
      </w:r>
      <w:r w:rsidRPr="005C2A58">
        <w:rPr>
          <w:i/>
          <w:iCs/>
          <w:color w:val="222222"/>
          <w:shd w:val="clear" w:color="auto" w:fill="FFFFFF"/>
        </w:rPr>
        <w:t>16</w:t>
      </w:r>
      <w:r w:rsidRPr="005C2A58">
        <w:rPr>
          <w:color w:val="222222"/>
          <w:shd w:val="clear" w:color="auto" w:fill="FFFFFF"/>
        </w:rPr>
        <w:t>(3), 281-292.</w:t>
      </w:r>
    </w:p>
    <w:p w14:paraId="00D49875"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Kumar, M. And Kumar, R. (2013),</w:t>
      </w:r>
      <w:r w:rsidRPr="005C2A58">
        <w:rPr>
          <w:color w:val="222222"/>
          <w:shd w:val="clear" w:color="auto" w:fill="FFFFFF"/>
        </w:rPr>
        <w:t xml:space="preserve"> Response of organic manures on growth and yield of mango (Mangifera indica L.) cv. </w:t>
      </w:r>
      <w:proofErr w:type="spellStart"/>
      <w:r w:rsidRPr="005C2A58">
        <w:rPr>
          <w:color w:val="222222"/>
          <w:shd w:val="clear" w:color="auto" w:fill="FFFFFF"/>
        </w:rPr>
        <w:t>Dashehari</w:t>
      </w:r>
      <w:proofErr w:type="spellEnd"/>
      <w:r w:rsidRPr="005C2A58">
        <w:rPr>
          <w:color w:val="222222"/>
          <w:shd w:val="clear" w:color="auto" w:fill="FFFFFF"/>
        </w:rPr>
        <w:t>. Hort. Flora. Res. Spectrum., 2(1): 64-67.</w:t>
      </w:r>
    </w:p>
    <w:p w14:paraId="76E970E8" w14:textId="77777777" w:rsidR="005C2A58" w:rsidRPr="005C2A58" w:rsidRDefault="005C2A58" w:rsidP="005C2A58">
      <w:pPr>
        <w:pStyle w:val="BodyText"/>
        <w:spacing w:before="200" w:line="480" w:lineRule="auto"/>
        <w:ind w:left="851" w:hanging="709"/>
        <w:jc w:val="left"/>
        <w:rPr>
          <w:color w:val="222222"/>
          <w:shd w:val="clear" w:color="auto" w:fill="FFFFFF"/>
        </w:rPr>
      </w:pPr>
      <w:proofErr w:type="spellStart"/>
      <w:r w:rsidRPr="005C2A58">
        <w:rPr>
          <w:b/>
          <w:bCs/>
          <w:color w:val="222222"/>
          <w:shd w:val="clear" w:color="auto" w:fill="FFFFFF"/>
        </w:rPr>
        <w:t>Priatni</w:t>
      </w:r>
      <w:proofErr w:type="spellEnd"/>
      <w:r w:rsidRPr="005C2A58">
        <w:rPr>
          <w:b/>
          <w:bCs/>
          <w:color w:val="222222"/>
          <w:shd w:val="clear" w:color="auto" w:fill="FFFFFF"/>
        </w:rPr>
        <w:t xml:space="preserve">, S., &amp; </w:t>
      </w:r>
      <w:proofErr w:type="spellStart"/>
      <w:r w:rsidRPr="005C2A58">
        <w:rPr>
          <w:b/>
          <w:bCs/>
          <w:color w:val="222222"/>
          <w:shd w:val="clear" w:color="auto" w:fill="FFFFFF"/>
        </w:rPr>
        <w:t>Pradita</w:t>
      </w:r>
      <w:proofErr w:type="spellEnd"/>
      <w:r w:rsidRPr="005C2A58">
        <w:rPr>
          <w:b/>
          <w:bCs/>
          <w:color w:val="222222"/>
          <w:shd w:val="clear" w:color="auto" w:fill="FFFFFF"/>
        </w:rPr>
        <w:t xml:space="preserve">, A. (2015). </w:t>
      </w:r>
      <w:r w:rsidRPr="005C2A58">
        <w:rPr>
          <w:color w:val="222222"/>
          <w:shd w:val="clear" w:color="auto" w:fill="FFFFFF"/>
        </w:rPr>
        <w:t>Stability study of betacyanin extract from red dragon fruit (</w:t>
      </w:r>
      <w:proofErr w:type="spellStart"/>
      <w:r w:rsidRPr="005C2A58">
        <w:rPr>
          <w:i/>
          <w:iCs/>
          <w:color w:val="222222"/>
          <w:shd w:val="clear" w:color="auto" w:fill="FFFFFF"/>
        </w:rPr>
        <w:t>Hylocereus</w:t>
      </w:r>
      <w:proofErr w:type="spellEnd"/>
      <w:r w:rsidRPr="005C2A58">
        <w:rPr>
          <w:i/>
          <w:iCs/>
          <w:color w:val="222222"/>
          <w:shd w:val="clear" w:color="auto" w:fill="FFFFFF"/>
        </w:rPr>
        <w:t xml:space="preserve"> </w:t>
      </w:r>
      <w:proofErr w:type="spellStart"/>
      <w:r w:rsidRPr="005C2A58">
        <w:rPr>
          <w:i/>
          <w:iCs/>
          <w:color w:val="222222"/>
          <w:shd w:val="clear" w:color="auto" w:fill="FFFFFF"/>
        </w:rPr>
        <w:t>polyrhizus</w:t>
      </w:r>
      <w:proofErr w:type="spellEnd"/>
      <w:r w:rsidRPr="005C2A58">
        <w:rPr>
          <w:color w:val="222222"/>
          <w:shd w:val="clear" w:color="auto" w:fill="FFFFFF"/>
        </w:rPr>
        <w:t>) peels. </w:t>
      </w:r>
      <w:r w:rsidRPr="005C2A58">
        <w:rPr>
          <w:i/>
          <w:iCs/>
          <w:color w:val="222222"/>
          <w:shd w:val="clear" w:color="auto" w:fill="FFFFFF"/>
        </w:rPr>
        <w:t>Procedia Chemistry</w:t>
      </w:r>
      <w:r w:rsidRPr="005C2A58">
        <w:rPr>
          <w:color w:val="222222"/>
          <w:shd w:val="clear" w:color="auto" w:fill="FFFFFF"/>
        </w:rPr>
        <w:t>, </w:t>
      </w:r>
      <w:r w:rsidRPr="005C2A58">
        <w:rPr>
          <w:i/>
          <w:iCs/>
          <w:color w:val="222222"/>
          <w:shd w:val="clear" w:color="auto" w:fill="FFFFFF"/>
        </w:rPr>
        <w:t>16</w:t>
      </w:r>
      <w:r w:rsidRPr="005C2A58">
        <w:rPr>
          <w:color w:val="222222"/>
          <w:shd w:val="clear" w:color="auto" w:fill="FFFFFF"/>
        </w:rPr>
        <w:t>, 438-444.</w:t>
      </w:r>
    </w:p>
    <w:p w14:paraId="749D5B28" w14:textId="77777777" w:rsidR="005C2A58" w:rsidRPr="005C2A58" w:rsidRDefault="005C2A58" w:rsidP="005C2A58">
      <w:pPr>
        <w:pStyle w:val="BodyText"/>
        <w:spacing w:before="200" w:line="480" w:lineRule="auto"/>
        <w:ind w:left="851" w:hanging="709"/>
        <w:jc w:val="left"/>
        <w:rPr>
          <w:color w:val="222222"/>
          <w:shd w:val="clear" w:color="auto" w:fill="FFFFFF"/>
        </w:rPr>
      </w:pPr>
      <w:proofErr w:type="spellStart"/>
      <w:r w:rsidRPr="005C2A58">
        <w:rPr>
          <w:b/>
          <w:bCs/>
          <w:color w:val="222222"/>
          <w:shd w:val="clear" w:color="auto" w:fill="FFFFFF"/>
        </w:rPr>
        <w:t>Ranganna</w:t>
      </w:r>
      <w:proofErr w:type="spellEnd"/>
      <w:r w:rsidRPr="005C2A58">
        <w:rPr>
          <w:b/>
          <w:bCs/>
          <w:color w:val="222222"/>
          <w:shd w:val="clear" w:color="auto" w:fill="FFFFFF"/>
        </w:rPr>
        <w:t>, S. (1986).</w:t>
      </w:r>
      <w:r w:rsidRPr="005C2A58">
        <w:rPr>
          <w:color w:val="222222"/>
          <w:shd w:val="clear" w:color="auto" w:fill="FFFFFF"/>
        </w:rPr>
        <w:t xml:space="preserve"> Handbook of analysis and quality control for fruit and vegetable products. Tata McGraw-Hill Education.</w:t>
      </w:r>
    </w:p>
    <w:p w14:paraId="53BF020B"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 xml:space="preserve">Siddiqua, A., Mukunda, G. and </w:t>
      </w:r>
      <w:proofErr w:type="spellStart"/>
      <w:r w:rsidRPr="005C2A58">
        <w:rPr>
          <w:b/>
          <w:bCs/>
          <w:color w:val="222222"/>
          <w:shd w:val="clear" w:color="auto" w:fill="FFFFFF"/>
        </w:rPr>
        <w:t>Srinivasappa</w:t>
      </w:r>
      <w:proofErr w:type="spellEnd"/>
      <w:r w:rsidRPr="005C2A58">
        <w:rPr>
          <w:b/>
          <w:bCs/>
          <w:color w:val="222222"/>
          <w:shd w:val="clear" w:color="auto" w:fill="FFFFFF"/>
        </w:rPr>
        <w:t>, K. (2021).</w:t>
      </w:r>
      <w:r w:rsidRPr="005C2A58">
        <w:rPr>
          <w:color w:val="222222"/>
          <w:shd w:val="clear" w:color="auto" w:fill="FFFFFF"/>
        </w:rPr>
        <w:t xml:space="preserve"> Effect of organic manures and bio-fertilizers on plant growth and yield of dragon fruit (</w:t>
      </w:r>
      <w:proofErr w:type="spellStart"/>
      <w:r w:rsidRPr="005C2A58">
        <w:rPr>
          <w:color w:val="222222"/>
          <w:shd w:val="clear" w:color="auto" w:fill="FFFFFF"/>
        </w:rPr>
        <w:t>Hylocereus</w:t>
      </w:r>
      <w:proofErr w:type="spellEnd"/>
      <w:r w:rsidRPr="005C2A58">
        <w:rPr>
          <w:color w:val="222222"/>
          <w:shd w:val="clear" w:color="auto" w:fill="FFFFFF"/>
        </w:rPr>
        <w:t xml:space="preserve"> </w:t>
      </w:r>
      <w:proofErr w:type="spellStart"/>
      <w:r w:rsidRPr="005C2A58">
        <w:rPr>
          <w:color w:val="222222"/>
          <w:shd w:val="clear" w:color="auto" w:fill="FFFFFF"/>
        </w:rPr>
        <w:t>undatus</w:t>
      </w:r>
      <w:proofErr w:type="spellEnd"/>
      <w:r w:rsidRPr="005C2A58">
        <w:rPr>
          <w:color w:val="222222"/>
          <w:shd w:val="clear" w:color="auto" w:fill="FFFFFF"/>
        </w:rPr>
        <w:t xml:space="preserve"> (Haworth) Britton and Rose.) and (</w:t>
      </w:r>
      <w:proofErr w:type="spellStart"/>
      <w:r w:rsidRPr="005C2A58">
        <w:rPr>
          <w:color w:val="222222"/>
          <w:shd w:val="clear" w:color="auto" w:fill="FFFFFF"/>
        </w:rPr>
        <w:t>Hylocereus</w:t>
      </w:r>
      <w:proofErr w:type="spellEnd"/>
      <w:r w:rsidRPr="005C2A58">
        <w:rPr>
          <w:color w:val="222222"/>
          <w:shd w:val="clear" w:color="auto" w:fill="FFFFFF"/>
        </w:rPr>
        <w:t xml:space="preserve"> </w:t>
      </w:r>
      <w:proofErr w:type="spellStart"/>
      <w:r w:rsidRPr="005C2A58">
        <w:rPr>
          <w:color w:val="222222"/>
          <w:shd w:val="clear" w:color="auto" w:fill="FFFFFF"/>
        </w:rPr>
        <w:t>polyrhizus</w:t>
      </w:r>
      <w:proofErr w:type="spellEnd"/>
      <w:r w:rsidRPr="005C2A58">
        <w:rPr>
          <w:color w:val="222222"/>
          <w:shd w:val="clear" w:color="auto" w:fill="FFFFFF"/>
        </w:rPr>
        <w:t xml:space="preserve"> (FAC Weber) under eastern dry zone of </w:t>
      </w:r>
      <w:proofErr w:type="spellStart"/>
      <w:r w:rsidRPr="005C2A58">
        <w:rPr>
          <w:color w:val="222222"/>
          <w:shd w:val="clear" w:color="auto" w:fill="FFFFFF"/>
        </w:rPr>
        <w:t>karnataka</w:t>
      </w:r>
      <w:proofErr w:type="spellEnd"/>
      <w:r w:rsidRPr="005C2A58">
        <w:rPr>
          <w:color w:val="222222"/>
          <w:shd w:val="clear" w:color="auto" w:fill="FFFFFF"/>
        </w:rPr>
        <w:t xml:space="preserve">. research articles 1. effect of different levels of nitrogen and zinc on quality and nutrient–12-18 content of maize in rural and peri-urban southern transact of </w:t>
      </w:r>
      <w:proofErr w:type="spellStart"/>
      <w:r w:rsidRPr="005C2A58">
        <w:rPr>
          <w:color w:val="222222"/>
          <w:shd w:val="clear" w:color="auto" w:fill="FFFFFF"/>
        </w:rPr>
        <w:t>bengaluru</w:t>
      </w:r>
      <w:proofErr w:type="spellEnd"/>
      <w:r w:rsidRPr="005C2A58">
        <w:rPr>
          <w:color w:val="222222"/>
          <w:shd w:val="clear" w:color="auto" w:fill="FFFFFF"/>
        </w:rPr>
        <w:t>, 55(3): 223-229.</w:t>
      </w:r>
    </w:p>
    <w:p w14:paraId="61BE4B37"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Singh, R., Sharma, R. R., &amp; Singh, D. B. (2010).</w:t>
      </w:r>
      <w:r w:rsidRPr="005C2A58">
        <w:rPr>
          <w:color w:val="222222"/>
          <w:shd w:val="clear" w:color="auto" w:fill="FFFFFF"/>
        </w:rPr>
        <w:t xml:space="preserve"> Effect of vermicompost on plant growth, fruit yield and quality of strawberries in irrigated arid region of northern plains. </w:t>
      </w:r>
      <w:r w:rsidRPr="005C2A58">
        <w:rPr>
          <w:color w:val="222222"/>
          <w:shd w:val="clear" w:color="auto" w:fill="FFFFFF"/>
        </w:rPr>
        <w:lastRenderedPageBreak/>
        <w:t>Indian journal of Horticulture, 67(03), 318-321.</w:t>
      </w:r>
    </w:p>
    <w:p w14:paraId="5C587A69" w14:textId="77777777" w:rsidR="005C2A58" w:rsidRPr="005C2A58" w:rsidRDefault="005C2A58" w:rsidP="005C2A58">
      <w:pPr>
        <w:pStyle w:val="BodyText"/>
        <w:spacing w:before="200" w:line="480" w:lineRule="auto"/>
        <w:ind w:left="851" w:hanging="709"/>
        <w:jc w:val="left"/>
      </w:pPr>
      <w:r w:rsidRPr="005C2A58">
        <w:rPr>
          <w:b/>
          <w:bCs/>
          <w:color w:val="222222"/>
          <w:shd w:val="clear" w:color="auto" w:fill="FFFFFF"/>
        </w:rPr>
        <w:t>Verma, R. S., Lata, R., Ram, R. B., Verma, S. S., &amp; Prakash, S. (2019).</w:t>
      </w:r>
      <w:r w:rsidRPr="005C2A58">
        <w:rPr>
          <w:color w:val="222222"/>
          <w:shd w:val="clear" w:color="auto" w:fill="FFFFFF"/>
        </w:rPr>
        <w:t xml:space="preserve"> </w:t>
      </w:r>
      <w:r w:rsidRPr="005C2A58">
        <w:t>Effect of Organic, Inorganic and Bio-Fertilizers on Physico-Chemical Attributes of Dragon Fruit (</w:t>
      </w:r>
      <w:proofErr w:type="spellStart"/>
      <w:r w:rsidRPr="005C2A58">
        <w:rPr>
          <w:i/>
          <w:iCs/>
        </w:rPr>
        <w:t>Hylocereus</w:t>
      </w:r>
      <w:proofErr w:type="spellEnd"/>
      <w:r w:rsidRPr="005C2A58">
        <w:rPr>
          <w:i/>
          <w:iCs/>
        </w:rPr>
        <w:t xml:space="preserve"> </w:t>
      </w:r>
      <w:proofErr w:type="spellStart"/>
      <w:r w:rsidRPr="005C2A58">
        <w:rPr>
          <w:i/>
          <w:iCs/>
        </w:rPr>
        <w:t>undatus</w:t>
      </w:r>
      <w:proofErr w:type="spellEnd"/>
      <w:r w:rsidRPr="005C2A58">
        <w:rPr>
          <w:i/>
          <w:iCs/>
        </w:rPr>
        <w:t xml:space="preserve"> </w:t>
      </w:r>
      <w:r w:rsidRPr="005C2A58">
        <w:t>L</w:t>
      </w:r>
      <w:r w:rsidRPr="005C2A58">
        <w:rPr>
          <w:i/>
          <w:iCs/>
        </w:rPr>
        <w:t>.</w:t>
      </w:r>
      <w:r w:rsidRPr="005C2A58">
        <w:t xml:space="preserve">)  under Lucknow Conditions. Indian Journal of pure and applied science.  </w:t>
      </w:r>
      <w:r w:rsidRPr="005C2A58">
        <w:rPr>
          <w:i/>
          <w:iCs/>
        </w:rPr>
        <w:t>7</w:t>
      </w:r>
      <w:r w:rsidRPr="005C2A58">
        <w:t>(6), 67-70</w:t>
      </w:r>
    </w:p>
    <w:p w14:paraId="495CEA88" w14:textId="77777777"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Verma, R. S., Lata, R., Ram, R. B., Verma, S. S., &amp; Prakash, S. (2019).</w:t>
      </w:r>
      <w:r w:rsidRPr="005C2A58">
        <w:rPr>
          <w:color w:val="222222"/>
          <w:shd w:val="clear" w:color="auto" w:fill="FFFFFF"/>
        </w:rPr>
        <w:t xml:space="preserve"> Effect of organic, inorganic and bio-fertilizers on vegetative characters of dragon fruit (</w:t>
      </w:r>
      <w:proofErr w:type="spellStart"/>
      <w:r w:rsidRPr="005C2A58">
        <w:rPr>
          <w:color w:val="222222"/>
          <w:shd w:val="clear" w:color="auto" w:fill="FFFFFF"/>
        </w:rPr>
        <w:t>Hylocereus</w:t>
      </w:r>
      <w:proofErr w:type="spellEnd"/>
      <w:r w:rsidRPr="005C2A58">
        <w:rPr>
          <w:color w:val="222222"/>
          <w:shd w:val="clear" w:color="auto" w:fill="FFFFFF"/>
        </w:rPr>
        <w:t xml:space="preserve"> </w:t>
      </w:r>
      <w:proofErr w:type="spellStart"/>
      <w:r w:rsidRPr="005C2A58">
        <w:rPr>
          <w:color w:val="222222"/>
          <w:shd w:val="clear" w:color="auto" w:fill="FFFFFF"/>
        </w:rPr>
        <w:t>undatus</w:t>
      </w:r>
      <w:proofErr w:type="spellEnd"/>
      <w:r w:rsidRPr="005C2A58">
        <w:rPr>
          <w:color w:val="222222"/>
          <w:shd w:val="clear" w:color="auto" w:fill="FFFFFF"/>
        </w:rPr>
        <w:t xml:space="preserve"> L.) plant. </w:t>
      </w:r>
      <w:r w:rsidRPr="005C2A58">
        <w:rPr>
          <w:i/>
          <w:iCs/>
          <w:color w:val="222222"/>
          <w:shd w:val="clear" w:color="auto" w:fill="FFFFFF"/>
        </w:rPr>
        <w:t>The Pharma Innovation Journal,</w:t>
      </w:r>
      <w:r w:rsidRPr="005C2A58">
        <w:rPr>
          <w:color w:val="222222"/>
          <w:shd w:val="clear" w:color="auto" w:fill="FFFFFF"/>
        </w:rPr>
        <w:t xml:space="preserve"> 8(6), 726-728.</w:t>
      </w:r>
    </w:p>
    <w:p w14:paraId="0C9E3BD3" w14:textId="77777777" w:rsidR="005C2A58" w:rsidRPr="005C2A58" w:rsidRDefault="005C2A58" w:rsidP="005C2A58">
      <w:pPr>
        <w:pStyle w:val="BodyText"/>
        <w:spacing w:before="200" w:line="480" w:lineRule="auto"/>
        <w:ind w:left="567" w:hanging="425"/>
        <w:jc w:val="left"/>
        <w:rPr>
          <w:color w:val="222222"/>
          <w:shd w:val="clear" w:color="auto" w:fill="FFFFFF"/>
        </w:rPr>
      </w:pPr>
      <w:r w:rsidRPr="005C2A58">
        <w:rPr>
          <w:b/>
          <w:bCs/>
          <w:color w:val="222222"/>
          <w:shd w:val="clear" w:color="auto" w:fill="FFFFFF"/>
        </w:rPr>
        <w:t>Yadav, A. K., Singh, J. K., &amp; Singh, H. K. (2011).</w:t>
      </w:r>
      <w:r w:rsidRPr="005C2A58">
        <w:rPr>
          <w:color w:val="222222"/>
          <w:shd w:val="clear" w:color="auto" w:fill="FFFFFF"/>
        </w:rPr>
        <w:t xml:space="preserve"> Studies on integrated nutrient management in flowering, fruiting, yield and quality of mango cv. Amrapali under high density orcharding. </w:t>
      </w:r>
      <w:r w:rsidRPr="005C2A58">
        <w:rPr>
          <w:i/>
          <w:iCs/>
          <w:color w:val="222222"/>
          <w:shd w:val="clear" w:color="auto" w:fill="FFFFFF"/>
        </w:rPr>
        <w:t>Indian Journal of Horticulture</w:t>
      </w:r>
      <w:r w:rsidRPr="005C2A58">
        <w:rPr>
          <w:color w:val="222222"/>
          <w:shd w:val="clear" w:color="auto" w:fill="FFFFFF"/>
        </w:rPr>
        <w:t>, 68(4), 453-460.</w:t>
      </w:r>
    </w:p>
    <w:p w14:paraId="2D69CE04" w14:textId="77777777" w:rsidR="00AF5EEC" w:rsidRPr="005C2A58" w:rsidRDefault="00AF5EEC" w:rsidP="00524A8B">
      <w:pPr>
        <w:tabs>
          <w:tab w:val="left" w:pos="0"/>
        </w:tabs>
        <w:spacing w:after="240" w:line="480" w:lineRule="auto"/>
        <w:jc w:val="both"/>
        <w:rPr>
          <w:rFonts w:ascii="Times New Roman" w:hAnsi="Times New Roman" w:cs="Times New Roman"/>
          <w:bCs/>
          <w:sz w:val="24"/>
          <w:szCs w:val="24"/>
        </w:rPr>
      </w:pPr>
    </w:p>
    <w:p w14:paraId="4F114A6A" w14:textId="77777777" w:rsidR="00524A8B" w:rsidRDefault="00524A8B" w:rsidP="00524A8B">
      <w:pPr>
        <w:spacing w:line="360" w:lineRule="auto"/>
        <w:jc w:val="both"/>
        <w:rPr>
          <w:rFonts w:ascii="Times New Roman" w:hAnsi="Times New Roman" w:cs="Times New Roman"/>
          <w:b/>
          <w:bCs/>
          <w:sz w:val="24"/>
          <w:szCs w:val="24"/>
        </w:rPr>
      </w:pPr>
    </w:p>
    <w:p w14:paraId="6560B1FA" w14:textId="77777777" w:rsidR="00524A8B" w:rsidRDefault="00524A8B" w:rsidP="00524A8B">
      <w:pPr>
        <w:spacing w:line="360" w:lineRule="auto"/>
        <w:jc w:val="both"/>
        <w:rPr>
          <w:rFonts w:ascii="Times New Roman" w:hAnsi="Times New Roman" w:cs="Times New Roman"/>
          <w:b/>
          <w:bCs/>
          <w:sz w:val="24"/>
          <w:szCs w:val="24"/>
        </w:rPr>
      </w:pPr>
    </w:p>
    <w:p w14:paraId="4998AC1F" w14:textId="77777777" w:rsidR="00524A8B" w:rsidRDefault="00524A8B" w:rsidP="00524A8B">
      <w:pPr>
        <w:spacing w:line="360" w:lineRule="auto"/>
        <w:jc w:val="both"/>
        <w:rPr>
          <w:rFonts w:ascii="Times New Roman" w:hAnsi="Times New Roman" w:cs="Times New Roman"/>
          <w:b/>
          <w:bCs/>
          <w:sz w:val="24"/>
          <w:szCs w:val="24"/>
        </w:rPr>
        <w:sectPr w:rsidR="00524A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pPr w:leftFromText="180" w:rightFromText="180" w:vertAnchor="page" w:horzAnchor="margin" w:tblpXSpec="center" w:tblpY="2345"/>
        <w:tblW w:w="15360" w:type="dxa"/>
        <w:tblLook w:val="04A0" w:firstRow="1" w:lastRow="0" w:firstColumn="1" w:lastColumn="0" w:noHBand="0" w:noVBand="1"/>
      </w:tblPr>
      <w:tblGrid>
        <w:gridCol w:w="1404"/>
        <w:gridCol w:w="949"/>
        <w:gridCol w:w="919"/>
        <w:gridCol w:w="919"/>
        <w:gridCol w:w="949"/>
        <w:gridCol w:w="919"/>
        <w:gridCol w:w="949"/>
        <w:gridCol w:w="934"/>
        <w:gridCol w:w="925"/>
        <w:gridCol w:w="920"/>
        <w:gridCol w:w="920"/>
        <w:gridCol w:w="934"/>
        <w:gridCol w:w="919"/>
        <w:gridCol w:w="919"/>
        <w:gridCol w:w="947"/>
        <w:gridCol w:w="934"/>
      </w:tblGrid>
      <w:tr w:rsidR="002D69D5" w:rsidRPr="00A57179" w14:paraId="51013E16" w14:textId="77777777" w:rsidTr="002D69D5">
        <w:trPr>
          <w:trHeight w:val="310"/>
        </w:trPr>
        <w:tc>
          <w:tcPr>
            <w:tcW w:w="1404" w:type="dxa"/>
            <w:tcBorders>
              <w:top w:val="single" w:sz="4" w:space="0" w:color="auto"/>
              <w:bottom w:val="single" w:sz="4" w:space="0" w:color="auto"/>
            </w:tcBorders>
            <w:shd w:val="clear" w:color="auto" w:fill="auto"/>
            <w:noWrap/>
            <w:vAlign w:val="bottom"/>
            <w:hideMark/>
          </w:tcPr>
          <w:p w14:paraId="010FF51C"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lastRenderedPageBreak/>
              <w:t>Treatments</w:t>
            </w:r>
          </w:p>
        </w:tc>
        <w:tc>
          <w:tcPr>
            <w:tcW w:w="949" w:type="dxa"/>
            <w:tcBorders>
              <w:top w:val="single" w:sz="4" w:space="0" w:color="auto"/>
              <w:bottom w:val="single" w:sz="4" w:space="0" w:color="auto"/>
            </w:tcBorders>
            <w:shd w:val="clear" w:color="auto" w:fill="auto"/>
            <w:vAlign w:val="bottom"/>
            <w:hideMark/>
          </w:tcPr>
          <w:p w14:paraId="5C3AF076"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FW</w:t>
            </w:r>
          </w:p>
        </w:tc>
        <w:tc>
          <w:tcPr>
            <w:tcW w:w="919" w:type="dxa"/>
            <w:tcBorders>
              <w:top w:val="single" w:sz="4" w:space="0" w:color="auto"/>
              <w:bottom w:val="single" w:sz="4" w:space="0" w:color="auto"/>
            </w:tcBorders>
            <w:shd w:val="clear" w:color="auto" w:fill="auto"/>
            <w:vAlign w:val="bottom"/>
            <w:hideMark/>
          </w:tcPr>
          <w:p w14:paraId="5C27CF09"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FL</w:t>
            </w:r>
          </w:p>
        </w:tc>
        <w:tc>
          <w:tcPr>
            <w:tcW w:w="919" w:type="dxa"/>
            <w:tcBorders>
              <w:top w:val="single" w:sz="4" w:space="0" w:color="auto"/>
              <w:bottom w:val="single" w:sz="4" w:space="0" w:color="auto"/>
            </w:tcBorders>
            <w:shd w:val="clear" w:color="auto" w:fill="auto"/>
            <w:vAlign w:val="bottom"/>
            <w:hideMark/>
          </w:tcPr>
          <w:p w14:paraId="7E3E6E59"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FD</w:t>
            </w:r>
          </w:p>
        </w:tc>
        <w:tc>
          <w:tcPr>
            <w:tcW w:w="949" w:type="dxa"/>
            <w:tcBorders>
              <w:top w:val="single" w:sz="4" w:space="0" w:color="auto"/>
              <w:bottom w:val="single" w:sz="4" w:space="0" w:color="auto"/>
            </w:tcBorders>
            <w:shd w:val="clear" w:color="auto" w:fill="auto"/>
            <w:vAlign w:val="bottom"/>
            <w:hideMark/>
          </w:tcPr>
          <w:p w14:paraId="3C1C439E"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FV</w:t>
            </w:r>
          </w:p>
        </w:tc>
        <w:tc>
          <w:tcPr>
            <w:tcW w:w="919" w:type="dxa"/>
            <w:tcBorders>
              <w:top w:val="single" w:sz="4" w:space="0" w:color="auto"/>
              <w:bottom w:val="single" w:sz="4" w:space="0" w:color="auto"/>
            </w:tcBorders>
            <w:shd w:val="clear" w:color="auto" w:fill="auto"/>
            <w:vAlign w:val="bottom"/>
            <w:hideMark/>
          </w:tcPr>
          <w:p w14:paraId="235AE4D5"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SG</w:t>
            </w:r>
          </w:p>
        </w:tc>
        <w:tc>
          <w:tcPr>
            <w:tcW w:w="949" w:type="dxa"/>
            <w:tcBorders>
              <w:top w:val="single" w:sz="4" w:space="0" w:color="auto"/>
              <w:bottom w:val="single" w:sz="4" w:space="0" w:color="auto"/>
            </w:tcBorders>
            <w:shd w:val="clear" w:color="auto" w:fill="auto"/>
            <w:vAlign w:val="bottom"/>
            <w:hideMark/>
          </w:tcPr>
          <w:p w14:paraId="71099073"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PW1</w:t>
            </w:r>
          </w:p>
        </w:tc>
        <w:tc>
          <w:tcPr>
            <w:tcW w:w="934" w:type="dxa"/>
            <w:tcBorders>
              <w:top w:val="single" w:sz="4" w:space="0" w:color="auto"/>
              <w:bottom w:val="single" w:sz="4" w:space="0" w:color="auto"/>
            </w:tcBorders>
            <w:shd w:val="clear" w:color="auto" w:fill="auto"/>
            <w:vAlign w:val="bottom"/>
            <w:hideMark/>
          </w:tcPr>
          <w:p w14:paraId="16F77A26"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PW2</w:t>
            </w:r>
          </w:p>
        </w:tc>
        <w:tc>
          <w:tcPr>
            <w:tcW w:w="925" w:type="dxa"/>
            <w:tcBorders>
              <w:top w:val="single" w:sz="4" w:space="0" w:color="auto"/>
              <w:bottom w:val="single" w:sz="4" w:space="0" w:color="auto"/>
            </w:tcBorders>
            <w:shd w:val="clear" w:color="auto" w:fill="auto"/>
            <w:vAlign w:val="bottom"/>
            <w:hideMark/>
          </w:tcPr>
          <w:p w14:paraId="2F15CCB6"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PPR</w:t>
            </w:r>
          </w:p>
        </w:tc>
        <w:tc>
          <w:tcPr>
            <w:tcW w:w="920" w:type="dxa"/>
            <w:tcBorders>
              <w:top w:val="single" w:sz="4" w:space="0" w:color="auto"/>
              <w:bottom w:val="single" w:sz="4" w:space="0" w:color="auto"/>
            </w:tcBorders>
            <w:shd w:val="clear" w:color="auto" w:fill="auto"/>
            <w:vAlign w:val="bottom"/>
            <w:hideMark/>
          </w:tcPr>
          <w:p w14:paraId="725B31D7"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PT1</w:t>
            </w:r>
          </w:p>
        </w:tc>
        <w:tc>
          <w:tcPr>
            <w:tcW w:w="920" w:type="dxa"/>
            <w:tcBorders>
              <w:top w:val="single" w:sz="4" w:space="0" w:color="auto"/>
              <w:bottom w:val="single" w:sz="4" w:space="0" w:color="auto"/>
            </w:tcBorders>
            <w:shd w:val="clear" w:color="auto" w:fill="auto"/>
            <w:vAlign w:val="bottom"/>
            <w:hideMark/>
          </w:tcPr>
          <w:p w14:paraId="2F93E923"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PT2</w:t>
            </w:r>
          </w:p>
        </w:tc>
        <w:tc>
          <w:tcPr>
            <w:tcW w:w="934" w:type="dxa"/>
            <w:tcBorders>
              <w:top w:val="single" w:sz="4" w:space="0" w:color="auto"/>
              <w:bottom w:val="single" w:sz="4" w:space="0" w:color="auto"/>
            </w:tcBorders>
            <w:shd w:val="clear" w:color="auto" w:fill="auto"/>
            <w:vAlign w:val="bottom"/>
            <w:hideMark/>
          </w:tcPr>
          <w:p w14:paraId="5863AA12"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TSS</w:t>
            </w:r>
          </w:p>
        </w:tc>
        <w:tc>
          <w:tcPr>
            <w:tcW w:w="919" w:type="dxa"/>
            <w:tcBorders>
              <w:top w:val="single" w:sz="4" w:space="0" w:color="auto"/>
              <w:bottom w:val="single" w:sz="4" w:space="0" w:color="auto"/>
            </w:tcBorders>
            <w:shd w:val="clear" w:color="auto" w:fill="auto"/>
            <w:vAlign w:val="bottom"/>
            <w:hideMark/>
          </w:tcPr>
          <w:p w14:paraId="028063E3"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w:t>
            </w:r>
          </w:p>
        </w:tc>
        <w:tc>
          <w:tcPr>
            <w:tcW w:w="919" w:type="dxa"/>
            <w:tcBorders>
              <w:top w:val="single" w:sz="4" w:space="0" w:color="auto"/>
              <w:bottom w:val="single" w:sz="4" w:space="0" w:color="auto"/>
            </w:tcBorders>
            <w:shd w:val="clear" w:color="auto" w:fill="auto"/>
            <w:vAlign w:val="bottom"/>
            <w:hideMark/>
          </w:tcPr>
          <w:p w14:paraId="1284ABCC"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AC</w:t>
            </w:r>
          </w:p>
        </w:tc>
        <w:tc>
          <w:tcPr>
            <w:tcW w:w="947" w:type="dxa"/>
            <w:tcBorders>
              <w:top w:val="single" w:sz="4" w:space="0" w:color="auto"/>
              <w:bottom w:val="single" w:sz="4" w:space="0" w:color="auto"/>
            </w:tcBorders>
            <w:shd w:val="clear" w:color="auto" w:fill="auto"/>
            <w:vAlign w:val="bottom"/>
            <w:hideMark/>
          </w:tcPr>
          <w:p w14:paraId="06BF6AA9"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TSAC</w:t>
            </w:r>
          </w:p>
        </w:tc>
        <w:tc>
          <w:tcPr>
            <w:tcW w:w="934" w:type="dxa"/>
            <w:tcBorders>
              <w:top w:val="single" w:sz="4" w:space="0" w:color="auto"/>
              <w:bottom w:val="single" w:sz="4" w:space="0" w:color="auto"/>
            </w:tcBorders>
            <w:shd w:val="clear" w:color="auto" w:fill="auto"/>
            <w:vAlign w:val="bottom"/>
            <w:hideMark/>
          </w:tcPr>
          <w:p w14:paraId="786B8CB0" w14:textId="77777777"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AA</w:t>
            </w:r>
          </w:p>
        </w:tc>
      </w:tr>
      <w:tr w:rsidR="002D69D5" w:rsidRPr="00A57179" w14:paraId="0BD09D89" w14:textId="77777777" w:rsidTr="002D69D5">
        <w:trPr>
          <w:trHeight w:val="310"/>
        </w:trPr>
        <w:tc>
          <w:tcPr>
            <w:tcW w:w="1404" w:type="dxa"/>
            <w:tcBorders>
              <w:top w:val="single" w:sz="4" w:space="0" w:color="auto"/>
            </w:tcBorders>
            <w:shd w:val="clear" w:color="auto" w:fill="auto"/>
            <w:noWrap/>
            <w:vAlign w:val="bottom"/>
            <w:hideMark/>
          </w:tcPr>
          <w:p w14:paraId="37B7BF7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w:t>
            </w:r>
          </w:p>
        </w:tc>
        <w:tc>
          <w:tcPr>
            <w:tcW w:w="949" w:type="dxa"/>
            <w:tcBorders>
              <w:top w:val="single" w:sz="4" w:space="0" w:color="auto"/>
            </w:tcBorders>
            <w:shd w:val="clear" w:color="auto" w:fill="auto"/>
            <w:vAlign w:val="bottom"/>
            <w:hideMark/>
          </w:tcPr>
          <w:p w14:paraId="1F38FA2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106.66</w:t>
            </w:r>
          </w:p>
        </w:tc>
        <w:tc>
          <w:tcPr>
            <w:tcW w:w="919" w:type="dxa"/>
            <w:tcBorders>
              <w:top w:val="single" w:sz="4" w:space="0" w:color="auto"/>
            </w:tcBorders>
            <w:shd w:val="clear" w:color="auto" w:fill="auto"/>
            <w:vAlign w:val="bottom"/>
            <w:hideMark/>
          </w:tcPr>
          <w:p w14:paraId="67E2177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6.90</w:t>
            </w:r>
          </w:p>
        </w:tc>
        <w:tc>
          <w:tcPr>
            <w:tcW w:w="919" w:type="dxa"/>
            <w:tcBorders>
              <w:top w:val="single" w:sz="4" w:space="0" w:color="auto"/>
            </w:tcBorders>
            <w:shd w:val="clear" w:color="auto" w:fill="auto"/>
            <w:vAlign w:val="bottom"/>
            <w:hideMark/>
          </w:tcPr>
          <w:p w14:paraId="67AB13E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5.53</w:t>
            </w:r>
          </w:p>
        </w:tc>
        <w:tc>
          <w:tcPr>
            <w:tcW w:w="949" w:type="dxa"/>
            <w:tcBorders>
              <w:top w:val="single" w:sz="4" w:space="0" w:color="auto"/>
            </w:tcBorders>
            <w:shd w:val="clear" w:color="auto" w:fill="auto"/>
            <w:vAlign w:val="bottom"/>
            <w:hideMark/>
          </w:tcPr>
          <w:p w14:paraId="2926B54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125.58</w:t>
            </w:r>
          </w:p>
        </w:tc>
        <w:tc>
          <w:tcPr>
            <w:tcW w:w="919" w:type="dxa"/>
            <w:tcBorders>
              <w:top w:val="single" w:sz="4" w:space="0" w:color="auto"/>
            </w:tcBorders>
            <w:shd w:val="clear" w:color="auto" w:fill="auto"/>
            <w:vAlign w:val="bottom"/>
            <w:hideMark/>
          </w:tcPr>
          <w:p w14:paraId="4D04EEA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0.85</w:t>
            </w:r>
          </w:p>
        </w:tc>
        <w:tc>
          <w:tcPr>
            <w:tcW w:w="949" w:type="dxa"/>
            <w:tcBorders>
              <w:top w:val="single" w:sz="4" w:space="0" w:color="auto"/>
            </w:tcBorders>
            <w:shd w:val="clear" w:color="auto" w:fill="auto"/>
            <w:vAlign w:val="bottom"/>
            <w:hideMark/>
          </w:tcPr>
          <w:p w14:paraId="5145888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81.66</w:t>
            </w:r>
          </w:p>
        </w:tc>
        <w:tc>
          <w:tcPr>
            <w:tcW w:w="934" w:type="dxa"/>
            <w:tcBorders>
              <w:top w:val="single" w:sz="4" w:space="0" w:color="auto"/>
            </w:tcBorders>
            <w:shd w:val="clear" w:color="auto" w:fill="auto"/>
            <w:vAlign w:val="bottom"/>
            <w:hideMark/>
          </w:tcPr>
          <w:p w14:paraId="7392FAB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25.00</w:t>
            </w:r>
          </w:p>
        </w:tc>
        <w:tc>
          <w:tcPr>
            <w:tcW w:w="925" w:type="dxa"/>
            <w:tcBorders>
              <w:top w:val="single" w:sz="4" w:space="0" w:color="auto"/>
            </w:tcBorders>
            <w:shd w:val="clear" w:color="auto" w:fill="auto"/>
            <w:vAlign w:val="bottom"/>
            <w:hideMark/>
          </w:tcPr>
          <w:p w14:paraId="68A9BC69"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3.27</w:t>
            </w:r>
          </w:p>
        </w:tc>
        <w:tc>
          <w:tcPr>
            <w:tcW w:w="920" w:type="dxa"/>
            <w:tcBorders>
              <w:top w:val="single" w:sz="4" w:space="0" w:color="auto"/>
            </w:tcBorders>
            <w:shd w:val="clear" w:color="auto" w:fill="auto"/>
            <w:vAlign w:val="bottom"/>
            <w:hideMark/>
          </w:tcPr>
          <w:p w14:paraId="52ADF85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5.27</w:t>
            </w:r>
          </w:p>
        </w:tc>
        <w:tc>
          <w:tcPr>
            <w:tcW w:w="920" w:type="dxa"/>
            <w:tcBorders>
              <w:top w:val="single" w:sz="4" w:space="0" w:color="auto"/>
            </w:tcBorders>
            <w:shd w:val="clear" w:color="auto" w:fill="auto"/>
            <w:vAlign w:val="bottom"/>
            <w:hideMark/>
          </w:tcPr>
          <w:p w14:paraId="771BEBA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0.25</w:t>
            </w:r>
          </w:p>
        </w:tc>
        <w:tc>
          <w:tcPr>
            <w:tcW w:w="934" w:type="dxa"/>
            <w:tcBorders>
              <w:top w:val="single" w:sz="4" w:space="0" w:color="auto"/>
            </w:tcBorders>
            <w:shd w:val="clear" w:color="auto" w:fill="auto"/>
            <w:vAlign w:val="bottom"/>
            <w:hideMark/>
          </w:tcPr>
          <w:p w14:paraId="052D4B2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12.86</w:t>
            </w:r>
          </w:p>
        </w:tc>
        <w:tc>
          <w:tcPr>
            <w:tcW w:w="919" w:type="dxa"/>
            <w:tcBorders>
              <w:top w:val="single" w:sz="4" w:space="0" w:color="auto"/>
            </w:tcBorders>
            <w:shd w:val="clear" w:color="auto" w:fill="auto"/>
            <w:vAlign w:val="bottom"/>
            <w:hideMark/>
          </w:tcPr>
          <w:p w14:paraId="35A8E20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8.40</w:t>
            </w:r>
          </w:p>
        </w:tc>
        <w:tc>
          <w:tcPr>
            <w:tcW w:w="919" w:type="dxa"/>
            <w:tcBorders>
              <w:top w:val="single" w:sz="4" w:space="0" w:color="auto"/>
            </w:tcBorders>
            <w:shd w:val="clear" w:color="auto" w:fill="auto"/>
            <w:vAlign w:val="bottom"/>
            <w:hideMark/>
          </w:tcPr>
          <w:p w14:paraId="2AF3C54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47" w:type="dxa"/>
            <w:tcBorders>
              <w:top w:val="single" w:sz="4" w:space="0" w:color="auto"/>
            </w:tcBorders>
            <w:shd w:val="clear" w:color="auto" w:fill="auto"/>
            <w:vAlign w:val="bottom"/>
            <w:hideMark/>
          </w:tcPr>
          <w:p w14:paraId="64E3874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43.96</w:t>
            </w:r>
          </w:p>
        </w:tc>
        <w:tc>
          <w:tcPr>
            <w:tcW w:w="934" w:type="dxa"/>
            <w:tcBorders>
              <w:top w:val="single" w:sz="4" w:space="0" w:color="auto"/>
            </w:tcBorders>
            <w:shd w:val="clear" w:color="auto" w:fill="auto"/>
            <w:vAlign w:val="bottom"/>
            <w:hideMark/>
          </w:tcPr>
          <w:p w14:paraId="07CAD81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13.43</w:t>
            </w:r>
          </w:p>
        </w:tc>
      </w:tr>
      <w:tr w:rsidR="002D69D5" w:rsidRPr="00A57179" w14:paraId="24657460" w14:textId="77777777" w:rsidTr="002D69D5">
        <w:trPr>
          <w:trHeight w:val="310"/>
        </w:trPr>
        <w:tc>
          <w:tcPr>
            <w:tcW w:w="1404" w:type="dxa"/>
            <w:shd w:val="clear" w:color="auto" w:fill="auto"/>
            <w:noWrap/>
            <w:vAlign w:val="bottom"/>
            <w:hideMark/>
          </w:tcPr>
          <w:p w14:paraId="5D38469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T2</w:t>
            </w:r>
          </w:p>
        </w:tc>
        <w:tc>
          <w:tcPr>
            <w:tcW w:w="949" w:type="dxa"/>
            <w:shd w:val="clear" w:color="auto" w:fill="auto"/>
            <w:vAlign w:val="bottom"/>
            <w:hideMark/>
          </w:tcPr>
          <w:p w14:paraId="52F8128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147.66</w:t>
            </w:r>
          </w:p>
        </w:tc>
        <w:tc>
          <w:tcPr>
            <w:tcW w:w="919" w:type="dxa"/>
            <w:shd w:val="clear" w:color="auto" w:fill="auto"/>
            <w:vAlign w:val="bottom"/>
            <w:hideMark/>
          </w:tcPr>
          <w:p w14:paraId="11EC77F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7.12</w:t>
            </w:r>
          </w:p>
        </w:tc>
        <w:tc>
          <w:tcPr>
            <w:tcW w:w="919" w:type="dxa"/>
            <w:shd w:val="clear" w:color="auto" w:fill="auto"/>
            <w:vAlign w:val="bottom"/>
            <w:hideMark/>
          </w:tcPr>
          <w:p w14:paraId="37C27F1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5.70</w:t>
            </w:r>
          </w:p>
        </w:tc>
        <w:tc>
          <w:tcPr>
            <w:tcW w:w="949" w:type="dxa"/>
            <w:shd w:val="clear" w:color="auto" w:fill="auto"/>
            <w:vAlign w:val="bottom"/>
            <w:hideMark/>
          </w:tcPr>
          <w:p w14:paraId="3B93739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166.12</w:t>
            </w:r>
          </w:p>
        </w:tc>
        <w:tc>
          <w:tcPr>
            <w:tcW w:w="919" w:type="dxa"/>
            <w:shd w:val="clear" w:color="auto" w:fill="auto"/>
            <w:vAlign w:val="bottom"/>
            <w:hideMark/>
          </w:tcPr>
          <w:p w14:paraId="22C5816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0.89</w:t>
            </w:r>
          </w:p>
        </w:tc>
        <w:tc>
          <w:tcPr>
            <w:tcW w:w="949" w:type="dxa"/>
            <w:shd w:val="clear" w:color="auto" w:fill="auto"/>
            <w:vAlign w:val="bottom"/>
            <w:hideMark/>
          </w:tcPr>
          <w:p w14:paraId="0E03273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120.66</w:t>
            </w:r>
          </w:p>
        </w:tc>
        <w:tc>
          <w:tcPr>
            <w:tcW w:w="934" w:type="dxa"/>
            <w:shd w:val="clear" w:color="auto" w:fill="auto"/>
            <w:vAlign w:val="bottom"/>
            <w:hideMark/>
          </w:tcPr>
          <w:p w14:paraId="2A03283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27.00</w:t>
            </w:r>
          </w:p>
        </w:tc>
        <w:tc>
          <w:tcPr>
            <w:tcW w:w="925" w:type="dxa"/>
            <w:shd w:val="clear" w:color="auto" w:fill="auto"/>
            <w:vAlign w:val="bottom"/>
            <w:hideMark/>
          </w:tcPr>
          <w:p w14:paraId="5629ABC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4.50</w:t>
            </w:r>
          </w:p>
        </w:tc>
        <w:tc>
          <w:tcPr>
            <w:tcW w:w="920" w:type="dxa"/>
            <w:shd w:val="clear" w:color="auto" w:fill="auto"/>
            <w:vAlign w:val="bottom"/>
            <w:hideMark/>
          </w:tcPr>
          <w:p w14:paraId="17AFD22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5.42</w:t>
            </w:r>
          </w:p>
        </w:tc>
        <w:tc>
          <w:tcPr>
            <w:tcW w:w="920" w:type="dxa"/>
            <w:shd w:val="clear" w:color="auto" w:fill="auto"/>
            <w:vAlign w:val="bottom"/>
            <w:hideMark/>
          </w:tcPr>
          <w:p w14:paraId="4F1EDCD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34" w:type="dxa"/>
            <w:shd w:val="clear" w:color="auto" w:fill="auto"/>
            <w:vAlign w:val="bottom"/>
            <w:hideMark/>
          </w:tcPr>
          <w:p w14:paraId="6E0C064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13.03</w:t>
            </w:r>
          </w:p>
        </w:tc>
        <w:tc>
          <w:tcPr>
            <w:tcW w:w="919" w:type="dxa"/>
            <w:shd w:val="clear" w:color="auto" w:fill="auto"/>
            <w:vAlign w:val="bottom"/>
            <w:hideMark/>
          </w:tcPr>
          <w:p w14:paraId="5E5A365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8.62</w:t>
            </w:r>
          </w:p>
        </w:tc>
        <w:tc>
          <w:tcPr>
            <w:tcW w:w="919" w:type="dxa"/>
            <w:shd w:val="clear" w:color="auto" w:fill="auto"/>
            <w:vAlign w:val="bottom"/>
            <w:hideMark/>
          </w:tcPr>
          <w:p w14:paraId="45E2E84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47" w:type="dxa"/>
            <w:shd w:val="clear" w:color="auto" w:fill="auto"/>
            <w:vAlign w:val="bottom"/>
            <w:hideMark/>
          </w:tcPr>
          <w:p w14:paraId="2CF64C6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47.70</w:t>
            </w:r>
          </w:p>
        </w:tc>
        <w:tc>
          <w:tcPr>
            <w:tcW w:w="934" w:type="dxa"/>
            <w:shd w:val="clear" w:color="auto" w:fill="auto"/>
            <w:vAlign w:val="bottom"/>
            <w:hideMark/>
          </w:tcPr>
          <w:p w14:paraId="7FDEE0D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13.57</w:t>
            </w:r>
          </w:p>
        </w:tc>
      </w:tr>
      <w:tr w:rsidR="002D69D5" w:rsidRPr="00A57179" w14:paraId="6980ED93" w14:textId="77777777" w:rsidTr="002D69D5">
        <w:trPr>
          <w:trHeight w:val="310"/>
        </w:trPr>
        <w:tc>
          <w:tcPr>
            <w:tcW w:w="1404" w:type="dxa"/>
            <w:shd w:val="clear" w:color="auto" w:fill="auto"/>
            <w:noWrap/>
            <w:vAlign w:val="bottom"/>
            <w:hideMark/>
          </w:tcPr>
          <w:p w14:paraId="632E448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T3</w:t>
            </w:r>
          </w:p>
        </w:tc>
        <w:tc>
          <w:tcPr>
            <w:tcW w:w="949" w:type="dxa"/>
            <w:shd w:val="clear" w:color="auto" w:fill="auto"/>
            <w:vAlign w:val="bottom"/>
            <w:hideMark/>
          </w:tcPr>
          <w:p w14:paraId="01084EC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166.33</w:t>
            </w:r>
          </w:p>
        </w:tc>
        <w:tc>
          <w:tcPr>
            <w:tcW w:w="919" w:type="dxa"/>
            <w:shd w:val="clear" w:color="auto" w:fill="auto"/>
            <w:vAlign w:val="bottom"/>
            <w:hideMark/>
          </w:tcPr>
          <w:p w14:paraId="36C310A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7.25</w:t>
            </w:r>
          </w:p>
        </w:tc>
        <w:tc>
          <w:tcPr>
            <w:tcW w:w="919" w:type="dxa"/>
            <w:shd w:val="clear" w:color="auto" w:fill="auto"/>
            <w:vAlign w:val="bottom"/>
            <w:hideMark/>
          </w:tcPr>
          <w:p w14:paraId="74634AE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5.88</w:t>
            </w:r>
          </w:p>
        </w:tc>
        <w:tc>
          <w:tcPr>
            <w:tcW w:w="949" w:type="dxa"/>
            <w:shd w:val="clear" w:color="auto" w:fill="auto"/>
            <w:vAlign w:val="bottom"/>
            <w:hideMark/>
          </w:tcPr>
          <w:p w14:paraId="203E9DD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180.88</w:t>
            </w:r>
          </w:p>
        </w:tc>
        <w:tc>
          <w:tcPr>
            <w:tcW w:w="919" w:type="dxa"/>
            <w:shd w:val="clear" w:color="auto" w:fill="auto"/>
            <w:vAlign w:val="bottom"/>
            <w:hideMark/>
          </w:tcPr>
          <w:p w14:paraId="1D3969D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0.92</w:t>
            </w:r>
          </w:p>
        </w:tc>
        <w:tc>
          <w:tcPr>
            <w:tcW w:w="949" w:type="dxa"/>
            <w:shd w:val="clear" w:color="auto" w:fill="auto"/>
            <w:vAlign w:val="bottom"/>
            <w:hideMark/>
          </w:tcPr>
          <w:p w14:paraId="3E9D395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137.66</w:t>
            </w:r>
          </w:p>
        </w:tc>
        <w:tc>
          <w:tcPr>
            <w:tcW w:w="934" w:type="dxa"/>
            <w:shd w:val="clear" w:color="auto" w:fill="auto"/>
            <w:vAlign w:val="bottom"/>
            <w:hideMark/>
          </w:tcPr>
          <w:p w14:paraId="30AC895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28.66</w:t>
            </w:r>
          </w:p>
        </w:tc>
        <w:tc>
          <w:tcPr>
            <w:tcW w:w="925" w:type="dxa"/>
            <w:shd w:val="clear" w:color="auto" w:fill="auto"/>
            <w:vAlign w:val="bottom"/>
            <w:hideMark/>
          </w:tcPr>
          <w:p w14:paraId="661E32F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4.80</w:t>
            </w:r>
          </w:p>
        </w:tc>
        <w:tc>
          <w:tcPr>
            <w:tcW w:w="920" w:type="dxa"/>
            <w:shd w:val="clear" w:color="auto" w:fill="auto"/>
            <w:vAlign w:val="bottom"/>
            <w:hideMark/>
          </w:tcPr>
          <w:p w14:paraId="2F96DFF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5.60</w:t>
            </w:r>
          </w:p>
        </w:tc>
        <w:tc>
          <w:tcPr>
            <w:tcW w:w="920" w:type="dxa"/>
            <w:shd w:val="clear" w:color="auto" w:fill="auto"/>
            <w:vAlign w:val="bottom"/>
            <w:hideMark/>
          </w:tcPr>
          <w:p w14:paraId="4A1AC83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14:paraId="007FDCB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13.20</w:t>
            </w:r>
          </w:p>
        </w:tc>
        <w:tc>
          <w:tcPr>
            <w:tcW w:w="919" w:type="dxa"/>
            <w:shd w:val="clear" w:color="auto" w:fill="auto"/>
            <w:vAlign w:val="bottom"/>
            <w:hideMark/>
          </w:tcPr>
          <w:p w14:paraId="44443B0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8.73</w:t>
            </w:r>
          </w:p>
        </w:tc>
        <w:tc>
          <w:tcPr>
            <w:tcW w:w="919" w:type="dxa"/>
            <w:shd w:val="clear" w:color="auto" w:fill="auto"/>
            <w:vAlign w:val="bottom"/>
            <w:hideMark/>
          </w:tcPr>
          <w:p w14:paraId="0899DC8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47" w:type="dxa"/>
            <w:shd w:val="clear" w:color="auto" w:fill="auto"/>
            <w:vAlign w:val="bottom"/>
            <w:hideMark/>
          </w:tcPr>
          <w:p w14:paraId="11AF047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49.54</w:t>
            </w:r>
          </w:p>
        </w:tc>
        <w:tc>
          <w:tcPr>
            <w:tcW w:w="934" w:type="dxa"/>
            <w:shd w:val="clear" w:color="auto" w:fill="auto"/>
            <w:vAlign w:val="bottom"/>
            <w:hideMark/>
          </w:tcPr>
          <w:p w14:paraId="0249EFC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13.64</w:t>
            </w:r>
          </w:p>
        </w:tc>
      </w:tr>
      <w:tr w:rsidR="002D69D5" w:rsidRPr="00A57179" w14:paraId="1356704F" w14:textId="77777777" w:rsidTr="002D69D5">
        <w:trPr>
          <w:trHeight w:val="310"/>
        </w:trPr>
        <w:tc>
          <w:tcPr>
            <w:tcW w:w="1404" w:type="dxa"/>
            <w:shd w:val="clear" w:color="auto" w:fill="auto"/>
            <w:noWrap/>
            <w:vAlign w:val="bottom"/>
            <w:hideMark/>
          </w:tcPr>
          <w:p w14:paraId="12270E6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T4</w:t>
            </w:r>
          </w:p>
        </w:tc>
        <w:tc>
          <w:tcPr>
            <w:tcW w:w="949" w:type="dxa"/>
            <w:shd w:val="clear" w:color="auto" w:fill="auto"/>
            <w:vAlign w:val="bottom"/>
            <w:hideMark/>
          </w:tcPr>
          <w:p w14:paraId="7F60426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198.33</w:t>
            </w:r>
          </w:p>
        </w:tc>
        <w:tc>
          <w:tcPr>
            <w:tcW w:w="919" w:type="dxa"/>
            <w:shd w:val="clear" w:color="auto" w:fill="auto"/>
            <w:vAlign w:val="bottom"/>
            <w:hideMark/>
          </w:tcPr>
          <w:p w14:paraId="2AE08A7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7.80</w:t>
            </w:r>
          </w:p>
        </w:tc>
        <w:tc>
          <w:tcPr>
            <w:tcW w:w="919" w:type="dxa"/>
            <w:shd w:val="clear" w:color="auto" w:fill="auto"/>
            <w:vAlign w:val="bottom"/>
            <w:hideMark/>
          </w:tcPr>
          <w:p w14:paraId="032BD1D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6.36</w:t>
            </w:r>
          </w:p>
        </w:tc>
        <w:tc>
          <w:tcPr>
            <w:tcW w:w="949" w:type="dxa"/>
            <w:shd w:val="clear" w:color="auto" w:fill="auto"/>
            <w:vAlign w:val="bottom"/>
            <w:hideMark/>
          </w:tcPr>
          <w:p w14:paraId="431EE9B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204.72</w:t>
            </w:r>
          </w:p>
        </w:tc>
        <w:tc>
          <w:tcPr>
            <w:tcW w:w="919" w:type="dxa"/>
            <w:shd w:val="clear" w:color="auto" w:fill="auto"/>
            <w:vAlign w:val="bottom"/>
            <w:hideMark/>
          </w:tcPr>
          <w:p w14:paraId="13F8266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0.97</w:t>
            </w:r>
          </w:p>
        </w:tc>
        <w:tc>
          <w:tcPr>
            <w:tcW w:w="949" w:type="dxa"/>
            <w:shd w:val="clear" w:color="auto" w:fill="auto"/>
            <w:vAlign w:val="bottom"/>
            <w:hideMark/>
          </w:tcPr>
          <w:p w14:paraId="31E6655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168.00</w:t>
            </w:r>
          </w:p>
        </w:tc>
        <w:tc>
          <w:tcPr>
            <w:tcW w:w="934" w:type="dxa"/>
            <w:shd w:val="clear" w:color="auto" w:fill="auto"/>
            <w:vAlign w:val="bottom"/>
            <w:hideMark/>
          </w:tcPr>
          <w:p w14:paraId="6ECA49E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30.33</w:t>
            </w:r>
          </w:p>
        </w:tc>
        <w:tc>
          <w:tcPr>
            <w:tcW w:w="925" w:type="dxa"/>
            <w:shd w:val="clear" w:color="auto" w:fill="auto"/>
            <w:vAlign w:val="bottom"/>
            <w:hideMark/>
          </w:tcPr>
          <w:p w14:paraId="61818BC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5.58</w:t>
            </w:r>
          </w:p>
        </w:tc>
        <w:tc>
          <w:tcPr>
            <w:tcW w:w="920" w:type="dxa"/>
            <w:shd w:val="clear" w:color="auto" w:fill="auto"/>
            <w:vAlign w:val="bottom"/>
            <w:hideMark/>
          </w:tcPr>
          <w:p w14:paraId="41DBB33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6.07</w:t>
            </w:r>
          </w:p>
        </w:tc>
        <w:tc>
          <w:tcPr>
            <w:tcW w:w="920" w:type="dxa"/>
            <w:shd w:val="clear" w:color="auto" w:fill="auto"/>
            <w:vAlign w:val="bottom"/>
            <w:hideMark/>
          </w:tcPr>
          <w:p w14:paraId="247857F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14:paraId="37D2B38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13.53</w:t>
            </w:r>
          </w:p>
        </w:tc>
        <w:tc>
          <w:tcPr>
            <w:tcW w:w="919" w:type="dxa"/>
            <w:shd w:val="clear" w:color="auto" w:fill="auto"/>
            <w:vAlign w:val="bottom"/>
            <w:hideMark/>
          </w:tcPr>
          <w:p w14:paraId="293D5ED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8.88</w:t>
            </w:r>
          </w:p>
        </w:tc>
        <w:tc>
          <w:tcPr>
            <w:tcW w:w="919" w:type="dxa"/>
            <w:shd w:val="clear" w:color="auto" w:fill="auto"/>
            <w:vAlign w:val="bottom"/>
            <w:hideMark/>
          </w:tcPr>
          <w:p w14:paraId="326C251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0.24</w:t>
            </w:r>
          </w:p>
        </w:tc>
        <w:tc>
          <w:tcPr>
            <w:tcW w:w="947" w:type="dxa"/>
            <w:shd w:val="clear" w:color="auto" w:fill="auto"/>
            <w:vAlign w:val="bottom"/>
            <w:hideMark/>
          </w:tcPr>
          <w:p w14:paraId="79D6B12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55.66</w:t>
            </w:r>
          </w:p>
        </w:tc>
        <w:tc>
          <w:tcPr>
            <w:tcW w:w="934" w:type="dxa"/>
            <w:shd w:val="clear" w:color="auto" w:fill="auto"/>
            <w:vAlign w:val="bottom"/>
            <w:hideMark/>
          </w:tcPr>
          <w:p w14:paraId="3C57E76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13.75</w:t>
            </w:r>
          </w:p>
        </w:tc>
      </w:tr>
      <w:tr w:rsidR="002D69D5" w:rsidRPr="00A57179" w14:paraId="14DBC462" w14:textId="77777777" w:rsidTr="002D69D5">
        <w:trPr>
          <w:trHeight w:val="310"/>
        </w:trPr>
        <w:tc>
          <w:tcPr>
            <w:tcW w:w="1404" w:type="dxa"/>
            <w:shd w:val="clear" w:color="auto" w:fill="auto"/>
            <w:noWrap/>
            <w:vAlign w:val="bottom"/>
            <w:hideMark/>
          </w:tcPr>
          <w:p w14:paraId="761F382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T5</w:t>
            </w:r>
          </w:p>
        </w:tc>
        <w:tc>
          <w:tcPr>
            <w:tcW w:w="949" w:type="dxa"/>
            <w:shd w:val="clear" w:color="auto" w:fill="auto"/>
            <w:vAlign w:val="bottom"/>
            <w:hideMark/>
          </w:tcPr>
          <w:p w14:paraId="26BA058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183.00</w:t>
            </w:r>
          </w:p>
        </w:tc>
        <w:tc>
          <w:tcPr>
            <w:tcW w:w="919" w:type="dxa"/>
            <w:shd w:val="clear" w:color="auto" w:fill="auto"/>
            <w:vAlign w:val="bottom"/>
            <w:hideMark/>
          </w:tcPr>
          <w:p w14:paraId="4972483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7.50</w:t>
            </w:r>
          </w:p>
        </w:tc>
        <w:tc>
          <w:tcPr>
            <w:tcW w:w="919" w:type="dxa"/>
            <w:shd w:val="clear" w:color="auto" w:fill="auto"/>
            <w:vAlign w:val="bottom"/>
            <w:hideMark/>
          </w:tcPr>
          <w:p w14:paraId="4049F0E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6.09</w:t>
            </w:r>
          </w:p>
        </w:tc>
        <w:tc>
          <w:tcPr>
            <w:tcW w:w="949" w:type="dxa"/>
            <w:shd w:val="clear" w:color="auto" w:fill="auto"/>
            <w:vAlign w:val="bottom"/>
            <w:hideMark/>
          </w:tcPr>
          <w:p w14:paraId="6FAA9B5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192.74</w:t>
            </w:r>
          </w:p>
        </w:tc>
        <w:tc>
          <w:tcPr>
            <w:tcW w:w="919" w:type="dxa"/>
            <w:shd w:val="clear" w:color="auto" w:fill="auto"/>
            <w:vAlign w:val="bottom"/>
            <w:hideMark/>
          </w:tcPr>
          <w:p w14:paraId="7F171E6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0.95</w:t>
            </w:r>
          </w:p>
        </w:tc>
        <w:tc>
          <w:tcPr>
            <w:tcW w:w="949" w:type="dxa"/>
            <w:shd w:val="clear" w:color="auto" w:fill="auto"/>
            <w:vAlign w:val="bottom"/>
            <w:hideMark/>
          </w:tcPr>
          <w:p w14:paraId="34F5D9D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153.66</w:t>
            </w:r>
          </w:p>
        </w:tc>
        <w:tc>
          <w:tcPr>
            <w:tcW w:w="934" w:type="dxa"/>
            <w:shd w:val="clear" w:color="auto" w:fill="auto"/>
            <w:vAlign w:val="bottom"/>
            <w:hideMark/>
          </w:tcPr>
          <w:p w14:paraId="56B2DC2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29.33</w:t>
            </w:r>
          </w:p>
        </w:tc>
        <w:tc>
          <w:tcPr>
            <w:tcW w:w="925" w:type="dxa"/>
            <w:shd w:val="clear" w:color="auto" w:fill="auto"/>
            <w:vAlign w:val="bottom"/>
            <w:hideMark/>
          </w:tcPr>
          <w:p w14:paraId="26B4B63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5.26</w:t>
            </w:r>
          </w:p>
        </w:tc>
        <w:tc>
          <w:tcPr>
            <w:tcW w:w="920" w:type="dxa"/>
            <w:shd w:val="clear" w:color="auto" w:fill="auto"/>
            <w:vAlign w:val="bottom"/>
            <w:hideMark/>
          </w:tcPr>
          <w:p w14:paraId="7DBEFA9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5.80</w:t>
            </w:r>
          </w:p>
        </w:tc>
        <w:tc>
          <w:tcPr>
            <w:tcW w:w="920" w:type="dxa"/>
            <w:shd w:val="clear" w:color="auto" w:fill="auto"/>
            <w:vAlign w:val="bottom"/>
            <w:hideMark/>
          </w:tcPr>
          <w:p w14:paraId="22A1B12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14:paraId="3015132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13.33</w:t>
            </w:r>
          </w:p>
        </w:tc>
        <w:tc>
          <w:tcPr>
            <w:tcW w:w="919" w:type="dxa"/>
            <w:shd w:val="clear" w:color="auto" w:fill="auto"/>
            <w:vAlign w:val="bottom"/>
            <w:hideMark/>
          </w:tcPr>
          <w:p w14:paraId="338BD88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8.81</w:t>
            </w:r>
          </w:p>
        </w:tc>
        <w:tc>
          <w:tcPr>
            <w:tcW w:w="919" w:type="dxa"/>
            <w:shd w:val="clear" w:color="auto" w:fill="auto"/>
            <w:vAlign w:val="bottom"/>
            <w:hideMark/>
          </w:tcPr>
          <w:p w14:paraId="16FE1FA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0.25</w:t>
            </w:r>
          </w:p>
        </w:tc>
        <w:tc>
          <w:tcPr>
            <w:tcW w:w="947" w:type="dxa"/>
            <w:shd w:val="clear" w:color="auto" w:fill="auto"/>
            <w:vAlign w:val="bottom"/>
            <w:hideMark/>
          </w:tcPr>
          <w:p w14:paraId="2E10885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53.32</w:t>
            </w:r>
          </w:p>
        </w:tc>
        <w:tc>
          <w:tcPr>
            <w:tcW w:w="934" w:type="dxa"/>
            <w:shd w:val="clear" w:color="auto" w:fill="auto"/>
            <w:vAlign w:val="bottom"/>
            <w:hideMark/>
          </w:tcPr>
          <w:p w14:paraId="4B4AEFBB"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13.70</w:t>
            </w:r>
          </w:p>
        </w:tc>
      </w:tr>
      <w:tr w:rsidR="002D69D5" w:rsidRPr="00A57179" w14:paraId="7FCC3C9D" w14:textId="77777777" w:rsidTr="002D69D5">
        <w:trPr>
          <w:trHeight w:val="310"/>
        </w:trPr>
        <w:tc>
          <w:tcPr>
            <w:tcW w:w="1404" w:type="dxa"/>
            <w:shd w:val="clear" w:color="auto" w:fill="auto"/>
            <w:noWrap/>
            <w:vAlign w:val="bottom"/>
            <w:hideMark/>
          </w:tcPr>
          <w:p w14:paraId="4E09A93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T6</w:t>
            </w:r>
          </w:p>
        </w:tc>
        <w:tc>
          <w:tcPr>
            <w:tcW w:w="949" w:type="dxa"/>
            <w:shd w:val="clear" w:color="auto" w:fill="auto"/>
            <w:vAlign w:val="bottom"/>
            <w:hideMark/>
          </w:tcPr>
          <w:p w14:paraId="63AD4CA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213.33</w:t>
            </w:r>
          </w:p>
        </w:tc>
        <w:tc>
          <w:tcPr>
            <w:tcW w:w="919" w:type="dxa"/>
            <w:shd w:val="clear" w:color="auto" w:fill="auto"/>
            <w:vAlign w:val="bottom"/>
            <w:hideMark/>
          </w:tcPr>
          <w:p w14:paraId="0A62091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8.06</w:t>
            </w:r>
          </w:p>
        </w:tc>
        <w:tc>
          <w:tcPr>
            <w:tcW w:w="919" w:type="dxa"/>
            <w:shd w:val="clear" w:color="auto" w:fill="auto"/>
            <w:vAlign w:val="bottom"/>
            <w:hideMark/>
          </w:tcPr>
          <w:p w14:paraId="6E04A00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6.57</w:t>
            </w:r>
          </w:p>
        </w:tc>
        <w:tc>
          <w:tcPr>
            <w:tcW w:w="949" w:type="dxa"/>
            <w:shd w:val="clear" w:color="auto" w:fill="auto"/>
            <w:vAlign w:val="bottom"/>
            <w:hideMark/>
          </w:tcPr>
          <w:p w14:paraId="427D495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213.33</w:t>
            </w:r>
          </w:p>
        </w:tc>
        <w:tc>
          <w:tcPr>
            <w:tcW w:w="919" w:type="dxa"/>
            <w:shd w:val="clear" w:color="auto" w:fill="auto"/>
            <w:vAlign w:val="bottom"/>
            <w:hideMark/>
          </w:tcPr>
          <w:p w14:paraId="5B72C1F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1.01</w:t>
            </w:r>
          </w:p>
        </w:tc>
        <w:tc>
          <w:tcPr>
            <w:tcW w:w="949" w:type="dxa"/>
            <w:shd w:val="clear" w:color="auto" w:fill="auto"/>
            <w:vAlign w:val="bottom"/>
            <w:hideMark/>
          </w:tcPr>
          <w:p w14:paraId="5C878E7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182.66</w:t>
            </w:r>
          </w:p>
        </w:tc>
        <w:tc>
          <w:tcPr>
            <w:tcW w:w="934" w:type="dxa"/>
            <w:shd w:val="clear" w:color="auto" w:fill="auto"/>
            <w:vAlign w:val="bottom"/>
            <w:hideMark/>
          </w:tcPr>
          <w:p w14:paraId="57709F5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30.66</w:t>
            </w:r>
          </w:p>
        </w:tc>
        <w:tc>
          <w:tcPr>
            <w:tcW w:w="925" w:type="dxa"/>
            <w:shd w:val="clear" w:color="auto" w:fill="auto"/>
            <w:vAlign w:val="bottom"/>
            <w:hideMark/>
          </w:tcPr>
          <w:p w14:paraId="169D334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6.02</w:t>
            </w:r>
          </w:p>
        </w:tc>
        <w:tc>
          <w:tcPr>
            <w:tcW w:w="920" w:type="dxa"/>
            <w:shd w:val="clear" w:color="auto" w:fill="auto"/>
            <w:vAlign w:val="bottom"/>
            <w:hideMark/>
          </w:tcPr>
          <w:p w14:paraId="27C51BD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6.28</w:t>
            </w:r>
          </w:p>
        </w:tc>
        <w:tc>
          <w:tcPr>
            <w:tcW w:w="920" w:type="dxa"/>
            <w:shd w:val="clear" w:color="auto" w:fill="auto"/>
            <w:vAlign w:val="bottom"/>
            <w:hideMark/>
          </w:tcPr>
          <w:p w14:paraId="4FCAA46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14:paraId="2C13042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13.76</w:t>
            </w:r>
          </w:p>
        </w:tc>
        <w:tc>
          <w:tcPr>
            <w:tcW w:w="919" w:type="dxa"/>
            <w:shd w:val="clear" w:color="auto" w:fill="auto"/>
            <w:vAlign w:val="bottom"/>
            <w:hideMark/>
          </w:tcPr>
          <w:p w14:paraId="7094019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8.94</w:t>
            </w:r>
          </w:p>
        </w:tc>
        <w:tc>
          <w:tcPr>
            <w:tcW w:w="919" w:type="dxa"/>
            <w:shd w:val="clear" w:color="auto" w:fill="auto"/>
            <w:vAlign w:val="bottom"/>
            <w:hideMark/>
          </w:tcPr>
          <w:p w14:paraId="790F115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0.23</w:t>
            </w:r>
          </w:p>
        </w:tc>
        <w:tc>
          <w:tcPr>
            <w:tcW w:w="947" w:type="dxa"/>
            <w:shd w:val="clear" w:color="auto" w:fill="auto"/>
            <w:vAlign w:val="bottom"/>
            <w:hideMark/>
          </w:tcPr>
          <w:p w14:paraId="52193C0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59.01</w:t>
            </w:r>
          </w:p>
        </w:tc>
        <w:tc>
          <w:tcPr>
            <w:tcW w:w="934" w:type="dxa"/>
            <w:shd w:val="clear" w:color="auto" w:fill="auto"/>
            <w:vAlign w:val="bottom"/>
            <w:hideMark/>
          </w:tcPr>
          <w:p w14:paraId="2D21ABE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13.82</w:t>
            </w:r>
          </w:p>
        </w:tc>
      </w:tr>
      <w:tr w:rsidR="002D69D5" w:rsidRPr="00A57179" w14:paraId="3AA73667" w14:textId="77777777" w:rsidTr="002D69D5">
        <w:trPr>
          <w:trHeight w:val="310"/>
        </w:trPr>
        <w:tc>
          <w:tcPr>
            <w:tcW w:w="1404" w:type="dxa"/>
            <w:shd w:val="clear" w:color="auto" w:fill="auto"/>
            <w:noWrap/>
            <w:vAlign w:val="bottom"/>
            <w:hideMark/>
          </w:tcPr>
          <w:p w14:paraId="593E5DB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T7</w:t>
            </w:r>
          </w:p>
        </w:tc>
        <w:tc>
          <w:tcPr>
            <w:tcW w:w="949" w:type="dxa"/>
            <w:shd w:val="clear" w:color="auto" w:fill="auto"/>
            <w:vAlign w:val="bottom"/>
            <w:hideMark/>
          </w:tcPr>
          <w:p w14:paraId="489E8AC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241.00</w:t>
            </w:r>
          </w:p>
        </w:tc>
        <w:tc>
          <w:tcPr>
            <w:tcW w:w="919" w:type="dxa"/>
            <w:shd w:val="clear" w:color="auto" w:fill="auto"/>
            <w:vAlign w:val="bottom"/>
            <w:hideMark/>
          </w:tcPr>
          <w:p w14:paraId="053FB95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8.66</w:t>
            </w:r>
          </w:p>
        </w:tc>
        <w:tc>
          <w:tcPr>
            <w:tcW w:w="919" w:type="dxa"/>
            <w:shd w:val="clear" w:color="auto" w:fill="auto"/>
            <w:vAlign w:val="bottom"/>
            <w:hideMark/>
          </w:tcPr>
          <w:p w14:paraId="78B5CA1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7.06</w:t>
            </w:r>
          </w:p>
        </w:tc>
        <w:tc>
          <w:tcPr>
            <w:tcW w:w="949" w:type="dxa"/>
            <w:shd w:val="clear" w:color="auto" w:fill="auto"/>
            <w:vAlign w:val="bottom"/>
            <w:hideMark/>
          </w:tcPr>
          <w:p w14:paraId="7115E65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234.02</w:t>
            </w:r>
          </w:p>
        </w:tc>
        <w:tc>
          <w:tcPr>
            <w:tcW w:w="919" w:type="dxa"/>
            <w:shd w:val="clear" w:color="auto" w:fill="auto"/>
            <w:vAlign w:val="bottom"/>
            <w:hideMark/>
          </w:tcPr>
          <w:p w14:paraId="70333EB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1.03</w:t>
            </w:r>
          </w:p>
        </w:tc>
        <w:tc>
          <w:tcPr>
            <w:tcW w:w="949" w:type="dxa"/>
            <w:shd w:val="clear" w:color="auto" w:fill="auto"/>
            <w:vAlign w:val="bottom"/>
            <w:hideMark/>
          </w:tcPr>
          <w:p w14:paraId="78FB11C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208.00</w:t>
            </w:r>
          </w:p>
        </w:tc>
        <w:tc>
          <w:tcPr>
            <w:tcW w:w="934" w:type="dxa"/>
            <w:shd w:val="clear" w:color="auto" w:fill="auto"/>
            <w:vAlign w:val="bottom"/>
            <w:hideMark/>
          </w:tcPr>
          <w:p w14:paraId="52E705B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33.00</w:t>
            </w:r>
          </w:p>
        </w:tc>
        <w:tc>
          <w:tcPr>
            <w:tcW w:w="925" w:type="dxa"/>
            <w:shd w:val="clear" w:color="auto" w:fill="auto"/>
            <w:vAlign w:val="bottom"/>
            <w:hideMark/>
          </w:tcPr>
          <w:p w14:paraId="03D4383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6.31</w:t>
            </w:r>
          </w:p>
        </w:tc>
        <w:tc>
          <w:tcPr>
            <w:tcW w:w="920" w:type="dxa"/>
            <w:shd w:val="clear" w:color="auto" w:fill="auto"/>
            <w:vAlign w:val="bottom"/>
            <w:hideMark/>
          </w:tcPr>
          <w:p w14:paraId="7F7E83C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6.77</w:t>
            </w:r>
          </w:p>
        </w:tc>
        <w:tc>
          <w:tcPr>
            <w:tcW w:w="920" w:type="dxa"/>
            <w:shd w:val="clear" w:color="auto" w:fill="auto"/>
            <w:vAlign w:val="bottom"/>
            <w:hideMark/>
          </w:tcPr>
          <w:p w14:paraId="339260A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14:paraId="1192CE2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14.36</w:t>
            </w:r>
          </w:p>
        </w:tc>
        <w:tc>
          <w:tcPr>
            <w:tcW w:w="919" w:type="dxa"/>
            <w:shd w:val="clear" w:color="auto" w:fill="auto"/>
            <w:vAlign w:val="bottom"/>
            <w:hideMark/>
          </w:tcPr>
          <w:p w14:paraId="47FB355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9.05</w:t>
            </w:r>
          </w:p>
        </w:tc>
        <w:tc>
          <w:tcPr>
            <w:tcW w:w="919" w:type="dxa"/>
            <w:shd w:val="clear" w:color="auto" w:fill="auto"/>
            <w:vAlign w:val="bottom"/>
            <w:hideMark/>
          </w:tcPr>
          <w:p w14:paraId="0B3AF50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0.21</w:t>
            </w:r>
          </w:p>
        </w:tc>
        <w:tc>
          <w:tcPr>
            <w:tcW w:w="947" w:type="dxa"/>
            <w:shd w:val="clear" w:color="auto" w:fill="auto"/>
            <w:vAlign w:val="bottom"/>
            <w:hideMark/>
          </w:tcPr>
          <w:p w14:paraId="6FD7930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69.50</w:t>
            </w:r>
          </w:p>
        </w:tc>
        <w:tc>
          <w:tcPr>
            <w:tcW w:w="934" w:type="dxa"/>
            <w:shd w:val="clear" w:color="auto" w:fill="auto"/>
            <w:vAlign w:val="bottom"/>
            <w:hideMark/>
          </w:tcPr>
          <w:p w14:paraId="3C30E3F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13.97</w:t>
            </w:r>
          </w:p>
        </w:tc>
      </w:tr>
      <w:tr w:rsidR="002D69D5" w:rsidRPr="00A57179" w14:paraId="550C8CD7" w14:textId="77777777" w:rsidTr="002D69D5">
        <w:trPr>
          <w:trHeight w:val="310"/>
        </w:trPr>
        <w:tc>
          <w:tcPr>
            <w:tcW w:w="1404" w:type="dxa"/>
            <w:shd w:val="clear" w:color="auto" w:fill="auto"/>
            <w:noWrap/>
            <w:vAlign w:val="bottom"/>
            <w:hideMark/>
          </w:tcPr>
          <w:p w14:paraId="3BDEF0E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T8</w:t>
            </w:r>
          </w:p>
        </w:tc>
        <w:tc>
          <w:tcPr>
            <w:tcW w:w="949" w:type="dxa"/>
            <w:shd w:val="clear" w:color="auto" w:fill="auto"/>
            <w:vAlign w:val="bottom"/>
            <w:hideMark/>
          </w:tcPr>
          <w:p w14:paraId="72CD6FF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229.66</w:t>
            </w:r>
          </w:p>
        </w:tc>
        <w:tc>
          <w:tcPr>
            <w:tcW w:w="919" w:type="dxa"/>
            <w:shd w:val="clear" w:color="auto" w:fill="auto"/>
            <w:vAlign w:val="bottom"/>
            <w:hideMark/>
          </w:tcPr>
          <w:p w14:paraId="4E4D359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8.26</w:t>
            </w:r>
          </w:p>
        </w:tc>
        <w:tc>
          <w:tcPr>
            <w:tcW w:w="919" w:type="dxa"/>
            <w:shd w:val="clear" w:color="auto" w:fill="auto"/>
            <w:vAlign w:val="bottom"/>
            <w:hideMark/>
          </w:tcPr>
          <w:p w14:paraId="030DBA3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6.82</w:t>
            </w:r>
          </w:p>
        </w:tc>
        <w:tc>
          <w:tcPr>
            <w:tcW w:w="949" w:type="dxa"/>
            <w:shd w:val="clear" w:color="auto" w:fill="auto"/>
            <w:vAlign w:val="bottom"/>
            <w:hideMark/>
          </w:tcPr>
          <w:p w14:paraId="40ACEFE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227.38</w:t>
            </w:r>
          </w:p>
        </w:tc>
        <w:tc>
          <w:tcPr>
            <w:tcW w:w="919" w:type="dxa"/>
            <w:shd w:val="clear" w:color="auto" w:fill="auto"/>
            <w:vAlign w:val="bottom"/>
            <w:hideMark/>
          </w:tcPr>
          <w:p w14:paraId="457D0FD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1.01</w:t>
            </w:r>
          </w:p>
        </w:tc>
        <w:tc>
          <w:tcPr>
            <w:tcW w:w="949" w:type="dxa"/>
            <w:shd w:val="clear" w:color="auto" w:fill="auto"/>
            <w:vAlign w:val="bottom"/>
            <w:hideMark/>
          </w:tcPr>
          <w:p w14:paraId="69D4C906"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197.66</w:t>
            </w:r>
          </w:p>
        </w:tc>
        <w:tc>
          <w:tcPr>
            <w:tcW w:w="934" w:type="dxa"/>
            <w:shd w:val="clear" w:color="auto" w:fill="auto"/>
            <w:vAlign w:val="bottom"/>
            <w:hideMark/>
          </w:tcPr>
          <w:p w14:paraId="2330CDF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32.00</w:t>
            </w:r>
          </w:p>
        </w:tc>
        <w:tc>
          <w:tcPr>
            <w:tcW w:w="925" w:type="dxa"/>
            <w:shd w:val="clear" w:color="auto" w:fill="auto"/>
            <w:vAlign w:val="bottom"/>
            <w:hideMark/>
          </w:tcPr>
          <w:p w14:paraId="2259331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6.21</w:t>
            </w:r>
          </w:p>
        </w:tc>
        <w:tc>
          <w:tcPr>
            <w:tcW w:w="920" w:type="dxa"/>
            <w:shd w:val="clear" w:color="auto" w:fill="auto"/>
            <w:vAlign w:val="bottom"/>
            <w:hideMark/>
          </w:tcPr>
          <w:p w14:paraId="530A27C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6.52</w:t>
            </w:r>
          </w:p>
        </w:tc>
        <w:tc>
          <w:tcPr>
            <w:tcW w:w="920" w:type="dxa"/>
            <w:shd w:val="clear" w:color="auto" w:fill="auto"/>
            <w:vAlign w:val="bottom"/>
            <w:hideMark/>
          </w:tcPr>
          <w:p w14:paraId="47A544D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14:paraId="2A4E47B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14.23</w:t>
            </w:r>
          </w:p>
        </w:tc>
        <w:tc>
          <w:tcPr>
            <w:tcW w:w="919" w:type="dxa"/>
            <w:shd w:val="clear" w:color="auto" w:fill="auto"/>
            <w:vAlign w:val="bottom"/>
            <w:hideMark/>
          </w:tcPr>
          <w:p w14:paraId="1821208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9.00</w:t>
            </w:r>
          </w:p>
        </w:tc>
        <w:tc>
          <w:tcPr>
            <w:tcW w:w="919" w:type="dxa"/>
            <w:shd w:val="clear" w:color="auto" w:fill="auto"/>
            <w:vAlign w:val="bottom"/>
            <w:hideMark/>
          </w:tcPr>
          <w:p w14:paraId="49E8A81D"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0.22</w:t>
            </w:r>
          </w:p>
        </w:tc>
        <w:tc>
          <w:tcPr>
            <w:tcW w:w="947" w:type="dxa"/>
            <w:shd w:val="clear" w:color="auto" w:fill="auto"/>
            <w:vAlign w:val="bottom"/>
            <w:hideMark/>
          </w:tcPr>
          <w:p w14:paraId="7D8643A9"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63.78</w:t>
            </w:r>
          </w:p>
        </w:tc>
        <w:tc>
          <w:tcPr>
            <w:tcW w:w="934" w:type="dxa"/>
            <w:shd w:val="clear" w:color="auto" w:fill="auto"/>
            <w:vAlign w:val="bottom"/>
            <w:hideMark/>
          </w:tcPr>
          <w:p w14:paraId="22DEB683"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13.92</w:t>
            </w:r>
          </w:p>
        </w:tc>
      </w:tr>
      <w:tr w:rsidR="002D69D5" w:rsidRPr="00A57179" w14:paraId="47087602" w14:textId="77777777" w:rsidTr="002D69D5">
        <w:trPr>
          <w:trHeight w:val="310"/>
        </w:trPr>
        <w:tc>
          <w:tcPr>
            <w:tcW w:w="1404" w:type="dxa"/>
            <w:shd w:val="clear" w:color="auto" w:fill="auto"/>
            <w:noWrap/>
            <w:vAlign w:val="bottom"/>
            <w:hideMark/>
          </w:tcPr>
          <w:p w14:paraId="5D83F85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T9</w:t>
            </w:r>
          </w:p>
        </w:tc>
        <w:tc>
          <w:tcPr>
            <w:tcW w:w="949" w:type="dxa"/>
            <w:shd w:val="clear" w:color="auto" w:fill="auto"/>
            <w:vAlign w:val="bottom"/>
            <w:hideMark/>
          </w:tcPr>
          <w:p w14:paraId="2ADBBC9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260.33</w:t>
            </w:r>
          </w:p>
        </w:tc>
        <w:tc>
          <w:tcPr>
            <w:tcW w:w="919" w:type="dxa"/>
            <w:shd w:val="clear" w:color="auto" w:fill="auto"/>
            <w:vAlign w:val="bottom"/>
            <w:hideMark/>
          </w:tcPr>
          <w:p w14:paraId="4ADF88A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8.97</w:t>
            </w:r>
          </w:p>
        </w:tc>
        <w:tc>
          <w:tcPr>
            <w:tcW w:w="919" w:type="dxa"/>
            <w:shd w:val="clear" w:color="auto" w:fill="auto"/>
            <w:vAlign w:val="bottom"/>
            <w:hideMark/>
          </w:tcPr>
          <w:p w14:paraId="7C8B7D8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7.33</w:t>
            </w:r>
          </w:p>
        </w:tc>
        <w:tc>
          <w:tcPr>
            <w:tcW w:w="949" w:type="dxa"/>
            <w:shd w:val="clear" w:color="auto" w:fill="auto"/>
            <w:vAlign w:val="bottom"/>
            <w:hideMark/>
          </w:tcPr>
          <w:p w14:paraId="0E5ADF9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247.95</w:t>
            </w:r>
          </w:p>
        </w:tc>
        <w:tc>
          <w:tcPr>
            <w:tcW w:w="919" w:type="dxa"/>
            <w:shd w:val="clear" w:color="auto" w:fill="auto"/>
            <w:vAlign w:val="bottom"/>
            <w:hideMark/>
          </w:tcPr>
          <w:p w14:paraId="4F3F4A30"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1.05</w:t>
            </w:r>
          </w:p>
        </w:tc>
        <w:tc>
          <w:tcPr>
            <w:tcW w:w="949" w:type="dxa"/>
            <w:shd w:val="clear" w:color="auto" w:fill="auto"/>
            <w:vAlign w:val="bottom"/>
            <w:hideMark/>
          </w:tcPr>
          <w:p w14:paraId="4A0DFA1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226.00</w:t>
            </w:r>
          </w:p>
        </w:tc>
        <w:tc>
          <w:tcPr>
            <w:tcW w:w="934" w:type="dxa"/>
            <w:shd w:val="clear" w:color="auto" w:fill="auto"/>
            <w:vAlign w:val="bottom"/>
            <w:hideMark/>
          </w:tcPr>
          <w:p w14:paraId="1540185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34.33</w:t>
            </w:r>
          </w:p>
        </w:tc>
        <w:tc>
          <w:tcPr>
            <w:tcW w:w="925" w:type="dxa"/>
            <w:shd w:val="clear" w:color="auto" w:fill="auto"/>
            <w:vAlign w:val="bottom"/>
            <w:hideMark/>
          </w:tcPr>
          <w:p w14:paraId="56F2FFE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6.60</w:t>
            </w:r>
          </w:p>
        </w:tc>
        <w:tc>
          <w:tcPr>
            <w:tcW w:w="920" w:type="dxa"/>
            <w:shd w:val="clear" w:color="auto" w:fill="auto"/>
            <w:vAlign w:val="bottom"/>
            <w:hideMark/>
          </w:tcPr>
          <w:p w14:paraId="4350E8A9"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7.03</w:t>
            </w:r>
          </w:p>
        </w:tc>
        <w:tc>
          <w:tcPr>
            <w:tcW w:w="920" w:type="dxa"/>
            <w:shd w:val="clear" w:color="auto" w:fill="auto"/>
            <w:vAlign w:val="bottom"/>
            <w:hideMark/>
          </w:tcPr>
          <w:p w14:paraId="11FA72C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0.30</w:t>
            </w:r>
          </w:p>
        </w:tc>
        <w:tc>
          <w:tcPr>
            <w:tcW w:w="934" w:type="dxa"/>
            <w:shd w:val="clear" w:color="auto" w:fill="auto"/>
            <w:vAlign w:val="bottom"/>
            <w:hideMark/>
          </w:tcPr>
          <w:p w14:paraId="501174B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14.86</w:t>
            </w:r>
          </w:p>
        </w:tc>
        <w:tc>
          <w:tcPr>
            <w:tcW w:w="919" w:type="dxa"/>
            <w:shd w:val="clear" w:color="auto" w:fill="auto"/>
            <w:vAlign w:val="bottom"/>
            <w:hideMark/>
          </w:tcPr>
          <w:p w14:paraId="48B83E97"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9.13</w:t>
            </w:r>
          </w:p>
        </w:tc>
        <w:tc>
          <w:tcPr>
            <w:tcW w:w="919" w:type="dxa"/>
            <w:shd w:val="clear" w:color="auto" w:fill="auto"/>
            <w:vAlign w:val="bottom"/>
            <w:hideMark/>
          </w:tcPr>
          <w:p w14:paraId="5F460F1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0.20</w:t>
            </w:r>
          </w:p>
        </w:tc>
        <w:tc>
          <w:tcPr>
            <w:tcW w:w="947" w:type="dxa"/>
            <w:shd w:val="clear" w:color="auto" w:fill="auto"/>
            <w:vAlign w:val="bottom"/>
            <w:hideMark/>
          </w:tcPr>
          <w:p w14:paraId="1DBD658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73.07</w:t>
            </w:r>
          </w:p>
        </w:tc>
        <w:tc>
          <w:tcPr>
            <w:tcW w:w="934" w:type="dxa"/>
            <w:shd w:val="clear" w:color="auto" w:fill="auto"/>
            <w:vAlign w:val="bottom"/>
            <w:hideMark/>
          </w:tcPr>
          <w:p w14:paraId="05EBEDA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14.04</w:t>
            </w:r>
          </w:p>
        </w:tc>
      </w:tr>
      <w:tr w:rsidR="002D69D5" w:rsidRPr="00A57179" w14:paraId="0272E3AB" w14:textId="77777777" w:rsidTr="002D69D5">
        <w:trPr>
          <w:trHeight w:val="310"/>
        </w:trPr>
        <w:tc>
          <w:tcPr>
            <w:tcW w:w="1404" w:type="dxa"/>
            <w:shd w:val="clear" w:color="auto" w:fill="auto"/>
            <w:noWrap/>
            <w:vAlign w:val="bottom"/>
            <w:hideMark/>
          </w:tcPr>
          <w:p w14:paraId="2AA404D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T10</w:t>
            </w:r>
          </w:p>
        </w:tc>
        <w:tc>
          <w:tcPr>
            <w:tcW w:w="949" w:type="dxa"/>
            <w:shd w:val="clear" w:color="auto" w:fill="auto"/>
            <w:vAlign w:val="bottom"/>
            <w:hideMark/>
          </w:tcPr>
          <w:p w14:paraId="715B7FD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271.66</w:t>
            </w:r>
          </w:p>
        </w:tc>
        <w:tc>
          <w:tcPr>
            <w:tcW w:w="919" w:type="dxa"/>
            <w:shd w:val="clear" w:color="auto" w:fill="auto"/>
            <w:vAlign w:val="bottom"/>
            <w:hideMark/>
          </w:tcPr>
          <w:p w14:paraId="5E43D74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9.14</w:t>
            </w:r>
          </w:p>
        </w:tc>
        <w:tc>
          <w:tcPr>
            <w:tcW w:w="919" w:type="dxa"/>
            <w:shd w:val="clear" w:color="auto" w:fill="auto"/>
            <w:vAlign w:val="bottom"/>
            <w:hideMark/>
          </w:tcPr>
          <w:p w14:paraId="6BA6DB5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7.50</w:t>
            </w:r>
          </w:p>
        </w:tc>
        <w:tc>
          <w:tcPr>
            <w:tcW w:w="949" w:type="dxa"/>
            <w:shd w:val="clear" w:color="auto" w:fill="auto"/>
            <w:vAlign w:val="bottom"/>
            <w:hideMark/>
          </w:tcPr>
          <w:p w14:paraId="7B389D6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251.92</w:t>
            </w:r>
          </w:p>
        </w:tc>
        <w:tc>
          <w:tcPr>
            <w:tcW w:w="919" w:type="dxa"/>
            <w:shd w:val="clear" w:color="auto" w:fill="auto"/>
            <w:vAlign w:val="bottom"/>
            <w:hideMark/>
          </w:tcPr>
          <w:p w14:paraId="45FC20C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1.08</w:t>
            </w:r>
          </w:p>
        </w:tc>
        <w:tc>
          <w:tcPr>
            <w:tcW w:w="949" w:type="dxa"/>
            <w:shd w:val="clear" w:color="auto" w:fill="auto"/>
            <w:vAlign w:val="bottom"/>
            <w:hideMark/>
          </w:tcPr>
          <w:p w14:paraId="74819B4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236.32</w:t>
            </w:r>
          </w:p>
        </w:tc>
        <w:tc>
          <w:tcPr>
            <w:tcW w:w="934" w:type="dxa"/>
            <w:shd w:val="clear" w:color="auto" w:fill="auto"/>
            <w:vAlign w:val="bottom"/>
            <w:hideMark/>
          </w:tcPr>
          <w:p w14:paraId="2B2FB73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35.33</w:t>
            </w:r>
          </w:p>
        </w:tc>
        <w:tc>
          <w:tcPr>
            <w:tcW w:w="925" w:type="dxa"/>
            <w:shd w:val="clear" w:color="auto" w:fill="auto"/>
            <w:vAlign w:val="bottom"/>
            <w:hideMark/>
          </w:tcPr>
          <w:p w14:paraId="60953FC1"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6.77</w:t>
            </w:r>
          </w:p>
        </w:tc>
        <w:tc>
          <w:tcPr>
            <w:tcW w:w="920" w:type="dxa"/>
            <w:shd w:val="clear" w:color="auto" w:fill="auto"/>
            <w:vAlign w:val="bottom"/>
            <w:hideMark/>
          </w:tcPr>
          <w:p w14:paraId="58BBA97A"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7.17</w:t>
            </w:r>
          </w:p>
        </w:tc>
        <w:tc>
          <w:tcPr>
            <w:tcW w:w="920" w:type="dxa"/>
            <w:shd w:val="clear" w:color="auto" w:fill="auto"/>
            <w:vAlign w:val="bottom"/>
            <w:hideMark/>
          </w:tcPr>
          <w:p w14:paraId="32618969"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0.33</w:t>
            </w:r>
          </w:p>
        </w:tc>
        <w:tc>
          <w:tcPr>
            <w:tcW w:w="934" w:type="dxa"/>
            <w:shd w:val="clear" w:color="auto" w:fill="auto"/>
            <w:vAlign w:val="bottom"/>
            <w:hideMark/>
          </w:tcPr>
          <w:p w14:paraId="62E13DA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15.03</w:t>
            </w:r>
          </w:p>
        </w:tc>
        <w:tc>
          <w:tcPr>
            <w:tcW w:w="919" w:type="dxa"/>
            <w:shd w:val="clear" w:color="auto" w:fill="auto"/>
            <w:vAlign w:val="bottom"/>
            <w:hideMark/>
          </w:tcPr>
          <w:p w14:paraId="760859C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9.27</w:t>
            </w:r>
          </w:p>
        </w:tc>
        <w:tc>
          <w:tcPr>
            <w:tcW w:w="919" w:type="dxa"/>
            <w:shd w:val="clear" w:color="auto" w:fill="auto"/>
            <w:vAlign w:val="bottom"/>
            <w:hideMark/>
          </w:tcPr>
          <w:p w14:paraId="39694D7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0.19</w:t>
            </w:r>
          </w:p>
        </w:tc>
        <w:tc>
          <w:tcPr>
            <w:tcW w:w="947" w:type="dxa"/>
            <w:shd w:val="clear" w:color="auto" w:fill="auto"/>
            <w:vAlign w:val="bottom"/>
            <w:hideMark/>
          </w:tcPr>
          <w:p w14:paraId="17CE636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79.13</w:t>
            </w:r>
          </w:p>
        </w:tc>
        <w:tc>
          <w:tcPr>
            <w:tcW w:w="934" w:type="dxa"/>
            <w:shd w:val="clear" w:color="auto" w:fill="auto"/>
            <w:vAlign w:val="bottom"/>
            <w:hideMark/>
          </w:tcPr>
          <w:p w14:paraId="63C7C8E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14.12</w:t>
            </w:r>
          </w:p>
        </w:tc>
      </w:tr>
      <w:tr w:rsidR="002D69D5" w:rsidRPr="00A57179" w14:paraId="7554EBDD" w14:textId="77777777" w:rsidTr="002D69D5">
        <w:trPr>
          <w:trHeight w:val="310"/>
        </w:trPr>
        <w:tc>
          <w:tcPr>
            <w:tcW w:w="1404" w:type="dxa"/>
            <w:tcBorders>
              <w:bottom w:val="single" w:sz="4" w:space="0" w:color="auto"/>
            </w:tcBorders>
            <w:shd w:val="clear" w:color="auto" w:fill="auto"/>
            <w:noWrap/>
            <w:vAlign w:val="bottom"/>
            <w:hideMark/>
          </w:tcPr>
          <w:p w14:paraId="0C94CED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T11</w:t>
            </w:r>
          </w:p>
        </w:tc>
        <w:tc>
          <w:tcPr>
            <w:tcW w:w="949" w:type="dxa"/>
            <w:tcBorders>
              <w:bottom w:val="single" w:sz="4" w:space="0" w:color="auto"/>
            </w:tcBorders>
            <w:shd w:val="clear" w:color="auto" w:fill="auto"/>
            <w:vAlign w:val="bottom"/>
            <w:hideMark/>
          </w:tcPr>
          <w:p w14:paraId="43D0F9E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280.50</w:t>
            </w:r>
          </w:p>
        </w:tc>
        <w:tc>
          <w:tcPr>
            <w:tcW w:w="919" w:type="dxa"/>
            <w:tcBorders>
              <w:bottom w:val="single" w:sz="4" w:space="0" w:color="auto"/>
            </w:tcBorders>
            <w:shd w:val="clear" w:color="auto" w:fill="auto"/>
            <w:vAlign w:val="bottom"/>
            <w:hideMark/>
          </w:tcPr>
          <w:p w14:paraId="430F3EC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9.42</w:t>
            </w:r>
          </w:p>
        </w:tc>
        <w:tc>
          <w:tcPr>
            <w:tcW w:w="919" w:type="dxa"/>
            <w:tcBorders>
              <w:bottom w:val="single" w:sz="4" w:space="0" w:color="auto"/>
            </w:tcBorders>
            <w:shd w:val="clear" w:color="auto" w:fill="auto"/>
            <w:vAlign w:val="bottom"/>
            <w:hideMark/>
          </w:tcPr>
          <w:p w14:paraId="3AE7B06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7.64</w:t>
            </w:r>
          </w:p>
        </w:tc>
        <w:tc>
          <w:tcPr>
            <w:tcW w:w="949" w:type="dxa"/>
            <w:tcBorders>
              <w:bottom w:val="single" w:sz="4" w:space="0" w:color="auto"/>
            </w:tcBorders>
            <w:shd w:val="clear" w:color="auto" w:fill="auto"/>
            <w:vAlign w:val="bottom"/>
            <w:hideMark/>
          </w:tcPr>
          <w:p w14:paraId="656853E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254.98</w:t>
            </w:r>
          </w:p>
        </w:tc>
        <w:tc>
          <w:tcPr>
            <w:tcW w:w="919" w:type="dxa"/>
            <w:tcBorders>
              <w:bottom w:val="single" w:sz="4" w:space="0" w:color="auto"/>
            </w:tcBorders>
            <w:shd w:val="clear" w:color="auto" w:fill="auto"/>
            <w:vAlign w:val="bottom"/>
            <w:hideMark/>
          </w:tcPr>
          <w:p w14:paraId="6E6702D4"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1.10</w:t>
            </w:r>
          </w:p>
        </w:tc>
        <w:tc>
          <w:tcPr>
            <w:tcW w:w="949" w:type="dxa"/>
            <w:tcBorders>
              <w:bottom w:val="single" w:sz="4" w:space="0" w:color="auto"/>
            </w:tcBorders>
            <w:shd w:val="clear" w:color="auto" w:fill="auto"/>
            <w:vAlign w:val="bottom"/>
            <w:hideMark/>
          </w:tcPr>
          <w:p w14:paraId="00E4774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244.50</w:t>
            </w:r>
          </w:p>
        </w:tc>
        <w:tc>
          <w:tcPr>
            <w:tcW w:w="934" w:type="dxa"/>
            <w:tcBorders>
              <w:bottom w:val="single" w:sz="4" w:space="0" w:color="auto"/>
            </w:tcBorders>
            <w:shd w:val="clear" w:color="auto" w:fill="auto"/>
            <w:vAlign w:val="bottom"/>
            <w:hideMark/>
          </w:tcPr>
          <w:p w14:paraId="57C0A6CC"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36.00</w:t>
            </w:r>
          </w:p>
        </w:tc>
        <w:tc>
          <w:tcPr>
            <w:tcW w:w="925" w:type="dxa"/>
            <w:tcBorders>
              <w:bottom w:val="single" w:sz="4" w:space="0" w:color="auto"/>
            </w:tcBorders>
            <w:shd w:val="clear" w:color="auto" w:fill="auto"/>
            <w:vAlign w:val="bottom"/>
            <w:hideMark/>
          </w:tcPr>
          <w:p w14:paraId="14CBCF4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7.01</w:t>
            </w:r>
          </w:p>
        </w:tc>
        <w:tc>
          <w:tcPr>
            <w:tcW w:w="920" w:type="dxa"/>
            <w:tcBorders>
              <w:bottom w:val="single" w:sz="4" w:space="0" w:color="auto"/>
            </w:tcBorders>
            <w:shd w:val="clear" w:color="auto" w:fill="auto"/>
            <w:vAlign w:val="bottom"/>
            <w:hideMark/>
          </w:tcPr>
          <w:p w14:paraId="69DCB78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7.27</w:t>
            </w:r>
          </w:p>
        </w:tc>
        <w:tc>
          <w:tcPr>
            <w:tcW w:w="920" w:type="dxa"/>
            <w:tcBorders>
              <w:bottom w:val="single" w:sz="4" w:space="0" w:color="auto"/>
            </w:tcBorders>
            <w:shd w:val="clear" w:color="auto" w:fill="auto"/>
            <w:vAlign w:val="bottom"/>
            <w:hideMark/>
          </w:tcPr>
          <w:p w14:paraId="537AA2B8"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0.36</w:t>
            </w:r>
          </w:p>
        </w:tc>
        <w:tc>
          <w:tcPr>
            <w:tcW w:w="934" w:type="dxa"/>
            <w:tcBorders>
              <w:bottom w:val="single" w:sz="4" w:space="0" w:color="auto"/>
            </w:tcBorders>
            <w:shd w:val="clear" w:color="auto" w:fill="auto"/>
            <w:vAlign w:val="bottom"/>
            <w:hideMark/>
          </w:tcPr>
          <w:p w14:paraId="22C14869"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15.76</w:t>
            </w:r>
          </w:p>
        </w:tc>
        <w:tc>
          <w:tcPr>
            <w:tcW w:w="919" w:type="dxa"/>
            <w:tcBorders>
              <w:bottom w:val="single" w:sz="4" w:space="0" w:color="auto"/>
            </w:tcBorders>
            <w:shd w:val="clear" w:color="auto" w:fill="auto"/>
            <w:vAlign w:val="bottom"/>
            <w:hideMark/>
          </w:tcPr>
          <w:p w14:paraId="6C039645"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9.42</w:t>
            </w:r>
          </w:p>
        </w:tc>
        <w:tc>
          <w:tcPr>
            <w:tcW w:w="919" w:type="dxa"/>
            <w:tcBorders>
              <w:bottom w:val="single" w:sz="4" w:space="0" w:color="auto"/>
            </w:tcBorders>
            <w:shd w:val="clear" w:color="auto" w:fill="auto"/>
            <w:vAlign w:val="bottom"/>
            <w:hideMark/>
          </w:tcPr>
          <w:p w14:paraId="60A8C2C2"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0.17</w:t>
            </w:r>
          </w:p>
        </w:tc>
        <w:tc>
          <w:tcPr>
            <w:tcW w:w="947" w:type="dxa"/>
            <w:tcBorders>
              <w:bottom w:val="single" w:sz="4" w:space="0" w:color="auto"/>
            </w:tcBorders>
            <w:shd w:val="clear" w:color="auto" w:fill="auto"/>
            <w:vAlign w:val="bottom"/>
            <w:hideMark/>
          </w:tcPr>
          <w:p w14:paraId="454489AF"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92.85</w:t>
            </w:r>
          </w:p>
        </w:tc>
        <w:tc>
          <w:tcPr>
            <w:tcW w:w="934" w:type="dxa"/>
            <w:tcBorders>
              <w:bottom w:val="single" w:sz="4" w:space="0" w:color="auto"/>
            </w:tcBorders>
            <w:shd w:val="clear" w:color="auto" w:fill="auto"/>
            <w:vAlign w:val="bottom"/>
            <w:hideMark/>
          </w:tcPr>
          <w:p w14:paraId="7162C60E" w14:textId="77777777"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14.26</w:t>
            </w:r>
          </w:p>
        </w:tc>
      </w:tr>
    </w:tbl>
    <w:p w14:paraId="55E962F6" w14:textId="03CD05E6" w:rsidR="002D69D5" w:rsidRPr="002D69D5" w:rsidRDefault="00EB199D" w:rsidP="002D69D5">
      <w:pPr>
        <w:spacing w:line="360" w:lineRule="auto"/>
        <w:jc w:val="center"/>
        <w:rPr>
          <w:rFonts w:ascii="Arial" w:hAnsi="Arial" w:cs="Arial"/>
          <w:b/>
          <w:bCs/>
          <w:lang w:val="en-US"/>
        </w:rPr>
      </w:pPr>
      <w:r>
        <w:rPr>
          <w:rFonts w:ascii="Arial" w:eastAsia="Calibri" w:hAnsi="Arial" w:cs="Arial"/>
          <w:b/>
          <w:bCs/>
          <w:kern w:val="2"/>
          <w:lang w:bidi="hi-IN"/>
        </w:rPr>
        <w:t xml:space="preserve">Table 1 </w:t>
      </w:r>
      <w:r w:rsidR="002D69D5" w:rsidRPr="002D69D5">
        <w:rPr>
          <w:rFonts w:ascii="Arial" w:eastAsia="Calibri" w:hAnsi="Arial" w:cs="Arial"/>
          <w:b/>
          <w:bCs/>
          <w:kern w:val="2"/>
          <w:lang w:bidi="hi-IN"/>
        </w:rPr>
        <w:t>Impact of Organic Manure and Bio-Fertilizers on the Qualitative Attributes of Dragon Fruit</w:t>
      </w:r>
    </w:p>
    <w:p w14:paraId="758663EF" w14:textId="77777777" w:rsidR="002D69D5" w:rsidRDefault="002D69D5" w:rsidP="008F085B">
      <w:pPr>
        <w:rPr>
          <w:rFonts w:ascii="Times New Roman" w:eastAsia="Times New Roman" w:hAnsi="Times New Roman" w:cs="Times New Roman"/>
          <w:b/>
          <w:bCs/>
          <w:color w:val="000000"/>
          <w:sz w:val="18"/>
          <w:szCs w:val="18"/>
          <w:lang w:val="en-IN" w:eastAsia="en-IN" w:bidi="hi-IN"/>
        </w:rPr>
      </w:pPr>
    </w:p>
    <w:p w14:paraId="3FB4CF98" w14:textId="77777777" w:rsidR="008F085B" w:rsidRDefault="008F085B" w:rsidP="008F085B">
      <w:r>
        <w:rPr>
          <w:rFonts w:ascii="Times New Roman" w:eastAsia="Times New Roman" w:hAnsi="Times New Roman" w:cs="Times New Roman"/>
          <w:b/>
          <w:bCs/>
          <w:color w:val="000000"/>
          <w:sz w:val="18"/>
          <w:szCs w:val="18"/>
          <w:lang w:val="en-IN" w:eastAsia="en-IN" w:bidi="hi-IN"/>
        </w:rPr>
        <w:t>FW-</w:t>
      </w:r>
      <w:r w:rsidRPr="008F085B">
        <w:rPr>
          <w:rFonts w:ascii="Times New Roman" w:eastAsia="Times New Roman" w:hAnsi="Times New Roman" w:cs="Times New Roman"/>
          <w:b/>
          <w:bCs/>
          <w:color w:val="000000"/>
          <w:sz w:val="18"/>
          <w:szCs w:val="18"/>
          <w:lang w:val="en-IN" w:eastAsia="en-IN" w:bidi="hi-IN"/>
        </w:rPr>
        <w:t>Fruit weight (g)</w:t>
      </w:r>
      <w:r>
        <w:rPr>
          <w:rFonts w:ascii="Times New Roman" w:eastAsia="Times New Roman" w:hAnsi="Times New Roman" w:cs="Times New Roman"/>
          <w:b/>
          <w:bCs/>
          <w:color w:val="000000"/>
          <w:sz w:val="18"/>
          <w:szCs w:val="18"/>
          <w:lang w:val="en-IN" w:eastAsia="en-IN" w:bidi="hi-IN"/>
        </w:rPr>
        <w:t>,</w:t>
      </w:r>
      <w:r w:rsidRPr="008F085B">
        <w:rPr>
          <w:rFonts w:ascii="Times New Roman" w:eastAsia="Times New Roman" w:hAnsi="Times New Roman" w:cs="Times New Roman"/>
          <w:b/>
          <w:bCs/>
          <w:color w:val="000000"/>
          <w:sz w:val="18"/>
          <w:szCs w:val="18"/>
          <w:lang w:val="en-IN" w:eastAsia="en-IN" w:bidi="hi-IN"/>
        </w:rPr>
        <w:t xml:space="preserve"> </w:t>
      </w:r>
      <w:r>
        <w:rPr>
          <w:rFonts w:ascii="Times New Roman" w:eastAsia="Times New Roman" w:hAnsi="Times New Roman" w:cs="Times New Roman"/>
          <w:b/>
          <w:bCs/>
          <w:color w:val="000000"/>
          <w:sz w:val="18"/>
          <w:szCs w:val="18"/>
          <w:lang w:val="en-IN" w:eastAsia="en-IN" w:bidi="hi-IN"/>
        </w:rPr>
        <w:t>FL-</w:t>
      </w:r>
      <w:r w:rsidRPr="008F085B">
        <w:rPr>
          <w:rFonts w:ascii="Times New Roman" w:eastAsia="Times New Roman" w:hAnsi="Times New Roman" w:cs="Times New Roman"/>
          <w:b/>
          <w:bCs/>
          <w:color w:val="000000"/>
          <w:sz w:val="18"/>
          <w:szCs w:val="18"/>
          <w:lang w:val="en-IN" w:eastAsia="en-IN" w:bidi="hi-IN"/>
        </w:rPr>
        <w:t>Fruit length (cm)</w:t>
      </w:r>
      <w:r>
        <w:rPr>
          <w:rFonts w:ascii="Times New Roman" w:eastAsia="Times New Roman" w:hAnsi="Times New Roman" w:cs="Times New Roman"/>
          <w:b/>
          <w:bCs/>
          <w:color w:val="000000"/>
          <w:sz w:val="18"/>
          <w:szCs w:val="18"/>
          <w:lang w:val="en-IN" w:eastAsia="en-IN" w:bidi="hi-IN"/>
        </w:rPr>
        <w:t>, FD-</w:t>
      </w:r>
      <w:r w:rsidRPr="008F085B">
        <w:rPr>
          <w:rFonts w:ascii="Times New Roman" w:eastAsia="Times New Roman" w:hAnsi="Times New Roman" w:cs="Times New Roman"/>
          <w:b/>
          <w:bCs/>
          <w:color w:val="000000"/>
          <w:sz w:val="18"/>
          <w:szCs w:val="18"/>
          <w:lang w:val="en-IN" w:eastAsia="en-IN" w:bidi="hi-IN"/>
        </w:rPr>
        <w:t xml:space="preserve"> Fruit diameter (cm)</w:t>
      </w:r>
      <w:r>
        <w:rPr>
          <w:rFonts w:ascii="Times New Roman" w:eastAsia="Times New Roman" w:hAnsi="Times New Roman" w:cs="Times New Roman"/>
          <w:b/>
          <w:bCs/>
          <w:color w:val="000000"/>
          <w:sz w:val="18"/>
          <w:szCs w:val="18"/>
          <w:lang w:val="en-IN" w:eastAsia="en-IN" w:bidi="hi-IN"/>
        </w:rPr>
        <w:t>, FV-</w:t>
      </w:r>
      <w:r w:rsidRPr="008F085B">
        <w:rPr>
          <w:rFonts w:ascii="Times New Roman" w:eastAsia="Times New Roman" w:hAnsi="Times New Roman" w:cs="Times New Roman"/>
          <w:b/>
          <w:bCs/>
          <w:color w:val="000000"/>
          <w:sz w:val="18"/>
          <w:szCs w:val="18"/>
          <w:lang w:val="en-IN" w:eastAsia="en-IN" w:bidi="hi-IN"/>
        </w:rPr>
        <w:t xml:space="preserve"> Fruit Volume (cm</w:t>
      </w:r>
      <w:r w:rsidRPr="008F085B">
        <w:rPr>
          <w:rFonts w:ascii="Times New Roman" w:eastAsia="Times New Roman" w:hAnsi="Times New Roman" w:cs="Times New Roman"/>
          <w:b/>
          <w:bCs/>
          <w:color w:val="000000"/>
          <w:sz w:val="18"/>
          <w:szCs w:val="18"/>
          <w:vertAlign w:val="superscript"/>
          <w:lang w:val="en-IN" w:eastAsia="en-IN" w:bidi="hi-IN"/>
        </w:rPr>
        <w:t>3</w:t>
      </w:r>
      <w:r w:rsidRPr="008F085B">
        <w:rPr>
          <w:rFonts w:ascii="Times New Roman" w:eastAsia="Times New Roman" w:hAnsi="Times New Roman" w:cs="Times New Roman"/>
          <w:b/>
          <w:bCs/>
          <w:color w:val="000000"/>
          <w:sz w:val="18"/>
          <w:szCs w:val="18"/>
          <w:lang w:val="en-IN" w:eastAsia="en-IN" w:bidi="hi-IN"/>
        </w:rPr>
        <w:t>)</w:t>
      </w:r>
      <w:r>
        <w:rPr>
          <w:rFonts w:ascii="Times New Roman" w:eastAsia="Times New Roman" w:hAnsi="Times New Roman" w:cs="Times New Roman"/>
          <w:b/>
          <w:bCs/>
          <w:color w:val="000000"/>
          <w:sz w:val="18"/>
          <w:szCs w:val="18"/>
          <w:lang w:val="en-IN" w:eastAsia="en-IN" w:bidi="hi-IN"/>
        </w:rPr>
        <w:t>, SG-</w:t>
      </w:r>
      <w:r w:rsidRPr="008F085B">
        <w:rPr>
          <w:rFonts w:ascii="Times New Roman" w:eastAsia="Times New Roman" w:hAnsi="Times New Roman" w:cs="Times New Roman"/>
          <w:b/>
          <w:bCs/>
          <w:color w:val="000000"/>
          <w:sz w:val="18"/>
          <w:szCs w:val="18"/>
          <w:lang w:val="en-IN" w:eastAsia="en-IN" w:bidi="hi-IN"/>
        </w:rPr>
        <w:t xml:space="preserve"> Specific gravity</w:t>
      </w:r>
      <w:r>
        <w:rPr>
          <w:rFonts w:ascii="Times New Roman" w:eastAsia="Times New Roman" w:hAnsi="Times New Roman" w:cs="Times New Roman"/>
          <w:b/>
          <w:bCs/>
          <w:color w:val="000000"/>
          <w:sz w:val="18"/>
          <w:szCs w:val="18"/>
          <w:lang w:val="en-IN" w:eastAsia="en-IN" w:bidi="hi-IN"/>
        </w:rPr>
        <w:t>, PW1-</w:t>
      </w:r>
      <w:r w:rsidRPr="008F085B">
        <w:rPr>
          <w:rFonts w:ascii="Times New Roman" w:eastAsia="Times New Roman" w:hAnsi="Times New Roman" w:cs="Times New Roman"/>
          <w:b/>
          <w:bCs/>
          <w:color w:val="000000"/>
          <w:sz w:val="18"/>
          <w:szCs w:val="18"/>
          <w:lang w:val="en-IN" w:eastAsia="en-IN" w:bidi="hi-IN"/>
        </w:rPr>
        <w:t xml:space="preserve"> Pulp weight (g)</w:t>
      </w:r>
      <w:r>
        <w:rPr>
          <w:rFonts w:ascii="Times New Roman" w:eastAsia="Times New Roman" w:hAnsi="Times New Roman" w:cs="Times New Roman"/>
          <w:b/>
          <w:bCs/>
          <w:color w:val="000000"/>
          <w:sz w:val="18"/>
          <w:szCs w:val="18"/>
          <w:lang w:val="en-IN" w:eastAsia="en-IN" w:bidi="hi-IN"/>
        </w:rPr>
        <w:t>, PW2</w:t>
      </w:r>
      <w:r w:rsidR="006F35AA">
        <w:rPr>
          <w:rFonts w:ascii="Times New Roman" w:eastAsia="Times New Roman" w:hAnsi="Times New Roman" w:cs="Times New Roman"/>
          <w:b/>
          <w:bCs/>
          <w:color w:val="000000"/>
          <w:sz w:val="18"/>
          <w:szCs w:val="18"/>
          <w:lang w:val="en-IN" w:eastAsia="en-IN" w:bidi="hi-IN"/>
        </w:rPr>
        <w:t>-</w:t>
      </w:r>
      <w:r w:rsidRPr="008F085B">
        <w:rPr>
          <w:rFonts w:ascii="Times New Roman" w:eastAsia="Times New Roman" w:hAnsi="Times New Roman" w:cs="Times New Roman"/>
          <w:b/>
          <w:bCs/>
          <w:color w:val="000000"/>
          <w:sz w:val="18"/>
          <w:szCs w:val="18"/>
          <w:lang w:val="en-IN" w:eastAsia="en-IN" w:bidi="hi-IN"/>
        </w:rPr>
        <w:t xml:space="preserve"> </w:t>
      </w:r>
      <w:r w:rsidR="009E485C">
        <w:rPr>
          <w:rFonts w:ascii="Times New Roman" w:eastAsia="Times New Roman" w:hAnsi="Times New Roman" w:cs="Times New Roman"/>
          <w:b/>
          <w:bCs/>
          <w:color w:val="000000"/>
          <w:sz w:val="18"/>
          <w:szCs w:val="18"/>
          <w:lang w:val="en-IN" w:eastAsia="en-IN" w:bidi="hi-IN"/>
        </w:rPr>
        <w:t xml:space="preserve">Peel </w:t>
      </w:r>
      <w:r w:rsidRPr="008F085B">
        <w:rPr>
          <w:rFonts w:ascii="Times New Roman" w:eastAsia="Times New Roman" w:hAnsi="Times New Roman" w:cs="Times New Roman"/>
          <w:b/>
          <w:bCs/>
          <w:color w:val="000000"/>
          <w:sz w:val="18"/>
          <w:szCs w:val="18"/>
          <w:lang w:val="en-IN" w:eastAsia="en-IN" w:bidi="hi-IN"/>
        </w:rPr>
        <w:t>weight (g)</w:t>
      </w:r>
      <w:r>
        <w:rPr>
          <w:rFonts w:ascii="Times New Roman" w:eastAsia="Times New Roman" w:hAnsi="Times New Roman" w:cs="Times New Roman"/>
          <w:b/>
          <w:bCs/>
          <w:color w:val="000000"/>
          <w:sz w:val="18"/>
          <w:szCs w:val="18"/>
          <w:lang w:val="en-IN" w:eastAsia="en-IN" w:bidi="hi-IN"/>
        </w:rPr>
        <w:t>, PPR-</w:t>
      </w:r>
      <w:r w:rsidRPr="008F085B">
        <w:rPr>
          <w:rFonts w:ascii="Times New Roman" w:eastAsia="Times New Roman" w:hAnsi="Times New Roman" w:cs="Times New Roman"/>
          <w:b/>
          <w:bCs/>
          <w:color w:val="000000"/>
          <w:sz w:val="18"/>
          <w:szCs w:val="18"/>
          <w:lang w:val="en-IN" w:eastAsia="en-IN" w:bidi="hi-IN"/>
        </w:rPr>
        <w:t xml:space="preserve"> Pulp peel ratio</w:t>
      </w:r>
      <w:r>
        <w:rPr>
          <w:rFonts w:ascii="Times New Roman" w:eastAsia="Times New Roman" w:hAnsi="Times New Roman" w:cs="Times New Roman"/>
          <w:b/>
          <w:bCs/>
          <w:color w:val="000000"/>
          <w:sz w:val="18"/>
          <w:szCs w:val="18"/>
          <w:lang w:val="en-IN" w:eastAsia="en-IN" w:bidi="hi-IN"/>
        </w:rPr>
        <w:t>, PT1-</w:t>
      </w:r>
      <w:r w:rsidRPr="008F085B">
        <w:rPr>
          <w:rFonts w:ascii="Times New Roman" w:eastAsia="Times New Roman" w:hAnsi="Times New Roman" w:cs="Times New Roman"/>
          <w:b/>
          <w:bCs/>
          <w:color w:val="000000"/>
          <w:sz w:val="18"/>
          <w:szCs w:val="18"/>
          <w:lang w:val="en-IN" w:eastAsia="en-IN" w:bidi="hi-IN"/>
        </w:rPr>
        <w:t>Pulp thickness (cm)</w:t>
      </w:r>
      <w:r>
        <w:rPr>
          <w:rFonts w:ascii="Times New Roman" w:eastAsia="Times New Roman" w:hAnsi="Times New Roman" w:cs="Times New Roman"/>
          <w:b/>
          <w:bCs/>
          <w:color w:val="000000"/>
          <w:sz w:val="18"/>
          <w:szCs w:val="18"/>
          <w:lang w:val="en-IN" w:eastAsia="en-IN" w:bidi="hi-IN"/>
        </w:rPr>
        <w:t>, PT2-</w:t>
      </w:r>
      <w:r w:rsidRPr="008F085B">
        <w:rPr>
          <w:rFonts w:ascii="Times New Roman" w:eastAsia="Times New Roman" w:hAnsi="Times New Roman" w:cs="Times New Roman"/>
          <w:b/>
          <w:bCs/>
          <w:color w:val="000000"/>
          <w:sz w:val="18"/>
          <w:szCs w:val="18"/>
          <w:lang w:val="en-IN" w:eastAsia="en-IN" w:bidi="hi-IN"/>
        </w:rPr>
        <w:t xml:space="preserve"> Peel thickness (cm)</w:t>
      </w:r>
      <w:r>
        <w:rPr>
          <w:rFonts w:ascii="Times New Roman" w:eastAsia="Times New Roman" w:hAnsi="Times New Roman" w:cs="Times New Roman"/>
          <w:b/>
          <w:bCs/>
          <w:color w:val="000000"/>
          <w:sz w:val="18"/>
          <w:szCs w:val="18"/>
          <w:lang w:val="en-IN" w:eastAsia="en-IN" w:bidi="hi-IN"/>
        </w:rPr>
        <w:t>,</w:t>
      </w:r>
      <w:r w:rsidRPr="008F085B">
        <w:rPr>
          <w:rFonts w:ascii="Times New Roman" w:eastAsia="Times New Roman" w:hAnsi="Times New Roman" w:cs="Times New Roman"/>
          <w:b/>
          <w:bCs/>
          <w:color w:val="000000"/>
          <w:sz w:val="18"/>
          <w:szCs w:val="18"/>
          <w:lang w:val="en-IN" w:eastAsia="en-IN" w:bidi="hi-IN"/>
        </w:rPr>
        <w:t xml:space="preserve"> TSS (° Brix)</w:t>
      </w:r>
      <w:r>
        <w:rPr>
          <w:rFonts w:ascii="Times New Roman" w:eastAsia="Times New Roman" w:hAnsi="Times New Roman" w:cs="Times New Roman"/>
          <w:b/>
          <w:bCs/>
          <w:color w:val="000000"/>
          <w:sz w:val="18"/>
          <w:szCs w:val="18"/>
          <w:lang w:val="en-IN" w:eastAsia="en-IN" w:bidi="hi-IN"/>
        </w:rPr>
        <w:t>, TS-</w:t>
      </w:r>
      <w:r w:rsidRPr="008F085B">
        <w:rPr>
          <w:rFonts w:ascii="Times New Roman" w:eastAsia="Times New Roman" w:hAnsi="Times New Roman" w:cs="Times New Roman"/>
          <w:b/>
          <w:bCs/>
          <w:color w:val="000000"/>
          <w:sz w:val="18"/>
          <w:szCs w:val="18"/>
          <w:lang w:val="en-IN" w:eastAsia="en-IN" w:bidi="hi-IN"/>
        </w:rPr>
        <w:t xml:space="preserve"> Total sugar (%)</w:t>
      </w:r>
      <w:r>
        <w:rPr>
          <w:rFonts w:ascii="Times New Roman" w:eastAsia="Times New Roman" w:hAnsi="Times New Roman" w:cs="Times New Roman"/>
          <w:b/>
          <w:bCs/>
          <w:color w:val="000000"/>
          <w:sz w:val="18"/>
          <w:szCs w:val="18"/>
          <w:lang w:val="en-IN" w:eastAsia="en-IN" w:bidi="hi-IN"/>
        </w:rPr>
        <w:t>,</w:t>
      </w:r>
      <w:r w:rsidR="009E485C">
        <w:rPr>
          <w:rFonts w:ascii="Times New Roman" w:eastAsia="Times New Roman" w:hAnsi="Times New Roman" w:cs="Times New Roman"/>
          <w:b/>
          <w:bCs/>
          <w:color w:val="000000"/>
          <w:sz w:val="18"/>
          <w:szCs w:val="18"/>
          <w:lang w:val="en-IN" w:eastAsia="en-IN" w:bidi="hi-IN"/>
        </w:rPr>
        <w:t xml:space="preserve"> </w:t>
      </w:r>
      <w:r w:rsidR="006F35AA">
        <w:rPr>
          <w:rFonts w:ascii="Times New Roman" w:eastAsia="Times New Roman" w:hAnsi="Times New Roman" w:cs="Times New Roman"/>
          <w:b/>
          <w:bCs/>
          <w:color w:val="000000"/>
          <w:sz w:val="18"/>
          <w:szCs w:val="18"/>
          <w:lang w:val="en-IN" w:eastAsia="en-IN" w:bidi="hi-IN"/>
        </w:rPr>
        <w:t>AC-</w:t>
      </w:r>
      <w:r w:rsidR="006F35AA" w:rsidRPr="006F35AA">
        <w:rPr>
          <w:rFonts w:ascii="Times New Roman" w:eastAsia="Times New Roman" w:hAnsi="Times New Roman" w:cs="Times New Roman"/>
          <w:b/>
          <w:bCs/>
          <w:color w:val="000000"/>
          <w:sz w:val="18"/>
          <w:szCs w:val="18"/>
          <w:lang w:val="en-IN" w:eastAsia="en-IN" w:bidi="hi-IN"/>
        </w:rPr>
        <w:t xml:space="preserve"> </w:t>
      </w:r>
      <w:r w:rsidR="006F35AA" w:rsidRPr="008F085B">
        <w:rPr>
          <w:rFonts w:ascii="Times New Roman" w:eastAsia="Times New Roman" w:hAnsi="Times New Roman" w:cs="Times New Roman"/>
          <w:b/>
          <w:bCs/>
          <w:color w:val="000000"/>
          <w:sz w:val="18"/>
          <w:szCs w:val="18"/>
          <w:lang w:val="en-IN" w:eastAsia="en-IN" w:bidi="hi-IN"/>
        </w:rPr>
        <w:t>Acidity (%)</w:t>
      </w:r>
      <w:r w:rsidR="006F35AA">
        <w:rPr>
          <w:rFonts w:ascii="Times New Roman" w:eastAsia="Times New Roman" w:hAnsi="Times New Roman" w:cs="Times New Roman"/>
          <w:b/>
          <w:bCs/>
          <w:color w:val="000000"/>
          <w:sz w:val="18"/>
          <w:szCs w:val="18"/>
          <w:lang w:val="en-IN" w:eastAsia="en-IN" w:bidi="hi-IN"/>
        </w:rPr>
        <w:t>, TSAC-</w:t>
      </w:r>
      <w:r w:rsidR="006F35AA" w:rsidRPr="006F35AA">
        <w:rPr>
          <w:rFonts w:ascii="Times New Roman" w:eastAsia="Times New Roman" w:hAnsi="Times New Roman" w:cs="Times New Roman"/>
          <w:b/>
          <w:bCs/>
          <w:color w:val="000000"/>
          <w:sz w:val="18"/>
          <w:szCs w:val="18"/>
          <w:lang w:val="en-IN" w:eastAsia="en-IN" w:bidi="hi-IN"/>
        </w:rPr>
        <w:t xml:space="preserve"> </w:t>
      </w:r>
      <w:r w:rsidR="006F35AA" w:rsidRPr="008F085B">
        <w:rPr>
          <w:rFonts w:ascii="Times New Roman" w:eastAsia="Times New Roman" w:hAnsi="Times New Roman" w:cs="Times New Roman"/>
          <w:b/>
          <w:bCs/>
          <w:color w:val="000000"/>
          <w:sz w:val="18"/>
          <w:szCs w:val="18"/>
          <w:lang w:val="en-IN" w:eastAsia="en-IN" w:bidi="hi-IN"/>
        </w:rPr>
        <w:t>TSS: acid ratio</w:t>
      </w:r>
      <w:r w:rsidR="006F35AA">
        <w:rPr>
          <w:rFonts w:ascii="Times New Roman" w:eastAsia="Times New Roman" w:hAnsi="Times New Roman" w:cs="Times New Roman"/>
          <w:b/>
          <w:bCs/>
          <w:color w:val="000000"/>
          <w:sz w:val="18"/>
          <w:szCs w:val="18"/>
          <w:lang w:val="en-IN" w:eastAsia="en-IN" w:bidi="hi-IN"/>
        </w:rPr>
        <w:t>, AA-</w:t>
      </w:r>
      <w:r w:rsidR="006F35AA" w:rsidRPr="006F35AA">
        <w:rPr>
          <w:rFonts w:ascii="Times New Roman" w:eastAsia="Times New Roman" w:hAnsi="Times New Roman" w:cs="Times New Roman"/>
          <w:b/>
          <w:bCs/>
          <w:color w:val="000000"/>
          <w:sz w:val="18"/>
          <w:szCs w:val="18"/>
          <w:lang w:val="en-IN" w:eastAsia="en-IN" w:bidi="hi-IN"/>
        </w:rPr>
        <w:t xml:space="preserve"> </w:t>
      </w:r>
      <w:r w:rsidR="006F35AA" w:rsidRPr="008F085B">
        <w:rPr>
          <w:rFonts w:ascii="Times New Roman" w:eastAsia="Times New Roman" w:hAnsi="Times New Roman" w:cs="Times New Roman"/>
          <w:b/>
          <w:bCs/>
          <w:color w:val="000000"/>
          <w:sz w:val="18"/>
          <w:szCs w:val="18"/>
          <w:lang w:val="en-IN" w:eastAsia="en-IN" w:bidi="hi-IN"/>
        </w:rPr>
        <w:t>Ascorbic acid (mg/ 100 g)</w:t>
      </w:r>
    </w:p>
    <w:sectPr w:rsidR="008F085B" w:rsidSect="008F085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9AB4" w14:textId="77777777" w:rsidR="005E25A2" w:rsidRDefault="005E25A2" w:rsidP="00CA485F">
      <w:pPr>
        <w:spacing w:after="0" w:line="240" w:lineRule="auto"/>
      </w:pPr>
      <w:r>
        <w:separator/>
      </w:r>
    </w:p>
  </w:endnote>
  <w:endnote w:type="continuationSeparator" w:id="0">
    <w:p w14:paraId="355366C8" w14:textId="77777777" w:rsidR="005E25A2" w:rsidRDefault="005E25A2" w:rsidP="00CA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308B" w14:textId="77777777" w:rsidR="00CA485F" w:rsidRDefault="00CA4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B917" w14:textId="77777777" w:rsidR="00CA485F" w:rsidRDefault="00CA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3A00" w14:textId="77777777" w:rsidR="00CA485F" w:rsidRDefault="00CA4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88D0" w14:textId="77777777" w:rsidR="005E25A2" w:rsidRDefault="005E25A2" w:rsidP="00CA485F">
      <w:pPr>
        <w:spacing w:after="0" w:line="240" w:lineRule="auto"/>
      </w:pPr>
      <w:r>
        <w:separator/>
      </w:r>
    </w:p>
  </w:footnote>
  <w:footnote w:type="continuationSeparator" w:id="0">
    <w:p w14:paraId="4E2F8312" w14:textId="77777777" w:rsidR="005E25A2" w:rsidRDefault="005E25A2" w:rsidP="00CA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EE92" w14:textId="27D74D0D" w:rsidR="00CA485F" w:rsidRDefault="00CA485F">
    <w:pPr>
      <w:pStyle w:val="Header"/>
    </w:pPr>
    <w:r>
      <w:rPr>
        <w:noProof/>
      </w:rPr>
      <w:pict w14:anchorId="21FAA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EA80" w14:textId="5FCD1868" w:rsidR="00CA485F" w:rsidRDefault="00CA485F">
    <w:pPr>
      <w:pStyle w:val="Header"/>
    </w:pPr>
    <w:r>
      <w:rPr>
        <w:noProof/>
      </w:rPr>
      <w:pict w14:anchorId="24C97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7A7C" w14:textId="0C912140" w:rsidR="00CA485F" w:rsidRDefault="00CA485F">
    <w:pPr>
      <w:pStyle w:val="Header"/>
    </w:pPr>
    <w:r>
      <w:rPr>
        <w:noProof/>
      </w:rPr>
      <w:pict w14:anchorId="4F8DC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602"/>
    <w:rsid w:val="00055602"/>
    <w:rsid w:val="0027164F"/>
    <w:rsid w:val="002D343A"/>
    <w:rsid w:val="002D69D5"/>
    <w:rsid w:val="002E4093"/>
    <w:rsid w:val="0030212B"/>
    <w:rsid w:val="00361E34"/>
    <w:rsid w:val="003C0616"/>
    <w:rsid w:val="004461C0"/>
    <w:rsid w:val="0047331C"/>
    <w:rsid w:val="00524A8B"/>
    <w:rsid w:val="00536837"/>
    <w:rsid w:val="005C2A58"/>
    <w:rsid w:val="005E25A2"/>
    <w:rsid w:val="006608FA"/>
    <w:rsid w:val="006D7297"/>
    <w:rsid w:val="006F35AA"/>
    <w:rsid w:val="00756B32"/>
    <w:rsid w:val="007C4EDE"/>
    <w:rsid w:val="008F085B"/>
    <w:rsid w:val="00915986"/>
    <w:rsid w:val="00953D37"/>
    <w:rsid w:val="009A4F99"/>
    <w:rsid w:val="009C4813"/>
    <w:rsid w:val="009E485C"/>
    <w:rsid w:val="00AF44A6"/>
    <w:rsid w:val="00AF5EEC"/>
    <w:rsid w:val="00B41109"/>
    <w:rsid w:val="00B74F9A"/>
    <w:rsid w:val="00BB537A"/>
    <w:rsid w:val="00CA485F"/>
    <w:rsid w:val="00D0597C"/>
    <w:rsid w:val="00E74BC3"/>
    <w:rsid w:val="00EB199D"/>
    <w:rsid w:val="00ED6C76"/>
    <w:rsid w:val="00FA3B4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DB4037"/>
  <w15:docId w15:val="{20395DCD-4F4D-4678-9F4F-3E8B7E1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5602"/>
    <w:pPr>
      <w:widowControl w:val="0"/>
      <w:autoSpaceDE w:val="0"/>
      <w:autoSpaceDN w:val="0"/>
      <w:spacing w:after="0" w:line="240" w:lineRule="auto"/>
      <w:ind w:left="839"/>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5560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56B32"/>
    <w:rPr>
      <w:rFonts w:ascii="Times New Roman" w:hAnsi="Times New Roman" w:cs="Mangal"/>
      <w:kern w:val="2"/>
      <w:sz w:val="24"/>
      <w:szCs w:val="21"/>
      <w:lang w:val="en-IN" w:bidi="hi-IN"/>
    </w:rPr>
  </w:style>
  <w:style w:type="character" w:styleId="Hyperlink">
    <w:name w:val="Hyperlink"/>
    <w:basedOn w:val="DefaultParagraphFont"/>
    <w:uiPriority w:val="99"/>
    <w:unhideWhenUsed/>
    <w:rsid w:val="00756B32"/>
    <w:rPr>
      <w:color w:val="0563C1" w:themeColor="hyperlink"/>
      <w:u w:val="single"/>
    </w:rPr>
  </w:style>
  <w:style w:type="table" w:styleId="TableGrid">
    <w:name w:val="Table Grid"/>
    <w:basedOn w:val="TableNormal"/>
    <w:uiPriority w:val="39"/>
    <w:rsid w:val="00BB53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B199D"/>
    <w:rPr>
      <w:color w:val="605E5C"/>
      <w:shd w:val="clear" w:color="auto" w:fill="E1DFDD"/>
    </w:rPr>
  </w:style>
  <w:style w:type="paragraph" w:styleId="ListParagraph">
    <w:name w:val="List Paragraph"/>
    <w:basedOn w:val="Normal"/>
    <w:uiPriority w:val="34"/>
    <w:qFormat/>
    <w:rsid w:val="00EB199D"/>
    <w:pPr>
      <w:ind w:left="720"/>
      <w:contextualSpacing/>
    </w:pPr>
  </w:style>
  <w:style w:type="paragraph" w:styleId="Header">
    <w:name w:val="header"/>
    <w:basedOn w:val="Normal"/>
    <w:link w:val="HeaderChar"/>
    <w:uiPriority w:val="99"/>
    <w:unhideWhenUsed/>
    <w:rsid w:val="00CA4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5F"/>
  </w:style>
  <w:style w:type="paragraph" w:styleId="Footer">
    <w:name w:val="footer"/>
    <w:basedOn w:val="Normal"/>
    <w:link w:val="FooterChar"/>
    <w:uiPriority w:val="99"/>
    <w:unhideWhenUsed/>
    <w:rsid w:val="00CA4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6033">
      <w:bodyDiv w:val="1"/>
      <w:marLeft w:val="0"/>
      <w:marRight w:val="0"/>
      <w:marTop w:val="0"/>
      <w:marBottom w:val="0"/>
      <w:divBdr>
        <w:top w:val="none" w:sz="0" w:space="0" w:color="auto"/>
        <w:left w:val="none" w:sz="0" w:space="0" w:color="auto"/>
        <w:bottom w:val="none" w:sz="0" w:space="0" w:color="auto"/>
        <w:right w:val="none" w:sz="0" w:space="0" w:color="auto"/>
      </w:divBdr>
    </w:div>
    <w:div w:id="653486728">
      <w:bodyDiv w:val="1"/>
      <w:marLeft w:val="0"/>
      <w:marRight w:val="0"/>
      <w:marTop w:val="0"/>
      <w:marBottom w:val="0"/>
      <w:divBdr>
        <w:top w:val="none" w:sz="0" w:space="0" w:color="auto"/>
        <w:left w:val="none" w:sz="0" w:space="0" w:color="auto"/>
        <w:bottom w:val="none" w:sz="0" w:space="0" w:color="auto"/>
        <w:right w:val="none" w:sz="0" w:space="0" w:color="auto"/>
      </w:divBdr>
    </w:div>
    <w:div w:id="702024374">
      <w:bodyDiv w:val="1"/>
      <w:marLeft w:val="0"/>
      <w:marRight w:val="0"/>
      <w:marTop w:val="0"/>
      <w:marBottom w:val="0"/>
      <w:divBdr>
        <w:top w:val="none" w:sz="0" w:space="0" w:color="auto"/>
        <w:left w:val="none" w:sz="0" w:space="0" w:color="auto"/>
        <w:bottom w:val="none" w:sz="0" w:space="0" w:color="auto"/>
        <w:right w:val="none" w:sz="0" w:space="0" w:color="auto"/>
      </w:divBdr>
    </w:div>
    <w:div w:id="790707035">
      <w:bodyDiv w:val="1"/>
      <w:marLeft w:val="0"/>
      <w:marRight w:val="0"/>
      <w:marTop w:val="0"/>
      <w:marBottom w:val="0"/>
      <w:divBdr>
        <w:top w:val="none" w:sz="0" w:space="0" w:color="auto"/>
        <w:left w:val="none" w:sz="0" w:space="0" w:color="auto"/>
        <w:bottom w:val="none" w:sz="0" w:space="0" w:color="auto"/>
        <w:right w:val="none" w:sz="0" w:space="0" w:color="auto"/>
      </w:divBdr>
    </w:div>
    <w:div w:id="813255685">
      <w:bodyDiv w:val="1"/>
      <w:marLeft w:val="0"/>
      <w:marRight w:val="0"/>
      <w:marTop w:val="0"/>
      <w:marBottom w:val="0"/>
      <w:divBdr>
        <w:top w:val="none" w:sz="0" w:space="0" w:color="auto"/>
        <w:left w:val="none" w:sz="0" w:space="0" w:color="auto"/>
        <w:bottom w:val="none" w:sz="0" w:space="0" w:color="auto"/>
        <w:right w:val="none" w:sz="0" w:space="0" w:color="auto"/>
      </w:divBdr>
    </w:div>
    <w:div w:id="874193028">
      <w:bodyDiv w:val="1"/>
      <w:marLeft w:val="0"/>
      <w:marRight w:val="0"/>
      <w:marTop w:val="0"/>
      <w:marBottom w:val="0"/>
      <w:divBdr>
        <w:top w:val="none" w:sz="0" w:space="0" w:color="auto"/>
        <w:left w:val="none" w:sz="0" w:space="0" w:color="auto"/>
        <w:bottom w:val="none" w:sz="0" w:space="0" w:color="auto"/>
        <w:right w:val="none" w:sz="0" w:space="0" w:color="auto"/>
      </w:divBdr>
    </w:div>
    <w:div w:id="1311790833">
      <w:bodyDiv w:val="1"/>
      <w:marLeft w:val="0"/>
      <w:marRight w:val="0"/>
      <w:marTop w:val="0"/>
      <w:marBottom w:val="0"/>
      <w:divBdr>
        <w:top w:val="none" w:sz="0" w:space="0" w:color="auto"/>
        <w:left w:val="none" w:sz="0" w:space="0" w:color="auto"/>
        <w:bottom w:val="none" w:sz="0" w:space="0" w:color="auto"/>
        <w:right w:val="none" w:sz="0" w:space="0" w:color="auto"/>
      </w:divBdr>
    </w:div>
    <w:div w:id="1621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12</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LAPPY</dc:creator>
  <cp:keywords/>
  <dc:description/>
  <cp:lastModifiedBy>SDI 1084</cp:lastModifiedBy>
  <cp:revision>17</cp:revision>
  <dcterms:created xsi:type="dcterms:W3CDTF">2025-03-01T19:18:00Z</dcterms:created>
  <dcterms:modified xsi:type="dcterms:W3CDTF">2025-03-12T10:12:00Z</dcterms:modified>
</cp:coreProperties>
</file>