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956F8" w14:textId="4DB557BB" w:rsidR="00894969" w:rsidRDefault="00894969" w:rsidP="00ED1101">
      <w:pPr>
        <w:pStyle w:val="Heading1"/>
        <w:spacing w:before="0" w:line="240" w:lineRule="auto"/>
        <w:jc w:val="center"/>
        <w:rPr>
          <w:rFonts w:ascii="Arial" w:eastAsiaTheme="minorHAnsi" w:hAnsi="Arial" w:cs="Arial"/>
          <w:b/>
          <w:bCs/>
          <w:color w:val="auto"/>
          <w:sz w:val="24"/>
          <w:szCs w:val="24"/>
        </w:rPr>
      </w:pPr>
      <w:r w:rsidRPr="00894969">
        <w:rPr>
          <w:rFonts w:ascii="Arial" w:eastAsiaTheme="minorHAnsi" w:hAnsi="Arial" w:cs="Arial"/>
          <w:b/>
          <w:bCs/>
          <w:color w:val="auto"/>
          <w:sz w:val="24"/>
          <w:szCs w:val="24"/>
        </w:rPr>
        <w:t>Profiling Innovative Farm Women in Coastal Odisha: Socio</w:t>
      </w:r>
      <w:r w:rsidR="00F20AD1">
        <w:rPr>
          <w:rFonts w:ascii="Arial" w:eastAsiaTheme="minorHAnsi" w:hAnsi="Arial" w:cs="Arial"/>
          <w:b/>
          <w:bCs/>
          <w:color w:val="auto"/>
          <w:sz w:val="24"/>
          <w:szCs w:val="24"/>
        </w:rPr>
        <w:t xml:space="preserve"> </w:t>
      </w:r>
      <w:r w:rsidR="008A48F6">
        <w:rPr>
          <w:rFonts w:ascii="Arial" w:eastAsiaTheme="minorHAnsi" w:hAnsi="Arial" w:cs="Arial"/>
          <w:b/>
          <w:bCs/>
          <w:color w:val="auto"/>
          <w:sz w:val="24"/>
          <w:szCs w:val="24"/>
        </w:rPr>
        <w:t>Demographic</w:t>
      </w:r>
      <w:r w:rsidR="00F20AD1">
        <w:rPr>
          <w:rFonts w:ascii="Arial" w:eastAsiaTheme="minorHAnsi" w:hAnsi="Arial" w:cs="Arial"/>
          <w:b/>
          <w:bCs/>
          <w:color w:val="auto"/>
          <w:sz w:val="24"/>
          <w:szCs w:val="24"/>
        </w:rPr>
        <w:t>-</w:t>
      </w:r>
      <w:r w:rsidRPr="00894969">
        <w:rPr>
          <w:rFonts w:ascii="Arial" w:eastAsiaTheme="minorHAnsi" w:hAnsi="Arial" w:cs="Arial"/>
          <w:b/>
          <w:bCs/>
          <w:color w:val="auto"/>
          <w:sz w:val="24"/>
          <w:szCs w:val="24"/>
        </w:rPr>
        <w:t>Economic</w:t>
      </w:r>
      <w:r w:rsidR="00F20AD1">
        <w:rPr>
          <w:rFonts w:ascii="Arial" w:eastAsiaTheme="minorHAnsi" w:hAnsi="Arial" w:cs="Arial"/>
          <w:b/>
          <w:bCs/>
          <w:color w:val="auto"/>
          <w:sz w:val="24"/>
          <w:szCs w:val="24"/>
        </w:rPr>
        <w:t>-Communication</w:t>
      </w:r>
      <w:r w:rsidRPr="00894969">
        <w:rPr>
          <w:rFonts w:ascii="Arial" w:eastAsiaTheme="minorHAnsi" w:hAnsi="Arial" w:cs="Arial"/>
          <w:b/>
          <w:bCs/>
          <w:color w:val="auto"/>
          <w:sz w:val="24"/>
          <w:szCs w:val="24"/>
        </w:rPr>
        <w:t xml:space="preserve"> Perspectives</w:t>
      </w:r>
    </w:p>
    <w:p w14:paraId="318581DB" w14:textId="77777777" w:rsidR="00640284" w:rsidRPr="00640284" w:rsidRDefault="00640284" w:rsidP="00640284"/>
    <w:p w14:paraId="6A78D13B" w14:textId="77777777" w:rsidR="00640284" w:rsidRPr="00640284" w:rsidRDefault="00640284" w:rsidP="00640284"/>
    <w:p w14:paraId="07F860FA" w14:textId="77777777" w:rsidR="00ED1101" w:rsidRPr="0053414D" w:rsidRDefault="00ED1101" w:rsidP="00ED1101">
      <w:pPr>
        <w:pStyle w:val="Heading1"/>
        <w:spacing w:line="276" w:lineRule="auto"/>
        <w:jc w:val="both"/>
        <w:rPr>
          <w:rFonts w:ascii="Arial" w:eastAsiaTheme="minorHAnsi" w:hAnsi="Arial" w:cs="Arial"/>
          <w:b/>
          <w:bCs/>
          <w:color w:val="auto"/>
          <w:sz w:val="24"/>
          <w:szCs w:val="24"/>
        </w:rPr>
      </w:pPr>
      <w:r w:rsidRPr="0053414D">
        <w:rPr>
          <w:rFonts w:ascii="Arial" w:eastAsiaTheme="minorHAnsi" w:hAnsi="Arial" w:cs="Arial"/>
          <w:b/>
          <w:bCs/>
          <w:color w:val="auto"/>
          <w:sz w:val="24"/>
          <w:szCs w:val="24"/>
        </w:rPr>
        <w:t>ABSTRACT:</w:t>
      </w:r>
    </w:p>
    <w:p w14:paraId="5231777E" w14:textId="3C6124FB" w:rsidR="00542153" w:rsidRPr="008D2073" w:rsidRDefault="009B151F" w:rsidP="00422D0C">
      <w:pPr>
        <w:jc w:val="both"/>
        <w:rPr>
          <w:rFonts w:ascii="Arial" w:hAnsi="Arial" w:cs="Arial"/>
          <w:sz w:val="20"/>
          <w:szCs w:val="20"/>
        </w:rPr>
      </w:pPr>
      <w:r w:rsidRPr="0053414D">
        <w:rPr>
          <w:rFonts w:ascii="Arial" w:hAnsi="Arial" w:cs="Arial"/>
          <w:sz w:val="20"/>
          <w:szCs w:val="20"/>
        </w:rPr>
        <w:t xml:space="preserve">In Indian society, women have a </w:t>
      </w:r>
      <w:r w:rsidR="004F4548" w:rsidRPr="0053414D">
        <w:rPr>
          <w:rFonts w:ascii="Arial" w:hAnsi="Arial" w:cs="Arial"/>
          <w:sz w:val="20"/>
          <w:szCs w:val="20"/>
        </w:rPr>
        <w:t>multi-dimensional</w:t>
      </w:r>
      <w:r w:rsidRPr="0053414D">
        <w:rPr>
          <w:rFonts w:ascii="Arial" w:hAnsi="Arial" w:cs="Arial"/>
          <w:sz w:val="20"/>
          <w:szCs w:val="20"/>
        </w:rPr>
        <w:t xml:space="preserve"> role. </w:t>
      </w:r>
      <w:r w:rsidR="000C6677" w:rsidRPr="000C6677">
        <w:rPr>
          <w:rFonts w:ascii="Arial" w:hAnsi="Arial" w:cs="Arial"/>
          <w:sz w:val="20"/>
          <w:szCs w:val="20"/>
        </w:rPr>
        <w:t>A significant proportion of women in India participate in agricultural activities, serving as cultivators, supervisors, or labourers in the farming sector. A comprehensive investigation was carried out to evaluate the socio-economic characteristics of women engaged in agriculture within the coastal districts of Odisha for the year 2023-24, emphasising their contributions to agricultural networking and the dissemination of information. A random sampling technique was utilised to choose 240 participants from Ganjam district, noted for having the highest proportion of female agricultural labourers. Data collection was conducted via household surveys in the years 2023-24, focussing on various factors including age, education, caste, family structure, family size, marital status, farming experience, type of housing, social engagement, and cosmopolitanism. The results reveal that a substantial majority of participants (65.83%) are situated in the productive age range of 30-50 years, with a noteworthy percentage (70%) identified as part of the General caste category. The levels of education exhibited considerable variation, with 40.83% achieving a high school education, underscoring the significance of literacy in making agricultural decisions. The analysis further examined economic parameters, indicating that 48.33% of the participants belong to the medium-income category. Furthermore, the evaluation of communication and extension participation revealed that 49.17% of individuals had a moderate level of communication resources, yet exposure to mass media and involvement in extension activities were notably limited. The results highlight the necessity for enhanced access to agricultural communication resources and services that are responsive to gender considerations. This investigation enhances comprehension of the socio-economic dynamics surrounding coastal farm women and their contributions to agricultural development, highlighting the significance of improved networking and information sharing.</w:t>
      </w:r>
    </w:p>
    <w:p w14:paraId="697C86EB" w14:textId="12363CF4" w:rsidR="00572B04" w:rsidRPr="0053414D" w:rsidRDefault="001F44E2">
      <w:pPr>
        <w:rPr>
          <w:rFonts w:ascii="Arial" w:hAnsi="Arial" w:cs="Arial"/>
          <w:sz w:val="20"/>
          <w:szCs w:val="20"/>
        </w:rPr>
      </w:pPr>
      <w:r w:rsidRPr="0053414D">
        <w:rPr>
          <w:rFonts w:ascii="Arial" w:hAnsi="Arial" w:cs="Arial"/>
          <w:sz w:val="20"/>
          <w:szCs w:val="20"/>
        </w:rPr>
        <w:t xml:space="preserve">Keywords: </w:t>
      </w:r>
      <w:r w:rsidR="000A48B0" w:rsidRPr="000A48B0">
        <w:rPr>
          <w:rFonts w:ascii="Arial" w:hAnsi="Arial" w:cs="Arial"/>
          <w:sz w:val="20"/>
          <w:szCs w:val="20"/>
        </w:rPr>
        <w:t xml:space="preserve">Agriculture; </w:t>
      </w:r>
      <w:r w:rsidR="000A48B0">
        <w:rPr>
          <w:rFonts w:ascii="Arial" w:hAnsi="Arial" w:cs="Arial"/>
          <w:sz w:val="20"/>
          <w:szCs w:val="20"/>
        </w:rPr>
        <w:t>farm women</w:t>
      </w:r>
      <w:r w:rsidR="000A48B0" w:rsidRPr="000A48B0">
        <w:rPr>
          <w:rFonts w:ascii="Arial" w:hAnsi="Arial" w:cs="Arial"/>
          <w:sz w:val="20"/>
          <w:szCs w:val="20"/>
        </w:rPr>
        <w:t xml:space="preserve">; </w:t>
      </w:r>
      <w:r w:rsidR="004C2456" w:rsidRPr="000A48B0">
        <w:rPr>
          <w:rFonts w:ascii="Arial" w:hAnsi="Arial" w:cs="Arial"/>
          <w:sz w:val="20"/>
          <w:szCs w:val="20"/>
        </w:rPr>
        <w:t>Odisha;</w:t>
      </w:r>
      <w:r w:rsidR="004C2456">
        <w:rPr>
          <w:rFonts w:ascii="Arial" w:hAnsi="Arial" w:cs="Arial"/>
          <w:sz w:val="20"/>
          <w:szCs w:val="20"/>
        </w:rPr>
        <w:t xml:space="preserve"> </w:t>
      </w:r>
      <w:r w:rsidR="000A48B0" w:rsidRPr="000A48B0">
        <w:rPr>
          <w:rFonts w:ascii="Arial" w:hAnsi="Arial" w:cs="Arial"/>
          <w:sz w:val="20"/>
          <w:szCs w:val="20"/>
        </w:rPr>
        <w:t>socio-economic attributes.</w:t>
      </w:r>
    </w:p>
    <w:p w14:paraId="711F29BF" w14:textId="77777777" w:rsidR="0033053E" w:rsidRDefault="0033053E">
      <w:pPr>
        <w:rPr>
          <w:rFonts w:ascii="Arial" w:hAnsi="Arial" w:cs="Arial"/>
          <w:b/>
          <w:bCs/>
          <w:sz w:val="22"/>
          <w:szCs w:val="22"/>
        </w:rPr>
      </w:pPr>
    </w:p>
    <w:p w14:paraId="5C9BAD90" w14:textId="76728F99" w:rsidR="001F44E2" w:rsidRPr="0053414D" w:rsidRDefault="00EF21F4">
      <w:pPr>
        <w:rPr>
          <w:rFonts w:ascii="Arial" w:hAnsi="Arial" w:cs="Arial"/>
          <w:b/>
          <w:bCs/>
        </w:rPr>
      </w:pPr>
      <w:r w:rsidRPr="0053414D">
        <w:rPr>
          <w:rFonts w:ascii="Arial" w:hAnsi="Arial" w:cs="Arial"/>
          <w:b/>
          <w:bCs/>
          <w:sz w:val="22"/>
          <w:szCs w:val="22"/>
        </w:rPr>
        <w:t>INTRODUCTION</w:t>
      </w:r>
    </w:p>
    <w:p w14:paraId="1A7986A6" w14:textId="77777777" w:rsidR="003B05AE" w:rsidRPr="003B05AE" w:rsidRDefault="003B05AE" w:rsidP="003B05AE">
      <w:pPr>
        <w:jc w:val="both"/>
        <w:rPr>
          <w:rFonts w:ascii="Arial" w:hAnsi="Arial" w:cs="Arial"/>
          <w:sz w:val="20"/>
          <w:szCs w:val="20"/>
        </w:rPr>
      </w:pPr>
      <w:r w:rsidRPr="003B05AE">
        <w:rPr>
          <w:rFonts w:ascii="Arial" w:hAnsi="Arial" w:cs="Arial"/>
          <w:sz w:val="20"/>
          <w:szCs w:val="20"/>
        </w:rPr>
        <w:t xml:space="preserve">Agriculture serves as a fundamental pillar of the Indian economy. A significant portion of the population in India relies on agriculture as their primary source of income. Agriculture plays a crucial role in the Indian economy, accounting for approximately 70 percent of the total GDP and offering employment to more than 60 percent of the population. Women in rural areas engage in agricultural practices and associated activities. They account for 75 percent of the workforce necessary for operations. Approximately 36 million women participate in agricultural activities as primary labourers, encompassing tasks from planting to harvesting and storing produce in bins and bags. </w:t>
      </w:r>
    </w:p>
    <w:p w14:paraId="5F91A041" w14:textId="3F1F057D" w:rsidR="001A66DB" w:rsidRPr="0053414D" w:rsidRDefault="00AA1988" w:rsidP="00FD29E2">
      <w:pPr>
        <w:jc w:val="both"/>
        <w:rPr>
          <w:rFonts w:ascii="Arial" w:hAnsi="Arial" w:cs="Arial"/>
          <w:sz w:val="20"/>
          <w:szCs w:val="20"/>
        </w:rPr>
      </w:pPr>
      <w:r w:rsidRPr="00AA1988">
        <w:rPr>
          <w:rFonts w:ascii="Arial" w:hAnsi="Arial" w:cs="Arial"/>
          <w:sz w:val="20"/>
          <w:szCs w:val="20"/>
        </w:rPr>
        <w:t>The coastal districts of Odisha, India, showcase a distinctive socio-economic environment, especially regarding the roles and networks of women engaged in agriculture. This area consists of seven districts, representing 16% of the state's land area and housing 33% of its inhabitants (Kumar et al., 2019). A considerable segment of the population in these districts depends on agriculture as their primary source of income. Nevertheless, the total work participation ratio in these districts falls short of the state average (37.9% compared to 43.2%), with merely 25.8% involved in agriculture, in contrast to the state average of 31.5%. The Female Agricultural Work Participation Ratio (FAWPR) stands at 13.4%, reflecting a significant difference of 9.2% compared to the state average of 22.6% (Kumar et al., 2019). Regardless of these statistics, women are integral to agricultural practices, frequently engaging in demanding labour tasks.</w:t>
      </w:r>
      <w:r w:rsidR="00972B4F" w:rsidRPr="0053414D">
        <w:rPr>
          <w:rFonts w:ascii="Arial" w:hAnsi="Arial" w:cs="Arial"/>
          <w:sz w:val="20"/>
          <w:szCs w:val="20"/>
        </w:rPr>
        <w:t xml:space="preserve"> </w:t>
      </w:r>
    </w:p>
    <w:p w14:paraId="51D99242" w14:textId="77777777" w:rsidR="00341FA3" w:rsidRPr="00341FA3" w:rsidRDefault="00341FA3" w:rsidP="00341FA3">
      <w:pPr>
        <w:jc w:val="both"/>
        <w:rPr>
          <w:rFonts w:ascii="Arial" w:hAnsi="Arial" w:cs="Arial"/>
          <w:sz w:val="20"/>
          <w:szCs w:val="20"/>
        </w:rPr>
      </w:pPr>
      <w:r w:rsidRPr="00341FA3">
        <w:rPr>
          <w:rFonts w:ascii="Arial" w:hAnsi="Arial" w:cs="Arial"/>
          <w:sz w:val="20"/>
          <w:szCs w:val="20"/>
        </w:rPr>
        <w:lastRenderedPageBreak/>
        <w:t>Additionally, they engage in activities beyond the farm, such as the processing and marketing of agricultural products. Women hold an important position in agricultural practices and management, primarily participating as cultivators, assisting cultivators, or working as agricultural labourers. They engage in various aspects of agricultural advancement and related sectors, encompassing crop production, livestock management, horticulture, post-harvest processes, agro and social forestry, fishing, and more. The emergence of Information and Communication Technologies (ICTs) has started to impact the lives of rural women in Odisha, presenting possible pathways for social transformation and enhanced access to resources (Satapathy, 2014). Nonetheless, obstacles remain, such as constrained decision-making authority and limited access to information, which are intensified by the effects of climate change (United Nations Environment Programme, 2019). Grasping the socio-economic profiles and networking structures of these farm women is crucial for formulating specific interventions that improve their livelihoods and resilience. Therefore, this study aims to evaluate the socio-economic conditions of women engaged in agricultural activities within the coastal districts of Odisha.</w:t>
      </w:r>
    </w:p>
    <w:p w14:paraId="4232D7E6" w14:textId="23217B41" w:rsidR="00242BBA" w:rsidRPr="0053414D" w:rsidRDefault="0031123A" w:rsidP="00FD29E2">
      <w:pPr>
        <w:jc w:val="both"/>
        <w:rPr>
          <w:rFonts w:ascii="Arial" w:hAnsi="Arial" w:cs="Arial"/>
          <w:sz w:val="20"/>
          <w:szCs w:val="20"/>
        </w:rPr>
      </w:pPr>
      <w:r w:rsidRPr="0053414D">
        <w:rPr>
          <w:rFonts w:ascii="Arial" w:hAnsi="Arial" w:cs="Arial"/>
          <w:sz w:val="20"/>
          <w:szCs w:val="20"/>
        </w:rPr>
        <w:t xml:space="preserve">Chowdhury and Bose (2014) found that education, farm income, transportation, size of holding, communication items and social participation have positively affected the access to farm information by the farm women. Haldar (2014) found that the majority of rural people had low level of personal cosmopoliteness followed by medium and high level of personal cosmopoliteness. </w:t>
      </w:r>
      <w:proofErr w:type="spellStart"/>
      <w:r w:rsidRPr="0053414D">
        <w:rPr>
          <w:rFonts w:ascii="Arial" w:hAnsi="Arial" w:cs="Arial"/>
          <w:sz w:val="20"/>
          <w:szCs w:val="20"/>
        </w:rPr>
        <w:t>Jeamponk</w:t>
      </w:r>
      <w:proofErr w:type="spellEnd"/>
      <w:r w:rsidRPr="0053414D">
        <w:rPr>
          <w:rFonts w:ascii="Arial" w:hAnsi="Arial" w:cs="Arial"/>
          <w:sz w:val="20"/>
          <w:szCs w:val="20"/>
        </w:rPr>
        <w:t xml:space="preserve"> and </w:t>
      </w:r>
      <w:proofErr w:type="spellStart"/>
      <w:r w:rsidRPr="0053414D">
        <w:rPr>
          <w:rFonts w:ascii="Arial" w:hAnsi="Arial" w:cs="Arial"/>
          <w:sz w:val="20"/>
          <w:szCs w:val="20"/>
        </w:rPr>
        <w:t>Thipsaeng</w:t>
      </w:r>
      <w:proofErr w:type="spellEnd"/>
      <w:r w:rsidRPr="0053414D">
        <w:rPr>
          <w:rFonts w:ascii="Arial" w:hAnsi="Arial" w:cs="Arial"/>
          <w:sz w:val="20"/>
          <w:szCs w:val="20"/>
        </w:rPr>
        <w:t xml:space="preserve"> (2014) found that most of the respondents had high level of farming experience followed by medium and low level of farming experience. Manjunatha and Gangadhar (2018) found that the literacy rate of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is low. They are deprived of acquiring an education due to the various social, personal, and economic factors that are directly related to them not getting outside jobs. Only a few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have land ownership or house ownership. Most of the </w:t>
      </w:r>
      <w:proofErr w:type="spellStart"/>
      <w:r w:rsidRPr="0053414D">
        <w:rPr>
          <w:rFonts w:ascii="Arial" w:hAnsi="Arial" w:cs="Arial"/>
          <w:sz w:val="20"/>
          <w:szCs w:val="20"/>
        </w:rPr>
        <w:t>Jenukuruba</w:t>
      </w:r>
      <w:proofErr w:type="spellEnd"/>
      <w:r w:rsidRPr="0053414D">
        <w:rPr>
          <w:rFonts w:ascii="Arial" w:hAnsi="Arial" w:cs="Arial"/>
          <w:sz w:val="20"/>
          <w:szCs w:val="20"/>
        </w:rPr>
        <w:t xml:space="preserve"> women have to work more in agriculture but have comparatively less decision-making power than their male counterparts. However, the decision-making role of men is superior in most of the variables. According to Patel and Sharma (2020), literacy levels among tribal farm women in India are significantly lower compared to their coastal counterparts. In tribal districts of Odisha and Jharkhand, more than 60% of farm women have only primary education or are illiterate which limits their ability to access formal agricultural extension services and market information. In contrast, coastal women, particularly in Kerala and Tamil Nadu, have higher literacy rates, with many women having completed secondary education, which enhances their ability to engage in market-oriented farming. According to Meena et al. (2021), farm women in tribal districts primarily engage in subsistence farming, with limited participation in market-oriented agriculture. Their income levels are generally lower than those of coastal women, who often diversify their income sources through fishing, aquaculture, and cash crop cultivation. Bello et al. (2024) reported that in coastal Africa, extension services are often male-dominated and not tailored to the needs of women farmers, reducing their effectiveness.</w:t>
      </w:r>
    </w:p>
    <w:p w14:paraId="63E7D248" w14:textId="4025C564" w:rsidR="00EF21F4" w:rsidRPr="0053414D" w:rsidRDefault="00EF21F4">
      <w:pPr>
        <w:rPr>
          <w:rFonts w:ascii="Arial" w:hAnsi="Arial" w:cs="Arial"/>
          <w:b/>
          <w:bCs/>
        </w:rPr>
      </w:pPr>
      <w:r w:rsidRPr="0053414D">
        <w:rPr>
          <w:rFonts w:ascii="Arial" w:hAnsi="Arial" w:cs="Arial"/>
          <w:b/>
          <w:bCs/>
        </w:rPr>
        <w:t xml:space="preserve">MATERIAL </w:t>
      </w:r>
      <w:r w:rsidR="00995E60" w:rsidRPr="0053414D">
        <w:rPr>
          <w:rFonts w:ascii="Arial" w:hAnsi="Arial" w:cs="Arial"/>
          <w:b/>
          <w:bCs/>
        </w:rPr>
        <w:t>AND METHODS</w:t>
      </w:r>
    </w:p>
    <w:p w14:paraId="09CD4E66" w14:textId="5BA858F2" w:rsidR="00243D18" w:rsidRDefault="003109FF" w:rsidP="00243D18">
      <w:pPr>
        <w:jc w:val="both"/>
        <w:rPr>
          <w:rFonts w:ascii="Arial" w:hAnsi="Arial" w:cs="Arial"/>
          <w:sz w:val="20"/>
          <w:szCs w:val="20"/>
        </w:rPr>
      </w:pPr>
      <w:r w:rsidRPr="0053414D">
        <w:rPr>
          <w:rFonts w:ascii="Arial" w:hAnsi="Arial" w:cs="Arial"/>
          <w:sz w:val="20"/>
          <w:szCs w:val="20"/>
        </w:rPr>
        <w:t>T</w:t>
      </w:r>
      <w:r w:rsidR="00711DCD" w:rsidRPr="0053414D">
        <w:rPr>
          <w:rFonts w:ascii="Arial" w:hAnsi="Arial" w:cs="Arial"/>
          <w:sz w:val="20"/>
          <w:szCs w:val="20"/>
        </w:rPr>
        <w:t xml:space="preserve">he district “Ganjam” was selected randomly out of 7 coastal districts of Odisha. </w:t>
      </w:r>
      <w:r w:rsidR="00243D18" w:rsidRPr="00243D18">
        <w:rPr>
          <w:rFonts w:ascii="Arial" w:hAnsi="Arial" w:cs="Arial"/>
          <w:sz w:val="20"/>
          <w:szCs w:val="20"/>
        </w:rPr>
        <w:t>Furthermore, Ganjam district exhibits the highest proportion of female agricultural workers within its farming community (Kumar et al., 2019). A random sampling design was employed to choose the participants for the investigation. For this study, two coastal districts were chosen at random, both exhibiting comparable agro-climatic zones. From the chosen districts, two blocks were identified, and from each block, two villages were randomly selected. An evaluation of the socio-economic status of the respondents was carried out in 2023-24 through a household survey that examined factors such as social status, age, education, family type, and average family size, focussing specifically on the farm women involved in agricultural activities. A total of 240 households were chosen for the analysis.</w:t>
      </w:r>
    </w:p>
    <w:p w14:paraId="52517FAE" w14:textId="24455E99" w:rsidR="00995E60" w:rsidRPr="0053414D" w:rsidRDefault="00995E60" w:rsidP="00243D18">
      <w:pPr>
        <w:jc w:val="both"/>
        <w:rPr>
          <w:rFonts w:ascii="Arial" w:hAnsi="Arial" w:cs="Arial"/>
          <w:b/>
          <w:bCs/>
        </w:rPr>
      </w:pPr>
      <w:r w:rsidRPr="0053414D">
        <w:rPr>
          <w:rFonts w:ascii="Arial" w:hAnsi="Arial" w:cs="Arial"/>
          <w:b/>
          <w:bCs/>
        </w:rPr>
        <w:t>RESULT AND DISCUSSION</w:t>
      </w:r>
    </w:p>
    <w:p w14:paraId="47B460E8" w14:textId="77777777" w:rsidR="00951DEF" w:rsidRPr="00B54563" w:rsidRDefault="00B816DB" w:rsidP="00B816DB">
      <w:pPr>
        <w:jc w:val="both"/>
        <w:rPr>
          <w:rFonts w:ascii="Arial" w:hAnsi="Arial" w:cs="Arial"/>
          <w:b/>
          <w:bCs/>
          <w:sz w:val="22"/>
          <w:szCs w:val="22"/>
        </w:rPr>
      </w:pPr>
      <w:r w:rsidRPr="00B54563">
        <w:rPr>
          <w:rFonts w:ascii="Arial" w:hAnsi="Arial" w:cs="Arial"/>
          <w:b/>
          <w:bCs/>
          <w:sz w:val="22"/>
          <w:szCs w:val="22"/>
        </w:rPr>
        <w:t xml:space="preserve">Socio-demographic profile </w:t>
      </w:r>
    </w:p>
    <w:p w14:paraId="29A4A5CE" w14:textId="77777777" w:rsidR="0064222D" w:rsidRPr="0064222D" w:rsidRDefault="00B816DB" w:rsidP="0064222D">
      <w:pPr>
        <w:jc w:val="both"/>
        <w:rPr>
          <w:rFonts w:ascii="Arial" w:hAnsi="Arial" w:cs="Arial"/>
          <w:sz w:val="20"/>
          <w:szCs w:val="20"/>
        </w:rPr>
      </w:pPr>
      <w:r w:rsidRPr="0053414D">
        <w:rPr>
          <w:rFonts w:ascii="Arial" w:hAnsi="Arial" w:cs="Arial"/>
          <w:b/>
          <w:bCs/>
          <w:sz w:val="20"/>
          <w:szCs w:val="20"/>
        </w:rPr>
        <w:lastRenderedPageBreak/>
        <w:t>Age</w:t>
      </w:r>
      <w:r w:rsidRPr="0053414D">
        <w:rPr>
          <w:rFonts w:ascii="Arial" w:hAnsi="Arial" w:cs="Arial"/>
          <w:sz w:val="20"/>
          <w:szCs w:val="20"/>
        </w:rPr>
        <w:t xml:space="preserve">: </w:t>
      </w:r>
      <w:r w:rsidR="0064222D" w:rsidRPr="0064222D">
        <w:rPr>
          <w:rFonts w:ascii="Arial" w:hAnsi="Arial" w:cs="Arial"/>
          <w:sz w:val="20"/>
          <w:szCs w:val="20"/>
        </w:rPr>
        <w:t>By examining and categorising the age data of the respondents, three distinct categories have been established. The findings presented in Table 1 indicate that a significant portion of participants (65.83%) fell within the middle age range of 30 to 50 years, as they are more actively engaged in labour-intensive agricultural practices while managing both household and farm responsibilities. This was followed by younger participants (under 30 years) at 20.00% and older participants (over 50 years) at 14.17%. The data reveals that a significant portion of the respondents falls within their productive years, corroborating earlier studies that indicate a predominance of middle-aged individuals in agricultural practices within coastal areas (Jena &amp; Kanungo, 2022).</w:t>
      </w:r>
    </w:p>
    <w:p w14:paraId="7883E6C0" w14:textId="2C79A1CF" w:rsidR="00951DEF" w:rsidRPr="0053414D" w:rsidRDefault="003C5C00" w:rsidP="00B816DB">
      <w:pPr>
        <w:jc w:val="both"/>
        <w:rPr>
          <w:rFonts w:ascii="Arial" w:hAnsi="Arial" w:cs="Arial"/>
          <w:sz w:val="20"/>
          <w:szCs w:val="20"/>
        </w:rPr>
      </w:pPr>
      <w:proofErr w:type="spellStart"/>
      <w:r w:rsidRPr="0053414D">
        <w:rPr>
          <w:rFonts w:ascii="Arial" w:hAnsi="Arial" w:cs="Arial"/>
          <w:b/>
          <w:bCs/>
          <w:sz w:val="20"/>
          <w:szCs w:val="20"/>
        </w:rPr>
        <w:t>Caste</w:t>
      </w:r>
      <w:proofErr w:type="spellEnd"/>
      <w:r w:rsidRPr="0053414D">
        <w:rPr>
          <w:rFonts w:ascii="Arial" w:hAnsi="Arial" w:cs="Arial"/>
          <w:sz w:val="20"/>
          <w:szCs w:val="20"/>
        </w:rPr>
        <w:t xml:space="preserve">: </w:t>
      </w:r>
      <w:r w:rsidR="005F65B3" w:rsidRPr="0053414D">
        <w:rPr>
          <w:rFonts w:ascii="Arial" w:hAnsi="Arial" w:cs="Arial"/>
          <w:sz w:val="20"/>
          <w:szCs w:val="20"/>
        </w:rPr>
        <w:t xml:space="preserve">The study reveals that 70.00% of the respondents belong to the General (GEN) category, while 30.00% are from the Other Backward Classes (OBC). </w:t>
      </w:r>
      <w:r w:rsidR="00DF6B80" w:rsidRPr="00DF6B80">
        <w:rPr>
          <w:rFonts w:ascii="Arial" w:hAnsi="Arial" w:cs="Arial"/>
          <w:sz w:val="20"/>
          <w:szCs w:val="20"/>
        </w:rPr>
        <w:t>No participants were identified from the Scheduled Caste (SC) or Scheduled Tribe (ST) groups. Recent studies have observed a similar stratification based on caste within agricultural communities (Murali, 2021).</w:t>
      </w:r>
    </w:p>
    <w:p w14:paraId="092478F6" w14:textId="645F1D46" w:rsidR="00951DEF" w:rsidRPr="0053414D" w:rsidRDefault="003C5C00" w:rsidP="00B816DB">
      <w:pPr>
        <w:jc w:val="both"/>
        <w:rPr>
          <w:rFonts w:ascii="Arial" w:hAnsi="Arial" w:cs="Arial"/>
          <w:sz w:val="20"/>
          <w:szCs w:val="20"/>
        </w:rPr>
      </w:pPr>
      <w:r w:rsidRPr="0053414D">
        <w:rPr>
          <w:rFonts w:ascii="Arial" w:hAnsi="Arial" w:cs="Arial"/>
          <w:b/>
          <w:bCs/>
          <w:sz w:val="20"/>
          <w:szCs w:val="20"/>
        </w:rPr>
        <w:t>Education</w:t>
      </w:r>
      <w:r w:rsidRPr="0053414D">
        <w:rPr>
          <w:rFonts w:ascii="Arial" w:hAnsi="Arial" w:cs="Arial"/>
          <w:sz w:val="20"/>
          <w:szCs w:val="20"/>
        </w:rPr>
        <w:t xml:space="preserve">: Table 1 revealed that the majority of respondents </w:t>
      </w:r>
      <w:r w:rsidR="00B54012" w:rsidRPr="0053414D">
        <w:rPr>
          <w:rFonts w:ascii="Arial" w:hAnsi="Arial" w:cs="Arial"/>
          <w:sz w:val="20"/>
          <w:szCs w:val="20"/>
        </w:rPr>
        <w:t>(40.83%) have received higher school education, followed by 30.00% with middle school education, 17.50% who are graduates or above, 10.00% with primary education, and 1.67% who are illiterate. Education plays a crucial role in the adoption of innovative agricultural practices (</w:t>
      </w:r>
      <w:proofErr w:type="spellStart"/>
      <w:r w:rsidR="006B46EC">
        <w:rPr>
          <w:rFonts w:ascii="Arial" w:hAnsi="Arial" w:cs="Arial"/>
          <w:sz w:val="20"/>
          <w:szCs w:val="20"/>
        </w:rPr>
        <w:t>Begho</w:t>
      </w:r>
      <w:proofErr w:type="spellEnd"/>
      <w:r w:rsidR="00401F8B">
        <w:rPr>
          <w:rFonts w:ascii="Arial" w:hAnsi="Arial" w:cs="Arial"/>
          <w:sz w:val="20"/>
          <w:szCs w:val="20"/>
        </w:rPr>
        <w:t xml:space="preserve"> et al.</w:t>
      </w:r>
      <w:r w:rsidR="00B54012" w:rsidRPr="0053414D">
        <w:rPr>
          <w:rFonts w:ascii="Arial" w:hAnsi="Arial" w:cs="Arial"/>
          <w:sz w:val="20"/>
          <w:szCs w:val="20"/>
        </w:rPr>
        <w:t>, 202</w:t>
      </w:r>
      <w:r w:rsidR="006B46EC">
        <w:rPr>
          <w:rFonts w:ascii="Arial" w:hAnsi="Arial" w:cs="Arial"/>
          <w:sz w:val="20"/>
          <w:szCs w:val="20"/>
        </w:rPr>
        <w:t>2</w:t>
      </w:r>
      <w:r w:rsidR="00B54012" w:rsidRPr="0053414D">
        <w:rPr>
          <w:rFonts w:ascii="Arial" w:hAnsi="Arial" w:cs="Arial"/>
          <w:sz w:val="20"/>
          <w:szCs w:val="20"/>
        </w:rPr>
        <w:t>).</w:t>
      </w:r>
    </w:p>
    <w:p w14:paraId="32A9AB67" w14:textId="06450B93" w:rsidR="00951DEF" w:rsidRPr="0053414D" w:rsidRDefault="003C5C00" w:rsidP="00B816DB">
      <w:pPr>
        <w:jc w:val="both"/>
        <w:rPr>
          <w:rFonts w:ascii="Arial" w:hAnsi="Arial" w:cs="Arial"/>
          <w:sz w:val="20"/>
          <w:szCs w:val="20"/>
        </w:rPr>
      </w:pPr>
      <w:r w:rsidRPr="0053414D">
        <w:rPr>
          <w:rFonts w:ascii="Arial" w:hAnsi="Arial" w:cs="Arial"/>
          <w:b/>
          <w:bCs/>
          <w:sz w:val="20"/>
          <w:szCs w:val="20"/>
        </w:rPr>
        <w:t>Family Type</w:t>
      </w:r>
      <w:r w:rsidRPr="0053414D">
        <w:rPr>
          <w:rFonts w:ascii="Arial" w:hAnsi="Arial" w:cs="Arial"/>
          <w:sz w:val="20"/>
          <w:szCs w:val="20"/>
        </w:rPr>
        <w:t>: Table 1 revealed that the majority (62.50%) of the respondents belong to nuclear family followed by (37.50%) joint family as the respondents are getting nuclear homes due to urbanization and industrialization and have better status</w:t>
      </w:r>
      <w:r w:rsidR="003D10CA">
        <w:rPr>
          <w:rFonts w:ascii="Arial" w:hAnsi="Arial" w:cs="Arial"/>
          <w:sz w:val="20"/>
          <w:szCs w:val="20"/>
        </w:rPr>
        <w:t xml:space="preserve"> similar to the findings of Sharma (2022)</w:t>
      </w:r>
      <w:r w:rsidR="00BD5F33" w:rsidRPr="0053414D">
        <w:rPr>
          <w:rFonts w:ascii="Arial" w:hAnsi="Arial" w:cs="Arial"/>
          <w:sz w:val="20"/>
          <w:szCs w:val="20"/>
        </w:rPr>
        <w:t>.</w:t>
      </w:r>
    </w:p>
    <w:p w14:paraId="7759C8B9" w14:textId="77777777" w:rsidR="004D02CF" w:rsidRPr="004D02CF" w:rsidRDefault="003C5C00" w:rsidP="004D02CF">
      <w:pPr>
        <w:jc w:val="both"/>
        <w:rPr>
          <w:rFonts w:ascii="Arial" w:hAnsi="Arial" w:cs="Arial"/>
          <w:sz w:val="20"/>
          <w:szCs w:val="20"/>
        </w:rPr>
      </w:pPr>
      <w:r w:rsidRPr="0053414D">
        <w:rPr>
          <w:rFonts w:ascii="Arial" w:hAnsi="Arial" w:cs="Arial"/>
          <w:b/>
          <w:bCs/>
          <w:sz w:val="20"/>
          <w:szCs w:val="20"/>
        </w:rPr>
        <w:t>Family size</w:t>
      </w:r>
      <w:r w:rsidR="00D347E3" w:rsidRPr="0053414D">
        <w:rPr>
          <w:rFonts w:ascii="Arial" w:hAnsi="Arial" w:cs="Arial"/>
          <w:b/>
          <w:bCs/>
          <w:sz w:val="20"/>
          <w:szCs w:val="20"/>
        </w:rPr>
        <w:t>:</w:t>
      </w:r>
      <w:r w:rsidRPr="0053414D">
        <w:rPr>
          <w:rFonts w:ascii="Arial" w:hAnsi="Arial" w:cs="Arial"/>
          <w:sz w:val="20"/>
          <w:szCs w:val="20"/>
        </w:rPr>
        <w:t xml:space="preserve"> </w:t>
      </w:r>
      <w:r w:rsidR="004D02CF" w:rsidRPr="004D02CF">
        <w:rPr>
          <w:rFonts w:ascii="Arial" w:hAnsi="Arial" w:cs="Arial"/>
          <w:sz w:val="20"/>
          <w:szCs w:val="20"/>
        </w:rPr>
        <w:t>Table 1 indicates that the largest proportion of respondents (56.67%) belong to medium-sized families consisting of 5-8 members, followed by those with small families (up to 4 members) at 29.17%, and finally, respondents from large families (more than 8 members) at 14.16%. The results indicate a shift in the family size of the respondents over time, with a growing preference for medium-sized families. This trend aligns with the latest demographic changes observed in rural India (Preethi and Channal, 2022).</w:t>
      </w:r>
    </w:p>
    <w:p w14:paraId="62948C25" w14:textId="4A765BA4" w:rsidR="00951DEF" w:rsidRPr="0053414D" w:rsidRDefault="003C5C00" w:rsidP="00B816DB">
      <w:pPr>
        <w:jc w:val="both"/>
        <w:rPr>
          <w:rFonts w:ascii="Arial" w:hAnsi="Arial" w:cs="Arial"/>
          <w:sz w:val="20"/>
          <w:szCs w:val="20"/>
        </w:rPr>
      </w:pPr>
      <w:r w:rsidRPr="0053414D">
        <w:rPr>
          <w:rFonts w:ascii="Arial" w:hAnsi="Arial" w:cs="Arial"/>
          <w:b/>
          <w:bCs/>
          <w:sz w:val="20"/>
          <w:szCs w:val="20"/>
        </w:rPr>
        <w:t>Marital status</w:t>
      </w:r>
      <w:r w:rsidRPr="0053414D">
        <w:rPr>
          <w:rFonts w:ascii="Arial" w:hAnsi="Arial" w:cs="Arial"/>
          <w:sz w:val="20"/>
          <w:szCs w:val="20"/>
        </w:rPr>
        <w:t xml:space="preserve">: </w:t>
      </w:r>
      <w:r w:rsidR="0030335E" w:rsidRPr="0030335E">
        <w:rPr>
          <w:rFonts w:ascii="Arial" w:hAnsi="Arial" w:cs="Arial"/>
          <w:sz w:val="20"/>
          <w:szCs w:val="20"/>
        </w:rPr>
        <w:t>The information presented in Table 1 indicates that a significant portion of participants (60.00%) were married, followed by unmarried individuals (29.17%) and widows (10.83%). There were no reports of divorce among the respondents. The institution of marriage is crucial for social and economic stability, impacting decisions related to agriculture (Yadav et al., 2021). It can be inferred that the respondents, despite their diverse geographic backgrounds, are balancing household responsibilities, family, and children alongside their farming activities.</w:t>
      </w:r>
    </w:p>
    <w:p w14:paraId="27D33AD3" w14:textId="3EC0D6A7" w:rsidR="0090556D" w:rsidRPr="0090556D" w:rsidRDefault="002F1E1F" w:rsidP="0090556D">
      <w:pPr>
        <w:jc w:val="both"/>
        <w:rPr>
          <w:rFonts w:ascii="Arial" w:hAnsi="Arial" w:cs="Arial"/>
          <w:sz w:val="20"/>
          <w:szCs w:val="20"/>
        </w:rPr>
      </w:pPr>
      <w:r w:rsidRPr="0053414D">
        <w:rPr>
          <w:rFonts w:ascii="Arial" w:hAnsi="Arial" w:cs="Arial"/>
          <w:b/>
          <w:bCs/>
          <w:sz w:val="20"/>
          <w:szCs w:val="20"/>
        </w:rPr>
        <w:t>House type</w:t>
      </w:r>
      <w:r w:rsidRPr="0053414D">
        <w:rPr>
          <w:rFonts w:ascii="Arial" w:hAnsi="Arial" w:cs="Arial"/>
          <w:sz w:val="20"/>
          <w:szCs w:val="20"/>
        </w:rPr>
        <w:t xml:space="preserve">: </w:t>
      </w:r>
      <w:r w:rsidR="0090556D" w:rsidRPr="0090556D">
        <w:rPr>
          <w:rFonts w:ascii="Arial" w:hAnsi="Arial" w:cs="Arial"/>
          <w:sz w:val="20"/>
          <w:szCs w:val="20"/>
        </w:rPr>
        <w:t xml:space="preserve">A </w:t>
      </w:r>
      <w:r w:rsidR="0090556D">
        <w:rPr>
          <w:rFonts w:ascii="Arial" w:hAnsi="Arial" w:cs="Arial"/>
          <w:sz w:val="20"/>
          <w:szCs w:val="20"/>
        </w:rPr>
        <w:t>significant</w:t>
      </w:r>
      <w:r w:rsidR="0090556D" w:rsidRPr="0090556D">
        <w:rPr>
          <w:rFonts w:ascii="Arial" w:hAnsi="Arial" w:cs="Arial"/>
          <w:sz w:val="20"/>
          <w:szCs w:val="20"/>
        </w:rPr>
        <w:t xml:space="preserve"> percentage of participants (48.33%) inhabit semi-pucca dwellings, whereas 36.67% live in pucca houses, and 15.00% in kutcha structures. The classification of housing indicates economic stability and availability of financial resources, aligning with the observations made by Rao and Biswas (2022). These results suggest that the individuals in the coastal district exhibit a more favourable housing pattern.</w:t>
      </w:r>
    </w:p>
    <w:p w14:paraId="6C6FF84F" w14:textId="6D846626" w:rsidR="00B4462E" w:rsidRPr="00B4462E" w:rsidRDefault="002F1E1F" w:rsidP="00B4462E">
      <w:pPr>
        <w:jc w:val="both"/>
        <w:rPr>
          <w:rFonts w:ascii="Arial" w:hAnsi="Arial" w:cs="Arial"/>
          <w:sz w:val="20"/>
          <w:szCs w:val="20"/>
        </w:rPr>
      </w:pPr>
      <w:r w:rsidRPr="0053414D">
        <w:rPr>
          <w:rFonts w:ascii="Arial" w:hAnsi="Arial" w:cs="Arial"/>
          <w:b/>
          <w:bCs/>
          <w:sz w:val="20"/>
          <w:szCs w:val="20"/>
        </w:rPr>
        <w:t>Farming experience</w:t>
      </w:r>
      <w:r w:rsidRPr="0053414D">
        <w:rPr>
          <w:rFonts w:ascii="Arial" w:hAnsi="Arial" w:cs="Arial"/>
          <w:sz w:val="20"/>
          <w:szCs w:val="20"/>
        </w:rPr>
        <w:t xml:space="preserve">: </w:t>
      </w:r>
      <w:r w:rsidR="00B4462E" w:rsidRPr="00B4462E">
        <w:rPr>
          <w:rFonts w:ascii="Arial" w:hAnsi="Arial" w:cs="Arial"/>
          <w:sz w:val="20"/>
          <w:szCs w:val="20"/>
        </w:rPr>
        <w:t>The experience of farming plays a vital role in examining the socio-economic conditions of women in agriculture, as it can greatly affect numerous facets of their lives and professional endeavours. This analysis offers a deeper understanding of the influences of time, skill enhancement, and evolving roles on individuals' social and economic standing. Table 1 clearly indicates that a significant portion (65.83%) possesses over five years of farming experience, whereas 27.50% have between three to five years, and merely 6.67% have three years or less of experience. There is a positive correlation between experience and farming efficiency, as well as the adoption of enhanced techniques (Patra et al., 2023).</w:t>
      </w:r>
    </w:p>
    <w:p w14:paraId="0E2AE0DD" w14:textId="1E95EA19" w:rsidR="00951DEF" w:rsidRPr="0053414D" w:rsidRDefault="001B3C97" w:rsidP="00B816DB">
      <w:pPr>
        <w:jc w:val="both"/>
        <w:rPr>
          <w:rFonts w:ascii="Arial" w:hAnsi="Arial" w:cs="Arial"/>
          <w:sz w:val="20"/>
          <w:szCs w:val="20"/>
        </w:rPr>
      </w:pPr>
      <w:r w:rsidRPr="0053414D">
        <w:rPr>
          <w:rFonts w:ascii="Arial" w:hAnsi="Arial" w:cs="Arial"/>
          <w:b/>
          <w:bCs/>
          <w:sz w:val="20"/>
          <w:szCs w:val="20"/>
        </w:rPr>
        <w:t>Social participation</w:t>
      </w:r>
      <w:r w:rsidRPr="0053414D">
        <w:rPr>
          <w:rFonts w:ascii="Arial" w:hAnsi="Arial" w:cs="Arial"/>
          <w:sz w:val="20"/>
          <w:szCs w:val="20"/>
        </w:rPr>
        <w:t xml:space="preserve">: </w:t>
      </w:r>
      <w:r w:rsidR="006A7F93" w:rsidRPr="006A7F93">
        <w:rPr>
          <w:rFonts w:ascii="Arial" w:hAnsi="Arial" w:cs="Arial"/>
          <w:sz w:val="20"/>
          <w:szCs w:val="20"/>
        </w:rPr>
        <w:t xml:space="preserve">Table 1 clearly indicates that a majority of respondents (65.00%) demonstrate a medium level of social participation, while 27.50% show low participation, and only 7.50% display high participation. This indicates a reasonable level of involvement in community-oriented agricultural </w:t>
      </w:r>
      <w:r w:rsidR="006A7F93" w:rsidRPr="006A7F93">
        <w:rPr>
          <w:rFonts w:ascii="Arial" w:hAnsi="Arial" w:cs="Arial"/>
          <w:sz w:val="20"/>
          <w:szCs w:val="20"/>
        </w:rPr>
        <w:lastRenderedPageBreak/>
        <w:t xml:space="preserve">projects (Patel, 2024). The coastal respondents, possessing higher education and farming experiences, are likely to exhibit greater social participation, attributed to their established networks and enhanced resource availability. </w:t>
      </w:r>
    </w:p>
    <w:p w14:paraId="6EFDB156" w14:textId="4B666C9F" w:rsidR="007D42C7" w:rsidRPr="0053414D" w:rsidRDefault="00951DEF" w:rsidP="00B816DB">
      <w:pPr>
        <w:jc w:val="both"/>
        <w:rPr>
          <w:rFonts w:ascii="Arial" w:hAnsi="Arial" w:cs="Arial"/>
          <w:sz w:val="20"/>
          <w:szCs w:val="20"/>
        </w:rPr>
      </w:pPr>
      <w:r w:rsidRPr="0053414D">
        <w:rPr>
          <w:rFonts w:ascii="Arial" w:hAnsi="Arial" w:cs="Arial"/>
          <w:b/>
          <w:bCs/>
          <w:sz w:val="20"/>
          <w:szCs w:val="20"/>
        </w:rPr>
        <w:t>Cosmopoliteness</w:t>
      </w:r>
      <w:r w:rsidRPr="0053414D">
        <w:rPr>
          <w:rFonts w:ascii="Arial" w:hAnsi="Arial" w:cs="Arial"/>
          <w:sz w:val="20"/>
          <w:szCs w:val="20"/>
        </w:rPr>
        <w:t xml:space="preserve">: It shows the outward orientation of an individual. It is important for an individual to be cosmopolite to have the maximum degree of established networks. </w:t>
      </w:r>
      <w:r w:rsidR="005F694A" w:rsidRPr="005F694A">
        <w:rPr>
          <w:rFonts w:ascii="Arial" w:hAnsi="Arial" w:cs="Arial"/>
          <w:sz w:val="20"/>
          <w:szCs w:val="20"/>
        </w:rPr>
        <w:t>An insightful analysis of Table 1 indicated that a considerable percentage (55.00%) of participants are classified within the medium cosmopoliteness category, with 38.33% in the low category, and merely 6.67% in the high category. The concept of cosmopoliteness is associated with the exposure to a variety of agricultural knowledge systems (Krishna &amp; Rao, 2023)</w:t>
      </w:r>
      <w:r w:rsidR="00F20A6B" w:rsidRPr="0053414D">
        <w:rPr>
          <w:rFonts w:ascii="Arial" w:hAnsi="Arial" w:cs="Arial"/>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CB24F3" w:rsidRPr="0053414D" w14:paraId="7DD3E1A1" w14:textId="77777777" w:rsidTr="00374BD2">
        <w:trPr>
          <w:trHeight w:val="185"/>
        </w:trPr>
        <w:tc>
          <w:tcPr>
            <w:tcW w:w="5000" w:type="pct"/>
            <w:gridSpan w:val="4"/>
          </w:tcPr>
          <w:p w14:paraId="20A53AF7" w14:textId="77777777" w:rsidR="00CB24F3" w:rsidRPr="0053414D" w:rsidRDefault="00CB24F3" w:rsidP="008A62F5">
            <w:pPr>
              <w:pStyle w:val="NoSpacing"/>
              <w:rPr>
                <w:rFonts w:ascii="Arial" w:hAnsi="Arial" w:cs="Arial"/>
                <w:b/>
                <w:bCs/>
                <w:sz w:val="20"/>
                <w:szCs w:val="20"/>
              </w:rPr>
            </w:pPr>
            <w:r w:rsidRPr="0053414D">
              <w:rPr>
                <w:rFonts w:ascii="Arial" w:hAnsi="Arial" w:cs="Arial"/>
                <w:b/>
                <w:bCs/>
                <w:sz w:val="20"/>
                <w:szCs w:val="20"/>
              </w:rPr>
              <w:t>Table 1 Socio profile of the respondents (n=240)</w:t>
            </w:r>
          </w:p>
        </w:tc>
      </w:tr>
      <w:tr w:rsidR="00CB24F3" w:rsidRPr="0053414D" w14:paraId="09F270C7" w14:textId="77777777" w:rsidTr="00374BD2">
        <w:trPr>
          <w:trHeight w:val="333"/>
        </w:trPr>
        <w:tc>
          <w:tcPr>
            <w:tcW w:w="425" w:type="pct"/>
          </w:tcPr>
          <w:p w14:paraId="4483DDC4"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z w:val="20"/>
                <w:szCs w:val="20"/>
              </w:rPr>
              <w:t xml:space="preserve">Sl. </w:t>
            </w:r>
            <w:r w:rsidRPr="0053414D">
              <w:rPr>
                <w:rFonts w:ascii="Arial" w:hAnsi="Arial" w:cs="Arial"/>
                <w:b/>
                <w:bCs/>
                <w:spacing w:val="-5"/>
                <w:sz w:val="20"/>
                <w:szCs w:val="20"/>
              </w:rPr>
              <w:t>No.</w:t>
            </w:r>
          </w:p>
        </w:tc>
        <w:tc>
          <w:tcPr>
            <w:tcW w:w="1338" w:type="pct"/>
          </w:tcPr>
          <w:p w14:paraId="11DF80D9"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pacing w:val="-2"/>
                <w:sz w:val="20"/>
                <w:szCs w:val="20"/>
              </w:rPr>
              <w:t>Variable</w:t>
            </w:r>
          </w:p>
        </w:tc>
        <w:tc>
          <w:tcPr>
            <w:tcW w:w="2338" w:type="pct"/>
          </w:tcPr>
          <w:p w14:paraId="465EB3BD" w14:textId="77777777" w:rsidR="00CB24F3" w:rsidRPr="0053414D" w:rsidRDefault="00CB24F3" w:rsidP="008A62F5">
            <w:pPr>
              <w:pStyle w:val="NoSpacing"/>
              <w:jc w:val="center"/>
              <w:rPr>
                <w:rFonts w:ascii="Arial" w:hAnsi="Arial" w:cs="Arial"/>
                <w:b/>
                <w:bCs/>
                <w:sz w:val="20"/>
                <w:szCs w:val="20"/>
              </w:rPr>
            </w:pPr>
            <w:r w:rsidRPr="0053414D">
              <w:rPr>
                <w:rFonts w:ascii="Arial" w:hAnsi="Arial" w:cs="Arial"/>
                <w:b/>
                <w:bCs/>
                <w:spacing w:val="-2"/>
                <w:sz w:val="20"/>
                <w:szCs w:val="20"/>
              </w:rPr>
              <w:t>Categories</w:t>
            </w:r>
          </w:p>
        </w:tc>
        <w:tc>
          <w:tcPr>
            <w:tcW w:w="899" w:type="pct"/>
          </w:tcPr>
          <w:p w14:paraId="4B6F5A92" w14:textId="51F82DAD" w:rsidR="00CB24F3" w:rsidRPr="0053414D" w:rsidRDefault="00CB24F3" w:rsidP="004118E0">
            <w:pPr>
              <w:pStyle w:val="NoSpacing"/>
              <w:jc w:val="center"/>
              <w:rPr>
                <w:rFonts w:ascii="Arial" w:hAnsi="Arial" w:cs="Arial"/>
                <w:b/>
                <w:bCs/>
                <w:sz w:val="20"/>
                <w:szCs w:val="20"/>
              </w:rPr>
            </w:pPr>
            <w:r w:rsidRPr="0053414D">
              <w:rPr>
                <w:rFonts w:ascii="Arial" w:hAnsi="Arial" w:cs="Arial"/>
                <w:b/>
                <w:bCs/>
                <w:sz w:val="20"/>
                <w:szCs w:val="20"/>
              </w:rPr>
              <w:t>Coastal</w:t>
            </w:r>
            <w:r w:rsidR="004118E0" w:rsidRPr="0053414D">
              <w:rPr>
                <w:rFonts w:ascii="Arial" w:hAnsi="Arial" w:cs="Arial"/>
                <w:b/>
                <w:bCs/>
                <w:sz w:val="20"/>
                <w:szCs w:val="20"/>
              </w:rPr>
              <w:t xml:space="preserve"> </w:t>
            </w:r>
            <w:r w:rsidRPr="0053414D">
              <w:rPr>
                <w:rFonts w:ascii="Arial" w:hAnsi="Arial" w:cs="Arial"/>
                <w:b/>
                <w:bCs/>
                <w:i/>
                <w:iCs/>
                <w:sz w:val="20"/>
                <w:szCs w:val="20"/>
              </w:rPr>
              <w:t>f</w:t>
            </w:r>
            <w:r w:rsidRPr="0053414D">
              <w:rPr>
                <w:rFonts w:ascii="Arial" w:hAnsi="Arial" w:cs="Arial"/>
                <w:b/>
                <w:bCs/>
                <w:sz w:val="20"/>
                <w:szCs w:val="20"/>
              </w:rPr>
              <w:t xml:space="preserve"> (%)</w:t>
            </w:r>
          </w:p>
        </w:tc>
      </w:tr>
      <w:tr w:rsidR="00CB24F3" w:rsidRPr="0053414D" w14:paraId="207CE906" w14:textId="77777777" w:rsidTr="004118E0">
        <w:trPr>
          <w:trHeight w:val="657"/>
        </w:trPr>
        <w:tc>
          <w:tcPr>
            <w:tcW w:w="425" w:type="pct"/>
          </w:tcPr>
          <w:p w14:paraId="34DD3EB0"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1.</w:t>
            </w:r>
          </w:p>
        </w:tc>
        <w:tc>
          <w:tcPr>
            <w:tcW w:w="1338" w:type="pct"/>
          </w:tcPr>
          <w:p w14:paraId="26BAA8DA" w14:textId="77777777" w:rsidR="00CB24F3" w:rsidRPr="0053414D" w:rsidRDefault="00CB24F3" w:rsidP="008A62F5">
            <w:pPr>
              <w:pStyle w:val="NoSpacing"/>
              <w:rPr>
                <w:rFonts w:ascii="Arial" w:hAnsi="Arial" w:cs="Arial"/>
                <w:sz w:val="20"/>
                <w:szCs w:val="20"/>
              </w:rPr>
            </w:pPr>
            <w:r w:rsidRPr="0053414D">
              <w:rPr>
                <w:rFonts w:ascii="Arial" w:hAnsi="Arial" w:cs="Arial"/>
                <w:spacing w:val="-5"/>
                <w:sz w:val="20"/>
                <w:szCs w:val="20"/>
              </w:rPr>
              <w:t>Age</w:t>
            </w:r>
          </w:p>
        </w:tc>
        <w:tc>
          <w:tcPr>
            <w:tcW w:w="2338" w:type="pct"/>
          </w:tcPr>
          <w:p w14:paraId="61EC6E89"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Young</w:t>
            </w:r>
            <w:r w:rsidRPr="0053414D">
              <w:rPr>
                <w:rFonts w:ascii="Arial" w:hAnsi="Arial" w:cs="Arial"/>
                <w:spacing w:val="-1"/>
                <w:sz w:val="20"/>
                <w:szCs w:val="20"/>
              </w:rPr>
              <w:t xml:space="preserve"> </w:t>
            </w:r>
            <w:r w:rsidRPr="0053414D">
              <w:rPr>
                <w:rFonts w:ascii="Arial" w:hAnsi="Arial" w:cs="Arial"/>
                <w:spacing w:val="-2"/>
                <w:sz w:val="20"/>
                <w:szCs w:val="20"/>
              </w:rPr>
              <w:t>(</w:t>
            </w:r>
            <w:r w:rsidRPr="0053414D">
              <w:rPr>
                <w:rFonts w:ascii="Arial" w:hAnsi="Arial" w:cs="Arial"/>
                <w:spacing w:val="-2"/>
                <w:sz w:val="20"/>
                <w:szCs w:val="20"/>
                <w:u w:val="single"/>
              </w:rPr>
              <w:t>&lt;</w:t>
            </w:r>
            <w:r w:rsidRPr="0053414D">
              <w:rPr>
                <w:rFonts w:ascii="Arial" w:hAnsi="Arial" w:cs="Arial"/>
                <w:spacing w:val="-2"/>
                <w:sz w:val="20"/>
                <w:szCs w:val="20"/>
              </w:rPr>
              <w:t>30)</w:t>
            </w:r>
          </w:p>
          <w:p w14:paraId="4659789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Middle-aged</w:t>
            </w:r>
            <w:r w:rsidRPr="0053414D">
              <w:rPr>
                <w:rFonts w:ascii="Arial" w:hAnsi="Arial" w:cs="Arial"/>
                <w:spacing w:val="-2"/>
                <w:sz w:val="20"/>
                <w:szCs w:val="20"/>
              </w:rPr>
              <w:t xml:space="preserve"> </w:t>
            </w:r>
            <w:r w:rsidRPr="0053414D">
              <w:rPr>
                <w:rFonts w:ascii="Arial" w:hAnsi="Arial" w:cs="Arial"/>
                <w:sz w:val="20"/>
                <w:szCs w:val="20"/>
              </w:rPr>
              <w:t>(30-</w:t>
            </w:r>
            <w:r w:rsidRPr="0053414D">
              <w:rPr>
                <w:rFonts w:ascii="Arial" w:hAnsi="Arial" w:cs="Arial"/>
                <w:spacing w:val="-5"/>
                <w:sz w:val="20"/>
                <w:szCs w:val="20"/>
              </w:rPr>
              <w:t>50)</w:t>
            </w:r>
          </w:p>
          <w:p w14:paraId="71739470"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Old </w:t>
            </w:r>
            <w:r w:rsidRPr="0053414D">
              <w:rPr>
                <w:rFonts w:ascii="Arial" w:hAnsi="Arial" w:cs="Arial"/>
                <w:spacing w:val="-2"/>
                <w:sz w:val="20"/>
                <w:szCs w:val="20"/>
              </w:rPr>
              <w:t>(&gt;50)</w:t>
            </w:r>
          </w:p>
        </w:tc>
        <w:tc>
          <w:tcPr>
            <w:tcW w:w="899" w:type="pct"/>
          </w:tcPr>
          <w:p w14:paraId="7A12823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24 (20.00)</w:t>
            </w:r>
          </w:p>
          <w:p w14:paraId="331BAAF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79 (65.83)</w:t>
            </w:r>
          </w:p>
          <w:p w14:paraId="4779A35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17 (14.17)</w:t>
            </w:r>
          </w:p>
        </w:tc>
      </w:tr>
      <w:tr w:rsidR="00CB24F3" w:rsidRPr="0053414D" w14:paraId="43E5DE23" w14:textId="77777777" w:rsidTr="008A62F5">
        <w:trPr>
          <w:trHeight w:val="598"/>
        </w:trPr>
        <w:tc>
          <w:tcPr>
            <w:tcW w:w="425" w:type="pct"/>
          </w:tcPr>
          <w:p w14:paraId="73045488"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2.</w:t>
            </w:r>
          </w:p>
        </w:tc>
        <w:tc>
          <w:tcPr>
            <w:tcW w:w="1338" w:type="pct"/>
          </w:tcPr>
          <w:p w14:paraId="082BDEF2"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Category </w:t>
            </w:r>
            <w:r w:rsidRPr="0053414D">
              <w:rPr>
                <w:rFonts w:ascii="Arial" w:hAnsi="Arial" w:cs="Arial"/>
                <w:spacing w:val="-2"/>
                <w:sz w:val="20"/>
                <w:szCs w:val="20"/>
              </w:rPr>
              <w:t>(Caste)</w:t>
            </w:r>
          </w:p>
        </w:tc>
        <w:tc>
          <w:tcPr>
            <w:tcW w:w="2338" w:type="pct"/>
          </w:tcPr>
          <w:p w14:paraId="16148F02"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SC</w:t>
            </w:r>
          </w:p>
          <w:p w14:paraId="2DBEEFD5"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ST</w:t>
            </w:r>
          </w:p>
          <w:p w14:paraId="11038963" w14:textId="77777777" w:rsidR="00CB24F3" w:rsidRPr="0053414D" w:rsidRDefault="00CB24F3" w:rsidP="008A62F5">
            <w:pPr>
              <w:pStyle w:val="NoSpacing"/>
              <w:rPr>
                <w:rFonts w:ascii="Arial" w:hAnsi="Arial" w:cs="Arial"/>
                <w:spacing w:val="-5"/>
                <w:sz w:val="20"/>
                <w:szCs w:val="20"/>
              </w:rPr>
            </w:pPr>
            <w:r w:rsidRPr="0053414D">
              <w:rPr>
                <w:rFonts w:ascii="Arial" w:hAnsi="Arial" w:cs="Arial"/>
                <w:spacing w:val="-5"/>
                <w:sz w:val="20"/>
                <w:szCs w:val="20"/>
              </w:rPr>
              <w:t>OBC</w:t>
            </w:r>
          </w:p>
          <w:p w14:paraId="4FBA479F" w14:textId="77777777" w:rsidR="00CB24F3" w:rsidRPr="0053414D" w:rsidRDefault="00CB24F3" w:rsidP="008A62F5">
            <w:pPr>
              <w:pStyle w:val="NoSpacing"/>
              <w:rPr>
                <w:rFonts w:ascii="Arial" w:hAnsi="Arial" w:cs="Arial"/>
                <w:spacing w:val="-4"/>
                <w:sz w:val="20"/>
                <w:szCs w:val="20"/>
              </w:rPr>
            </w:pPr>
            <w:r w:rsidRPr="0053414D">
              <w:rPr>
                <w:rFonts w:ascii="Arial" w:hAnsi="Arial" w:cs="Arial"/>
                <w:spacing w:val="-4"/>
                <w:sz w:val="20"/>
                <w:szCs w:val="20"/>
              </w:rPr>
              <w:t xml:space="preserve">GEN </w:t>
            </w:r>
          </w:p>
        </w:tc>
        <w:tc>
          <w:tcPr>
            <w:tcW w:w="899" w:type="pct"/>
          </w:tcPr>
          <w:p w14:paraId="385A827E"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034CEC8D"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391B895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36 (30.00)</w:t>
            </w:r>
          </w:p>
          <w:p w14:paraId="7071415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84 (70.00)</w:t>
            </w:r>
          </w:p>
        </w:tc>
      </w:tr>
      <w:tr w:rsidR="00CB24F3" w:rsidRPr="0053414D" w14:paraId="2E34AF7A" w14:textId="77777777" w:rsidTr="00CA48A2">
        <w:trPr>
          <w:trHeight w:val="274"/>
        </w:trPr>
        <w:tc>
          <w:tcPr>
            <w:tcW w:w="425" w:type="pct"/>
          </w:tcPr>
          <w:p w14:paraId="6487ABAC"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3.</w:t>
            </w:r>
          </w:p>
        </w:tc>
        <w:tc>
          <w:tcPr>
            <w:tcW w:w="1338" w:type="pct"/>
          </w:tcPr>
          <w:p w14:paraId="43D1BFD9"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Education</w:t>
            </w:r>
          </w:p>
        </w:tc>
        <w:tc>
          <w:tcPr>
            <w:tcW w:w="2338" w:type="pct"/>
          </w:tcPr>
          <w:p w14:paraId="60B9C3EB"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Illiterate</w:t>
            </w:r>
            <w:r w:rsidRPr="0053414D">
              <w:rPr>
                <w:rFonts w:ascii="Arial" w:hAnsi="Arial" w:cs="Arial"/>
                <w:spacing w:val="-1"/>
                <w:sz w:val="20"/>
                <w:szCs w:val="20"/>
              </w:rPr>
              <w:t xml:space="preserve"> (Cannot read and write)</w:t>
            </w:r>
          </w:p>
          <w:p w14:paraId="519DF147"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Primary</w:t>
            </w:r>
            <w:r w:rsidRPr="0053414D">
              <w:rPr>
                <w:rFonts w:ascii="Arial" w:hAnsi="Arial" w:cs="Arial"/>
                <w:spacing w:val="-2"/>
                <w:sz w:val="20"/>
                <w:szCs w:val="20"/>
              </w:rPr>
              <w:t xml:space="preserve"> school</w:t>
            </w:r>
          </w:p>
          <w:p w14:paraId="333E01A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Middle</w:t>
            </w:r>
            <w:r w:rsidRPr="0053414D">
              <w:rPr>
                <w:rFonts w:ascii="Arial" w:hAnsi="Arial" w:cs="Arial"/>
                <w:spacing w:val="-1"/>
                <w:sz w:val="20"/>
                <w:szCs w:val="20"/>
              </w:rPr>
              <w:t xml:space="preserve"> </w:t>
            </w:r>
            <w:r w:rsidRPr="0053414D">
              <w:rPr>
                <w:rFonts w:ascii="Arial" w:hAnsi="Arial" w:cs="Arial"/>
                <w:sz w:val="20"/>
                <w:szCs w:val="20"/>
              </w:rPr>
              <w:t>school</w:t>
            </w:r>
          </w:p>
          <w:p w14:paraId="6CD1CA0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Higher</w:t>
            </w:r>
            <w:r w:rsidRPr="0053414D">
              <w:rPr>
                <w:rFonts w:ascii="Arial" w:hAnsi="Arial" w:cs="Arial"/>
                <w:spacing w:val="-1"/>
                <w:sz w:val="20"/>
                <w:szCs w:val="20"/>
              </w:rPr>
              <w:t xml:space="preserve"> </w:t>
            </w:r>
            <w:r w:rsidRPr="0053414D">
              <w:rPr>
                <w:rFonts w:ascii="Arial" w:hAnsi="Arial" w:cs="Arial"/>
                <w:sz w:val="20"/>
                <w:szCs w:val="20"/>
              </w:rPr>
              <w:t xml:space="preserve">school </w:t>
            </w:r>
          </w:p>
          <w:p w14:paraId="4740DD30"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Graduate</w:t>
            </w:r>
            <w:r w:rsidRPr="0053414D">
              <w:rPr>
                <w:rFonts w:ascii="Arial" w:hAnsi="Arial" w:cs="Arial"/>
                <w:spacing w:val="-1"/>
                <w:sz w:val="20"/>
                <w:szCs w:val="20"/>
              </w:rPr>
              <w:t xml:space="preserve"> </w:t>
            </w:r>
            <w:r w:rsidRPr="0053414D">
              <w:rPr>
                <w:rFonts w:ascii="Arial" w:hAnsi="Arial" w:cs="Arial"/>
                <w:sz w:val="20"/>
                <w:szCs w:val="20"/>
              </w:rPr>
              <w:t>or</w:t>
            </w:r>
            <w:r w:rsidRPr="0053414D">
              <w:rPr>
                <w:rFonts w:ascii="Arial" w:hAnsi="Arial" w:cs="Arial"/>
                <w:spacing w:val="-1"/>
                <w:sz w:val="20"/>
                <w:szCs w:val="20"/>
              </w:rPr>
              <w:t xml:space="preserve"> </w:t>
            </w:r>
            <w:r w:rsidRPr="0053414D">
              <w:rPr>
                <w:rFonts w:ascii="Arial" w:hAnsi="Arial" w:cs="Arial"/>
                <w:sz w:val="20"/>
                <w:szCs w:val="20"/>
              </w:rPr>
              <w:t>above</w:t>
            </w:r>
            <w:r w:rsidRPr="0053414D">
              <w:rPr>
                <w:rFonts w:ascii="Arial" w:hAnsi="Arial" w:cs="Arial"/>
                <w:spacing w:val="1"/>
                <w:sz w:val="20"/>
                <w:szCs w:val="20"/>
              </w:rPr>
              <w:t xml:space="preserve"> </w:t>
            </w:r>
          </w:p>
        </w:tc>
        <w:tc>
          <w:tcPr>
            <w:tcW w:w="899" w:type="pct"/>
          </w:tcPr>
          <w:p w14:paraId="1E72688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2 (1.67)</w:t>
            </w:r>
          </w:p>
          <w:p w14:paraId="2620168C"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12 (10.00)</w:t>
            </w:r>
          </w:p>
          <w:p w14:paraId="380DD21A"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36 (30.00)</w:t>
            </w:r>
          </w:p>
          <w:p w14:paraId="0541EFBD" w14:textId="77777777" w:rsidR="00CB24F3" w:rsidRPr="0053414D" w:rsidRDefault="00CB24F3" w:rsidP="008A62F5">
            <w:pPr>
              <w:pStyle w:val="NoSpacing"/>
              <w:jc w:val="center"/>
              <w:rPr>
                <w:rFonts w:ascii="Arial" w:hAnsi="Arial" w:cs="Arial"/>
                <w:spacing w:val="-5"/>
                <w:sz w:val="20"/>
                <w:szCs w:val="20"/>
              </w:rPr>
            </w:pPr>
            <w:r w:rsidRPr="0053414D">
              <w:rPr>
                <w:rFonts w:ascii="Arial" w:hAnsi="Arial" w:cs="Arial"/>
                <w:spacing w:val="-5"/>
                <w:sz w:val="20"/>
                <w:szCs w:val="20"/>
              </w:rPr>
              <w:t>49 (40.83)</w:t>
            </w:r>
          </w:p>
          <w:p w14:paraId="4D96D34A" w14:textId="77777777" w:rsidR="00CB24F3" w:rsidRPr="0053414D" w:rsidRDefault="00CB24F3" w:rsidP="008A62F5">
            <w:pPr>
              <w:pStyle w:val="NoSpacing"/>
              <w:jc w:val="center"/>
              <w:rPr>
                <w:rFonts w:ascii="Arial" w:hAnsi="Arial" w:cs="Arial"/>
                <w:sz w:val="20"/>
                <w:szCs w:val="20"/>
              </w:rPr>
            </w:pPr>
            <w:r w:rsidRPr="0053414D">
              <w:rPr>
                <w:rFonts w:ascii="Arial" w:hAnsi="Arial" w:cs="Arial"/>
                <w:spacing w:val="-5"/>
                <w:sz w:val="20"/>
                <w:szCs w:val="20"/>
              </w:rPr>
              <w:t>21 (17.50)</w:t>
            </w:r>
          </w:p>
        </w:tc>
      </w:tr>
      <w:tr w:rsidR="00CB24F3" w:rsidRPr="0053414D" w14:paraId="4EFBD735" w14:textId="77777777" w:rsidTr="004118E0">
        <w:trPr>
          <w:trHeight w:val="501"/>
        </w:trPr>
        <w:tc>
          <w:tcPr>
            <w:tcW w:w="425" w:type="pct"/>
          </w:tcPr>
          <w:p w14:paraId="363C9CE2"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4.</w:t>
            </w:r>
          </w:p>
        </w:tc>
        <w:tc>
          <w:tcPr>
            <w:tcW w:w="1338" w:type="pct"/>
          </w:tcPr>
          <w:p w14:paraId="4E5B6178"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Family</w:t>
            </w:r>
            <w:r w:rsidRPr="0053414D">
              <w:rPr>
                <w:rFonts w:ascii="Arial" w:hAnsi="Arial" w:cs="Arial"/>
                <w:spacing w:val="-2"/>
                <w:sz w:val="20"/>
                <w:szCs w:val="20"/>
              </w:rPr>
              <w:t xml:space="preserve"> </w:t>
            </w:r>
            <w:r w:rsidRPr="0053414D">
              <w:rPr>
                <w:rFonts w:ascii="Arial" w:hAnsi="Arial" w:cs="Arial"/>
                <w:spacing w:val="-4"/>
                <w:sz w:val="20"/>
                <w:szCs w:val="20"/>
              </w:rPr>
              <w:t>type</w:t>
            </w:r>
          </w:p>
        </w:tc>
        <w:tc>
          <w:tcPr>
            <w:tcW w:w="2338" w:type="pct"/>
          </w:tcPr>
          <w:p w14:paraId="22B70A7E"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Nuclear</w:t>
            </w:r>
          </w:p>
          <w:p w14:paraId="631A4BB4"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joint</w:t>
            </w:r>
          </w:p>
        </w:tc>
        <w:tc>
          <w:tcPr>
            <w:tcW w:w="899" w:type="pct"/>
          </w:tcPr>
          <w:p w14:paraId="02D7209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75 (62.50)</w:t>
            </w:r>
          </w:p>
          <w:p w14:paraId="120B1A47"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45 (37.50)</w:t>
            </w:r>
          </w:p>
        </w:tc>
      </w:tr>
      <w:tr w:rsidR="00CB24F3" w:rsidRPr="0053414D" w14:paraId="05C55081" w14:textId="77777777" w:rsidTr="004118E0">
        <w:trPr>
          <w:trHeight w:val="794"/>
        </w:trPr>
        <w:tc>
          <w:tcPr>
            <w:tcW w:w="425" w:type="pct"/>
          </w:tcPr>
          <w:p w14:paraId="2E7BECB0"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5.</w:t>
            </w:r>
          </w:p>
        </w:tc>
        <w:tc>
          <w:tcPr>
            <w:tcW w:w="1338" w:type="pct"/>
          </w:tcPr>
          <w:p w14:paraId="6333ED02"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Family</w:t>
            </w:r>
            <w:r w:rsidRPr="0053414D">
              <w:rPr>
                <w:rFonts w:ascii="Arial" w:hAnsi="Arial" w:cs="Arial"/>
                <w:spacing w:val="-2"/>
                <w:sz w:val="20"/>
                <w:szCs w:val="20"/>
              </w:rPr>
              <w:t xml:space="preserve"> </w:t>
            </w:r>
            <w:r w:rsidRPr="0053414D">
              <w:rPr>
                <w:rFonts w:ascii="Arial" w:hAnsi="Arial" w:cs="Arial"/>
                <w:spacing w:val="-4"/>
                <w:sz w:val="20"/>
                <w:szCs w:val="20"/>
              </w:rPr>
              <w:t>size</w:t>
            </w:r>
          </w:p>
        </w:tc>
        <w:tc>
          <w:tcPr>
            <w:tcW w:w="2338" w:type="pct"/>
          </w:tcPr>
          <w:p w14:paraId="4C91EBE6" w14:textId="77777777" w:rsidR="004118E0" w:rsidRPr="0053414D" w:rsidRDefault="00CB24F3" w:rsidP="008A62F5">
            <w:pPr>
              <w:pStyle w:val="NoSpacing"/>
              <w:rPr>
                <w:rFonts w:ascii="Arial" w:hAnsi="Arial" w:cs="Arial"/>
                <w:sz w:val="20"/>
                <w:szCs w:val="20"/>
              </w:rPr>
            </w:pPr>
            <w:r w:rsidRPr="0053414D">
              <w:rPr>
                <w:rFonts w:ascii="Arial" w:hAnsi="Arial" w:cs="Arial"/>
                <w:sz w:val="20"/>
                <w:szCs w:val="20"/>
              </w:rPr>
              <w:t xml:space="preserve">Small (≤4 members) </w:t>
            </w:r>
          </w:p>
          <w:p w14:paraId="5A185418" w14:textId="0C0F9348"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w:t>
            </w:r>
            <w:r w:rsidRPr="0053414D">
              <w:rPr>
                <w:rFonts w:ascii="Arial" w:hAnsi="Arial" w:cs="Arial"/>
                <w:spacing w:val="-11"/>
                <w:sz w:val="20"/>
                <w:szCs w:val="20"/>
              </w:rPr>
              <w:t xml:space="preserve"> </w:t>
            </w:r>
            <w:r w:rsidRPr="0053414D">
              <w:rPr>
                <w:rFonts w:ascii="Arial" w:hAnsi="Arial" w:cs="Arial"/>
                <w:sz w:val="20"/>
                <w:szCs w:val="20"/>
              </w:rPr>
              <w:t>(5</w:t>
            </w:r>
            <w:r w:rsidRPr="0053414D">
              <w:rPr>
                <w:rFonts w:ascii="Arial" w:hAnsi="Arial" w:cs="Arial"/>
                <w:spacing w:val="-9"/>
                <w:sz w:val="20"/>
                <w:szCs w:val="20"/>
              </w:rPr>
              <w:t xml:space="preserve"> </w:t>
            </w:r>
            <w:r w:rsidRPr="0053414D">
              <w:rPr>
                <w:rFonts w:ascii="Arial" w:hAnsi="Arial" w:cs="Arial"/>
                <w:sz w:val="20"/>
                <w:szCs w:val="20"/>
              </w:rPr>
              <w:t>–</w:t>
            </w:r>
            <w:r w:rsidRPr="0053414D">
              <w:rPr>
                <w:rFonts w:ascii="Arial" w:hAnsi="Arial" w:cs="Arial"/>
                <w:spacing w:val="-10"/>
                <w:sz w:val="20"/>
                <w:szCs w:val="20"/>
              </w:rPr>
              <w:t xml:space="preserve"> 8 </w:t>
            </w:r>
            <w:r w:rsidRPr="0053414D">
              <w:rPr>
                <w:rFonts w:ascii="Arial" w:hAnsi="Arial" w:cs="Arial"/>
                <w:sz w:val="20"/>
                <w:szCs w:val="20"/>
              </w:rPr>
              <w:t>members)</w:t>
            </w:r>
          </w:p>
          <w:p w14:paraId="725F0BE9"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Large (&gt;8 </w:t>
            </w:r>
            <w:r w:rsidRPr="0053414D">
              <w:rPr>
                <w:rFonts w:ascii="Arial" w:hAnsi="Arial" w:cs="Arial"/>
                <w:spacing w:val="-2"/>
                <w:sz w:val="20"/>
                <w:szCs w:val="20"/>
              </w:rPr>
              <w:t>members)</w:t>
            </w:r>
          </w:p>
        </w:tc>
        <w:tc>
          <w:tcPr>
            <w:tcW w:w="899" w:type="pct"/>
          </w:tcPr>
          <w:p w14:paraId="4358D8C3"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35 (29.17)</w:t>
            </w:r>
          </w:p>
          <w:p w14:paraId="4280991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68 (56.67)</w:t>
            </w:r>
          </w:p>
          <w:p w14:paraId="5A7CEE0D"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17 (14.16)</w:t>
            </w:r>
          </w:p>
        </w:tc>
      </w:tr>
      <w:tr w:rsidR="00CB24F3" w:rsidRPr="0053414D" w14:paraId="5E3D9CF9" w14:textId="77777777" w:rsidTr="008A62F5">
        <w:trPr>
          <w:trHeight w:val="598"/>
        </w:trPr>
        <w:tc>
          <w:tcPr>
            <w:tcW w:w="425" w:type="pct"/>
          </w:tcPr>
          <w:p w14:paraId="7DAE07ED"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6.</w:t>
            </w:r>
          </w:p>
        </w:tc>
        <w:tc>
          <w:tcPr>
            <w:tcW w:w="1338" w:type="pct"/>
          </w:tcPr>
          <w:p w14:paraId="18730F9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Marital</w:t>
            </w:r>
            <w:r w:rsidRPr="0053414D">
              <w:rPr>
                <w:rFonts w:ascii="Arial" w:hAnsi="Arial" w:cs="Arial"/>
                <w:spacing w:val="-1"/>
                <w:sz w:val="20"/>
                <w:szCs w:val="20"/>
              </w:rPr>
              <w:t xml:space="preserve"> </w:t>
            </w:r>
            <w:r w:rsidRPr="0053414D">
              <w:rPr>
                <w:rFonts w:ascii="Arial" w:hAnsi="Arial" w:cs="Arial"/>
                <w:spacing w:val="-2"/>
                <w:sz w:val="20"/>
                <w:szCs w:val="20"/>
              </w:rPr>
              <w:t>status</w:t>
            </w:r>
          </w:p>
        </w:tc>
        <w:tc>
          <w:tcPr>
            <w:tcW w:w="2338" w:type="pct"/>
          </w:tcPr>
          <w:p w14:paraId="112A4E35"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Unmarried</w:t>
            </w:r>
          </w:p>
          <w:p w14:paraId="1F06F0C4" w14:textId="77777777" w:rsidR="00CB24F3" w:rsidRPr="0053414D" w:rsidRDefault="00CB24F3" w:rsidP="008A62F5">
            <w:pPr>
              <w:pStyle w:val="NoSpacing"/>
              <w:rPr>
                <w:rFonts w:ascii="Arial" w:hAnsi="Arial" w:cs="Arial"/>
                <w:spacing w:val="-2"/>
                <w:sz w:val="20"/>
                <w:szCs w:val="20"/>
              </w:rPr>
            </w:pPr>
            <w:r w:rsidRPr="0053414D">
              <w:rPr>
                <w:rFonts w:ascii="Arial" w:hAnsi="Arial" w:cs="Arial"/>
                <w:spacing w:val="-2"/>
                <w:sz w:val="20"/>
                <w:szCs w:val="20"/>
              </w:rPr>
              <w:t>Married</w:t>
            </w:r>
          </w:p>
          <w:p w14:paraId="684F5ACE" w14:textId="77777777" w:rsidR="00CB24F3" w:rsidRPr="0053414D" w:rsidRDefault="00CB24F3" w:rsidP="008A62F5">
            <w:pPr>
              <w:pStyle w:val="NoSpacing"/>
              <w:rPr>
                <w:rFonts w:ascii="Arial" w:hAnsi="Arial" w:cs="Arial"/>
                <w:spacing w:val="-2"/>
                <w:sz w:val="20"/>
                <w:szCs w:val="20"/>
              </w:rPr>
            </w:pPr>
            <w:r w:rsidRPr="0053414D">
              <w:rPr>
                <w:rFonts w:ascii="Arial" w:hAnsi="Arial" w:cs="Arial"/>
                <w:spacing w:val="-2"/>
                <w:sz w:val="20"/>
                <w:szCs w:val="20"/>
              </w:rPr>
              <w:t xml:space="preserve">Divorce </w:t>
            </w:r>
          </w:p>
          <w:p w14:paraId="475B753D"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 xml:space="preserve">Widow </w:t>
            </w:r>
          </w:p>
        </w:tc>
        <w:tc>
          <w:tcPr>
            <w:tcW w:w="899" w:type="pct"/>
          </w:tcPr>
          <w:p w14:paraId="1AAD8E4A"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35 (29.17)</w:t>
            </w:r>
          </w:p>
          <w:p w14:paraId="0F385A4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72 (60.00)</w:t>
            </w:r>
          </w:p>
          <w:p w14:paraId="7FECA591"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0 (0.00)</w:t>
            </w:r>
          </w:p>
          <w:p w14:paraId="34989FF7"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13 (10.83)</w:t>
            </w:r>
          </w:p>
        </w:tc>
      </w:tr>
      <w:tr w:rsidR="00CB24F3" w:rsidRPr="0053414D" w14:paraId="3DBDA915" w14:textId="77777777" w:rsidTr="008A62F5">
        <w:trPr>
          <w:trHeight w:val="598"/>
        </w:trPr>
        <w:tc>
          <w:tcPr>
            <w:tcW w:w="425" w:type="pct"/>
          </w:tcPr>
          <w:p w14:paraId="7CBBD8EA"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7.</w:t>
            </w:r>
          </w:p>
        </w:tc>
        <w:tc>
          <w:tcPr>
            <w:tcW w:w="1338" w:type="pct"/>
          </w:tcPr>
          <w:p w14:paraId="4D7D8EC1"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House</w:t>
            </w:r>
            <w:r w:rsidRPr="0053414D">
              <w:rPr>
                <w:rFonts w:ascii="Arial" w:hAnsi="Arial" w:cs="Arial"/>
                <w:spacing w:val="-2"/>
                <w:sz w:val="20"/>
                <w:szCs w:val="20"/>
              </w:rPr>
              <w:t xml:space="preserve"> </w:t>
            </w:r>
            <w:r w:rsidRPr="0053414D">
              <w:rPr>
                <w:rFonts w:ascii="Arial" w:hAnsi="Arial" w:cs="Arial"/>
                <w:spacing w:val="-4"/>
                <w:sz w:val="20"/>
                <w:szCs w:val="20"/>
              </w:rPr>
              <w:t>type</w:t>
            </w:r>
          </w:p>
        </w:tc>
        <w:tc>
          <w:tcPr>
            <w:tcW w:w="2338" w:type="pct"/>
          </w:tcPr>
          <w:p w14:paraId="64DA64CB"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Kutcha</w:t>
            </w:r>
          </w:p>
          <w:p w14:paraId="2959A20E"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Semi</w:t>
            </w:r>
            <w:r w:rsidRPr="0053414D">
              <w:rPr>
                <w:rFonts w:ascii="Arial" w:hAnsi="Arial" w:cs="Arial"/>
                <w:spacing w:val="-15"/>
                <w:sz w:val="20"/>
                <w:szCs w:val="20"/>
              </w:rPr>
              <w:t xml:space="preserve"> </w:t>
            </w:r>
            <w:r w:rsidRPr="0053414D">
              <w:rPr>
                <w:rFonts w:ascii="Arial" w:hAnsi="Arial" w:cs="Arial"/>
                <w:sz w:val="20"/>
                <w:szCs w:val="20"/>
              </w:rPr>
              <w:t xml:space="preserve">Pucca </w:t>
            </w:r>
          </w:p>
          <w:p w14:paraId="6EAAB28C"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Pucca</w:t>
            </w:r>
          </w:p>
        </w:tc>
        <w:tc>
          <w:tcPr>
            <w:tcW w:w="899" w:type="pct"/>
          </w:tcPr>
          <w:p w14:paraId="25909F4B"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18 (15.00)</w:t>
            </w:r>
          </w:p>
          <w:p w14:paraId="383BD298"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58 (48.33)</w:t>
            </w:r>
          </w:p>
          <w:p w14:paraId="6A0ADC98"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44 (36.67)</w:t>
            </w:r>
          </w:p>
        </w:tc>
      </w:tr>
      <w:tr w:rsidR="00CB24F3" w:rsidRPr="0053414D" w14:paraId="746ED6CD" w14:textId="77777777" w:rsidTr="004118E0">
        <w:trPr>
          <w:trHeight w:val="752"/>
        </w:trPr>
        <w:tc>
          <w:tcPr>
            <w:tcW w:w="425" w:type="pct"/>
          </w:tcPr>
          <w:p w14:paraId="300C59C1"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8.</w:t>
            </w:r>
          </w:p>
        </w:tc>
        <w:tc>
          <w:tcPr>
            <w:tcW w:w="1338" w:type="pct"/>
          </w:tcPr>
          <w:p w14:paraId="64DC13C2"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Farming e</w:t>
            </w:r>
            <w:r w:rsidRPr="0053414D">
              <w:rPr>
                <w:rFonts w:ascii="Arial" w:hAnsi="Arial" w:cs="Arial"/>
                <w:sz w:val="20"/>
                <w:szCs w:val="20"/>
              </w:rPr>
              <w:t>xperience</w:t>
            </w:r>
          </w:p>
        </w:tc>
        <w:tc>
          <w:tcPr>
            <w:tcW w:w="2338" w:type="pct"/>
          </w:tcPr>
          <w:p w14:paraId="69EEE0B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3 years</w:t>
            </w:r>
          </w:p>
          <w:p w14:paraId="0C3024F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years</w:t>
            </w:r>
          </w:p>
          <w:p w14:paraId="2E064EE7"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&gt;5years</w:t>
            </w:r>
          </w:p>
        </w:tc>
        <w:tc>
          <w:tcPr>
            <w:tcW w:w="899" w:type="pct"/>
          </w:tcPr>
          <w:p w14:paraId="430DB87A"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 (6.67)</w:t>
            </w:r>
          </w:p>
          <w:p w14:paraId="006B01E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33 (27.50)</w:t>
            </w:r>
          </w:p>
          <w:p w14:paraId="2433DB3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79 (65.83)</w:t>
            </w:r>
          </w:p>
        </w:tc>
      </w:tr>
      <w:tr w:rsidR="00CB24F3" w:rsidRPr="0053414D" w14:paraId="1F7DF145" w14:textId="77777777" w:rsidTr="004118E0">
        <w:trPr>
          <w:trHeight w:val="692"/>
        </w:trPr>
        <w:tc>
          <w:tcPr>
            <w:tcW w:w="425" w:type="pct"/>
          </w:tcPr>
          <w:p w14:paraId="5B3376C9"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9.</w:t>
            </w:r>
          </w:p>
        </w:tc>
        <w:tc>
          <w:tcPr>
            <w:tcW w:w="1338" w:type="pct"/>
          </w:tcPr>
          <w:p w14:paraId="6060EC70" w14:textId="77777777" w:rsidR="00CB24F3" w:rsidRPr="0053414D" w:rsidRDefault="00CB24F3" w:rsidP="008A62F5">
            <w:pPr>
              <w:pStyle w:val="NoSpacing"/>
              <w:rPr>
                <w:rFonts w:ascii="Arial" w:hAnsi="Arial" w:cs="Arial"/>
                <w:sz w:val="20"/>
                <w:szCs w:val="20"/>
              </w:rPr>
            </w:pPr>
            <w:r w:rsidRPr="0053414D">
              <w:rPr>
                <w:rFonts w:ascii="Arial" w:hAnsi="Arial" w:cs="Arial"/>
                <w:spacing w:val="-2"/>
                <w:sz w:val="20"/>
                <w:szCs w:val="20"/>
              </w:rPr>
              <w:t>Social participation</w:t>
            </w:r>
          </w:p>
        </w:tc>
        <w:tc>
          <w:tcPr>
            <w:tcW w:w="2338" w:type="pct"/>
          </w:tcPr>
          <w:p w14:paraId="015B625A"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Low</w:t>
            </w:r>
            <w:r w:rsidRPr="0053414D">
              <w:rPr>
                <w:rFonts w:ascii="Arial" w:hAnsi="Arial" w:cs="Arial"/>
                <w:spacing w:val="-1"/>
                <w:sz w:val="20"/>
                <w:szCs w:val="20"/>
              </w:rPr>
              <w:t xml:space="preserve"> </w:t>
            </w:r>
            <w:r w:rsidRPr="0053414D">
              <w:rPr>
                <w:rFonts w:ascii="Arial" w:hAnsi="Arial" w:cs="Arial"/>
                <w:spacing w:val="-2"/>
                <w:sz w:val="20"/>
                <w:szCs w:val="20"/>
              </w:rPr>
              <w:t>(</w:t>
            </w:r>
            <w:r w:rsidRPr="0053414D">
              <w:rPr>
                <w:rFonts w:ascii="Arial" w:hAnsi="Arial" w:cs="Arial"/>
                <w:spacing w:val="-2"/>
                <w:sz w:val="20"/>
                <w:szCs w:val="20"/>
                <w:u w:val="single"/>
              </w:rPr>
              <w:t>&lt;</w:t>
            </w:r>
            <w:r w:rsidRPr="0053414D">
              <w:rPr>
                <w:rFonts w:ascii="Arial" w:hAnsi="Arial" w:cs="Arial"/>
                <w:spacing w:val="-2"/>
                <w:sz w:val="20"/>
                <w:szCs w:val="20"/>
              </w:rPr>
              <w:t>1.54)</w:t>
            </w:r>
          </w:p>
          <w:p w14:paraId="29D8CC1F"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w:t>
            </w:r>
            <w:r w:rsidRPr="0053414D">
              <w:rPr>
                <w:rFonts w:ascii="Arial" w:hAnsi="Arial" w:cs="Arial"/>
                <w:spacing w:val="-2"/>
                <w:sz w:val="20"/>
                <w:szCs w:val="20"/>
              </w:rPr>
              <w:t xml:space="preserve"> </w:t>
            </w:r>
            <w:r w:rsidRPr="0053414D">
              <w:rPr>
                <w:rFonts w:ascii="Arial" w:hAnsi="Arial" w:cs="Arial"/>
                <w:sz w:val="20"/>
                <w:szCs w:val="20"/>
              </w:rPr>
              <w:t>(1.55-9.12</w:t>
            </w:r>
            <w:r w:rsidRPr="0053414D">
              <w:rPr>
                <w:rFonts w:ascii="Arial" w:hAnsi="Arial" w:cs="Arial"/>
                <w:spacing w:val="-2"/>
                <w:sz w:val="20"/>
                <w:szCs w:val="20"/>
              </w:rPr>
              <w:t>)</w:t>
            </w:r>
          </w:p>
          <w:p w14:paraId="7D1B884B"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 xml:space="preserve">High </w:t>
            </w:r>
            <w:r w:rsidRPr="0053414D">
              <w:rPr>
                <w:rFonts w:ascii="Arial" w:hAnsi="Arial" w:cs="Arial"/>
                <w:spacing w:val="-2"/>
                <w:sz w:val="20"/>
                <w:szCs w:val="20"/>
              </w:rPr>
              <w:t>(&gt;9.12)</w:t>
            </w:r>
          </w:p>
        </w:tc>
        <w:tc>
          <w:tcPr>
            <w:tcW w:w="899" w:type="pct"/>
          </w:tcPr>
          <w:p w14:paraId="24489215"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33 (27.50)</w:t>
            </w:r>
          </w:p>
          <w:p w14:paraId="0F18EFFF"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78 (65.00)</w:t>
            </w:r>
          </w:p>
          <w:p w14:paraId="4ABBBE3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9 (7.50)</w:t>
            </w:r>
          </w:p>
        </w:tc>
      </w:tr>
      <w:tr w:rsidR="00CB24F3" w:rsidRPr="0053414D" w14:paraId="0F017158" w14:textId="77777777" w:rsidTr="008A62F5">
        <w:trPr>
          <w:trHeight w:val="255"/>
        </w:trPr>
        <w:tc>
          <w:tcPr>
            <w:tcW w:w="425" w:type="pct"/>
          </w:tcPr>
          <w:p w14:paraId="3D9DA601" w14:textId="77777777" w:rsidR="00CB24F3" w:rsidRPr="0053414D" w:rsidRDefault="00CB24F3" w:rsidP="00E52293">
            <w:pPr>
              <w:pStyle w:val="NoSpacing"/>
              <w:jc w:val="center"/>
              <w:rPr>
                <w:rFonts w:ascii="Arial" w:hAnsi="Arial" w:cs="Arial"/>
                <w:sz w:val="20"/>
                <w:szCs w:val="20"/>
              </w:rPr>
            </w:pPr>
            <w:r w:rsidRPr="0053414D">
              <w:rPr>
                <w:rFonts w:ascii="Arial" w:hAnsi="Arial" w:cs="Arial"/>
                <w:spacing w:val="-5"/>
                <w:sz w:val="20"/>
                <w:szCs w:val="20"/>
              </w:rPr>
              <w:t>10.</w:t>
            </w:r>
          </w:p>
        </w:tc>
        <w:tc>
          <w:tcPr>
            <w:tcW w:w="1338" w:type="pct"/>
          </w:tcPr>
          <w:p w14:paraId="63F64835" w14:textId="77777777" w:rsidR="00CB24F3" w:rsidRPr="0053414D" w:rsidRDefault="00CB24F3" w:rsidP="008A62F5">
            <w:pPr>
              <w:pStyle w:val="NoSpacing"/>
              <w:rPr>
                <w:rFonts w:ascii="Arial" w:hAnsi="Arial" w:cs="Arial"/>
                <w:sz w:val="20"/>
                <w:szCs w:val="20"/>
              </w:rPr>
            </w:pPr>
            <w:proofErr w:type="spellStart"/>
            <w:r w:rsidRPr="0053414D">
              <w:rPr>
                <w:rFonts w:ascii="Arial" w:hAnsi="Arial" w:cs="Arial"/>
                <w:spacing w:val="-2"/>
                <w:sz w:val="20"/>
                <w:szCs w:val="20"/>
              </w:rPr>
              <w:t>Cosmopoliteness</w:t>
            </w:r>
            <w:proofErr w:type="spellEnd"/>
          </w:p>
        </w:tc>
        <w:tc>
          <w:tcPr>
            <w:tcW w:w="2338" w:type="pct"/>
          </w:tcPr>
          <w:p w14:paraId="7A3CFCE8" w14:textId="77777777" w:rsidR="00CB24F3" w:rsidRPr="0053414D" w:rsidRDefault="00CB24F3" w:rsidP="008A62F5">
            <w:pPr>
              <w:pStyle w:val="NoSpacing"/>
              <w:rPr>
                <w:rFonts w:ascii="Arial" w:hAnsi="Arial" w:cs="Arial"/>
                <w:spacing w:val="-2"/>
                <w:sz w:val="20"/>
                <w:szCs w:val="20"/>
              </w:rPr>
            </w:pPr>
            <w:r w:rsidRPr="0053414D">
              <w:rPr>
                <w:rFonts w:ascii="Arial" w:hAnsi="Arial" w:cs="Arial"/>
                <w:sz w:val="20"/>
                <w:szCs w:val="20"/>
              </w:rPr>
              <w:t>Low (</w:t>
            </w:r>
            <w:r w:rsidRPr="0053414D">
              <w:rPr>
                <w:rFonts w:ascii="Arial" w:hAnsi="Arial" w:cs="Arial"/>
                <w:spacing w:val="-2"/>
                <w:sz w:val="20"/>
                <w:szCs w:val="20"/>
                <w:u w:val="single"/>
              </w:rPr>
              <w:t>&lt;</w:t>
            </w:r>
            <w:r w:rsidRPr="0053414D">
              <w:rPr>
                <w:rFonts w:ascii="Arial" w:hAnsi="Arial" w:cs="Arial"/>
                <w:spacing w:val="-2"/>
                <w:sz w:val="20"/>
                <w:szCs w:val="20"/>
              </w:rPr>
              <w:t>7.76)</w:t>
            </w:r>
          </w:p>
          <w:p w14:paraId="10BF4074" w14:textId="77777777" w:rsidR="00CB24F3" w:rsidRPr="0053414D" w:rsidRDefault="00CB24F3" w:rsidP="008A62F5">
            <w:pPr>
              <w:pStyle w:val="NoSpacing"/>
              <w:rPr>
                <w:rFonts w:ascii="Arial" w:hAnsi="Arial" w:cs="Arial"/>
                <w:sz w:val="20"/>
                <w:szCs w:val="20"/>
              </w:rPr>
            </w:pPr>
            <w:r w:rsidRPr="0053414D">
              <w:rPr>
                <w:rFonts w:ascii="Arial" w:hAnsi="Arial" w:cs="Arial"/>
                <w:sz w:val="20"/>
                <w:szCs w:val="20"/>
              </w:rPr>
              <w:t>Medium (7.77-17.96)</w:t>
            </w:r>
          </w:p>
          <w:p w14:paraId="14185279" w14:textId="4CCE87C6" w:rsidR="00CB24F3" w:rsidRPr="0053414D" w:rsidRDefault="00E52293" w:rsidP="008A62F5">
            <w:pPr>
              <w:pStyle w:val="NoSpacing"/>
              <w:rPr>
                <w:rFonts w:ascii="Arial" w:hAnsi="Arial" w:cs="Arial"/>
                <w:sz w:val="20"/>
                <w:szCs w:val="20"/>
              </w:rPr>
            </w:pPr>
            <w:r w:rsidRPr="0053414D">
              <w:rPr>
                <w:rFonts w:ascii="Arial" w:hAnsi="Arial" w:cs="Arial"/>
                <w:sz w:val="20"/>
                <w:szCs w:val="20"/>
              </w:rPr>
              <w:t>High (</w:t>
            </w:r>
            <w:r w:rsidR="00CB24F3" w:rsidRPr="0053414D">
              <w:rPr>
                <w:rFonts w:ascii="Arial" w:hAnsi="Arial" w:cs="Arial"/>
                <w:spacing w:val="-2"/>
                <w:sz w:val="20"/>
                <w:szCs w:val="20"/>
              </w:rPr>
              <w:t>&gt;17.96)</w:t>
            </w:r>
          </w:p>
        </w:tc>
        <w:tc>
          <w:tcPr>
            <w:tcW w:w="899" w:type="pct"/>
          </w:tcPr>
          <w:p w14:paraId="0420A582"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46 (38.33)</w:t>
            </w:r>
          </w:p>
          <w:p w14:paraId="737A0C85"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66 (55.00)</w:t>
            </w:r>
          </w:p>
          <w:p w14:paraId="2C3F2F2C" w14:textId="77777777" w:rsidR="00CB24F3" w:rsidRPr="0053414D" w:rsidRDefault="00CB24F3" w:rsidP="008A62F5">
            <w:pPr>
              <w:pStyle w:val="NoSpacing"/>
              <w:jc w:val="center"/>
              <w:rPr>
                <w:rFonts w:ascii="Arial" w:hAnsi="Arial" w:cs="Arial"/>
                <w:sz w:val="20"/>
                <w:szCs w:val="20"/>
              </w:rPr>
            </w:pPr>
            <w:r w:rsidRPr="0053414D">
              <w:rPr>
                <w:rFonts w:ascii="Arial" w:hAnsi="Arial" w:cs="Arial"/>
                <w:sz w:val="20"/>
                <w:szCs w:val="20"/>
              </w:rPr>
              <w:t>8 (6.67)</w:t>
            </w:r>
          </w:p>
        </w:tc>
      </w:tr>
    </w:tbl>
    <w:p w14:paraId="4AD18E5C" w14:textId="79D5E361" w:rsidR="00D1575E" w:rsidRPr="0053414D" w:rsidRDefault="00D1575E" w:rsidP="00B816DB">
      <w:pPr>
        <w:jc w:val="both"/>
        <w:rPr>
          <w:rFonts w:ascii="Arial" w:hAnsi="Arial" w:cs="Arial"/>
        </w:rPr>
      </w:pPr>
    </w:p>
    <w:p w14:paraId="2CC4A7A3" w14:textId="076DAFC6" w:rsidR="00721C51" w:rsidRPr="00B54563" w:rsidRDefault="00721C51" w:rsidP="00B816DB">
      <w:pPr>
        <w:jc w:val="both"/>
        <w:rPr>
          <w:rFonts w:ascii="Arial" w:hAnsi="Arial" w:cs="Arial"/>
          <w:b/>
          <w:bCs/>
          <w:sz w:val="22"/>
          <w:szCs w:val="22"/>
        </w:rPr>
      </w:pPr>
      <w:r w:rsidRPr="00B54563">
        <w:rPr>
          <w:rFonts w:ascii="Arial" w:hAnsi="Arial" w:cs="Arial"/>
          <w:b/>
          <w:bCs/>
          <w:sz w:val="22"/>
          <w:szCs w:val="22"/>
        </w:rPr>
        <w:t>Socio economic profile of the respondents</w:t>
      </w:r>
    </w:p>
    <w:p w14:paraId="6D1CCC71" w14:textId="3F9792E6" w:rsidR="00040BF9" w:rsidRPr="00040BF9" w:rsidRDefault="00721C51" w:rsidP="00040BF9">
      <w:pPr>
        <w:jc w:val="both"/>
        <w:rPr>
          <w:rFonts w:ascii="Arial" w:hAnsi="Arial" w:cs="Arial"/>
          <w:sz w:val="20"/>
          <w:szCs w:val="20"/>
        </w:rPr>
      </w:pPr>
      <w:r w:rsidRPr="00B54563">
        <w:rPr>
          <w:rFonts w:ascii="Arial" w:hAnsi="Arial" w:cs="Arial"/>
          <w:b/>
          <w:bCs/>
          <w:sz w:val="20"/>
          <w:szCs w:val="20"/>
        </w:rPr>
        <w:t>Annual income</w:t>
      </w:r>
      <w:r w:rsidRPr="00B54563">
        <w:rPr>
          <w:rFonts w:ascii="Arial" w:hAnsi="Arial" w:cs="Arial"/>
          <w:sz w:val="20"/>
          <w:szCs w:val="20"/>
        </w:rPr>
        <w:t>:</w:t>
      </w:r>
      <w:r w:rsidRPr="0067780B">
        <w:rPr>
          <w:rFonts w:ascii="Arial" w:hAnsi="Arial" w:cs="Arial"/>
          <w:sz w:val="20"/>
          <w:szCs w:val="20"/>
        </w:rPr>
        <w:t xml:space="preserve"> </w:t>
      </w:r>
      <w:r w:rsidR="00040BF9" w:rsidRPr="00040BF9">
        <w:rPr>
          <w:rFonts w:ascii="Arial" w:hAnsi="Arial" w:cs="Arial"/>
          <w:sz w:val="20"/>
          <w:szCs w:val="20"/>
        </w:rPr>
        <w:t>The livelihood and communication patterns of rural farm women are notably affected</w:t>
      </w:r>
      <w:r w:rsidR="007A7030">
        <w:rPr>
          <w:rFonts w:ascii="Arial" w:hAnsi="Arial" w:cs="Arial"/>
          <w:sz w:val="20"/>
          <w:szCs w:val="20"/>
        </w:rPr>
        <w:t xml:space="preserve"> from the income</w:t>
      </w:r>
      <w:r w:rsidR="00040BF9" w:rsidRPr="00040BF9">
        <w:rPr>
          <w:rFonts w:ascii="Arial" w:hAnsi="Arial" w:cs="Arial"/>
          <w:sz w:val="20"/>
          <w:szCs w:val="20"/>
        </w:rPr>
        <w:t xml:space="preserve">. A person's income plays a crucial role in the decision-making process. Accessing the annual income of these farmwomen poses challenges due to the absence of record-keeping. The investigator has undertaken thorough enquiries to evaluate the income of the respondents, categorising it into three distinct levels: low, medium, and high. The findings indicate that a considerable portion of respondents (48.33%) falls within the "medium" income level, while (37.50%) are classified as “low” </w:t>
      </w:r>
      <w:r w:rsidR="00040BF9" w:rsidRPr="00040BF9">
        <w:rPr>
          <w:rFonts w:ascii="Arial" w:hAnsi="Arial" w:cs="Arial"/>
          <w:sz w:val="20"/>
          <w:szCs w:val="20"/>
        </w:rPr>
        <w:lastRenderedPageBreak/>
        <w:t>income, and (14.17%) as “high” income. This may be attributed to respondents from coastal regions having multiple income sources beyond agriculture, such as fishing. The data clearly illustrates that those from coastal areas enjoy enhanced livelihoods, better access to education, and additional resources, all of which are vital for improved communication and networking.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E52293" w:rsidRPr="00B54563" w14:paraId="3D15C115" w14:textId="77777777" w:rsidTr="00374BD2">
        <w:trPr>
          <w:trHeight w:val="307"/>
        </w:trPr>
        <w:tc>
          <w:tcPr>
            <w:tcW w:w="5000" w:type="pct"/>
            <w:gridSpan w:val="4"/>
          </w:tcPr>
          <w:p w14:paraId="3CB66A38" w14:textId="6A606096" w:rsidR="00E52293" w:rsidRPr="00B54563" w:rsidRDefault="00E52293" w:rsidP="008A62F5">
            <w:pPr>
              <w:pStyle w:val="NoSpacing"/>
              <w:rPr>
                <w:rFonts w:ascii="Arial" w:hAnsi="Arial" w:cs="Arial"/>
                <w:b/>
                <w:bCs/>
                <w:sz w:val="20"/>
                <w:szCs w:val="20"/>
              </w:rPr>
            </w:pPr>
            <w:r w:rsidRPr="00B54563">
              <w:rPr>
                <w:rFonts w:ascii="Arial" w:hAnsi="Arial" w:cs="Arial"/>
                <w:b/>
                <w:bCs/>
                <w:sz w:val="20"/>
                <w:szCs w:val="20"/>
              </w:rPr>
              <w:t xml:space="preserve">Table 2 Socio </w:t>
            </w:r>
            <w:r w:rsidR="009137DA" w:rsidRPr="00B54563">
              <w:rPr>
                <w:rFonts w:ascii="Arial" w:hAnsi="Arial" w:cs="Arial"/>
                <w:b/>
                <w:bCs/>
                <w:sz w:val="20"/>
                <w:szCs w:val="20"/>
              </w:rPr>
              <w:t>economic</w:t>
            </w:r>
            <w:r w:rsidR="009137DA" w:rsidRPr="00B54563">
              <w:rPr>
                <w:rFonts w:ascii="Arial" w:hAnsi="Arial" w:cs="Arial"/>
                <w:sz w:val="20"/>
                <w:szCs w:val="20"/>
              </w:rPr>
              <w:t xml:space="preserve"> </w:t>
            </w:r>
            <w:r w:rsidRPr="00B54563">
              <w:rPr>
                <w:rFonts w:ascii="Arial" w:hAnsi="Arial" w:cs="Arial"/>
                <w:b/>
                <w:bCs/>
                <w:sz w:val="20"/>
                <w:szCs w:val="20"/>
              </w:rPr>
              <w:t>profile of the respondents (n=240)</w:t>
            </w:r>
          </w:p>
        </w:tc>
      </w:tr>
      <w:tr w:rsidR="00E52293" w:rsidRPr="00B54563" w14:paraId="607CFEB0" w14:textId="77777777" w:rsidTr="00374BD2">
        <w:trPr>
          <w:trHeight w:val="269"/>
        </w:trPr>
        <w:tc>
          <w:tcPr>
            <w:tcW w:w="425" w:type="pct"/>
          </w:tcPr>
          <w:p w14:paraId="069D1B33"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z w:val="20"/>
                <w:szCs w:val="20"/>
              </w:rPr>
              <w:t xml:space="preserve">Sl. </w:t>
            </w:r>
            <w:r w:rsidRPr="00B54563">
              <w:rPr>
                <w:rFonts w:ascii="Arial" w:hAnsi="Arial" w:cs="Arial"/>
                <w:b/>
                <w:bCs/>
                <w:spacing w:val="-5"/>
                <w:sz w:val="20"/>
                <w:szCs w:val="20"/>
              </w:rPr>
              <w:t>No.</w:t>
            </w:r>
          </w:p>
        </w:tc>
        <w:tc>
          <w:tcPr>
            <w:tcW w:w="1338" w:type="pct"/>
          </w:tcPr>
          <w:p w14:paraId="54291B77"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pacing w:val="-2"/>
                <w:sz w:val="20"/>
                <w:szCs w:val="20"/>
              </w:rPr>
              <w:t>Variable</w:t>
            </w:r>
          </w:p>
        </w:tc>
        <w:tc>
          <w:tcPr>
            <w:tcW w:w="2338" w:type="pct"/>
          </w:tcPr>
          <w:p w14:paraId="480F76F3" w14:textId="77777777" w:rsidR="00E52293" w:rsidRPr="00B54563" w:rsidRDefault="00E52293" w:rsidP="008A62F5">
            <w:pPr>
              <w:pStyle w:val="NoSpacing"/>
              <w:jc w:val="center"/>
              <w:rPr>
                <w:rFonts w:ascii="Arial" w:hAnsi="Arial" w:cs="Arial"/>
                <w:b/>
                <w:bCs/>
                <w:sz w:val="20"/>
                <w:szCs w:val="20"/>
              </w:rPr>
            </w:pPr>
            <w:r w:rsidRPr="00B54563">
              <w:rPr>
                <w:rFonts w:ascii="Arial" w:hAnsi="Arial" w:cs="Arial"/>
                <w:b/>
                <w:bCs/>
                <w:spacing w:val="-2"/>
                <w:sz w:val="20"/>
                <w:szCs w:val="20"/>
              </w:rPr>
              <w:t>Categories</w:t>
            </w:r>
          </w:p>
        </w:tc>
        <w:tc>
          <w:tcPr>
            <w:tcW w:w="899" w:type="pct"/>
          </w:tcPr>
          <w:p w14:paraId="575E8764" w14:textId="1E5F87B4" w:rsidR="00E52293" w:rsidRPr="00B54563" w:rsidRDefault="00E52293" w:rsidP="003B0F46">
            <w:pPr>
              <w:pStyle w:val="NoSpacing"/>
              <w:jc w:val="center"/>
              <w:rPr>
                <w:rFonts w:ascii="Arial" w:hAnsi="Arial" w:cs="Arial"/>
                <w:b/>
                <w:bCs/>
                <w:sz w:val="20"/>
                <w:szCs w:val="20"/>
              </w:rPr>
            </w:pPr>
            <w:r w:rsidRPr="00B54563">
              <w:rPr>
                <w:rFonts w:ascii="Arial" w:hAnsi="Arial" w:cs="Arial"/>
                <w:b/>
                <w:bCs/>
                <w:sz w:val="20"/>
                <w:szCs w:val="20"/>
              </w:rPr>
              <w:t>Coastal</w:t>
            </w:r>
            <w:r w:rsidR="003B0F46">
              <w:rPr>
                <w:rFonts w:ascii="Arial" w:hAnsi="Arial" w:cs="Arial"/>
                <w:b/>
                <w:bCs/>
                <w:sz w:val="20"/>
                <w:szCs w:val="20"/>
              </w:rPr>
              <w:t xml:space="preserve"> </w:t>
            </w:r>
            <w:r w:rsidRPr="003B0F46">
              <w:rPr>
                <w:rFonts w:ascii="Arial" w:hAnsi="Arial" w:cs="Arial"/>
                <w:b/>
                <w:bCs/>
                <w:i/>
                <w:iCs/>
                <w:sz w:val="20"/>
                <w:szCs w:val="20"/>
              </w:rPr>
              <w:t>f</w:t>
            </w:r>
            <w:r w:rsidRPr="00B54563">
              <w:rPr>
                <w:rFonts w:ascii="Arial" w:hAnsi="Arial" w:cs="Arial"/>
                <w:b/>
                <w:bCs/>
                <w:sz w:val="20"/>
                <w:szCs w:val="20"/>
              </w:rPr>
              <w:t xml:space="preserve"> (%)</w:t>
            </w:r>
          </w:p>
        </w:tc>
      </w:tr>
      <w:tr w:rsidR="00E52293" w:rsidRPr="00B54563" w14:paraId="05DE2850" w14:textId="77777777" w:rsidTr="008A62F5">
        <w:trPr>
          <w:trHeight w:val="255"/>
        </w:trPr>
        <w:tc>
          <w:tcPr>
            <w:tcW w:w="425" w:type="pct"/>
          </w:tcPr>
          <w:p w14:paraId="1714B86A" w14:textId="62CE3DEC" w:rsidR="00E52293" w:rsidRPr="00B54563" w:rsidRDefault="00E52293" w:rsidP="00E52293">
            <w:pPr>
              <w:pStyle w:val="NoSpacing"/>
              <w:jc w:val="center"/>
              <w:rPr>
                <w:rFonts w:ascii="Arial" w:hAnsi="Arial" w:cs="Arial"/>
                <w:spacing w:val="-5"/>
                <w:sz w:val="20"/>
                <w:szCs w:val="20"/>
              </w:rPr>
            </w:pPr>
            <w:r w:rsidRPr="00B54563">
              <w:rPr>
                <w:rFonts w:ascii="Arial" w:hAnsi="Arial" w:cs="Arial"/>
                <w:spacing w:val="-5"/>
                <w:sz w:val="20"/>
                <w:szCs w:val="20"/>
              </w:rPr>
              <w:t>1.</w:t>
            </w:r>
          </w:p>
        </w:tc>
        <w:tc>
          <w:tcPr>
            <w:tcW w:w="1338" w:type="pct"/>
          </w:tcPr>
          <w:p w14:paraId="10F36CCA" w14:textId="77777777" w:rsidR="00E52293" w:rsidRPr="00B54563" w:rsidRDefault="00E52293" w:rsidP="008A62F5">
            <w:pPr>
              <w:pStyle w:val="NoSpacing"/>
              <w:rPr>
                <w:rFonts w:ascii="Arial" w:hAnsi="Arial" w:cs="Arial"/>
                <w:spacing w:val="-2"/>
                <w:sz w:val="20"/>
                <w:szCs w:val="20"/>
              </w:rPr>
            </w:pPr>
            <w:r w:rsidRPr="00B54563">
              <w:rPr>
                <w:rFonts w:ascii="Arial" w:hAnsi="Arial" w:cs="Arial"/>
                <w:sz w:val="20"/>
                <w:szCs w:val="20"/>
              </w:rPr>
              <w:t>Annual</w:t>
            </w:r>
            <w:r w:rsidRPr="00B54563">
              <w:rPr>
                <w:rFonts w:ascii="Arial" w:hAnsi="Arial" w:cs="Arial"/>
                <w:spacing w:val="-15"/>
                <w:sz w:val="20"/>
                <w:szCs w:val="20"/>
              </w:rPr>
              <w:t xml:space="preserve"> </w:t>
            </w:r>
            <w:r w:rsidRPr="00B54563">
              <w:rPr>
                <w:rFonts w:ascii="Arial" w:hAnsi="Arial" w:cs="Arial"/>
                <w:spacing w:val="-2"/>
                <w:sz w:val="20"/>
                <w:szCs w:val="20"/>
              </w:rPr>
              <w:t>income</w:t>
            </w:r>
          </w:p>
        </w:tc>
        <w:tc>
          <w:tcPr>
            <w:tcW w:w="2338" w:type="pct"/>
          </w:tcPr>
          <w:p w14:paraId="65A13049"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Low (up to Rs 1,43,689)</w:t>
            </w:r>
          </w:p>
          <w:p w14:paraId="73C6557B"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Medium (1.43,689-2,83,428)</w:t>
            </w:r>
          </w:p>
          <w:p w14:paraId="1ACA3E48" w14:textId="77777777" w:rsidR="00E52293" w:rsidRPr="00B54563" w:rsidRDefault="00E52293" w:rsidP="008A62F5">
            <w:pPr>
              <w:pStyle w:val="NoSpacing"/>
              <w:rPr>
                <w:rFonts w:ascii="Arial" w:hAnsi="Arial" w:cs="Arial"/>
                <w:sz w:val="20"/>
                <w:szCs w:val="20"/>
              </w:rPr>
            </w:pPr>
            <w:r w:rsidRPr="00B54563">
              <w:rPr>
                <w:rFonts w:ascii="Arial" w:hAnsi="Arial" w:cs="Arial"/>
                <w:sz w:val="20"/>
                <w:szCs w:val="20"/>
              </w:rPr>
              <w:t>High (more than 2,83,428)</w:t>
            </w:r>
          </w:p>
        </w:tc>
        <w:tc>
          <w:tcPr>
            <w:tcW w:w="899" w:type="pct"/>
          </w:tcPr>
          <w:p w14:paraId="5BC40787"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17 (14.17)</w:t>
            </w:r>
          </w:p>
          <w:p w14:paraId="0A61A8CD"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58 (48.33)</w:t>
            </w:r>
          </w:p>
          <w:p w14:paraId="5F958362" w14:textId="77777777" w:rsidR="00E52293" w:rsidRPr="00B54563" w:rsidRDefault="00E52293" w:rsidP="008A62F5">
            <w:pPr>
              <w:pStyle w:val="NoSpacing"/>
              <w:jc w:val="center"/>
              <w:rPr>
                <w:rFonts w:ascii="Arial" w:hAnsi="Arial" w:cs="Arial"/>
                <w:sz w:val="20"/>
                <w:szCs w:val="20"/>
              </w:rPr>
            </w:pPr>
            <w:r w:rsidRPr="00B54563">
              <w:rPr>
                <w:rFonts w:ascii="Arial" w:hAnsi="Arial" w:cs="Arial"/>
                <w:sz w:val="20"/>
                <w:szCs w:val="20"/>
              </w:rPr>
              <w:t>45 (37.50)</w:t>
            </w:r>
          </w:p>
        </w:tc>
      </w:tr>
    </w:tbl>
    <w:p w14:paraId="6CD4D9DA" w14:textId="77777777" w:rsidR="00E52293" w:rsidRDefault="00E52293" w:rsidP="00B816DB">
      <w:pPr>
        <w:jc w:val="both"/>
        <w:rPr>
          <w:rFonts w:ascii="Arial" w:hAnsi="Arial" w:cs="Arial"/>
        </w:rPr>
      </w:pPr>
    </w:p>
    <w:p w14:paraId="7C8F775F" w14:textId="59BB26A1" w:rsidR="00640284" w:rsidRPr="0053414D" w:rsidRDefault="0020217E" w:rsidP="00B816DB">
      <w:pPr>
        <w:jc w:val="both"/>
        <w:rPr>
          <w:rFonts w:ascii="Arial" w:hAnsi="Arial" w:cs="Arial"/>
        </w:rPr>
      </w:pPr>
      <w:proofErr w:type="spellStart"/>
      <w:r>
        <w:rPr>
          <w:rFonts w:ascii="Arial" w:hAnsi="Arial" w:cs="Arial"/>
        </w:rPr>
        <w:t>Garph</w:t>
      </w:r>
      <w:proofErr w:type="spellEnd"/>
      <w:r w:rsidR="00640284">
        <w:rPr>
          <w:rFonts w:ascii="Arial" w:hAnsi="Arial" w:cs="Arial"/>
        </w:rPr>
        <w:t xml:space="preserve"> .1 </w:t>
      </w:r>
      <w:r w:rsidR="001635C3" w:rsidRPr="00BF5527">
        <w:rPr>
          <w:rFonts w:ascii="Arial" w:hAnsi="Arial" w:cs="Arial"/>
          <w:b/>
          <w:bCs/>
          <w:sz w:val="20"/>
          <w:szCs w:val="20"/>
          <w:highlight w:val="yellow"/>
        </w:rPr>
        <w:t>Annual income</w:t>
      </w:r>
      <w:r w:rsidR="003878A2" w:rsidRPr="00BF5527">
        <w:rPr>
          <w:rFonts w:ascii="Arial" w:hAnsi="Arial" w:cs="Arial"/>
          <w:b/>
          <w:bCs/>
          <w:sz w:val="20"/>
          <w:szCs w:val="20"/>
          <w:highlight w:val="yellow"/>
        </w:rPr>
        <w:t xml:space="preserve"> of the respondents</w:t>
      </w:r>
      <w:r w:rsidR="003878A2">
        <w:rPr>
          <w:rFonts w:ascii="Arial" w:hAnsi="Arial" w:cs="Arial"/>
          <w:b/>
          <w:bCs/>
          <w:sz w:val="20"/>
          <w:szCs w:val="20"/>
        </w:rPr>
        <w:t xml:space="preserve"> </w:t>
      </w:r>
    </w:p>
    <w:p w14:paraId="30EBED16" w14:textId="3640609A" w:rsidR="00FB6A9E" w:rsidRDefault="00F25D2E" w:rsidP="00B816DB">
      <w:pPr>
        <w:jc w:val="both"/>
        <w:rPr>
          <w:rFonts w:ascii="Arial" w:hAnsi="Arial" w:cs="Arial"/>
          <w:b/>
          <w:bCs/>
          <w:sz w:val="22"/>
          <w:szCs w:val="22"/>
        </w:rPr>
      </w:pPr>
      <w:r>
        <w:rPr>
          <w:rFonts w:ascii="Arial" w:hAnsi="Arial" w:cs="Arial"/>
          <w:b/>
          <w:bCs/>
          <w:noProof/>
          <w:sz w:val="22"/>
          <w:szCs w:val="22"/>
          <w:lang w:val="en-US"/>
        </w:rPr>
        <w:drawing>
          <wp:inline distT="0" distB="0" distL="0" distR="0" wp14:anchorId="5EC6BAC0" wp14:editId="608828EE">
            <wp:extent cx="5661660" cy="3284220"/>
            <wp:effectExtent l="0" t="0" r="15240" b="11430"/>
            <wp:docPr id="131253391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2850BF6" w14:textId="367E9376" w:rsidR="009137DA" w:rsidRPr="00B54563" w:rsidRDefault="006D5091" w:rsidP="00B816DB">
      <w:pPr>
        <w:jc w:val="both"/>
        <w:rPr>
          <w:rFonts w:ascii="Arial" w:hAnsi="Arial" w:cs="Arial"/>
          <w:b/>
          <w:bCs/>
          <w:sz w:val="22"/>
          <w:szCs w:val="22"/>
        </w:rPr>
      </w:pPr>
      <w:r w:rsidRPr="00B54563">
        <w:rPr>
          <w:rFonts w:ascii="Arial" w:hAnsi="Arial" w:cs="Arial"/>
          <w:b/>
          <w:bCs/>
          <w:sz w:val="22"/>
          <w:szCs w:val="22"/>
        </w:rPr>
        <w:t xml:space="preserve">Communication profile of the respondents </w:t>
      </w:r>
    </w:p>
    <w:p w14:paraId="351003EF" w14:textId="67E09D98" w:rsidR="0072675C" w:rsidRPr="00B54563" w:rsidRDefault="006D5091" w:rsidP="00B816DB">
      <w:pPr>
        <w:jc w:val="both"/>
        <w:rPr>
          <w:rFonts w:ascii="Arial" w:hAnsi="Arial" w:cs="Arial"/>
          <w:sz w:val="20"/>
          <w:szCs w:val="20"/>
        </w:rPr>
      </w:pPr>
      <w:r w:rsidRPr="00B54563">
        <w:rPr>
          <w:rFonts w:ascii="Arial" w:hAnsi="Arial" w:cs="Arial"/>
          <w:b/>
          <w:bCs/>
          <w:sz w:val="20"/>
          <w:szCs w:val="20"/>
        </w:rPr>
        <w:t>Communication material possession</w:t>
      </w:r>
      <w:r w:rsidRPr="00B54563">
        <w:rPr>
          <w:rFonts w:ascii="Arial" w:hAnsi="Arial" w:cs="Arial"/>
          <w:sz w:val="20"/>
          <w:szCs w:val="20"/>
        </w:rPr>
        <w:t xml:space="preserve">: </w:t>
      </w:r>
      <w:r w:rsidR="00CB26CB" w:rsidRPr="00CB26CB">
        <w:rPr>
          <w:rFonts w:ascii="Arial" w:hAnsi="Arial" w:cs="Arial"/>
          <w:sz w:val="20"/>
          <w:szCs w:val="20"/>
        </w:rPr>
        <w:t>Table 3 indicates that almost half of the participants (49.17%) reported a medium level of communication material possession, while (44.16%) had a low level, and merely (6.67%) exhibited high levels of communication materials. This indicates that a considerable number of women in agriculture face restrictions in accessing both printed and digital communication tools, potentially obstructing their capacity to obtain and apply agricultural knowledge. Comparable investigations suggest that restricted access to communication resources adversely impacts agricultural decision-making and the adoption of technology (Meena et al., 2021).</w:t>
      </w:r>
    </w:p>
    <w:p w14:paraId="530D82D0" w14:textId="0FCA9DF5" w:rsidR="00061E86" w:rsidRDefault="006D5091" w:rsidP="00B816DB">
      <w:pPr>
        <w:jc w:val="both"/>
        <w:rPr>
          <w:rFonts w:ascii="Arial" w:hAnsi="Arial" w:cs="Arial"/>
          <w:sz w:val="20"/>
          <w:szCs w:val="20"/>
        </w:rPr>
      </w:pPr>
      <w:r w:rsidRPr="00B54563">
        <w:rPr>
          <w:rFonts w:ascii="Arial" w:hAnsi="Arial" w:cs="Arial"/>
          <w:b/>
          <w:bCs/>
          <w:sz w:val="20"/>
          <w:szCs w:val="20"/>
        </w:rPr>
        <w:t>Mass media exposure</w:t>
      </w:r>
      <w:r w:rsidRPr="00B54563">
        <w:rPr>
          <w:rFonts w:ascii="Arial" w:hAnsi="Arial" w:cs="Arial"/>
          <w:sz w:val="20"/>
          <w:szCs w:val="20"/>
        </w:rPr>
        <w:t xml:space="preserve">: </w:t>
      </w:r>
      <w:r w:rsidR="001213FD" w:rsidRPr="001213FD">
        <w:rPr>
          <w:rFonts w:ascii="Arial" w:hAnsi="Arial" w:cs="Arial"/>
          <w:sz w:val="20"/>
          <w:szCs w:val="20"/>
        </w:rPr>
        <w:t>An insightful analysis of Table 3 indicates that a significant 49.17% of participants experienced a medium level of exposure, with a near equal 48.33% reporting a low level, and a mere 2.50% indicating a high level of mass media exposure. The limited interaction with mass media channels could be attributed to various factors, including digital illiteracy, inadequate infrastructure, or time constraints arising from household and agricultural duties. Recent findings emphasise that mass media is essential for spreading agricultural innovations; however, rural women frequently encounter barriers in utilising mass communication resources (Kumari &amp; Singh, 2022).</w:t>
      </w:r>
    </w:p>
    <w:p w14:paraId="145B0EED" w14:textId="77777777" w:rsidR="002F6101" w:rsidRPr="002F6101" w:rsidRDefault="006D5091" w:rsidP="002F6101">
      <w:pPr>
        <w:jc w:val="both"/>
        <w:rPr>
          <w:rFonts w:ascii="Arial" w:hAnsi="Arial" w:cs="Arial"/>
          <w:sz w:val="20"/>
          <w:szCs w:val="20"/>
        </w:rPr>
      </w:pPr>
      <w:r w:rsidRPr="00B54563">
        <w:rPr>
          <w:rFonts w:ascii="Arial" w:hAnsi="Arial" w:cs="Arial"/>
          <w:b/>
          <w:bCs/>
          <w:sz w:val="20"/>
          <w:szCs w:val="20"/>
        </w:rPr>
        <w:t>Extension participation</w:t>
      </w:r>
      <w:r w:rsidRPr="00B54563">
        <w:rPr>
          <w:rFonts w:ascii="Arial" w:hAnsi="Arial" w:cs="Arial"/>
          <w:sz w:val="20"/>
          <w:szCs w:val="20"/>
        </w:rPr>
        <w:t xml:space="preserve">: </w:t>
      </w:r>
      <w:r w:rsidR="002F6101" w:rsidRPr="002F6101">
        <w:rPr>
          <w:rFonts w:ascii="Arial" w:hAnsi="Arial" w:cs="Arial"/>
          <w:sz w:val="20"/>
          <w:szCs w:val="20"/>
        </w:rPr>
        <w:t xml:space="preserve">Regarding involvement in extension activities, 50.83% of the respondents indicated a medium level of participation, while 39.17% reported low engagement, and only 10.00% </w:t>
      </w:r>
      <w:r w:rsidR="002F6101" w:rsidRPr="002F6101">
        <w:rPr>
          <w:rFonts w:ascii="Arial" w:hAnsi="Arial" w:cs="Arial"/>
          <w:sz w:val="20"/>
          <w:szCs w:val="20"/>
        </w:rPr>
        <w:lastRenderedPageBreak/>
        <w:t>were highly active in extension programs. The observed lower engagement in extension services by coastal farm women indicates potential obstacles, including mobility limitations, insufficiently tailored extension methods for women, or cultural barriers. Prior investigations highlight that extension services tailored to gender considerations can greatly improve the involvement of women in agricultural training and the adoption of technology (Chaudhary et al., 2023).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66"/>
        <w:gridCol w:w="2413"/>
        <w:gridCol w:w="4216"/>
        <w:gridCol w:w="1621"/>
      </w:tblGrid>
      <w:tr w:rsidR="00412114" w:rsidRPr="00D73A51" w14:paraId="0BFFA348" w14:textId="77777777" w:rsidTr="00374BD2">
        <w:trPr>
          <w:trHeight w:val="303"/>
        </w:trPr>
        <w:tc>
          <w:tcPr>
            <w:tcW w:w="5000" w:type="pct"/>
            <w:gridSpan w:val="4"/>
          </w:tcPr>
          <w:p w14:paraId="4C0C3951" w14:textId="5700A038" w:rsidR="00412114" w:rsidRPr="00D73A51" w:rsidRDefault="00412114" w:rsidP="008A62F5">
            <w:pPr>
              <w:pStyle w:val="NoSpacing"/>
              <w:rPr>
                <w:rFonts w:ascii="Arial" w:hAnsi="Arial" w:cs="Arial"/>
                <w:b/>
                <w:bCs/>
                <w:sz w:val="20"/>
                <w:szCs w:val="20"/>
              </w:rPr>
            </w:pPr>
            <w:r w:rsidRPr="00D73A51">
              <w:rPr>
                <w:rFonts w:ascii="Arial" w:hAnsi="Arial" w:cs="Arial"/>
                <w:b/>
                <w:bCs/>
                <w:sz w:val="20"/>
                <w:szCs w:val="20"/>
              </w:rPr>
              <w:t xml:space="preserve">Table </w:t>
            </w:r>
            <w:r w:rsidR="00E52293" w:rsidRPr="00D73A51">
              <w:rPr>
                <w:rFonts w:ascii="Arial" w:hAnsi="Arial" w:cs="Arial"/>
                <w:b/>
                <w:bCs/>
                <w:sz w:val="20"/>
                <w:szCs w:val="20"/>
              </w:rPr>
              <w:t>3</w:t>
            </w:r>
            <w:r w:rsidRPr="00D73A51">
              <w:rPr>
                <w:rFonts w:ascii="Arial" w:hAnsi="Arial" w:cs="Arial"/>
                <w:b/>
                <w:bCs/>
                <w:sz w:val="20"/>
                <w:szCs w:val="20"/>
              </w:rPr>
              <w:t xml:space="preserve"> </w:t>
            </w:r>
            <w:r w:rsidR="009137DA" w:rsidRPr="00D73A51">
              <w:rPr>
                <w:rFonts w:ascii="Arial" w:hAnsi="Arial" w:cs="Arial"/>
                <w:b/>
                <w:bCs/>
                <w:sz w:val="20"/>
                <w:szCs w:val="20"/>
              </w:rPr>
              <w:t>Communication profile</w:t>
            </w:r>
            <w:r w:rsidR="009137DA" w:rsidRPr="00D73A51">
              <w:rPr>
                <w:rFonts w:ascii="Arial" w:hAnsi="Arial" w:cs="Arial"/>
                <w:sz w:val="20"/>
                <w:szCs w:val="20"/>
              </w:rPr>
              <w:t xml:space="preserve"> </w:t>
            </w:r>
            <w:r w:rsidRPr="00D73A51">
              <w:rPr>
                <w:rFonts w:ascii="Arial" w:hAnsi="Arial" w:cs="Arial"/>
                <w:b/>
                <w:bCs/>
                <w:sz w:val="20"/>
                <w:szCs w:val="20"/>
              </w:rPr>
              <w:t>of the respondents (n=240)</w:t>
            </w:r>
          </w:p>
        </w:tc>
      </w:tr>
      <w:tr w:rsidR="00412114" w:rsidRPr="00D73A51" w14:paraId="3DC091FF" w14:textId="77777777" w:rsidTr="006A4C8A">
        <w:trPr>
          <w:trHeight w:val="265"/>
        </w:trPr>
        <w:tc>
          <w:tcPr>
            <w:tcW w:w="425" w:type="pct"/>
          </w:tcPr>
          <w:p w14:paraId="6927C63D"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z w:val="20"/>
                <w:szCs w:val="20"/>
              </w:rPr>
              <w:t xml:space="preserve">Sl. </w:t>
            </w:r>
            <w:r w:rsidRPr="00D73A51">
              <w:rPr>
                <w:rFonts w:ascii="Arial" w:hAnsi="Arial" w:cs="Arial"/>
                <w:b/>
                <w:bCs/>
                <w:spacing w:val="-5"/>
                <w:sz w:val="20"/>
                <w:szCs w:val="20"/>
              </w:rPr>
              <w:t>No.</w:t>
            </w:r>
          </w:p>
        </w:tc>
        <w:tc>
          <w:tcPr>
            <w:tcW w:w="1338" w:type="pct"/>
          </w:tcPr>
          <w:p w14:paraId="35ECFE22"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pacing w:val="-2"/>
                <w:sz w:val="20"/>
                <w:szCs w:val="20"/>
              </w:rPr>
              <w:t>Variable</w:t>
            </w:r>
          </w:p>
        </w:tc>
        <w:tc>
          <w:tcPr>
            <w:tcW w:w="2338" w:type="pct"/>
          </w:tcPr>
          <w:p w14:paraId="5FDE2E60" w14:textId="77777777" w:rsidR="00412114" w:rsidRPr="00D73A51" w:rsidRDefault="00412114" w:rsidP="008A62F5">
            <w:pPr>
              <w:pStyle w:val="NoSpacing"/>
              <w:jc w:val="center"/>
              <w:rPr>
                <w:rFonts w:ascii="Arial" w:hAnsi="Arial" w:cs="Arial"/>
                <w:b/>
                <w:bCs/>
                <w:sz w:val="20"/>
                <w:szCs w:val="20"/>
              </w:rPr>
            </w:pPr>
            <w:r w:rsidRPr="00D73A51">
              <w:rPr>
                <w:rFonts w:ascii="Arial" w:hAnsi="Arial" w:cs="Arial"/>
                <w:b/>
                <w:bCs/>
                <w:spacing w:val="-2"/>
                <w:sz w:val="20"/>
                <w:szCs w:val="20"/>
              </w:rPr>
              <w:t>Categories</w:t>
            </w:r>
          </w:p>
        </w:tc>
        <w:tc>
          <w:tcPr>
            <w:tcW w:w="899" w:type="pct"/>
          </w:tcPr>
          <w:p w14:paraId="1E51A8AC" w14:textId="52864B41" w:rsidR="00412114" w:rsidRPr="00D73A51" w:rsidRDefault="00412114" w:rsidP="00D73A51">
            <w:pPr>
              <w:pStyle w:val="NoSpacing"/>
              <w:jc w:val="center"/>
              <w:rPr>
                <w:rFonts w:ascii="Arial" w:hAnsi="Arial" w:cs="Arial"/>
                <w:b/>
                <w:bCs/>
                <w:sz w:val="20"/>
                <w:szCs w:val="20"/>
              </w:rPr>
            </w:pPr>
            <w:r w:rsidRPr="00D73A51">
              <w:rPr>
                <w:rFonts w:ascii="Arial" w:hAnsi="Arial" w:cs="Arial"/>
                <w:b/>
                <w:bCs/>
                <w:sz w:val="20"/>
                <w:szCs w:val="20"/>
              </w:rPr>
              <w:t>Coastal</w:t>
            </w:r>
            <w:r w:rsidR="00D73A51">
              <w:rPr>
                <w:rFonts w:ascii="Arial" w:hAnsi="Arial" w:cs="Arial"/>
                <w:b/>
                <w:bCs/>
                <w:sz w:val="20"/>
                <w:szCs w:val="20"/>
              </w:rPr>
              <w:t xml:space="preserve"> </w:t>
            </w:r>
            <w:r w:rsidRPr="003B0F46">
              <w:rPr>
                <w:rFonts w:ascii="Arial" w:hAnsi="Arial" w:cs="Arial"/>
                <w:b/>
                <w:bCs/>
                <w:i/>
                <w:iCs/>
                <w:sz w:val="20"/>
                <w:szCs w:val="20"/>
              </w:rPr>
              <w:t>f</w:t>
            </w:r>
            <w:r w:rsidRPr="00D73A51">
              <w:rPr>
                <w:rFonts w:ascii="Arial" w:hAnsi="Arial" w:cs="Arial"/>
                <w:b/>
                <w:bCs/>
                <w:sz w:val="20"/>
                <w:szCs w:val="20"/>
              </w:rPr>
              <w:t xml:space="preserve"> (%)</w:t>
            </w:r>
          </w:p>
        </w:tc>
      </w:tr>
      <w:tr w:rsidR="00412114" w:rsidRPr="00D73A51" w14:paraId="5D5AAA71" w14:textId="77777777" w:rsidTr="008A62F5">
        <w:trPr>
          <w:trHeight w:val="255"/>
        </w:trPr>
        <w:tc>
          <w:tcPr>
            <w:tcW w:w="425" w:type="pct"/>
          </w:tcPr>
          <w:p w14:paraId="1E5627D3" w14:textId="450823FB"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1</w:t>
            </w:r>
            <w:r w:rsidR="00412114" w:rsidRPr="00D73A51">
              <w:rPr>
                <w:rFonts w:ascii="Arial" w:hAnsi="Arial" w:cs="Arial"/>
                <w:spacing w:val="-5"/>
                <w:sz w:val="20"/>
                <w:szCs w:val="20"/>
              </w:rPr>
              <w:t>.</w:t>
            </w:r>
          </w:p>
        </w:tc>
        <w:tc>
          <w:tcPr>
            <w:tcW w:w="1338" w:type="pct"/>
          </w:tcPr>
          <w:p w14:paraId="6A427BB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Communication material possession</w:t>
            </w:r>
          </w:p>
        </w:tc>
        <w:tc>
          <w:tcPr>
            <w:tcW w:w="2338" w:type="pct"/>
          </w:tcPr>
          <w:p w14:paraId="13908F1F"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 (</w:t>
            </w:r>
            <w:r w:rsidRPr="00D73A51">
              <w:rPr>
                <w:rFonts w:ascii="Arial" w:hAnsi="Arial" w:cs="Arial"/>
                <w:sz w:val="20"/>
                <w:szCs w:val="20"/>
                <w:u w:val="single"/>
              </w:rPr>
              <w:t>&lt;</w:t>
            </w:r>
            <w:r w:rsidRPr="00D73A51">
              <w:rPr>
                <w:rFonts w:ascii="Arial" w:hAnsi="Arial" w:cs="Arial"/>
                <w:sz w:val="20"/>
                <w:szCs w:val="20"/>
              </w:rPr>
              <w:t>1.38)</w:t>
            </w:r>
          </w:p>
          <w:p w14:paraId="2BCF4CDD"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 (1.39-4.92)</w:t>
            </w:r>
          </w:p>
          <w:p w14:paraId="4AC4816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High (&gt;4.92)</w:t>
            </w:r>
          </w:p>
        </w:tc>
        <w:tc>
          <w:tcPr>
            <w:tcW w:w="899" w:type="pct"/>
          </w:tcPr>
          <w:p w14:paraId="6FA4C1A0"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53 (44.16)</w:t>
            </w:r>
          </w:p>
          <w:p w14:paraId="1EA51156"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59 (49.17)</w:t>
            </w:r>
          </w:p>
          <w:p w14:paraId="3D96CD9C"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8 (6.67)</w:t>
            </w:r>
          </w:p>
        </w:tc>
      </w:tr>
      <w:tr w:rsidR="00412114" w:rsidRPr="00D73A51" w14:paraId="65A7CAE9" w14:textId="77777777" w:rsidTr="008A62F5">
        <w:trPr>
          <w:trHeight w:val="255"/>
        </w:trPr>
        <w:tc>
          <w:tcPr>
            <w:tcW w:w="425" w:type="pct"/>
          </w:tcPr>
          <w:p w14:paraId="7A49A9E8" w14:textId="6CA70D30"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2</w:t>
            </w:r>
            <w:r w:rsidR="00412114" w:rsidRPr="00D73A51">
              <w:rPr>
                <w:rFonts w:ascii="Arial" w:hAnsi="Arial" w:cs="Arial"/>
                <w:spacing w:val="-5"/>
                <w:sz w:val="20"/>
                <w:szCs w:val="20"/>
              </w:rPr>
              <w:t>.</w:t>
            </w:r>
          </w:p>
        </w:tc>
        <w:tc>
          <w:tcPr>
            <w:tcW w:w="1338" w:type="pct"/>
          </w:tcPr>
          <w:p w14:paraId="770828F5"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Mass</w:t>
            </w:r>
            <w:r w:rsidRPr="00D73A51">
              <w:rPr>
                <w:rFonts w:ascii="Arial" w:hAnsi="Arial" w:cs="Arial"/>
                <w:spacing w:val="-1"/>
                <w:sz w:val="20"/>
                <w:szCs w:val="20"/>
              </w:rPr>
              <w:t xml:space="preserve"> </w:t>
            </w:r>
            <w:r w:rsidRPr="00D73A51">
              <w:rPr>
                <w:rFonts w:ascii="Arial" w:hAnsi="Arial" w:cs="Arial"/>
                <w:sz w:val="20"/>
                <w:szCs w:val="20"/>
              </w:rPr>
              <w:t>media</w:t>
            </w:r>
            <w:r w:rsidRPr="00D73A51">
              <w:rPr>
                <w:rFonts w:ascii="Arial" w:hAnsi="Arial" w:cs="Arial"/>
                <w:spacing w:val="-1"/>
                <w:sz w:val="20"/>
                <w:szCs w:val="20"/>
              </w:rPr>
              <w:t xml:space="preserve"> </w:t>
            </w:r>
            <w:r w:rsidRPr="00D73A51">
              <w:rPr>
                <w:rFonts w:ascii="Arial" w:hAnsi="Arial" w:cs="Arial"/>
                <w:spacing w:val="-2"/>
                <w:sz w:val="20"/>
                <w:szCs w:val="20"/>
              </w:rPr>
              <w:t>exposure</w:t>
            </w:r>
          </w:p>
        </w:tc>
        <w:tc>
          <w:tcPr>
            <w:tcW w:w="2338" w:type="pct"/>
          </w:tcPr>
          <w:p w14:paraId="0F182CA1"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w:t>
            </w:r>
            <w:r w:rsidRPr="00D73A51">
              <w:rPr>
                <w:rFonts w:ascii="Arial" w:hAnsi="Arial" w:cs="Arial"/>
                <w:spacing w:val="-1"/>
                <w:sz w:val="20"/>
                <w:szCs w:val="20"/>
              </w:rPr>
              <w:t xml:space="preserve"> </w:t>
            </w:r>
            <w:r w:rsidRPr="00D73A51">
              <w:rPr>
                <w:rFonts w:ascii="Arial" w:hAnsi="Arial" w:cs="Arial"/>
                <w:spacing w:val="-2"/>
                <w:sz w:val="20"/>
                <w:szCs w:val="20"/>
              </w:rPr>
              <w:t>(</w:t>
            </w:r>
            <w:r w:rsidRPr="00D73A51">
              <w:rPr>
                <w:rFonts w:ascii="Arial" w:hAnsi="Arial" w:cs="Arial"/>
                <w:spacing w:val="-2"/>
                <w:sz w:val="20"/>
                <w:szCs w:val="20"/>
                <w:u w:val="single"/>
              </w:rPr>
              <w:t>&lt;</w:t>
            </w:r>
            <w:r w:rsidRPr="00D73A51">
              <w:rPr>
                <w:rFonts w:ascii="Arial" w:hAnsi="Arial" w:cs="Arial"/>
                <w:spacing w:val="-2"/>
                <w:sz w:val="20"/>
                <w:szCs w:val="20"/>
              </w:rPr>
              <w:t>11.99)</w:t>
            </w:r>
          </w:p>
          <w:p w14:paraId="2D74C613"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w:t>
            </w:r>
            <w:r w:rsidRPr="00D73A51">
              <w:rPr>
                <w:rFonts w:ascii="Arial" w:hAnsi="Arial" w:cs="Arial"/>
                <w:spacing w:val="-2"/>
                <w:sz w:val="20"/>
                <w:szCs w:val="20"/>
              </w:rPr>
              <w:t xml:space="preserve"> </w:t>
            </w:r>
            <w:r w:rsidRPr="00D73A51">
              <w:rPr>
                <w:rFonts w:ascii="Arial" w:hAnsi="Arial" w:cs="Arial"/>
                <w:sz w:val="20"/>
                <w:szCs w:val="20"/>
              </w:rPr>
              <w:t>(12.00-20.93</w:t>
            </w:r>
            <w:r w:rsidRPr="00D73A51">
              <w:rPr>
                <w:rFonts w:ascii="Arial" w:hAnsi="Arial" w:cs="Arial"/>
                <w:spacing w:val="-2"/>
                <w:sz w:val="20"/>
                <w:szCs w:val="20"/>
              </w:rPr>
              <w:t>)</w:t>
            </w:r>
            <w:r w:rsidRPr="00D73A51">
              <w:rPr>
                <w:rFonts w:ascii="Arial" w:hAnsi="Arial" w:cs="Arial"/>
                <w:sz w:val="20"/>
                <w:szCs w:val="20"/>
              </w:rPr>
              <w:t xml:space="preserve"> </w:t>
            </w:r>
          </w:p>
          <w:p w14:paraId="73DF9978"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High </w:t>
            </w:r>
            <w:r w:rsidRPr="00D73A51">
              <w:rPr>
                <w:rFonts w:ascii="Arial" w:hAnsi="Arial" w:cs="Arial"/>
                <w:spacing w:val="-2"/>
                <w:sz w:val="20"/>
                <w:szCs w:val="20"/>
              </w:rPr>
              <w:t>(&gt;20.93)</w:t>
            </w:r>
          </w:p>
        </w:tc>
        <w:tc>
          <w:tcPr>
            <w:tcW w:w="899" w:type="pct"/>
          </w:tcPr>
          <w:p w14:paraId="640F973D"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58 (48.33)</w:t>
            </w:r>
          </w:p>
          <w:p w14:paraId="4529E8BC"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59 (49.17)</w:t>
            </w:r>
          </w:p>
          <w:p w14:paraId="73D24B83"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3 (2.50)</w:t>
            </w:r>
          </w:p>
        </w:tc>
      </w:tr>
      <w:tr w:rsidR="00412114" w:rsidRPr="00D73A51" w14:paraId="6960E55B" w14:textId="77777777" w:rsidTr="008A62F5">
        <w:trPr>
          <w:trHeight w:val="255"/>
        </w:trPr>
        <w:tc>
          <w:tcPr>
            <w:tcW w:w="425" w:type="pct"/>
          </w:tcPr>
          <w:p w14:paraId="71204341" w14:textId="0D58D9CE" w:rsidR="00412114" w:rsidRPr="00D73A51" w:rsidRDefault="00E52293" w:rsidP="00E52293">
            <w:pPr>
              <w:pStyle w:val="NoSpacing"/>
              <w:jc w:val="center"/>
              <w:rPr>
                <w:rFonts w:ascii="Arial" w:hAnsi="Arial" w:cs="Arial"/>
                <w:spacing w:val="-5"/>
                <w:sz w:val="20"/>
                <w:szCs w:val="20"/>
              </w:rPr>
            </w:pPr>
            <w:r w:rsidRPr="00D73A51">
              <w:rPr>
                <w:rFonts w:ascii="Arial" w:hAnsi="Arial" w:cs="Arial"/>
                <w:spacing w:val="-5"/>
                <w:sz w:val="20"/>
                <w:szCs w:val="20"/>
              </w:rPr>
              <w:t>3</w:t>
            </w:r>
            <w:r w:rsidR="00412114" w:rsidRPr="00D73A51">
              <w:rPr>
                <w:rFonts w:ascii="Arial" w:hAnsi="Arial" w:cs="Arial"/>
                <w:spacing w:val="-5"/>
                <w:sz w:val="20"/>
                <w:szCs w:val="20"/>
              </w:rPr>
              <w:t>.</w:t>
            </w:r>
          </w:p>
        </w:tc>
        <w:tc>
          <w:tcPr>
            <w:tcW w:w="1338" w:type="pct"/>
          </w:tcPr>
          <w:p w14:paraId="7DC1030E"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Extension </w:t>
            </w:r>
            <w:r w:rsidRPr="00D73A51">
              <w:rPr>
                <w:rFonts w:ascii="Arial" w:hAnsi="Arial" w:cs="Arial"/>
                <w:spacing w:val="-2"/>
                <w:sz w:val="20"/>
                <w:szCs w:val="20"/>
              </w:rPr>
              <w:t>participation</w:t>
            </w:r>
          </w:p>
        </w:tc>
        <w:tc>
          <w:tcPr>
            <w:tcW w:w="2338" w:type="pct"/>
          </w:tcPr>
          <w:p w14:paraId="709F2665"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Low</w:t>
            </w:r>
            <w:r w:rsidRPr="00D73A51">
              <w:rPr>
                <w:rFonts w:ascii="Arial" w:hAnsi="Arial" w:cs="Arial"/>
                <w:spacing w:val="-1"/>
                <w:sz w:val="20"/>
                <w:szCs w:val="20"/>
              </w:rPr>
              <w:t xml:space="preserve"> </w:t>
            </w:r>
            <w:r w:rsidRPr="00D73A51">
              <w:rPr>
                <w:rFonts w:ascii="Arial" w:hAnsi="Arial" w:cs="Arial"/>
                <w:spacing w:val="-2"/>
                <w:sz w:val="20"/>
                <w:szCs w:val="20"/>
              </w:rPr>
              <w:t>(</w:t>
            </w:r>
            <w:r w:rsidRPr="00D73A51">
              <w:rPr>
                <w:rFonts w:ascii="Arial" w:hAnsi="Arial" w:cs="Arial"/>
                <w:spacing w:val="-2"/>
                <w:sz w:val="20"/>
                <w:szCs w:val="20"/>
                <w:u w:val="single"/>
              </w:rPr>
              <w:t>&lt;</w:t>
            </w:r>
            <w:r w:rsidRPr="00D73A51">
              <w:rPr>
                <w:rFonts w:ascii="Arial" w:hAnsi="Arial" w:cs="Arial"/>
                <w:spacing w:val="-2"/>
                <w:sz w:val="20"/>
                <w:szCs w:val="20"/>
              </w:rPr>
              <w:t>5.92)</w:t>
            </w:r>
          </w:p>
          <w:p w14:paraId="2490E9B4"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Medium</w:t>
            </w:r>
            <w:r w:rsidRPr="00D73A51">
              <w:rPr>
                <w:rFonts w:ascii="Arial" w:hAnsi="Arial" w:cs="Arial"/>
                <w:spacing w:val="-2"/>
                <w:sz w:val="20"/>
                <w:szCs w:val="20"/>
              </w:rPr>
              <w:t xml:space="preserve"> </w:t>
            </w:r>
            <w:r w:rsidRPr="00D73A51">
              <w:rPr>
                <w:rFonts w:ascii="Arial" w:hAnsi="Arial" w:cs="Arial"/>
                <w:sz w:val="20"/>
                <w:szCs w:val="20"/>
              </w:rPr>
              <w:t>(5.93-15.92</w:t>
            </w:r>
            <w:r w:rsidRPr="00D73A51">
              <w:rPr>
                <w:rFonts w:ascii="Arial" w:hAnsi="Arial" w:cs="Arial"/>
                <w:spacing w:val="-2"/>
                <w:sz w:val="20"/>
                <w:szCs w:val="20"/>
              </w:rPr>
              <w:t>)</w:t>
            </w:r>
          </w:p>
          <w:p w14:paraId="66625F5A" w14:textId="77777777" w:rsidR="00412114" w:rsidRPr="00D73A51" w:rsidRDefault="00412114" w:rsidP="008A62F5">
            <w:pPr>
              <w:pStyle w:val="NoSpacing"/>
              <w:rPr>
                <w:rFonts w:ascii="Arial" w:hAnsi="Arial" w:cs="Arial"/>
                <w:sz w:val="20"/>
                <w:szCs w:val="20"/>
              </w:rPr>
            </w:pPr>
            <w:r w:rsidRPr="00D73A51">
              <w:rPr>
                <w:rFonts w:ascii="Arial" w:hAnsi="Arial" w:cs="Arial"/>
                <w:sz w:val="20"/>
                <w:szCs w:val="20"/>
              </w:rPr>
              <w:t xml:space="preserve">High </w:t>
            </w:r>
            <w:r w:rsidRPr="00D73A51">
              <w:rPr>
                <w:rFonts w:ascii="Arial" w:hAnsi="Arial" w:cs="Arial"/>
                <w:spacing w:val="-2"/>
                <w:sz w:val="20"/>
                <w:szCs w:val="20"/>
              </w:rPr>
              <w:t>(&gt;15.92)</w:t>
            </w:r>
          </w:p>
        </w:tc>
        <w:tc>
          <w:tcPr>
            <w:tcW w:w="899" w:type="pct"/>
          </w:tcPr>
          <w:p w14:paraId="66F0EC0A"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47 (39.17)</w:t>
            </w:r>
          </w:p>
          <w:p w14:paraId="439C2E7F"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61 (50.83)</w:t>
            </w:r>
          </w:p>
          <w:p w14:paraId="59B0A96F" w14:textId="77777777" w:rsidR="00412114" w:rsidRPr="00D73A51" w:rsidRDefault="00412114" w:rsidP="008A62F5">
            <w:pPr>
              <w:pStyle w:val="NoSpacing"/>
              <w:jc w:val="center"/>
              <w:rPr>
                <w:rFonts w:ascii="Arial" w:hAnsi="Arial" w:cs="Arial"/>
                <w:sz w:val="20"/>
                <w:szCs w:val="20"/>
              </w:rPr>
            </w:pPr>
            <w:r w:rsidRPr="00D73A51">
              <w:rPr>
                <w:rFonts w:ascii="Arial" w:hAnsi="Arial" w:cs="Arial"/>
                <w:sz w:val="20"/>
                <w:szCs w:val="20"/>
              </w:rPr>
              <w:t>12 (10.00)</w:t>
            </w:r>
          </w:p>
        </w:tc>
      </w:tr>
    </w:tbl>
    <w:p w14:paraId="6866C810" w14:textId="14D1EEAC" w:rsidR="009F2B82" w:rsidRDefault="00895D03">
      <w:pPr>
        <w:rPr>
          <w:rFonts w:ascii="Arial" w:hAnsi="Arial" w:cs="Arial"/>
          <w:b/>
          <w:bCs/>
        </w:rPr>
      </w:pPr>
      <w:r>
        <w:rPr>
          <w:rFonts w:ascii="Arial" w:hAnsi="Arial" w:cs="Arial"/>
          <w:b/>
          <w:bCs/>
        </w:rPr>
        <w:t xml:space="preserve">Graph. </w:t>
      </w:r>
      <w:r w:rsidR="00D81B7B">
        <w:rPr>
          <w:rFonts w:ascii="Arial" w:hAnsi="Arial" w:cs="Arial"/>
          <w:b/>
          <w:bCs/>
        </w:rPr>
        <w:t xml:space="preserve">2: </w:t>
      </w:r>
      <w:r w:rsidR="00D81B7B" w:rsidRPr="00F03684">
        <w:rPr>
          <w:rFonts w:ascii="Arial" w:hAnsi="Arial" w:cs="Arial"/>
          <w:b/>
          <w:bCs/>
          <w:sz w:val="20"/>
          <w:szCs w:val="20"/>
          <w:highlight w:val="yellow"/>
        </w:rPr>
        <w:t>Communication profile</w:t>
      </w:r>
      <w:r w:rsidR="00D81B7B" w:rsidRPr="00F03684">
        <w:rPr>
          <w:rFonts w:ascii="Arial" w:hAnsi="Arial" w:cs="Arial"/>
          <w:sz w:val="20"/>
          <w:szCs w:val="20"/>
          <w:highlight w:val="yellow"/>
        </w:rPr>
        <w:t xml:space="preserve"> </w:t>
      </w:r>
      <w:r w:rsidR="00D81B7B" w:rsidRPr="00F03684">
        <w:rPr>
          <w:rFonts w:ascii="Arial" w:hAnsi="Arial" w:cs="Arial"/>
          <w:b/>
          <w:bCs/>
          <w:sz w:val="20"/>
          <w:szCs w:val="20"/>
          <w:highlight w:val="yellow"/>
        </w:rPr>
        <w:t>of the respondents</w:t>
      </w:r>
      <w:r w:rsidR="00D81B7B" w:rsidRPr="00D73A51">
        <w:rPr>
          <w:rFonts w:ascii="Arial" w:hAnsi="Arial" w:cs="Arial"/>
          <w:b/>
          <w:bCs/>
          <w:sz w:val="20"/>
          <w:szCs w:val="20"/>
        </w:rPr>
        <w:t xml:space="preserve"> </w:t>
      </w:r>
    </w:p>
    <w:p w14:paraId="22AAD708" w14:textId="115AECCB" w:rsidR="00A90A3C" w:rsidRDefault="0025683C">
      <w:pPr>
        <w:rPr>
          <w:rFonts w:ascii="Arial" w:hAnsi="Arial" w:cs="Arial"/>
          <w:b/>
          <w:bCs/>
        </w:rPr>
      </w:pPr>
      <w:r>
        <w:rPr>
          <w:rFonts w:ascii="Arial" w:hAnsi="Arial" w:cs="Arial"/>
          <w:b/>
          <w:bCs/>
          <w:noProof/>
          <w:lang w:val="en-US"/>
        </w:rPr>
        <w:drawing>
          <wp:inline distT="0" distB="0" distL="0" distR="0" wp14:anchorId="683AD527" wp14:editId="6F4554C4">
            <wp:extent cx="5707380" cy="2560320"/>
            <wp:effectExtent l="0" t="0" r="7620" b="11430"/>
            <wp:docPr id="149912985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E7A1F5" w14:textId="4639637F" w:rsidR="00995E60" w:rsidRDefault="00995E60">
      <w:pPr>
        <w:rPr>
          <w:rFonts w:ascii="Arial" w:hAnsi="Arial" w:cs="Arial"/>
          <w:b/>
          <w:bCs/>
        </w:rPr>
      </w:pPr>
      <w:r w:rsidRPr="0053414D">
        <w:rPr>
          <w:rFonts w:ascii="Arial" w:hAnsi="Arial" w:cs="Arial"/>
          <w:b/>
          <w:bCs/>
        </w:rPr>
        <w:t>CONCLUSION</w:t>
      </w:r>
    </w:p>
    <w:p w14:paraId="24233DA1" w14:textId="15831795" w:rsidR="006A39AE" w:rsidRPr="00E63E82" w:rsidRDefault="00E63E82" w:rsidP="006A39AE">
      <w:pPr>
        <w:jc w:val="both"/>
        <w:rPr>
          <w:rFonts w:ascii="Arial" w:hAnsi="Arial" w:cs="Arial"/>
          <w:sz w:val="20"/>
          <w:szCs w:val="20"/>
        </w:rPr>
      </w:pPr>
      <w:r w:rsidRPr="00E63E82">
        <w:rPr>
          <w:rFonts w:ascii="Arial" w:hAnsi="Arial" w:cs="Arial"/>
          <w:sz w:val="20"/>
          <w:szCs w:val="20"/>
        </w:rPr>
        <w:t xml:space="preserve">The socio-demographic, economic, and communication profiles of coastal farm women show how agricultural and household changes affect them. Most responders are 30–50 years old, indicating their labour-intensive farming. A large majority (70%) is General, with notable presence of higher education (40.83%). Nuclear families (62.50%), especially medium-sized ones, predominate. 60 percent of respondents are married and live in semi-pucca dwellings, indicating moderate economic stability. 65.83% of farmers have more than five years of experience, affecting their decisions. Social involvement is medium (65%), while cosmopoliteness is low. With 48.33% medium-income, financial diversification is evident. Lack of communication tools and mass media exposure suggests stronger information dissemination tactics are needed to promote agricultural innovation uptake. </w:t>
      </w:r>
      <w:r w:rsidRPr="00E63E82">
        <w:rPr>
          <w:rFonts w:ascii="Arial" w:hAnsi="Arial" w:cs="Arial"/>
          <w:sz w:val="20"/>
          <w:szCs w:val="20"/>
        </w:rPr>
        <w:br/>
        <w:t xml:space="preserve">The study's findings will help policymakers and extension workers understand farm women's socioeconomic situation in Ganjam district, Odisha, and develop better extension strategies and action plans for coastal farm women. </w:t>
      </w:r>
    </w:p>
    <w:p w14:paraId="4460F9B8" w14:textId="2656B371" w:rsidR="00E45833" w:rsidRDefault="00E45833">
      <w:pPr>
        <w:rPr>
          <w:rFonts w:ascii="Arial" w:hAnsi="Arial" w:cs="Arial"/>
          <w:b/>
          <w:bCs/>
        </w:rPr>
      </w:pPr>
      <w:r w:rsidRPr="0053414D">
        <w:rPr>
          <w:rFonts w:ascii="Arial" w:hAnsi="Arial" w:cs="Arial"/>
          <w:b/>
          <w:bCs/>
        </w:rPr>
        <w:t>DISCLAIMER (ARTIFICIAL INTELLIGENCE)</w:t>
      </w:r>
    </w:p>
    <w:p w14:paraId="218C3263" w14:textId="498FCCA2" w:rsidR="00A94D93" w:rsidRPr="00120953" w:rsidRDefault="00120953" w:rsidP="00120953">
      <w:pPr>
        <w:jc w:val="both"/>
        <w:rPr>
          <w:rFonts w:ascii="Arial" w:hAnsi="Arial" w:cs="Arial"/>
          <w:sz w:val="20"/>
          <w:szCs w:val="20"/>
        </w:rPr>
      </w:pPr>
      <w:r w:rsidRPr="00120953">
        <w:rPr>
          <w:rFonts w:ascii="Arial" w:hAnsi="Arial" w:cs="Arial"/>
          <w:sz w:val="20"/>
          <w:szCs w:val="20"/>
        </w:rPr>
        <w:lastRenderedPageBreak/>
        <w:t xml:space="preserve">Author(s) hereby </w:t>
      </w:r>
      <w:r w:rsidR="00955D14" w:rsidRPr="00120953">
        <w:rPr>
          <w:rFonts w:ascii="Arial" w:hAnsi="Arial" w:cs="Arial"/>
          <w:sz w:val="20"/>
          <w:szCs w:val="20"/>
        </w:rPr>
        <w:t>declares</w:t>
      </w:r>
      <w:r w:rsidRPr="00120953">
        <w:rPr>
          <w:rFonts w:ascii="Arial" w:hAnsi="Arial" w:cs="Arial"/>
          <w:sz w:val="20"/>
          <w:szCs w:val="20"/>
        </w:rPr>
        <w:t xml:space="preserve"> that NO generative A</w:t>
      </w:r>
      <w:r>
        <w:rPr>
          <w:rFonts w:ascii="Arial" w:hAnsi="Arial" w:cs="Arial"/>
          <w:sz w:val="20"/>
          <w:szCs w:val="20"/>
        </w:rPr>
        <w:t>I</w:t>
      </w:r>
      <w:r w:rsidRPr="00120953">
        <w:rPr>
          <w:rFonts w:ascii="Arial" w:hAnsi="Arial" w:cs="Arial"/>
          <w:sz w:val="20"/>
          <w:szCs w:val="20"/>
        </w:rPr>
        <w:t xml:space="preserve"> technologies such as Large Language Models (ChatGPT, COPILOT, etc.) and text-to-</w:t>
      </w:r>
      <w:r w:rsidR="00955D14" w:rsidRPr="00120953">
        <w:rPr>
          <w:rFonts w:ascii="Arial" w:hAnsi="Arial" w:cs="Arial"/>
          <w:sz w:val="20"/>
          <w:szCs w:val="20"/>
        </w:rPr>
        <w:t>image generators</w:t>
      </w:r>
      <w:r w:rsidRPr="00120953">
        <w:rPr>
          <w:rFonts w:ascii="Arial" w:hAnsi="Arial" w:cs="Arial"/>
          <w:sz w:val="20"/>
          <w:szCs w:val="20"/>
        </w:rPr>
        <w:t xml:space="preserve"> have been used during the writing </w:t>
      </w:r>
      <w:r w:rsidR="00955D14" w:rsidRPr="00120953">
        <w:rPr>
          <w:rFonts w:ascii="Arial" w:hAnsi="Arial" w:cs="Arial"/>
          <w:sz w:val="20"/>
          <w:szCs w:val="20"/>
        </w:rPr>
        <w:t>or editing</w:t>
      </w:r>
      <w:r w:rsidRPr="00120953">
        <w:rPr>
          <w:rFonts w:ascii="Arial" w:hAnsi="Arial" w:cs="Arial"/>
          <w:sz w:val="20"/>
          <w:szCs w:val="20"/>
        </w:rPr>
        <w:t xml:space="preserve"> of this manuscript.</w:t>
      </w:r>
    </w:p>
    <w:p w14:paraId="4CAEA7E8" w14:textId="5E831E93" w:rsidR="00B727CD" w:rsidRPr="0053414D" w:rsidRDefault="00B727CD">
      <w:pPr>
        <w:rPr>
          <w:rFonts w:ascii="Arial" w:hAnsi="Arial" w:cs="Arial"/>
          <w:b/>
          <w:bCs/>
        </w:rPr>
      </w:pPr>
      <w:bookmarkStart w:id="0" w:name="_GoBack"/>
      <w:bookmarkEnd w:id="0"/>
      <w:r w:rsidRPr="0053414D">
        <w:rPr>
          <w:rFonts w:ascii="Arial" w:hAnsi="Arial" w:cs="Arial"/>
          <w:b/>
          <w:bCs/>
        </w:rPr>
        <w:t>REFERENCES</w:t>
      </w:r>
    </w:p>
    <w:p w14:paraId="1AC70CE7" w14:textId="77777777" w:rsidR="00D75E63" w:rsidRDefault="00D75E63" w:rsidP="00B44C9D">
      <w:pPr>
        <w:jc w:val="both"/>
        <w:rPr>
          <w:rFonts w:ascii="Arial" w:hAnsi="Arial" w:cs="Arial"/>
          <w:sz w:val="20"/>
          <w:szCs w:val="20"/>
        </w:rPr>
      </w:pPr>
      <w:proofErr w:type="spellStart"/>
      <w:r w:rsidRPr="00D75E63">
        <w:rPr>
          <w:rFonts w:ascii="Arial" w:hAnsi="Arial" w:cs="Arial"/>
          <w:sz w:val="20"/>
          <w:szCs w:val="20"/>
        </w:rPr>
        <w:t>Begho</w:t>
      </w:r>
      <w:proofErr w:type="spellEnd"/>
      <w:r w:rsidRPr="00D75E63">
        <w:rPr>
          <w:rFonts w:ascii="Arial" w:hAnsi="Arial" w:cs="Arial"/>
          <w:sz w:val="20"/>
          <w:szCs w:val="20"/>
        </w:rPr>
        <w:t xml:space="preserve">, T., Glenk, K., Anik, A. R., &amp; </w:t>
      </w:r>
      <w:proofErr w:type="spellStart"/>
      <w:r w:rsidRPr="00D75E63">
        <w:rPr>
          <w:rFonts w:ascii="Arial" w:hAnsi="Arial" w:cs="Arial"/>
          <w:sz w:val="20"/>
          <w:szCs w:val="20"/>
        </w:rPr>
        <w:t>Eory</w:t>
      </w:r>
      <w:proofErr w:type="spellEnd"/>
      <w:r w:rsidRPr="00D75E63">
        <w:rPr>
          <w:rFonts w:ascii="Arial" w:hAnsi="Arial" w:cs="Arial"/>
          <w:sz w:val="20"/>
          <w:szCs w:val="20"/>
        </w:rPr>
        <w:t>, V. (2022). A systematic review of factors that influence farmers' adoption of sustainable crop farming practices: Lessons for sustainable nitrogen management in South Asia. </w:t>
      </w:r>
      <w:r w:rsidRPr="00D75E63">
        <w:rPr>
          <w:rFonts w:ascii="Arial" w:hAnsi="Arial" w:cs="Arial"/>
          <w:i/>
          <w:iCs/>
          <w:sz w:val="20"/>
          <w:szCs w:val="20"/>
        </w:rPr>
        <w:t>Journal of Sustainable Agriculture and Environment</w:t>
      </w:r>
      <w:r w:rsidRPr="00D75E63">
        <w:rPr>
          <w:rFonts w:ascii="Arial" w:hAnsi="Arial" w:cs="Arial"/>
          <w:sz w:val="20"/>
          <w:szCs w:val="20"/>
        </w:rPr>
        <w:t>, </w:t>
      </w:r>
      <w:r w:rsidRPr="00D75E63">
        <w:rPr>
          <w:rFonts w:ascii="Arial" w:hAnsi="Arial" w:cs="Arial"/>
          <w:i/>
          <w:iCs/>
          <w:sz w:val="20"/>
          <w:szCs w:val="20"/>
        </w:rPr>
        <w:t>1</w:t>
      </w:r>
      <w:r w:rsidRPr="00D75E63">
        <w:rPr>
          <w:rFonts w:ascii="Arial" w:hAnsi="Arial" w:cs="Arial"/>
          <w:sz w:val="20"/>
          <w:szCs w:val="20"/>
        </w:rPr>
        <w:t>(2), 149-160.</w:t>
      </w:r>
    </w:p>
    <w:p w14:paraId="5ABC3B15" w14:textId="77777777" w:rsidR="002F289A" w:rsidRDefault="002F289A" w:rsidP="00B44C9D">
      <w:pPr>
        <w:jc w:val="both"/>
        <w:rPr>
          <w:rFonts w:ascii="Arial" w:hAnsi="Arial" w:cs="Arial"/>
          <w:sz w:val="20"/>
          <w:szCs w:val="20"/>
        </w:rPr>
      </w:pPr>
      <w:r w:rsidRPr="002F289A">
        <w:rPr>
          <w:rFonts w:ascii="Arial" w:hAnsi="Arial" w:cs="Arial"/>
          <w:sz w:val="20"/>
          <w:szCs w:val="20"/>
        </w:rPr>
        <w:t>Jena, A., &amp; Kanungo, A. P. (2022). Occupational Mobility in Farming Sector: An Analysis in Coastal and Tribal Districts of Odisha, India. </w:t>
      </w:r>
      <w:r w:rsidRPr="002F289A">
        <w:rPr>
          <w:rFonts w:ascii="Arial" w:hAnsi="Arial" w:cs="Arial"/>
          <w:i/>
          <w:iCs/>
          <w:sz w:val="20"/>
          <w:szCs w:val="20"/>
        </w:rPr>
        <w:t>Indian Journal of Extension Education</w:t>
      </w:r>
      <w:r w:rsidRPr="002F289A">
        <w:rPr>
          <w:rFonts w:ascii="Arial" w:hAnsi="Arial" w:cs="Arial"/>
          <w:sz w:val="20"/>
          <w:szCs w:val="20"/>
        </w:rPr>
        <w:t>, </w:t>
      </w:r>
      <w:r w:rsidRPr="002F289A">
        <w:rPr>
          <w:rFonts w:ascii="Arial" w:hAnsi="Arial" w:cs="Arial"/>
          <w:i/>
          <w:iCs/>
          <w:sz w:val="20"/>
          <w:szCs w:val="20"/>
        </w:rPr>
        <w:t>58</w:t>
      </w:r>
      <w:r w:rsidRPr="002F289A">
        <w:rPr>
          <w:rFonts w:ascii="Arial" w:hAnsi="Arial" w:cs="Arial"/>
          <w:sz w:val="20"/>
          <w:szCs w:val="20"/>
        </w:rPr>
        <w:t>(4), 34-37.</w:t>
      </w:r>
    </w:p>
    <w:p w14:paraId="64169F7D" w14:textId="43C7956C" w:rsidR="00B44C9D" w:rsidRPr="006A4C8A" w:rsidRDefault="00B44C9D" w:rsidP="00B44C9D">
      <w:pPr>
        <w:jc w:val="both"/>
        <w:rPr>
          <w:rFonts w:ascii="Arial" w:hAnsi="Arial" w:cs="Arial"/>
          <w:sz w:val="20"/>
          <w:szCs w:val="20"/>
        </w:rPr>
      </w:pPr>
      <w:r w:rsidRPr="006A4C8A">
        <w:rPr>
          <w:rFonts w:ascii="Arial" w:hAnsi="Arial" w:cs="Arial"/>
          <w:sz w:val="20"/>
          <w:szCs w:val="20"/>
        </w:rPr>
        <w:t xml:space="preserve">Kumar, A., Jeeva, J. C., Sahoo, B., &amp; Sarangi, D. N. (2019). </w:t>
      </w:r>
      <w:r w:rsidRPr="006A4C8A">
        <w:rPr>
          <w:rFonts w:ascii="Arial" w:hAnsi="Arial" w:cs="Arial"/>
          <w:i/>
          <w:iCs/>
          <w:sz w:val="20"/>
          <w:szCs w:val="20"/>
        </w:rPr>
        <w:t>Status of women in agriculture in the coastal districts of Odisha</w:t>
      </w:r>
      <w:r w:rsidRPr="006A4C8A">
        <w:rPr>
          <w:rFonts w:ascii="Arial" w:hAnsi="Arial" w:cs="Arial"/>
          <w:sz w:val="20"/>
          <w:szCs w:val="20"/>
        </w:rPr>
        <w:t xml:space="preserve">. Journal of the Indian Society of Coastal Agricultural Research, 37(1), 1-8. </w:t>
      </w:r>
    </w:p>
    <w:p w14:paraId="3B5E27F7" w14:textId="1F2A3BD2" w:rsidR="00096752" w:rsidRDefault="00096752" w:rsidP="00B44C9D">
      <w:pPr>
        <w:jc w:val="both"/>
        <w:rPr>
          <w:rFonts w:ascii="Arial" w:hAnsi="Arial" w:cs="Arial"/>
          <w:sz w:val="20"/>
          <w:szCs w:val="20"/>
        </w:rPr>
      </w:pPr>
      <w:r w:rsidRPr="00096752">
        <w:rPr>
          <w:rFonts w:ascii="Arial" w:hAnsi="Arial" w:cs="Arial"/>
          <w:sz w:val="20"/>
          <w:szCs w:val="20"/>
        </w:rPr>
        <w:t xml:space="preserve">Krishna, T. V., &amp; Rao, S. (2023). Assessing farmers' awareness of </w:t>
      </w:r>
      <w:r w:rsidR="00292AB0" w:rsidRPr="00096752">
        <w:rPr>
          <w:rFonts w:ascii="Arial" w:hAnsi="Arial" w:cs="Arial"/>
          <w:sz w:val="20"/>
          <w:szCs w:val="20"/>
        </w:rPr>
        <w:t>agro advisories</w:t>
      </w:r>
      <w:r w:rsidRPr="00096752">
        <w:rPr>
          <w:rFonts w:ascii="Arial" w:hAnsi="Arial" w:cs="Arial"/>
          <w:sz w:val="20"/>
          <w:szCs w:val="20"/>
        </w:rPr>
        <w:t xml:space="preserve"> through Annapurna Krishi </w:t>
      </w:r>
      <w:proofErr w:type="spellStart"/>
      <w:r w:rsidRPr="00096752">
        <w:rPr>
          <w:rFonts w:ascii="Arial" w:hAnsi="Arial" w:cs="Arial"/>
          <w:sz w:val="20"/>
          <w:szCs w:val="20"/>
        </w:rPr>
        <w:t>Prasar</w:t>
      </w:r>
      <w:proofErr w:type="spellEnd"/>
      <w:r w:rsidRPr="00096752">
        <w:rPr>
          <w:rFonts w:ascii="Arial" w:hAnsi="Arial" w:cs="Arial"/>
          <w:sz w:val="20"/>
          <w:szCs w:val="20"/>
        </w:rPr>
        <w:t xml:space="preserve"> </w:t>
      </w:r>
      <w:proofErr w:type="spellStart"/>
      <w:r w:rsidRPr="00096752">
        <w:rPr>
          <w:rFonts w:ascii="Arial" w:hAnsi="Arial" w:cs="Arial"/>
          <w:sz w:val="20"/>
          <w:szCs w:val="20"/>
        </w:rPr>
        <w:t>Seva</w:t>
      </w:r>
      <w:proofErr w:type="spellEnd"/>
      <w:r w:rsidRPr="00096752">
        <w:rPr>
          <w:rFonts w:ascii="Arial" w:hAnsi="Arial" w:cs="Arial"/>
          <w:sz w:val="20"/>
          <w:szCs w:val="20"/>
        </w:rPr>
        <w:t xml:space="preserve"> at KVK </w:t>
      </w:r>
      <w:proofErr w:type="spellStart"/>
      <w:r w:rsidRPr="00096752">
        <w:rPr>
          <w:rFonts w:ascii="Arial" w:hAnsi="Arial" w:cs="Arial"/>
          <w:sz w:val="20"/>
          <w:szCs w:val="20"/>
        </w:rPr>
        <w:t>Palem</w:t>
      </w:r>
      <w:proofErr w:type="spellEnd"/>
      <w:r w:rsidRPr="00096752">
        <w:rPr>
          <w:rFonts w:ascii="Arial" w:hAnsi="Arial" w:cs="Arial"/>
          <w:sz w:val="20"/>
          <w:szCs w:val="20"/>
        </w:rPr>
        <w:t xml:space="preserve">, Telangana state. </w:t>
      </w:r>
      <w:r w:rsidRPr="00096752">
        <w:rPr>
          <w:rFonts w:ascii="Arial" w:hAnsi="Arial" w:cs="Arial"/>
          <w:i/>
          <w:iCs/>
          <w:sz w:val="20"/>
          <w:szCs w:val="20"/>
        </w:rPr>
        <w:t>International Journal of Agricultural Extension</w:t>
      </w:r>
      <w:r w:rsidRPr="00096752">
        <w:rPr>
          <w:rFonts w:ascii="Arial" w:hAnsi="Arial" w:cs="Arial"/>
          <w:sz w:val="20"/>
          <w:szCs w:val="20"/>
        </w:rPr>
        <w:t>, 11(1), 45-53. ​</w:t>
      </w:r>
    </w:p>
    <w:p w14:paraId="170D908C" w14:textId="06D1B05F" w:rsidR="004A1D66" w:rsidRDefault="004A1D66" w:rsidP="00B44C9D">
      <w:pPr>
        <w:jc w:val="both"/>
        <w:rPr>
          <w:rFonts w:ascii="Arial" w:hAnsi="Arial" w:cs="Arial"/>
          <w:sz w:val="20"/>
          <w:szCs w:val="20"/>
        </w:rPr>
      </w:pPr>
      <w:r w:rsidRPr="004A1D66">
        <w:rPr>
          <w:rFonts w:ascii="Arial" w:hAnsi="Arial" w:cs="Arial"/>
          <w:sz w:val="20"/>
          <w:szCs w:val="20"/>
        </w:rPr>
        <w:t>Patel, R. R. (2024). STUDY ON IMPACT ASSESSMENT OF FARMER PRODUCER ORGANISATIONS ON SOCIO-ECONOMIC DEVELOPMENT OF FARMERS IN VARANASI (UP).</w:t>
      </w:r>
    </w:p>
    <w:p w14:paraId="260B958D" w14:textId="77777777" w:rsidR="005751E1" w:rsidRDefault="005751E1" w:rsidP="00B44C9D">
      <w:pPr>
        <w:jc w:val="both"/>
        <w:rPr>
          <w:rFonts w:ascii="Arial" w:hAnsi="Arial" w:cs="Arial"/>
          <w:sz w:val="20"/>
          <w:szCs w:val="20"/>
        </w:rPr>
      </w:pPr>
      <w:r w:rsidRPr="005751E1">
        <w:rPr>
          <w:rFonts w:ascii="Arial" w:hAnsi="Arial" w:cs="Arial"/>
          <w:sz w:val="20"/>
          <w:szCs w:val="20"/>
        </w:rPr>
        <w:t xml:space="preserve">Patra, N. K., </w:t>
      </w:r>
      <w:proofErr w:type="spellStart"/>
      <w:r w:rsidRPr="005751E1">
        <w:rPr>
          <w:rFonts w:ascii="Arial" w:hAnsi="Arial" w:cs="Arial"/>
          <w:sz w:val="20"/>
          <w:szCs w:val="20"/>
        </w:rPr>
        <w:t>Chophi</w:t>
      </w:r>
      <w:proofErr w:type="spellEnd"/>
      <w:r w:rsidRPr="005751E1">
        <w:rPr>
          <w:rFonts w:ascii="Arial" w:hAnsi="Arial" w:cs="Arial"/>
          <w:sz w:val="20"/>
          <w:szCs w:val="20"/>
        </w:rPr>
        <w:t>, V., &amp; Das, S. (2023). Knowledge Level and Adoption Behaviour of Maize Growers in Selected Districts of Nagaland, India. </w:t>
      </w:r>
      <w:r w:rsidRPr="005751E1">
        <w:rPr>
          <w:rFonts w:ascii="Arial" w:hAnsi="Arial" w:cs="Arial"/>
          <w:i/>
          <w:iCs/>
          <w:sz w:val="20"/>
          <w:szCs w:val="20"/>
        </w:rPr>
        <w:t>Indian Journal of Extension Education</w:t>
      </w:r>
      <w:r w:rsidRPr="005751E1">
        <w:rPr>
          <w:rFonts w:ascii="Arial" w:hAnsi="Arial" w:cs="Arial"/>
          <w:sz w:val="20"/>
          <w:szCs w:val="20"/>
        </w:rPr>
        <w:t>, </w:t>
      </w:r>
      <w:r w:rsidRPr="005751E1">
        <w:rPr>
          <w:rFonts w:ascii="Arial" w:hAnsi="Arial" w:cs="Arial"/>
          <w:i/>
          <w:iCs/>
          <w:sz w:val="20"/>
          <w:szCs w:val="20"/>
        </w:rPr>
        <w:t>59</w:t>
      </w:r>
      <w:r w:rsidRPr="005751E1">
        <w:rPr>
          <w:rFonts w:ascii="Arial" w:hAnsi="Arial" w:cs="Arial"/>
          <w:sz w:val="20"/>
          <w:szCs w:val="20"/>
        </w:rPr>
        <w:t>(4), 28-34.</w:t>
      </w:r>
    </w:p>
    <w:p w14:paraId="690EF61E" w14:textId="77777777" w:rsidR="001E3013" w:rsidRDefault="001E3013" w:rsidP="00B44C9D">
      <w:pPr>
        <w:jc w:val="both"/>
        <w:rPr>
          <w:rFonts w:ascii="Arial" w:hAnsi="Arial" w:cs="Arial"/>
          <w:sz w:val="20"/>
          <w:szCs w:val="20"/>
        </w:rPr>
      </w:pPr>
      <w:r w:rsidRPr="001E3013">
        <w:rPr>
          <w:rFonts w:ascii="Arial" w:hAnsi="Arial" w:cs="Arial"/>
          <w:sz w:val="20"/>
          <w:szCs w:val="20"/>
        </w:rPr>
        <w:t>Preethi, K., &amp; CHANNAL, E. P. (2022). Socio-economic characteristics of dairy farm women and their role in different dairy farming activities. </w:t>
      </w:r>
      <w:r w:rsidRPr="001E3013">
        <w:rPr>
          <w:rFonts w:ascii="Arial" w:hAnsi="Arial" w:cs="Arial"/>
          <w:i/>
          <w:iCs/>
          <w:sz w:val="20"/>
          <w:szCs w:val="20"/>
        </w:rPr>
        <w:t>Journal of Farm Sciences</w:t>
      </w:r>
      <w:r w:rsidRPr="001E3013">
        <w:rPr>
          <w:rFonts w:ascii="Arial" w:hAnsi="Arial" w:cs="Arial"/>
          <w:sz w:val="20"/>
          <w:szCs w:val="20"/>
        </w:rPr>
        <w:t>, </w:t>
      </w:r>
      <w:r w:rsidRPr="001E3013">
        <w:rPr>
          <w:rFonts w:ascii="Arial" w:hAnsi="Arial" w:cs="Arial"/>
          <w:i/>
          <w:iCs/>
          <w:sz w:val="20"/>
          <w:szCs w:val="20"/>
        </w:rPr>
        <w:t>35</w:t>
      </w:r>
      <w:r w:rsidRPr="001E3013">
        <w:rPr>
          <w:rFonts w:ascii="Arial" w:hAnsi="Arial" w:cs="Arial"/>
          <w:sz w:val="20"/>
          <w:szCs w:val="20"/>
        </w:rPr>
        <w:t>(03), 399-404.</w:t>
      </w:r>
    </w:p>
    <w:p w14:paraId="6988DC92" w14:textId="03AEEEE2" w:rsidR="00B94A25" w:rsidRDefault="00B94A25" w:rsidP="00B44C9D">
      <w:pPr>
        <w:jc w:val="both"/>
        <w:rPr>
          <w:rFonts w:ascii="Arial" w:hAnsi="Arial" w:cs="Arial"/>
          <w:sz w:val="20"/>
          <w:szCs w:val="20"/>
        </w:rPr>
      </w:pPr>
      <w:r w:rsidRPr="00B94A25">
        <w:rPr>
          <w:rFonts w:ascii="Arial" w:hAnsi="Arial" w:cs="Arial"/>
          <w:sz w:val="20"/>
          <w:szCs w:val="20"/>
        </w:rPr>
        <w:t>Rao, P. K., &amp; Biswas, A. (2023). Housing affordability and housing demand assessment for urban poor in India using the hedonic model. </w:t>
      </w:r>
      <w:r w:rsidRPr="00B94A25">
        <w:rPr>
          <w:rFonts w:ascii="Arial" w:hAnsi="Arial" w:cs="Arial"/>
          <w:i/>
          <w:iCs/>
          <w:sz w:val="20"/>
          <w:szCs w:val="20"/>
        </w:rPr>
        <w:t>International Journal of Housing Markets and Analysis</w:t>
      </w:r>
      <w:r w:rsidRPr="00B94A25">
        <w:rPr>
          <w:rFonts w:ascii="Arial" w:hAnsi="Arial" w:cs="Arial"/>
          <w:sz w:val="20"/>
          <w:szCs w:val="20"/>
        </w:rPr>
        <w:t>.</w:t>
      </w:r>
    </w:p>
    <w:p w14:paraId="52F15999" w14:textId="61D9546E" w:rsidR="00B44C9D" w:rsidRPr="006A4C8A" w:rsidRDefault="00B44C9D" w:rsidP="00B44C9D">
      <w:pPr>
        <w:jc w:val="both"/>
        <w:rPr>
          <w:rFonts w:ascii="Arial" w:hAnsi="Arial" w:cs="Arial"/>
          <w:sz w:val="20"/>
          <w:szCs w:val="20"/>
        </w:rPr>
      </w:pPr>
      <w:r w:rsidRPr="006A4C8A">
        <w:rPr>
          <w:rFonts w:ascii="Arial" w:hAnsi="Arial" w:cs="Arial"/>
          <w:sz w:val="20"/>
          <w:szCs w:val="20"/>
        </w:rPr>
        <w:t xml:space="preserve">Satapathy, S. S. (2014). </w:t>
      </w:r>
      <w:r w:rsidRPr="006A4C8A">
        <w:rPr>
          <w:rFonts w:ascii="Arial" w:hAnsi="Arial" w:cs="Arial"/>
          <w:i/>
          <w:iCs/>
          <w:sz w:val="20"/>
          <w:szCs w:val="20"/>
        </w:rPr>
        <w:t>Information and communication technologies: An agent of social change for rural women in Odisha</w:t>
      </w:r>
      <w:r w:rsidRPr="006A4C8A">
        <w:rPr>
          <w:rFonts w:ascii="Arial" w:hAnsi="Arial" w:cs="Arial"/>
          <w:sz w:val="20"/>
          <w:szCs w:val="20"/>
        </w:rPr>
        <w:t xml:space="preserve">. Sociology and Anthropology, 2(4), 152-158. </w:t>
      </w:r>
    </w:p>
    <w:p w14:paraId="1A1EFF33" w14:textId="77777777" w:rsidR="00CE74CA" w:rsidRDefault="00CE74CA" w:rsidP="006A4C8A">
      <w:pPr>
        <w:jc w:val="both"/>
        <w:rPr>
          <w:rFonts w:ascii="Arial" w:hAnsi="Arial" w:cs="Arial"/>
          <w:sz w:val="20"/>
          <w:szCs w:val="20"/>
        </w:rPr>
      </w:pPr>
      <w:r w:rsidRPr="00CE74CA">
        <w:rPr>
          <w:rFonts w:ascii="Arial" w:hAnsi="Arial" w:cs="Arial"/>
          <w:sz w:val="20"/>
          <w:szCs w:val="20"/>
        </w:rPr>
        <w:t>SHARMA, N. R. (2022). Impact of Farmer Producer Organization in Uplifting of Tribal Farmers of Telangana.</w:t>
      </w:r>
    </w:p>
    <w:p w14:paraId="21FA7D4B" w14:textId="0E381F8C" w:rsidR="00FD4CFC" w:rsidRDefault="00B44C9D" w:rsidP="006A4C8A">
      <w:pPr>
        <w:jc w:val="both"/>
        <w:rPr>
          <w:rFonts w:ascii="Arial" w:hAnsi="Arial" w:cs="Arial"/>
          <w:i/>
          <w:iCs/>
          <w:sz w:val="20"/>
          <w:szCs w:val="20"/>
        </w:rPr>
      </w:pPr>
      <w:r w:rsidRPr="006A4C8A">
        <w:rPr>
          <w:rFonts w:ascii="Arial" w:hAnsi="Arial" w:cs="Arial"/>
          <w:sz w:val="20"/>
          <w:szCs w:val="20"/>
        </w:rPr>
        <w:t xml:space="preserve">United Nations Environment Programme. (2019). </w:t>
      </w:r>
      <w:r w:rsidRPr="006A4C8A">
        <w:rPr>
          <w:rFonts w:ascii="Arial" w:hAnsi="Arial" w:cs="Arial"/>
          <w:i/>
          <w:iCs/>
          <w:sz w:val="20"/>
          <w:szCs w:val="20"/>
        </w:rPr>
        <w:t>Women as climate action ambassadors in coastal districts of India's Odisha state.</w:t>
      </w:r>
    </w:p>
    <w:p w14:paraId="7186EB8E" w14:textId="77777777" w:rsidR="00FD4CFC" w:rsidRPr="00FD4CFC" w:rsidRDefault="00FD4CFC" w:rsidP="00FD4CFC">
      <w:pPr>
        <w:jc w:val="both"/>
        <w:rPr>
          <w:rFonts w:ascii="Arial" w:hAnsi="Arial" w:cs="Arial"/>
          <w:sz w:val="20"/>
          <w:szCs w:val="20"/>
        </w:rPr>
      </w:pPr>
      <w:r w:rsidRPr="00FD4CFC">
        <w:rPr>
          <w:rFonts w:ascii="Arial" w:hAnsi="Arial" w:cs="Arial"/>
          <w:sz w:val="20"/>
          <w:szCs w:val="20"/>
        </w:rPr>
        <w:t xml:space="preserve">Chaudhary, S., Verma, R., &amp; Sharma, A. (2023). </w:t>
      </w:r>
      <w:r w:rsidRPr="00FD4CFC">
        <w:rPr>
          <w:rFonts w:ascii="Arial" w:hAnsi="Arial" w:cs="Arial"/>
          <w:i/>
          <w:iCs/>
          <w:sz w:val="20"/>
          <w:szCs w:val="20"/>
        </w:rPr>
        <w:t>Women’s participation in agricultural extension: Barriers and policy implications</w:t>
      </w:r>
      <w:r w:rsidRPr="00FD4CFC">
        <w:rPr>
          <w:rFonts w:ascii="Arial" w:hAnsi="Arial" w:cs="Arial"/>
          <w:sz w:val="20"/>
          <w:szCs w:val="20"/>
        </w:rPr>
        <w:t>. Agricultural Extension Journal, 45(2), 89-103.</w:t>
      </w:r>
    </w:p>
    <w:p w14:paraId="60078E5C" w14:textId="77777777" w:rsidR="00FD4CFC" w:rsidRPr="00FD4CFC" w:rsidRDefault="00FD4CFC" w:rsidP="00FD4CFC">
      <w:pPr>
        <w:jc w:val="both"/>
        <w:rPr>
          <w:rFonts w:ascii="Arial" w:hAnsi="Arial" w:cs="Arial"/>
          <w:sz w:val="20"/>
          <w:szCs w:val="20"/>
        </w:rPr>
      </w:pPr>
      <w:r w:rsidRPr="00FD4CFC">
        <w:rPr>
          <w:rFonts w:ascii="Arial" w:hAnsi="Arial" w:cs="Arial"/>
          <w:sz w:val="20"/>
          <w:szCs w:val="20"/>
        </w:rPr>
        <w:t xml:space="preserve">Kumari, R., &amp; Singh, P. (2022). </w:t>
      </w:r>
      <w:r w:rsidRPr="00FD4CFC">
        <w:rPr>
          <w:rFonts w:ascii="Arial" w:hAnsi="Arial" w:cs="Arial"/>
          <w:i/>
          <w:iCs/>
          <w:sz w:val="20"/>
          <w:szCs w:val="20"/>
        </w:rPr>
        <w:t>Role of mass media in promoting agricultural innovation among rural women farmers in India</w:t>
      </w:r>
      <w:r w:rsidRPr="00FD4CFC">
        <w:rPr>
          <w:rFonts w:ascii="Arial" w:hAnsi="Arial" w:cs="Arial"/>
          <w:sz w:val="20"/>
          <w:szCs w:val="20"/>
        </w:rPr>
        <w:t>. Journal of Rural Development, 41(3), 215-230.</w:t>
      </w:r>
    </w:p>
    <w:p w14:paraId="1CED4F4B" w14:textId="77777777" w:rsidR="00FD4CFC" w:rsidRDefault="00FD4CFC" w:rsidP="00FD4CFC">
      <w:pPr>
        <w:jc w:val="both"/>
        <w:rPr>
          <w:rFonts w:ascii="Arial" w:hAnsi="Arial" w:cs="Arial"/>
          <w:sz w:val="20"/>
          <w:szCs w:val="20"/>
        </w:rPr>
      </w:pPr>
      <w:r w:rsidRPr="00FD4CFC">
        <w:rPr>
          <w:rFonts w:ascii="Arial" w:hAnsi="Arial" w:cs="Arial"/>
          <w:sz w:val="20"/>
          <w:szCs w:val="20"/>
        </w:rPr>
        <w:t xml:space="preserve">Meena, M. S., Rathi, D., &amp; Gupta, V. (2021). </w:t>
      </w:r>
      <w:r w:rsidRPr="00FD4CFC">
        <w:rPr>
          <w:rFonts w:ascii="Arial" w:hAnsi="Arial" w:cs="Arial"/>
          <w:i/>
          <w:iCs/>
          <w:sz w:val="20"/>
          <w:szCs w:val="20"/>
        </w:rPr>
        <w:t>Communication tools and agricultural decision-making among farm women in coastal areas</w:t>
      </w:r>
      <w:r w:rsidRPr="00FD4CFC">
        <w:rPr>
          <w:rFonts w:ascii="Arial" w:hAnsi="Arial" w:cs="Arial"/>
          <w:sz w:val="20"/>
          <w:szCs w:val="20"/>
        </w:rPr>
        <w:t>. Indian Journal of Extension Education, 57(1), 45-55.</w:t>
      </w:r>
    </w:p>
    <w:p w14:paraId="75313DD3" w14:textId="39B11AC8" w:rsidR="001175C2" w:rsidRDefault="001175C2" w:rsidP="00FD4CFC">
      <w:pPr>
        <w:jc w:val="both"/>
        <w:rPr>
          <w:rFonts w:ascii="Arial" w:hAnsi="Arial" w:cs="Arial"/>
          <w:sz w:val="20"/>
          <w:szCs w:val="20"/>
        </w:rPr>
      </w:pPr>
      <w:r w:rsidRPr="001175C2">
        <w:rPr>
          <w:rFonts w:ascii="Arial" w:hAnsi="Arial" w:cs="Arial"/>
          <w:sz w:val="20"/>
          <w:szCs w:val="20"/>
        </w:rPr>
        <w:t>Murali, V. (2021). </w:t>
      </w:r>
      <w:r w:rsidRPr="001175C2">
        <w:rPr>
          <w:rFonts w:ascii="Arial" w:hAnsi="Arial" w:cs="Arial"/>
          <w:i/>
          <w:iCs/>
          <w:sz w:val="20"/>
          <w:szCs w:val="20"/>
        </w:rPr>
        <w:t>PERCEPTION OF FARMERS ON HIGH YIELDING VARIETIES OF RICE RELEASED BY ASSAM AGRICULTURAL UNIVERSITY-A STUDY IN GOLAGHAT DISTRICT OF ASSAM</w:t>
      </w:r>
      <w:r w:rsidRPr="001175C2">
        <w:rPr>
          <w:rFonts w:ascii="Arial" w:hAnsi="Arial" w:cs="Arial"/>
          <w:sz w:val="20"/>
          <w:szCs w:val="20"/>
        </w:rPr>
        <w:t> (Doctoral dissertation, ASSAM AGRICULTURAL UNIVERSITY JORHAT).</w:t>
      </w:r>
    </w:p>
    <w:p w14:paraId="60905A9E" w14:textId="23D48C4E" w:rsidR="00A16F56" w:rsidRPr="00FD4CFC" w:rsidRDefault="00A16F56" w:rsidP="00FD4CFC">
      <w:pPr>
        <w:jc w:val="both"/>
        <w:rPr>
          <w:rFonts w:ascii="Arial" w:hAnsi="Arial" w:cs="Arial"/>
          <w:sz w:val="20"/>
          <w:szCs w:val="20"/>
        </w:rPr>
      </w:pPr>
      <w:r w:rsidRPr="00A16F56">
        <w:rPr>
          <w:rFonts w:ascii="Arial" w:hAnsi="Arial" w:cs="Arial"/>
          <w:sz w:val="20"/>
          <w:szCs w:val="20"/>
        </w:rPr>
        <w:t>Yadav, S., Sharma, N. K., Sharma, K. C., &amp; Yadav, K. (2021). Rural women’s role in decision making related to agricultural and livestock activities in Jaipur district. </w:t>
      </w:r>
      <w:r w:rsidRPr="00A16F56">
        <w:rPr>
          <w:rFonts w:ascii="Arial" w:hAnsi="Arial" w:cs="Arial"/>
          <w:i/>
          <w:iCs/>
          <w:sz w:val="20"/>
          <w:szCs w:val="20"/>
        </w:rPr>
        <w:t>Indian Journal of Extension Education</w:t>
      </w:r>
      <w:r w:rsidRPr="00A16F56">
        <w:rPr>
          <w:rFonts w:ascii="Arial" w:hAnsi="Arial" w:cs="Arial"/>
          <w:sz w:val="20"/>
          <w:szCs w:val="20"/>
        </w:rPr>
        <w:t>, </w:t>
      </w:r>
      <w:r w:rsidRPr="00A16F56">
        <w:rPr>
          <w:rFonts w:ascii="Arial" w:hAnsi="Arial" w:cs="Arial"/>
          <w:i/>
          <w:iCs/>
          <w:sz w:val="20"/>
          <w:szCs w:val="20"/>
        </w:rPr>
        <w:t>57</w:t>
      </w:r>
      <w:r w:rsidRPr="00A16F56">
        <w:rPr>
          <w:rFonts w:ascii="Arial" w:hAnsi="Arial" w:cs="Arial"/>
          <w:sz w:val="20"/>
          <w:szCs w:val="20"/>
        </w:rPr>
        <w:t>(1), 89-94.</w:t>
      </w:r>
    </w:p>
    <w:p w14:paraId="41184482" w14:textId="77777777" w:rsidR="00FD4CFC" w:rsidRPr="00FD4CFC" w:rsidRDefault="00FD4CFC" w:rsidP="006A4C8A">
      <w:pPr>
        <w:jc w:val="both"/>
        <w:rPr>
          <w:rFonts w:ascii="Arial" w:hAnsi="Arial" w:cs="Arial"/>
          <w:sz w:val="20"/>
          <w:szCs w:val="20"/>
        </w:rPr>
      </w:pPr>
    </w:p>
    <w:sectPr w:rsidR="00FD4CFC" w:rsidRPr="00FD4CFC">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1E10D" w14:textId="77777777" w:rsidR="007D4279" w:rsidRDefault="007D4279" w:rsidP="00C151F2">
      <w:pPr>
        <w:spacing w:after="0" w:line="240" w:lineRule="auto"/>
      </w:pPr>
      <w:r>
        <w:separator/>
      </w:r>
    </w:p>
  </w:endnote>
  <w:endnote w:type="continuationSeparator" w:id="0">
    <w:p w14:paraId="45D6BF37" w14:textId="77777777" w:rsidR="007D4279" w:rsidRDefault="007D4279" w:rsidP="00C15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15A5" w14:textId="77777777" w:rsidR="00C151F2" w:rsidRDefault="00C151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B7F9B" w14:textId="77777777" w:rsidR="00C151F2" w:rsidRDefault="00C151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1ECE" w14:textId="77777777" w:rsidR="00C151F2" w:rsidRDefault="00C151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146FE" w14:textId="77777777" w:rsidR="007D4279" w:rsidRDefault="007D4279" w:rsidP="00C151F2">
      <w:pPr>
        <w:spacing w:after="0" w:line="240" w:lineRule="auto"/>
      </w:pPr>
      <w:r>
        <w:separator/>
      </w:r>
    </w:p>
  </w:footnote>
  <w:footnote w:type="continuationSeparator" w:id="0">
    <w:p w14:paraId="64B234E2" w14:textId="77777777" w:rsidR="007D4279" w:rsidRDefault="007D4279" w:rsidP="00C151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6405B" w14:textId="0731A8E6" w:rsidR="00C151F2" w:rsidRDefault="00C151F2">
    <w:pPr>
      <w:pStyle w:val="Header"/>
    </w:pPr>
    <w:r>
      <w:rPr>
        <w:noProof/>
      </w:rPr>
      <w:pict w14:anchorId="18BF8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C6DCC" w14:textId="6DD6EDAB" w:rsidR="00C151F2" w:rsidRDefault="00C151F2">
    <w:pPr>
      <w:pStyle w:val="Header"/>
    </w:pPr>
    <w:r>
      <w:rPr>
        <w:noProof/>
      </w:rPr>
      <w:pict w14:anchorId="71F562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42642" w14:textId="34CEA296" w:rsidR="00C151F2" w:rsidRDefault="00C151F2">
    <w:pPr>
      <w:pStyle w:val="Header"/>
    </w:pPr>
    <w:r>
      <w:rPr>
        <w:noProof/>
      </w:rPr>
      <w:pict w14:anchorId="2D7321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67D8C"/>
    <w:multiLevelType w:val="multilevel"/>
    <w:tmpl w:val="8CD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TIzMjM3NjAysjBX0lEKTi0uzszPAykwrAUAun7ZACwAAAA="/>
  </w:docVars>
  <w:rsids>
    <w:rsidRoot w:val="00E048F2"/>
    <w:rsid w:val="0000344B"/>
    <w:rsid w:val="00006BEC"/>
    <w:rsid w:val="00022603"/>
    <w:rsid w:val="00024BE2"/>
    <w:rsid w:val="00040BF9"/>
    <w:rsid w:val="0005703E"/>
    <w:rsid w:val="00061E86"/>
    <w:rsid w:val="00073C7F"/>
    <w:rsid w:val="00085F1F"/>
    <w:rsid w:val="00096752"/>
    <w:rsid w:val="000A2A6B"/>
    <w:rsid w:val="000A48B0"/>
    <w:rsid w:val="000C6677"/>
    <w:rsid w:val="000F4FD6"/>
    <w:rsid w:val="0011386B"/>
    <w:rsid w:val="001175C2"/>
    <w:rsid w:val="00120953"/>
    <w:rsid w:val="001213FD"/>
    <w:rsid w:val="00131432"/>
    <w:rsid w:val="001378C5"/>
    <w:rsid w:val="001457D2"/>
    <w:rsid w:val="001635C3"/>
    <w:rsid w:val="00164803"/>
    <w:rsid w:val="00172688"/>
    <w:rsid w:val="00193DFC"/>
    <w:rsid w:val="001A66DB"/>
    <w:rsid w:val="001B3C97"/>
    <w:rsid w:val="001E3013"/>
    <w:rsid w:val="001F2310"/>
    <w:rsid w:val="001F44E2"/>
    <w:rsid w:val="0020217E"/>
    <w:rsid w:val="00225D21"/>
    <w:rsid w:val="00235592"/>
    <w:rsid w:val="00242265"/>
    <w:rsid w:val="00242BBA"/>
    <w:rsid w:val="00243D18"/>
    <w:rsid w:val="00245CC2"/>
    <w:rsid w:val="0025683C"/>
    <w:rsid w:val="002705A3"/>
    <w:rsid w:val="002721B7"/>
    <w:rsid w:val="0028408A"/>
    <w:rsid w:val="0028588C"/>
    <w:rsid w:val="00292AB0"/>
    <w:rsid w:val="002B7124"/>
    <w:rsid w:val="002C6439"/>
    <w:rsid w:val="002E4668"/>
    <w:rsid w:val="002E4687"/>
    <w:rsid w:val="002F1E1F"/>
    <w:rsid w:val="002F289A"/>
    <w:rsid w:val="002F6101"/>
    <w:rsid w:val="0030335E"/>
    <w:rsid w:val="003109FF"/>
    <w:rsid w:val="0031123A"/>
    <w:rsid w:val="0033053E"/>
    <w:rsid w:val="003409BC"/>
    <w:rsid w:val="00341FA3"/>
    <w:rsid w:val="00351444"/>
    <w:rsid w:val="00372131"/>
    <w:rsid w:val="00374BD2"/>
    <w:rsid w:val="003878A2"/>
    <w:rsid w:val="00390278"/>
    <w:rsid w:val="003A145C"/>
    <w:rsid w:val="003B05AE"/>
    <w:rsid w:val="003B096F"/>
    <w:rsid w:val="003B0F46"/>
    <w:rsid w:val="003B4877"/>
    <w:rsid w:val="003C5C00"/>
    <w:rsid w:val="003D10CA"/>
    <w:rsid w:val="00401F8B"/>
    <w:rsid w:val="004118E0"/>
    <w:rsid w:val="00412114"/>
    <w:rsid w:val="00422D0C"/>
    <w:rsid w:val="0043295F"/>
    <w:rsid w:val="0044799B"/>
    <w:rsid w:val="0047632E"/>
    <w:rsid w:val="004A1D66"/>
    <w:rsid w:val="004A3B3E"/>
    <w:rsid w:val="004B759F"/>
    <w:rsid w:val="004C2456"/>
    <w:rsid w:val="004C61AF"/>
    <w:rsid w:val="004D02CF"/>
    <w:rsid w:val="004D3AD1"/>
    <w:rsid w:val="004F4548"/>
    <w:rsid w:val="00504A25"/>
    <w:rsid w:val="00506B12"/>
    <w:rsid w:val="0053144C"/>
    <w:rsid w:val="0053414D"/>
    <w:rsid w:val="00542153"/>
    <w:rsid w:val="00572B04"/>
    <w:rsid w:val="005751E1"/>
    <w:rsid w:val="005F65B3"/>
    <w:rsid w:val="005F694A"/>
    <w:rsid w:val="00601562"/>
    <w:rsid w:val="00601594"/>
    <w:rsid w:val="00601EBA"/>
    <w:rsid w:val="00610FFC"/>
    <w:rsid w:val="00617444"/>
    <w:rsid w:val="00640284"/>
    <w:rsid w:val="0064222D"/>
    <w:rsid w:val="00665A30"/>
    <w:rsid w:val="00671E73"/>
    <w:rsid w:val="00675A0B"/>
    <w:rsid w:val="0067780B"/>
    <w:rsid w:val="00692A59"/>
    <w:rsid w:val="006A39AE"/>
    <w:rsid w:val="006A4C8A"/>
    <w:rsid w:val="006A7F93"/>
    <w:rsid w:val="006B46EC"/>
    <w:rsid w:val="006D5091"/>
    <w:rsid w:val="006E1827"/>
    <w:rsid w:val="00711DCD"/>
    <w:rsid w:val="00721C51"/>
    <w:rsid w:val="0072675C"/>
    <w:rsid w:val="00746102"/>
    <w:rsid w:val="00760215"/>
    <w:rsid w:val="00775027"/>
    <w:rsid w:val="007A663E"/>
    <w:rsid w:val="007A7030"/>
    <w:rsid w:val="007B52F5"/>
    <w:rsid w:val="007B6A9D"/>
    <w:rsid w:val="007D4279"/>
    <w:rsid w:val="007D42C7"/>
    <w:rsid w:val="007E1497"/>
    <w:rsid w:val="007E75FC"/>
    <w:rsid w:val="007E7C3E"/>
    <w:rsid w:val="008044F9"/>
    <w:rsid w:val="00807964"/>
    <w:rsid w:val="00823274"/>
    <w:rsid w:val="008400B6"/>
    <w:rsid w:val="00850E41"/>
    <w:rsid w:val="008520DC"/>
    <w:rsid w:val="00876029"/>
    <w:rsid w:val="00894969"/>
    <w:rsid w:val="00895D03"/>
    <w:rsid w:val="008A48F6"/>
    <w:rsid w:val="008C7BA4"/>
    <w:rsid w:val="008C7D4E"/>
    <w:rsid w:val="008D2073"/>
    <w:rsid w:val="0090556D"/>
    <w:rsid w:val="00905966"/>
    <w:rsid w:val="009137DA"/>
    <w:rsid w:val="00915986"/>
    <w:rsid w:val="00951DEF"/>
    <w:rsid w:val="00955D14"/>
    <w:rsid w:val="00972B4F"/>
    <w:rsid w:val="00981EA8"/>
    <w:rsid w:val="00995E60"/>
    <w:rsid w:val="009A05BB"/>
    <w:rsid w:val="009B151F"/>
    <w:rsid w:val="009F2B82"/>
    <w:rsid w:val="009F6F84"/>
    <w:rsid w:val="00A0111A"/>
    <w:rsid w:val="00A02AD1"/>
    <w:rsid w:val="00A16F56"/>
    <w:rsid w:val="00A90A3C"/>
    <w:rsid w:val="00A94D93"/>
    <w:rsid w:val="00AA1988"/>
    <w:rsid w:val="00AB1C2B"/>
    <w:rsid w:val="00AD7BD3"/>
    <w:rsid w:val="00B4462E"/>
    <w:rsid w:val="00B44C9D"/>
    <w:rsid w:val="00B54012"/>
    <w:rsid w:val="00B54563"/>
    <w:rsid w:val="00B727CD"/>
    <w:rsid w:val="00B80CB1"/>
    <w:rsid w:val="00B816DB"/>
    <w:rsid w:val="00B9273C"/>
    <w:rsid w:val="00B94A25"/>
    <w:rsid w:val="00B96C75"/>
    <w:rsid w:val="00BD5F33"/>
    <w:rsid w:val="00BF5527"/>
    <w:rsid w:val="00BF6F70"/>
    <w:rsid w:val="00C151F2"/>
    <w:rsid w:val="00C17BB9"/>
    <w:rsid w:val="00C60637"/>
    <w:rsid w:val="00C6377C"/>
    <w:rsid w:val="00C667A8"/>
    <w:rsid w:val="00C82656"/>
    <w:rsid w:val="00CA30BD"/>
    <w:rsid w:val="00CA48A2"/>
    <w:rsid w:val="00CB24F3"/>
    <w:rsid w:val="00CB26CB"/>
    <w:rsid w:val="00CC2F42"/>
    <w:rsid w:val="00CC4EA7"/>
    <w:rsid w:val="00CD632B"/>
    <w:rsid w:val="00CE74CA"/>
    <w:rsid w:val="00D02B1F"/>
    <w:rsid w:val="00D1575E"/>
    <w:rsid w:val="00D24727"/>
    <w:rsid w:val="00D347E3"/>
    <w:rsid w:val="00D44D44"/>
    <w:rsid w:val="00D46005"/>
    <w:rsid w:val="00D52AEF"/>
    <w:rsid w:val="00D73A51"/>
    <w:rsid w:val="00D75E63"/>
    <w:rsid w:val="00D81B7B"/>
    <w:rsid w:val="00D86C90"/>
    <w:rsid w:val="00DA5668"/>
    <w:rsid w:val="00DB289C"/>
    <w:rsid w:val="00DF6B80"/>
    <w:rsid w:val="00E048F2"/>
    <w:rsid w:val="00E40EE0"/>
    <w:rsid w:val="00E45833"/>
    <w:rsid w:val="00E52293"/>
    <w:rsid w:val="00E63E82"/>
    <w:rsid w:val="00E83980"/>
    <w:rsid w:val="00E94CAF"/>
    <w:rsid w:val="00E96231"/>
    <w:rsid w:val="00EA06D0"/>
    <w:rsid w:val="00EB45AA"/>
    <w:rsid w:val="00EC2B93"/>
    <w:rsid w:val="00ED1101"/>
    <w:rsid w:val="00EF21F4"/>
    <w:rsid w:val="00EF7E77"/>
    <w:rsid w:val="00F03684"/>
    <w:rsid w:val="00F20A6B"/>
    <w:rsid w:val="00F20AD1"/>
    <w:rsid w:val="00F25D2E"/>
    <w:rsid w:val="00F26975"/>
    <w:rsid w:val="00F649C8"/>
    <w:rsid w:val="00FA1128"/>
    <w:rsid w:val="00FB6A9E"/>
    <w:rsid w:val="00FC5125"/>
    <w:rsid w:val="00FD29E2"/>
    <w:rsid w:val="00FD4CFC"/>
    <w:rsid w:val="00FD75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05F7CFD"/>
  <w15:chartTrackingRefBased/>
  <w15:docId w15:val="{DDCF0B4B-53E3-424C-899B-D4BAA8D7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48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48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48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48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48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48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48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48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48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8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48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48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48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48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48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48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48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48F2"/>
    <w:rPr>
      <w:rFonts w:eastAsiaTheme="majorEastAsia" w:cstheme="majorBidi"/>
      <w:color w:val="272727" w:themeColor="text1" w:themeTint="D8"/>
    </w:rPr>
  </w:style>
  <w:style w:type="paragraph" w:styleId="Title">
    <w:name w:val="Title"/>
    <w:basedOn w:val="Normal"/>
    <w:next w:val="Normal"/>
    <w:link w:val="TitleChar"/>
    <w:uiPriority w:val="10"/>
    <w:qFormat/>
    <w:rsid w:val="00E048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8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48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48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48F2"/>
    <w:pPr>
      <w:spacing w:before="160"/>
      <w:jc w:val="center"/>
    </w:pPr>
    <w:rPr>
      <w:i/>
      <w:iCs/>
      <w:color w:val="404040" w:themeColor="text1" w:themeTint="BF"/>
    </w:rPr>
  </w:style>
  <w:style w:type="character" w:customStyle="1" w:styleId="QuoteChar">
    <w:name w:val="Quote Char"/>
    <w:basedOn w:val="DefaultParagraphFont"/>
    <w:link w:val="Quote"/>
    <w:uiPriority w:val="29"/>
    <w:rsid w:val="00E048F2"/>
    <w:rPr>
      <w:i/>
      <w:iCs/>
      <w:color w:val="404040" w:themeColor="text1" w:themeTint="BF"/>
    </w:rPr>
  </w:style>
  <w:style w:type="paragraph" w:styleId="ListParagraph">
    <w:name w:val="List Paragraph"/>
    <w:basedOn w:val="Normal"/>
    <w:uiPriority w:val="34"/>
    <w:qFormat/>
    <w:rsid w:val="00E048F2"/>
    <w:pPr>
      <w:ind w:left="720"/>
      <w:contextualSpacing/>
    </w:pPr>
  </w:style>
  <w:style w:type="character" w:styleId="IntenseEmphasis">
    <w:name w:val="Intense Emphasis"/>
    <w:basedOn w:val="DefaultParagraphFont"/>
    <w:uiPriority w:val="21"/>
    <w:qFormat/>
    <w:rsid w:val="00E048F2"/>
    <w:rPr>
      <w:i/>
      <w:iCs/>
      <w:color w:val="0F4761" w:themeColor="accent1" w:themeShade="BF"/>
    </w:rPr>
  </w:style>
  <w:style w:type="paragraph" w:styleId="IntenseQuote">
    <w:name w:val="Intense Quote"/>
    <w:basedOn w:val="Normal"/>
    <w:next w:val="Normal"/>
    <w:link w:val="IntenseQuoteChar"/>
    <w:uiPriority w:val="30"/>
    <w:qFormat/>
    <w:rsid w:val="00E048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48F2"/>
    <w:rPr>
      <w:i/>
      <w:iCs/>
      <w:color w:val="0F4761" w:themeColor="accent1" w:themeShade="BF"/>
    </w:rPr>
  </w:style>
  <w:style w:type="character" w:styleId="IntenseReference">
    <w:name w:val="Intense Reference"/>
    <w:basedOn w:val="DefaultParagraphFont"/>
    <w:uiPriority w:val="32"/>
    <w:qFormat/>
    <w:rsid w:val="00E048F2"/>
    <w:rPr>
      <w:b/>
      <w:bCs/>
      <w:smallCaps/>
      <w:color w:val="0F4761" w:themeColor="accent1" w:themeShade="BF"/>
      <w:spacing w:val="5"/>
    </w:rPr>
  </w:style>
  <w:style w:type="paragraph" w:styleId="NoSpacing">
    <w:name w:val="No Spacing"/>
    <w:uiPriority w:val="1"/>
    <w:qFormat/>
    <w:rsid w:val="00412114"/>
    <w:pPr>
      <w:spacing w:after="0" w:line="240" w:lineRule="auto"/>
    </w:pPr>
    <w:rPr>
      <w:rFonts w:eastAsiaTheme="minorEastAsia"/>
      <w:kern w:val="0"/>
      <w:sz w:val="22"/>
      <w:szCs w:val="22"/>
      <w:lang w:val="en-US"/>
    </w:rPr>
  </w:style>
  <w:style w:type="paragraph" w:styleId="NormalWeb">
    <w:name w:val="Normal (Web)"/>
    <w:basedOn w:val="Normal"/>
    <w:uiPriority w:val="99"/>
    <w:semiHidden/>
    <w:unhideWhenUsed/>
    <w:rsid w:val="002C6439"/>
    <w:rPr>
      <w:rFonts w:ascii="Times New Roman" w:hAnsi="Times New Roman" w:cs="Times New Roman"/>
    </w:rPr>
  </w:style>
  <w:style w:type="character" w:styleId="Hyperlink">
    <w:name w:val="Hyperlink"/>
    <w:basedOn w:val="DefaultParagraphFont"/>
    <w:uiPriority w:val="99"/>
    <w:unhideWhenUsed/>
    <w:rsid w:val="007E1497"/>
    <w:rPr>
      <w:color w:val="467886" w:themeColor="hyperlink"/>
      <w:u w:val="single"/>
    </w:rPr>
  </w:style>
  <w:style w:type="character" w:customStyle="1" w:styleId="UnresolvedMention1">
    <w:name w:val="Unresolved Mention1"/>
    <w:basedOn w:val="DefaultParagraphFont"/>
    <w:uiPriority w:val="99"/>
    <w:semiHidden/>
    <w:unhideWhenUsed/>
    <w:rsid w:val="007E1497"/>
    <w:rPr>
      <w:color w:val="605E5C"/>
      <w:shd w:val="clear" w:color="auto" w:fill="E1DFDD"/>
    </w:rPr>
  </w:style>
  <w:style w:type="paragraph" w:styleId="Header">
    <w:name w:val="header"/>
    <w:basedOn w:val="Normal"/>
    <w:link w:val="HeaderChar"/>
    <w:uiPriority w:val="99"/>
    <w:unhideWhenUsed/>
    <w:rsid w:val="00C151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1F2"/>
  </w:style>
  <w:style w:type="paragraph" w:styleId="Footer">
    <w:name w:val="footer"/>
    <w:basedOn w:val="Normal"/>
    <w:link w:val="FooterChar"/>
    <w:uiPriority w:val="99"/>
    <w:unhideWhenUsed/>
    <w:rsid w:val="00C151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426">
      <w:bodyDiv w:val="1"/>
      <w:marLeft w:val="0"/>
      <w:marRight w:val="0"/>
      <w:marTop w:val="0"/>
      <w:marBottom w:val="0"/>
      <w:divBdr>
        <w:top w:val="none" w:sz="0" w:space="0" w:color="auto"/>
        <w:left w:val="none" w:sz="0" w:space="0" w:color="auto"/>
        <w:bottom w:val="none" w:sz="0" w:space="0" w:color="auto"/>
        <w:right w:val="none" w:sz="0" w:space="0" w:color="auto"/>
      </w:divBdr>
    </w:div>
    <w:div w:id="29306752">
      <w:bodyDiv w:val="1"/>
      <w:marLeft w:val="0"/>
      <w:marRight w:val="0"/>
      <w:marTop w:val="0"/>
      <w:marBottom w:val="0"/>
      <w:divBdr>
        <w:top w:val="none" w:sz="0" w:space="0" w:color="auto"/>
        <w:left w:val="none" w:sz="0" w:space="0" w:color="auto"/>
        <w:bottom w:val="none" w:sz="0" w:space="0" w:color="auto"/>
        <w:right w:val="none" w:sz="0" w:space="0" w:color="auto"/>
      </w:divBdr>
    </w:div>
    <w:div w:id="37630113">
      <w:bodyDiv w:val="1"/>
      <w:marLeft w:val="0"/>
      <w:marRight w:val="0"/>
      <w:marTop w:val="0"/>
      <w:marBottom w:val="0"/>
      <w:divBdr>
        <w:top w:val="none" w:sz="0" w:space="0" w:color="auto"/>
        <w:left w:val="none" w:sz="0" w:space="0" w:color="auto"/>
        <w:bottom w:val="none" w:sz="0" w:space="0" w:color="auto"/>
        <w:right w:val="none" w:sz="0" w:space="0" w:color="auto"/>
      </w:divBdr>
    </w:div>
    <w:div w:id="63070640">
      <w:bodyDiv w:val="1"/>
      <w:marLeft w:val="0"/>
      <w:marRight w:val="0"/>
      <w:marTop w:val="0"/>
      <w:marBottom w:val="0"/>
      <w:divBdr>
        <w:top w:val="none" w:sz="0" w:space="0" w:color="auto"/>
        <w:left w:val="none" w:sz="0" w:space="0" w:color="auto"/>
        <w:bottom w:val="none" w:sz="0" w:space="0" w:color="auto"/>
        <w:right w:val="none" w:sz="0" w:space="0" w:color="auto"/>
      </w:divBdr>
    </w:div>
    <w:div w:id="63333176">
      <w:bodyDiv w:val="1"/>
      <w:marLeft w:val="0"/>
      <w:marRight w:val="0"/>
      <w:marTop w:val="0"/>
      <w:marBottom w:val="0"/>
      <w:divBdr>
        <w:top w:val="none" w:sz="0" w:space="0" w:color="auto"/>
        <w:left w:val="none" w:sz="0" w:space="0" w:color="auto"/>
        <w:bottom w:val="none" w:sz="0" w:space="0" w:color="auto"/>
        <w:right w:val="none" w:sz="0" w:space="0" w:color="auto"/>
      </w:divBdr>
    </w:div>
    <w:div w:id="69544845">
      <w:bodyDiv w:val="1"/>
      <w:marLeft w:val="0"/>
      <w:marRight w:val="0"/>
      <w:marTop w:val="0"/>
      <w:marBottom w:val="0"/>
      <w:divBdr>
        <w:top w:val="none" w:sz="0" w:space="0" w:color="auto"/>
        <w:left w:val="none" w:sz="0" w:space="0" w:color="auto"/>
        <w:bottom w:val="none" w:sz="0" w:space="0" w:color="auto"/>
        <w:right w:val="none" w:sz="0" w:space="0" w:color="auto"/>
      </w:divBdr>
    </w:div>
    <w:div w:id="108934966">
      <w:bodyDiv w:val="1"/>
      <w:marLeft w:val="0"/>
      <w:marRight w:val="0"/>
      <w:marTop w:val="0"/>
      <w:marBottom w:val="0"/>
      <w:divBdr>
        <w:top w:val="none" w:sz="0" w:space="0" w:color="auto"/>
        <w:left w:val="none" w:sz="0" w:space="0" w:color="auto"/>
        <w:bottom w:val="none" w:sz="0" w:space="0" w:color="auto"/>
        <w:right w:val="none" w:sz="0" w:space="0" w:color="auto"/>
      </w:divBdr>
    </w:div>
    <w:div w:id="141584726">
      <w:bodyDiv w:val="1"/>
      <w:marLeft w:val="0"/>
      <w:marRight w:val="0"/>
      <w:marTop w:val="0"/>
      <w:marBottom w:val="0"/>
      <w:divBdr>
        <w:top w:val="none" w:sz="0" w:space="0" w:color="auto"/>
        <w:left w:val="none" w:sz="0" w:space="0" w:color="auto"/>
        <w:bottom w:val="none" w:sz="0" w:space="0" w:color="auto"/>
        <w:right w:val="none" w:sz="0" w:space="0" w:color="auto"/>
      </w:divBdr>
    </w:div>
    <w:div w:id="148985799">
      <w:bodyDiv w:val="1"/>
      <w:marLeft w:val="0"/>
      <w:marRight w:val="0"/>
      <w:marTop w:val="0"/>
      <w:marBottom w:val="0"/>
      <w:divBdr>
        <w:top w:val="none" w:sz="0" w:space="0" w:color="auto"/>
        <w:left w:val="none" w:sz="0" w:space="0" w:color="auto"/>
        <w:bottom w:val="none" w:sz="0" w:space="0" w:color="auto"/>
        <w:right w:val="none" w:sz="0" w:space="0" w:color="auto"/>
      </w:divBdr>
    </w:div>
    <w:div w:id="154345891">
      <w:bodyDiv w:val="1"/>
      <w:marLeft w:val="0"/>
      <w:marRight w:val="0"/>
      <w:marTop w:val="0"/>
      <w:marBottom w:val="0"/>
      <w:divBdr>
        <w:top w:val="none" w:sz="0" w:space="0" w:color="auto"/>
        <w:left w:val="none" w:sz="0" w:space="0" w:color="auto"/>
        <w:bottom w:val="none" w:sz="0" w:space="0" w:color="auto"/>
        <w:right w:val="none" w:sz="0" w:space="0" w:color="auto"/>
      </w:divBdr>
    </w:div>
    <w:div w:id="158082125">
      <w:bodyDiv w:val="1"/>
      <w:marLeft w:val="0"/>
      <w:marRight w:val="0"/>
      <w:marTop w:val="0"/>
      <w:marBottom w:val="0"/>
      <w:divBdr>
        <w:top w:val="none" w:sz="0" w:space="0" w:color="auto"/>
        <w:left w:val="none" w:sz="0" w:space="0" w:color="auto"/>
        <w:bottom w:val="none" w:sz="0" w:space="0" w:color="auto"/>
        <w:right w:val="none" w:sz="0" w:space="0" w:color="auto"/>
      </w:divBdr>
    </w:div>
    <w:div w:id="234436128">
      <w:bodyDiv w:val="1"/>
      <w:marLeft w:val="0"/>
      <w:marRight w:val="0"/>
      <w:marTop w:val="0"/>
      <w:marBottom w:val="0"/>
      <w:divBdr>
        <w:top w:val="none" w:sz="0" w:space="0" w:color="auto"/>
        <w:left w:val="none" w:sz="0" w:space="0" w:color="auto"/>
        <w:bottom w:val="none" w:sz="0" w:space="0" w:color="auto"/>
        <w:right w:val="none" w:sz="0" w:space="0" w:color="auto"/>
      </w:divBdr>
    </w:div>
    <w:div w:id="242837860">
      <w:bodyDiv w:val="1"/>
      <w:marLeft w:val="0"/>
      <w:marRight w:val="0"/>
      <w:marTop w:val="0"/>
      <w:marBottom w:val="0"/>
      <w:divBdr>
        <w:top w:val="none" w:sz="0" w:space="0" w:color="auto"/>
        <w:left w:val="none" w:sz="0" w:space="0" w:color="auto"/>
        <w:bottom w:val="none" w:sz="0" w:space="0" w:color="auto"/>
        <w:right w:val="none" w:sz="0" w:space="0" w:color="auto"/>
      </w:divBdr>
    </w:div>
    <w:div w:id="319115390">
      <w:bodyDiv w:val="1"/>
      <w:marLeft w:val="0"/>
      <w:marRight w:val="0"/>
      <w:marTop w:val="0"/>
      <w:marBottom w:val="0"/>
      <w:divBdr>
        <w:top w:val="none" w:sz="0" w:space="0" w:color="auto"/>
        <w:left w:val="none" w:sz="0" w:space="0" w:color="auto"/>
        <w:bottom w:val="none" w:sz="0" w:space="0" w:color="auto"/>
        <w:right w:val="none" w:sz="0" w:space="0" w:color="auto"/>
      </w:divBdr>
    </w:div>
    <w:div w:id="344791206">
      <w:bodyDiv w:val="1"/>
      <w:marLeft w:val="0"/>
      <w:marRight w:val="0"/>
      <w:marTop w:val="0"/>
      <w:marBottom w:val="0"/>
      <w:divBdr>
        <w:top w:val="none" w:sz="0" w:space="0" w:color="auto"/>
        <w:left w:val="none" w:sz="0" w:space="0" w:color="auto"/>
        <w:bottom w:val="none" w:sz="0" w:space="0" w:color="auto"/>
        <w:right w:val="none" w:sz="0" w:space="0" w:color="auto"/>
      </w:divBdr>
    </w:div>
    <w:div w:id="376856524">
      <w:bodyDiv w:val="1"/>
      <w:marLeft w:val="0"/>
      <w:marRight w:val="0"/>
      <w:marTop w:val="0"/>
      <w:marBottom w:val="0"/>
      <w:divBdr>
        <w:top w:val="none" w:sz="0" w:space="0" w:color="auto"/>
        <w:left w:val="none" w:sz="0" w:space="0" w:color="auto"/>
        <w:bottom w:val="none" w:sz="0" w:space="0" w:color="auto"/>
        <w:right w:val="none" w:sz="0" w:space="0" w:color="auto"/>
      </w:divBdr>
    </w:div>
    <w:div w:id="408894347">
      <w:bodyDiv w:val="1"/>
      <w:marLeft w:val="0"/>
      <w:marRight w:val="0"/>
      <w:marTop w:val="0"/>
      <w:marBottom w:val="0"/>
      <w:divBdr>
        <w:top w:val="none" w:sz="0" w:space="0" w:color="auto"/>
        <w:left w:val="none" w:sz="0" w:space="0" w:color="auto"/>
        <w:bottom w:val="none" w:sz="0" w:space="0" w:color="auto"/>
        <w:right w:val="none" w:sz="0" w:space="0" w:color="auto"/>
      </w:divBdr>
    </w:div>
    <w:div w:id="414326641">
      <w:bodyDiv w:val="1"/>
      <w:marLeft w:val="0"/>
      <w:marRight w:val="0"/>
      <w:marTop w:val="0"/>
      <w:marBottom w:val="0"/>
      <w:divBdr>
        <w:top w:val="none" w:sz="0" w:space="0" w:color="auto"/>
        <w:left w:val="none" w:sz="0" w:space="0" w:color="auto"/>
        <w:bottom w:val="none" w:sz="0" w:space="0" w:color="auto"/>
        <w:right w:val="none" w:sz="0" w:space="0" w:color="auto"/>
      </w:divBdr>
    </w:div>
    <w:div w:id="473253099">
      <w:bodyDiv w:val="1"/>
      <w:marLeft w:val="0"/>
      <w:marRight w:val="0"/>
      <w:marTop w:val="0"/>
      <w:marBottom w:val="0"/>
      <w:divBdr>
        <w:top w:val="none" w:sz="0" w:space="0" w:color="auto"/>
        <w:left w:val="none" w:sz="0" w:space="0" w:color="auto"/>
        <w:bottom w:val="none" w:sz="0" w:space="0" w:color="auto"/>
        <w:right w:val="none" w:sz="0" w:space="0" w:color="auto"/>
      </w:divBdr>
    </w:div>
    <w:div w:id="536623789">
      <w:bodyDiv w:val="1"/>
      <w:marLeft w:val="0"/>
      <w:marRight w:val="0"/>
      <w:marTop w:val="0"/>
      <w:marBottom w:val="0"/>
      <w:divBdr>
        <w:top w:val="none" w:sz="0" w:space="0" w:color="auto"/>
        <w:left w:val="none" w:sz="0" w:space="0" w:color="auto"/>
        <w:bottom w:val="none" w:sz="0" w:space="0" w:color="auto"/>
        <w:right w:val="none" w:sz="0" w:space="0" w:color="auto"/>
      </w:divBdr>
    </w:div>
    <w:div w:id="568197397">
      <w:bodyDiv w:val="1"/>
      <w:marLeft w:val="0"/>
      <w:marRight w:val="0"/>
      <w:marTop w:val="0"/>
      <w:marBottom w:val="0"/>
      <w:divBdr>
        <w:top w:val="none" w:sz="0" w:space="0" w:color="auto"/>
        <w:left w:val="none" w:sz="0" w:space="0" w:color="auto"/>
        <w:bottom w:val="none" w:sz="0" w:space="0" w:color="auto"/>
        <w:right w:val="none" w:sz="0" w:space="0" w:color="auto"/>
      </w:divBdr>
    </w:div>
    <w:div w:id="592053068">
      <w:bodyDiv w:val="1"/>
      <w:marLeft w:val="0"/>
      <w:marRight w:val="0"/>
      <w:marTop w:val="0"/>
      <w:marBottom w:val="0"/>
      <w:divBdr>
        <w:top w:val="none" w:sz="0" w:space="0" w:color="auto"/>
        <w:left w:val="none" w:sz="0" w:space="0" w:color="auto"/>
        <w:bottom w:val="none" w:sz="0" w:space="0" w:color="auto"/>
        <w:right w:val="none" w:sz="0" w:space="0" w:color="auto"/>
      </w:divBdr>
    </w:div>
    <w:div w:id="601764589">
      <w:bodyDiv w:val="1"/>
      <w:marLeft w:val="0"/>
      <w:marRight w:val="0"/>
      <w:marTop w:val="0"/>
      <w:marBottom w:val="0"/>
      <w:divBdr>
        <w:top w:val="none" w:sz="0" w:space="0" w:color="auto"/>
        <w:left w:val="none" w:sz="0" w:space="0" w:color="auto"/>
        <w:bottom w:val="none" w:sz="0" w:space="0" w:color="auto"/>
        <w:right w:val="none" w:sz="0" w:space="0" w:color="auto"/>
      </w:divBdr>
    </w:div>
    <w:div w:id="613445075">
      <w:bodyDiv w:val="1"/>
      <w:marLeft w:val="0"/>
      <w:marRight w:val="0"/>
      <w:marTop w:val="0"/>
      <w:marBottom w:val="0"/>
      <w:divBdr>
        <w:top w:val="none" w:sz="0" w:space="0" w:color="auto"/>
        <w:left w:val="none" w:sz="0" w:space="0" w:color="auto"/>
        <w:bottom w:val="none" w:sz="0" w:space="0" w:color="auto"/>
        <w:right w:val="none" w:sz="0" w:space="0" w:color="auto"/>
      </w:divBdr>
    </w:div>
    <w:div w:id="703604353">
      <w:bodyDiv w:val="1"/>
      <w:marLeft w:val="0"/>
      <w:marRight w:val="0"/>
      <w:marTop w:val="0"/>
      <w:marBottom w:val="0"/>
      <w:divBdr>
        <w:top w:val="none" w:sz="0" w:space="0" w:color="auto"/>
        <w:left w:val="none" w:sz="0" w:space="0" w:color="auto"/>
        <w:bottom w:val="none" w:sz="0" w:space="0" w:color="auto"/>
        <w:right w:val="none" w:sz="0" w:space="0" w:color="auto"/>
      </w:divBdr>
    </w:div>
    <w:div w:id="738285381">
      <w:bodyDiv w:val="1"/>
      <w:marLeft w:val="0"/>
      <w:marRight w:val="0"/>
      <w:marTop w:val="0"/>
      <w:marBottom w:val="0"/>
      <w:divBdr>
        <w:top w:val="none" w:sz="0" w:space="0" w:color="auto"/>
        <w:left w:val="none" w:sz="0" w:space="0" w:color="auto"/>
        <w:bottom w:val="none" w:sz="0" w:space="0" w:color="auto"/>
        <w:right w:val="none" w:sz="0" w:space="0" w:color="auto"/>
      </w:divBdr>
    </w:div>
    <w:div w:id="740256599">
      <w:bodyDiv w:val="1"/>
      <w:marLeft w:val="0"/>
      <w:marRight w:val="0"/>
      <w:marTop w:val="0"/>
      <w:marBottom w:val="0"/>
      <w:divBdr>
        <w:top w:val="none" w:sz="0" w:space="0" w:color="auto"/>
        <w:left w:val="none" w:sz="0" w:space="0" w:color="auto"/>
        <w:bottom w:val="none" w:sz="0" w:space="0" w:color="auto"/>
        <w:right w:val="none" w:sz="0" w:space="0" w:color="auto"/>
      </w:divBdr>
    </w:div>
    <w:div w:id="763571138">
      <w:bodyDiv w:val="1"/>
      <w:marLeft w:val="0"/>
      <w:marRight w:val="0"/>
      <w:marTop w:val="0"/>
      <w:marBottom w:val="0"/>
      <w:divBdr>
        <w:top w:val="none" w:sz="0" w:space="0" w:color="auto"/>
        <w:left w:val="none" w:sz="0" w:space="0" w:color="auto"/>
        <w:bottom w:val="none" w:sz="0" w:space="0" w:color="auto"/>
        <w:right w:val="none" w:sz="0" w:space="0" w:color="auto"/>
      </w:divBdr>
    </w:div>
    <w:div w:id="786317604">
      <w:bodyDiv w:val="1"/>
      <w:marLeft w:val="0"/>
      <w:marRight w:val="0"/>
      <w:marTop w:val="0"/>
      <w:marBottom w:val="0"/>
      <w:divBdr>
        <w:top w:val="none" w:sz="0" w:space="0" w:color="auto"/>
        <w:left w:val="none" w:sz="0" w:space="0" w:color="auto"/>
        <w:bottom w:val="none" w:sz="0" w:space="0" w:color="auto"/>
        <w:right w:val="none" w:sz="0" w:space="0" w:color="auto"/>
      </w:divBdr>
    </w:div>
    <w:div w:id="823811926">
      <w:bodyDiv w:val="1"/>
      <w:marLeft w:val="0"/>
      <w:marRight w:val="0"/>
      <w:marTop w:val="0"/>
      <w:marBottom w:val="0"/>
      <w:divBdr>
        <w:top w:val="none" w:sz="0" w:space="0" w:color="auto"/>
        <w:left w:val="none" w:sz="0" w:space="0" w:color="auto"/>
        <w:bottom w:val="none" w:sz="0" w:space="0" w:color="auto"/>
        <w:right w:val="none" w:sz="0" w:space="0" w:color="auto"/>
      </w:divBdr>
    </w:div>
    <w:div w:id="844981138">
      <w:bodyDiv w:val="1"/>
      <w:marLeft w:val="0"/>
      <w:marRight w:val="0"/>
      <w:marTop w:val="0"/>
      <w:marBottom w:val="0"/>
      <w:divBdr>
        <w:top w:val="none" w:sz="0" w:space="0" w:color="auto"/>
        <w:left w:val="none" w:sz="0" w:space="0" w:color="auto"/>
        <w:bottom w:val="none" w:sz="0" w:space="0" w:color="auto"/>
        <w:right w:val="none" w:sz="0" w:space="0" w:color="auto"/>
      </w:divBdr>
    </w:div>
    <w:div w:id="850294635">
      <w:bodyDiv w:val="1"/>
      <w:marLeft w:val="0"/>
      <w:marRight w:val="0"/>
      <w:marTop w:val="0"/>
      <w:marBottom w:val="0"/>
      <w:divBdr>
        <w:top w:val="none" w:sz="0" w:space="0" w:color="auto"/>
        <w:left w:val="none" w:sz="0" w:space="0" w:color="auto"/>
        <w:bottom w:val="none" w:sz="0" w:space="0" w:color="auto"/>
        <w:right w:val="none" w:sz="0" w:space="0" w:color="auto"/>
      </w:divBdr>
    </w:div>
    <w:div w:id="860167217">
      <w:bodyDiv w:val="1"/>
      <w:marLeft w:val="0"/>
      <w:marRight w:val="0"/>
      <w:marTop w:val="0"/>
      <w:marBottom w:val="0"/>
      <w:divBdr>
        <w:top w:val="none" w:sz="0" w:space="0" w:color="auto"/>
        <w:left w:val="none" w:sz="0" w:space="0" w:color="auto"/>
        <w:bottom w:val="none" w:sz="0" w:space="0" w:color="auto"/>
        <w:right w:val="none" w:sz="0" w:space="0" w:color="auto"/>
      </w:divBdr>
    </w:div>
    <w:div w:id="876312562">
      <w:bodyDiv w:val="1"/>
      <w:marLeft w:val="0"/>
      <w:marRight w:val="0"/>
      <w:marTop w:val="0"/>
      <w:marBottom w:val="0"/>
      <w:divBdr>
        <w:top w:val="none" w:sz="0" w:space="0" w:color="auto"/>
        <w:left w:val="none" w:sz="0" w:space="0" w:color="auto"/>
        <w:bottom w:val="none" w:sz="0" w:space="0" w:color="auto"/>
        <w:right w:val="none" w:sz="0" w:space="0" w:color="auto"/>
      </w:divBdr>
    </w:div>
    <w:div w:id="914587159">
      <w:bodyDiv w:val="1"/>
      <w:marLeft w:val="0"/>
      <w:marRight w:val="0"/>
      <w:marTop w:val="0"/>
      <w:marBottom w:val="0"/>
      <w:divBdr>
        <w:top w:val="none" w:sz="0" w:space="0" w:color="auto"/>
        <w:left w:val="none" w:sz="0" w:space="0" w:color="auto"/>
        <w:bottom w:val="none" w:sz="0" w:space="0" w:color="auto"/>
        <w:right w:val="none" w:sz="0" w:space="0" w:color="auto"/>
      </w:divBdr>
    </w:div>
    <w:div w:id="945119644">
      <w:bodyDiv w:val="1"/>
      <w:marLeft w:val="0"/>
      <w:marRight w:val="0"/>
      <w:marTop w:val="0"/>
      <w:marBottom w:val="0"/>
      <w:divBdr>
        <w:top w:val="none" w:sz="0" w:space="0" w:color="auto"/>
        <w:left w:val="none" w:sz="0" w:space="0" w:color="auto"/>
        <w:bottom w:val="none" w:sz="0" w:space="0" w:color="auto"/>
        <w:right w:val="none" w:sz="0" w:space="0" w:color="auto"/>
      </w:divBdr>
    </w:div>
    <w:div w:id="950435467">
      <w:bodyDiv w:val="1"/>
      <w:marLeft w:val="0"/>
      <w:marRight w:val="0"/>
      <w:marTop w:val="0"/>
      <w:marBottom w:val="0"/>
      <w:divBdr>
        <w:top w:val="none" w:sz="0" w:space="0" w:color="auto"/>
        <w:left w:val="none" w:sz="0" w:space="0" w:color="auto"/>
        <w:bottom w:val="none" w:sz="0" w:space="0" w:color="auto"/>
        <w:right w:val="none" w:sz="0" w:space="0" w:color="auto"/>
      </w:divBdr>
    </w:div>
    <w:div w:id="977539607">
      <w:bodyDiv w:val="1"/>
      <w:marLeft w:val="0"/>
      <w:marRight w:val="0"/>
      <w:marTop w:val="0"/>
      <w:marBottom w:val="0"/>
      <w:divBdr>
        <w:top w:val="none" w:sz="0" w:space="0" w:color="auto"/>
        <w:left w:val="none" w:sz="0" w:space="0" w:color="auto"/>
        <w:bottom w:val="none" w:sz="0" w:space="0" w:color="auto"/>
        <w:right w:val="none" w:sz="0" w:space="0" w:color="auto"/>
      </w:divBdr>
    </w:div>
    <w:div w:id="977953349">
      <w:bodyDiv w:val="1"/>
      <w:marLeft w:val="0"/>
      <w:marRight w:val="0"/>
      <w:marTop w:val="0"/>
      <w:marBottom w:val="0"/>
      <w:divBdr>
        <w:top w:val="none" w:sz="0" w:space="0" w:color="auto"/>
        <w:left w:val="none" w:sz="0" w:space="0" w:color="auto"/>
        <w:bottom w:val="none" w:sz="0" w:space="0" w:color="auto"/>
        <w:right w:val="none" w:sz="0" w:space="0" w:color="auto"/>
      </w:divBdr>
    </w:div>
    <w:div w:id="1036931477">
      <w:bodyDiv w:val="1"/>
      <w:marLeft w:val="0"/>
      <w:marRight w:val="0"/>
      <w:marTop w:val="0"/>
      <w:marBottom w:val="0"/>
      <w:divBdr>
        <w:top w:val="none" w:sz="0" w:space="0" w:color="auto"/>
        <w:left w:val="none" w:sz="0" w:space="0" w:color="auto"/>
        <w:bottom w:val="none" w:sz="0" w:space="0" w:color="auto"/>
        <w:right w:val="none" w:sz="0" w:space="0" w:color="auto"/>
      </w:divBdr>
    </w:div>
    <w:div w:id="1083794618">
      <w:bodyDiv w:val="1"/>
      <w:marLeft w:val="0"/>
      <w:marRight w:val="0"/>
      <w:marTop w:val="0"/>
      <w:marBottom w:val="0"/>
      <w:divBdr>
        <w:top w:val="none" w:sz="0" w:space="0" w:color="auto"/>
        <w:left w:val="none" w:sz="0" w:space="0" w:color="auto"/>
        <w:bottom w:val="none" w:sz="0" w:space="0" w:color="auto"/>
        <w:right w:val="none" w:sz="0" w:space="0" w:color="auto"/>
      </w:divBdr>
    </w:div>
    <w:div w:id="1146632544">
      <w:bodyDiv w:val="1"/>
      <w:marLeft w:val="0"/>
      <w:marRight w:val="0"/>
      <w:marTop w:val="0"/>
      <w:marBottom w:val="0"/>
      <w:divBdr>
        <w:top w:val="none" w:sz="0" w:space="0" w:color="auto"/>
        <w:left w:val="none" w:sz="0" w:space="0" w:color="auto"/>
        <w:bottom w:val="none" w:sz="0" w:space="0" w:color="auto"/>
        <w:right w:val="none" w:sz="0" w:space="0" w:color="auto"/>
      </w:divBdr>
    </w:div>
    <w:div w:id="1179926986">
      <w:bodyDiv w:val="1"/>
      <w:marLeft w:val="0"/>
      <w:marRight w:val="0"/>
      <w:marTop w:val="0"/>
      <w:marBottom w:val="0"/>
      <w:divBdr>
        <w:top w:val="none" w:sz="0" w:space="0" w:color="auto"/>
        <w:left w:val="none" w:sz="0" w:space="0" w:color="auto"/>
        <w:bottom w:val="none" w:sz="0" w:space="0" w:color="auto"/>
        <w:right w:val="none" w:sz="0" w:space="0" w:color="auto"/>
      </w:divBdr>
    </w:div>
    <w:div w:id="1198081090">
      <w:bodyDiv w:val="1"/>
      <w:marLeft w:val="0"/>
      <w:marRight w:val="0"/>
      <w:marTop w:val="0"/>
      <w:marBottom w:val="0"/>
      <w:divBdr>
        <w:top w:val="none" w:sz="0" w:space="0" w:color="auto"/>
        <w:left w:val="none" w:sz="0" w:space="0" w:color="auto"/>
        <w:bottom w:val="none" w:sz="0" w:space="0" w:color="auto"/>
        <w:right w:val="none" w:sz="0" w:space="0" w:color="auto"/>
      </w:divBdr>
    </w:div>
    <w:div w:id="1220479801">
      <w:bodyDiv w:val="1"/>
      <w:marLeft w:val="0"/>
      <w:marRight w:val="0"/>
      <w:marTop w:val="0"/>
      <w:marBottom w:val="0"/>
      <w:divBdr>
        <w:top w:val="none" w:sz="0" w:space="0" w:color="auto"/>
        <w:left w:val="none" w:sz="0" w:space="0" w:color="auto"/>
        <w:bottom w:val="none" w:sz="0" w:space="0" w:color="auto"/>
        <w:right w:val="none" w:sz="0" w:space="0" w:color="auto"/>
      </w:divBdr>
    </w:div>
    <w:div w:id="1241602985">
      <w:bodyDiv w:val="1"/>
      <w:marLeft w:val="0"/>
      <w:marRight w:val="0"/>
      <w:marTop w:val="0"/>
      <w:marBottom w:val="0"/>
      <w:divBdr>
        <w:top w:val="none" w:sz="0" w:space="0" w:color="auto"/>
        <w:left w:val="none" w:sz="0" w:space="0" w:color="auto"/>
        <w:bottom w:val="none" w:sz="0" w:space="0" w:color="auto"/>
        <w:right w:val="none" w:sz="0" w:space="0" w:color="auto"/>
      </w:divBdr>
    </w:div>
    <w:div w:id="1252354124">
      <w:bodyDiv w:val="1"/>
      <w:marLeft w:val="0"/>
      <w:marRight w:val="0"/>
      <w:marTop w:val="0"/>
      <w:marBottom w:val="0"/>
      <w:divBdr>
        <w:top w:val="none" w:sz="0" w:space="0" w:color="auto"/>
        <w:left w:val="none" w:sz="0" w:space="0" w:color="auto"/>
        <w:bottom w:val="none" w:sz="0" w:space="0" w:color="auto"/>
        <w:right w:val="none" w:sz="0" w:space="0" w:color="auto"/>
      </w:divBdr>
    </w:div>
    <w:div w:id="1257833204">
      <w:bodyDiv w:val="1"/>
      <w:marLeft w:val="0"/>
      <w:marRight w:val="0"/>
      <w:marTop w:val="0"/>
      <w:marBottom w:val="0"/>
      <w:divBdr>
        <w:top w:val="none" w:sz="0" w:space="0" w:color="auto"/>
        <w:left w:val="none" w:sz="0" w:space="0" w:color="auto"/>
        <w:bottom w:val="none" w:sz="0" w:space="0" w:color="auto"/>
        <w:right w:val="none" w:sz="0" w:space="0" w:color="auto"/>
      </w:divBdr>
    </w:div>
    <w:div w:id="1366443027">
      <w:bodyDiv w:val="1"/>
      <w:marLeft w:val="0"/>
      <w:marRight w:val="0"/>
      <w:marTop w:val="0"/>
      <w:marBottom w:val="0"/>
      <w:divBdr>
        <w:top w:val="none" w:sz="0" w:space="0" w:color="auto"/>
        <w:left w:val="none" w:sz="0" w:space="0" w:color="auto"/>
        <w:bottom w:val="none" w:sz="0" w:space="0" w:color="auto"/>
        <w:right w:val="none" w:sz="0" w:space="0" w:color="auto"/>
      </w:divBdr>
    </w:div>
    <w:div w:id="1384013762">
      <w:bodyDiv w:val="1"/>
      <w:marLeft w:val="0"/>
      <w:marRight w:val="0"/>
      <w:marTop w:val="0"/>
      <w:marBottom w:val="0"/>
      <w:divBdr>
        <w:top w:val="none" w:sz="0" w:space="0" w:color="auto"/>
        <w:left w:val="none" w:sz="0" w:space="0" w:color="auto"/>
        <w:bottom w:val="none" w:sz="0" w:space="0" w:color="auto"/>
        <w:right w:val="none" w:sz="0" w:space="0" w:color="auto"/>
      </w:divBdr>
    </w:div>
    <w:div w:id="1386832258">
      <w:bodyDiv w:val="1"/>
      <w:marLeft w:val="0"/>
      <w:marRight w:val="0"/>
      <w:marTop w:val="0"/>
      <w:marBottom w:val="0"/>
      <w:divBdr>
        <w:top w:val="none" w:sz="0" w:space="0" w:color="auto"/>
        <w:left w:val="none" w:sz="0" w:space="0" w:color="auto"/>
        <w:bottom w:val="none" w:sz="0" w:space="0" w:color="auto"/>
        <w:right w:val="none" w:sz="0" w:space="0" w:color="auto"/>
      </w:divBdr>
    </w:div>
    <w:div w:id="1452479506">
      <w:bodyDiv w:val="1"/>
      <w:marLeft w:val="0"/>
      <w:marRight w:val="0"/>
      <w:marTop w:val="0"/>
      <w:marBottom w:val="0"/>
      <w:divBdr>
        <w:top w:val="none" w:sz="0" w:space="0" w:color="auto"/>
        <w:left w:val="none" w:sz="0" w:space="0" w:color="auto"/>
        <w:bottom w:val="none" w:sz="0" w:space="0" w:color="auto"/>
        <w:right w:val="none" w:sz="0" w:space="0" w:color="auto"/>
      </w:divBdr>
    </w:div>
    <w:div w:id="1458448341">
      <w:bodyDiv w:val="1"/>
      <w:marLeft w:val="0"/>
      <w:marRight w:val="0"/>
      <w:marTop w:val="0"/>
      <w:marBottom w:val="0"/>
      <w:divBdr>
        <w:top w:val="none" w:sz="0" w:space="0" w:color="auto"/>
        <w:left w:val="none" w:sz="0" w:space="0" w:color="auto"/>
        <w:bottom w:val="none" w:sz="0" w:space="0" w:color="auto"/>
        <w:right w:val="none" w:sz="0" w:space="0" w:color="auto"/>
      </w:divBdr>
    </w:div>
    <w:div w:id="1482700310">
      <w:bodyDiv w:val="1"/>
      <w:marLeft w:val="0"/>
      <w:marRight w:val="0"/>
      <w:marTop w:val="0"/>
      <w:marBottom w:val="0"/>
      <w:divBdr>
        <w:top w:val="none" w:sz="0" w:space="0" w:color="auto"/>
        <w:left w:val="none" w:sz="0" w:space="0" w:color="auto"/>
        <w:bottom w:val="none" w:sz="0" w:space="0" w:color="auto"/>
        <w:right w:val="none" w:sz="0" w:space="0" w:color="auto"/>
      </w:divBdr>
    </w:div>
    <w:div w:id="1598900204">
      <w:bodyDiv w:val="1"/>
      <w:marLeft w:val="0"/>
      <w:marRight w:val="0"/>
      <w:marTop w:val="0"/>
      <w:marBottom w:val="0"/>
      <w:divBdr>
        <w:top w:val="none" w:sz="0" w:space="0" w:color="auto"/>
        <w:left w:val="none" w:sz="0" w:space="0" w:color="auto"/>
        <w:bottom w:val="none" w:sz="0" w:space="0" w:color="auto"/>
        <w:right w:val="none" w:sz="0" w:space="0" w:color="auto"/>
      </w:divBdr>
    </w:div>
    <w:div w:id="1611431506">
      <w:bodyDiv w:val="1"/>
      <w:marLeft w:val="0"/>
      <w:marRight w:val="0"/>
      <w:marTop w:val="0"/>
      <w:marBottom w:val="0"/>
      <w:divBdr>
        <w:top w:val="none" w:sz="0" w:space="0" w:color="auto"/>
        <w:left w:val="none" w:sz="0" w:space="0" w:color="auto"/>
        <w:bottom w:val="none" w:sz="0" w:space="0" w:color="auto"/>
        <w:right w:val="none" w:sz="0" w:space="0" w:color="auto"/>
      </w:divBdr>
    </w:div>
    <w:div w:id="1621062961">
      <w:bodyDiv w:val="1"/>
      <w:marLeft w:val="0"/>
      <w:marRight w:val="0"/>
      <w:marTop w:val="0"/>
      <w:marBottom w:val="0"/>
      <w:divBdr>
        <w:top w:val="none" w:sz="0" w:space="0" w:color="auto"/>
        <w:left w:val="none" w:sz="0" w:space="0" w:color="auto"/>
        <w:bottom w:val="none" w:sz="0" w:space="0" w:color="auto"/>
        <w:right w:val="none" w:sz="0" w:space="0" w:color="auto"/>
      </w:divBdr>
    </w:div>
    <w:div w:id="1759525175">
      <w:bodyDiv w:val="1"/>
      <w:marLeft w:val="0"/>
      <w:marRight w:val="0"/>
      <w:marTop w:val="0"/>
      <w:marBottom w:val="0"/>
      <w:divBdr>
        <w:top w:val="none" w:sz="0" w:space="0" w:color="auto"/>
        <w:left w:val="none" w:sz="0" w:space="0" w:color="auto"/>
        <w:bottom w:val="none" w:sz="0" w:space="0" w:color="auto"/>
        <w:right w:val="none" w:sz="0" w:space="0" w:color="auto"/>
      </w:divBdr>
    </w:div>
    <w:div w:id="1810591171">
      <w:bodyDiv w:val="1"/>
      <w:marLeft w:val="0"/>
      <w:marRight w:val="0"/>
      <w:marTop w:val="0"/>
      <w:marBottom w:val="0"/>
      <w:divBdr>
        <w:top w:val="none" w:sz="0" w:space="0" w:color="auto"/>
        <w:left w:val="none" w:sz="0" w:space="0" w:color="auto"/>
        <w:bottom w:val="none" w:sz="0" w:space="0" w:color="auto"/>
        <w:right w:val="none" w:sz="0" w:space="0" w:color="auto"/>
      </w:divBdr>
    </w:div>
    <w:div w:id="1820925926">
      <w:bodyDiv w:val="1"/>
      <w:marLeft w:val="0"/>
      <w:marRight w:val="0"/>
      <w:marTop w:val="0"/>
      <w:marBottom w:val="0"/>
      <w:divBdr>
        <w:top w:val="none" w:sz="0" w:space="0" w:color="auto"/>
        <w:left w:val="none" w:sz="0" w:space="0" w:color="auto"/>
        <w:bottom w:val="none" w:sz="0" w:space="0" w:color="auto"/>
        <w:right w:val="none" w:sz="0" w:space="0" w:color="auto"/>
      </w:divBdr>
    </w:div>
    <w:div w:id="1825507976">
      <w:bodyDiv w:val="1"/>
      <w:marLeft w:val="0"/>
      <w:marRight w:val="0"/>
      <w:marTop w:val="0"/>
      <w:marBottom w:val="0"/>
      <w:divBdr>
        <w:top w:val="none" w:sz="0" w:space="0" w:color="auto"/>
        <w:left w:val="none" w:sz="0" w:space="0" w:color="auto"/>
        <w:bottom w:val="none" w:sz="0" w:space="0" w:color="auto"/>
        <w:right w:val="none" w:sz="0" w:space="0" w:color="auto"/>
      </w:divBdr>
    </w:div>
    <w:div w:id="1846045957">
      <w:bodyDiv w:val="1"/>
      <w:marLeft w:val="0"/>
      <w:marRight w:val="0"/>
      <w:marTop w:val="0"/>
      <w:marBottom w:val="0"/>
      <w:divBdr>
        <w:top w:val="none" w:sz="0" w:space="0" w:color="auto"/>
        <w:left w:val="none" w:sz="0" w:space="0" w:color="auto"/>
        <w:bottom w:val="none" w:sz="0" w:space="0" w:color="auto"/>
        <w:right w:val="none" w:sz="0" w:space="0" w:color="auto"/>
      </w:divBdr>
    </w:div>
    <w:div w:id="1864632910">
      <w:bodyDiv w:val="1"/>
      <w:marLeft w:val="0"/>
      <w:marRight w:val="0"/>
      <w:marTop w:val="0"/>
      <w:marBottom w:val="0"/>
      <w:divBdr>
        <w:top w:val="none" w:sz="0" w:space="0" w:color="auto"/>
        <w:left w:val="none" w:sz="0" w:space="0" w:color="auto"/>
        <w:bottom w:val="none" w:sz="0" w:space="0" w:color="auto"/>
        <w:right w:val="none" w:sz="0" w:space="0" w:color="auto"/>
      </w:divBdr>
    </w:div>
    <w:div w:id="1889028060">
      <w:bodyDiv w:val="1"/>
      <w:marLeft w:val="0"/>
      <w:marRight w:val="0"/>
      <w:marTop w:val="0"/>
      <w:marBottom w:val="0"/>
      <w:divBdr>
        <w:top w:val="none" w:sz="0" w:space="0" w:color="auto"/>
        <w:left w:val="none" w:sz="0" w:space="0" w:color="auto"/>
        <w:bottom w:val="none" w:sz="0" w:space="0" w:color="auto"/>
        <w:right w:val="none" w:sz="0" w:space="0" w:color="auto"/>
      </w:divBdr>
    </w:div>
    <w:div w:id="1901818263">
      <w:bodyDiv w:val="1"/>
      <w:marLeft w:val="0"/>
      <w:marRight w:val="0"/>
      <w:marTop w:val="0"/>
      <w:marBottom w:val="0"/>
      <w:divBdr>
        <w:top w:val="none" w:sz="0" w:space="0" w:color="auto"/>
        <w:left w:val="none" w:sz="0" w:space="0" w:color="auto"/>
        <w:bottom w:val="none" w:sz="0" w:space="0" w:color="auto"/>
        <w:right w:val="none" w:sz="0" w:space="0" w:color="auto"/>
      </w:divBdr>
    </w:div>
    <w:div w:id="1964530177">
      <w:bodyDiv w:val="1"/>
      <w:marLeft w:val="0"/>
      <w:marRight w:val="0"/>
      <w:marTop w:val="0"/>
      <w:marBottom w:val="0"/>
      <w:divBdr>
        <w:top w:val="none" w:sz="0" w:space="0" w:color="auto"/>
        <w:left w:val="none" w:sz="0" w:space="0" w:color="auto"/>
        <w:bottom w:val="none" w:sz="0" w:space="0" w:color="auto"/>
        <w:right w:val="none" w:sz="0" w:space="0" w:color="auto"/>
      </w:divBdr>
    </w:div>
    <w:div w:id="1965236017">
      <w:bodyDiv w:val="1"/>
      <w:marLeft w:val="0"/>
      <w:marRight w:val="0"/>
      <w:marTop w:val="0"/>
      <w:marBottom w:val="0"/>
      <w:divBdr>
        <w:top w:val="none" w:sz="0" w:space="0" w:color="auto"/>
        <w:left w:val="none" w:sz="0" w:space="0" w:color="auto"/>
        <w:bottom w:val="none" w:sz="0" w:space="0" w:color="auto"/>
        <w:right w:val="none" w:sz="0" w:space="0" w:color="auto"/>
      </w:divBdr>
    </w:div>
    <w:div w:id="1971858980">
      <w:bodyDiv w:val="1"/>
      <w:marLeft w:val="0"/>
      <w:marRight w:val="0"/>
      <w:marTop w:val="0"/>
      <w:marBottom w:val="0"/>
      <w:divBdr>
        <w:top w:val="none" w:sz="0" w:space="0" w:color="auto"/>
        <w:left w:val="none" w:sz="0" w:space="0" w:color="auto"/>
        <w:bottom w:val="none" w:sz="0" w:space="0" w:color="auto"/>
        <w:right w:val="none" w:sz="0" w:space="0" w:color="auto"/>
      </w:divBdr>
    </w:div>
    <w:div w:id="2106683784">
      <w:bodyDiv w:val="1"/>
      <w:marLeft w:val="0"/>
      <w:marRight w:val="0"/>
      <w:marTop w:val="0"/>
      <w:marBottom w:val="0"/>
      <w:divBdr>
        <w:top w:val="none" w:sz="0" w:space="0" w:color="auto"/>
        <w:left w:val="none" w:sz="0" w:space="0" w:color="auto"/>
        <w:bottom w:val="none" w:sz="0" w:space="0" w:color="auto"/>
        <w:right w:val="none" w:sz="0" w:space="0" w:color="auto"/>
      </w:divBdr>
    </w:div>
    <w:div w:id="211851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Annual Income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2-F093-4EE5-9DA5-FD9E96E64B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093-4EE5-9DA5-FD9E96E64B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E4-4751-BF71-0870A596D71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E4-4751-BF71-0870A596D712}"/>
              </c:ext>
            </c:extLst>
          </c:dPt>
          <c:dLbls>
            <c:dLbl>
              <c:idx val="0"/>
              <c:spPr>
                <a:solidFill>
                  <a:schemeClr val="accent1"/>
                </a:solidFill>
                <a:ln w="12700" cap="flat" cmpd="sng" algn="ctr">
                  <a:solidFill>
                    <a:schemeClr val="accent1">
                      <a:shade val="15000"/>
                    </a:schemeClr>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2-F093-4EE5-9DA5-FD9E96E64BF6}"/>
                </c:ext>
              </c:extLst>
            </c:dLbl>
            <c:dLbl>
              <c:idx val="1"/>
              <c:spPr>
                <a:solidFill>
                  <a:schemeClr val="accent2"/>
                </a:solidFill>
                <a:ln w="19050" cap="flat" cmpd="sng" algn="ctr">
                  <a:solidFill>
                    <a:schemeClr val="lt1"/>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extLst>
                <c:ext xmlns:c16="http://schemas.microsoft.com/office/drawing/2014/chart" uri="{C3380CC4-5D6E-409C-BE32-E72D297353CC}">
                  <c16:uniqueId val="{00000001-F093-4EE5-9DA5-FD9E96E64BF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Low</c:v>
                </c:pt>
                <c:pt idx="1">
                  <c:v>Medium</c:v>
                </c:pt>
                <c:pt idx="2">
                  <c:v>High</c:v>
                </c:pt>
              </c:strCache>
            </c:strRef>
          </c:cat>
          <c:val>
            <c:numRef>
              <c:f>Sheet1!$B$2:$B$5</c:f>
              <c:numCache>
                <c:formatCode>General</c:formatCode>
                <c:ptCount val="4"/>
                <c:pt idx="0">
                  <c:v>14.17</c:v>
                </c:pt>
                <c:pt idx="1">
                  <c:v>48.33</c:v>
                </c:pt>
                <c:pt idx="2">
                  <c:v>1.4</c:v>
                </c:pt>
              </c:numCache>
            </c:numRef>
          </c:val>
          <c:extLst>
            <c:ext xmlns:c16="http://schemas.microsoft.com/office/drawing/2014/chart" uri="{C3380CC4-5D6E-409C-BE32-E72D297353CC}">
              <c16:uniqueId val="{00000000-F093-4EE5-9DA5-FD9E96E64BF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Low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Sheet1!$B$2:$B$5</c:f>
              <c:numCache>
                <c:formatCode>General</c:formatCode>
                <c:ptCount val="4"/>
                <c:pt idx="0">
                  <c:v>44.16</c:v>
                </c:pt>
                <c:pt idx="1">
                  <c:v>48.33</c:v>
                </c:pt>
                <c:pt idx="2">
                  <c:v>39.17</c:v>
                </c:pt>
              </c:numCache>
            </c:numRef>
          </c:val>
          <c:extLst>
            <c:ext xmlns:c16="http://schemas.microsoft.com/office/drawing/2014/chart" uri="{C3380CC4-5D6E-409C-BE32-E72D297353CC}">
              <c16:uniqueId val="{00000000-ABA3-42FC-BA1A-0F19B4528A94}"/>
            </c:ext>
          </c:extLst>
        </c:ser>
        <c:ser>
          <c:idx val="1"/>
          <c:order val="1"/>
          <c:tx>
            <c:strRef>
              <c:f>Sheet1!$C$1</c:f>
              <c:strCache>
                <c:ptCount val="1"/>
                <c:pt idx="0">
                  <c:v>Medium</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Sheet1!$C$2:$C$5</c:f>
              <c:numCache>
                <c:formatCode>General</c:formatCode>
                <c:ptCount val="4"/>
                <c:pt idx="0">
                  <c:v>49.17</c:v>
                </c:pt>
                <c:pt idx="1">
                  <c:v>49.17</c:v>
                </c:pt>
                <c:pt idx="2">
                  <c:v>50.83</c:v>
                </c:pt>
              </c:numCache>
            </c:numRef>
          </c:val>
          <c:extLst>
            <c:ext xmlns:c16="http://schemas.microsoft.com/office/drawing/2014/chart" uri="{C3380CC4-5D6E-409C-BE32-E72D297353CC}">
              <c16:uniqueId val="{00000001-ABA3-42FC-BA1A-0F19B4528A94}"/>
            </c:ext>
          </c:extLst>
        </c:ser>
        <c:ser>
          <c:idx val="2"/>
          <c:order val="2"/>
          <c:tx>
            <c:strRef>
              <c:f>Sheet1!$D$1</c:f>
              <c:strCache>
                <c:ptCount val="1"/>
                <c:pt idx="0">
                  <c:v>High</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Communication material possession</c:v>
                </c:pt>
                <c:pt idx="1">
                  <c:v>Mass media exposure</c:v>
                </c:pt>
                <c:pt idx="2">
                  <c:v>Extension Participation</c:v>
                </c:pt>
              </c:strCache>
            </c:strRef>
          </c:cat>
          <c:val>
            <c:numRef>
              <c:f>Sheet1!$D$2:$D$5</c:f>
              <c:numCache>
                <c:formatCode>General</c:formatCode>
                <c:ptCount val="4"/>
                <c:pt idx="0">
                  <c:v>6.67</c:v>
                </c:pt>
                <c:pt idx="1">
                  <c:v>2.5</c:v>
                </c:pt>
                <c:pt idx="2">
                  <c:v>12</c:v>
                </c:pt>
              </c:numCache>
            </c:numRef>
          </c:val>
          <c:extLst>
            <c:ext xmlns:c16="http://schemas.microsoft.com/office/drawing/2014/chart" uri="{C3380CC4-5D6E-409C-BE32-E72D297353CC}">
              <c16:uniqueId val="{00000002-ABA3-42FC-BA1A-0F19B4528A94}"/>
            </c:ext>
          </c:extLst>
        </c:ser>
        <c:dLbls>
          <c:dLblPos val="outEnd"/>
          <c:showLegendKey val="0"/>
          <c:showVal val="1"/>
          <c:showCatName val="0"/>
          <c:showSerName val="0"/>
          <c:showPercent val="0"/>
          <c:showBubbleSize val="0"/>
        </c:dLbls>
        <c:gapWidth val="100"/>
        <c:overlap val="-24"/>
        <c:axId val="1010215696"/>
        <c:axId val="1010216176"/>
      </c:barChart>
      <c:catAx>
        <c:axId val="10102156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Communication Profile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216176"/>
        <c:crosses val="autoZero"/>
        <c:auto val="1"/>
        <c:lblAlgn val="ctr"/>
        <c:lblOffset val="100"/>
        <c:noMultiLvlLbl val="0"/>
      </c:catAx>
      <c:valAx>
        <c:axId val="101021617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01021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30133-A5EC-4331-8FB8-6AF9FA9B4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5279</TotalTime>
  <Pages>7</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 Bahubalendra</dc:creator>
  <cp:keywords/>
  <dc:description/>
  <cp:lastModifiedBy>SDI 1084</cp:lastModifiedBy>
  <cp:revision>229</cp:revision>
  <dcterms:created xsi:type="dcterms:W3CDTF">2025-03-05T04:44:00Z</dcterms:created>
  <dcterms:modified xsi:type="dcterms:W3CDTF">2025-03-12T10:41:00Z</dcterms:modified>
</cp:coreProperties>
</file>