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8B121" w14:textId="77777777" w:rsidR="00FA117D" w:rsidRPr="0039048D" w:rsidRDefault="00FA117D" w:rsidP="0034265C">
      <w:pPr>
        <w:jc w:val="both"/>
        <w:rPr>
          <w:rFonts w:ascii="Times New Roman" w:hAnsi="Times New Roman" w:cs="Times New Roman"/>
          <w:b/>
          <w:bCs/>
          <w:sz w:val="24"/>
          <w:szCs w:val="24"/>
        </w:rPr>
      </w:pPr>
      <w:r w:rsidRPr="0039048D">
        <w:rPr>
          <w:rFonts w:ascii="Times New Roman" w:hAnsi="Times New Roman" w:cs="Times New Roman"/>
          <w:b/>
          <w:bCs/>
          <w:sz w:val="24"/>
          <w:szCs w:val="24"/>
        </w:rPr>
        <w:t xml:space="preserve">Azadirachta indica Natural active ingredients to cure Mpox: </w:t>
      </w:r>
      <w:r w:rsidRPr="0039048D">
        <w:rPr>
          <w:rFonts w:ascii="Times New Roman" w:hAnsi="Times New Roman" w:cs="Times New Roman"/>
          <w:b/>
          <w:bCs/>
          <w:i/>
          <w:sz w:val="24"/>
          <w:szCs w:val="24"/>
        </w:rPr>
        <w:t>In silico</w:t>
      </w:r>
      <w:r w:rsidRPr="0039048D">
        <w:rPr>
          <w:rFonts w:ascii="Times New Roman" w:hAnsi="Times New Roman" w:cs="Times New Roman"/>
          <w:b/>
          <w:bCs/>
          <w:sz w:val="24"/>
          <w:szCs w:val="24"/>
        </w:rPr>
        <w:t xml:space="preserve"> Targeting VP39</w:t>
      </w:r>
    </w:p>
    <w:p w14:paraId="01AFFB62" w14:textId="77777777" w:rsidR="00771E89" w:rsidRPr="0039048D" w:rsidRDefault="00771E89" w:rsidP="00771E89">
      <w:pPr>
        <w:spacing w:after="0"/>
        <w:jc w:val="both"/>
        <w:rPr>
          <w:rFonts w:ascii="Times New Roman" w:hAnsi="Times New Roman" w:cs="Times New Roman"/>
          <w:b/>
          <w:bCs/>
          <w:sz w:val="24"/>
          <w:szCs w:val="24"/>
        </w:rPr>
      </w:pPr>
    </w:p>
    <w:p w14:paraId="5B2C0007" w14:textId="77777777" w:rsidR="0082633E" w:rsidRPr="006D3493" w:rsidRDefault="0082633E" w:rsidP="0082633E">
      <w:pPr>
        <w:spacing w:after="0" w:line="240" w:lineRule="auto"/>
        <w:rPr>
          <w:sz w:val="26"/>
          <w:szCs w:val="24"/>
        </w:rPr>
      </w:pPr>
    </w:p>
    <w:p w14:paraId="4209FFB5" w14:textId="77777777" w:rsidR="0082633E" w:rsidRDefault="0082633E" w:rsidP="0034265C">
      <w:pPr>
        <w:jc w:val="both"/>
        <w:rPr>
          <w:rFonts w:ascii="Times New Roman" w:hAnsi="Times New Roman" w:cs="Times New Roman"/>
          <w:b/>
          <w:bCs/>
          <w:sz w:val="24"/>
          <w:szCs w:val="24"/>
        </w:rPr>
      </w:pPr>
    </w:p>
    <w:p w14:paraId="14A3A390" w14:textId="77777777" w:rsidR="00680195" w:rsidRPr="0039048D" w:rsidRDefault="00680195" w:rsidP="0034265C">
      <w:pPr>
        <w:jc w:val="both"/>
        <w:rPr>
          <w:rFonts w:ascii="Times New Roman" w:hAnsi="Times New Roman" w:cs="Times New Roman"/>
          <w:b/>
          <w:bCs/>
          <w:sz w:val="24"/>
          <w:szCs w:val="24"/>
        </w:rPr>
      </w:pPr>
      <w:r w:rsidRPr="0039048D">
        <w:rPr>
          <w:rFonts w:ascii="Times New Roman" w:hAnsi="Times New Roman" w:cs="Times New Roman"/>
          <w:b/>
          <w:bCs/>
          <w:sz w:val="24"/>
          <w:szCs w:val="24"/>
        </w:rPr>
        <w:t xml:space="preserve">Abstract </w:t>
      </w:r>
    </w:p>
    <w:p w14:paraId="64C698DD" w14:textId="77777777" w:rsidR="008C6D9D" w:rsidRPr="0039048D" w:rsidRDefault="003F60C8" w:rsidP="00176B47">
      <w:pPr>
        <w:spacing w:line="360" w:lineRule="auto"/>
        <w:jc w:val="both"/>
        <w:rPr>
          <w:rFonts w:ascii="Times New Roman" w:hAnsi="Times New Roman" w:cs="Times New Roman"/>
          <w:b/>
          <w:bCs/>
          <w:sz w:val="24"/>
          <w:szCs w:val="24"/>
        </w:rPr>
      </w:pPr>
      <w:r w:rsidRPr="0039048D">
        <w:rPr>
          <w:rFonts w:ascii="Times New Roman" w:hAnsi="Times New Roman" w:cs="Times New Roman"/>
          <w:sz w:val="24"/>
          <w:szCs w:val="24"/>
        </w:rPr>
        <w:t>Mpox, a viral disease from Central and West Africa, could trigger a pandemic. It has attracted worldwide attention. It is a double-stranded DNA virus from the Poxviridae family. It replicates in the cytoplasm. It must encode its RNA processing machinery, including the capping machinery. Targeting the viral enzyme 2'-O-methyltransferase VP39 could help. It is essential for Mpox replication. This offers a promising avenue for antiviral therapies. In this study, neem compounds were tested as VP39 inhibitors using molecular docking. They are bioactive. Stigmasterol is a strong candidate. It has a binding affinity of -7.98 kcal/mol and interacts with key residues, such as Asn273. Several neem-derived compounds showed binding strengths that suggest potential for drug development. The study shows how important it is to know the viral mechanisms. It also shows the potential of natural products as therapeutics. We used advanced bioinformatics tools, SeamDock and AutoDock, to analyze the protein-ligand interaction. They confirmed VP39 as an important target for new Mpox therapies. The results help in the search for effective antiviral drugs. They highlight neem as a potential source of natural Mpox treatments.</w:t>
      </w:r>
    </w:p>
    <w:p w14:paraId="31E3300D" w14:textId="77777777" w:rsidR="00680195" w:rsidRPr="0039048D" w:rsidRDefault="00771E89" w:rsidP="0034265C">
      <w:pPr>
        <w:jc w:val="both"/>
        <w:rPr>
          <w:rFonts w:ascii="Times New Roman" w:hAnsi="Times New Roman" w:cs="Times New Roman"/>
          <w:b/>
          <w:bCs/>
          <w:sz w:val="24"/>
          <w:szCs w:val="24"/>
        </w:rPr>
      </w:pPr>
      <w:r w:rsidRPr="0039048D">
        <w:rPr>
          <w:rFonts w:ascii="Times New Roman" w:hAnsi="Times New Roman" w:cs="Times New Roman"/>
          <w:b/>
          <w:bCs/>
          <w:sz w:val="24"/>
          <w:szCs w:val="24"/>
        </w:rPr>
        <w:t xml:space="preserve">Keywords: </w:t>
      </w:r>
      <w:r w:rsidRPr="0039048D">
        <w:rPr>
          <w:rFonts w:ascii="Times New Roman" w:hAnsi="Times New Roman" w:cs="Times New Roman"/>
          <w:sz w:val="24"/>
          <w:szCs w:val="24"/>
        </w:rPr>
        <w:t xml:space="preserve">2'-O-methyltransferase VP39, Mpox, SeamDock, </w:t>
      </w:r>
      <w:r w:rsidRPr="0039048D">
        <w:rPr>
          <w:rFonts w:ascii="Times New Roman" w:hAnsi="Times New Roman" w:cs="Times New Roman"/>
          <w:i/>
          <w:sz w:val="24"/>
          <w:szCs w:val="24"/>
        </w:rPr>
        <w:t>Azadirachta indica</w:t>
      </w:r>
      <w:r w:rsidRPr="0039048D">
        <w:rPr>
          <w:rFonts w:ascii="Times New Roman" w:hAnsi="Times New Roman" w:cs="Times New Roman"/>
          <w:sz w:val="24"/>
          <w:szCs w:val="24"/>
        </w:rPr>
        <w:t xml:space="preserve">, </w:t>
      </w:r>
      <w:r w:rsidRPr="0039048D">
        <w:rPr>
          <w:rFonts w:ascii="Times New Roman" w:eastAsia="Times New Roman" w:hAnsi="Times New Roman" w:cs="Times New Roman"/>
          <w:sz w:val="24"/>
          <w:szCs w:val="24"/>
          <w:lang w:val="en-US"/>
        </w:rPr>
        <w:t>AutoDock</w:t>
      </w:r>
    </w:p>
    <w:p w14:paraId="73B72D6C" w14:textId="77777777" w:rsidR="00176B47" w:rsidRPr="0039048D" w:rsidRDefault="00176B47" w:rsidP="0034265C">
      <w:pPr>
        <w:jc w:val="both"/>
        <w:rPr>
          <w:rFonts w:ascii="Times New Roman" w:hAnsi="Times New Roman" w:cs="Times New Roman"/>
          <w:b/>
          <w:bCs/>
          <w:sz w:val="24"/>
          <w:szCs w:val="24"/>
        </w:rPr>
      </w:pPr>
    </w:p>
    <w:p w14:paraId="55568C1B" w14:textId="77777777" w:rsidR="00176B47" w:rsidRPr="0039048D" w:rsidRDefault="00176B47" w:rsidP="0034265C">
      <w:pPr>
        <w:jc w:val="both"/>
        <w:rPr>
          <w:rFonts w:ascii="Times New Roman" w:hAnsi="Times New Roman" w:cs="Times New Roman"/>
          <w:b/>
          <w:bCs/>
          <w:sz w:val="24"/>
          <w:szCs w:val="24"/>
        </w:rPr>
      </w:pPr>
    </w:p>
    <w:p w14:paraId="7449DC05" w14:textId="77777777" w:rsidR="00AB0EFC" w:rsidRPr="0039048D" w:rsidRDefault="00AB0EFC" w:rsidP="0034265C">
      <w:pPr>
        <w:jc w:val="both"/>
        <w:rPr>
          <w:rFonts w:ascii="Times New Roman" w:hAnsi="Times New Roman" w:cs="Times New Roman"/>
          <w:b/>
          <w:bCs/>
          <w:sz w:val="24"/>
          <w:szCs w:val="24"/>
        </w:rPr>
      </w:pPr>
      <w:r w:rsidRPr="0039048D">
        <w:rPr>
          <w:rFonts w:ascii="Times New Roman" w:hAnsi="Times New Roman" w:cs="Times New Roman"/>
          <w:b/>
          <w:bCs/>
          <w:sz w:val="24"/>
          <w:szCs w:val="24"/>
        </w:rPr>
        <w:t>Introduction</w:t>
      </w:r>
    </w:p>
    <w:p w14:paraId="508AA174" w14:textId="77777777" w:rsidR="003A203F" w:rsidRPr="0039048D" w:rsidRDefault="003A203F" w:rsidP="00610BEE">
      <w:pPr>
        <w:spacing w:line="360" w:lineRule="auto"/>
        <w:jc w:val="both"/>
        <w:rPr>
          <w:rStyle w:val="word"/>
          <w:rFonts w:ascii="Times New Roman" w:eastAsia="Times New Roman" w:hAnsi="Times New Roman" w:cs="Times New Roman"/>
          <w:sz w:val="24"/>
          <w:szCs w:val="24"/>
          <w:bdr w:val="none" w:sz="0" w:space="0" w:color="auto" w:frame="1"/>
          <w:lang w:val="en-US"/>
        </w:rPr>
      </w:pPr>
      <w:r w:rsidRPr="0039048D">
        <w:rPr>
          <w:rStyle w:val="word"/>
          <w:rFonts w:ascii="Times New Roman" w:eastAsia="Times New Roman" w:hAnsi="Times New Roman" w:cs="Times New Roman"/>
          <w:sz w:val="24"/>
          <w:szCs w:val="24"/>
          <w:bdr w:val="none" w:sz="0" w:space="0" w:color="auto" w:frame="1"/>
          <w:lang w:val="en-US"/>
        </w:rPr>
        <w:t xml:space="preserve">The Mpox virus is native to Central and West Africa, where it can be transmitted from animals to humans. There is growing concern around the world about the potential of the virus to trigger a pandemic. The Democratic Republic of Congo reported the first documented case in 1970 </w:t>
      </w:r>
      <w:r w:rsidR="007F1691">
        <w:rPr>
          <w:rStyle w:val="word"/>
          <w:rFonts w:ascii="Times New Roman" w:eastAsia="Times New Roman" w:hAnsi="Times New Roman" w:cs="Times New Roman"/>
          <w:sz w:val="24"/>
          <w:szCs w:val="24"/>
          <w:bdr w:val="none" w:sz="0" w:space="0" w:color="auto" w:frame="1"/>
          <w:lang w:val="en-US"/>
        </w:rPr>
        <w:t>[1]</w:t>
      </w:r>
      <w:r w:rsidRPr="0039048D">
        <w:rPr>
          <w:rStyle w:val="word"/>
          <w:rFonts w:ascii="Times New Roman" w:eastAsia="Times New Roman" w:hAnsi="Times New Roman" w:cs="Times New Roman"/>
          <w:sz w:val="24"/>
          <w:szCs w:val="24"/>
          <w:bdr w:val="none" w:sz="0" w:space="0" w:color="auto" w:frame="1"/>
          <w:lang w:val="en-US"/>
        </w:rPr>
        <w:t xml:space="preserve">. The exact number of cases remains unclear. The signs of Mpox are similar to those of a milder form of smallpox </w:t>
      </w:r>
      <w:r w:rsidR="007F1691">
        <w:rPr>
          <w:rStyle w:val="word"/>
          <w:rFonts w:ascii="Times New Roman" w:eastAsia="Times New Roman" w:hAnsi="Times New Roman" w:cs="Times New Roman"/>
          <w:sz w:val="24"/>
          <w:szCs w:val="24"/>
          <w:bdr w:val="none" w:sz="0" w:space="0" w:color="auto" w:frame="1"/>
          <w:lang w:val="en-US"/>
        </w:rPr>
        <w:t>[2]</w:t>
      </w:r>
      <w:r w:rsidRPr="0039048D">
        <w:rPr>
          <w:rStyle w:val="word"/>
          <w:rFonts w:ascii="Times New Roman" w:eastAsia="Times New Roman" w:hAnsi="Times New Roman" w:cs="Times New Roman"/>
          <w:sz w:val="24"/>
          <w:szCs w:val="24"/>
          <w:bdr w:val="none" w:sz="0" w:space="0" w:color="auto" w:frame="1"/>
          <w:lang w:val="en-US"/>
        </w:rPr>
        <w:t xml:space="preserve">. Cases of Mpox have been detected in more than 100 countries, raising concerns of a possible pandemic. Despite these fears, the mortality rate of the latest outbreak is significantly lower than originally thought. Although Mpox remains a public health concern, the lower mortality rate suggests that the disease may not be as dangerous as previously thought. This positive development suggests that efforts to control the spread of the disease are effective </w:t>
      </w:r>
      <w:r w:rsidR="00295715">
        <w:rPr>
          <w:rStyle w:val="word"/>
          <w:rFonts w:ascii="Times New Roman" w:eastAsia="Times New Roman" w:hAnsi="Times New Roman" w:cs="Times New Roman"/>
          <w:sz w:val="24"/>
          <w:szCs w:val="24"/>
          <w:bdr w:val="none" w:sz="0" w:space="0" w:color="auto" w:frame="1"/>
          <w:lang w:val="en-US"/>
        </w:rPr>
        <w:t>[3]</w:t>
      </w:r>
      <w:r w:rsidRPr="0039048D">
        <w:rPr>
          <w:rStyle w:val="word"/>
          <w:rFonts w:ascii="Times New Roman" w:eastAsia="Times New Roman" w:hAnsi="Times New Roman" w:cs="Times New Roman"/>
          <w:sz w:val="24"/>
          <w:szCs w:val="24"/>
          <w:bdr w:val="none" w:sz="0" w:space="0" w:color="auto" w:frame="1"/>
          <w:lang w:val="en-US"/>
        </w:rPr>
        <w:t xml:space="preserve">. However, vigilance remains crucial to prevent further transmission </w:t>
      </w:r>
      <w:r w:rsidRPr="0039048D">
        <w:rPr>
          <w:rStyle w:val="word"/>
          <w:rFonts w:ascii="Times New Roman" w:eastAsia="Times New Roman" w:hAnsi="Times New Roman" w:cs="Times New Roman"/>
          <w:sz w:val="24"/>
          <w:szCs w:val="24"/>
          <w:bdr w:val="none" w:sz="0" w:space="0" w:color="auto" w:frame="1"/>
          <w:lang w:val="en-US"/>
        </w:rPr>
        <w:lastRenderedPageBreak/>
        <w:t xml:space="preserve">and mitigate the impact on public health. To date, there are two main variants of the virus: the Central African strain (Clade-I) and the West African strain (Clade-II) are identified around the world </w:t>
      </w:r>
      <w:r w:rsidR="00295715">
        <w:rPr>
          <w:rStyle w:val="word"/>
          <w:rFonts w:ascii="Times New Roman" w:eastAsia="Times New Roman" w:hAnsi="Times New Roman" w:cs="Times New Roman"/>
          <w:sz w:val="24"/>
          <w:szCs w:val="24"/>
          <w:bdr w:val="none" w:sz="0" w:space="0" w:color="auto" w:frame="1"/>
          <w:lang w:val="en-US"/>
        </w:rPr>
        <w:t>[4,5]</w:t>
      </w:r>
      <w:r w:rsidRPr="0039048D">
        <w:rPr>
          <w:rStyle w:val="word"/>
          <w:rFonts w:ascii="Times New Roman" w:eastAsia="Times New Roman" w:hAnsi="Times New Roman" w:cs="Times New Roman"/>
          <w:sz w:val="24"/>
          <w:szCs w:val="24"/>
          <w:bdr w:val="none" w:sz="0" w:space="0" w:color="auto" w:frame="1"/>
          <w:lang w:val="en-US"/>
        </w:rPr>
        <w:t>. Clade-I spreads more easily, leads to more severe disease</w:t>
      </w:r>
      <w:r w:rsidR="00295715">
        <w:rPr>
          <w:rStyle w:val="word"/>
          <w:rFonts w:ascii="Times New Roman" w:eastAsia="Times New Roman" w:hAnsi="Times New Roman" w:cs="Times New Roman"/>
          <w:sz w:val="24"/>
          <w:szCs w:val="24"/>
          <w:bdr w:val="none" w:sz="0" w:space="0" w:color="auto" w:frame="1"/>
          <w:lang w:val="en-US"/>
        </w:rPr>
        <w:t>,</w:t>
      </w:r>
      <w:r w:rsidRPr="0039048D">
        <w:rPr>
          <w:rStyle w:val="word"/>
          <w:rFonts w:ascii="Times New Roman" w:eastAsia="Times New Roman" w:hAnsi="Times New Roman" w:cs="Times New Roman"/>
          <w:sz w:val="24"/>
          <w:szCs w:val="24"/>
          <w:bdr w:val="none" w:sz="0" w:space="0" w:color="auto" w:frame="1"/>
          <w:lang w:val="en-US"/>
        </w:rPr>
        <w:t xml:space="preserve"> and has a mortality rate of up to 11%. Clade-II has a mortality rate of less than 1%. It does not appear to be transmissible from person to person. The current global epidemic has heightened concerns that Clade II could spread and develop into a pandemic. This shows how important it is to promote knowledge and monitor the situation. The World Health Organization (WHO) has declared a public health emergency of international concern (PHEIC) in response to the global Mpox outbreak. This declaration, made under the International Health Regulations (2005), underscores the serious nature of the outbreak and the need for coordinated international action to prevent further spread and mitigate the impact </w:t>
      </w:r>
      <w:r w:rsidR="00295715">
        <w:rPr>
          <w:rStyle w:val="word"/>
          <w:rFonts w:ascii="Times New Roman" w:eastAsia="Times New Roman" w:hAnsi="Times New Roman" w:cs="Times New Roman"/>
          <w:sz w:val="24"/>
          <w:szCs w:val="24"/>
          <w:bdr w:val="none" w:sz="0" w:space="0" w:color="auto" w:frame="1"/>
          <w:lang w:val="en-US"/>
        </w:rPr>
        <w:t>[6]</w:t>
      </w:r>
      <w:r w:rsidRPr="0039048D">
        <w:rPr>
          <w:rStyle w:val="word"/>
          <w:rFonts w:ascii="Times New Roman" w:eastAsia="Times New Roman" w:hAnsi="Times New Roman" w:cs="Times New Roman"/>
          <w:sz w:val="24"/>
          <w:szCs w:val="24"/>
          <w:bdr w:val="none" w:sz="0" w:space="0" w:color="auto" w:frame="1"/>
          <w:lang w:val="en-US"/>
        </w:rPr>
        <w:t>. Recently, the Clade II variant of the current outbreak has also been observed in India. The Indian government has prepared for it and taken all important measures to control the spread of the virus infection</w:t>
      </w:r>
      <w:r w:rsidR="00295715">
        <w:rPr>
          <w:rStyle w:val="word"/>
          <w:rFonts w:ascii="Times New Roman" w:eastAsia="Times New Roman" w:hAnsi="Times New Roman" w:cs="Times New Roman"/>
          <w:sz w:val="24"/>
          <w:szCs w:val="24"/>
          <w:bdr w:val="none" w:sz="0" w:space="0" w:color="auto" w:frame="1"/>
          <w:lang w:val="en-US"/>
        </w:rPr>
        <w:t xml:space="preserve"> [7,8]</w:t>
      </w:r>
      <w:r w:rsidRPr="0039048D">
        <w:rPr>
          <w:rStyle w:val="word"/>
          <w:rFonts w:ascii="Times New Roman" w:eastAsia="Times New Roman" w:hAnsi="Times New Roman" w:cs="Times New Roman"/>
          <w:sz w:val="24"/>
          <w:szCs w:val="24"/>
          <w:bdr w:val="none" w:sz="0" w:space="0" w:color="auto" w:frame="1"/>
          <w:lang w:val="en-US"/>
        </w:rPr>
        <w:t xml:space="preserve">. As Li et al. (2023) stated, the mortality rate for this disease was between 2% and 7% in the past. But the viral disease is spreading rapidly. Global health organizations such as the WHO and the CDC have become increasingly concerned with it in recent years </w:t>
      </w:r>
      <w:r w:rsidR="00295715">
        <w:rPr>
          <w:rStyle w:val="word"/>
          <w:rFonts w:ascii="Times New Roman" w:eastAsia="Times New Roman" w:hAnsi="Times New Roman" w:cs="Times New Roman"/>
          <w:sz w:val="24"/>
          <w:szCs w:val="24"/>
          <w:bdr w:val="none" w:sz="0" w:space="0" w:color="auto" w:frame="1"/>
          <w:lang w:val="en-US"/>
        </w:rPr>
        <w:t>[</w:t>
      </w:r>
      <w:r w:rsidR="00C97F09">
        <w:rPr>
          <w:rStyle w:val="word"/>
          <w:rFonts w:ascii="Times New Roman" w:eastAsia="Times New Roman" w:hAnsi="Times New Roman" w:cs="Times New Roman"/>
          <w:sz w:val="24"/>
          <w:szCs w:val="24"/>
          <w:bdr w:val="none" w:sz="0" w:space="0" w:color="auto" w:frame="1"/>
          <w:lang w:val="en-US"/>
        </w:rPr>
        <w:t>9</w:t>
      </w:r>
      <w:r w:rsidR="009056CA">
        <w:rPr>
          <w:rStyle w:val="word"/>
          <w:rFonts w:ascii="Times New Roman" w:eastAsia="Times New Roman" w:hAnsi="Times New Roman" w:cs="Times New Roman"/>
          <w:sz w:val="24"/>
          <w:szCs w:val="24"/>
          <w:bdr w:val="none" w:sz="0" w:space="0" w:color="auto" w:frame="1"/>
          <w:lang w:val="en-US"/>
        </w:rPr>
        <w:t>,10</w:t>
      </w:r>
      <w:r w:rsidR="00295715">
        <w:rPr>
          <w:rStyle w:val="word"/>
          <w:rFonts w:ascii="Times New Roman" w:eastAsia="Times New Roman" w:hAnsi="Times New Roman" w:cs="Times New Roman"/>
          <w:sz w:val="24"/>
          <w:szCs w:val="24"/>
          <w:bdr w:val="none" w:sz="0" w:space="0" w:color="auto" w:frame="1"/>
          <w:lang w:val="en-US"/>
        </w:rPr>
        <w:t>]</w:t>
      </w:r>
      <w:r w:rsidRPr="0039048D">
        <w:rPr>
          <w:rStyle w:val="word"/>
          <w:rFonts w:ascii="Times New Roman" w:eastAsia="Times New Roman" w:hAnsi="Times New Roman" w:cs="Times New Roman"/>
          <w:sz w:val="24"/>
          <w:szCs w:val="24"/>
          <w:bdr w:val="none" w:sz="0" w:space="0" w:color="auto" w:frame="1"/>
          <w:lang w:val="en-US"/>
        </w:rPr>
        <w:t>.</w:t>
      </w:r>
    </w:p>
    <w:p w14:paraId="7160BFDF" w14:textId="77777777" w:rsidR="00C45E83" w:rsidRPr="0039048D" w:rsidRDefault="00C45E83" w:rsidP="00610BEE">
      <w:pPr>
        <w:spacing w:line="360" w:lineRule="auto"/>
        <w:jc w:val="both"/>
        <w:rPr>
          <w:rStyle w:val="word"/>
          <w:rFonts w:ascii="Times New Roman" w:eastAsia="Times New Roman" w:hAnsi="Times New Roman" w:cs="Times New Roman"/>
          <w:sz w:val="24"/>
          <w:szCs w:val="24"/>
          <w:bdr w:val="none" w:sz="0" w:space="0" w:color="auto" w:frame="1"/>
          <w:lang w:val="en-US"/>
        </w:rPr>
      </w:pPr>
      <w:r w:rsidRPr="0039048D">
        <w:rPr>
          <w:rStyle w:val="word"/>
          <w:rFonts w:ascii="Times New Roman" w:eastAsia="Times New Roman" w:hAnsi="Times New Roman" w:cs="Times New Roman"/>
          <w:sz w:val="24"/>
          <w:szCs w:val="24"/>
          <w:bdr w:val="none" w:sz="0" w:space="0" w:color="auto" w:frame="1"/>
          <w:lang w:val="en-US"/>
        </w:rPr>
        <w:t>The 2'-O-methyltransferase VP39 (2'o-MT-VP39) of the Mpox virus is an important enzyme. It methylates the 2'-hydroxyl group of the ribose in the viral mRNA. In this way, it alters the viral copying process. This methylation process stabilizes the viral genes. It contributes to their proper folding and ensures efficient translation in the host cells. VP39 mimics the host's mRNA</w:t>
      </w:r>
      <w:r w:rsidR="00BE4CD9">
        <w:rPr>
          <w:rStyle w:val="word"/>
          <w:rFonts w:ascii="Times New Roman" w:eastAsia="Times New Roman" w:hAnsi="Times New Roman" w:cs="Times New Roman"/>
          <w:sz w:val="24"/>
          <w:szCs w:val="24"/>
          <w:bdr w:val="none" w:sz="0" w:space="0" w:color="auto" w:frame="1"/>
          <w:lang w:val="en-US"/>
        </w:rPr>
        <w:t xml:space="preserve"> [1</w:t>
      </w:r>
      <w:r w:rsidR="009056CA">
        <w:rPr>
          <w:rStyle w:val="word"/>
          <w:rFonts w:ascii="Times New Roman" w:eastAsia="Times New Roman" w:hAnsi="Times New Roman" w:cs="Times New Roman"/>
          <w:sz w:val="24"/>
          <w:szCs w:val="24"/>
          <w:bdr w:val="none" w:sz="0" w:space="0" w:color="auto" w:frame="1"/>
          <w:lang w:val="en-US"/>
        </w:rPr>
        <w:t>1</w:t>
      </w:r>
      <w:r w:rsidR="00BE4CD9">
        <w:rPr>
          <w:rStyle w:val="word"/>
          <w:rFonts w:ascii="Times New Roman" w:eastAsia="Times New Roman" w:hAnsi="Times New Roman" w:cs="Times New Roman"/>
          <w:sz w:val="24"/>
          <w:szCs w:val="24"/>
          <w:bdr w:val="none" w:sz="0" w:space="0" w:color="auto" w:frame="1"/>
          <w:lang w:val="en-US"/>
        </w:rPr>
        <w:t>]</w:t>
      </w:r>
      <w:r w:rsidRPr="0039048D">
        <w:rPr>
          <w:rStyle w:val="word"/>
          <w:rFonts w:ascii="Times New Roman" w:eastAsia="Times New Roman" w:hAnsi="Times New Roman" w:cs="Times New Roman"/>
          <w:sz w:val="24"/>
          <w:szCs w:val="24"/>
          <w:bdr w:val="none" w:sz="0" w:space="0" w:color="auto" w:frame="1"/>
          <w:lang w:val="en-US"/>
        </w:rPr>
        <w:t xml:space="preserve">. This helps the virus to evade the host's immune </w:t>
      </w:r>
      <w:proofErr w:type="gramStart"/>
      <w:r w:rsidRPr="00800709">
        <w:rPr>
          <w:rStyle w:val="word"/>
          <w:rFonts w:ascii="Times New Roman" w:eastAsia="Times New Roman" w:hAnsi="Times New Roman" w:cs="Times New Roman"/>
          <w:sz w:val="24"/>
          <w:szCs w:val="24"/>
          <w:bdr w:val="none" w:sz="0" w:space="0" w:color="auto" w:frame="1"/>
          <w:lang w:val="en-US"/>
        </w:rPr>
        <w:t>defenses</w:t>
      </w:r>
      <w:r w:rsidR="00BE4CD9" w:rsidRPr="00800709">
        <w:rPr>
          <w:rStyle w:val="word"/>
          <w:rFonts w:ascii="Times New Roman" w:eastAsia="Times New Roman" w:hAnsi="Times New Roman" w:cs="Times New Roman"/>
          <w:sz w:val="24"/>
          <w:szCs w:val="24"/>
          <w:bdr w:val="none" w:sz="0" w:space="0" w:color="auto" w:frame="1"/>
          <w:lang w:val="en-US"/>
        </w:rPr>
        <w:t>[</w:t>
      </w:r>
      <w:proofErr w:type="gramEnd"/>
      <w:r w:rsidR="00BE4CD9" w:rsidRPr="00800709">
        <w:rPr>
          <w:rStyle w:val="word"/>
          <w:rFonts w:ascii="Times New Roman" w:eastAsia="Times New Roman" w:hAnsi="Times New Roman" w:cs="Times New Roman"/>
          <w:sz w:val="24"/>
          <w:szCs w:val="24"/>
          <w:bdr w:val="none" w:sz="0" w:space="0" w:color="auto" w:frame="1"/>
          <w:lang w:val="en-US"/>
        </w:rPr>
        <w:t>1</w:t>
      </w:r>
      <w:r w:rsidR="009056CA" w:rsidRPr="00800709">
        <w:rPr>
          <w:rStyle w:val="word"/>
          <w:rFonts w:ascii="Times New Roman" w:eastAsia="Times New Roman" w:hAnsi="Times New Roman" w:cs="Times New Roman"/>
          <w:sz w:val="24"/>
          <w:szCs w:val="24"/>
          <w:bdr w:val="none" w:sz="0" w:space="0" w:color="auto" w:frame="1"/>
          <w:lang w:val="en-US"/>
        </w:rPr>
        <w:t>2</w:t>
      </w:r>
      <w:r w:rsidR="00E73F6C" w:rsidRPr="00800709">
        <w:rPr>
          <w:rStyle w:val="word"/>
          <w:rFonts w:ascii="Times New Roman" w:eastAsia="Times New Roman" w:hAnsi="Times New Roman" w:cs="Times New Roman"/>
          <w:sz w:val="24"/>
          <w:szCs w:val="24"/>
          <w:bdr w:val="none" w:sz="0" w:space="0" w:color="auto" w:frame="1"/>
          <w:lang w:val="en-US"/>
        </w:rPr>
        <w:t>,13</w:t>
      </w:r>
      <w:r w:rsidR="00BE4CD9" w:rsidRPr="00800709">
        <w:rPr>
          <w:rStyle w:val="word"/>
          <w:rFonts w:ascii="Times New Roman" w:eastAsia="Times New Roman" w:hAnsi="Times New Roman" w:cs="Times New Roman"/>
          <w:sz w:val="24"/>
          <w:szCs w:val="24"/>
          <w:bdr w:val="none" w:sz="0" w:space="0" w:color="auto" w:frame="1"/>
          <w:lang w:val="en-US"/>
        </w:rPr>
        <w:t>]</w:t>
      </w:r>
      <w:r w:rsidRPr="00800709">
        <w:rPr>
          <w:rStyle w:val="word"/>
          <w:rFonts w:ascii="Times New Roman" w:eastAsia="Times New Roman" w:hAnsi="Times New Roman" w:cs="Times New Roman"/>
          <w:sz w:val="24"/>
          <w:szCs w:val="24"/>
          <w:bdr w:val="none" w:sz="0" w:space="0" w:color="auto" w:frame="1"/>
          <w:lang w:val="en-US"/>
        </w:rPr>
        <w:t>. It enables viral replication and survival. Inhibition of VP39 could interrupt this process. This would</w:t>
      </w:r>
      <w:r w:rsidRPr="0039048D">
        <w:rPr>
          <w:rStyle w:val="word"/>
          <w:rFonts w:ascii="Times New Roman" w:eastAsia="Times New Roman" w:hAnsi="Times New Roman" w:cs="Times New Roman"/>
          <w:sz w:val="24"/>
          <w:szCs w:val="24"/>
          <w:bdr w:val="none" w:sz="0" w:space="0" w:color="auto" w:frame="1"/>
          <w:lang w:val="en-US"/>
        </w:rPr>
        <w:t xml:space="preserve"> impair viral replication and reduce disease symptoms. Thus, VP39 is a promising target for antiviral drugs against Mpox</w:t>
      </w:r>
      <w:r w:rsidR="00716A2B">
        <w:rPr>
          <w:rStyle w:val="word"/>
          <w:rFonts w:ascii="Times New Roman" w:eastAsia="Times New Roman" w:hAnsi="Times New Roman" w:cs="Times New Roman"/>
          <w:sz w:val="24"/>
          <w:szCs w:val="24"/>
          <w:bdr w:val="none" w:sz="0" w:space="0" w:color="auto" w:frame="1"/>
          <w:lang w:val="en-US"/>
        </w:rPr>
        <w:t xml:space="preserve"> [</w:t>
      </w:r>
      <w:r w:rsidR="00716A2B" w:rsidRPr="00E27712">
        <w:rPr>
          <w:rStyle w:val="word"/>
          <w:rFonts w:ascii="Times New Roman" w:eastAsia="Times New Roman" w:hAnsi="Times New Roman" w:cs="Times New Roman"/>
          <w:sz w:val="24"/>
          <w:szCs w:val="24"/>
          <w:bdr w:val="none" w:sz="0" w:space="0" w:color="auto" w:frame="1"/>
          <w:lang w:val="en-US"/>
        </w:rPr>
        <w:t>1</w:t>
      </w:r>
      <w:r w:rsidR="00E27712" w:rsidRPr="00E27712">
        <w:rPr>
          <w:rStyle w:val="word"/>
          <w:rFonts w:ascii="Times New Roman" w:eastAsia="Times New Roman" w:hAnsi="Times New Roman" w:cs="Times New Roman"/>
          <w:sz w:val="24"/>
          <w:szCs w:val="24"/>
          <w:bdr w:val="none" w:sz="0" w:space="0" w:color="auto" w:frame="1"/>
          <w:lang w:val="en-US"/>
        </w:rPr>
        <w:t>4</w:t>
      </w:r>
      <w:r w:rsidR="00716A2B" w:rsidRPr="00E27712">
        <w:rPr>
          <w:rStyle w:val="word"/>
          <w:rFonts w:ascii="Times New Roman" w:eastAsia="Times New Roman" w:hAnsi="Times New Roman" w:cs="Times New Roman"/>
          <w:sz w:val="24"/>
          <w:szCs w:val="24"/>
          <w:bdr w:val="none" w:sz="0" w:space="0" w:color="auto" w:frame="1"/>
          <w:lang w:val="en-US"/>
        </w:rPr>
        <w:t>]</w:t>
      </w:r>
      <w:r w:rsidRPr="0039048D">
        <w:rPr>
          <w:rStyle w:val="word"/>
          <w:rFonts w:ascii="Times New Roman" w:eastAsia="Times New Roman" w:hAnsi="Times New Roman" w:cs="Times New Roman"/>
          <w:sz w:val="24"/>
          <w:szCs w:val="24"/>
          <w:bdr w:val="none" w:sz="0" w:space="0" w:color="auto" w:frame="1"/>
          <w:lang w:val="en-US"/>
        </w:rPr>
        <w:t xml:space="preserve">. The scientists want to understand how VP39 causes methylation. This could lead to new drugs that block its activity. These therapies could stop the viral progression of Mpox. To this end, they prevent the enzyme from stabilizing the viral genome. They offer a new way to fight this infectious </w:t>
      </w:r>
      <w:r w:rsidRPr="004276A9">
        <w:rPr>
          <w:rStyle w:val="word"/>
          <w:rFonts w:ascii="Times New Roman" w:eastAsia="Times New Roman" w:hAnsi="Times New Roman" w:cs="Times New Roman"/>
          <w:sz w:val="24"/>
          <w:szCs w:val="24"/>
          <w:bdr w:val="none" w:sz="0" w:space="0" w:color="auto" w:frame="1"/>
          <w:lang w:val="en-US"/>
        </w:rPr>
        <w:t xml:space="preserve">disease </w:t>
      </w:r>
      <w:r w:rsidR="00BE4CD9" w:rsidRPr="004276A9">
        <w:rPr>
          <w:rStyle w:val="word"/>
          <w:rFonts w:ascii="Times New Roman" w:eastAsia="Times New Roman" w:hAnsi="Times New Roman" w:cs="Times New Roman"/>
          <w:sz w:val="24"/>
          <w:szCs w:val="24"/>
          <w:bdr w:val="none" w:sz="0" w:space="0" w:color="auto" w:frame="1"/>
          <w:lang w:val="en-US"/>
        </w:rPr>
        <w:t>[1</w:t>
      </w:r>
      <w:r w:rsidR="00E27712" w:rsidRPr="004276A9">
        <w:rPr>
          <w:rStyle w:val="word"/>
          <w:rFonts w:ascii="Times New Roman" w:eastAsia="Times New Roman" w:hAnsi="Times New Roman" w:cs="Times New Roman"/>
          <w:sz w:val="24"/>
          <w:szCs w:val="24"/>
          <w:bdr w:val="none" w:sz="0" w:space="0" w:color="auto" w:frame="1"/>
          <w:lang w:val="en-US"/>
        </w:rPr>
        <w:t>5</w:t>
      </w:r>
      <w:r w:rsidR="004276A9" w:rsidRPr="004276A9">
        <w:rPr>
          <w:rStyle w:val="word"/>
          <w:rFonts w:ascii="Times New Roman" w:eastAsia="Times New Roman" w:hAnsi="Times New Roman" w:cs="Times New Roman"/>
          <w:sz w:val="24"/>
          <w:szCs w:val="24"/>
          <w:bdr w:val="none" w:sz="0" w:space="0" w:color="auto" w:frame="1"/>
          <w:lang w:val="en-US"/>
        </w:rPr>
        <w:t>-17</w:t>
      </w:r>
      <w:r w:rsidR="00BE4CD9" w:rsidRPr="004276A9">
        <w:rPr>
          <w:rStyle w:val="word"/>
          <w:rFonts w:ascii="Times New Roman" w:eastAsia="Times New Roman" w:hAnsi="Times New Roman" w:cs="Times New Roman"/>
          <w:sz w:val="24"/>
          <w:szCs w:val="24"/>
          <w:bdr w:val="none" w:sz="0" w:space="0" w:color="auto" w:frame="1"/>
          <w:lang w:val="en-US"/>
        </w:rPr>
        <w:t>]</w:t>
      </w:r>
      <w:r w:rsidRPr="0039048D">
        <w:rPr>
          <w:rStyle w:val="word"/>
          <w:rFonts w:ascii="Times New Roman" w:eastAsia="Times New Roman" w:hAnsi="Times New Roman" w:cs="Times New Roman"/>
          <w:sz w:val="24"/>
          <w:szCs w:val="24"/>
          <w:bdr w:val="none" w:sz="0" w:space="0" w:color="auto" w:frame="1"/>
          <w:lang w:val="en-US"/>
        </w:rPr>
        <w:t>.</w:t>
      </w:r>
    </w:p>
    <w:p w14:paraId="27ADBAF6" w14:textId="77777777" w:rsidR="00E97EAA" w:rsidRPr="0039048D" w:rsidRDefault="003B614E" w:rsidP="00064FB9">
      <w:pPr>
        <w:spacing w:line="360" w:lineRule="auto"/>
        <w:jc w:val="both"/>
        <w:rPr>
          <w:rFonts w:ascii="Times New Roman" w:eastAsia="Times New Roman" w:hAnsi="Times New Roman" w:cs="Times New Roman"/>
          <w:sz w:val="24"/>
          <w:szCs w:val="24"/>
          <w:lang w:val="en-US"/>
        </w:rPr>
      </w:pPr>
      <w:r w:rsidRPr="0039048D">
        <w:rPr>
          <w:rFonts w:ascii="Times New Roman" w:eastAsia="Times New Roman" w:hAnsi="Times New Roman" w:cs="Times New Roman"/>
          <w:i/>
          <w:iCs/>
          <w:sz w:val="24"/>
          <w:szCs w:val="24"/>
          <w:lang w:val="en-US"/>
        </w:rPr>
        <w:t>Azadirachta indica</w:t>
      </w:r>
      <w:r w:rsidRPr="0039048D">
        <w:rPr>
          <w:rFonts w:ascii="Times New Roman" w:eastAsia="Times New Roman" w:hAnsi="Times New Roman" w:cs="Times New Roman"/>
          <w:sz w:val="24"/>
          <w:szCs w:val="24"/>
          <w:lang w:val="en-US"/>
        </w:rPr>
        <w:t xml:space="preserve">, or neem, is a medicinal plant. Researchers know it for its antiviral properties. Neem is rich in bioactive compounds such as azadirachtin and nimbin. Researchers have studied it for its potential to treat various viral infections. Its compounds have an antiviral effect via several mechanisms. They are therefore a versatile remedy against viral </w:t>
      </w:r>
      <w:proofErr w:type="gramStart"/>
      <w:r w:rsidRPr="0039048D">
        <w:rPr>
          <w:rFonts w:ascii="Times New Roman" w:eastAsia="Times New Roman" w:hAnsi="Times New Roman" w:cs="Times New Roman"/>
          <w:sz w:val="24"/>
          <w:szCs w:val="24"/>
          <w:lang w:val="en-US"/>
        </w:rPr>
        <w:t>diseases</w:t>
      </w:r>
      <w:r w:rsidR="00BE4CD9">
        <w:rPr>
          <w:rFonts w:ascii="Times New Roman" w:eastAsia="Times New Roman" w:hAnsi="Times New Roman" w:cs="Times New Roman"/>
          <w:sz w:val="24"/>
          <w:szCs w:val="24"/>
          <w:lang w:val="en-US"/>
        </w:rPr>
        <w:t>[</w:t>
      </w:r>
      <w:proofErr w:type="gramEnd"/>
      <w:r w:rsidR="00BE4CD9">
        <w:rPr>
          <w:rFonts w:ascii="Times New Roman" w:eastAsia="Times New Roman" w:hAnsi="Times New Roman" w:cs="Times New Roman"/>
          <w:sz w:val="24"/>
          <w:szCs w:val="24"/>
          <w:lang w:val="en-US"/>
        </w:rPr>
        <w:t>1</w:t>
      </w:r>
      <w:r w:rsidR="004276A9">
        <w:rPr>
          <w:rFonts w:ascii="Times New Roman" w:eastAsia="Times New Roman" w:hAnsi="Times New Roman" w:cs="Times New Roman"/>
          <w:sz w:val="24"/>
          <w:szCs w:val="24"/>
          <w:lang w:val="en-US"/>
        </w:rPr>
        <w:t>8</w:t>
      </w:r>
      <w:r w:rsidR="00BE4CD9">
        <w:rPr>
          <w:rFonts w:ascii="Times New Roman" w:eastAsia="Times New Roman" w:hAnsi="Times New Roman" w:cs="Times New Roman"/>
          <w:sz w:val="24"/>
          <w:szCs w:val="24"/>
          <w:lang w:val="en-US"/>
        </w:rPr>
        <w:t>]</w:t>
      </w:r>
      <w:r w:rsidRPr="0039048D">
        <w:rPr>
          <w:rFonts w:ascii="Times New Roman" w:eastAsia="Times New Roman" w:hAnsi="Times New Roman" w:cs="Times New Roman"/>
          <w:sz w:val="24"/>
          <w:szCs w:val="24"/>
          <w:lang w:val="en-US"/>
        </w:rPr>
        <w:t xml:space="preserve">. Research shows that </w:t>
      </w:r>
      <w:r w:rsidR="009206B8" w:rsidRPr="0039048D">
        <w:rPr>
          <w:rFonts w:ascii="Times New Roman" w:eastAsia="Times New Roman" w:hAnsi="Times New Roman" w:cs="Times New Roman"/>
          <w:sz w:val="24"/>
          <w:szCs w:val="24"/>
          <w:lang w:val="en-US"/>
        </w:rPr>
        <w:t>the extract of the plant</w:t>
      </w:r>
      <w:r w:rsidRPr="0039048D">
        <w:rPr>
          <w:rFonts w:ascii="Times New Roman" w:eastAsia="Times New Roman" w:hAnsi="Times New Roman" w:cs="Times New Roman"/>
          <w:sz w:val="24"/>
          <w:szCs w:val="24"/>
          <w:lang w:val="en-US"/>
        </w:rPr>
        <w:t xml:space="preserve"> is</w:t>
      </w:r>
      <w:r w:rsidR="009206B8" w:rsidRPr="0039048D">
        <w:rPr>
          <w:rFonts w:ascii="Times New Roman" w:eastAsia="Times New Roman" w:hAnsi="Times New Roman" w:cs="Times New Roman"/>
          <w:sz w:val="24"/>
          <w:szCs w:val="24"/>
          <w:lang w:val="en-US"/>
        </w:rPr>
        <w:t xml:space="preserve"> highly</w:t>
      </w:r>
      <w:r w:rsidRPr="0039048D">
        <w:rPr>
          <w:rFonts w:ascii="Times New Roman" w:eastAsia="Times New Roman" w:hAnsi="Times New Roman" w:cs="Times New Roman"/>
          <w:sz w:val="24"/>
          <w:szCs w:val="24"/>
          <w:lang w:val="en-US"/>
        </w:rPr>
        <w:t xml:space="preserve"> effective against HSV, HIV, the dengue virus</w:t>
      </w:r>
      <w:r w:rsidR="00176B47" w:rsidRPr="0039048D">
        <w:rPr>
          <w:rFonts w:ascii="Times New Roman" w:eastAsia="Times New Roman" w:hAnsi="Times New Roman" w:cs="Times New Roman"/>
          <w:sz w:val="24"/>
          <w:szCs w:val="24"/>
          <w:lang w:val="en-US"/>
        </w:rPr>
        <w:t>,</w:t>
      </w:r>
      <w:r w:rsidRPr="0039048D">
        <w:rPr>
          <w:rFonts w:ascii="Times New Roman" w:eastAsia="Times New Roman" w:hAnsi="Times New Roman" w:cs="Times New Roman"/>
          <w:sz w:val="24"/>
          <w:szCs w:val="24"/>
          <w:lang w:val="en-US"/>
        </w:rPr>
        <w:t xml:space="preserve"> and hepatitis B. For example, quercetin, a flavonoid in neem, inhibits viral replication. </w:t>
      </w:r>
      <w:r w:rsidRPr="0039048D">
        <w:rPr>
          <w:rFonts w:ascii="Times New Roman" w:eastAsia="Times New Roman" w:hAnsi="Times New Roman" w:cs="Times New Roman"/>
          <w:sz w:val="24"/>
          <w:szCs w:val="24"/>
          <w:lang w:val="en-US"/>
        </w:rPr>
        <w:lastRenderedPageBreak/>
        <w:t xml:space="preserve">It does this by impairing the synthesis of viral </w:t>
      </w:r>
      <w:proofErr w:type="gramStart"/>
      <w:r w:rsidRPr="0039048D">
        <w:rPr>
          <w:rFonts w:ascii="Times New Roman" w:eastAsia="Times New Roman" w:hAnsi="Times New Roman" w:cs="Times New Roman"/>
          <w:sz w:val="24"/>
          <w:szCs w:val="24"/>
          <w:lang w:val="en-US"/>
        </w:rPr>
        <w:t>proteins</w:t>
      </w:r>
      <w:r w:rsidR="00BE4CD9">
        <w:rPr>
          <w:rFonts w:ascii="Times New Roman" w:eastAsia="Times New Roman" w:hAnsi="Times New Roman" w:cs="Times New Roman"/>
          <w:sz w:val="24"/>
          <w:szCs w:val="24"/>
          <w:lang w:val="en-US"/>
        </w:rPr>
        <w:t>[</w:t>
      </w:r>
      <w:proofErr w:type="gramEnd"/>
      <w:r w:rsidR="00BE4CD9">
        <w:rPr>
          <w:rFonts w:ascii="Times New Roman" w:eastAsia="Times New Roman" w:hAnsi="Times New Roman" w:cs="Times New Roman"/>
          <w:sz w:val="24"/>
          <w:szCs w:val="24"/>
          <w:lang w:val="en-US"/>
        </w:rPr>
        <w:t>1</w:t>
      </w:r>
      <w:r w:rsidR="004276A9">
        <w:rPr>
          <w:rFonts w:ascii="Times New Roman" w:eastAsia="Times New Roman" w:hAnsi="Times New Roman" w:cs="Times New Roman"/>
          <w:sz w:val="24"/>
          <w:szCs w:val="24"/>
          <w:lang w:val="en-US"/>
        </w:rPr>
        <w:t>9</w:t>
      </w:r>
      <w:r w:rsidR="00BE4CD9">
        <w:rPr>
          <w:rFonts w:ascii="Times New Roman" w:eastAsia="Times New Roman" w:hAnsi="Times New Roman" w:cs="Times New Roman"/>
          <w:sz w:val="24"/>
          <w:szCs w:val="24"/>
          <w:lang w:val="en-US"/>
        </w:rPr>
        <w:t>]</w:t>
      </w:r>
      <w:r w:rsidRPr="0039048D">
        <w:rPr>
          <w:rFonts w:ascii="Times New Roman" w:eastAsia="Times New Roman" w:hAnsi="Times New Roman" w:cs="Times New Roman"/>
          <w:sz w:val="24"/>
          <w:szCs w:val="24"/>
          <w:lang w:val="en-US"/>
        </w:rPr>
        <w:t xml:space="preserve">. Gedunin and azadirachtin strengthen the immune system. They help the host fight viral infections. Neem extracts can prevent viruses from entering the host cells. This disrupts the early stages of the infection. Neem can inhibit viral replication and enhance the immune response. It therefore offers a promising natural approach </w:t>
      </w:r>
      <w:r w:rsidR="00176B47" w:rsidRPr="0039048D">
        <w:rPr>
          <w:rFonts w:ascii="Times New Roman" w:eastAsia="Times New Roman" w:hAnsi="Times New Roman" w:cs="Times New Roman"/>
          <w:sz w:val="24"/>
          <w:szCs w:val="24"/>
          <w:lang w:val="en-US"/>
        </w:rPr>
        <w:t>to</w:t>
      </w:r>
      <w:r w:rsidRPr="0039048D">
        <w:rPr>
          <w:rFonts w:ascii="Times New Roman" w:eastAsia="Times New Roman" w:hAnsi="Times New Roman" w:cs="Times New Roman"/>
          <w:sz w:val="24"/>
          <w:szCs w:val="24"/>
          <w:lang w:val="en-US"/>
        </w:rPr>
        <w:t xml:space="preserve"> antiviral </w:t>
      </w:r>
      <w:proofErr w:type="gramStart"/>
      <w:r w:rsidRPr="0039048D">
        <w:rPr>
          <w:rFonts w:ascii="Times New Roman" w:eastAsia="Times New Roman" w:hAnsi="Times New Roman" w:cs="Times New Roman"/>
          <w:sz w:val="24"/>
          <w:szCs w:val="24"/>
          <w:lang w:val="en-US"/>
        </w:rPr>
        <w:t>therapies</w:t>
      </w:r>
      <w:r w:rsidR="00BE4CD9">
        <w:rPr>
          <w:rFonts w:ascii="Times New Roman" w:eastAsia="Times New Roman" w:hAnsi="Times New Roman" w:cs="Times New Roman"/>
          <w:sz w:val="24"/>
          <w:szCs w:val="24"/>
          <w:lang w:val="en-US"/>
        </w:rPr>
        <w:t>[</w:t>
      </w:r>
      <w:proofErr w:type="gramEnd"/>
      <w:r w:rsidR="004276A9">
        <w:rPr>
          <w:rFonts w:ascii="Times New Roman" w:eastAsia="Times New Roman" w:hAnsi="Times New Roman" w:cs="Times New Roman"/>
          <w:sz w:val="24"/>
          <w:szCs w:val="24"/>
          <w:lang w:val="en-US"/>
        </w:rPr>
        <w:t>20</w:t>
      </w:r>
      <w:r w:rsidR="00BE4CD9">
        <w:rPr>
          <w:rFonts w:ascii="Times New Roman" w:eastAsia="Times New Roman" w:hAnsi="Times New Roman" w:cs="Times New Roman"/>
          <w:sz w:val="24"/>
          <w:szCs w:val="24"/>
          <w:lang w:val="en-US"/>
        </w:rPr>
        <w:t>]</w:t>
      </w:r>
      <w:r w:rsidRPr="0039048D">
        <w:rPr>
          <w:rFonts w:ascii="Times New Roman" w:eastAsia="Times New Roman" w:hAnsi="Times New Roman" w:cs="Times New Roman"/>
          <w:sz w:val="24"/>
          <w:szCs w:val="24"/>
          <w:lang w:val="en-US"/>
        </w:rPr>
        <w:t xml:space="preserve">. This is important for combating new and re-emerging viral threats such as Mpox. Its broad antiviral activity and low toxicity make it a good candidate for </w:t>
      </w:r>
      <w:proofErr w:type="spellStart"/>
      <w:r w:rsidRPr="0039048D">
        <w:rPr>
          <w:rFonts w:ascii="Times New Roman" w:eastAsia="Times New Roman" w:hAnsi="Times New Roman" w:cs="Times New Roman"/>
          <w:sz w:val="24"/>
          <w:szCs w:val="24"/>
          <w:lang w:val="en-US"/>
        </w:rPr>
        <w:t>research.</w:t>
      </w:r>
      <w:r w:rsidR="00E97EAA" w:rsidRPr="0039048D">
        <w:rPr>
          <w:rFonts w:ascii="Times New Roman" w:eastAsia="Times New Roman" w:hAnsi="Times New Roman" w:cs="Times New Roman"/>
          <w:sz w:val="24"/>
          <w:szCs w:val="24"/>
          <w:lang w:val="en-US"/>
        </w:rPr>
        <w:t>Here</w:t>
      </w:r>
      <w:proofErr w:type="spellEnd"/>
      <w:r w:rsidR="00E97EAA" w:rsidRPr="0039048D">
        <w:rPr>
          <w:rFonts w:ascii="Times New Roman" w:eastAsia="Times New Roman" w:hAnsi="Times New Roman" w:cs="Times New Roman"/>
          <w:sz w:val="24"/>
          <w:szCs w:val="24"/>
          <w:lang w:val="en-US"/>
        </w:rPr>
        <w:t>, the study proposed using molecular docking to find new drugs for the Mpox virus. This method can rapidly assess compounds for their ability to bind to viral targets. It may reduce viral virulence.</w:t>
      </w:r>
    </w:p>
    <w:p w14:paraId="4EEA270A" w14:textId="77777777" w:rsidR="0034265C" w:rsidRPr="0039048D" w:rsidRDefault="0034265C" w:rsidP="00064FB9">
      <w:pPr>
        <w:spacing w:line="360" w:lineRule="auto"/>
        <w:jc w:val="both"/>
        <w:rPr>
          <w:rFonts w:ascii="Times New Roman" w:hAnsi="Times New Roman" w:cs="Times New Roman"/>
          <w:b/>
          <w:bCs/>
          <w:sz w:val="24"/>
          <w:szCs w:val="24"/>
        </w:rPr>
      </w:pPr>
      <w:r w:rsidRPr="0039048D">
        <w:rPr>
          <w:rFonts w:ascii="Times New Roman" w:hAnsi="Times New Roman" w:cs="Times New Roman"/>
          <w:b/>
          <w:bCs/>
          <w:sz w:val="24"/>
          <w:szCs w:val="24"/>
        </w:rPr>
        <w:t>Material and Methods</w:t>
      </w:r>
    </w:p>
    <w:p w14:paraId="07E882E7" w14:textId="77777777" w:rsidR="002A4330" w:rsidRPr="0039048D" w:rsidRDefault="0034265C" w:rsidP="00064FB9">
      <w:pPr>
        <w:spacing w:line="360" w:lineRule="auto"/>
        <w:jc w:val="both"/>
        <w:rPr>
          <w:rFonts w:ascii="Times New Roman" w:hAnsi="Times New Roman" w:cs="Times New Roman"/>
          <w:b/>
          <w:bCs/>
          <w:i/>
          <w:iCs/>
          <w:sz w:val="24"/>
          <w:szCs w:val="24"/>
        </w:rPr>
      </w:pPr>
      <w:r w:rsidRPr="0039048D">
        <w:rPr>
          <w:rFonts w:ascii="Times New Roman" w:hAnsi="Times New Roman" w:cs="Times New Roman"/>
          <w:b/>
          <w:bCs/>
          <w:i/>
          <w:iCs/>
          <w:sz w:val="24"/>
          <w:szCs w:val="24"/>
        </w:rPr>
        <w:t>PDB Retrieval</w:t>
      </w:r>
      <w:r w:rsidR="002A4330" w:rsidRPr="0039048D">
        <w:rPr>
          <w:rFonts w:ascii="Times New Roman" w:hAnsi="Times New Roman" w:cs="Times New Roman"/>
          <w:b/>
          <w:bCs/>
          <w:i/>
          <w:iCs/>
          <w:sz w:val="24"/>
          <w:szCs w:val="24"/>
        </w:rPr>
        <w:t>, Protein Structure</w:t>
      </w:r>
      <w:r w:rsidR="00176B47" w:rsidRPr="0039048D">
        <w:rPr>
          <w:rFonts w:ascii="Times New Roman" w:hAnsi="Times New Roman" w:cs="Times New Roman"/>
          <w:b/>
          <w:bCs/>
          <w:i/>
          <w:iCs/>
          <w:sz w:val="24"/>
          <w:szCs w:val="24"/>
        </w:rPr>
        <w:t>,</w:t>
      </w:r>
      <w:r w:rsidR="002A4330" w:rsidRPr="0039048D">
        <w:rPr>
          <w:rFonts w:ascii="Times New Roman" w:hAnsi="Times New Roman" w:cs="Times New Roman"/>
          <w:b/>
          <w:bCs/>
          <w:i/>
          <w:iCs/>
          <w:sz w:val="24"/>
          <w:szCs w:val="24"/>
        </w:rPr>
        <w:t xml:space="preserve"> and Ligand Validation </w:t>
      </w:r>
    </w:p>
    <w:p w14:paraId="7DF28A57" w14:textId="77777777" w:rsidR="00872E91" w:rsidRPr="0039048D" w:rsidRDefault="001A442B" w:rsidP="00064FB9">
      <w:pPr>
        <w:spacing w:line="360" w:lineRule="auto"/>
        <w:jc w:val="both"/>
        <w:rPr>
          <w:rFonts w:ascii="Times New Roman" w:hAnsi="Times New Roman" w:cs="Times New Roman"/>
          <w:sz w:val="24"/>
          <w:szCs w:val="24"/>
        </w:rPr>
      </w:pPr>
      <w:r w:rsidRPr="0039048D">
        <w:rPr>
          <w:rFonts w:ascii="Times New Roman" w:hAnsi="Times New Roman" w:cs="Times New Roman"/>
          <w:sz w:val="24"/>
          <w:szCs w:val="24"/>
        </w:rPr>
        <w:t xml:space="preserve">The 3D file 8B07.pdb shows the 2'-O-methyltransferase VP39 (2'o-MT-VP39) of Mpox. This viral protein supports the poly(A) polymerase in its work and has a small subunit. The RCSB is a global library of structural data on biological macromolecules. These were discovered using techniques like nuclear magnetic resonance (NMR). The RCSB has made this file available. Two chains, A and B, form the structure 8B07. We selected only chain A from the </w:t>
      </w:r>
      <w:r w:rsidRPr="00917FCE">
        <w:rPr>
          <w:rFonts w:ascii="Times New Roman" w:hAnsi="Times New Roman" w:cs="Times New Roman"/>
          <w:sz w:val="24"/>
          <w:szCs w:val="24"/>
        </w:rPr>
        <w:t>8B07 structure for further investigation</w:t>
      </w:r>
      <w:r w:rsidR="00C437CD" w:rsidRPr="00917FCE">
        <w:rPr>
          <w:rFonts w:ascii="Times New Roman" w:hAnsi="Times New Roman" w:cs="Times New Roman"/>
          <w:sz w:val="24"/>
          <w:szCs w:val="24"/>
        </w:rPr>
        <w:t xml:space="preserve"> </w:t>
      </w:r>
      <w:r w:rsidR="005F2DD7">
        <w:rPr>
          <w:rFonts w:ascii="Times New Roman" w:hAnsi="Times New Roman" w:cs="Times New Roman"/>
          <w:sz w:val="24"/>
          <w:szCs w:val="24"/>
        </w:rPr>
        <w:t>[15,21]</w:t>
      </w:r>
      <w:r w:rsidRPr="00917FCE">
        <w:rPr>
          <w:rFonts w:ascii="Times New Roman" w:hAnsi="Times New Roman" w:cs="Times New Roman"/>
          <w:sz w:val="24"/>
          <w:szCs w:val="24"/>
        </w:rPr>
        <w:t xml:space="preserve">. </w:t>
      </w:r>
      <w:r w:rsidR="00E25F1F" w:rsidRPr="00917FCE">
        <w:rPr>
          <w:rFonts w:ascii="Times New Roman" w:eastAsia="Times New Roman" w:hAnsi="Times New Roman" w:cs="Times New Roman"/>
          <w:sz w:val="24"/>
          <w:szCs w:val="24"/>
          <w:lang w:val="en-US"/>
        </w:rPr>
        <w:t>Analysis of the tertiary structure 2'o-MT-VP39 (8B07: chain A) showed high model quality</w:t>
      </w:r>
      <w:r w:rsidR="00917FCE" w:rsidRPr="00917FCE">
        <w:rPr>
          <w:rFonts w:ascii="Times New Roman" w:eastAsia="Times New Roman" w:hAnsi="Times New Roman" w:cs="Times New Roman"/>
          <w:sz w:val="24"/>
          <w:szCs w:val="24"/>
          <w:lang w:val="en-US"/>
        </w:rPr>
        <w:t xml:space="preserve"> [21]</w:t>
      </w:r>
      <w:r w:rsidR="00E25F1F" w:rsidRPr="00917FCE">
        <w:rPr>
          <w:rFonts w:ascii="Times New Roman" w:eastAsia="Times New Roman" w:hAnsi="Times New Roman" w:cs="Times New Roman"/>
          <w:sz w:val="24"/>
          <w:szCs w:val="24"/>
          <w:lang w:val="en-US"/>
        </w:rPr>
        <w:t xml:space="preserve">. An excellent ERRAT score supports its reliability. </w:t>
      </w:r>
      <w:r w:rsidRPr="00917FCE">
        <w:rPr>
          <w:rFonts w:ascii="Times New Roman" w:hAnsi="Times New Roman" w:cs="Times New Roman"/>
          <w:sz w:val="24"/>
          <w:szCs w:val="24"/>
        </w:rPr>
        <w:t>We used a tool, PROCHECK, to check the model's</w:t>
      </w:r>
      <w:r w:rsidRPr="0039048D">
        <w:rPr>
          <w:rFonts w:ascii="Times New Roman" w:hAnsi="Times New Roman" w:cs="Times New Roman"/>
          <w:sz w:val="24"/>
          <w:szCs w:val="24"/>
        </w:rPr>
        <w:t xml:space="preserve"> quality and stereochemical properties. This study, especially the Ramachandran plot, gave insights into the amino acid residues. It showed their distribution and location in the different structural </w:t>
      </w:r>
      <w:proofErr w:type="gramStart"/>
      <w:r w:rsidRPr="0039048D">
        <w:rPr>
          <w:rFonts w:ascii="Times New Roman" w:hAnsi="Times New Roman" w:cs="Times New Roman"/>
          <w:sz w:val="24"/>
          <w:szCs w:val="24"/>
        </w:rPr>
        <w:t>regions</w:t>
      </w:r>
      <w:r w:rsidR="00BE4CD9">
        <w:rPr>
          <w:rFonts w:ascii="Times New Roman" w:hAnsi="Times New Roman" w:cs="Times New Roman"/>
          <w:sz w:val="24"/>
          <w:szCs w:val="24"/>
        </w:rPr>
        <w:t>[</w:t>
      </w:r>
      <w:proofErr w:type="gramEnd"/>
      <w:r w:rsidR="00E27712">
        <w:rPr>
          <w:rFonts w:ascii="Times New Roman" w:hAnsi="Times New Roman" w:cs="Times New Roman"/>
          <w:sz w:val="24"/>
          <w:szCs w:val="24"/>
        </w:rPr>
        <w:t>2</w:t>
      </w:r>
      <w:r w:rsidR="00917FCE">
        <w:rPr>
          <w:rFonts w:ascii="Times New Roman" w:hAnsi="Times New Roman" w:cs="Times New Roman"/>
          <w:sz w:val="24"/>
          <w:szCs w:val="24"/>
        </w:rPr>
        <w:t>2</w:t>
      </w:r>
      <w:r w:rsidR="00733F3B">
        <w:rPr>
          <w:rFonts w:ascii="Times New Roman" w:hAnsi="Times New Roman" w:cs="Times New Roman"/>
          <w:sz w:val="24"/>
          <w:szCs w:val="24"/>
        </w:rPr>
        <w:t>,</w:t>
      </w:r>
      <w:r w:rsidR="00716A2B">
        <w:rPr>
          <w:rFonts w:ascii="Times New Roman" w:hAnsi="Times New Roman" w:cs="Times New Roman"/>
          <w:sz w:val="24"/>
          <w:szCs w:val="24"/>
        </w:rPr>
        <w:t>2</w:t>
      </w:r>
      <w:r w:rsidR="00917FCE">
        <w:rPr>
          <w:rFonts w:ascii="Times New Roman" w:hAnsi="Times New Roman" w:cs="Times New Roman"/>
          <w:sz w:val="24"/>
          <w:szCs w:val="24"/>
        </w:rPr>
        <w:t>3</w:t>
      </w:r>
      <w:r w:rsidR="00BE4CD9">
        <w:rPr>
          <w:rFonts w:ascii="Times New Roman" w:hAnsi="Times New Roman" w:cs="Times New Roman"/>
          <w:sz w:val="24"/>
          <w:szCs w:val="24"/>
        </w:rPr>
        <w:t>]</w:t>
      </w:r>
      <w:r w:rsidRPr="0039048D">
        <w:rPr>
          <w:rFonts w:ascii="Times New Roman" w:hAnsi="Times New Roman" w:cs="Times New Roman"/>
          <w:sz w:val="24"/>
          <w:szCs w:val="24"/>
        </w:rPr>
        <w:t xml:space="preserve">. The plot shows the 3D shape of the amino acids. It divides them into four sections: most </w:t>
      </w:r>
      <w:r w:rsidR="00176B47" w:rsidRPr="0039048D">
        <w:rPr>
          <w:rFonts w:ascii="Times New Roman" w:hAnsi="Times New Roman" w:cs="Times New Roman"/>
          <w:sz w:val="24"/>
          <w:szCs w:val="24"/>
        </w:rPr>
        <w:t>favored</w:t>
      </w:r>
      <w:r w:rsidRPr="0039048D">
        <w:rPr>
          <w:rFonts w:ascii="Times New Roman" w:hAnsi="Times New Roman" w:cs="Times New Roman"/>
          <w:sz w:val="24"/>
          <w:szCs w:val="24"/>
        </w:rPr>
        <w:t xml:space="preserve">, extra allowed, generous allowed, and disallowed. The Ramachandran plot is a key tool for studying protein structure. It shows the phi (φ) and psi (ψ) angles of the peptide backbone of each amino acid sequence as a diagram. Scientists can map these torsion angles to see the side chains' arrangement. This helps them understand their connection to the protein backbone. We need this info to find structural problems and test conformation stability. This will help us to learn more about the 3D structure of the protein and how it interacts with other </w:t>
      </w:r>
      <w:proofErr w:type="gramStart"/>
      <w:r w:rsidRPr="0039048D">
        <w:rPr>
          <w:rFonts w:ascii="Times New Roman" w:hAnsi="Times New Roman" w:cs="Times New Roman"/>
          <w:sz w:val="24"/>
          <w:szCs w:val="24"/>
        </w:rPr>
        <w:t>molecules</w:t>
      </w:r>
      <w:r w:rsidR="00BE4CD9">
        <w:rPr>
          <w:rFonts w:ascii="Times New Roman" w:hAnsi="Times New Roman" w:cs="Times New Roman"/>
          <w:sz w:val="24"/>
          <w:szCs w:val="24"/>
        </w:rPr>
        <w:t>[</w:t>
      </w:r>
      <w:proofErr w:type="gramEnd"/>
      <w:r w:rsidR="009056CA">
        <w:rPr>
          <w:rFonts w:ascii="Times New Roman" w:hAnsi="Times New Roman" w:cs="Times New Roman"/>
          <w:sz w:val="24"/>
          <w:szCs w:val="24"/>
        </w:rPr>
        <w:t>2</w:t>
      </w:r>
      <w:r w:rsidR="00917FCE">
        <w:rPr>
          <w:rFonts w:ascii="Times New Roman" w:hAnsi="Times New Roman" w:cs="Times New Roman"/>
          <w:sz w:val="24"/>
          <w:szCs w:val="24"/>
        </w:rPr>
        <w:t>4</w:t>
      </w:r>
      <w:r w:rsidR="00BE4CD9">
        <w:rPr>
          <w:rFonts w:ascii="Times New Roman" w:hAnsi="Times New Roman" w:cs="Times New Roman"/>
          <w:sz w:val="24"/>
          <w:szCs w:val="24"/>
        </w:rPr>
        <w:t>,</w:t>
      </w:r>
      <w:r w:rsidR="00733F3B">
        <w:rPr>
          <w:rFonts w:ascii="Times New Roman" w:hAnsi="Times New Roman" w:cs="Times New Roman"/>
          <w:sz w:val="24"/>
          <w:szCs w:val="24"/>
        </w:rPr>
        <w:t>2</w:t>
      </w:r>
      <w:r w:rsidR="00917FCE">
        <w:rPr>
          <w:rFonts w:ascii="Times New Roman" w:hAnsi="Times New Roman" w:cs="Times New Roman"/>
          <w:sz w:val="24"/>
          <w:szCs w:val="24"/>
        </w:rPr>
        <w:t>5</w:t>
      </w:r>
      <w:r w:rsidR="00BE4CD9">
        <w:rPr>
          <w:rFonts w:ascii="Times New Roman" w:hAnsi="Times New Roman" w:cs="Times New Roman"/>
          <w:sz w:val="24"/>
          <w:szCs w:val="24"/>
        </w:rPr>
        <w:t>]</w:t>
      </w:r>
      <w:r w:rsidRPr="0039048D">
        <w:rPr>
          <w:rFonts w:ascii="Times New Roman" w:hAnsi="Times New Roman" w:cs="Times New Roman"/>
          <w:sz w:val="24"/>
          <w:szCs w:val="24"/>
        </w:rPr>
        <w:t>.</w:t>
      </w:r>
      <w:r w:rsidR="00872E91" w:rsidRPr="0039048D">
        <w:rPr>
          <w:rFonts w:ascii="Times New Roman" w:hAnsi="Times New Roman" w:cs="Times New Roman"/>
          <w:sz w:val="24"/>
          <w:szCs w:val="24"/>
        </w:rPr>
        <w:t xml:space="preserve">We used molecular docking to find new chemotherapies to combat Mpox. We studied natural products from </w:t>
      </w:r>
      <w:bookmarkStart w:id="0" w:name="_Hlk180184056"/>
      <w:r w:rsidR="00872E91" w:rsidRPr="0039048D">
        <w:rPr>
          <w:rFonts w:ascii="Times New Roman" w:hAnsi="Times New Roman" w:cs="Times New Roman"/>
          <w:i/>
          <w:sz w:val="24"/>
          <w:szCs w:val="24"/>
        </w:rPr>
        <w:t>Azadirachta indica</w:t>
      </w:r>
      <w:bookmarkEnd w:id="0"/>
      <w:r w:rsidR="00872E91" w:rsidRPr="0039048D">
        <w:rPr>
          <w:rFonts w:ascii="Times New Roman" w:hAnsi="Times New Roman" w:cs="Times New Roman"/>
          <w:sz w:val="24"/>
          <w:szCs w:val="24"/>
        </w:rPr>
        <w:t xml:space="preserve">. We targeted the binding pockets in </w:t>
      </w:r>
      <w:bookmarkStart w:id="1" w:name="_Hlk180184199"/>
      <w:r w:rsidR="00872E91" w:rsidRPr="0039048D">
        <w:rPr>
          <w:rFonts w:ascii="Times New Roman" w:hAnsi="Times New Roman" w:cs="Times New Roman"/>
          <w:sz w:val="24"/>
          <w:szCs w:val="24"/>
        </w:rPr>
        <w:t>2'o-MT-VP39</w:t>
      </w:r>
      <w:bookmarkEnd w:id="1"/>
      <w:r w:rsidR="00872E91" w:rsidRPr="0039048D">
        <w:rPr>
          <w:rFonts w:ascii="Times New Roman" w:hAnsi="Times New Roman" w:cs="Times New Roman"/>
          <w:sz w:val="24"/>
          <w:szCs w:val="24"/>
        </w:rPr>
        <w:t xml:space="preserve">. To start this study, we obtained the 3D structures of </w:t>
      </w:r>
      <w:r w:rsidR="003A203F" w:rsidRPr="0039048D">
        <w:rPr>
          <w:rFonts w:ascii="Times New Roman" w:hAnsi="Times New Roman" w:cs="Times New Roman"/>
          <w:sz w:val="24"/>
          <w:szCs w:val="24"/>
        </w:rPr>
        <w:t>all-natural</w:t>
      </w:r>
      <w:r w:rsidR="00872E91" w:rsidRPr="0039048D">
        <w:rPr>
          <w:rFonts w:ascii="Times New Roman" w:hAnsi="Times New Roman" w:cs="Times New Roman"/>
          <w:sz w:val="24"/>
          <w:szCs w:val="24"/>
        </w:rPr>
        <w:t xml:space="preserve"> inhibitors in "*.sdf" format from PubChem (</w:t>
      </w:r>
      <w:hyperlink r:id="rId7" w:history="1">
        <w:r w:rsidR="003A203F" w:rsidRPr="0039048D">
          <w:rPr>
            <w:rStyle w:val="Hyperlink"/>
            <w:rFonts w:ascii="Times New Roman" w:hAnsi="Times New Roman" w:cs="Times New Roman"/>
            <w:sz w:val="24"/>
            <w:szCs w:val="24"/>
          </w:rPr>
          <w:t>https://pubchem.ncbi.nlm.nih.gov/</w:t>
        </w:r>
      </w:hyperlink>
      <w:r w:rsidR="00872E91" w:rsidRPr="0039048D">
        <w:rPr>
          <w:rFonts w:ascii="Times New Roman" w:hAnsi="Times New Roman" w:cs="Times New Roman"/>
          <w:sz w:val="24"/>
          <w:szCs w:val="24"/>
        </w:rPr>
        <w:t>)</w:t>
      </w:r>
      <w:r w:rsidR="00733F3B">
        <w:rPr>
          <w:rFonts w:ascii="Times New Roman" w:hAnsi="Times New Roman" w:cs="Times New Roman"/>
          <w:sz w:val="24"/>
          <w:szCs w:val="24"/>
        </w:rPr>
        <w:t>[2</w:t>
      </w:r>
      <w:r w:rsidR="00917FCE">
        <w:rPr>
          <w:rFonts w:ascii="Times New Roman" w:hAnsi="Times New Roman" w:cs="Times New Roman"/>
          <w:sz w:val="24"/>
          <w:szCs w:val="24"/>
        </w:rPr>
        <w:t>6</w:t>
      </w:r>
      <w:r w:rsidR="00733F3B">
        <w:rPr>
          <w:rFonts w:ascii="Times New Roman" w:hAnsi="Times New Roman" w:cs="Times New Roman"/>
          <w:sz w:val="24"/>
          <w:szCs w:val="24"/>
        </w:rPr>
        <w:t>]</w:t>
      </w:r>
      <w:r w:rsidR="00872E91" w:rsidRPr="0039048D">
        <w:rPr>
          <w:rFonts w:ascii="Times New Roman" w:hAnsi="Times New Roman" w:cs="Times New Roman"/>
          <w:sz w:val="24"/>
          <w:szCs w:val="24"/>
        </w:rPr>
        <w:t xml:space="preserve">. Our literature search found 13 </w:t>
      </w:r>
      <w:r w:rsidR="00872E91" w:rsidRPr="0039048D">
        <w:rPr>
          <w:rFonts w:ascii="Times New Roman" w:hAnsi="Times New Roman" w:cs="Times New Roman"/>
          <w:sz w:val="24"/>
          <w:szCs w:val="24"/>
        </w:rPr>
        <w:lastRenderedPageBreak/>
        <w:t xml:space="preserve">bioactive compounds in </w:t>
      </w:r>
      <w:r w:rsidR="00872E91" w:rsidRPr="0039048D">
        <w:rPr>
          <w:rFonts w:ascii="Times New Roman" w:hAnsi="Times New Roman" w:cs="Times New Roman"/>
          <w:i/>
          <w:sz w:val="24"/>
          <w:szCs w:val="24"/>
        </w:rPr>
        <w:t>A. indica</w:t>
      </w:r>
      <w:r w:rsidR="00872E91" w:rsidRPr="0039048D">
        <w:rPr>
          <w:rFonts w:ascii="Times New Roman" w:hAnsi="Times New Roman" w:cs="Times New Roman"/>
          <w:sz w:val="24"/>
          <w:szCs w:val="24"/>
        </w:rPr>
        <w:t xml:space="preserve">. We then included them in our study. The compounds included: azadiradione, campesterol, epoxyazadiradione, gedunin, linoleic acid, meliantriol, nimbin, oleic acid, quercetin, palmitic acid, scopoletin, stigmasterol, and umbelliferone. To further check these compounds, we used the SwissADME tool. It assesses their ADMET properties: absorption, distribution, metabolism, excretion, and toxicity. This analysis </w:t>
      </w:r>
      <w:r w:rsidR="00733F3B">
        <w:rPr>
          <w:rFonts w:ascii="Times New Roman" w:hAnsi="Times New Roman" w:cs="Times New Roman"/>
          <w:sz w:val="24"/>
          <w:szCs w:val="24"/>
        </w:rPr>
        <w:t>lets</w:t>
      </w:r>
      <w:r w:rsidR="00872E91" w:rsidRPr="0039048D">
        <w:rPr>
          <w:rFonts w:ascii="Times New Roman" w:hAnsi="Times New Roman" w:cs="Times New Roman"/>
          <w:sz w:val="24"/>
          <w:szCs w:val="24"/>
        </w:rPr>
        <w:t xml:space="preserve"> us choose the compounds with the best docking </w:t>
      </w:r>
      <w:proofErr w:type="gramStart"/>
      <w:r w:rsidR="00872E91" w:rsidRPr="0039048D">
        <w:rPr>
          <w:rFonts w:ascii="Times New Roman" w:hAnsi="Times New Roman" w:cs="Times New Roman"/>
          <w:sz w:val="24"/>
          <w:szCs w:val="24"/>
        </w:rPr>
        <w:t>scores</w:t>
      </w:r>
      <w:r w:rsidR="00733F3B">
        <w:rPr>
          <w:rFonts w:ascii="Times New Roman" w:hAnsi="Times New Roman" w:cs="Times New Roman"/>
          <w:sz w:val="24"/>
          <w:szCs w:val="24"/>
        </w:rPr>
        <w:t>[</w:t>
      </w:r>
      <w:proofErr w:type="gramEnd"/>
      <w:r w:rsidR="00733F3B">
        <w:rPr>
          <w:rFonts w:ascii="Times New Roman" w:hAnsi="Times New Roman" w:cs="Times New Roman"/>
          <w:sz w:val="24"/>
          <w:szCs w:val="24"/>
        </w:rPr>
        <w:t>2</w:t>
      </w:r>
      <w:r w:rsidR="00917FCE">
        <w:rPr>
          <w:rFonts w:ascii="Times New Roman" w:hAnsi="Times New Roman" w:cs="Times New Roman"/>
          <w:sz w:val="24"/>
          <w:szCs w:val="24"/>
        </w:rPr>
        <w:t>7</w:t>
      </w:r>
      <w:r w:rsidR="00800709">
        <w:rPr>
          <w:rFonts w:ascii="Times New Roman" w:hAnsi="Times New Roman" w:cs="Times New Roman"/>
          <w:sz w:val="24"/>
          <w:szCs w:val="24"/>
        </w:rPr>
        <w:t>,</w:t>
      </w:r>
      <w:r w:rsidR="00800709" w:rsidRPr="00800709">
        <w:rPr>
          <w:rFonts w:ascii="Times New Roman" w:hAnsi="Times New Roman" w:cs="Times New Roman"/>
          <w:sz w:val="24"/>
          <w:szCs w:val="24"/>
        </w:rPr>
        <w:t>28</w:t>
      </w:r>
      <w:r w:rsidR="00733F3B" w:rsidRPr="00800709">
        <w:rPr>
          <w:rFonts w:ascii="Times New Roman" w:hAnsi="Times New Roman" w:cs="Times New Roman"/>
          <w:sz w:val="24"/>
          <w:szCs w:val="24"/>
        </w:rPr>
        <w:t>]</w:t>
      </w:r>
      <w:r w:rsidR="00872E91" w:rsidRPr="0039048D">
        <w:rPr>
          <w:rFonts w:ascii="Times New Roman" w:hAnsi="Times New Roman" w:cs="Times New Roman"/>
          <w:sz w:val="24"/>
          <w:szCs w:val="24"/>
        </w:rPr>
        <w:t xml:space="preserve">. It identified promising candidates for further study. We aim to find new ways to treat Mpox infections. We will investigate how natural compounds bind to the 2'o-MT-VP39 protein. This research could help develop new cancer drugs. It may improve treatment outcomes for those affected by the disease. </w:t>
      </w:r>
    </w:p>
    <w:p w14:paraId="5CB2352C" w14:textId="77777777" w:rsidR="0034265C" w:rsidRPr="0039048D" w:rsidRDefault="002A138F" w:rsidP="00064FB9">
      <w:pPr>
        <w:spacing w:line="360" w:lineRule="auto"/>
        <w:jc w:val="both"/>
        <w:rPr>
          <w:rFonts w:ascii="Times New Roman" w:hAnsi="Times New Roman" w:cs="Times New Roman"/>
          <w:b/>
          <w:i/>
          <w:sz w:val="24"/>
          <w:szCs w:val="24"/>
        </w:rPr>
      </w:pPr>
      <w:r w:rsidRPr="0039048D">
        <w:rPr>
          <w:rFonts w:ascii="Times New Roman" w:hAnsi="Times New Roman" w:cs="Times New Roman"/>
          <w:b/>
          <w:i/>
          <w:sz w:val="24"/>
          <w:szCs w:val="24"/>
        </w:rPr>
        <w:t xml:space="preserve">Molecular Docking </w:t>
      </w:r>
    </w:p>
    <w:p w14:paraId="3BAEC5B5" w14:textId="77777777" w:rsidR="00FC6539" w:rsidRPr="0039048D" w:rsidRDefault="00E25F1F" w:rsidP="00064FB9">
      <w:pPr>
        <w:spacing w:line="360" w:lineRule="auto"/>
        <w:jc w:val="both"/>
        <w:rPr>
          <w:rFonts w:ascii="Times New Roman" w:hAnsi="Times New Roman" w:cs="Times New Roman"/>
          <w:sz w:val="24"/>
          <w:szCs w:val="24"/>
        </w:rPr>
      </w:pPr>
      <w:r w:rsidRPr="0039048D">
        <w:rPr>
          <w:rFonts w:ascii="Times New Roman" w:hAnsi="Times New Roman" w:cs="Times New Roman"/>
          <w:sz w:val="24"/>
          <w:szCs w:val="24"/>
        </w:rPr>
        <w:t xml:space="preserve">Molecular docking is a computer method. It predicts how proteins and other molecules, such as ligands, interact in 3D. It helps to find binding sites and understand their interactions. This method uses search algorithms and scoring functions. They find the best 3D position of the ligand in the target protein and estimate its binding affinity. SeamDock, a web server designed for ease of use, simplifies this. It displays a 3D grid of the active site of the target protein. It also visualizes the ligand-protein interactions </w:t>
      </w:r>
      <w:r w:rsidR="00733F3B">
        <w:rPr>
          <w:rFonts w:ascii="Times New Roman" w:hAnsi="Times New Roman" w:cs="Times New Roman"/>
          <w:sz w:val="24"/>
          <w:szCs w:val="24"/>
        </w:rPr>
        <w:t>[2</w:t>
      </w:r>
      <w:r w:rsidR="00800709">
        <w:rPr>
          <w:rFonts w:ascii="Times New Roman" w:hAnsi="Times New Roman" w:cs="Times New Roman"/>
          <w:sz w:val="24"/>
          <w:szCs w:val="24"/>
        </w:rPr>
        <w:t>9</w:t>
      </w:r>
      <w:r w:rsidR="00733F3B">
        <w:rPr>
          <w:rFonts w:ascii="Times New Roman" w:hAnsi="Times New Roman" w:cs="Times New Roman"/>
          <w:sz w:val="24"/>
          <w:szCs w:val="24"/>
        </w:rPr>
        <w:t>,</w:t>
      </w:r>
      <w:r w:rsidR="00800709">
        <w:rPr>
          <w:rFonts w:ascii="Times New Roman" w:hAnsi="Times New Roman" w:cs="Times New Roman"/>
          <w:sz w:val="24"/>
          <w:szCs w:val="24"/>
        </w:rPr>
        <w:t>30</w:t>
      </w:r>
      <w:r w:rsidR="00733F3B">
        <w:rPr>
          <w:rFonts w:ascii="Times New Roman" w:hAnsi="Times New Roman" w:cs="Times New Roman"/>
          <w:sz w:val="24"/>
          <w:szCs w:val="24"/>
        </w:rPr>
        <w:t>]</w:t>
      </w:r>
      <w:r w:rsidRPr="0039048D">
        <w:rPr>
          <w:rFonts w:ascii="Times New Roman" w:hAnsi="Times New Roman" w:cs="Times New Roman"/>
          <w:sz w:val="24"/>
          <w:szCs w:val="24"/>
        </w:rPr>
        <w:t>. This tool allows you to view the stereochemistry of the binding site. This includes the binding pocket, the surrounding amino acids, the hydrogen bonds</w:t>
      </w:r>
      <w:r w:rsidR="00176B47" w:rsidRPr="0039048D">
        <w:rPr>
          <w:rFonts w:ascii="Times New Roman" w:hAnsi="Times New Roman" w:cs="Times New Roman"/>
          <w:sz w:val="24"/>
          <w:szCs w:val="24"/>
        </w:rPr>
        <w:t>,</w:t>
      </w:r>
      <w:r w:rsidRPr="0039048D">
        <w:rPr>
          <w:rFonts w:ascii="Times New Roman" w:hAnsi="Times New Roman" w:cs="Times New Roman"/>
          <w:sz w:val="24"/>
          <w:szCs w:val="24"/>
        </w:rPr>
        <w:t xml:space="preserve"> and the polar contacts. It also shows how these things affect the shape of the protein. SeamDock's user interface and NGL viewer allow for interactive visualization </w:t>
      </w:r>
      <w:r w:rsidR="00733F3B">
        <w:rPr>
          <w:rFonts w:ascii="Times New Roman" w:hAnsi="Times New Roman" w:cs="Times New Roman"/>
          <w:sz w:val="24"/>
          <w:szCs w:val="24"/>
        </w:rPr>
        <w:t>[</w:t>
      </w:r>
      <w:r w:rsidR="00B50705">
        <w:rPr>
          <w:rFonts w:ascii="Times New Roman" w:hAnsi="Times New Roman" w:cs="Times New Roman"/>
          <w:sz w:val="24"/>
          <w:szCs w:val="24"/>
        </w:rPr>
        <w:t>2</w:t>
      </w:r>
      <w:r w:rsidR="00800709">
        <w:rPr>
          <w:rFonts w:ascii="Times New Roman" w:hAnsi="Times New Roman" w:cs="Times New Roman"/>
          <w:sz w:val="24"/>
          <w:szCs w:val="24"/>
        </w:rPr>
        <w:t>9</w:t>
      </w:r>
      <w:r w:rsidR="00B50705">
        <w:rPr>
          <w:rFonts w:ascii="Times New Roman" w:hAnsi="Times New Roman" w:cs="Times New Roman"/>
          <w:sz w:val="24"/>
          <w:szCs w:val="24"/>
        </w:rPr>
        <w:t>-</w:t>
      </w:r>
      <w:r w:rsidR="00917FCE">
        <w:rPr>
          <w:rFonts w:ascii="Times New Roman" w:hAnsi="Times New Roman" w:cs="Times New Roman"/>
          <w:sz w:val="24"/>
          <w:szCs w:val="24"/>
        </w:rPr>
        <w:t>3</w:t>
      </w:r>
      <w:r w:rsidR="00800709">
        <w:rPr>
          <w:rFonts w:ascii="Times New Roman" w:hAnsi="Times New Roman" w:cs="Times New Roman"/>
          <w:sz w:val="24"/>
          <w:szCs w:val="24"/>
        </w:rPr>
        <w:t>1</w:t>
      </w:r>
      <w:r w:rsidR="00733F3B">
        <w:rPr>
          <w:rFonts w:ascii="Times New Roman" w:hAnsi="Times New Roman" w:cs="Times New Roman"/>
          <w:sz w:val="24"/>
          <w:szCs w:val="24"/>
        </w:rPr>
        <w:t>]</w:t>
      </w:r>
      <w:r w:rsidRPr="0039048D">
        <w:rPr>
          <w:rFonts w:ascii="Times New Roman" w:hAnsi="Times New Roman" w:cs="Times New Roman"/>
          <w:sz w:val="24"/>
          <w:szCs w:val="24"/>
        </w:rPr>
        <w:t>. They make the program simple even for non-experts. No complex installations or configurations are required. The docking process starts as soon as we have defined the molecules (ligand and receptor), the search area (docking box)</w:t>
      </w:r>
      <w:r w:rsidR="00176B47" w:rsidRPr="0039048D">
        <w:rPr>
          <w:rFonts w:ascii="Times New Roman" w:hAnsi="Times New Roman" w:cs="Times New Roman"/>
          <w:sz w:val="24"/>
          <w:szCs w:val="24"/>
        </w:rPr>
        <w:t>,</w:t>
      </w:r>
      <w:r w:rsidRPr="0039048D">
        <w:rPr>
          <w:rFonts w:ascii="Times New Roman" w:hAnsi="Times New Roman" w:cs="Times New Roman"/>
          <w:sz w:val="24"/>
          <w:szCs w:val="24"/>
        </w:rPr>
        <w:t xml:space="preserve"> and the simulation </w:t>
      </w:r>
      <w:proofErr w:type="gramStart"/>
      <w:r w:rsidRPr="0039048D">
        <w:rPr>
          <w:rFonts w:ascii="Times New Roman" w:hAnsi="Times New Roman" w:cs="Times New Roman"/>
          <w:sz w:val="24"/>
          <w:szCs w:val="24"/>
        </w:rPr>
        <w:t>parameters</w:t>
      </w:r>
      <w:r w:rsidR="007D6341">
        <w:rPr>
          <w:rFonts w:ascii="Times New Roman" w:hAnsi="Times New Roman" w:cs="Times New Roman"/>
          <w:sz w:val="24"/>
          <w:szCs w:val="24"/>
        </w:rPr>
        <w:t>[</w:t>
      </w:r>
      <w:proofErr w:type="gramEnd"/>
      <w:r w:rsidR="004276A9">
        <w:rPr>
          <w:rFonts w:ascii="Times New Roman" w:hAnsi="Times New Roman" w:cs="Times New Roman"/>
          <w:sz w:val="24"/>
          <w:szCs w:val="24"/>
        </w:rPr>
        <w:t>3</w:t>
      </w:r>
      <w:r w:rsidR="00800709">
        <w:rPr>
          <w:rFonts w:ascii="Times New Roman" w:hAnsi="Times New Roman" w:cs="Times New Roman"/>
          <w:sz w:val="24"/>
          <w:szCs w:val="24"/>
        </w:rPr>
        <w:t>2</w:t>
      </w:r>
      <w:r w:rsidR="007D6341">
        <w:rPr>
          <w:rFonts w:ascii="Times New Roman" w:hAnsi="Times New Roman" w:cs="Times New Roman"/>
          <w:sz w:val="24"/>
          <w:szCs w:val="24"/>
        </w:rPr>
        <w:t>]</w:t>
      </w:r>
      <w:r w:rsidRPr="0039048D">
        <w:rPr>
          <w:rFonts w:ascii="Times New Roman" w:hAnsi="Times New Roman" w:cs="Times New Roman"/>
          <w:sz w:val="24"/>
          <w:szCs w:val="24"/>
        </w:rPr>
        <w:t xml:space="preserve">. In AutoDock, the process involves two steps: First, prepare a grid parameter file using prepare_gpf4.py to define the search space of the receptor. Then you use autogrid4 to calculate the energy landscape for potential binding sites. The prepare_dpf4.py script generates a docking parameter file. AutoDock4 uses this together with the ligand and receptor structures. It completes the simulation and finds the best ligand-receptor interaction </w:t>
      </w:r>
      <w:r w:rsidR="00A3239A">
        <w:rPr>
          <w:rFonts w:ascii="Times New Roman" w:hAnsi="Times New Roman" w:cs="Times New Roman"/>
          <w:sz w:val="24"/>
          <w:szCs w:val="24"/>
        </w:rPr>
        <w:t>[</w:t>
      </w:r>
      <w:r w:rsidR="00917FCE">
        <w:rPr>
          <w:rFonts w:ascii="Times New Roman" w:hAnsi="Times New Roman" w:cs="Times New Roman"/>
          <w:sz w:val="24"/>
          <w:szCs w:val="24"/>
        </w:rPr>
        <w:t>3</w:t>
      </w:r>
      <w:r w:rsidR="00800709">
        <w:rPr>
          <w:rFonts w:ascii="Times New Roman" w:hAnsi="Times New Roman" w:cs="Times New Roman"/>
          <w:sz w:val="24"/>
          <w:szCs w:val="24"/>
        </w:rPr>
        <w:t>1</w:t>
      </w:r>
      <w:r w:rsidR="00A3239A">
        <w:rPr>
          <w:rFonts w:ascii="Times New Roman" w:hAnsi="Times New Roman" w:cs="Times New Roman"/>
          <w:sz w:val="24"/>
          <w:szCs w:val="24"/>
        </w:rPr>
        <w:t>,</w:t>
      </w:r>
      <w:r w:rsidR="00716A2B">
        <w:rPr>
          <w:rFonts w:ascii="Times New Roman" w:hAnsi="Times New Roman" w:cs="Times New Roman"/>
          <w:sz w:val="24"/>
          <w:szCs w:val="24"/>
        </w:rPr>
        <w:t>3</w:t>
      </w:r>
      <w:r w:rsidR="00800709">
        <w:rPr>
          <w:rFonts w:ascii="Times New Roman" w:hAnsi="Times New Roman" w:cs="Times New Roman"/>
          <w:sz w:val="24"/>
          <w:szCs w:val="24"/>
        </w:rPr>
        <w:t>4</w:t>
      </w:r>
      <w:r w:rsidR="00A3239A">
        <w:rPr>
          <w:rFonts w:ascii="Times New Roman" w:hAnsi="Times New Roman" w:cs="Times New Roman"/>
          <w:sz w:val="24"/>
          <w:szCs w:val="24"/>
        </w:rPr>
        <w:t>]</w:t>
      </w:r>
      <w:r w:rsidRPr="0039048D">
        <w:rPr>
          <w:rFonts w:ascii="Times New Roman" w:hAnsi="Times New Roman" w:cs="Times New Roman"/>
          <w:sz w:val="24"/>
          <w:szCs w:val="24"/>
        </w:rPr>
        <w:t>.</w:t>
      </w:r>
    </w:p>
    <w:p w14:paraId="3AE379BC" w14:textId="77777777" w:rsidR="00722E3F" w:rsidRPr="0039048D" w:rsidRDefault="00722E3F" w:rsidP="00064FB9">
      <w:pPr>
        <w:spacing w:line="360" w:lineRule="auto"/>
        <w:jc w:val="both"/>
        <w:rPr>
          <w:rFonts w:ascii="Times New Roman" w:hAnsi="Times New Roman" w:cs="Times New Roman"/>
          <w:b/>
          <w:caps/>
          <w:sz w:val="24"/>
          <w:szCs w:val="24"/>
        </w:rPr>
      </w:pPr>
      <w:r w:rsidRPr="0039048D">
        <w:rPr>
          <w:rFonts w:ascii="Times New Roman" w:hAnsi="Times New Roman" w:cs="Times New Roman"/>
          <w:b/>
          <w:caps/>
          <w:sz w:val="24"/>
          <w:szCs w:val="24"/>
        </w:rPr>
        <w:t>Result</w:t>
      </w:r>
      <w:r w:rsidR="00662F1C" w:rsidRPr="0039048D">
        <w:rPr>
          <w:rFonts w:ascii="Times New Roman" w:hAnsi="Times New Roman" w:cs="Times New Roman"/>
          <w:b/>
          <w:caps/>
          <w:sz w:val="24"/>
          <w:szCs w:val="24"/>
        </w:rPr>
        <w:t xml:space="preserve"> and discussion</w:t>
      </w:r>
    </w:p>
    <w:p w14:paraId="43C1F7FD" w14:textId="77777777" w:rsidR="00E25F1F" w:rsidRPr="0039048D" w:rsidRDefault="00F43A7E" w:rsidP="00F749BA">
      <w:pPr>
        <w:spacing w:line="360" w:lineRule="auto"/>
        <w:jc w:val="both"/>
        <w:rPr>
          <w:rFonts w:ascii="Times New Roman" w:eastAsia="Times New Roman" w:hAnsi="Times New Roman" w:cs="Times New Roman"/>
          <w:sz w:val="24"/>
          <w:szCs w:val="24"/>
          <w:lang w:val="en-US"/>
        </w:rPr>
      </w:pPr>
      <w:r w:rsidRPr="0039048D">
        <w:rPr>
          <w:rFonts w:ascii="Times New Roman" w:eastAsia="Times New Roman" w:hAnsi="Times New Roman" w:cs="Times New Roman"/>
          <w:sz w:val="24"/>
          <w:szCs w:val="24"/>
          <w:lang w:val="en-US"/>
        </w:rPr>
        <w:t xml:space="preserve">We used the user-friendly online server SeamDock for molecular docking, despite our limited knowledge of biophysics and computer science. SeamDock facilitated the analysis and 3D visualization of ligand-receptor interactions. The predicted docking score was based on the binding energies and affinities of the ligand-receptor complexes. This was done during the </w:t>
      </w:r>
      <w:r w:rsidRPr="0039048D">
        <w:rPr>
          <w:rFonts w:ascii="Times New Roman" w:eastAsia="Times New Roman" w:hAnsi="Times New Roman" w:cs="Times New Roman"/>
          <w:sz w:val="24"/>
          <w:szCs w:val="24"/>
          <w:lang w:val="en-US"/>
        </w:rPr>
        <w:lastRenderedPageBreak/>
        <w:t xml:space="preserve">docking process. We used AutoDock 4 to dock the ligands to the protein binding sites. We then used evolution to find the best way for the ligand and protein to bind. To this end, we found the configuration with the lowest energy. </w:t>
      </w:r>
      <w:r w:rsidR="00A3239A">
        <w:rPr>
          <w:rFonts w:ascii="Times New Roman" w:eastAsia="Times New Roman" w:hAnsi="Times New Roman" w:cs="Times New Roman"/>
          <w:sz w:val="24"/>
          <w:szCs w:val="24"/>
          <w:lang w:val="en-US"/>
        </w:rPr>
        <w:t>Factors such as binding energy, solvent effects, entropy, and molecular flexibility must be considered to evaluate the interaction between a ligand and a protein</w:t>
      </w:r>
      <w:r w:rsidRPr="0039048D">
        <w:rPr>
          <w:rFonts w:ascii="Times New Roman" w:eastAsia="Times New Roman" w:hAnsi="Times New Roman" w:cs="Times New Roman"/>
          <w:sz w:val="24"/>
          <w:szCs w:val="24"/>
          <w:lang w:val="en-US"/>
        </w:rPr>
        <w:t xml:space="preserve">. This information can generate a 3D interaction model and an affinity value. The ERRAT analysis, indicating that 94.815% of residues were above the 95% error cutoff, confirms the reliability of the protein structure used in the modelling (Figure1).  </w:t>
      </w:r>
      <w:r w:rsidR="00E25F1F" w:rsidRPr="0039048D">
        <w:rPr>
          <w:b/>
          <w:noProof/>
          <w:lang w:val="en-US"/>
        </w:rPr>
        <w:drawing>
          <wp:inline distT="0" distB="0" distL="0" distR="0" wp14:anchorId="69CF611E" wp14:editId="53CDB20F">
            <wp:extent cx="5731510" cy="1750056"/>
            <wp:effectExtent l="0" t="0" r="0" b="0"/>
            <wp:docPr id="1" name="Picture 1" descr="C:\Users\jai sri ram\Downloads\erra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 sri ram\Downloads\errat_page-0001.jpg"/>
                    <pic:cNvPicPr>
                      <a:picLocks noChangeAspect="1" noChangeArrowheads="1"/>
                    </pic:cNvPicPr>
                  </pic:nvPicPr>
                  <pic:blipFill>
                    <a:blip r:embed="rId8"/>
                    <a:srcRect l="7811" t="37412" r="16566" b="29882"/>
                    <a:stretch>
                      <a:fillRect/>
                    </a:stretch>
                  </pic:blipFill>
                  <pic:spPr bwMode="auto">
                    <a:xfrm>
                      <a:off x="0" y="0"/>
                      <a:ext cx="5731510" cy="1750056"/>
                    </a:xfrm>
                    <a:prstGeom prst="rect">
                      <a:avLst/>
                    </a:prstGeom>
                    <a:noFill/>
                    <a:ln w="9525">
                      <a:noFill/>
                      <a:miter lim="800000"/>
                      <a:headEnd/>
                      <a:tailEnd/>
                    </a:ln>
                  </pic:spPr>
                </pic:pic>
              </a:graphicData>
            </a:graphic>
          </wp:inline>
        </w:drawing>
      </w:r>
    </w:p>
    <w:p w14:paraId="035384D3" w14:textId="77777777" w:rsidR="00E25F1F" w:rsidRPr="0039048D" w:rsidRDefault="00E25F1F" w:rsidP="00F9495D">
      <w:pPr>
        <w:spacing w:line="360" w:lineRule="auto"/>
        <w:jc w:val="center"/>
        <w:rPr>
          <w:rFonts w:ascii="Times New Roman" w:eastAsia="Times New Roman" w:hAnsi="Times New Roman" w:cs="Times New Roman"/>
          <w:sz w:val="20"/>
          <w:szCs w:val="20"/>
          <w:lang w:val="en-US"/>
        </w:rPr>
      </w:pPr>
      <w:r w:rsidRPr="0039048D">
        <w:rPr>
          <w:rFonts w:ascii="Times New Roman" w:eastAsia="Times New Roman" w:hAnsi="Times New Roman" w:cs="Times New Roman"/>
          <w:sz w:val="20"/>
          <w:szCs w:val="20"/>
          <w:lang w:val="en-US"/>
        </w:rPr>
        <w:t xml:space="preserve">Figure1: </w:t>
      </w:r>
      <w:r w:rsidR="00F9495D" w:rsidRPr="0039048D">
        <w:rPr>
          <w:rFonts w:ascii="Times New Roman" w:eastAsia="Times New Roman" w:hAnsi="Times New Roman" w:cs="Times New Roman"/>
          <w:sz w:val="20"/>
          <w:szCs w:val="20"/>
          <w:lang w:val="en-US"/>
        </w:rPr>
        <w:t>ERRAT has checked the general quality.</w:t>
      </w:r>
    </w:p>
    <w:p w14:paraId="361B32F3" w14:textId="77777777" w:rsidR="00AA5E75" w:rsidRPr="0039048D" w:rsidRDefault="00F749BA" w:rsidP="00F749BA">
      <w:pPr>
        <w:spacing w:line="360" w:lineRule="auto"/>
        <w:jc w:val="both"/>
        <w:rPr>
          <w:rFonts w:ascii="Times New Roman" w:eastAsia="Times New Roman" w:hAnsi="Times New Roman" w:cs="Times New Roman"/>
          <w:sz w:val="24"/>
          <w:szCs w:val="24"/>
          <w:lang w:val="en-US"/>
        </w:rPr>
      </w:pPr>
      <w:r w:rsidRPr="0039048D">
        <w:rPr>
          <w:rFonts w:ascii="Times New Roman" w:eastAsia="Times New Roman" w:hAnsi="Times New Roman" w:cs="Times New Roman"/>
          <w:sz w:val="24"/>
          <w:szCs w:val="24"/>
          <w:lang w:val="en-US"/>
        </w:rPr>
        <w:t>The ProSA energy profile confirmed this result. It gave a Z-score of -7.22 kcal/mol, showing that the model was reliable</w:t>
      </w:r>
      <w:r w:rsidR="00AA5E75" w:rsidRPr="0039048D">
        <w:rPr>
          <w:rFonts w:ascii="Times New Roman" w:eastAsia="Times New Roman" w:hAnsi="Times New Roman" w:cs="Times New Roman"/>
          <w:sz w:val="24"/>
          <w:szCs w:val="24"/>
          <w:lang w:val="en-US"/>
        </w:rPr>
        <w:t xml:space="preserve"> (Figure2)</w:t>
      </w:r>
      <w:r w:rsidRPr="0039048D">
        <w:rPr>
          <w:rFonts w:ascii="Times New Roman" w:eastAsia="Times New Roman" w:hAnsi="Times New Roman" w:cs="Times New Roman"/>
          <w:sz w:val="24"/>
          <w:szCs w:val="24"/>
          <w:lang w:val="en-US"/>
        </w:rPr>
        <w:t xml:space="preserve">. The energy profile compared to the amino acid residues confirmed the structure and accuracy of the model. </w:t>
      </w:r>
    </w:p>
    <w:p w14:paraId="4C7E52C5" w14:textId="77777777" w:rsidR="00AA5E75" w:rsidRPr="0039048D" w:rsidRDefault="00AA5E75" w:rsidP="00AA5E75">
      <w:pPr>
        <w:spacing w:line="360" w:lineRule="auto"/>
        <w:jc w:val="center"/>
        <w:rPr>
          <w:rFonts w:ascii="Times New Roman" w:eastAsia="Times New Roman" w:hAnsi="Times New Roman" w:cs="Times New Roman"/>
          <w:sz w:val="24"/>
          <w:szCs w:val="24"/>
          <w:lang w:val="en-US"/>
        </w:rPr>
      </w:pPr>
      <w:r w:rsidRPr="0039048D">
        <w:rPr>
          <w:b/>
          <w:noProof/>
          <w:lang w:val="en-US"/>
        </w:rPr>
        <w:lastRenderedPageBreak/>
        <w:drawing>
          <wp:inline distT="0" distB="0" distL="0" distR="0" wp14:anchorId="1534D473" wp14:editId="26C701F1">
            <wp:extent cx="3838755" cy="41987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3605" cy="4204026"/>
                    </a:xfrm>
                    <a:prstGeom prst="rect">
                      <a:avLst/>
                    </a:prstGeom>
                    <a:noFill/>
                    <a:ln>
                      <a:noFill/>
                    </a:ln>
                  </pic:spPr>
                </pic:pic>
              </a:graphicData>
            </a:graphic>
          </wp:inline>
        </w:drawing>
      </w:r>
    </w:p>
    <w:p w14:paraId="253A2CC7" w14:textId="77777777" w:rsidR="00AA5E75" w:rsidRPr="0039048D" w:rsidRDefault="00AA5E75" w:rsidP="00AA5E75">
      <w:pPr>
        <w:spacing w:line="360" w:lineRule="auto"/>
        <w:jc w:val="center"/>
        <w:rPr>
          <w:rFonts w:ascii="Times New Roman" w:eastAsia="Times New Roman" w:hAnsi="Times New Roman" w:cs="Times New Roman"/>
          <w:sz w:val="20"/>
          <w:szCs w:val="20"/>
          <w:lang w:val="en-US"/>
        </w:rPr>
      </w:pPr>
      <w:r w:rsidRPr="0039048D">
        <w:rPr>
          <w:rFonts w:ascii="Times New Roman" w:eastAsia="Times New Roman" w:hAnsi="Times New Roman" w:cs="Times New Roman"/>
          <w:sz w:val="20"/>
          <w:szCs w:val="20"/>
          <w:lang w:val="en-US"/>
        </w:rPr>
        <w:t>Figure2: ProSA energy profile of the enzyme</w:t>
      </w:r>
    </w:p>
    <w:p w14:paraId="43D4A6A2" w14:textId="77777777" w:rsidR="00F749BA" w:rsidRPr="0039048D" w:rsidRDefault="00F749BA" w:rsidP="00F749BA">
      <w:pPr>
        <w:spacing w:line="360" w:lineRule="auto"/>
        <w:jc w:val="both"/>
        <w:rPr>
          <w:rFonts w:ascii="Times New Roman" w:eastAsia="Times New Roman" w:hAnsi="Times New Roman" w:cs="Times New Roman"/>
          <w:sz w:val="24"/>
          <w:szCs w:val="24"/>
          <w:lang w:val="en-US"/>
        </w:rPr>
      </w:pPr>
      <w:r w:rsidRPr="0039048D">
        <w:rPr>
          <w:rFonts w:ascii="Times New Roman" w:eastAsia="Times New Roman" w:hAnsi="Times New Roman" w:cs="Times New Roman"/>
          <w:sz w:val="24"/>
          <w:szCs w:val="24"/>
          <w:lang w:val="en-US"/>
        </w:rPr>
        <w:t>In addition, the PROCHECK tool generated a Ramachandran diagram. It showed that 92.5% of the residues were in favored regions and 7.5% in allowed regions. No residues were found in the allowed or disallowed regions</w:t>
      </w:r>
      <w:r w:rsidR="00AA5E75" w:rsidRPr="0039048D">
        <w:rPr>
          <w:rFonts w:ascii="Times New Roman" w:eastAsia="Times New Roman" w:hAnsi="Times New Roman" w:cs="Times New Roman"/>
          <w:sz w:val="24"/>
          <w:szCs w:val="24"/>
          <w:lang w:val="en-US"/>
        </w:rPr>
        <w:t xml:space="preserve"> (Figure3)</w:t>
      </w:r>
      <w:r w:rsidRPr="0039048D">
        <w:rPr>
          <w:rFonts w:ascii="Times New Roman" w:eastAsia="Times New Roman" w:hAnsi="Times New Roman" w:cs="Times New Roman"/>
          <w:sz w:val="24"/>
          <w:szCs w:val="24"/>
          <w:lang w:val="en-US"/>
        </w:rPr>
        <w:t>. This ensures the quality and precision of the modeled structure. These analyzes confirm the validity and reliability of the proposed 3D model. It is now suitable for further molecular docking and interaction studies. The high accuracy and reliability of the model provide a solid understanding of the 2'o-MT-VP39 binding mechanisms. This may provide information for new therapies.</w:t>
      </w:r>
    </w:p>
    <w:p w14:paraId="5009749C" w14:textId="77777777" w:rsidR="002554C5" w:rsidRPr="0039048D" w:rsidRDefault="002554C5" w:rsidP="002554C5">
      <w:pPr>
        <w:jc w:val="center"/>
        <w:rPr>
          <w:b/>
        </w:rPr>
      </w:pPr>
      <w:r w:rsidRPr="0039048D">
        <w:rPr>
          <w:b/>
          <w:noProof/>
          <w:lang w:val="en-US"/>
        </w:rPr>
        <w:lastRenderedPageBreak/>
        <w:drawing>
          <wp:inline distT="0" distB="0" distL="0" distR="0" wp14:anchorId="3BA23CF0" wp14:editId="5A089A7A">
            <wp:extent cx="3778369" cy="3611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srcRect r="1515"/>
                    <a:stretch/>
                  </pic:blipFill>
                  <pic:spPr bwMode="auto">
                    <a:xfrm>
                      <a:off x="0" y="0"/>
                      <a:ext cx="3784561" cy="3617163"/>
                    </a:xfrm>
                    <a:prstGeom prst="rect">
                      <a:avLst/>
                    </a:prstGeom>
                    <a:noFill/>
                    <a:ln>
                      <a:noFill/>
                    </a:ln>
                    <a:extLst>
                      <a:ext uri="{53640926-AAD7-44D8-BBD7-CCE9431645EC}">
                        <a14:shadowObscured xmlns:a14="http://schemas.microsoft.com/office/drawing/2010/main"/>
                      </a:ext>
                    </a:extLst>
                  </pic:spPr>
                </pic:pic>
              </a:graphicData>
            </a:graphic>
          </wp:inline>
        </w:drawing>
      </w:r>
    </w:p>
    <w:p w14:paraId="15CB63C2" w14:textId="77777777" w:rsidR="00ED16F0" w:rsidRPr="0039048D" w:rsidRDefault="00AA5E75" w:rsidP="00B46CA2">
      <w:pPr>
        <w:pStyle w:val="HTMLPreformatted"/>
        <w:shd w:val="clear" w:color="auto" w:fill="FFFFFF"/>
        <w:spacing w:line="360" w:lineRule="auto"/>
        <w:jc w:val="center"/>
        <w:rPr>
          <w:rFonts w:ascii="Times New Roman" w:hAnsi="Times New Roman" w:cs="Times New Roman"/>
        </w:rPr>
      </w:pPr>
      <w:r w:rsidRPr="0039048D">
        <w:rPr>
          <w:rFonts w:ascii="Times New Roman" w:hAnsi="Times New Roman" w:cs="Times New Roman"/>
        </w:rPr>
        <w:t xml:space="preserve">Figure3: </w:t>
      </w:r>
      <w:r w:rsidR="00ED16F0" w:rsidRPr="0039048D">
        <w:rPr>
          <w:rFonts w:ascii="Times New Roman" w:hAnsi="Times New Roman" w:cs="Times New Roman"/>
        </w:rPr>
        <w:t>Ramachandran diagram of the model protein: residues in the red area are allowed, while residues in the allowed area, residues in the yellow area are generous</w:t>
      </w:r>
    </w:p>
    <w:p w14:paraId="36BED036" w14:textId="77777777" w:rsidR="004235A8" w:rsidRDefault="00AA5E75" w:rsidP="004235A8">
      <w:pPr>
        <w:spacing w:line="360" w:lineRule="auto"/>
        <w:jc w:val="both"/>
        <w:rPr>
          <w:rFonts w:ascii="Times New Roman" w:hAnsi="Times New Roman" w:cs="Times New Roman"/>
          <w:sz w:val="24"/>
        </w:rPr>
      </w:pPr>
      <w:r w:rsidRPr="0039048D">
        <w:rPr>
          <w:rFonts w:ascii="Times New Roman" w:hAnsi="Times New Roman" w:cs="Times New Roman"/>
          <w:sz w:val="24"/>
        </w:rPr>
        <w:t xml:space="preserve">We found that stigmasterol binds strongly to the enzyme 2'-O-MT-VP39. The docking value of -7.98 kcal/mol indicates the relative stability of the interaction. Structural analysis showed that stigmasterol forms hydrogen bonds with Asn273. The N-group of Asn273 interacts with the O1 of stigmasterol. It is crucial for the stabilization of the protein-ligand complex. This suggests that Asn273 is a key amino acid in the binding mechanism of the enzyme. The docking results show that the active site of the enzyme is a good ligand interaction site. This indicates its potential as a target for drug development. The strong binding affinity of stigmasterol makes it a good drug target for </w:t>
      </w:r>
      <w:proofErr w:type="gramStart"/>
      <w:r w:rsidRPr="0039048D">
        <w:rPr>
          <w:rFonts w:ascii="Times New Roman" w:hAnsi="Times New Roman" w:cs="Times New Roman"/>
          <w:sz w:val="24"/>
        </w:rPr>
        <w:t>Mpox</w:t>
      </w:r>
      <w:r w:rsidR="00A3239A">
        <w:rPr>
          <w:rFonts w:ascii="Times New Roman" w:hAnsi="Times New Roman" w:cs="Times New Roman"/>
          <w:sz w:val="24"/>
        </w:rPr>
        <w:t>[</w:t>
      </w:r>
      <w:proofErr w:type="gramEnd"/>
      <w:r w:rsidR="009056CA">
        <w:rPr>
          <w:rFonts w:ascii="Times New Roman" w:hAnsi="Times New Roman" w:cs="Times New Roman"/>
          <w:sz w:val="24"/>
        </w:rPr>
        <w:t>3</w:t>
      </w:r>
      <w:r w:rsidR="00800709">
        <w:rPr>
          <w:rFonts w:ascii="Times New Roman" w:hAnsi="Times New Roman" w:cs="Times New Roman"/>
          <w:sz w:val="24"/>
        </w:rPr>
        <w:t>5</w:t>
      </w:r>
      <w:r w:rsidR="00A3239A">
        <w:rPr>
          <w:rFonts w:ascii="Times New Roman" w:hAnsi="Times New Roman" w:cs="Times New Roman"/>
          <w:sz w:val="24"/>
        </w:rPr>
        <w:t>]</w:t>
      </w:r>
      <w:r w:rsidRPr="0039048D">
        <w:rPr>
          <w:rFonts w:ascii="Times New Roman" w:hAnsi="Times New Roman" w:cs="Times New Roman"/>
          <w:sz w:val="24"/>
        </w:rPr>
        <w:t>. This research provides important insights for the development of better Mpox treatments.</w:t>
      </w:r>
      <w:r w:rsidR="004235A8" w:rsidRPr="0039048D">
        <w:rPr>
          <w:rFonts w:ascii="Times New Roman" w:hAnsi="Times New Roman" w:cs="Times New Roman"/>
          <w:sz w:val="24"/>
        </w:rPr>
        <w:t xml:space="preserve"> It aims to overcome resistance to existing drugs. The results are promising for the search for new antiviral drugs. These results underline the importance of Asn273 for the binding process. They also highlight the potential of stigmasterol as a lead molecule for new drug discovery. This work shows how the technique can be used to find new targets and drugs for mumps treatment.</w:t>
      </w:r>
    </w:p>
    <w:p w14:paraId="51466D13" w14:textId="242D7D29" w:rsidR="00486DB9" w:rsidRPr="0039048D" w:rsidRDefault="00486DB9" w:rsidP="004235A8">
      <w:pPr>
        <w:spacing w:line="360" w:lineRule="auto"/>
        <w:jc w:val="both"/>
        <w:rPr>
          <w:rFonts w:ascii="Times New Roman" w:hAnsi="Times New Roman" w:cs="Times New Roman"/>
          <w:sz w:val="24"/>
        </w:rPr>
      </w:pPr>
      <w:r w:rsidRPr="0039048D">
        <w:rPr>
          <w:rFonts w:ascii="Times New Roman" w:hAnsi="Times New Roman" w:cs="Times New Roman"/>
          <w:sz w:val="24"/>
          <w:szCs w:val="24"/>
        </w:rPr>
        <w:t xml:space="preserve">The </w:t>
      </w:r>
      <w:r w:rsidR="00AF1EDF" w:rsidRPr="00AF1EDF">
        <w:rPr>
          <w:rFonts w:ascii="Times New Roman" w:hAnsi="Times New Roman" w:cs="Times New Roman"/>
          <w:b/>
          <w:sz w:val="24"/>
          <w:szCs w:val="24"/>
        </w:rPr>
        <w:t>Graph</w:t>
      </w:r>
      <w:r w:rsidRPr="0039048D">
        <w:rPr>
          <w:rFonts w:ascii="Times New Roman" w:hAnsi="Times New Roman" w:cs="Times New Roman"/>
          <w:b/>
          <w:sz w:val="24"/>
          <w:szCs w:val="24"/>
        </w:rPr>
        <w:t>1</w:t>
      </w:r>
      <w:r w:rsidRPr="0039048D">
        <w:rPr>
          <w:rFonts w:ascii="Times New Roman" w:hAnsi="Times New Roman" w:cs="Times New Roman"/>
          <w:sz w:val="24"/>
          <w:szCs w:val="24"/>
        </w:rPr>
        <w:t xml:space="preserve"> </w:t>
      </w:r>
      <w:proofErr w:type="spellStart"/>
      <w:r w:rsidRPr="0039048D">
        <w:rPr>
          <w:rFonts w:ascii="Times New Roman" w:hAnsi="Times New Roman" w:cs="Times New Roman"/>
          <w:sz w:val="24"/>
          <w:szCs w:val="24"/>
        </w:rPr>
        <w:t>analyzes</w:t>
      </w:r>
      <w:proofErr w:type="spellEnd"/>
      <w:r w:rsidRPr="0039048D">
        <w:rPr>
          <w:rFonts w:ascii="Times New Roman" w:hAnsi="Times New Roman" w:cs="Times New Roman"/>
          <w:sz w:val="24"/>
          <w:szCs w:val="24"/>
        </w:rPr>
        <w:t xml:space="preserve"> molecular docking results for various natural compounds from </w:t>
      </w:r>
      <w:r w:rsidRPr="0039048D">
        <w:rPr>
          <w:rFonts w:ascii="Times New Roman" w:hAnsi="Times New Roman" w:cs="Times New Roman"/>
          <w:i/>
          <w:sz w:val="24"/>
          <w:szCs w:val="24"/>
        </w:rPr>
        <w:t>A. indica</w:t>
      </w:r>
      <w:r w:rsidRPr="0039048D">
        <w:rPr>
          <w:rFonts w:ascii="Times New Roman" w:hAnsi="Times New Roman" w:cs="Times New Roman"/>
          <w:sz w:val="24"/>
          <w:szCs w:val="24"/>
        </w:rPr>
        <w:t xml:space="preserve">. It focuses on their affinity values and interactions with specific amino acids. The results show a range of binding strengths. Some compounds bind with considerable strength and permanence. Others show weaker affinities. Stigmasterol has the strongest binding. Its affinity </w:t>
      </w:r>
      <w:r w:rsidRPr="0039048D">
        <w:rPr>
          <w:rFonts w:ascii="Times New Roman" w:hAnsi="Times New Roman" w:cs="Times New Roman"/>
          <w:sz w:val="24"/>
          <w:szCs w:val="24"/>
        </w:rPr>
        <w:lastRenderedPageBreak/>
        <w:t>value is -7.98 kcal/mol. It forms hydrogen bonds with Asn273. It has hydrophobic interactions with Arg76, Tyr77, and Phe293. This strong, stable binding to the protein suggests that stigmasterol may be a good candidate for drug discovery. Azadiradione and campesterol also have strong affinities.</w:t>
      </w:r>
    </w:p>
    <w:p w14:paraId="15D35A5B" w14:textId="77777777" w:rsidR="009C55DD" w:rsidRPr="0039048D" w:rsidRDefault="009C55DD" w:rsidP="002554C5">
      <w:pPr>
        <w:jc w:val="center"/>
        <w:rPr>
          <w:rFonts w:ascii="Times New Roman" w:eastAsia="Times New Roman" w:hAnsi="Times New Roman" w:cs="Times New Roman"/>
          <w:sz w:val="20"/>
          <w:szCs w:val="20"/>
          <w:lang w:val="en-US"/>
        </w:rPr>
      </w:pPr>
      <w:r w:rsidRPr="0039048D">
        <w:rPr>
          <w:rFonts w:ascii="Times New Roman" w:eastAsia="Times New Roman" w:hAnsi="Times New Roman" w:cs="Times New Roman"/>
          <w:noProof/>
          <w:sz w:val="20"/>
          <w:szCs w:val="20"/>
          <w:lang w:val="en-US"/>
        </w:rPr>
        <w:drawing>
          <wp:inline distT="0" distB="0" distL="0" distR="0" wp14:anchorId="171B2B9D" wp14:editId="0864F217">
            <wp:extent cx="5731510" cy="5017550"/>
            <wp:effectExtent l="19050" t="0" r="2540" b="0"/>
            <wp:docPr id="4" name="Picture 4" descr="G:\Mpox\Result-Table &amp; Figure\Stigmaste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pox\Result-Table &amp; Figure\Stigmasterol.png"/>
                    <pic:cNvPicPr>
                      <a:picLocks noChangeAspect="1" noChangeArrowheads="1"/>
                    </pic:cNvPicPr>
                  </pic:nvPicPr>
                  <pic:blipFill>
                    <a:blip r:embed="rId11" cstate="print"/>
                    <a:srcRect/>
                    <a:stretch>
                      <a:fillRect/>
                    </a:stretch>
                  </pic:blipFill>
                  <pic:spPr bwMode="auto">
                    <a:xfrm>
                      <a:off x="0" y="0"/>
                      <a:ext cx="5731510" cy="5017550"/>
                    </a:xfrm>
                    <a:prstGeom prst="rect">
                      <a:avLst/>
                    </a:prstGeom>
                    <a:noFill/>
                    <a:ln w="9525">
                      <a:noFill/>
                      <a:miter lim="800000"/>
                      <a:headEnd/>
                      <a:tailEnd/>
                    </a:ln>
                  </pic:spPr>
                </pic:pic>
              </a:graphicData>
            </a:graphic>
          </wp:inline>
        </w:drawing>
      </w:r>
    </w:p>
    <w:p w14:paraId="683E1079" w14:textId="77777777" w:rsidR="004235A8" w:rsidRPr="0039048D" w:rsidRDefault="004235A8" w:rsidP="002554C5">
      <w:pPr>
        <w:jc w:val="center"/>
        <w:rPr>
          <w:rFonts w:ascii="Times New Roman" w:eastAsia="Times New Roman" w:hAnsi="Times New Roman" w:cs="Times New Roman"/>
          <w:sz w:val="20"/>
          <w:szCs w:val="20"/>
          <w:lang w:val="en-US"/>
        </w:rPr>
      </w:pPr>
      <w:r w:rsidRPr="0039048D">
        <w:rPr>
          <w:rFonts w:ascii="Times New Roman" w:eastAsia="Times New Roman" w:hAnsi="Times New Roman" w:cs="Times New Roman"/>
          <w:sz w:val="20"/>
          <w:szCs w:val="20"/>
          <w:lang w:val="en-US"/>
        </w:rPr>
        <w:t>Figure4: Molecular interaction of 2'-O-methyltransferase with stigmasterol</w:t>
      </w:r>
    </w:p>
    <w:p w14:paraId="300AF3BC" w14:textId="77777777" w:rsidR="009C55DD" w:rsidRPr="0039048D" w:rsidRDefault="006E25A1" w:rsidP="00064FB9">
      <w:pPr>
        <w:spacing w:line="360" w:lineRule="auto"/>
        <w:jc w:val="both"/>
        <w:rPr>
          <w:b/>
        </w:rPr>
      </w:pPr>
      <w:r w:rsidRPr="0039048D">
        <w:rPr>
          <w:rFonts w:ascii="Times New Roman" w:hAnsi="Times New Roman" w:cs="Times New Roman"/>
          <w:sz w:val="24"/>
          <w:szCs w:val="24"/>
        </w:rPr>
        <w:t xml:space="preserve">Azadiradione interacts with Tyr77, Asp80, and His81. Campesterol forms key bonds with Asp95 and hydrophobic residues like Phe115 and Leu159. This indicates it is very stable. It forms hydrogen bonds with His99 and Asn104. This lowers its binding </w:t>
      </w:r>
      <w:r w:rsidR="00064FB9" w:rsidRPr="0039048D">
        <w:rPr>
          <w:rFonts w:ascii="Times New Roman" w:hAnsi="Times New Roman" w:cs="Times New Roman"/>
          <w:sz w:val="24"/>
          <w:szCs w:val="24"/>
        </w:rPr>
        <w:t>potential;</w:t>
      </w:r>
      <w:r w:rsidRPr="0039048D">
        <w:rPr>
          <w:rFonts w:ascii="Times New Roman" w:hAnsi="Times New Roman" w:cs="Times New Roman"/>
          <w:sz w:val="24"/>
          <w:szCs w:val="24"/>
        </w:rPr>
        <w:t xml:space="preserve"> with an affinity of -7.73 kcal/mol. Meliantriol and quercetin also bind strongly to important residues, like Asn199 and Gly68. They form hydrogen bonds with them. Nimbin and scopoletin form fewer interactions, resulting in moderate binding strength. Oleic acid and umbelliferone show weaker affinity, with limited hydrogen and hydrophobic bonds. The results show the different levels of molecular interactions. They suggest that stigmasterol, azadiradione, and campesterol are good drug candidates. They bind strongly to target proteins and stay bound. We can further </w:t>
      </w:r>
      <w:r w:rsidRPr="0039048D">
        <w:rPr>
          <w:rFonts w:ascii="Times New Roman" w:hAnsi="Times New Roman" w:cs="Times New Roman"/>
          <w:sz w:val="24"/>
          <w:szCs w:val="24"/>
        </w:rPr>
        <w:lastRenderedPageBreak/>
        <w:t xml:space="preserve">investigate these compounds for their potential uses. We may need to modify the weaker binding partners to improve their </w:t>
      </w:r>
      <w:proofErr w:type="gramStart"/>
      <w:r w:rsidRPr="0039048D">
        <w:rPr>
          <w:rFonts w:ascii="Times New Roman" w:hAnsi="Times New Roman" w:cs="Times New Roman"/>
          <w:sz w:val="24"/>
          <w:szCs w:val="24"/>
        </w:rPr>
        <w:t>affinity</w:t>
      </w:r>
      <w:r w:rsidR="00A3239A">
        <w:rPr>
          <w:rFonts w:ascii="Times New Roman" w:hAnsi="Times New Roman" w:cs="Times New Roman"/>
          <w:sz w:val="24"/>
          <w:szCs w:val="24"/>
        </w:rPr>
        <w:t>[</w:t>
      </w:r>
      <w:proofErr w:type="gramEnd"/>
      <w:r w:rsidR="00A3239A">
        <w:rPr>
          <w:rFonts w:ascii="Times New Roman" w:hAnsi="Times New Roman" w:cs="Times New Roman"/>
          <w:sz w:val="24"/>
          <w:szCs w:val="24"/>
        </w:rPr>
        <w:t>3</w:t>
      </w:r>
      <w:r w:rsidR="00800709">
        <w:rPr>
          <w:rFonts w:ascii="Times New Roman" w:hAnsi="Times New Roman" w:cs="Times New Roman"/>
          <w:sz w:val="24"/>
          <w:szCs w:val="24"/>
        </w:rPr>
        <w:t>6</w:t>
      </w:r>
      <w:r w:rsidR="00A3239A">
        <w:rPr>
          <w:rFonts w:ascii="Times New Roman" w:hAnsi="Times New Roman" w:cs="Times New Roman"/>
          <w:sz w:val="24"/>
          <w:szCs w:val="24"/>
        </w:rPr>
        <w:t>, 3</w:t>
      </w:r>
      <w:r w:rsidR="00800709">
        <w:rPr>
          <w:rFonts w:ascii="Times New Roman" w:hAnsi="Times New Roman" w:cs="Times New Roman"/>
          <w:sz w:val="24"/>
          <w:szCs w:val="24"/>
        </w:rPr>
        <w:t>7</w:t>
      </w:r>
      <w:r w:rsidR="00A3239A">
        <w:rPr>
          <w:rFonts w:ascii="Times New Roman" w:hAnsi="Times New Roman" w:cs="Times New Roman"/>
          <w:sz w:val="24"/>
          <w:szCs w:val="24"/>
        </w:rPr>
        <w:t>]</w:t>
      </w:r>
      <w:r w:rsidRPr="0039048D">
        <w:rPr>
          <w:rFonts w:ascii="Times New Roman" w:hAnsi="Times New Roman" w:cs="Times New Roman"/>
          <w:sz w:val="24"/>
          <w:szCs w:val="24"/>
        </w:rPr>
        <w:t xml:space="preserve">. The docking results shed light on how these natural compounds bind. This may help us develop new drugs and therapies. Identifying amino acid residues that bind helps develop targeted therapies. This study shows that compounds from </w:t>
      </w:r>
      <w:r w:rsidRPr="0039048D">
        <w:rPr>
          <w:rFonts w:ascii="Times New Roman" w:hAnsi="Times New Roman" w:cs="Times New Roman"/>
          <w:i/>
          <w:sz w:val="24"/>
          <w:szCs w:val="24"/>
        </w:rPr>
        <w:t>A</w:t>
      </w:r>
      <w:r w:rsidR="002A4F15" w:rsidRPr="0039048D">
        <w:rPr>
          <w:rFonts w:ascii="Times New Roman" w:hAnsi="Times New Roman" w:cs="Times New Roman"/>
          <w:i/>
          <w:sz w:val="24"/>
          <w:szCs w:val="24"/>
        </w:rPr>
        <w:t>.</w:t>
      </w:r>
      <w:r w:rsidRPr="0039048D">
        <w:rPr>
          <w:rFonts w:ascii="Times New Roman" w:hAnsi="Times New Roman" w:cs="Times New Roman"/>
          <w:i/>
          <w:sz w:val="24"/>
          <w:szCs w:val="24"/>
        </w:rPr>
        <w:t xml:space="preserve"> indica</w:t>
      </w:r>
      <w:r w:rsidRPr="0039048D">
        <w:rPr>
          <w:rFonts w:ascii="Times New Roman" w:hAnsi="Times New Roman" w:cs="Times New Roman"/>
          <w:sz w:val="24"/>
          <w:szCs w:val="24"/>
        </w:rPr>
        <w:t xml:space="preserve"> could help make new drugs. It shows the value of molecular docking studies in finding new drugs.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9"/>
        <w:gridCol w:w="1746"/>
        <w:gridCol w:w="1256"/>
        <w:gridCol w:w="1782"/>
        <w:gridCol w:w="2055"/>
      </w:tblGrid>
      <w:tr w:rsidR="009C55DD" w:rsidRPr="0039048D" w14:paraId="7665EBDA" w14:textId="77777777" w:rsidTr="00A36DD2">
        <w:tc>
          <w:tcPr>
            <w:tcW w:w="2069" w:type="dxa"/>
            <w:vAlign w:val="center"/>
          </w:tcPr>
          <w:p w14:paraId="2F353DDA" w14:textId="77777777" w:rsidR="009C55DD" w:rsidRPr="0039048D" w:rsidRDefault="009C55DD" w:rsidP="00A36DD2">
            <w:pPr>
              <w:spacing w:after="0" w:line="240" w:lineRule="auto"/>
              <w:rPr>
                <w:rFonts w:ascii="Times New Roman" w:eastAsia="Times New Roman" w:hAnsi="Times New Roman"/>
                <w:b/>
                <w:bCs/>
                <w:color w:val="000000"/>
                <w:sz w:val="24"/>
                <w:szCs w:val="24"/>
              </w:rPr>
            </w:pPr>
            <w:r w:rsidRPr="0039048D">
              <w:rPr>
                <w:rFonts w:ascii="Times New Roman" w:eastAsia="Times New Roman" w:hAnsi="Times New Roman"/>
                <w:b/>
                <w:bCs/>
                <w:color w:val="000000"/>
                <w:sz w:val="24"/>
                <w:szCs w:val="24"/>
              </w:rPr>
              <w:t>Compound (</w:t>
            </w:r>
            <w:r w:rsidRPr="0039048D">
              <w:rPr>
                <w:rFonts w:ascii="Times New Roman" w:eastAsia="Times New Roman" w:hAnsi="Times New Roman"/>
                <w:color w:val="000000"/>
                <w:sz w:val="24"/>
                <w:szCs w:val="24"/>
              </w:rPr>
              <w:t>5281426</w:t>
            </w:r>
            <w:r w:rsidRPr="0039048D">
              <w:rPr>
                <w:rFonts w:ascii="Times New Roman" w:eastAsia="Times New Roman" w:hAnsi="Times New Roman"/>
                <w:b/>
                <w:bCs/>
                <w:color w:val="000000"/>
                <w:sz w:val="24"/>
                <w:szCs w:val="24"/>
              </w:rPr>
              <w:t>)</w:t>
            </w:r>
          </w:p>
        </w:tc>
        <w:tc>
          <w:tcPr>
            <w:tcW w:w="1703" w:type="dxa"/>
            <w:vAlign w:val="center"/>
          </w:tcPr>
          <w:p w14:paraId="2892A3C5" w14:textId="77777777" w:rsidR="009C55DD" w:rsidRPr="0039048D" w:rsidRDefault="009C55DD" w:rsidP="00A36DD2">
            <w:pPr>
              <w:spacing w:after="0" w:line="240" w:lineRule="auto"/>
              <w:rPr>
                <w:rFonts w:ascii="Times New Roman" w:eastAsia="Times New Roman" w:hAnsi="Times New Roman"/>
                <w:b/>
                <w:bCs/>
                <w:color w:val="000000"/>
                <w:sz w:val="24"/>
                <w:szCs w:val="24"/>
              </w:rPr>
            </w:pPr>
            <w:r w:rsidRPr="0039048D">
              <w:rPr>
                <w:rFonts w:ascii="Times New Roman" w:eastAsia="Times New Roman" w:hAnsi="Times New Roman"/>
                <w:b/>
                <w:bCs/>
                <w:color w:val="000000"/>
                <w:sz w:val="24"/>
                <w:szCs w:val="24"/>
              </w:rPr>
              <w:t>Structure</w:t>
            </w:r>
          </w:p>
        </w:tc>
        <w:tc>
          <w:tcPr>
            <w:tcW w:w="1256" w:type="dxa"/>
            <w:tcBorders>
              <w:right w:val="single" w:sz="4" w:space="0" w:color="auto"/>
            </w:tcBorders>
            <w:vAlign w:val="center"/>
          </w:tcPr>
          <w:p w14:paraId="1CA192A9" w14:textId="77777777" w:rsidR="009C55DD" w:rsidRPr="0039048D" w:rsidRDefault="009C55DD" w:rsidP="00A36DD2">
            <w:pPr>
              <w:spacing w:after="0" w:line="240" w:lineRule="auto"/>
              <w:jc w:val="center"/>
              <w:rPr>
                <w:rFonts w:ascii="Times New Roman" w:eastAsia="Times New Roman" w:hAnsi="Times New Roman"/>
                <w:b/>
                <w:bCs/>
                <w:color w:val="000000"/>
                <w:sz w:val="24"/>
                <w:szCs w:val="24"/>
              </w:rPr>
            </w:pPr>
            <w:r w:rsidRPr="0039048D">
              <w:rPr>
                <w:rFonts w:ascii="Times New Roman" w:eastAsia="Times New Roman" w:hAnsi="Times New Roman"/>
                <w:b/>
                <w:bCs/>
                <w:color w:val="000000"/>
                <w:sz w:val="24"/>
                <w:szCs w:val="24"/>
              </w:rPr>
              <w:t>Affinity (kcal/mol)</w:t>
            </w:r>
          </w:p>
        </w:tc>
        <w:tc>
          <w:tcPr>
            <w:tcW w:w="2202" w:type="dxa"/>
            <w:tcBorders>
              <w:left w:val="single" w:sz="4" w:space="0" w:color="auto"/>
              <w:right w:val="single" w:sz="4" w:space="0" w:color="auto"/>
            </w:tcBorders>
            <w:vAlign w:val="center"/>
          </w:tcPr>
          <w:p w14:paraId="7D842BEA" w14:textId="77777777" w:rsidR="009C55DD" w:rsidRPr="0039048D" w:rsidRDefault="009C55DD" w:rsidP="00A36DD2">
            <w:pPr>
              <w:spacing w:after="0" w:line="240" w:lineRule="auto"/>
              <w:rPr>
                <w:rFonts w:ascii="Times New Roman" w:eastAsia="Times New Roman" w:hAnsi="Times New Roman"/>
                <w:b/>
                <w:bCs/>
                <w:color w:val="000000"/>
                <w:sz w:val="24"/>
                <w:szCs w:val="24"/>
              </w:rPr>
            </w:pPr>
            <w:r w:rsidRPr="0039048D">
              <w:rPr>
                <w:rFonts w:ascii="Times New Roman" w:eastAsia="Times New Roman" w:hAnsi="Times New Roman"/>
                <w:b/>
                <w:bCs/>
                <w:color w:val="000000"/>
                <w:sz w:val="24"/>
                <w:szCs w:val="24"/>
              </w:rPr>
              <w:t xml:space="preserve">Amino acid residues </w:t>
            </w:r>
          </w:p>
          <w:p w14:paraId="5295BDFF" w14:textId="77777777" w:rsidR="009C55DD" w:rsidRPr="0039048D" w:rsidRDefault="009C55DD" w:rsidP="00A36DD2">
            <w:pPr>
              <w:spacing w:after="0" w:line="240" w:lineRule="auto"/>
              <w:rPr>
                <w:rFonts w:ascii="Times New Roman" w:eastAsia="Times New Roman" w:hAnsi="Times New Roman"/>
                <w:b/>
                <w:bCs/>
                <w:color w:val="000000"/>
                <w:sz w:val="24"/>
                <w:szCs w:val="24"/>
              </w:rPr>
            </w:pPr>
            <w:r w:rsidRPr="0039048D">
              <w:rPr>
                <w:rFonts w:ascii="Times New Roman" w:eastAsia="Times New Roman" w:hAnsi="Times New Roman"/>
                <w:b/>
                <w:bCs/>
                <w:color w:val="000000"/>
                <w:sz w:val="24"/>
                <w:szCs w:val="24"/>
              </w:rPr>
              <w:t>(H-Bond)</w:t>
            </w:r>
          </w:p>
        </w:tc>
        <w:tc>
          <w:tcPr>
            <w:tcW w:w="2238" w:type="dxa"/>
            <w:tcBorders>
              <w:left w:val="single" w:sz="4" w:space="0" w:color="auto"/>
            </w:tcBorders>
            <w:vAlign w:val="center"/>
          </w:tcPr>
          <w:p w14:paraId="55A6C191" w14:textId="77777777" w:rsidR="009C55DD" w:rsidRPr="0039048D" w:rsidRDefault="009C55DD" w:rsidP="00A36DD2">
            <w:pPr>
              <w:spacing w:after="0" w:line="240" w:lineRule="auto"/>
              <w:rPr>
                <w:rFonts w:ascii="Times New Roman" w:eastAsia="Times New Roman" w:hAnsi="Times New Roman"/>
                <w:b/>
                <w:bCs/>
                <w:color w:val="000000"/>
                <w:sz w:val="24"/>
                <w:szCs w:val="24"/>
              </w:rPr>
            </w:pPr>
            <w:r w:rsidRPr="0039048D">
              <w:rPr>
                <w:rFonts w:ascii="Times New Roman" w:eastAsia="Times New Roman" w:hAnsi="Times New Roman"/>
                <w:b/>
                <w:bCs/>
                <w:color w:val="000000"/>
                <w:sz w:val="24"/>
                <w:szCs w:val="24"/>
              </w:rPr>
              <w:t xml:space="preserve">Amino acid residues </w:t>
            </w:r>
          </w:p>
          <w:p w14:paraId="795CC106" w14:textId="77777777" w:rsidR="009C55DD" w:rsidRPr="0039048D" w:rsidRDefault="009C55DD" w:rsidP="00A36DD2">
            <w:pPr>
              <w:spacing w:after="0" w:line="240" w:lineRule="auto"/>
              <w:rPr>
                <w:rFonts w:ascii="Times New Roman" w:eastAsia="Times New Roman" w:hAnsi="Times New Roman"/>
                <w:b/>
                <w:bCs/>
                <w:color w:val="000000"/>
                <w:sz w:val="24"/>
                <w:szCs w:val="24"/>
              </w:rPr>
            </w:pPr>
            <w:r w:rsidRPr="0039048D">
              <w:rPr>
                <w:rFonts w:ascii="Times New Roman" w:eastAsia="Times New Roman" w:hAnsi="Times New Roman"/>
                <w:b/>
                <w:bCs/>
                <w:color w:val="000000"/>
                <w:sz w:val="24"/>
                <w:szCs w:val="24"/>
              </w:rPr>
              <w:t>(Hydrophobic-Bond)</w:t>
            </w:r>
          </w:p>
        </w:tc>
      </w:tr>
      <w:tr w:rsidR="009C55DD" w:rsidRPr="0039048D" w14:paraId="20A05B65" w14:textId="77777777" w:rsidTr="00A36DD2">
        <w:trPr>
          <w:trHeight w:val="242"/>
        </w:trPr>
        <w:tc>
          <w:tcPr>
            <w:tcW w:w="2069" w:type="dxa"/>
            <w:vAlign w:val="center"/>
          </w:tcPr>
          <w:p w14:paraId="3F1600F5"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Stigmasterol</w:t>
            </w:r>
          </w:p>
          <w:p w14:paraId="4A2F8D19"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(5280794)</w:t>
            </w:r>
          </w:p>
        </w:tc>
        <w:tc>
          <w:tcPr>
            <w:tcW w:w="1703" w:type="dxa"/>
          </w:tcPr>
          <w:p w14:paraId="1D44C69C"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noProof/>
                <w:color w:val="000000"/>
                <w:sz w:val="24"/>
                <w:szCs w:val="24"/>
                <w:lang w:val="en-US"/>
              </w:rPr>
              <w:drawing>
                <wp:inline distT="0" distB="0" distL="0" distR="0" wp14:anchorId="23A81DD8" wp14:editId="038DB7DF">
                  <wp:extent cx="914400" cy="914400"/>
                  <wp:effectExtent l="19050" t="0" r="0" b="0"/>
                  <wp:docPr id="6" name="Picture 6" descr="Stigma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igmasterol"/>
                          <pic:cNvPicPr>
                            <a:picLocks noChangeAspect="1" noChangeArrowheads="1"/>
                          </pic:cNvPicPr>
                        </pic:nvPicPr>
                        <pic:blipFill>
                          <a:blip r:embed="rId12"/>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1256" w:type="dxa"/>
            <w:tcBorders>
              <w:right w:val="single" w:sz="4" w:space="0" w:color="auto"/>
            </w:tcBorders>
            <w:vAlign w:val="center"/>
          </w:tcPr>
          <w:p w14:paraId="72840FEF" w14:textId="77777777" w:rsidR="009C55DD" w:rsidRPr="0039048D" w:rsidRDefault="009C55DD" w:rsidP="00A36DD2">
            <w:pPr>
              <w:spacing w:after="0" w:line="240" w:lineRule="auto"/>
              <w:jc w:val="center"/>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-7.98</w:t>
            </w:r>
          </w:p>
        </w:tc>
        <w:tc>
          <w:tcPr>
            <w:tcW w:w="2202" w:type="dxa"/>
            <w:tcBorders>
              <w:left w:val="single" w:sz="4" w:space="0" w:color="auto"/>
              <w:right w:val="single" w:sz="4" w:space="0" w:color="auto"/>
            </w:tcBorders>
            <w:vAlign w:val="center"/>
          </w:tcPr>
          <w:p w14:paraId="4F6425AE"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Asn273</w:t>
            </w:r>
          </w:p>
        </w:tc>
        <w:tc>
          <w:tcPr>
            <w:tcW w:w="2238" w:type="dxa"/>
            <w:tcBorders>
              <w:left w:val="single" w:sz="4" w:space="0" w:color="auto"/>
            </w:tcBorders>
            <w:vAlign w:val="center"/>
          </w:tcPr>
          <w:p w14:paraId="500666BE"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Arg76, Tyr77, Asp80, HIsIle102, Phe293</w:t>
            </w:r>
          </w:p>
        </w:tc>
      </w:tr>
      <w:tr w:rsidR="009C55DD" w:rsidRPr="0039048D" w14:paraId="6E5CAC71" w14:textId="77777777" w:rsidTr="00A36DD2">
        <w:tc>
          <w:tcPr>
            <w:tcW w:w="2069" w:type="dxa"/>
            <w:vAlign w:val="center"/>
          </w:tcPr>
          <w:p w14:paraId="42DEF966"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Azadiradione (12308714)</w:t>
            </w:r>
          </w:p>
        </w:tc>
        <w:tc>
          <w:tcPr>
            <w:tcW w:w="1703" w:type="dxa"/>
          </w:tcPr>
          <w:p w14:paraId="7F12915F"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noProof/>
                <w:color w:val="000000"/>
                <w:sz w:val="24"/>
                <w:szCs w:val="24"/>
                <w:lang w:val="en-US"/>
              </w:rPr>
              <w:drawing>
                <wp:inline distT="0" distB="0" distL="0" distR="0" wp14:anchorId="6ED395AA" wp14:editId="462188AD">
                  <wp:extent cx="904875" cy="904875"/>
                  <wp:effectExtent l="19050" t="0" r="9525" b="0"/>
                  <wp:docPr id="7" name="Picture 7" descr="Azadirad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zadiradione"/>
                          <pic:cNvPicPr>
                            <a:picLocks noChangeAspect="1" noChangeArrowheads="1"/>
                          </pic:cNvPicPr>
                        </pic:nvPicPr>
                        <pic:blipFill>
                          <a:blip r:embed="rId13"/>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c>
          <w:tcPr>
            <w:tcW w:w="1256" w:type="dxa"/>
            <w:tcBorders>
              <w:right w:val="single" w:sz="4" w:space="0" w:color="auto"/>
            </w:tcBorders>
            <w:vAlign w:val="center"/>
          </w:tcPr>
          <w:p w14:paraId="065FE91E" w14:textId="77777777" w:rsidR="009C55DD" w:rsidRPr="0039048D" w:rsidRDefault="009C55DD" w:rsidP="00A36DD2">
            <w:pPr>
              <w:spacing w:after="0" w:line="240" w:lineRule="auto"/>
              <w:jc w:val="center"/>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-7.80</w:t>
            </w:r>
          </w:p>
        </w:tc>
        <w:tc>
          <w:tcPr>
            <w:tcW w:w="2202" w:type="dxa"/>
            <w:tcBorders>
              <w:left w:val="single" w:sz="4" w:space="0" w:color="auto"/>
              <w:right w:val="single" w:sz="4" w:space="0" w:color="auto"/>
            </w:tcBorders>
            <w:vAlign w:val="center"/>
          </w:tcPr>
          <w:p w14:paraId="287EE443"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Tyr77, Asp80, His81</w:t>
            </w:r>
          </w:p>
        </w:tc>
        <w:tc>
          <w:tcPr>
            <w:tcW w:w="2238" w:type="dxa"/>
            <w:tcBorders>
              <w:left w:val="single" w:sz="4" w:space="0" w:color="auto"/>
            </w:tcBorders>
            <w:vAlign w:val="center"/>
          </w:tcPr>
          <w:p w14:paraId="2707B94E"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Tyr77, Asp80, Asn84, Asn273, Lys274, Phe285</w:t>
            </w:r>
          </w:p>
        </w:tc>
      </w:tr>
      <w:tr w:rsidR="009C55DD" w:rsidRPr="0039048D" w14:paraId="4D9FED3A" w14:textId="77777777" w:rsidTr="00A36DD2">
        <w:tc>
          <w:tcPr>
            <w:tcW w:w="2069" w:type="dxa"/>
            <w:vAlign w:val="center"/>
          </w:tcPr>
          <w:p w14:paraId="74505359"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Campesterol (173183)</w:t>
            </w:r>
          </w:p>
        </w:tc>
        <w:tc>
          <w:tcPr>
            <w:tcW w:w="1703" w:type="dxa"/>
            <w:vAlign w:val="center"/>
          </w:tcPr>
          <w:p w14:paraId="489A778A"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noProof/>
                <w:color w:val="000000"/>
                <w:sz w:val="24"/>
                <w:szCs w:val="24"/>
                <w:lang w:val="en-US"/>
              </w:rPr>
              <w:drawing>
                <wp:inline distT="0" distB="0" distL="0" distR="0" wp14:anchorId="0F8540AC" wp14:editId="060EC893">
                  <wp:extent cx="904875" cy="904875"/>
                  <wp:effectExtent l="19050" t="0" r="9525" b="0"/>
                  <wp:docPr id="8" name="Picture 8" descr="Campe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pesterol"/>
                          <pic:cNvPicPr>
                            <a:picLocks noChangeAspect="1" noChangeArrowheads="1"/>
                          </pic:cNvPicPr>
                        </pic:nvPicPr>
                        <pic:blipFill>
                          <a:blip r:embed="rId14"/>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c>
          <w:tcPr>
            <w:tcW w:w="1256" w:type="dxa"/>
            <w:tcBorders>
              <w:right w:val="single" w:sz="4" w:space="0" w:color="auto"/>
            </w:tcBorders>
            <w:vAlign w:val="center"/>
          </w:tcPr>
          <w:p w14:paraId="68E8CCDC" w14:textId="77777777" w:rsidR="009C55DD" w:rsidRPr="0039048D" w:rsidRDefault="009C55DD" w:rsidP="00A36DD2">
            <w:pPr>
              <w:spacing w:after="0" w:line="240" w:lineRule="auto"/>
              <w:jc w:val="center"/>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-7.80</w:t>
            </w:r>
          </w:p>
        </w:tc>
        <w:tc>
          <w:tcPr>
            <w:tcW w:w="2202" w:type="dxa"/>
            <w:tcBorders>
              <w:left w:val="single" w:sz="4" w:space="0" w:color="auto"/>
              <w:right w:val="single" w:sz="4" w:space="0" w:color="auto"/>
            </w:tcBorders>
            <w:vAlign w:val="center"/>
          </w:tcPr>
          <w:p w14:paraId="46080B0F"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Asp95</w:t>
            </w:r>
          </w:p>
        </w:tc>
        <w:tc>
          <w:tcPr>
            <w:tcW w:w="2238" w:type="dxa"/>
            <w:tcBorders>
              <w:left w:val="single" w:sz="4" w:space="0" w:color="auto"/>
            </w:tcBorders>
            <w:vAlign w:val="center"/>
          </w:tcPr>
          <w:p w14:paraId="3D9D10F2"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Phe115, Asp117, Val139, Ala158, Leu159</w:t>
            </w:r>
          </w:p>
        </w:tc>
      </w:tr>
      <w:tr w:rsidR="009C55DD" w:rsidRPr="0039048D" w14:paraId="51CBD2FA" w14:textId="77777777" w:rsidTr="00A36DD2">
        <w:tc>
          <w:tcPr>
            <w:tcW w:w="2069" w:type="dxa"/>
            <w:vAlign w:val="center"/>
          </w:tcPr>
          <w:p w14:paraId="0B5CB7B2"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Epoxyazadiradione</w:t>
            </w:r>
          </w:p>
          <w:p w14:paraId="7EFFD12C"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(49863985)</w:t>
            </w:r>
          </w:p>
        </w:tc>
        <w:tc>
          <w:tcPr>
            <w:tcW w:w="1703" w:type="dxa"/>
            <w:vAlign w:val="center"/>
          </w:tcPr>
          <w:p w14:paraId="370876F4"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noProof/>
                <w:color w:val="000000"/>
                <w:sz w:val="24"/>
                <w:szCs w:val="24"/>
                <w:lang w:val="en-US"/>
              </w:rPr>
              <w:drawing>
                <wp:inline distT="0" distB="0" distL="0" distR="0" wp14:anchorId="00316AD3" wp14:editId="02DBD5B5">
                  <wp:extent cx="923925" cy="923925"/>
                  <wp:effectExtent l="19050" t="0" r="9525" b="0"/>
                  <wp:docPr id="9" name="Picture 9" descr="Epoxyazadirad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oxyazadiradione"/>
                          <pic:cNvPicPr>
                            <a:picLocks noChangeAspect="1" noChangeArrowheads="1"/>
                          </pic:cNvPicPr>
                        </pic:nvPicPr>
                        <pic:blipFill>
                          <a:blip r:embed="rId15"/>
                          <a:srcRect/>
                          <a:stretch>
                            <a:fillRect/>
                          </a:stretch>
                        </pic:blipFill>
                        <pic:spPr bwMode="auto">
                          <a:xfrm>
                            <a:off x="0" y="0"/>
                            <a:ext cx="923925" cy="923925"/>
                          </a:xfrm>
                          <a:prstGeom prst="rect">
                            <a:avLst/>
                          </a:prstGeom>
                          <a:noFill/>
                          <a:ln w="9525">
                            <a:noFill/>
                            <a:miter lim="800000"/>
                            <a:headEnd/>
                            <a:tailEnd/>
                          </a:ln>
                        </pic:spPr>
                      </pic:pic>
                    </a:graphicData>
                  </a:graphic>
                </wp:inline>
              </w:drawing>
            </w:r>
          </w:p>
        </w:tc>
        <w:tc>
          <w:tcPr>
            <w:tcW w:w="1256" w:type="dxa"/>
            <w:tcBorders>
              <w:right w:val="single" w:sz="4" w:space="0" w:color="auto"/>
            </w:tcBorders>
            <w:vAlign w:val="center"/>
          </w:tcPr>
          <w:p w14:paraId="5AC82CC1" w14:textId="77777777" w:rsidR="009C55DD" w:rsidRPr="0039048D" w:rsidRDefault="009C55DD" w:rsidP="00A36DD2">
            <w:pPr>
              <w:spacing w:after="0" w:line="240" w:lineRule="auto"/>
              <w:jc w:val="center"/>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-7.73</w:t>
            </w:r>
          </w:p>
        </w:tc>
        <w:tc>
          <w:tcPr>
            <w:tcW w:w="2202" w:type="dxa"/>
            <w:tcBorders>
              <w:left w:val="single" w:sz="4" w:space="0" w:color="auto"/>
              <w:right w:val="single" w:sz="4" w:space="0" w:color="auto"/>
            </w:tcBorders>
            <w:vAlign w:val="center"/>
          </w:tcPr>
          <w:p w14:paraId="4C69D835"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His99, Asn104, Thr10, Gly105</w:t>
            </w:r>
          </w:p>
        </w:tc>
        <w:tc>
          <w:tcPr>
            <w:tcW w:w="2238" w:type="dxa"/>
            <w:tcBorders>
              <w:left w:val="single" w:sz="4" w:space="0" w:color="auto"/>
            </w:tcBorders>
            <w:vAlign w:val="center"/>
          </w:tcPr>
          <w:p w14:paraId="139838E8"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Leu111</w:t>
            </w:r>
          </w:p>
        </w:tc>
      </w:tr>
      <w:tr w:rsidR="009C55DD" w:rsidRPr="0039048D" w14:paraId="75CE38D4" w14:textId="77777777" w:rsidTr="00A36DD2">
        <w:tc>
          <w:tcPr>
            <w:tcW w:w="2069" w:type="dxa"/>
            <w:vAlign w:val="center"/>
          </w:tcPr>
          <w:p w14:paraId="1369B197"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Meliantriol (185586)</w:t>
            </w:r>
          </w:p>
        </w:tc>
        <w:tc>
          <w:tcPr>
            <w:tcW w:w="1703" w:type="dxa"/>
            <w:vAlign w:val="center"/>
          </w:tcPr>
          <w:p w14:paraId="58CEAF7E"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noProof/>
                <w:color w:val="000000"/>
                <w:sz w:val="24"/>
                <w:szCs w:val="24"/>
                <w:lang w:val="en-US"/>
              </w:rPr>
              <w:drawing>
                <wp:inline distT="0" distB="0" distL="0" distR="0" wp14:anchorId="46A224F2" wp14:editId="557035DD">
                  <wp:extent cx="923925" cy="923925"/>
                  <wp:effectExtent l="19050" t="0" r="9525" b="0"/>
                  <wp:docPr id="10" name="Picture 10" descr="Meliantr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liantriol"/>
                          <pic:cNvPicPr>
                            <a:picLocks noChangeAspect="1" noChangeArrowheads="1"/>
                          </pic:cNvPicPr>
                        </pic:nvPicPr>
                        <pic:blipFill>
                          <a:blip r:embed="rId16"/>
                          <a:srcRect/>
                          <a:stretch>
                            <a:fillRect/>
                          </a:stretch>
                        </pic:blipFill>
                        <pic:spPr bwMode="auto">
                          <a:xfrm>
                            <a:off x="0" y="0"/>
                            <a:ext cx="923925" cy="923925"/>
                          </a:xfrm>
                          <a:prstGeom prst="rect">
                            <a:avLst/>
                          </a:prstGeom>
                          <a:noFill/>
                          <a:ln w="9525">
                            <a:noFill/>
                            <a:miter lim="800000"/>
                            <a:headEnd/>
                            <a:tailEnd/>
                          </a:ln>
                        </pic:spPr>
                      </pic:pic>
                    </a:graphicData>
                  </a:graphic>
                </wp:inline>
              </w:drawing>
            </w:r>
          </w:p>
        </w:tc>
        <w:tc>
          <w:tcPr>
            <w:tcW w:w="1256" w:type="dxa"/>
            <w:tcBorders>
              <w:right w:val="single" w:sz="4" w:space="0" w:color="auto"/>
            </w:tcBorders>
            <w:vAlign w:val="center"/>
          </w:tcPr>
          <w:p w14:paraId="0C2F531D" w14:textId="77777777" w:rsidR="009C55DD" w:rsidRPr="0039048D" w:rsidRDefault="009C55DD" w:rsidP="00A36DD2">
            <w:pPr>
              <w:spacing w:after="0" w:line="240" w:lineRule="auto"/>
              <w:jc w:val="center"/>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-7.45</w:t>
            </w:r>
          </w:p>
        </w:tc>
        <w:tc>
          <w:tcPr>
            <w:tcW w:w="2202" w:type="dxa"/>
            <w:tcBorders>
              <w:left w:val="single" w:sz="4" w:space="0" w:color="auto"/>
              <w:right w:val="single" w:sz="4" w:space="0" w:color="auto"/>
            </w:tcBorders>
            <w:vAlign w:val="center"/>
          </w:tcPr>
          <w:p w14:paraId="0E9426F3"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Asn199, Asn218, Arg220</w:t>
            </w:r>
          </w:p>
        </w:tc>
        <w:tc>
          <w:tcPr>
            <w:tcW w:w="2238" w:type="dxa"/>
            <w:tcBorders>
              <w:left w:val="single" w:sz="4" w:space="0" w:color="auto"/>
            </w:tcBorders>
            <w:vAlign w:val="center"/>
          </w:tcPr>
          <w:p w14:paraId="64A70095"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Tyr12, His192, Ile213, Tyr214</w:t>
            </w:r>
          </w:p>
        </w:tc>
      </w:tr>
      <w:tr w:rsidR="009C55DD" w:rsidRPr="0039048D" w14:paraId="7188B33A" w14:textId="77777777" w:rsidTr="00A36DD2">
        <w:trPr>
          <w:trHeight w:val="315"/>
        </w:trPr>
        <w:tc>
          <w:tcPr>
            <w:tcW w:w="2069" w:type="dxa"/>
            <w:noWrap/>
            <w:vAlign w:val="center"/>
            <w:hideMark/>
          </w:tcPr>
          <w:p w14:paraId="03672204"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Quercetin (5280343)</w:t>
            </w:r>
          </w:p>
        </w:tc>
        <w:tc>
          <w:tcPr>
            <w:tcW w:w="1703" w:type="dxa"/>
            <w:noWrap/>
            <w:vAlign w:val="center"/>
            <w:hideMark/>
          </w:tcPr>
          <w:p w14:paraId="2690B6D1"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noProof/>
                <w:color w:val="000000"/>
                <w:sz w:val="24"/>
                <w:szCs w:val="24"/>
                <w:lang w:val="en-US"/>
              </w:rPr>
              <w:drawing>
                <wp:inline distT="0" distB="0" distL="0" distR="0" wp14:anchorId="4CCF30A8" wp14:editId="438A80E9">
                  <wp:extent cx="923925" cy="923925"/>
                  <wp:effectExtent l="19050" t="0" r="9525" b="0"/>
                  <wp:docPr id="11" name="Picture 11" descr="Querc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rcetin"/>
                          <pic:cNvPicPr>
                            <a:picLocks noChangeAspect="1" noChangeArrowheads="1"/>
                          </pic:cNvPicPr>
                        </pic:nvPicPr>
                        <pic:blipFill>
                          <a:blip r:embed="rId17"/>
                          <a:srcRect/>
                          <a:stretch>
                            <a:fillRect/>
                          </a:stretch>
                        </pic:blipFill>
                        <pic:spPr bwMode="auto">
                          <a:xfrm>
                            <a:off x="0" y="0"/>
                            <a:ext cx="923925" cy="923925"/>
                          </a:xfrm>
                          <a:prstGeom prst="rect">
                            <a:avLst/>
                          </a:prstGeom>
                          <a:noFill/>
                          <a:ln w="9525">
                            <a:noFill/>
                            <a:miter lim="800000"/>
                            <a:headEnd/>
                            <a:tailEnd/>
                          </a:ln>
                        </pic:spPr>
                      </pic:pic>
                    </a:graphicData>
                  </a:graphic>
                </wp:inline>
              </w:drawing>
            </w:r>
          </w:p>
        </w:tc>
        <w:tc>
          <w:tcPr>
            <w:tcW w:w="1256" w:type="dxa"/>
            <w:tcBorders>
              <w:right w:val="single" w:sz="4" w:space="0" w:color="auto"/>
            </w:tcBorders>
            <w:noWrap/>
            <w:vAlign w:val="center"/>
          </w:tcPr>
          <w:p w14:paraId="18C22EB8" w14:textId="77777777" w:rsidR="009C55DD" w:rsidRPr="0039048D" w:rsidRDefault="009C55DD" w:rsidP="00A36DD2">
            <w:pPr>
              <w:spacing w:after="0" w:line="240" w:lineRule="auto"/>
              <w:jc w:val="center"/>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-7.27</w:t>
            </w:r>
          </w:p>
        </w:tc>
        <w:tc>
          <w:tcPr>
            <w:tcW w:w="2202" w:type="dxa"/>
            <w:tcBorders>
              <w:top w:val="single" w:sz="4" w:space="0" w:color="auto"/>
              <w:left w:val="single" w:sz="4" w:space="0" w:color="auto"/>
              <w:right w:val="single" w:sz="4" w:space="0" w:color="auto"/>
            </w:tcBorders>
            <w:vAlign w:val="center"/>
          </w:tcPr>
          <w:p w14:paraId="6C87048F"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Gly68, Ile94, Asp95, Val,116, Asp138, Arg140</w:t>
            </w:r>
          </w:p>
        </w:tc>
        <w:tc>
          <w:tcPr>
            <w:tcW w:w="2238" w:type="dxa"/>
            <w:tcBorders>
              <w:top w:val="single" w:sz="4" w:space="0" w:color="auto"/>
              <w:left w:val="single" w:sz="4" w:space="0" w:color="auto"/>
            </w:tcBorders>
            <w:vAlign w:val="center"/>
          </w:tcPr>
          <w:p w14:paraId="12C6D93D"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Val139, Arg140</w:t>
            </w:r>
          </w:p>
        </w:tc>
      </w:tr>
      <w:tr w:rsidR="009C55DD" w:rsidRPr="0039048D" w14:paraId="3F83107E" w14:textId="77777777" w:rsidTr="00A36DD2">
        <w:trPr>
          <w:trHeight w:val="315"/>
        </w:trPr>
        <w:tc>
          <w:tcPr>
            <w:tcW w:w="2069" w:type="dxa"/>
            <w:noWrap/>
            <w:vAlign w:val="center"/>
            <w:hideMark/>
          </w:tcPr>
          <w:p w14:paraId="2450AF82"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lastRenderedPageBreak/>
              <w:t>Nimbin (108058)</w:t>
            </w:r>
          </w:p>
        </w:tc>
        <w:tc>
          <w:tcPr>
            <w:tcW w:w="1703" w:type="dxa"/>
            <w:noWrap/>
            <w:vAlign w:val="center"/>
            <w:hideMark/>
          </w:tcPr>
          <w:p w14:paraId="4669D662"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noProof/>
                <w:color w:val="000000"/>
                <w:sz w:val="24"/>
                <w:szCs w:val="24"/>
                <w:lang w:val="en-US"/>
              </w:rPr>
              <w:drawing>
                <wp:inline distT="0" distB="0" distL="0" distR="0" wp14:anchorId="3380495B" wp14:editId="5B8AF250">
                  <wp:extent cx="942975" cy="942975"/>
                  <wp:effectExtent l="19050" t="0" r="9525" b="0"/>
                  <wp:docPr id="12" name="Picture 12" descr="Nim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mbin"/>
                          <pic:cNvPicPr>
                            <a:picLocks noChangeAspect="1" noChangeArrowheads="1"/>
                          </pic:cNvPicPr>
                        </pic:nvPicPr>
                        <pic:blipFill>
                          <a:blip r:embed="rId18"/>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1256" w:type="dxa"/>
            <w:tcBorders>
              <w:right w:val="single" w:sz="4" w:space="0" w:color="auto"/>
            </w:tcBorders>
            <w:noWrap/>
            <w:vAlign w:val="center"/>
          </w:tcPr>
          <w:p w14:paraId="6552445E" w14:textId="77777777" w:rsidR="009C55DD" w:rsidRPr="0039048D" w:rsidRDefault="009C55DD" w:rsidP="00A36DD2">
            <w:pPr>
              <w:spacing w:after="0" w:line="240" w:lineRule="auto"/>
              <w:jc w:val="center"/>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-6.96</w:t>
            </w:r>
          </w:p>
        </w:tc>
        <w:tc>
          <w:tcPr>
            <w:tcW w:w="2202" w:type="dxa"/>
            <w:tcBorders>
              <w:left w:val="single" w:sz="4" w:space="0" w:color="auto"/>
              <w:right w:val="single" w:sz="4" w:space="0" w:color="auto"/>
            </w:tcBorders>
            <w:vAlign w:val="center"/>
          </w:tcPr>
          <w:p w14:paraId="2015B107"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Tyr22, Tyr204, Ala206</w:t>
            </w:r>
          </w:p>
        </w:tc>
        <w:tc>
          <w:tcPr>
            <w:tcW w:w="2238" w:type="dxa"/>
            <w:tcBorders>
              <w:left w:val="single" w:sz="4" w:space="0" w:color="auto"/>
            </w:tcBorders>
            <w:vAlign w:val="center"/>
          </w:tcPr>
          <w:p w14:paraId="7B351C13"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Tyr22, Phe180, pro202, Tyr204</w:t>
            </w:r>
          </w:p>
        </w:tc>
      </w:tr>
      <w:tr w:rsidR="009C55DD" w:rsidRPr="0039048D" w14:paraId="5B83D244" w14:textId="77777777" w:rsidTr="00A36DD2">
        <w:trPr>
          <w:trHeight w:val="315"/>
        </w:trPr>
        <w:tc>
          <w:tcPr>
            <w:tcW w:w="2069" w:type="dxa"/>
            <w:noWrap/>
            <w:vAlign w:val="center"/>
            <w:hideMark/>
          </w:tcPr>
          <w:p w14:paraId="221C9AE6"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Scopoletin (5280460)</w:t>
            </w:r>
          </w:p>
        </w:tc>
        <w:tc>
          <w:tcPr>
            <w:tcW w:w="1703" w:type="dxa"/>
            <w:noWrap/>
            <w:vAlign w:val="center"/>
            <w:hideMark/>
          </w:tcPr>
          <w:p w14:paraId="3E6F3D53"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noProof/>
                <w:color w:val="000000"/>
                <w:sz w:val="24"/>
                <w:szCs w:val="24"/>
                <w:lang w:val="en-US"/>
              </w:rPr>
              <w:drawing>
                <wp:inline distT="0" distB="0" distL="0" distR="0" wp14:anchorId="7C7EC11F" wp14:editId="25C3CF34">
                  <wp:extent cx="914400" cy="914400"/>
                  <wp:effectExtent l="19050" t="0" r="0" b="0"/>
                  <wp:docPr id="13" name="Picture 13" descr="Scopo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opoletin"/>
                          <pic:cNvPicPr>
                            <a:picLocks noChangeAspect="1" noChangeArrowheads="1"/>
                          </pic:cNvPicPr>
                        </pic:nvPicPr>
                        <pic:blipFill>
                          <a:blip r:embed="rId1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1256" w:type="dxa"/>
            <w:tcBorders>
              <w:right w:val="single" w:sz="4" w:space="0" w:color="auto"/>
            </w:tcBorders>
            <w:noWrap/>
            <w:vAlign w:val="center"/>
            <w:hideMark/>
          </w:tcPr>
          <w:p w14:paraId="4C9075D7" w14:textId="77777777" w:rsidR="009C55DD" w:rsidRPr="0039048D" w:rsidRDefault="009C55DD" w:rsidP="00A36DD2">
            <w:pPr>
              <w:spacing w:after="0" w:line="240" w:lineRule="auto"/>
              <w:jc w:val="center"/>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-6.21</w:t>
            </w:r>
          </w:p>
        </w:tc>
        <w:tc>
          <w:tcPr>
            <w:tcW w:w="2202" w:type="dxa"/>
            <w:tcBorders>
              <w:left w:val="single" w:sz="4" w:space="0" w:color="auto"/>
              <w:right w:val="single" w:sz="4" w:space="0" w:color="auto"/>
            </w:tcBorders>
            <w:vAlign w:val="center"/>
          </w:tcPr>
          <w:p w14:paraId="5D058708"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Ile94, Arg114, Val116, Ser141</w:t>
            </w:r>
          </w:p>
        </w:tc>
        <w:tc>
          <w:tcPr>
            <w:tcW w:w="2238" w:type="dxa"/>
            <w:tcBorders>
              <w:left w:val="single" w:sz="4" w:space="0" w:color="auto"/>
            </w:tcBorders>
            <w:vAlign w:val="center"/>
          </w:tcPr>
          <w:p w14:paraId="381A1426"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Phe115</w:t>
            </w:r>
          </w:p>
        </w:tc>
      </w:tr>
      <w:tr w:rsidR="009C55DD" w:rsidRPr="0039048D" w14:paraId="64FD6481" w14:textId="77777777" w:rsidTr="00A36DD2">
        <w:trPr>
          <w:trHeight w:val="557"/>
        </w:trPr>
        <w:tc>
          <w:tcPr>
            <w:tcW w:w="2069" w:type="dxa"/>
            <w:noWrap/>
            <w:vAlign w:val="center"/>
            <w:hideMark/>
          </w:tcPr>
          <w:p w14:paraId="6B265A16"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Oleic Acid (445639)</w:t>
            </w:r>
          </w:p>
        </w:tc>
        <w:tc>
          <w:tcPr>
            <w:tcW w:w="1703" w:type="dxa"/>
            <w:noWrap/>
            <w:vAlign w:val="center"/>
            <w:hideMark/>
          </w:tcPr>
          <w:p w14:paraId="395AE099"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noProof/>
                <w:lang w:val="en-US"/>
              </w:rPr>
              <w:drawing>
                <wp:inline distT="0" distB="0" distL="0" distR="0" wp14:anchorId="63F0CAFD" wp14:editId="27A84898">
                  <wp:extent cx="942975" cy="942975"/>
                  <wp:effectExtent l="19050" t="0" r="9525" b="0"/>
                  <wp:docPr id="14" name="Picture 14" descr="Linole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oleic Acid"/>
                          <pic:cNvPicPr>
                            <a:picLocks noChangeAspect="1" noChangeArrowheads="1"/>
                          </pic:cNvPicPr>
                        </pic:nvPicPr>
                        <pic:blipFill>
                          <a:blip r:embed="rId20"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1256" w:type="dxa"/>
            <w:tcBorders>
              <w:right w:val="single" w:sz="4" w:space="0" w:color="auto"/>
            </w:tcBorders>
            <w:noWrap/>
            <w:vAlign w:val="center"/>
            <w:hideMark/>
          </w:tcPr>
          <w:p w14:paraId="6E6728EB" w14:textId="77777777" w:rsidR="009C55DD" w:rsidRPr="0039048D" w:rsidRDefault="009C55DD" w:rsidP="00A36DD2">
            <w:pPr>
              <w:pStyle w:val="NormalWeb"/>
              <w:jc w:val="center"/>
            </w:pPr>
            <w:r w:rsidRPr="0039048D">
              <w:rPr>
                <w:color w:val="000000"/>
              </w:rPr>
              <w:t>-6.06</w:t>
            </w:r>
          </w:p>
        </w:tc>
        <w:tc>
          <w:tcPr>
            <w:tcW w:w="2202" w:type="dxa"/>
            <w:tcBorders>
              <w:left w:val="single" w:sz="4" w:space="0" w:color="auto"/>
              <w:right w:val="single" w:sz="4" w:space="0" w:color="auto"/>
            </w:tcBorders>
            <w:vAlign w:val="center"/>
          </w:tcPr>
          <w:p w14:paraId="0699A953"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Tyr204, Asn245</w:t>
            </w:r>
          </w:p>
        </w:tc>
        <w:tc>
          <w:tcPr>
            <w:tcW w:w="2238" w:type="dxa"/>
            <w:tcBorders>
              <w:left w:val="single" w:sz="4" w:space="0" w:color="auto"/>
            </w:tcBorders>
            <w:vAlign w:val="center"/>
          </w:tcPr>
          <w:p w14:paraId="500182A2"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Lys33</w:t>
            </w:r>
          </w:p>
        </w:tc>
      </w:tr>
      <w:tr w:rsidR="009C55DD" w:rsidRPr="0039048D" w14:paraId="07D9C782" w14:textId="77777777" w:rsidTr="00A36DD2">
        <w:trPr>
          <w:trHeight w:val="1471"/>
        </w:trPr>
        <w:tc>
          <w:tcPr>
            <w:tcW w:w="2069" w:type="dxa"/>
            <w:noWrap/>
            <w:vAlign w:val="center"/>
            <w:hideMark/>
          </w:tcPr>
          <w:p w14:paraId="68059907"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Umbelliferone (5281426)</w:t>
            </w:r>
          </w:p>
        </w:tc>
        <w:tc>
          <w:tcPr>
            <w:tcW w:w="1703" w:type="dxa"/>
            <w:noWrap/>
            <w:vAlign w:val="center"/>
            <w:hideMark/>
          </w:tcPr>
          <w:p w14:paraId="39CC9E86" w14:textId="77777777" w:rsidR="009C55DD" w:rsidRPr="0039048D" w:rsidRDefault="009C55DD" w:rsidP="00A36DD2">
            <w:pPr>
              <w:spacing w:before="100" w:beforeAutospacing="1" w:after="100" w:afterAutospacing="1" w:line="240" w:lineRule="auto"/>
              <w:rPr>
                <w:rFonts w:ascii="Times New Roman" w:eastAsia="Times New Roman" w:hAnsi="Times New Roman"/>
                <w:color w:val="000000"/>
                <w:sz w:val="24"/>
                <w:szCs w:val="24"/>
              </w:rPr>
            </w:pPr>
            <w:r w:rsidRPr="0039048D">
              <w:rPr>
                <w:rFonts w:ascii="Times New Roman" w:eastAsia="Times New Roman" w:hAnsi="Times New Roman"/>
                <w:noProof/>
                <w:sz w:val="24"/>
                <w:szCs w:val="24"/>
                <w:lang w:val="en-US"/>
              </w:rPr>
              <w:drawing>
                <wp:inline distT="0" distB="0" distL="0" distR="0" wp14:anchorId="7DF5AC48" wp14:editId="54DF47C8">
                  <wp:extent cx="933450" cy="933450"/>
                  <wp:effectExtent l="19050" t="0" r="0" b="0"/>
                  <wp:docPr id="15" name="Picture 15" descr="Umbellifero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mbelliferone (1)"/>
                          <pic:cNvPicPr>
                            <a:picLocks noChangeAspect="1" noChangeArrowheads="1"/>
                          </pic:cNvPicPr>
                        </pic:nvPicPr>
                        <pic:blipFill>
                          <a:blip r:embed="rId21"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1256" w:type="dxa"/>
            <w:tcBorders>
              <w:right w:val="single" w:sz="4" w:space="0" w:color="auto"/>
            </w:tcBorders>
            <w:noWrap/>
            <w:vAlign w:val="center"/>
            <w:hideMark/>
          </w:tcPr>
          <w:p w14:paraId="79EA539E" w14:textId="77777777" w:rsidR="009C55DD" w:rsidRPr="0039048D" w:rsidRDefault="009C55DD" w:rsidP="00A36DD2">
            <w:pPr>
              <w:pStyle w:val="NormalWeb"/>
              <w:jc w:val="center"/>
            </w:pPr>
            <w:r w:rsidRPr="0039048D">
              <w:rPr>
                <w:color w:val="000000"/>
              </w:rPr>
              <w:t>-5.98</w:t>
            </w:r>
          </w:p>
        </w:tc>
        <w:tc>
          <w:tcPr>
            <w:tcW w:w="2202" w:type="dxa"/>
            <w:tcBorders>
              <w:left w:val="single" w:sz="4" w:space="0" w:color="auto"/>
              <w:right w:val="single" w:sz="4" w:space="0" w:color="auto"/>
            </w:tcBorders>
            <w:vAlign w:val="center"/>
          </w:tcPr>
          <w:p w14:paraId="2D96C58B"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Asn218, Arg220</w:t>
            </w:r>
          </w:p>
        </w:tc>
        <w:tc>
          <w:tcPr>
            <w:tcW w:w="2238" w:type="dxa"/>
            <w:tcBorders>
              <w:left w:val="single" w:sz="4" w:space="0" w:color="auto"/>
            </w:tcBorders>
            <w:vAlign w:val="center"/>
          </w:tcPr>
          <w:p w14:paraId="0C2523C4" w14:textId="77777777" w:rsidR="009C55DD" w:rsidRPr="0039048D" w:rsidRDefault="009C55DD" w:rsidP="00A36DD2">
            <w:pPr>
              <w:spacing w:after="0" w:line="240" w:lineRule="auto"/>
              <w:rPr>
                <w:rFonts w:ascii="Times New Roman" w:eastAsia="Times New Roman" w:hAnsi="Times New Roman"/>
                <w:color w:val="000000"/>
                <w:sz w:val="24"/>
                <w:szCs w:val="24"/>
              </w:rPr>
            </w:pPr>
            <w:r w:rsidRPr="0039048D">
              <w:rPr>
                <w:rFonts w:ascii="Times New Roman" w:eastAsia="Times New Roman" w:hAnsi="Times New Roman"/>
                <w:color w:val="000000"/>
                <w:sz w:val="24"/>
                <w:szCs w:val="24"/>
              </w:rPr>
              <w:t>His192, Tyr214, Thr215</w:t>
            </w:r>
          </w:p>
        </w:tc>
      </w:tr>
    </w:tbl>
    <w:p w14:paraId="48C78DA2" w14:textId="77777777" w:rsidR="001B06E5" w:rsidRPr="0039048D" w:rsidRDefault="002E3CEC" w:rsidP="002554C5">
      <w:pPr>
        <w:jc w:val="center"/>
        <w:rPr>
          <w:rFonts w:ascii="Times New Roman" w:eastAsia="Times New Roman" w:hAnsi="Times New Roman" w:cs="Times New Roman"/>
          <w:sz w:val="20"/>
          <w:szCs w:val="20"/>
          <w:lang w:val="en-US"/>
        </w:rPr>
      </w:pPr>
      <w:r w:rsidRPr="0039048D">
        <w:rPr>
          <w:rFonts w:ascii="Times New Roman" w:eastAsia="Times New Roman" w:hAnsi="Times New Roman" w:cs="Times New Roman"/>
          <w:sz w:val="20"/>
          <w:szCs w:val="20"/>
          <w:lang w:val="en-US"/>
        </w:rPr>
        <w:t xml:space="preserve">Table1: Amino acid residues of Different Ligands involved in the Hydrogen bond and </w:t>
      </w:r>
      <w:proofErr w:type="spellStart"/>
      <w:r w:rsidRPr="0039048D">
        <w:rPr>
          <w:rFonts w:ascii="Times New Roman" w:eastAsia="Times New Roman" w:hAnsi="Times New Roman" w:cs="Times New Roman"/>
          <w:sz w:val="20"/>
          <w:szCs w:val="20"/>
          <w:lang w:val="en-US"/>
        </w:rPr>
        <w:t>hydrophobicbond</w:t>
      </w:r>
      <w:proofErr w:type="spellEnd"/>
      <w:r w:rsidRPr="0039048D">
        <w:rPr>
          <w:rFonts w:ascii="Times New Roman" w:eastAsia="Times New Roman" w:hAnsi="Times New Roman" w:cs="Times New Roman"/>
          <w:sz w:val="20"/>
          <w:szCs w:val="20"/>
          <w:lang w:val="en-US"/>
        </w:rPr>
        <w:t xml:space="preserve"> during molecular docking.</w:t>
      </w:r>
    </w:p>
    <w:p w14:paraId="2A915DAA" w14:textId="77777777" w:rsidR="002E3CEC" w:rsidRPr="0039048D" w:rsidRDefault="00E2761A" w:rsidP="00E2761A">
      <w:pPr>
        <w:spacing w:line="360" w:lineRule="auto"/>
        <w:jc w:val="both"/>
        <w:rPr>
          <w:rFonts w:ascii="Times New Roman" w:hAnsi="Times New Roman" w:cs="Times New Roman"/>
          <w:b/>
          <w:caps/>
          <w:sz w:val="24"/>
          <w:szCs w:val="24"/>
        </w:rPr>
      </w:pPr>
      <w:r w:rsidRPr="0039048D">
        <w:rPr>
          <w:rFonts w:ascii="Times New Roman" w:hAnsi="Times New Roman" w:cs="Times New Roman"/>
          <w:sz w:val="24"/>
          <w:szCs w:val="24"/>
        </w:rPr>
        <w:t xml:space="preserve">The </w:t>
      </w:r>
      <w:r w:rsidRPr="0039048D">
        <w:rPr>
          <w:rFonts w:ascii="Times New Roman" w:hAnsi="Times New Roman" w:cs="Times New Roman"/>
          <w:b/>
          <w:bCs/>
          <w:sz w:val="24"/>
          <w:szCs w:val="24"/>
        </w:rPr>
        <w:t>table2</w:t>
      </w:r>
      <w:r w:rsidRPr="0039048D">
        <w:rPr>
          <w:rFonts w:ascii="Times New Roman" w:hAnsi="Times New Roman" w:cs="Times New Roman"/>
          <w:sz w:val="24"/>
          <w:szCs w:val="24"/>
        </w:rPr>
        <w:t xml:space="preserve"> shows various compounds and their properties. It lists their solubility, absorption</w:t>
      </w:r>
      <w:r w:rsidR="006E390F" w:rsidRPr="0039048D">
        <w:rPr>
          <w:rFonts w:ascii="Times New Roman" w:hAnsi="Times New Roman" w:cs="Times New Roman"/>
          <w:sz w:val="24"/>
          <w:szCs w:val="24"/>
        </w:rPr>
        <w:t>,</w:t>
      </w:r>
      <w:r w:rsidRPr="0039048D">
        <w:rPr>
          <w:rFonts w:ascii="Times New Roman" w:hAnsi="Times New Roman" w:cs="Times New Roman"/>
          <w:sz w:val="24"/>
          <w:szCs w:val="24"/>
        </w:rPr>
        <w:t xml:space="preserve"> and bioavailability. The compounds are: Sinefungin, stigmasterol, azadiradione, campesterol, epoxyazadiradione, meliantriol, quercetin, nimbin, scopoletin, oleic acid and umbelliferone. These compounds have different lipophilicity (LogP), solubility, permeability</w:t>
      </w:r>
      <w:r w:rsidR="006E390F" w:rsidRPr="0039048D">
        <w:rPr>
          <w:rFonts w:ascii="Times New Roman" w:hAnsi="Times New Roman" w:cs="Times New Roman"/>
          <w:sz w:val="24"/>
          <w:szCs w:val="24"/>
        </w:rPr>
        <w:t>,</w:t>
      </w:r>
      <w:r w:rsidRPr="0039048D">
        <w:rPr>
          <w:rFonts w:ascii="Times New Roman" w:hAnsi="Times New Roman" w:cs="Times New Roman"/>
          <w:sz w:val="24"/>
          <w:szCs w:val="24"/>
        </w:rPr>
        <w:t xml:space="preserve"> and drug likeness. These are crucial for the evaluation of their pharmacokinetic and pharmacodynamic behavior. Sinefungin, a control substance, is unique. It is hydrophilic and has low LogP values in all models (iLOGP of 0.67, XLOGP3 of -4.31</w:t>
      </w:r>
      <w:r w:rsidR="006E390F" w:rsidRPr="0039048D">
        <w:rPr>
          <w:rFonts w:ascii="Times New Roman" w:hAnsi="Times New Roman" w:cs="Times New Roman"/>
          <w:sz w:val="24"/>
          <w:szCs w:val="24"/>
        </w:rPr>
        <w:t>,</w:t>
      </w:r>
      <w:r w:rsidRPr="0039048D">
        <w:rPr>
          <w:rFonts w:ascii="Times New Roman" w:hAnsi="Times New Roman" w:cs="Times New Roman"/>
          <w:sz w:val="24"/>
          <w:szCs w:val="24"/>
        </w:rPr>
        <w:t xml:space="preserve"> and WLOGP of -2.38). According to the ESOL, Ali</w:t>
      </w:r>
      <w:r w:rsidR="006E390F" w:rsidRPr="0039048D">
        <w:rPr>
          <w:rFonts w:ascii="Times New Roman" w:hAnsi="Times New Roman" w:cs="Times New Roman"/>
          <w:sz w:val="24"/>
          <w:szCs w:val="24"/>
        </w:rPr>
        <w:t>,</w:t>
      </w:r>
      <w:r w:rsidRPr="0039048D">
        <w:rPr>
          <w:rFonts w:ascii="Times New Roman" w:hAnsi="Times New Roman" w:cs="Times New Roman"/>
          <w:sz w:val="24"/>
          <w:szCs w:val="24"/>
        </w:rPr>
        <w:t xml:space="preserve"> and Silicos-IT models, it is also very soluble. Its high solubility, especially in water, makes it highly bioavailable despite its low gastrointestinal absorption and lack of blood-brain barrier (BBB) permeability. On the other hand, stigmasterol has a very high lipophilicity (iLOGP 5.08, XLOGP 3 8.56), but does not dissolve well and is not well absorbed by the gastrointestinal tract, making it less bioavailable. It also violates several drug-likeness rules, including those of Lipinski, Ghose</w:t>
      </w:r>
      <w:r w:rsidR="006E390F" w:rsidRPr="0039048D">
        <w:rPr>
          <w:rFonts w:ascii="Times New Roman" w:hAnsi="Times New Roman" w:cs="Times New Roman"/>
          <w:sz w:val="24"/>
          <w:szCs w:val="24"/>
        </w:rPr>
        <w:t>,</w:t>
      </w:r>
      <w:r w:rsidRPr="0039048D">
        <w:rPr>
          <w:rFonts w:ascii="Times New Roman" w:hAnsi="Times New Roman" w:cs="Times New Roman"/>
          <w:sz w:val="24"/>
          <w:szCs w:val="24"/>
        </w:rPr>
        <w:t xml:space="preserve"> and Veber. It has moderate permeability and poor aqueous solubility. </w:t>
      </w:r>
    </w:p>
    <w:p w14:paraId="25C3061F" w14:textId="77777777" w:rsidR="00486DB9" w:rsidRDefault="00486DB9" w:rsidP="00E2761A">
      <w:pPr>
        <w:spacing w:line="360" w:lineRule="auto"/>
        <w:jc w:val="both"/>
        <w:rPr>
          <w:rFonts w:ascii="Times New Roman" w:hAnsi="Times New Roman" w:cs="Times New Roman"/>
          <w:sz w:val="24"/>
          <w:szCs w:val="24"/>
        </w:rPr>
      </w:pPr>
    </w:p>
    <w:p w14:paraId="45CE920D" w14:textId="77777777" w:rsidR="00486DB9" w:rsidRDefault="00486DB9" w:rsidP="00031936">
      <w:pPr>
        <w:spacing w:line="360" w:lineRule="auto"/>
        <w:rPr>
          <w:rFonts w:ascii="Times New Roman" w:hAnsi="Times New Roman" w:cs="Times New Roman"/>
          <w:sz w:val="24"/>
          <w:szCs w:val="24"/>
        </w:rPr>
      </w:pPr>
    </w:p>
    <w:p w14:paraId="20C5DECE" w14:textId="77777777" w:rsidR="00031936" w:rsidRDefault="00031936" w:rsidP="0009179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4D1A6CA" wp14:editId="49F852C6">
            <wp:extent cx="5177835" cy="8175356"/>
            <wp:effectExtent l="0" t="0" r="0" b="0"/>
            <wp:docPr id="14167839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808" cy="8189524"/>
                    </a:xfrm>
                    <a:prstGeom prst="rect">
                      <a:avLst/>
                    </a:prstGeom>
                    <a:noFill/>
                  </pic:spPr>
                </pic:pic>
              </a:graphicData>
            </a:graphic>
          </wp:inline>
        </w:drawing>
      </w:r>
    </w:p>
    <w:p w14:paraId="620155C2" w14:textId="77777777" w:rsidR="00091795" w:rsidRPr="00091795" w:rsidRDefault="00091795" w:rsidP="00091795">
      <w:pPr>
        <w:shd w:val="clear" w:color="auto" w:fill="FFFFFF"/>
        <w:spacing w:after="0" w:line="360" w:lineRule="auto"/>
        <w:ind w:left="142"/>
        <w:jc w:val="both"/>
        <w:rPr>
          <w:rFonts w:ascii="Times New Roman" w:hAnsi="Times New Roman"/>
          <w:b/>
          <w:bCs/>
          <w:sz w:val="20"/>
          <w:szCs w:val="18"/>
        </w:rPr>
      </w:pPr>
      <w:r w:rsidRPr="00091795">
        <w:rPr>
          <w:rFonts w:ascii="Times New Roman" w:hAnsi="Times New Roman"/>
          <w:b/>
          <w:bCs/>
          <w:sz w:val="20"/>
          <w:szCs w:val="18"/>
        </w:rPr>
        <w:t>Table 2</w:t>
      </w:r>
      <w:r w:rsidRPr="00091795">
        <w:rPr>
          <w:rFonts w:ascii="Times New Roman" w:hAnsi="Times New Roman"/>
          <w:sz w:val="20"/>
          <w:szCs w:val="18"/>
        </w:rPr>
        <w:t xml:space="preserve">: ADMET profiling of a 2'o-MT-VP39 protein inhibitor from </w:t>
      </w:r>
      <w:r w:rsidRPr="00091795">
        <w:rPr>
          <w:rFonts w:ascii="Times New Roman" w:hAnsi="Times New Roman"/>
          <w:i/>
          <w:iCs/>
          <w:sz w:val="20"/>
          <w:szCs w:val="18"/>
        </w:rPr>
        <w:t>Azadirachta indica</w:t>
      </w:r>
      <w:r w:rsidRPr="00091795">
        <w:rPr>
          <w:rFonts w:ascii="Times New Roman" w:hAnsi="Times New Roman"/>
          <w:sz w:val="20"/>
          <w:szCs w:val="18"/>
        </w:rPr>
        <w:t xml:space="preserve"> chosen as a bioactive molecule</w:t>
      </w:r>
      <w:r>
        <w:rPr>
          <w:rFonts w:ascii="Times New Roman" w:hAnsi="Times New Roman"/>
          <w:sz w:val="20"/>
          <w:szCs w:val="18"/>
        </w:rPr>
        <w:t xml:space="preserve">. </w:t>
      </w:r>
      <w:r w:rsidRPr="00091795">
        <w:rPr>
          <w:rFonts w:ascii="Times New Roman" w:hAnsi="Times New Roman"/>
          <w:i/>
          <w:iCs/>
          <w:sz w:val="20"/>
          <w:szCs w:val="18"/>
        </w:rPr>
        <w:t>Continue…</w:t>
      </w:r>
    </w:p>
    <w:p w14:paraId="6843D3E8" w14:textId="77777777" w:rsidR="00031936" w:rsidRPr="00031936" w:rsidRDefault="00091795" w:rsidP="00031936">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68C4308" wp14:editId="5DF46039">
            <wp:extent cx="5408908" cy="8447680"/>
            <wp:effectExtent l="0" t="0" r="0" b="0"/>
            <wp:docPr id="7336393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4848" cy="8456957"/>
                    </a:xfrm>
                    <a:prstGeom prst="rect">
                      <a:avLst/>
                    </a:prstGeom>
                    <a:noFill/>
                  </pic:spPr>
                </pic:pic>
              </a:graphicData>
            </a:graphic>
          </wp:inline>
        </w:drawing>
      </w:r>
    </w:p>
    <w:p w14:paraId="0D2562B8" w14:textId="77777777" w:rsidR="00031936" w:rsidRPr="00031936" w:rsidRDefault="00031936" w:rsidP="00031936">
      <w:pPr>
        <w:spacing w:line="360" w:lineRule="auto"/>
        <w:rPr>
          <w:rFonts w:ascii="Times New Roman" w:hAnsi="Times New Roman" w:cs="Times New Roman"/>
          <w:sz w:val="24"/>
          <w:szCs w:val="24"/>
        </w:rPr>
      </w:pPr>
    </w:p>
    <w:p w14:paraId="6E48F4D9" w14:textId="77777777" w:rsidR="00E2761A" w:rsidRPr="0039048D" w:rsidRDefault="00E2761A" w:rsidP="00E2761A">
      <w:pPr>
        <w:spacing w:line="360" w:lineRule="auto"/>
        <w:jc w:val="both"/>
        <w:rPr>
          <w:rFonts w:ascii="Times New Roman" w:hAnsi="Times New Roman" w:cs="Times New Roman"/>
          <w:sz w:val="24"/>
          <w:szCs w:val="24"/>
        </w:rPr>
      </w:pPr>
      <w:r w:rsidRPr="0039048D">
        <w:rPr>
          <w:rFonts w:ascii="Times New Roman" w:hAnsi="Times New Roman" w:cs="Times New Roman"/>
          <w:sz w:val="24"/>
          <w:szCs w:val="24"/>
        </w:rPr>
        <w:lastRenderedPageBreak/>
        <w:t>Azadiradione, campesterol, epoxyazadiradione</w:t>
      </w:r>
      <w:r w:rsidR="006E390F" w:rsidRPr="0039048D">
        <w:rPr>
          <w:rFonts w:ascii="Times New Roman" w:hAnsi="Times New Roman" w:cs="Times New Roman"/>
          <w:sz w:val="24"/>
          <w:szCs w:val="24"/>
        </w:rPr>
        <w:t>,</w:t>
      </w:r>
      <w:r w:rsidRPr="0039048D">
        <w:rPr>
          <w:rFonts w:ascii="Times New Roman" w:hAnsi="Times New Roman" w:cs="Times New Roman"/>
          <w:sz w:val="24"/>
          <w:szCs w:val="24"/>
        </w:rPr>
        <w:t xml:space="preserve"> and meliantriol have moderate lipophilicity and solubility profiles. Azadiradione and epoxyazadiradione have moderate solubility and high gastrointestinal absorption. They are therefore good candidates for oral drug formulations. However, they still violate some important rules of </w:t>
      </w:r>
      <w:r w:rsidR="006E390F" w:rsidRPr="0039048D">
        <w:rPr>
          <w:rFonts w:ascii="Times New Roman" w:hAnsi="Times New Roman" w:cs="Times New Roman"/>
          <w:sz w:val="24"/>
          <w:szCs w:val="24"/>
        </w:rPr>
        <w:t>drug-likeness</w:t>
      </w:r>
      <w:r w:rsidRPr="0039048D">
        <w:rPr>
          <w:rFonts w:ascii="Times New Roman" w:hAnsi="Times New Roman" w:cs="Times New Roman"/>
          <w:sz w:val="24"/>
          <w:szCs w:val="24"/>
        </w:rPr>
        <w:t xml:space="preserve"> (Ghose, Veber, Egan) and have moderate bioavailability. Campesterol is lipophilic (iLOGP 4.97) but suffers from poor solubility and low GI absorption, which limits its therapeutic potential. Not all compounds in this group can cross the blood-brain barrier (BBB), and some, such as azadiradione and meliantriol, act as P-glycoprotein (Pgp) substrates, which could alter drug transport.</w:t>
      </w:r>
    </w:p>
    <w:p w14:paraId="7FE61806" w14:textId="77777777" w:rsidR="00210A15" w:rsidRPr="0039048D" w:rsidRDefault="00082BBF" w:rsidP="00E2761A">
      <w:pPr>
        <w:spacing w:line="360" w:lineRule="auto"/>
        <w:jc w:val="both"/>
        <w:rPr>
          <w:rFonts w:ascii="Times New Roman" w:hAnsi="Times New Roman" w:cs="Times New Roman"/>
          <w:b/>
          <w:bCs/>
          <w:sz w:val="24"/>
          <w:szCs w:val="24"/>
        </w:rPr>
      </w:pPr>
      <w:r w:rsidRPr="0039048D">
        <w:rPr>
          <w:rFonts w:ascii="Times New Roman" w:hAnsi="Times New Roman" w:cs="Times New Roman"/>
          <w:b/>
          <w:bCs/>
          <w:sz w:val="24"/>
          <w:szCs w:val="24"/>
        </w:rPr>
        <w:t>CONCLUSION</w:t>
      </w:r>
    </w:p>
    <w:p w14:paraId="39348D4D" w14:textId="77777777" w:rsidR="00210A15" w:rsidRPr="0039048D" w:rsidRDefault="00082BBF" w:rsidP="00082BBF">
      <w:pPr>
        <w:spacing w:line="360" w:lineRule="auto"/>
        <w:jc w:val="both"/>
        <w:rPr>
          <w:rFonts w:ascii="Times New Roman" w:hAnsi="Times New Roman" w:cs="Times New Roman"/>
          <w:b/>
          <w:caps/>
          <w:sz w:val="24"/>
          <w:szCs w:val="24"/>
        </w:rPr>
      </w:pPr>
      <w:r w:rsidRPr="0039048D">
        <w:rPr>
          <w:rFonts w:ascii="Times New Roman" w:hAnsi="Times New Roman" w:cs="Times New Roman"/>
          <w:sz w:val="24"/>
          <w:szCs w:val="24"/>
        </w:rPr>
        <w:t>The lack of specific antiviral treatments for Mpox has driven the search for new, targeted therapies. Using advanced bioinformatics methods, researchers discovered that the crystal structure of 2'-O-methyltransferase VP39 (2'-O-MT-VP39) is an important target for drug development. This enzyme plays a crucial role in the viral replication process, making it an attractive target for therapeutic intervention. The proposed model of the enzyme was validated using several computational tools, including Ramachandran plot analysis, ERRAT, and ProSA, confirming its accuracy and structural reliability. Among the natural compounds tested, stigmasterol proved to be the most promising candidate as it showed the highest binding affinity with the target site of the enzyme. Compared to sinefungin, which served as a control in the docking studies, stigmasterol showed better inhibitory potential. This suggests that stigmasterol may be more effective in blocking the activity of the enzyme and interrupting the viral replication cycle. These preliminary results suggest that stigmasterol is a strong candidate for further investigation. Future research, including in vitro and in vivo studies, will be critical to evaluate drug-likeness, pharmacokinetics, and potential side effects. Ultimately, this research opens new avenues for the development of targeted antiviral treatments against Mpox and provides hope for more effective therapeutic strategies.</w:t>
      </w:r>
    </w:p>
    <w:p w14:paraId="0B8EAE4E" w14:textId="77777777" w:rsidR="00787AD1" w:rsidRDefault="00787AD1" w:rsidP="001B06E5">
      <w:pPr>
        <w:jc w:val="both"/>
        <w:rPr>
          <w:rFonts w:ascii="Times New Roman" w:hAnsi="Times New Roman" w:cs="Times New Roman"/>
          <w:b/>
          <w:caps/>
          <w:sz w:val="24"/>
          <w:szCs w:val="24"/>
        </w:rPr>
      </w:pPr>
      <w:bookmarkStart w:id="2" w:name="_GoBack"/>
      <w:bookmarkEnd w:id="2"/>
    </w:p>
    <w:p w14:paraId="7BC1A965" w14:textId="77777777" w:rsidR="001B06E5" w:rsidRDefault="001B06E5" w:rsidP="001B06E5">
      <w:pPr>
        <w:jc w:val="both"/>
        <w:rPr>
          <w:rFonts w:ascii="Times New Roman" w:hAnsi="Times New Roman" w:cs="Times New Roman"/>
          <w:b/>
          <w:caps/>
          <w:sz w:val="24"/>
          <w:szCs w:val="24"/>
        </w:rPr>
      </w:pPr>
      <w:r w:rsidRPr="0039048D">
        <w:rPr>
          <w:rFonts w:ascii="Times New Roman" w:hAnsi="Times New Roman" w:cs="Times New Roman"/>
          <w:b/>
          <w:caps/>
          <w:sz w:val="24"/>
          <w:szCs w:val="24"/>
        </w:rPr>
        <w:t>References</w:t>
      </w:r>
    </w:p>
    <w:p w14:paraId="4F8C7755" w14:textId="77777777" w:rsidR="00E92386" w:rsidRPr="00B56398" w:rsidRDefault="00E92386" w:rsidP="00E92386">
      <w:pPr>
        <w:pStyle w:val="ListParagraph"/>
        <w:numPr>
          <w:ilvl w:val="0"/>
          <w:numId w:val="1"/>
        </w:numPr>
        <w:jc w:val="both"/>
        <w:rPr>
          <w:rFonts w:ascii="Times New Roman" w:hAnsi="Times New Roman" w:cs="Times New Roman"/>
          <w:sz w:val="24"/>
          <w:szCs w:val="24"/>
          <w:lang w:val="en-US"/>
        </w:rPr>
      </w:pPr>
      <w:r w:rsidRPr="00B56398">
        <w:rPr>
          <w:rFonts w:ascii="Times New Roman" w:hAnsi="Times New Roman" w:cs="Times New Roman"/>
          <w:sz w:val="24"/>
          <w:szCs w:val="24"/>
          <w:lang w:val="en-US"/>
        </w:rPr>
        <w:t xml:space="preserve">Upadhayay S, Arthur R, Soni D, Yadav P, Navik U, Singh R, Singh TG, Kumar P. Monkeypox infection: The past, present, and future. International immunopharmacology. </w:t>
      </w:r>
      <w:proofErr w:type="gramStart"/>
      <w:r w:rsidRPr="00B56398">
        <w:rPr>
          <w:rFonts w:ascii="Times New Roman" w:hAnsi="Times New Roman" w:cs="Times New Roman"/>
          <w:sz w:val="24"/>
          <w:szCs w:val="24"/>
          <w:lang w:val="en-US"/>
        </w:rPr>
        <w:t>2022;113:109382</w:t>
      </w:r>
      <w:proofErr w:type="gramEnd"/>
      <w:r w:rsidRPr="00B56398">
        <w:rPr>
          <w:rFonts w:ascii="Times New Roman" w:hAnsi="Times New Roman" w:cs="Times New Roman"/>
          <w:sz w:val="24"/>
          <w:szCs w:val="24"/>
          <w:lang w:val="en-US"/>
        </w:rPr>
        <w:t>.</w:t>
      </w:r>
    </w:p>
    <w:p w14:paraId="5ACAEA98"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proofErr w:type="spellStart"/>
      <w:r w:rsidRPr="00B56398">
        <w:rPr>
          <w:rFonts w:ascii="Times New Roman" w:hAnsi="Times New Roman" w:cs="Times New Roman"/>
          <w:sz w:val="24"/>
          <w:szCs w:val="24"/>
          <w:lang w:val="en-US"/>
        </w:rPr>
        <w:t>Skvara</w:t>
      </w:r>
      <w:proofErr w:type="spellEnd"/>
      <w:r w:rsidRPr="00B56398">
        <w:rPr>
          <w:rFonts w:ascii="Times New Roman" w:hAnsi="Times New Roman" w:cs="Times New Roman"/>
          <w:sz w:val="24"/>
          <w:szCs w:val="24"/>
          <w:lang w:val="en-US"/>
        </w:rPr>
        <w:t xml:space="preserve"> P, </w:t>
      </w:r>
      <w:proofErr w:type="spellStart"/>
      <w:r w:rsidRPr="00B56398">
        <w:rPr>
          <w:rFonts w:ascii="Times New Roman" w:hAnsi="Times New Roman" w:cs="Times New Roman"/>
          <w:sz w:val="24"/>
          <w:szCs w:val="24"/>
          <w:lang w:val="en-US"/>
        </w:rPr>
        <w:t>Chalupska</w:t>
      </w:r>
      <w:proofErr w:type="spellEnd"/>
      <w:r w:rsidRPr="00B56398">
        <w:rPr>
          <w:rFonts w:ascii="Times New Roman" w:hAnsi="Times New Roman" w:cs="Times New Roman"/>
          <w:sz w:val="24"/>
          <w:szCs w:val="24"/>
          <w:lang w:val="en-US"/>
        </w:rPr>
        <w:t xml:space="preserve"> D, Klima M, Kozic J, </w:t>
      </w:r>
      <w:proofErr w:type="spellStart"/>
      <w:r w:rsidRPr="00B56398">
        <w:rPr>
          <w:rFonts w:ascii="Times New Roman" w:hAnsi="Times New Roman" w:cs="Times New Roman"/>
          <w:sz w:val="24"/>
          <w:szCs w:val="24"/>
          <w:lang w:val="en-US"/>
        </w:rPr>
        <w:t>Silhan</w:t>
      </w:r>
      <w:proofErr w:type="spellEnd"/>
      <w:r w:rsidRPr="00B56398">
        <w:rPr>
          <w:rFonts w:ascii="Times New Roman" w:hAnsi="Times New Roman" w:cs="Times New Roman"/>
          <w:sz w:val="24"/>
          <w:szCs w:val="24"/>
          <w:lang w:val="en-US"/>
        </w:rPr>
        <w:t xml:space="preserve"> J, </w:t>
      </w:r>
      <w:proofErr w:type="spellStart"/>
      <w:r w:rsidRPr="00B56398">
        <w:rPr>
          <w:rFonts w:ascii="Times New Roman" w:hAnsi="Times New Roman" w:cs="Times New Roman"/>
          <w:sz w:val="24"/>
          <w:szCs w:val="24"/>
          <w:lang w:val="en-US"/>
        </w:rPr>
        <w:t>Boura</w:t>
      </w:r>
      <w:proofErr w:type="spellEnd"/>
      <w:r w:rsidRPr="00B56398">
        <w:rPr>
          <w:rFonts w:ascii="Times New Roman" w:hAnsi="Times New Roman" w:cs="Times New Roman"/>
          <w:sz w:val="24"/>
          <w:szCs w:val="24"/>
          <w:lang w:val="en-US"/>
        </w:rPr>
        <w:t xml:space="preserve"> E. Structural basis for RNA-cap recognition and methylation by the mpox methyltransferase VP39. Antiviral Research. </w:t>
      </w:r>
      <w:proofErr w:type="gramStart"/>
      <w:r w:rsidRPr="00B56398">
        <w:rPr>
          <w:rFonts w:ascii="Times New Roman" w:hAnsi="Times New Roman" w:cs="Times New Roman"/>
          <w:sz w:val="24"/>
          <w:szCs w:val="24"/>
          <w:lang w:val="en-US"/>
        </w:rPr>
        <w:t>2023;216:105663</w:t>
      </w:r>
      <w:proofErr w:type="gramEnd"/>
      <w:r w:rsidRPr="00B56398">
        <w:rPr>
          <w:rFonts w:ascii="Times New Roman" w:hAnsi="Times New Roman" w:cs="Times New Roman"/>
          <w:sz w:val="24"/>
          <w:szCs w:val="24"/>
          <w:lang w:val="en-US"/>
        </w:rPr>
        <w:t>.</w:t>
      </w:r>
    </w:p>
    <w:p w14:paraId="3596A695"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r w:rsidRPr="003C52CA">
        <w:rPr>
          <w:rFonts w:ascii="Times New Roman" w:hAnsi="Times New Roman" w:cs="Times New Roman"/>
          <w:sz w:val="24"/>
          <w:szCs w:val="24"/>
          <w:lang w:val="en-US"/>
        </w:rPr>
        <w:lastRenderedPageBreak/>
        <w:t xml:space="preserve">Duarte PM, Adesola RO, Priyadarsini S, Singh R, </w:t>
      </w:r>
      <w:proofErr w:type="spellStart"/>
      <w:r w:rsidRPr="003C52CA">
        <w:rPr>
          <w:rFonts w:ascii="Times New Roman" w:hAnsi="Times New Roman" w:cs="Times New Roman"/>
          <w:sz w:val="24"/>
          <w:szCs w:val="24"/>
          <w:lang w:val="en-US"/>
        </w:rPr>
        <w:t>Shaheen</w:t>
      </w:r>
      <w:proofErr w:type="spellEnd"/>
      <w:r w:rsidRPr="003C52CA">
        <w:rPr>
          <w:rFonts w:ascii="Times New Roman" w:hAnsi="Times New Roman" w:cs="Times New Roman"/>
          <w:sz w:val="24"/>
          <w:szCs w:val="24"/>
          <w:lang w:val="en-US"/>
        </w:rPr>
        <w:t xml:space="preserve"> MN, </w:t>
      </w:r>
      <w:proofErr w:type="spellStart"/>
      <w:r w:rsidRPr="003C52CA">
        <w:rPr>
          <w:rFonts w:ascii="Times New Roman" w:hAnsi="Times New Roman" w:cs="Times New Roman"/>
          <w:sz w:val="24"/>
          <w:szCs w:val="24"/>
          <w:lang w:val="en-US"/>
        </w:rPr>
        <w:t>Ogundijo</w:t>
      </w:r>
      <w:proofErr w:type="spellEnd"/>
      <w:r w:rsidRPr="003C52CA">
        <w:rPr>
          <w:rFonts w:ascii="Times New Roman" w:hAnsi="Times New Roman" w:cs="Times New Roman"/>
          <w:sz w:val="24"/>
          <w:szCs w:val="24"/>
          <w:lang w:val="en-US"/>
        </w:rPr>
        <w:t xml:space="preserve"> OA, </w:t>
      </w:r>
      <w:proofErr w:type="spellStart"/>
      <w:r w:rsidRPr="003C52CA">
        <w:rPr>
          <w:rFonts w:ascii="Times New Roman" w:hAnsi="Times New Roman" w:cs="Times New Roman"/>
          <w:sz w:val="24"/>
          <w:szCs w:val="24"/>
          <w:lang w:val="en-US"/>
        </w:rPr>
        <w:t>Gulumbe</w:t>
      </w:r>
      <w:proofErr w:type="spellEnd"/>
      <w:r w:rsidRPr="003C52CA">
        <w:rPr>
          <w:rFonts w:ascii="Times New Roman" w:hAnsi="Times New Roman" w:cs="Times New Roman"/>
          <w:sz w:val="24"/>
          <w:szCs w:val="24"/>
          <w:lang w:val="en-US"/>
        </w:rPr>
        <w:t xml:space="preserve"> BH, Lounis M, Samir M, Govindan K, Adebiyi OS. Unveiling the Global Surge of Mpox (Monkeypox): A comprehensive review of current evidence. The Microbe. 2024:100141.</w:t>
      </w:r>
    </w:p>
    <w:p w14:paraId="6F81620A" w14:textId="77777777" w:rsidR="00E92386" w:rsidRPr="00DA3C5C"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proofErr w:type="spellStart"/>
      <w:r w:rsidRPr="00DA3C5C">
        <w:rPr>
          <w:rFonts w:ascii="Times New Roman" w:eastAsia="Times New Roman" w:hAnsi="Times New Roman"/>
          <w:color w:val="000000"/>
          <w:sz w:val="24"/>
          <w:szCs w:val="24"/>
        </w:rPr>
        <w:t>Inungu</w:t>
      </w:r>
      <w:proofErr w:type="spellEnd"/>
      <w:r w:rsidRPr="00DA3C5C">
        <w:rPr>
          <w:rFonts w:ascii="Times New Roman" w:eastAsia="Times New Roman" w:hAnsi="Times New Roman"/>
          <w:color w:val="000000"/>
          <w:sz w:val="24"/>
          <w:szCs w:val="24"/>
        </w:rPr>
        <w:t xml:space="preserve"> J, </w:t>
      </w:r>
      <w:proofErr w:type="spellStart"/>
      <w:r w:rsidRPr="00DA3C5C">
        <w:rPr>
          <w:rFonts w:ascii="Times New Roman" w:eastAsia="Times New Roman" w:hAnsi="Times New Roman"/>
          <w:color w:val="000000"/>
          <w:sz w:val="24"/>
          <w:szCs w:val="24"/>
        </w:rPr>
        <w:t>Iheduru</w:t>
      </w:r>
      <w:proofErr w:type="spellEnd"/>
      <w:r w:rsidRPr="00DA3C5C">
        <w:rPr>
          <w:rFonts w:ascii="Times New Roman" w:eastAsia="Times New Roman" w:hAnsi="Times New Roman"/>
          <w:color w:val="000000"/>
          <w:sz w:val="24"/>
          <w:szCs w:val="24"/>
        </w:rPr>
        <w:t>-Anderson K, Odio OJ. Recurrent Ebolavirus disease in the Democratic Republic of Congo: update and challenges. AIMS public health. 2019;6(4):502.</w:t>
      </w:r>
    </w:p>
    <w:p w14:paraId="519B1783" w14:textId="77777777" w:rsidR="00E92386" w:rsidRPr="00DA3C5C" w:rsidRDefault="00E92386" w:rsidP="00E92386">
      <w:pPr>
        <w:pStyle w:val="ListParagraph"/>
        <w:numPr>
          <w:ilvl w:val="0"/>
          <w:numId w:val="1"/>
        </w:numPr>
        <w:spacing w:line="276" w:lineRule="auto"/>
        <w:jc w:val="both"/>
        <w:rPr>
          <w:rFonts w:ascii="Times New Roman" w:eastAsia="Times New Roman" w:hAnsi="Times New Roman"/>
          <w:color w:val="000000"/>
          <w:sz w:val="24"/>
          <w:szCs w:val="24"/>
        </w:rPr>
      </w:pPr>
      <w:r w:rsidRPr="00DA3C5C">
        <w:rPr>
          <w:rFonts w:ascii="Times New Roman" w:eastAsia="Times New Roman" w:hAnsi="Times New Roman"/>
          <w:color w:val="000000"/>
          <w:sz w:val="24"/>
          <w:szCs w:val="24"/>
        </w:rPr>
        <w:t>Americo JL, Earl PL, Moss B. Virulence differences of mpox (monkeypox) virus clades I, IIa, and IIb. 1 in a small animal model. Proceedings of the National Academy of Sciences. 2023;120(8</w:t>
      </w:r>
      <w:proofErr w:type="gramStart"/>
      <w:r w:rsidRPr="00DA3C5C">
        <w:rPr>
          <w:rFonts w:ascii="Times New Roman" w:eastAsia="Times New Roman" w:hAnsi="Times New Roman"/>
          <w:color w:val="000000"/>
          <w:sz w:val="24"/>
          <w:szCs w:val="24"/>
        </w:rPr>
        <w:t>):e</w:t>
      </w:r>
      <w:proofErr w:type="gramEnd"/>
      <w:r w:rsidRPr="00DA3C5C">
        <w:rPr>
          <w:rFonts w:ascii="Times New Roman" w:eastAsia="Times New Roman" w:hAnsi="Times New Roman"/>
          <w:color w:val="000000"/>
          <w:sz w:val="24"/>
          <w:szCs w:val="24"/>
        </w:rPr>
        <w:t>2220415120.</w:t>
      </w:r>
    </w:p>
    <w:p w14:paraId="45E1DC6C" w14:textId="77777777" w:rsidR="00E92386" w:rsidRPr="00CD1C16"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CD1C16">
        <w:rPr>
          <w:rStyle w:val="word"/>
          <w:rFonts w:ascii="Times New Roman" w:hAnsi="Times New Roman" w:cs="Times New Roman"/>
          <w:sz w:val="24"/>
          <w:szCs w:val="24"/>
          <w:bdr w:val="none" w:sz="0" w:space="0" w:color="auto" w:frame="1"/>
        </w:rPr>
        <w:t>World Health Organization, WHO Director-General declares mpox outbreak a public health emergency of international concern, 2024. https://www.who.int/news/item/14-08-2024-who-director-general-declares-mpox-outbreak-a-public-health-emergency-of-international-concern</w:t>
      </w:r>
      <w:r>
        <w:rPr>
          <w:rStyle w:val="word"/>
          <w:rFonts w:ascii="Times New Roman" w:hAnsi="Times New Roman" w:cs="Times New Roman"/>
          <w:sz w:val="24"/>
          <w:szCs w:val="24"/>
          <w:bdr w:val="none" w:sz="0" w:space="0" w:color="auto" w:frame="1"/>
        </w:rPr>
        <w:t>.</w:t>
      </w:r>
    </w:p>
    <w:p w14:paraId="04D2014A"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r w:rsidRPr="00914B69">
        <w:rPr>
          <w:rFonts w:ascii="Times New Roman" w:hAnsi="Times New Roman" w:cs="Times New Roman"/>
          <w:sz w:val="24"/>
          <w:szCs w:val="24"/>
          <w:lang w:val="en-US"/>
        </w:rPr>
        <w:t xml:space="preserve">Pal M, </w:t>
      </w:r>
      <w:proofErr w:type="spellStart"/>
      <w:r w:rsidRPr="00914B69">
        <w:rPr>
          <w:rFonts w:ascii="Times New Roman" w:hAnsi="Times New Roman" w:cs="Times New Roman"/>
          <w:sz w:val="24"/>
          <w:szCs w:val="24"/>
          <w:lang w:val="en-US"/>
        </w:rPr>
        <w:t>Rebuma</w:t>
      </w:r>
      <w:proofErr w:type="spellEnd"/>
      <w:r w:rsidRPr="00914B69">
        <w:rPr>
          <w:rFonts w:ascii="Times New Roman" w:hAnsi="Times New Roman" w:cs="Times New Roman"/>
          <w:sz w:val="24"/>
          <w:szCs w:val="24"/>
          <w:lang w:val="en-US"/>
        </w:rPr>
        <w:t xml:space="preserve"> T, </w:t>
      </w:r>
      <w:proofErr w:type="spellStart"/>
      <w:r w:rsidRPr="00914B69">
        <w:rPr>
          <w:rFonts w:ascii="Times New Roman" w:hAnsi="Times New Roman" w:cs="Times New Roman"/>
          <w:sz w:val="24"/>
          <w:szCs w:val="24"/>
          <w:lang w:val="en-US"/>
        </w:rPr>
        <w:t>Berhanu</w:t>
      </w:r>
      <w:proofErr w:type="spellEnd"/>
      <w:r w:rsidRPr="00914B69">
        <w:rPr>
          <w:rFonts w:ascii="Times New Roman" w:hAnsi="Times New Roman" w:cs="Times New Roman"/>
          <w:sz w:val="24"/>
          <w:szCs w:val="24"/>
          <w:lang w:val="en-US"/>
        </w:rPr>
        <w:t xml:space="preserve"> W, Endale B, Zende R. Monkeypox: A New Challenge in Global Health Security. American Journal of Epidemiology. 2024;12(3):37-43.</w:t>
      </w:r>
    </w:p>
    <w:p w14:paraId="0788367F" w14:textId="77777777" w:rsidR="00E92386" w:rsidRPr="00914B69"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914B69">
        <w:rPr>
          <w:rFonts w:ascii="Times New Roman" w:eastAsia="Times New Roman" w:hAnsi="Times New Roman"/>
          <w:color w:val="000000"/>
          <w:sz w:val="24"/>
          <w:szCs w:val="24"/>
        </w:rPr>
        <w:t xml:space="preserve">MoHFW, Presence of Mpox virus of West African clade 2 confirmed in Isolated Patient. 2024. </w:t>
      </w:r>
      <w:hyperlink r:id="rId24" w:history="1">
        <w:r w:rsidRPr="00914B69">
          <w:rPr>
            <w:rStyle w:val="Hyperlink"/>
            <w:rFonts w:ascii="Times New Roman" w:eastAsia="Times New Roman" w:hAnsi="Times New Roman"/>
            <w:sz w:val="24"/>
            <w:szCs w:val="24"/>
          </w:rPr>
          <w:t>https://mohfw.gov.in/?q=hi/node/7676</w:t>
        </w:r>
      </w:hyperlink>
      <w:r w:rsidRPr="00914B69">
        <w:rPr>
          <w:rFonts w:ascii="Times New Roman" w:eastAsia="Times New Roman" w:hAnsi="Times New Roman"/>
          <w:color w:val="000000"/>
          <w:sz w:val="24"/>
          <w:szCs w:val="24"/>
        </w:rPr>
        <w:t xml:space="preserve">. </w:t>
      </w:r>
    </w:p>
    <w:p w14:paraId="0F9F6BF9" w14:textId="77777777" w:rsidR="00E92386" w:rsidRPr="00964883"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1E40D7">
        <w:rPr>
          <w:rFonts w:ascii="Times New Roman" w:hAnsi="Times New Roman" w:cs="Times New Roman"/>
          <w:sz w:val="24"/>
          <w:szCs w:val="24"/>
          <w:lang w:val="en-US"/>
        </w:rPr>
        <w:t xml:space="preserve">Li P, Li J, Ayada I, Avan A, Zheng Q, </w:t>
      </w:r>
      <w:proofErr w:type="spellStart"/>
      <w:r w:rsidRPr="001E40D7">
        <w:rPr>
          <w:rFonts w:ascii="Times New Roman" w:hAnsi="Times New Roman" w:cs="Times New Roman"/>
          <w:sz w:val="24"/>
          <w:szCs w:val="24"/>
          <w:lang w:val="en-US"/>
        </w:rPr>
        <w:t>Peppelenbosch</w:t>
      </w:r>
      <w:proofErr w:type="spellEnd"/>
      <w:r w:rsidRPr="001E40D7">
        <w:rPr>
          <w:rFonts w:ascii="Times New Roman" w:hAnsi="Times New Roman" w:cs="Times New Roman"/>
          <w:sz w:val="24"/>
          <w:szCs w:val="24"/>
          <w:lang w:val="en-US"/>
        </w:rPr>
        <w:t xml:space="preserve"> MP, de Vries AC, Pan Q. Clinical features, antiviral treatment, and patient outcomes: a systematic review and comparative analysis of the previous and the 2022 mpox outbreaks. The Journal of Infectious Diseases. 2023;228(4):391-401.</w:t>
      </w:r>
    </w:p>
    <w:p w14:paraId="71FDEE05" w14:textId="77777777" w:rsidR="00E92386" w:rsidRPr="00964883" w:rsidRDefault="00E92386" w:rsidP="00E92386">
      <w:pPr>
        <w:pStyle w:val="ListParagraph"/>
        <w:numPr>
          <w:ilvl w:val="0"/>
          <w:numId w:val="1"/>
        </w:numPr>
        <w:spacing w:line="276" w:lineRule="auto"/>
        <w:jc w:val="both"/>
        <w:rPr>
          <w:rFonts w:ascii="Times New Roman" w:eastAsia="Times New Roman" w:hAnsi="Times New Roman"/>
          <w:color w:val="000000"/>
          <w:sz w:val="24"/>
          <w:szCs w:val="24"/>
        </w:rPr>
      </w:pPr>
      <w:r w:rsidRPr="00964883">
        <w:rPr>
          <w:rFonts w:ascii="Times New Roman" w:eastAsia="Times New Roman" w:hAnsi="Times New Roman"/>
          <w:color w:val="000000"/>
          <w:sz w:val="24"/>
          <w:szCs w:val="24"/>
        </w:rPr>
        <w:t xml:space="preserve">CDC, </w:t>
      </w:r>
      <w:proofErr w:type="spellStart"/>
      <w:r w:rsidRPr="00964883">
        <w:rPr>
          <w:rFonts w:ascii="Times New Roman" w:eastAsia="Times New Roman" w:hAnsi="Times New Roman"/>
          <w:color w:val="000000"/>
          <w:sz w:val="24"/>
          <w:szCs w:val="24"/>
        </w:rPr>
        <w:t>C.f.D.C.a.P</w:t>
      </w:r>
      <w:proofErr w:type="spellEnd"/>
      <w:r w:rsidRPr="00964883">
        <w:rPr>
          <w:rFonts w:ascii="Times New Roman" w:eastAsia="Times New Roman" w:hAnsi="Times New Roman"/>
          <w:color w:val="000000"/>
          <w:sz w:val="24"/>
          <w:szCs w:val="24"/>
        </w:rPr>
        <w:t xml:space="preserve">. Mpox, 2022. Outbreak cases and data. https://www.cdc.gov/poxvirus/mpox/response/2022/index.html. </w:t>
      </w:r>
    </w:p>
    <w:p w14:paraId="35A1295B" w14:textId="77777777" w:rsidR="00E92386" w:rsidRPr="00C7590B"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C7590B">
        <w:rPr>
          <w:rFonts w:ascii="Times New Roman" w:eastAsia="Times New Roman" w:hAnsi="Times New Roman"/>
          <w:color w:val="000000"/>
          <w:sz w:val="24"/>
          <w:szCs w:val="24"/>
        </w:rPr>
        <w:t xml:space="preserve">Zgarbová M, Otava T, </w:t>
      </w:r>
      <w:proofErr w:type="spellStart"/>
      <w:r w:rsidRPr="00C7590B">
        <w:rPr>
          <w:rFonts w:ascii="Times New Roman" w:eastAsia="Times New Roman" w:hAnsi="Times New Roman"/>
          <w:color w:val="000000"/>
          <w:sz w:val="24"/>
          <w:szCs w:val="24"/>
        </w:rPr>
        <w:t>Silhan</w:t>
      </w:r>
      <w:proofErr w:type="spellEnd"/>
      <w:r w:rsidRPr="00C7590B">
        <w:rPr>
          <w:rFonts w:ascii="Times New Roman" w:eastAsia="Times New Roman" w:hAnsi="Times New Roman"/>
          <w:color w:val="000000"/>
          <w:sz w:val="24"/>
          <w:szCs w:val="24"/>
        </w:rPr>
        <w:t xml:space="preserve"> J, </w:t>
      </w:r>
      <w:proofErr w:type="spellStart"/>
      <w:r w:rsidRPr="00C7590B">
        <w:rPr>
          <w:rFonts w:ascii="Times New Roman" w:eastAsia="Times New Roman" w:hAnsi="Times New Roman"/>
          <w:color w:val="000000"/>
          <w:sz w:val="24"/>
          <w:szCs w:val="24"/>
        </w:rPr>
        <w:t>Nencka</w:t>
      </w:r>
      <w:proofErr w:type="spellEnd"/>
      <w:r w:rsidRPr="00C7590B">
        <w:rPr>
          <w:rFonts w:ascii="Times New Roman" w:eastAsia="Times New Roman" w:hAnsi="Times New Roman"/>
          <w:color w:val="000000"/>
          <w:sz w:val="24"/>
          <w:szCs w:val="24"/>
        </w:rPr>
        <w:t xml:space="preserve"> R, Weber J, </w:t>
      </w:r>
      <w:proofErr w:type="spellStart"/>
      <w:r w:rsidRPr="00C7590B">
        <w:rPr>
          <w:rFonts w:ascii="Times New Roman" w:eastAsia="Times New Roman" w:hAnsi="Times New Roman"/>
          <w:color w:val="000000"/>
          <w:sz w:val="24"/>
          <w:szCs w:val="24"/>
        </w:rPr>
        <w:t>Boura</w:t>
      </w:r>
      <w:proofErr w:type="spellEnd"/>
      <w:r w:rsidRPr="00C7590B">
        <w:rPr>
          <w:rFonts w:ascii="Times New Roman" w:eastAsia="Times New Roman" w:hAnsi="Times New Roman"/>
          <w:color w:val="000000"/>
          <w:sz w:val="24"/>
          <w:szCs w:val="24"/>
        </w:rPr>
        <w:t xml:space="preserve"> E. Inhibitors of Mpox VP39 2′-O methyltransferase efficiently inhibit the monkeypox virus. Antiviral Research. </w:t>
      </w:r>
      <w:proofErr w:type="gramStart"/>
      <w:r w:rsidRPr="00C7590B">
        <w:rPr>
          <w:rFonts w:ascii="Times New Roman" w:eastAsia="Times New Roman" w:hAnsi="Times New Roman"/>
          <w:color w:val="000000"/>
          <w:sz w:val="24"/>
          <w:szCs w:val="24"/>
        </w:rPr>
        <w:t>2023;218:105714</w:t>
      </w:r>
      <w:proofErr w:type="gramEnd"/>
      <w:r w:rsidRPr="00C7590B">
        <w:rPr>
          <w:rFonts w:ascii="Times New Roman" w:eastAsia="Times New Roman" w:hAnsi="Times New Roman"/>
          <w:color w:val="000000"/>
          <w:sz w:val="24"/>
          <w:szCs w:val="24"/>
        </w:rPr>
        <w:t>.</w:t>
      </w:r>
    </w:p>
    <w:p w14:paraId="02BC6580"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r w:rsidRPr="00405C67">
        <w:rPr>
          <w:rFonts w:ascii="Times New Roman" w:hAnsi="Times New Roman" w:cs="Times New Roman"/>
          <w:sz w:val="24"/>
          <w:szCs w:val="24"/>
          <w:lang w:val="en-US"/>
        </w:rPr>
        <w:t>Kumar M, Kumar S, Kumar R, Jha MK, Tiwari SN, Gupta P. Serious Concern of Congenital Zika Syndrome (CZS) in India: A Narrative Review. Journal of Pregnancy. 2024;2024(1):1758662.</w:t>
      </w:r>
    </w:p>
    <w:p w14:paraId="108E8006" w14:textId="77777777" w:rsidR="00E92386"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0D311C">
        <w:rPr>
          <w:rFonts w:ascii="Times New Roman" w:eastAsia="Times New Roman" w:hAnsi="Times New Roman"/>
          <w:color w:val="000000"/>
          <w:sz w:val="24"/>
          <w:szCs w:val="24"/>
        </w:rPr>
        <w:t xml:space="preserve">Kmiec D, Kirchhoff F. Monkeypox: a new </w:t>
      </w:r>
      <w:proofErr w:type="gramStart"/>
      <w:r w:rsidRPr="000D311C">
        <w:rPr>
          <w:rFonts w:ascii="Times New Roman" w:eastAsia="Times New Roman" w:hAnsi="Times New Roman"/>
          <w:color w:val="000000"/>
          <w:sz w:val="24"/>
          <w:szCs w:val="24"/>
        </w:rPr>
        <w:t>threat?.</w:t>
      </w:r>
      <w:proofErr w:type="gramEnd"/>
      <w:r w:rsidRPr="000D311C">
        <w:rPr>
          <w:rFonts w:ascii="Times New Roman" w:eastAsia="Times New Roman" w:hAnsi="Times New Roman"/>
          <w:color w:val="000000"/>
          <w:sz w:val="24"/>
          <w:szCs w:val="24"/>
        </w:rPr>
        <w:t xml:space="preserve"> International journal of molecular sciences. 2022 Jul 17;23(14):7866.</w:t>
      </w:r>
    </w:p>
    <w:p w14:paraId="45D21337" w14:textId="77777777" w:rsidR="00E92386" w:rsidRPr="000D311C"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0D311C">
        <w:rPr>
          <w:rFonts w:ascii="Times New Roman" w:eastAsia="Times New Roman" w:hAnsi="Times New Roman"/>
          <w:color w:val="000000"/>
          <w:sz w:val="24"/>
          <w:szCs w:val="24"/>
        </w:rPr>
        <w:t>Saghazadeh A, Rezaei N. Insights on Mpox virus infection immunopathogenesis. Reviews in medical virology. 2023 Mar;33(2</w:t>
      </w:r>
      <w:proofErr w:type="gramStart"/>
      <w:r w:rsidRPr="000D311C">
        <w:rPr>
          <w:rFonts w:ascii="Times New Roman" w:eastAsia="Times New Roman" w:hAnsi="Times New Roman"/>
          <w:color w:val="000000"/>
          <w:sz w:val="24"/>
          <w:szCs w:val="24"/>
        </w:rPr>
        <w:t>):e</w:t>
      </w:r>
      <w:proofErr w:type="gramEnd"/>
      <w:r w:rsidRPr="000D311C">
        <w:rPr>
          <w:rFonts w:ascii="Times New Roman" w:eastAsia="Times New Roman" w:hAnsi="Times New Roman"/>
          <w:color w:val="000000"/>
          <w:sz w:val="24"/>
          <w:szCs w:val="24"/>
        </w:rPr>
        <w:t>2426.</w:t>
      </w:r>
    </w:p>
    <w:p w14:paraId="2737F5D4"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r w:rsidRPr="001E40D7">
        <w:rPr>
          <w:rFonts w:ascii="Times New Roman" w:hAnsi="Times New Roman" w:cs="Times New Roman"/>
          <w:sz w:val="24"/>
          <w:szCs w:val="24"/>
          <w:lang w:val="en-US"/>
        </w:rPr>
        <w:t xml:space="preserve">Silhan J, Klima M, </w:t>
      </w:r>
      <w:proofErr w:type="spellStart"/>
      <w:r w:rsidRPr="001E40D7">
        <w:rPr>
          <w:rFonts w:ascii="Times New Roman" w:hAnsi="Times New Roman" w:cs="Times New Roman"/>
          <w:sz w:val="24"/>
          <w:szCs w:val="24"/>
          <w:lang w:val="en-US"/>
        </w:rPr>
        <w:t>Chalupska</w:t>
      </w:r>
      <w:proofErr w:type="spellEnd"/>
      <w:r w:rsidRPr="001E40D7">
        <w:rPr>
          <w:rFonts w:ascii="Times New Roman" w:hAnsi="Times New Roman" w:cs="Times New Roman"/>
          <w:sz w:val="24"/>
          <w:szCs w:val="24"/>
          <w:lang w:val="en-US"/>
        </w:rPr>
        <w:t xml:space="preserve"> D, </w:t>
      </w:r>
      <w:proofErr w:type="spellStart"/>
      <w:r w:rsidRPr="001E40D7">
        <w:rPr>
          <w:rFonts w:ascii="Times New Roman" w:hAnsi="Times New Roman" w:cs="Times New Roman"/>
          <w:sz w:val="24"/>
          <w:szCs w:val="24"/>
          <w:lang w:val="en-US"/>
        </w:rPr>
        <w:t>Kozic</w:t>
      </w:r>
      <w:proofErr w:type="spellEnd"/>
      <w:r w:rsidRPr="001E40D7">
        <w:rPr>
          <w:rFonts w:ascii="Times New Roman" w:hAnsi="Times New Roman" w:cs="Times New Roman"/>
          <w:sz w:val="24"/>
          <w:szCs w:val="24"/>
          <w:lang w:val="en-US"/>
        </w:rPr>
        <w:t xml:space="preserve"> J, </w:t>
      </w:r>
      <w:proofErr w:type="spellStart"/>
      <w:r w:rsidRPr="001E40D7">
        <w:rPr>
          <w:rFonts w:ascii="Times New Roman" w:hAnsi="Times New Roman" w:cs="Times New Roman"/>
          <w:sz w:val="24"/>
          <w:szCs w:val="24"/>
          <w:lang w:val="en-US"/>
        </w:rPr>
        <w:t>Boura</w:t>
      </w:r>
      <w:proofErr w:type="spellEnd"/>
      <w:r w:rsidRPr="001E40D7">
        <w:rPr>
          <w:rFonts w:ascii="Times New Roman" w:hAnsi="Times New Roman" w:cs="Times New Roman"/>
          <w:sz w:val="24"/>
          <w:szCs w:val="24"/>
          <w:lang w:val="en-US"/>
        </w:rPr>
        <w:t xml:space="preserve"> E. The structure of monkeypox virus 2’-O-ribose methyltransferase VP39 in complex with sinefungin provides the foundation for inhibitor design. </w:t>
      </w:r>
      <w:proofErr w:type="spellStart"/>
      <w:r w:rsidRPr="001E40D7">
        <w:rPr>
          <w:rFonts w:ascii="Times New Roman" w:hAnsi="Times New Roman" w:cs="Times New Roman"/>
          <w:sz w:val="24"/>
          <w:szCs w:val="24"/>
          <w:lang w:val="en-US"/>
        </w:rPr>
        <w:t>bioRxiv</w:t>
      </w:r>
      <w:proofErr w:type="spellEnd"/>
      <w:r w:rsidRPr="001E40D7">
        <w:rPr>
          <w:rFonts w:ascii="Times New Roman" w:hAnsi="Times New Roman" w:cs="Times New Roman"/>
          <w:sz w:val="24"/>
          <w:szCs w:val="24"/>
          <w:lang w:val="en-US"/>
        </w:rPr>
        <w:t>. 2022:2022-09.</w:t>
      </w:r>
    </w:p>
    <w:p w14:paraId="28DE9F7B"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r w:rsidRPr="00C34695">
        <w:rPr>
          <w:rFonts w:ascii="Times New Roman" w:hAnsi="Times New Roman" w:cs="Times New Roman"/>
          <w:sz w:val="24"/>
          <w:szCs w:val="24"/>
          <w:lang w:val="en-US"/>
        </w:rPr>
        <w:t>Lu J, Xing H, Wang C, Tang M, Wu C, Ye F, Yin L, Yang Y, Tan W, Shen L. Mpox (formerly monkeypox): pathogenesis, prevention, and treatment. Signal Transduction and Targeted Therapy. 2023;8(1):458.</w:t>
      </w:r>
    </w:p>
    <w:p w14:paraId="7F9906E0" w14:textId="77777777" w:rsidR="00E92386" w:rsidRPr="00C34695"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C34695">
        <w:rPr>
          <w:rFonts w:ascii="Times New Roman" w:eastAsia="Times New Roman" w:hAnsi="Times New Roman"/>
          <w:color w:val="000000"/>
          <w:sz w:val="24"/>
          <w:szCs w:val="24"/>
        </w:rPr>
        <w:t xml:space="preserve">Silhan J, Klima M, </w:t>
      </w:r>
      <w:proofErr w:type="spellStart"/>
      <w:r w:rsidRPr="00C34695">
        <w:rPr>
          <w:rFonts w:ascii="Times New Roman" w:eastAsia="Times New Roman" w:hAnsi="Times New Roman"/>
          <w:color w:val="000000"/>
          <w:sz w:val="24"/>
          <w:szCs w:val="24"/>
        </w:rPr>
        <w:t>Otava</w:t>
      </w:r>
      <w:proofErr w:type="spellEnd"/>
      <w:r w:rsidRPr="00C34695">
        <w:rPr>
          <w:rFonts w:ascii="Times New Roman" w:eastAsia="Times New Roman" w:hAnsi="Times New Roman"/>
          <w:color w:val="000000"/>
          <w:sz w:val="24"/>
          <w:szCs w:val="24"/>
        </w:rPr>
        <w:t xml:space="preserve"> T, </w:t>
      </w:r>
      <w:proofErr w:type="spellStart"/>
      <w:r w:rsidRPr="00C34695">
        <w:rPr>
          <w:rFonts w:ascii="Times New Roman" w:eastAsia="Times New Roman" w:hAnsi="Times New Roman"/>
          <w:color w:val="000000"/>
          <w:sz w:val="24"/>
          <w:szCs w:val="24"/>
        </w:rPr>
        <w:t>Skvara</w:t>
      </w:r>
      <w:proofErr w:type="spellEnd"/>
      <w:r w:rsidRPr="00C34695">
        <w:rPr>
          <w:rFonts w:ascii="Times New Roman" w:eastAsia="Times New Roman" w:hAnsi="Times New Roman"/>
          <w:color w:val="000000"/>
          <w:sz w:val="24"/>
          <w:szCs w:val="24"/>
        </w:rPr>
        <w:t xml:space="preserve"> P, </w:t>
      </w:r>
      <w:proofErr w:type="spellStart"/>
      <w:r w:rsidRPr="00C34695">
        <w:rPr>
          <w:rFonts w:ascii="Times New Roman" w:eastAsia="Times New Roman" w:hAnsi="Times New Roman"/>
          <w:color w:val="000000"/>
          <w:sz w:val="24"/>
          <w:szCs w:val="24"/>
        </w:rPr>
        <w:t>Chalupska</w:t>
      </w:r>
      <w:proofErr w:type="spellEnd"/>
      <w:r w:rsidRPr="00C34695">
        <w:rPr>
          <w:rFonts w:ascii="Times New Roman" w:eastAsia="Times New Roman" w:hAnsi="Times New Roman"/>
          <w:color w:val="000000"/>
          <w:sz w:val="24"/>
          <w:szCs w:val="24"/>
        </w:rPr>
        <w:t xml:space="preserve"> D, Chalupsky K, </w:t>
      </w:r>
      <w:proofErr w:type="spellStart"/>
      <w:r w:rsidRPr="00C34695">
        <w:rPr>
          <w:rFonts w:ascii="Times New Roman" w:eastAsia="Times New Roman" w:hAnsi="Times New Roman"/>
          <w:color w:val="000000"/>
          <w:sz w:val="24"/>
          <w:szCs w:val="24"/>
        </w:rPr>
        <w:t>Kozic</w:t>
      </w:r>
      <w:proofErr w:type="spellEnd"/>
      <w:r w:rsidRPr="00C34695">
        <w:rPr>
          <w:rFonts w:ascii="Times New Roman" w:eastAsia="Times New Roman" w:hAnsi="Times New Roman"/>
          <w:color w:val="000000"/>
          <w:sz w:val="24"/>
          <w:szCs w:val="24"/>
        </w:rPr>
        <w:t xml:space="preserve"> J, </w:t>
      </w:r>
      <w:proofErr w:type="spellStart"/>
      <w:r w:rsidRPr="00C34695">
        <w:rPr>
          <w:rFonts w:ascii="Times New Roman" w:eastAsia="Times New Roman" w:hAnsi="Times New Roman"/>
          <w:color w:val="000000"/>
          <w:sz w:val="24"/>
          <w:szCs w:val="24"/>
        </w:rPr>
        <w:t>Nencka</w:t>
      </w:r>
      <w:proofErr w:type="spellEnd"/>
      <w:r w:rsidRPr="00C34695">
        <w:rPr>
          <w:rFonts w:ascii="Times New Roman" w:eastAsia="Times New Roman" w:hAnsi="Times New Roman"/>
          <w:color w:val="000000"/>
          <w:sz w:val="24"/>
          <w:szCs w:val="24"/>
        </w:rPr>
        <w:t xml:space="preserve"> R, </w:t>
      </w:r>
      <w:proofErr w:type="spellStart"/>
      <w:r w:rsidRPr="00C34695">
        <w:rPr>
          <w:rFonts w:ascii="Times New Roman" w:eastAsia="Times New Roman" w:hAnsi="Times New Roman"/>
          <w:color w:val="000000"/>
          <w:sz w:val="24"/>
          <w:szCs w:val="24"/>
        </w:rPr>
        <w:t>Boura</w:t>
      </w:r>
      <w:proofErr w:type="spellEnd"/>
      <w:r w:rsidRPr="00C34695">
        <w:rPr>
          <w:rFonts w:ascii="Times New Roman" w:eastAsia="Times New Roman" w:hAnsi="Times New Roman"/>
          <w:color w:val="000000"/>
          <w:sz w:val="24"/>
          <w:szCs w:val="24"/>
        </w:rPr>
        <w:t xml:space="preserve"> E. Discovery and structural characterization of monkeypox virus methyltransferase VP39 inhibitors reveal similarities to SARS-CoV-2 nsp14 methyltransferase. Nature Communications. 2023 Apr 20;14(1):2259.</w:t>
      </w:r>
    </w:p>
    <w:p w14:paraId="2CA9AD5F" w14:textId="77777777" w:rsidR="00E92386" w:rsidRPr="00C34695" w:rsidRDefault="00E92386" w:rsidP="00E92386">
      <w:pPr>
        <w:pStyle w:val="ListParagraph"/>
        <w:numPr>
          <w:ilvl w:val="0"/>
          <w:numId w:val="1"/>
        </w:numPr>
        <w:jc w:val="both"/>
        <w:rPr>
          <w:rFonts w:ascii="Times New Roman" w:hAnsi="Times New Roman" w:cs="Times New Roman"/>
          <w:sz w:val="24"/>
          <w:szCs w:val="24"/>
          <w:lang w:val="en-US"/>
        </w:rPr>
      </w:pPr>
      <w:r w:rsidRPr="00C34695">
        <w:rPr>
          <w:rFonts w:ascii="Times New Roman" w:hAnsi="Times New Roman" w:cs="Times New Roman"/>
          <w:sz w:val="24"/>
          <w:szCs w:val="24"/>
          <w:lang w:val="en-US"/>
        </w:rPr>
        <w:t>Alzohairy MA. Therapeutics role of Azadirachta indica (Neem) and their active constituents in diseases prevention and treatment. Evidence‐Based Complementary and Alternative Medicine. 2016;2016(1):7382506.</w:t>
      </w:r>
    </w:p>
    <w:p w14:paraId="046CE1DE"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r w:rsidRPr="00FC2952">
        <w:rPr>
          <w:rFonts w:ascii="Times New Roman" w:hAnsi="Times New Roman" w:cs="Times New Roman"/>
          <w:sz w:val="24"/>
          <w:szCs w:val="24"/>
          <w:lang w:val="en-US"/>
        </w:rPr>
        <w:lastRenderedPageBreak/>
        <w:t xml:space="preserve">Wylie MR, Merrell DS. The antimicrobial potential of the neem tree Azadirachta indica. Frontiers in pharmacology. 2022 May </w:t>
      </w:r>
      <w:proofErr w:type="gramStart"/>
      <w:r w:rsidRPr="00FC2952">
        <w:rPr>
          <w:rFonts w:ascii="Times New Roman" w:hAnsi="Times New Roman" w:cs="Times New Roman"/>
          <w:sz w:val="24"/>
          <w:szCs w:val="24"/>
          <w:lang w:val="en-US"/>
        </w:rPr>
        <w:t>30;13:891535</w:t>
      </w:r>
      <w:proofErr w:type="gramEnd"/>
      <w:r w:rsidRPr="00FC2952">
        <w:rPr>
          <w:rFonts w:ascii="Times New Roman" w:hAnsi="Times New Roman" w:cs="Times New Roman"/>
          <w:sz w:val="24"/>
          <w:szCs w:val="24"/>
          <w:lang w:val="en-US"/>
        </w:rPr>
        <w:t>.</w:t>
      </w:r>
    </w:p>
    <w:p w14:paraId="6021B8A5"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r w:rsidRPr="00147C06">
        <w:rPr>
          <w:rFonts w:ascii="Times New Roman" w:hAnsi="Times New Roman" w:cs="Times New Roman"/>
          <w:sz w:val="24"/>
          <w:szCs w:val="24"/>
          <w:lang w:val="en-US"/>
        </w:rPr>
        <w:t xml:space="preserve">Foka FE, </w:t>
      </w:r>
      <w:proofErr w:type="spellStart"/>
      <w:r w:rsidRPr="00147C06">
        <w:rPr>
          <w:rFonts w:ascii="Times New Roman" w:hAnsi="Times New Roman" w:cs="Times New Roman"/>
          <w:sz w:val="24"/>
          <w:szCs w:val="24"/>
          <w:lang w:val="en-US"/>
        </w:rPr>
        <w:t>Manamela</w:t>
      </w:r>
      <w:proofErr w:type="spellEnd"/>
      <w:r w:rsidRPr="00147C06">
        <w:rPr>
          <w:rFonts w:ascii="Times New Roman" w:hAnsi="Times New Roman" w:cs="Times New Roman"/>
          <w:sz w:val="24"/>
          <w:szCs w:val="24"/>
          <w:lang w:val="en-US"/>
        </w:rPr>
        <w:t xml:space="preserve"> N, </w:t>
      </w:r>
      <w:proofErr w:type="spellStart"/>
      <w:r w:rsidRPr="00147C06">
        <w:rPr>
          <w:rFonts w:ascii="Times New Roman" w:hAnsi="Times New Roman" w:cs="Times New Roman"/>
          <w:sz w:val="24"/>
          <w:szCs w:val="24"/>
          <w:lang w:val="en-US"/>
        </w:rPr>
        <w:t>Mufamadi</w:t>
      </w:r>
      <w:proofErr w:type="spellEnd"/>
      <w:r w:rsidRPr="00147C06">
        <w:rPr>
          <w:rFonts w:ascii="Times New Roman" w:hAnsi="Times New Roman" w:cs="Times New Roman"/>
          <w:sz w:val="24"/>
          <w:szCs w:val="24"/>
          <w:lang w:val="en-US"/>
        </w:rPr>
        <w:t xml:space="preserve"> SM, </w:t>
      </w:r>
      <w:proofErr w:type="spellStart"/>
      <w:r w:rsidRPr="00147C06">
        <w:rPr>
          <w:rFonts w:ascii="Times New Roman" w:hAnsi="Times New Roman" w:cs="Times New Roman"/>
          <w:sz w:val="24"/>
          <w:szCs w:val="24"/>
          <w:lang w:val="en-US"/>
        </w:rPr>
        <w:t>Mufhandu</w:t>
      </w:r>
      <w:proofErr w:type="spellEnd"/>
      <w:r w:rsidRPr="00147C06">
        <w:rPr>
          <w:rFonts w:ascii="Times New Roman" w:hAnsi="Times New Roman" w:cs="Times New Roman"/>
          <w:sz w:val="24"/>
          <w:szCs w:val="24"/>
          <w:lang w:val="en-US"/>
        </w:rPr>
        <w:t xml:space="preserve"> HT. Potential of Azadirachta indica as a Capping Agent for Antiviral Nanoparticles against SARS‐CoV‐2. BioMed Research International. 2022;2022(1):5714035.</w:t>
      </w:r>
    </w:p>
    <w:p w14:paraId="08B57839" w14:textId="77777777" w:rsidR="00E92386" w:rsidRPr="00147C06"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147C06">
        <w:rPr>
          <w:rFonts w:ascii="Times New Roman" w:eastAsia="Times New Roman" w:hAnsi="Times New Roman"/>
          <w:color w:val="000000"/>
          <w:sz w:val="24"/>
          <w:szCs w:val="24"/>
        </w:rPr>
        <w:t>Szabadka Z, Grolmusz V. Building a structured PDB: The RS-PDB database. In2006 International Conference of the IEEE Engineering in Medicine and Biology Society 2006 Aug 30 (pp. 5755-5758). IEEE.</w:t>
      </w:r>
    </w:p>
    <w:p w14:paraId="34D1D3DC" w14:textId="77777777" w:rsidR="00E92386" w:rsidRPr="00147C06" w:rsidRDefault="00E92386" w:rsidP="00E92386">
      <w:pPr>
        <w:pStyle w:val="ListParagraph"/>
        <w:numPr>
          <w:ilvl w:val="0"/>
          <w:numId w:val="1"/>
        </w:numPr>
        <w:jc w:val="both"/>
        <w:rPr>
          <w:rFonts w:ascii="Times New Roman" w:hAnsi="Times New Roman" w:cs="Times New Roman"/>
          <w:sz w:val="24"/>
          <w:szCs w:val="24"/>
          <w:lang w:val="en-US"/>
        </w:rPr>
      </w:pPr>
      <w:r w:rsidRPr="00147C06">
        <w:rPr>
          <w:rFonts w:ascii="Times New Roman" w:hAnsi="Times New Roman" w:cs="Times New Roman"/>
          <w:sz w:val="24"/>
          <w:szCs w:val="24"/>
          <w:lang w:val="en-US"/>
        </w:rPr>
        <w:t>Kumar M, Rana S, Kumar H, Kumar P, Dikhit MR, Mansuri R, Kumar J, Sahoo GC. Computational, structural and functional aspects of hypothetical protein of Aspergillus flavus Pheromone Receptor Pre-A (PRP-A). Journal of Applied Pharmaceutical Science. 2017;7(7):089-97.</w:t>
      </w:r>
    </w:p>
    <w:p w14:paraId="70B97EC1"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r w:rsidRPr="000A3AA7">
        <w:rPr>
          <w:rFonts w:ascii="Times New Roman" w:hAnsi="Times New Roman" w:cs="Times New Roman"/>
          <w:sz w:val="24"/>
          <w:szCs w:val="24"/>
        </w:rPr>
        <w:t xml:space="preserve">Kumar P, Kumar M, Kumar H, Rana S, Kumar J, Sahoo GC. In silico targeting methylerythritol phosphate pathway </w:t>
      </w:r>
      <w:proofErr w:type="spellStart"/>
      <w:r w:rsidRPr="000A3AA7">
        <w:rPr>
          <w:rFonts w:ascii="Times New Roman" w:hAnsi="Times New Roman" w:cs="Times New Roman"/>
          <w:sz w:val="24"/>
          <w:szCs w:val="24"/>
        </w:rPr>
        <w:t>IspD</w:t>
      </w:r>
      <w:proofErr w:type="spellEnd"/>
      <w:r w:rsidRPr="000A3AA7">
        <w:rPr>
          <w:rFonts w:ascii="Times New Roman" w:hAnsi="Times New Roman" w:cs="Times New Roman"/>
          <w:sz w:val="24"/>
          <w:szCs w:val="24"/>
        </w:rPr>
        <w:t xml:space="preserve"> enzyme of Mycobacterium tuberculosis for novel anti-mycobacterial drug discovery. Journal of Applied Pharmaceutical Science. 2020;10(10):023-9.</w:t>
      </w:r>
    </w:p>
    <w:p w14:paraId="1740982B" w14:textId="77777777" w:rsidR="00E92386" w:rsidRPr="00D9528C"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D9528C">
        <w:rPr>
          <w:rFonts w:ascii="Times New Roman" w:eastAsia="Times New Roman" w:hAnsi="Times New Roman"/>
          <w:color w:val="000000"/>
          <w:sz w:val="24"/>
          <w:szCs w:val="24"/>
        </w:rPr>
        <w:t>Laskowski RA, MacArthur MW, Moss DS, Thornton JM. PROCHECK: a program to check the stereochemical quality of protein structures. Journal of applied crystallography. 1993;26(2):283-91.</w:t>
      </w:r>
    </w:p>
    <w:p w14:paraId="241A6C62"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r w:rsidRPr="00360472">
        <w:rPr>
          <w:rFonts w:ascii="Times New Roman" w:hAnsi="Times New Roman" w:cs="Times New Roman"/>
          <w:sz w:val="24"/>
          <w:szCs w:val="24"/>
          <w:lang w:val="en-US"/>
        </w:rPr>
        <w:t>Kumar M. In silico efficacy of [S]-8-gingerol (a derivative) with 6-gingerol against PT-domain of Polyketide synthase A (</w:t>
      </w:r>
      <w:proofErr w:type="spellStart"/>
      <w:r w:rsidRPr="00360472">
        <w:rPr>
          <w:rFonts w:ascii="Times New Roman" w:hAnsi="Times New Roman" w:cs="Times New Roman"/>
          <w:sz w:val="24"/>
          <w:szCs w:val="24"/>
          <w:lang w:val="en-US"/>
        </w:rPr>
        <w:t>PksA</w:t>
      </w:r>
      <w:proofErr w:type="spellEnd"/>
      <w:r w:rsidRPr="00360472">
        <w:rPr>
          <w:rFonts w:ascii="Times New Roman" w:hAnsi="Times New Roman" w:cs="Times New Roman"/>
          <w:sz w:val="24"/>
          <w:szCs w:val="24"/>
          <w:lang w:val="en-US"/>
        </w:rPr>
        <w:t xml:space="preserve">). IP International Journal of Medical Microbiology and Tropical Diseases. </w:t>
      </w:r>
      <w:proofErr w:type="gramStart"/>
      <w:r w:rsidRPr="00360472">
        <w:rPr>
          <w:rFonts w:ascii="Times New Roman" w:hAnsi="Times New Roman" w:cs="Times New Roman"/>
          <w:sz w:val="24"/>
          <w:szCs w:val="24"/>
          <w:lang w:val="en-US"/>
        </w:rPr>
        <w:t>2021;7:62</w:t>
      </w:r>
      <w:proofErr w:type="gramEnd"/>
      <w:r w:rsidRPr="00360472">
        <w:rPr>
          <w:rFonts w:ascii="Times New Roman" w:hAnsi="Times New Roman" w:cs="Times New Roman"/>
          <w:sz w:val="24"/>
          <w:szCs w:val="24"/>
          <w:lang w:val="en-US"/>
        </w:rPr>
        <w:t>-4.</w:t>
      </w:r>
    </w:p>
    <w:p w14:paraId="24BCBF60" w14:textId="77777777" w:rsidR="00E92386" w:rsidRPr="000A3AA7"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0A3AA7">
        <w:rPr>
          <w:rFonts w:ascii="Times New Roman" w:eastAsia="Times New Roman" w:hAnsi="Times New Roman"/>
          <w:color w:val="000000"/>
          <w:sz w:val="24"/>
          <w:szCs w:val="24"/>
        </w:rPr>
        <w:t xml:space="preserve">Kim S, Chen J, Cheng T, </w:t>
      </w:r>
      <w:proofErr w:type="spellStart"/>
      <w:r w:rsidRPr="000A3AA7">
        <w:rPr>
          <w:rFonts w:ascii="Times New Roman" w:eastAsia="Times New Roman" w:hAnsi="Times New Roman"/>
          <w:color w:val="000000"/>
          <w:sz w:val="24"/>
          <w:szCs w:val="24"/>
        </w:rPr>
        <w:t>Gindulyte</w:t>
      </w:r>
      <w:proofErr w:type="spellEnd"/>
      <w:r w:rsidRPr="000A3AA7">
        <w:rPr>
          <w:rFonts w:ascii="Times New Roman" w:eastAsia="Times New Roman" w:hAnsi="Times New Roman"/>
          <w:color w:val="000000"/>
          <w:sz w:val="24"/>
          <w:szCs w:val="24"/>
        </w:rPr>
        <w:t xml:space="preserve"> A, He J, He S, Li Q, Shoemaker BA, Thiessen PA, Yu B, Zaslavsky L. PubChem 2019 update: improved access to chemical data. Nucleic acids research. 2019;47(D1</w:t>
      </w:r>
      <w:proofErr w:type="gramStart"/>
      <w:r w:rsidRPr="000A3AA7">
        <w:rPr>
          <w:rFonts w:ascii="Times New Roman" w:eastAsia="Times New Roman" w:hAnsi="Times New Roman"/>
          <w:color w:val="000000"/>
          <w:sz w:val="24"/>
          <w:szCs w:val="24"/>
        </w:rPr>
        <w:t>):D</w:t>
      </w:r>
      <w:proofErr w:type="gramEnd"/>
      <w:r w:rsidRPr="000A3AA7">
        <w:rPr>
          <w:rFonts w:ascii="Times New Roman" w:eastAsia="Times New Roman" w:hAnsi="Times New Roman"/>
          <w:color w:val="000000"/>
          <w:sz w:val="24"/>
          <w:szCs w:val="24"/>
        </w:rPr>
        <w:t>1102-9.</w:t>
      </w:r>
    </w:p>
    <w:p w14:paraId="78067C32" w14:textId="77777777" w:rsidR="00E92386" w:rsidRDefault="00E92386" w:rsidP="00E92386">
      <w:pPr>
        <w:pStyle w:val="ListParagraph"/>
        <w:numPr>
          <w:ilvl w:val="0"/>
          <w:numId w:val="1"/>
        </w:numPr>
        <w:spacing w:line="276" w:lineRule="auto"/>
        <w:jc w:val="both"/>
        <w:rPr>
          <w:rFonts w:ascii="Times New Roman" w:eastAsia="Times New Roman" w:hAnsi="Times New Roman"/>
          <w:color w:val="000000"/>
          <w:sz w:val="24"/>
          <w:szCs w:val="24"/>
        </w:rPr>
      </w:pPr>
      <w:r w:rsidRPr="00FC79AD">
        <w:rPr>
          <w:rFonts w:ascii="Times New Roman" w:eastAsia="Times New Roman" w:hAnsi="Times New Roman"/>
          <w:color w:val="000000"/>
          <w:sz w:val="24"/>
          <w:szCs w:val="24"/>
        </w:rPr>
        <w:t>Daina A, Michielin O, Zoete V. SwissADME: a free web tool to evaluate pharmacokinetics, drug-likeness and medicinal chemistry friendliness of small molecules. Scientific reports. 2017;7(1):42717.</w:t>
      </w:r>
    </w:p>
    <w:p w14:paraId="2BD77E74" w14:textId="77777777" w:rsidR="00E92386" w:rsidRPr="00FC79AD" w:rsidRDefault="00E92386" w:rsidP="00E92386">
      <w:pPr>
        <w:pStyle w:val="ListParagraph"/>
        <w:numPr>
          <w:ilvl w:val="0"/>
          <w:numId w:val="1"/>
        </w:numPr>
        <w:spacing w:line="276" w:lineRule="auto"/>
        <w:jc w:val="both"/>
        <w:rPr>
          <w:rFonts w:ascii="Times New Roman" w:eastAsia="Times New Roman" w:hAnsi="Times New Roman"/>
          <w:color w:val="000000"/>
          <w:sz w:val="24"/>
          <w:szCs w:val="24"/>
        </w:rPr>
      </w:pPr>
      <w:r w:rsidRPr="009D5065">
        <w:rPr>
          <w:rFonts w:ascii="Times New Roman" w:eastAsia="Times New Roman" w:hAnsi="Times New Roman"/>
          <w:color w:val="000000"/>
          <w:sz w:val="24"/>
          <w:szCs w:val="24"/>
        </w:rPr>
        <w:t>Kumari A, Kumar M, Sahoo GC, Kumar J. IN SILICO PREDICTION OF GLABRIDIN POTENCY AGAINST HUMAN TYROSINASE IN HYPERPIGMENTATION CONDITION, IJRAR-International Journal of Research and Analytical Reviews (IJRAR), E-ISSN. 2021:2348-1269.</w:t>
      </w:r>
    </w:p>
    <w:p w14:paraId="051AFE63"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r w:rsidRPr="004A16CE">
        <w:rPr>
          <w:rFonts w:ascii="Times New Roman" w:hAnsi="Times New Roman" w:cs="Times New Roman"/>
          <w:sz w:val="24"/>
          <w:szCs w:val="24"/>
          <w:lang w:val="en-US"/>
        </w:rPr>
        <w:t xml:space="preserve">Murail S, De Vries SJ, Rey J, </w:t>
      </w:r>
      <w:proofErr w:type="spellStart"/>
      <w:r w:rsidRPr="004A16CE">
        <w:rPr>
          <w:rFonts w:ascii="Times New Roman" w:hAnsi="Times New Roman" w:cs="Times New Roman"/>
          <w:sz w:val="24"/>
          <w:szCs w:val="24"/>
          <w:lang w:val="en-US"/>
        </w:rPr>
        <w:t>Moroy</w:t>
      </w:r>
      <w:proofErr w:type="spellEnd"/>
      <w:r w:rsidRPr="004A16CE">
        <w:rPr>
          <w:rFonts w:ascii="Times New Roman" w:hAnsi="Times New Roman" w:cs="Times New Roman"/>
          <w:sz w:val="24"/>
          <w:szCs w:val="24"/>
          <w:lang w:val="en-US"/>
        </w:rPr>
        <w:t xml:space="preserve"> G, </w:t>
      </w:r>
      <w:proofErr w:type="spellStart"/>
      <w:r w:rsidRPr="004A16CE">
        <w:rPr>
          <w:rFonts w:ascii="Times New Roman" w:hAnsi="Times New Roman" w:cs="Times New Roman"/>
          <w:sz w:val="24"/>
          <w:szCs w:val="24"/>
          <w:lang w:val="en-US"/>
        </w:rPr>
        <w:t>Tufféry</w:t>
      </w:r>
      <w:proofErr w:type="spellEnd"/>
      <w:r w:rsidRPr="004A16CE">
        <w:rPr>
          <w:rFonts w:ascii="Times New Roman" w:hAnsi="Times New Roman" w:cs="Times New Roman"/>
          <w:sz w:val="24"/>
          <w:szCs w:val="24"/>
          <w:lang w:val="en-US"/>
        </w:rPr>
        <w:t xml:space="preserve"> P. SeamDock: an interactive and collaborative online docking resource to assist small compound molecular docking. Frontiers in Molecular Biosciences. 2021 Sep </w:t>
      </w:r>
      <w:proofErr w:type="gramStart"/>
      <w:r w:rsidRPr="004A16CE">
        <w:rPr>
          <w:rFonts w:ascii="Times New Roman" w:hAnsi="Times New Roman" w:cs="Times New Roman"/>
          <w:sz w:val="24"/>
          <w:szCs w:val="24"/>
          <w:lang w:val="en-US"/>
        </w:rPr>
        <w:t>17;8:716466</w:t>
      </w:r>
      <w:proofErr w:type="gramEnd"/>
      <w:r w:rsidRPr="004A16CE">
        <w:rPr>
          <w:rFonts w:ascii="Times New Roman" w:hAnsi="Times New Roman" w:cs="Times New Roman"/>
          <w:sz w:val="24"/>
          <w:szCs w:val="24"/>
          <w:lang w:val="en-US"/>
        </w:rPr>
        <w:t>.</w:t>
      </w:r>
    </w:p>
    <w:p w14:paraId="779DD20F"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r w:rsidRPr="004A16CE">
        <w:rPr>
          <w:rFonts w:ascii="Times New Roman" w:hAnsi="Times New Roman" w:cs="Times New Roman"/>
          <w:sz w:val="24"/>
          <w:szCs w:val="24"/>
          <w:lang w:val="en-US"/>
        </w:rPr>
        <w:t>Jyoti M, Kumari A, Kumar M, Kumar R. Streptomyces tetracycline’s computational behavior against polyketide synthase of aflatoxigenic fungi. IP International Journal of Medical Microbiology and Tropical Diseases. 2023;9(2):85-91.</w:t>
      </w:r>
    </w:p>
    <w:p w14:paraId="7C908F31"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r w:rsidRPr="003F0DED">
        <w:rPr>
          <w:rFonts w:ascii="Times New Roman" w:hAnsi="Times New Roman" w:cs="Times New Roman"/>
          <w:sz w:val="24"/>
          <w:szCs w:val="24"/>
          <w:lang w:val="en-US"/>
        </w:rPr>
        <w:t xml:space="preserve">Bugnon M, </w:t>
      </w:r>
      <w:proofErr w:type="spellStart"/>
      <w:r w:rsidRPr="003F0DED">
        <w:rPr>
          <w:rFonts w:ascii="Times New Roman" w:hAnsi="Times New Roman" w:cs="Times New Roman"/>
          <w:sz w:val="24"/>
          <w:szCs w:val="24"/>
          <w:lang w:val="en-US"/>
        </w:rPr>
        <w:t>Röhrig</w:t>
      </w:r>
      <w:proofErr w:type="spellEnd"/>
      <w:r w:rsidRPr="003F0DED">
        <w:rPr>
          <w:rFonts w:ascii="Times New Roman" w:hAnsi="Times New Roman" w:cs="Times New Roman"/>
          <w:sz w:val="24"/>
          <w:szCs w:val="24"/>
          <w:lang w:val="en-US"/>
        </w:rPr>
        <w:t xml:space="preserve"> UF, </w:t>
      </w:r>
      <w:proofErr w:type="spellStart"/>
      <w:r w:rsidRPr="003F0DED">
        <w:rPr>
          <w:rFonts w:ascii="Times New Roman" w:hAnsi="Times New Roman" w:cs="Times New Roman"/>
          <w:sz w:val="24"/>
          <w:szCs w:val="24"/>
          <w:lang w:val="en-US"/>
        </w:rPr>
        <w:t>Goullieux</w:t>
      </w:r>
      <w:proofErr w:type="spellEnd"/>
      <w:r w:rsidRPr="003F0DED">
        <w:rPr>
          <w:rFonts w:ascii="Times New Roman" w:hAnsi="Times New Roman" w:cs="Times New Roman"/>
          <w:sz w:val="24"/>
          <w:szCs w:val="24"/>
          <w:lang w:val="en-US"/>
        </w:rPr>
        <w:t xml:space="preserve"> M, Perez MA, Daina A, Michielin O, Zoete V. SwissDock 2024: major enhancements for small-molecule docking with Attracting Cavities and AutoDock Vina. Nucleic Acids Research. 2024:gkae300.</w:t>
      </w:r>
    </w:p>
    <w:p w14:paraId="50D253D8" w14:textId="77777777" w:rsidR="00E92386" w:rsidRPr="00F74399"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F74399">
        <w:rPr>
          <w:rFonts w:ascii="Times New Roman" w:eastAsia="Times New Roman" w:hAnsi="Times New Roman"/>
          <w:color w:val="000000"/>
          <w:sz w:val="24"/>
          <w:szCs w:val="24"/>
        </w:rPr>
        <w:t xml:space="preserve">Mahato JP, Rana S, Kumar M, </w:t>
      </w:r>
      <w:proofErr w:type="spellStart"/>
      <w:r w:rsidRPr="00F74399">
        <w:rPr>
          <w:rFonts w:ascii="Times New Roman" w:eastAsia="Times New Roman" w:hAnsi="Times New Roman"/>
          <w:color w:val="000000"/>
          <w:sz w:val="24"/>
          <w:szCs w:val="24"/>
        </w:rPr>
        <w:t>Sarsaiya</w:t>
      </w:r>
      <w:proofErr w:type="spellEnd"/>
      <w:r w:rsidRPr="00F74399">
        <w:rPr>
          <w:rFonts w:ascii="Times New Roman" w:eastAsia="Times New Roman" w:hAnsi="Times New Roman"/>
          <w:color w:val="000000"/>
          <w:sz w:val="24"/>
          <w:szCs w:val="24"/>
        </w:rPr>
        <w:t xml:space="preserve"> S. Homology </w:t>
      </w:r>
      <w:proofErr w:type="spellStart"/>
      <w:r w:rsidRPr="00F74399">
        <w:rPr>
          <w:rFonts w:ascii="Times New Roman" w:eastAsia="Times New Roman" w:hAnsi="Times New Roman"/>
          <w:color w:val="000000"/>
          <w:sz w:val="24"/>
          <w:szCs w:val="24"/>
        </w:rPr>
        <w:t>modeling</w:t>
      </w:r>
      <w:proofErr w:type="spellEnd"/>
      <w:r w:rsidRPr="00F74399">
        <w:rPr>
          <w:rFonts w:ascii="Times New Roman" w:eastAsia="Times New Roman" w:hAnsi="Times New Roman"/>
          <w:color w:val="000000"/>
          <w:sz w:val="24"/>
          <w:szCs w:val="24"/>
        </w:rPr>
        <w:t xml:space="preserve"> of Leishmania </w:t>
      </w:r>
      <w:proofErr w:type="spellStart"/>
      <w:r w:rsidRPr="00F74399">
        <w:rPr>
          <w:rFonts w:ascii="Times New Roman" w:eastAsia="Times New Roman" w:hAnsi="Times New Roman"/>
          <w:color w:val="000000"/>
          <w:sz w:val="24"/>
          <w:szCs w:val="24"/>
        </w:rPr>
        <w:t>donovani</w:t>
      </w:r>
      <w:proofErr w:type="spellEnd"/>
      <w:r w:rsidRPr="00F74399">
        <w:rPr>
          <w:rFonts w:ascii="Times New Roman" w:eastAsia="Times New Roman" w:hAnsi="Times New Roman"/>
          <w:color w:val="000000"/>
          <w:sz w:val="24"/>
          <w:szCs w:val="24"/>
        </w:rPr>
        <w:t xml:space="preserve"> enolase and its molecular interaction with novel inhibitors. Journal of Pharmacy and </w:t>
      </w:r>
      <w:proofErr w:type="spellStart"/>
      <w:r w:rsidRPr="00F74399">
        <w:rPr>
          <w:rFonts w:ascii="Times New Roman" w:eastAsia="Times New Roman" w:hAnsi="Times New Roman"/>
          <w:color w:val="000000"/>
          <w:sz w:val="24"/>
          <w:szCs w:val="24"/>
        </w:rPr>
        <w:t>Bioallied</w:t>
      </w:r>
      <w:proofErr w:type="spellEnd"/>
      <w:r w:rsidRPr="00F74399">
        <w:rPr>
          <w:rFonts w:ascii="Times New Roman" w:eastAsia="Times New Roman" w:hAnsi="Times New Roman"/>
          <w:color w:val="000000"/>
          <w:sz w:val="24"/>
          <w:szCs w:val="24"/>
        </w:rPr>
        <w:t xml:space="preserve"> Sciences. 2017;9(2):99-105.</w:t>
      </w:r>
    </w:p>
    <w:p w14:paraId="2FE767DA"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r w:rsidRPr="003F1968">
        <w:rPr>
          <w:rFonts w:ascii="Times New Roman" w:hAnsi="Times New Roman" w:cs="Times New Roman"/>
          <w:sz w:val="24"/>
          <w:szCs w:val="24"/>
          <w:lang w:val="en-US"/>
        </w:rPr>
        <w:lastRenderedPageBreak/>
        <w:t>Kumar M, Topno RK, Dikhit MR, Bhawana, Sahoo GC, Madhukar M, Pandey K, Das P. Molecular docking studies of chloroquine and its derivatives against P23pro‐zbd domain of chikungunya virus: Implication in designing of novel therapeutic strategies. Journal of cellular biochemistry. 2019;120(10):18298-308.</w:t>
      </w:r>
    </w:p>
    <w:p w14:paraId="5B87DCA0"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r w:rsidRPr="003F1968">
        <w:rPr>
          <w:rFonts w:ascii="Times New Roman" w:hAnsi="Times New Roman" w:cs="Times New Roman"/>
          <w:sz w:val="24"/>
          <w:szCs w:val="24"/>
          <w:lang w:val="en-US"/>
        </w:rPr>
        <w:t>Hetényi C, Bálint M. Systematic Exploration of Binding Modes of Ligands on Drug Targets. Structural Bioinformatics: Methods and Protocols. 2020:107-21.</w:t>
      </w:r>
    </w:p>
    <w:p w14:paraId="0627DC71"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r w:rsidRPr="00E06138">
        <w:rPr>
          <w:rFonts w:ascii="Times New Roman" w:hAnsi="Times New Roman" w:cs="Times New Roman"/>
          <w:sz w:val="24"/>
          <w:szCs w:val="24"/>
          <w:lang w:val="en-US"/>
        </w:rPr>
        <w:t>Kumar M. In silico efficacy of [S]-8-gingerol (a derivative) with 6-gingerol against PT-domain of Polyketide synthase A (</w:t>
      </w:r>
      <w:proofErr w:type="spellStart"/>
      <w:r w:rsidRPr="00E06138">
        <w:rPr>
          <w:rFonts w:ascii="Times New Roman" w:hAnsi="Times New Roman" w:cs="Times New Roman"/>
          <w:sz w:val="24"/>
          <w:szCs w:val="24"/>
          <w:lang w:val="en-US"/>
        </w:rPr>
        <w:t>PksA</w:t>
      </w:r>
      <w:proofErr w:type="spellEnd"/>
      <w:r w:rsidRPr="00E06138">
        <w:rPr>
          <w:rFonts w:ascii="Times New Roman" w:hAnsi="Times New Roman" w:cs="Times New Roman"/>
          <w:sz w:val="24"/>
          <w:szCs w:val="24"/>
          <w:lang w:val="en-US"/>
        </w:rPr>
        <w:t xml:space="preserve">). IP International Journal of Medical Microbiology and Tropical Diseases. </w:t>
      </w:r>
      <w:proofErr w:type="gramStart"/>
      <w:r w:rsidRPr="00E06138">
        <w:rPr>
          <w:rFonts w:ascii="Times New Roman" w:hAnsi="Times New Roman" w:cs="Times New Roman"/>
          <w:sz w:val="24"/>
          <w:szCs w:val="24"/>
          <w:lang w:val="en-US"/>
        </w:rPr>
        <w:t>2021;7:62</w:t>
      </w:r>
      <w:proofErr w:type="gramEnd"/>
      <w:r w:rsidRPr="00E06138">
        <w:rPr>
          <w:rFonts w:ascii="Times New Roman" w:hAnsi="Times New Roman" w:cs="Times New Roman"/>
          <w:sz w:val="24"/>
          <w:szCs w:val="24"/>
          <w:lang w:val="en-US"/>
        </w:rPr>
        <w:t>-4.</w:t>
      </w:r>
    </w:p>
    <w:p w14:paraId="42408742" w14:textId="77777777" w:rsidR="00E92386" w:rsidRDefault="00E92386" w:rsidP="00E92386">
      <w:pPr>
        <w:pStyle w:val="ListParagraph"/>
        <w:numPr>
          <w:ilvl w:val="0"/>
          <w:numId w:val="1"/>
        </w:numPr>
        <w:jc w:val="both"/>
        <w:rPr>
          <w:rFonts w:ascii="Times New Roman" w:hAnsi="Times New Roman" w:cs="Times New Roman"/>
          <w:sz w:val="24"/>
          <w:szCs w:val="24"/>
          <w:lang w:val="en-US"/>
        </w:rPr>
      </w:pPr>
      <w:r w:rsidRPr="006152F9">
        <w:rPr>
          <w:rFonts w:ascii="Times New Roman" w:hAnsi="Times New Roman" w:cs="Times New Roman"/>
          <w:sz w:val="24"/>
          <w:szCs w:val="24"/>
          <w:lang w:val="en-US"/>
        </w:rPr>
        <w:t>Topno SK, Kumar R, RabiDas VN, Pandey K, Chandra G. IgM-based Prevalence of Rubella virus, Cytomegalovirus, and Herpes Simplex Virus-A study from Bihar Region, India. Journal of Scientific Research. 2023;67(4).</w:t>
      </w:r>
    </w:p>
    <w:p w14:paraId="4091CF42" w14:textId="77777777" w:rsidR="00E92386" w:rsidRPr="00700D90"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700D90">
        <w:rPr>
          <w:rFonts w:ascii="Times New Roman" w:eastAsia="Times New Roman" w:hAnsi="Times New Roman"/>
          <w:color w:val="000000"/>
          <w:sz w:val="24"/>
          <w:szCs w:val="24"/>
        </w:rPr>
        <w:t>Kumar M, Sahoo GC, Das VN, Singh K, Pandey K. A Review of miRNA Regulation in Japanese Encephalitis (JEV) Virus Infection. Current pharmaceutical biotechnology. 2024;25(5):521-33.</w:t>
      </w:r>
    </w:p>
    <w:p w14:paraId="34C9007A" w14:textId="77777777" w:rsidR="00E92386" w:rsidRPr="00B56398" w:rsidRDefault="00E92386" w:rsidP="00E92386">
      <w:pPr>
        <w:pStyle w:val="ListParagraph"/>
        <w:ind w:left="360"/>
        <w:jc w:val="both"/>
        <w:rPr>
          <w:rFonts w:ascii="Times New Roman" w:hAnsi="Times New Roman" w:cs="Times New Roman"/>
          <w:sz w:val="24"/>
          <w:szCs w:val="24"/>
          <w:lang w:val="en-US"/>
        </w:rPr>
      </w:pPr>
    </w:p>
    <w:p w14:paraId="1E241892" w14:textId="77777777" w:rsidR="00800709" w:rsidRPr="0039048D" w:rsidRDefault="00800709" w:rsidP="001B06E5">
      <w:pPr>
        <w:jc w:val="both"/>
        <w:rPr>
          <w:b/>
        </w:rPr>
      </w:pPr>
    </w:p>
    <w:sectPr w:rsidR="00800709" w:rsidRPr="0039048D" w:rsidSect="0099679F">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A4419" w14:textId="77777777" w:rsidR="00CC1FAE" w:rsidRDefault="00CC1FAE" w:rsidP="000B1F1A">
      <w:pPr>
        <w:spacing w:after="0" w:line="240" w:lineRule="auto"/>
      </w:pPr>
      <w:r>
        <w:separator/>
      </w:r>
    </w:p>
  </w:endnote>
  <w:endnote w:type="continuationSeparator" w:id="0">
    <w:p w14:paraId="6FEC408A" w14:textId="77777777" w:rsidR="00CC1FAE" w:rsidRDefault="00CC1FAE" w:rsidP="000B1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DB2F8" w14:textId="77777777" w:rsidR="000B1F1A" w:rsidRDefault="000B1F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07339" w14:textId="77777777" w:rsidR="000B1F1A" w:rsidRDefault="000B1F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6395B" w14:textId="77777777" w:rsidR="000B1F1A" w:rsidRDefault="000B1F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37CAF" w14:textId="77777777" w:rsidR="00CC1FAE" w:rsidRDefault="00CC1FAE" w:rsidP="000B1F1A">
      <w:pPr>
        <w:spacing w:after="0" w:line="240" w:lineRule="auto"/>
      </w:pPr>
      <w:r>
        <w:separator/>
      </w:r>
    </w:p>
  </w:footnote>
  <w:footnote w:type="continuationSeparator" w:id="0">
    <w:p w14:paraId="44F73753" w14:textId="77777777" w:rsidR="00CC1FAE" w:rsidRDefault="00CC1FAE" w:rsidP="000B1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32331" w14:textId="489F8E02" w:rsidR="000B1F1A" w:rsidRDefault="000B1F1A">
    <w:pPr>
      <w:pStyle w:val="Header"/>
    </w:pPr>
    <w:r>
      <w:rPr>
        <w:noProof/>
      </w:rPr>
      <w:pict w14:anchorId="3BD3D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257D" w14:textId="145F913B" w:rsidR="000B1F1A" w:rsidRDefault="000B1F1A">
    <w:pPr>
      <w:pStyle w:val="Header"/>
    </w:pPr>
    <w:r>
      <w:rPr>
        <w:noProof/>
      </w:rPr>
      <w:pict w14:anchorId="42A022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7663E" w14:textId="7D2A428B" w:rsidR="000B1F1A" w:rsidRDefault="000B1F1A">
    <w:pPr>
      <w:pStyle w:val="Header"/>
    </w:pPr>
    <w:r>
      <w:rPr>
        <w:noProof/>
      </w:rPr>
      <w:pict w14:anchorId="3D8A4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2156E"/>
    <w:multiLevelType w:val="hybridMultilevel"/>
    <w:tmpl w:val="B0CC1A2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695"/>
    <w:rsid w:val="000111A5"/>
    <w:rsid w:val="00031936"/>
    <w:rsid w:val="00044347"/>
    <w:rsid w:val="00063BE9"/>
    <w:rsid w:val="000645C1"/>
    <w:rsid w:val="00064FB9"/>
    <w:rsid w:val="00071FF8"/>
    <w:rsid w:val="00082BBF"/>
    <w:rsid w:val="00091795"/>
    <w:rsid w:val="000B1F1A"/>
    <w:rsid w:val="000D37FC"/>
    <w:rsid w:val="000F1631"/>
    <w:rsid w:val="000F21D4"/>
    <w:rsid w:val="000F3773"/>
    <w:rsid w:val="0010246A"/>
    <w:rsid w:val="0012527B"/>
    <w:rsid w:val="00140D77"/>
    <w:rsid w:val="00157FEC"/>
    <w:rsid w:val="00170DE3"/>
    <w:rsid w:val="00172DC7"/>
    <w:rsid w:val="00176B47"/>
    <w:rsid w:val="00193A45"/>
    <w:rsid w:val="001A081E"/>
    <w:rsid w:val="001A442B"/>
    <w:rsid w:val="001A5EBD"/>
    <w:rsid w:val="001B06E5"/>
    <w:rsid w:val="001B682E"/>
    <w:rsid w:val="001C6BF9"/>
    <w:rsid w:val="001F0950"/>
    <w:rsid w:val="001F6A3B"/>
    <w:rsid w:val="00203263"/>
    <w:rsid w:val="00210A15"/>
    <w:rsid w:val="00212728"/>
    <w:rsid w:val="00235C2A"/>
    <w:rsid w:val="002554C5"/>
    <w:rsid w:val="002717A8"/>
    <w:rsid w:val="00290D08"/>
    <w:rsid w:val="00294FFB"/>
    <w:rsid w:val="00295715"/>
    <w:rsid w:val="002A138F"/>
    <w:rsid w:val="002A4330"/>
    <w:rsid w:val="002A4F15"/>
    <w:rsid w:val="002C5D45"/>
    <w:rsid w:val="002E3CEC"/>
    <w:rsid w:val="00306585"/>
    <w:rsid w:val="00311DB2"/>
    <w:rsid w:val="00330713"/>
    <w:rsid w:val="0034265C"/>
    <w:rsid w:val="0034774D"/>
    <w:rsid w:val="00361C94"/>
    <w:rsid w:val="0039048D"/>
    <w:rsid w:val="003914E7"/>
    <w:rsid w:val="003A0D14"/>
    <w:rsid w:val="003A203F"/>
    <w:rsid w:val="003A41DC"/>
    <w:rsid w:val="003B24E0"/>
    <w:rsid w:val="003B614E"/>
    <w:rsid w:val="003C21C7"/>
    <w:rsid w:val="003F60C8"/>
    <w:rsid w:val="003F75EB"/>
    <w:rsid w:val="0040090E"/>
    <w:rsid w:val="004036F2"/>
    <w:rsid w:val="00410B47"/>
    <w:rsid w:val="004235A8"/>
    <w:rsid w:val="004276A9"/>
    <w:rsid w:val="00430C24"/>
    <w:rsid w:val="00431B0C"/>
    <w:rsid w:val="00480FD9"/>
    <w:rsid w:val="00486DB9"/>
    <w:rsid w:val="004B3C9A"/>
    <w:rsid w:val="004B4340"/>
    <w:rsid w:val="004E0CDC"/>
    <w:rsid w:val="004E553A"/>
    <w:rsid w:val="004F62BB"/>
    <w:rsid w:val="005011B8"/>
    <w:rsid w:val="0050565C"/>
    <w:rsid w:val="00517301"/>
    <w:rsid w:val="00522A27"/>
    <w:rsid w:val="005237C7"/>
    <w:rsid w:val="005257DD"/>
    <w:rsid w:val="005269A9"/>
    <w:rsid w:val="005567C6"/>
    <w:rsid w:val="00561AD2"/>
    <w:rsid w:val="005758F5"/>
    <w:rsid w:val="005A3E23"/>
    <w:rsid w:val="005A76BC"/>
    <w:rsid w:val="005C5E13"/>
    <w:rsid w:val="005D314E"/>
    <w:rsid w:val="005D7D1A"/>
    <w:rsid w:val="005F2DD7"/>
    <w:rsid w:val="005F6579"/>
    <w:rsid w:val="00610BEE"/>
    <w:rsid w:val="00662F1C"/>
    <w:rsid w:val="00666F6B"/>
    <w:rsid w:val="00673BDB"/>
    <w:rsid w:val="00680195"/>
    <w:rsid w:val="00687EEA"/>
    <w:rsid w:val="006D3493"/>
    <w:rsid w:val="006E25A1"/>
    <w:rsid w:val="006E390F"/>
    <w:rsid w:val="007157FA"/>
    <w:rsid w:val="00716A2B"/>
    <w:rsid w:val="00722E3F"/>
    <w:rsid w:val="00733F3B"/>
    <w:rsid w:val="0073585A"/>
    <w:rsid w:val="007559F1"/>
    <w:rsid w:val="00771E89"/>
    <w:rsid w:val="00787AD1"/>
    <w:rsid w:val="00793510"/>
    <w:rsid w:val="007A0A0E"/>
    <w:rsid w:val="007D1544"/>
    <w:rsid w:val="007D6341"/>
    <w:rsid w:val="007F1691"/>
    <w:rsid w:val="00800709"/>
    <w:rsid w:val="00802943"/>
    <w:rsid w:val="008030EF"/>
    <w:rsid w:val="00806504"/>
    <w:rsid w:val="00807390"/>
    <w:rsid w:val="008164E9"/>
    <w:rsid w:val="0082633E"/>
    <w:rsid w:val="00831D84"/>
    <w:rsid w:val="00832E38"/>
    <w:rsid w:val="00872E91"/>
    <w:rsid w:val="008761A9"/>
    <w:rsid w:val="00897135"/>
    <w:rsid w:val="008A7695"/>
    <w:rsid w:val="008B5E03"/>
    <w:rsid w:val="008C6068"/>
    <w:rsid w:val="008C6D9D"/>
    <w:rsid w:val="008E6A14"/>
    <w:rsid w:val="009056CA"/>
    <w:rsid w:val="00906487"/>
    <w:rsid w:val="00917FCE"/>
    <w:rsid w:val="009206B8"/>
    <w:rsid w:val="00925BBA"/>
    <w:rsid w:val="00946C2E"/>
    <w:rsid w:val="009516E3"/>
    <w:rsid w:val="0095467C"/>
    <w:rsid w:val="00955A18"/>
    <w:rsid w:val="00961C8C"/>
    <w:rsid w:val="0099679F"/>
    <w:rsid w:val="009A54BE"/>
    <w:rsid w:val="009A67FD"/>
    <w:rsid w:val="009C55DD"/>
    <w:rsid w:val="009E3CB2"/>
    <w:rsid w:val="009F5632"/>
    <w:rsid w:val="00A3239A"/>
    <w:rsid w:val="00A34ECC"/>
    <w:rsid w:val="00A35303"/>
    <w:rsid w:val="00A627F6"/>
    <w:rsid w:val="00A73897"/>
    <w:rsid w:val="00A752F4"/>
    <w:rsid w:val="00AA1313"/>
    <w:rsid w:val="00AA1461"/>
    <w:rsid w:val="00AA5E75"/>
    <w:rsid w:val="00AB0EFC"/>
    <w:rsid w:val="00AB7C5F"/>
    <w:rsid w:val="00AC0F18"/>
    <w:rsid w:val="00AF1EDF"/>
    <w:rsid w:val="00B240C1"/>
    <w:rsid w:val="00B46CA2"/>
    <w:rsid w:val="00B50705"/>
    <w:rsid w:val="00B67207"/>
    <w:rsid w:val="00B976EE"/>
    <w:rsid w:val="00BA2EFC"/>
    <w:rsid w:val="00BB44E6"/>
    <w:rsid w:val="00BB4F58"/>
    <w:rsid w:val="00BB72B3"/>
    <w:rsid w:val="00BC6CC6"/>
    <w:rsid w:val="00BD76A9"/>
    <w:rsid w:val="00BE4CD9"/>
    <w:rsid w:val="00BF5A43"/>
    <w:rsid w:val="00C04FBF"/>
    <w:rsid w:val="00C23E86"/>
    <w:rsid w:val="00C248C9"/>
    <w:rsid w:val="00C26021"/>
    <w:rsid w:val="00C30DBF"/>
    <w:rsid w:val="00C41464"/>
    <w:rsid w:val="00C437CD"/>
    <w:rsid w:val="00C45E83"/>
    <w:rsid w:val="00C475F5"/>
    <w:rsid w:val="00C6461C"/>
    <w:rsid w:val="00C7413C"/>
    <w:rsid w:val="00C97F09"/>
    <w:rsid w:val="00CA17D6"/>
    <w:rsid w:val="00CA572B"/>
    <w:rsid w:val="00CC1FAE"/>
    <w:rsid w:val="00CE4CBB"/>
    <w:rsid w:val="00CF1EDA"/>
    <w:rsid w:val="00CF2C48"/>
    <w:rsid w:val="00D030C6"/>
    <w:rsid w:val="00D86BA9"/>
    <w:rsid w:val="00DA5D9E"/>
    <w:rsid w:val="00DB017D"/>
    <w:rsid w:val="00DD3EB2"/>
    <w:rsid w:val="00DF599B"/>
    <w:rsid w:val="00E25F1F"/>
    <w:rsid w:val="00E2761A"/>
    <w:rsid w:val="00E27712"/>
    <w:rsid w:val="00E32993"/>
    <w:rsid w:val="00E530E8"/>
    <w:rsid w:val="00E73F6C"/>
    <w:rsid w:val="00E92386"/>
    <w:rsid w:val="00E97EAA"/>
    <w:rsid w:val="00EA722D"/>
    <w:rsid w:val="00EC5103"/>
    <w:rsid w:val="00EC6D02"/>
    <w:rsid w:val="00ED16F0"/>
    <w:rsid w:val="00EE5732"/>
    <w:rsid w:val="00F051BD"/>
    <w:rsid w:val="00F11346"/>
    <w:rsid w:val="00F1678D"/>
    <w:rsid w:val="00F174B3"/>
    <w:rsid w:val="00F20981"/>
    <w:rsid w:val="00F404FA"/>
    <w:rsid w:val="00F43A7E"/>
    <w:rsid w:val="00F55A96"/>
    <w:rsid w:val="00F621E8"/>
    <w:rsid w:val="00F625FC"/>
    <w:rsid w:val="00F6557C"/>
    <w:rsid w:val="00F749BA"/>
    <w:rsid w:val="00F94550"/>
    <w:rsid w:val="00F9495D"/>
    <w:rsid w:val="00F95770"/>
    <w:rsid w:val="00FA117D"/>
    <w:rsid w:val="00FC1260"/>
    <w:rsid w:val="00FC6539"/>
    <w:rsid w:val="00FC6E29"/>
    <w:rsid w:val="00FE15A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94AACCE"/>
  <w15:docId w15:val="{2A160E34-F99F-4C51-B905-F823047B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67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5011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011B8"/>
    <w:rPr>
      <w:rFonts w:ascii="Courier New" w:eastAsia="Times New Roman" w:hAnsi="Courier New" w:cs="Courier New"/>
      <w:sz w:val="20"/>
      <w:szCs w:val="20"/>
      <w:lang w:val="en-US"/>
    </w:rPr>
  </w:style>
  <w:style w:type="character" w:customStyle="1" w:styleId="word">
    <w:name w:val="word"/>
    <w:basedOn w:val="DefaultParagraphFont"/>
    <w:rsid w:val="005011B8"/>
  </w:style>
  <w:style w:type="character" w:customStyle="1" w:styleId="space">
    <w:name w:val="space"/>
    <w:basedOn w:val="DefaultParagraphFont"/>
    <w:rsid w:val="005011B8"/>
  </w:style>
  <w:style w:type="character" w:styleId="Hyperlink">
    <w:name w:val="Hyperlink"/>
    <w:basedOn w:val="DefaultParagraphFont"/>
    <w:uiPriority w:val="99"/>
    <w:unhideWhenUsed/>
    <w:rsid w:val="008C6068"/>
    <w:rPr>
      <w:color w:val="0563C1" w:themeColor="hyperlink"/>
      <w:u w:val="single"/>
    </w:rPr>
  </w:style>
  <w:style w:type="paragraph" w:styleId="NormalWeb">
    <w:name w:val="Normal (Web)"/>
    <w:basedOn w:val="Normal"/>
    <w:uiPriority w:val="99"/>
    <w:unhideWhenUsed/>
    <w:rsid w:val="004036F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A1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461"/>
    <w:rPr>
      <w:rFonts w:ascii="Tahoma" w:hAnsi="Tahoma" w:cs="Tahoma"/>
      <w:sz w:val="16"/>
      <w:szCs w:val="16"/>
    </w:rPr>
  </w:style>
  <w:style w:type="character" w:styleId="Strong">
    <w:name w:val="Strong"/>
    <w:basedOn w:val="DefaultParagraphFont"/>
    <w:uiPriority w:val="22"/>
    <w:qFormat/>
    <w:rsid w:val="007D1544"/>
    <w:rPr>
      <w:b/>
      <w:bCs/>
    </w:rPr>
  </w:style>
  <w:style w:type="character" w:customStyle="1" w:styleId="UnresolvedMention1">
    <w:name w:val="Unresolved Mention1"/>
    <w:basedOn w:val="DefaultParagraphFont"/>
    <w:uiPriority w:val="99"/>
    <w:semiHidden/>
    <w:unhideWhenUsed/>
    <w:rsid w:val="005257DD"/>
    <w:rPr>
      <w:color w:val="605E5C"/>
      <w:shd w:val="clear" w:color="auto" w:fill="E1DFDD"/>
    </w:rPr>
  </w:style>
  <w:style w:type="paragraph" w:styleId="ListParagraph">
    <w:name w:val="List Paragraph"/>
    <w:basedOn w:val="Normal"/>
    <w:uiPriority w:val="34"/>
    <w:qFormat/>
    <w:rsid w:val="00E92386"/>
    <w:pPr>
      <w:ind w:left="720"/>
      <w:contextualSpacing/>
    </w:pPr>
    <w:rPr>
      <w:kern w:val="2"/>
    </w:rPr>
  </w:style>
  <w:style w:type="character" w:styleId="UnresolvedMention">
    <w:name w:val="Unresolved Mention"/>
    <w:basedOn w:val="DefaultParagraphFont"/>
    <w:uiPriority w:val="99"/>
    <w:semiHidden/>
    <w:unhideWhenUsed/>
    <w:rsid w:val="006D3493"/>
    <w:rPr>
      <w:color w:val="605E5C"/>
      <w:shd w:val="clear" w:color="auto" w:fill="E1DFDD"/>
    </w:rPr>
  </w:style>
  <w:style w:type="paragraph" w:styleId="Header">
    <w:name w:val="header"/>
    <w:basedOn w:val="Normal"/>
    <w:link w:val="HeaderChar"/>
    <w:uiPriority w:val="99"/>
    <w:unhideWhenUsed/>
    <w:rsid w:val="000B1F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F1A"/>
  </w:style>
  <w:style w:type="paragraph" w:styleId="Footer">
    <w:name w:val="footer"/>
    <w:basedOn w:val="Normal"/>
    <w:link w:val="FooterChar"/>
    <w:uiPriority w:val="99"/>
    <w:unhideWhenUsed/>
    <w:rsid w:val="000B1F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07966">
      <w:bodyDiv w:val="1"/>
      <w:marLeft w:val="0"/>
      <w:marRight w:val="0"/>
      <w:marTop w:val="0"/>
      <w:marBottom w:val="0"/>
      <w:divBdr>
        <w:top w:val="none" w:sz="0" w:space="0" w:color="auto"/>
        <w:left w:val="none" w:sz="0" w:space="0" w:color="auto"/>
        <w:bottom w:val="none" w:sz="0" w:space="0" w:color="auto"/>
        <w:right w:val="none" w:sz="0" w:space="0" w:color="auto"/>
      </w:divBdr>
    </w:div>
    <w:div w:id="51928846">
      <w:bodyDiv w:val="1"/>
      <w:marLeft w:val="0"/>
      <w:marRight w:val="0"/>
      <w:marTop w:val="0"/>
      <w:marBottom w:val="0"/>
      <w:divBdr>
        <w:top w:val="none" w:sz="0" w:space="0" w:color="auto"/>
        <w:left w:val="none" w:sz="0" w:space="0" w:color="auto"/>
        <w:bottom w:val="none" w:sz="0" w:space="0" w:color="auto"/>
        <w:right w:val="none" w:sz="0" w:space="0" w:color="auto"/>
      </w:divBdr>
    </w:div>
    <w:div w:id="107240368">
      <w:bodyDiv w:val="1"/>
      <w:marLeft w:val="0"/>
      <w:marRight w:val="0"/>
      <w:marTop w:val="0"/>
      <w:marBottom w:val="0"/>
      <w:divBdr>
        <w:top w:val="none" w:sz="0" w:space="0" w:color="auto"/>
        <w:left w:val="none" w:sz="0" w:space="0" w:color="auto"/>
        <w:bottom w:val="none" w:sz="0" w:space="0" w:color="auto"/>
        <w:right w:val="none" w:sz="0" w:space="0" w:color="auto"/>
      </w:divBdr>
    </w:div>
    <w:div w:id="194660907">
      <w:bodyDiv w:val="1"/>
      <w:marLeft w:val="0"/>
      <w:marRight w:val="0"/>
      <w:marTop w:val="0"/>
      <w:marBottom w:val="0"/>
      <w:divBdr>
        <w:top w:val="none" w:sz="0" w:space="0" w:color="auto"/>
        <w:left w:val="none" w:sz="0" w:space="0" w:color="auto"/>
        <w:bottom w:val="none" w:sz="0" w:space="0" w:color="auto"/>
        <w:right w:val="none" w:sz="0" w:space="0" w:color="auto"/>
      </w:divBdr>
    </w:div>
    <w:div w:id="208494959">
      <w:bodyDiv w:val="1"/>
      <w:marLeft w:val="0"/>
      <w:marRight w:val="0"/>
      <w:marTop w:val="0"/>
      <w:marBottom w:val="0"/>
      <w:divBdr>
        <w:top w:val="none" w:sz="0" w:space="0" w:color="auto"/>
        <w:left w:val="none" w:sz="0" w:space="0" w:color="auto"/>
        <w:bottom w:val="none" w:sz="0" w:space="0" w:color="auto"/>
        <w:right w:val="none" w:sz="0" w:space="0" w:color="auto"/>
      </w:divBdr>
    </w:div>
    <w:div w:id="212079934">
      <w:bodyDiv w:val="1"/>
      <w:marLeft w:val="0"/>
      <w:marRight w:val="0"/>
      <w:marTop w:val="0"/>
      <w:marBottom w:val="0"/>
      <w:divBdr>
        <w:top w:val="none" w:sz="0" w:space="0" w:color="auto"/>
        <w:left w:val="none" w:sz="0" w:space="0" w:color="auto"/>
        <w:bottom w:val="none" w:sz="0" w:space="0" w:color="auto"/>
        <w:right w:val="none" w:sz="0" w:space="0" w:color="auto"/>
      </w:divBdr>
    </w:div>
    <w:div w:id="218443636">
      <w:bodyDiv w:val="1"/>
      <w:marLeft w:val="0"/>
      <w:marRight w:val="0"/>
      <w:marTop w:val="0"/>
      <w:marBottom w:val="0"/>
      <w:divBdr>
        <w:top w:val="none" w:sz="0" w:space="0" w:color="auto"/>
        <w:left w:val="none" w:sz="0" w:space="0" w:color="auto"/>
        <w:bottom w:val="none" w:sz="0" w:space="0" w:color="auto"/>
        <w:right w:val="none" w:sz="0" w:space="0" w:color="auto"/>
      </w:divBdr>
    </w:div>
    <w:div w:id="253827177">
      <w:bodyDiv w:val="1"/>
      <w:marLeft w:val="0"/>
      <w:marRight w:val="0"/>
      <w:marTop w:val="0"/>
      <w:marBottom w:val="0"/>
      <w:divBdr>
        <w:top w:val="none" w:sz="0" w:space="0" w:color="auto"/>
        <w:left w:val="none" w:sz="0" w:space="0" w:color="auto"/>
        <w:bottom w:val="none" w:sz="0" w:space="0" w:color="auto"/>
        <w:right w:val="none" w:sz="0" w:space="0" w:color="auto"/>
      </w:divBdr>
    </w:div>
    <w:div w:id="341320396">
      <w:bodyDiv w:val="1"/>
      <w:marLeft w:val="0"/>
      <w:marRight w:val="0"/>
      <w:marTop w:val="0"/>
      <w:marBottom w:val="0"/>
      <w:divBdr>
        <w:top w:val="none" w:sz="0" w:space="0" w:color="auto"/>
        <w:left w:val="none" w:sz="0" w:space="0" w:color="auto"/>
        <w:bottom w:val="none" w:sz="0" w:space="0" w:color="auto"/>
        <w:right w:val="none" w:sz="0" w:space="0" w:color="auto"/>
      </w:divBdr>
      <w:divsChild>
        <w:div w:id="1223754569">
          <w:marLeft w:val="0"/>
          <w:marRight w:val="0"/>
          <w:marTop w:val="0"/>
          <w:marBottom w:val="0"/>
          <w:divBdr>
            <w:top w:val="none" w:sz="0" w:space="0" w:color="auto"/>
            <w:left w:val="none" w:sz="0" w:space="0" w:color="auto"/>
            <w:bottom w:val="none" w:sz="0" w:space="0" w:color="auto"/>
            <w:right w:val="none" w:sz="0" w:space="0" w:color="auto"/>
          </w:divBdr>
          <w:divsChild>
            <w:div w:id="1019283979">
              <w:marLeft w:val="0"/>
              <w:marRight w:val="0"/>
              <w:marTop w:val="0"/>
              <w:marBottom w:val="0"/>
              <w:divBdr>
                <w:top w:val="none" w:sz="0" w:space="0" w:color="auto"/>
                <w:left w:val="none" w:sz="0" w:space="0" w:color="auto"/>
                <w:bottom w:val="none" w:sz="0" w:space="0" w:color="auto"/>
                <w:right w:val="none" w:sz="0" w:space="0" w:color="auto"/>
              </w:divBdr>
              <w:divsChild>
                <w:div w:id="848716555">
                  <w:marLeft w:val="0"/>
                  <w:marRight w:val="0"/>
                  <w:marTop w:val="0"/>
                  <w:marBottom w:val="0"/>
                  <w:divBdr>
                    <w:top w:val="none" w:sz="0" w:space="0" w:color="auto"/>
                    <w:left w:val="none" w:sz="0" w:space="0" w:color="auto"/>
                    <w:bottom w:val="none" w:sz="0" w:space="0" w:color="auto"/>
                    <w:right w:val="none" w:sz="0" w:space="0" w:color="auto"/>
                  </w:divBdr>
                  <w:divsChild>
                    <w:div w:id="754936350">
                      <w:marLeft w:val="0"/>
                      <w:marRight w:val="0"/>
                      <w:marTop w:val="0"/>
                      <w:marBottom w:val="0"/>
                      <w:divBdr>
                        <w:top w:val="none" w:sz="0" w:space="0" w:color="auto"/>
                        <w:left w:val="none" w:sz="0" w:space="0" w:color="auto"/>
                        <w:bottom w:val="none" w:sz="0" w:space="0" w:color="auto"/>
                        <w:right w:val="none" w:sz="0" w:space="0" w:color="auto"/>
                      </w:divBdr>
                      <w:divsChild>
                        <w:div w:id="775833786">
                          <w:marLeft w:val="0"/>
                          <w:marRight w:val="0"/>
                          <w:marTop w:val="0"/>
                          <w:marBottom w:val="0"/>
                          <w:divBdr>
                            <w:top w:val="none" w:sz="0" w:space="0" w:color="auto"/>
                            <w:left w:val="none" w:sz="0" w:space="0" w:color="auto"/>
                            <w:bottom w:val="none" w:sz="0" w:space="0" w:color="auto"/>
                            <w:right w:val="none" w:sz="0" w:space="0" w:color="auto"/>
                          </w:divBdr>
                          <w:divsChild>
                            <w:div w:id="155654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231586">
      <w:bodyDiv w:val="1"/>
      <w:marLeft w:val="0"/>
      <w:marRight w:val="0"/>
      <w:marTop w:val="0"/>
      <w:marBottom w:val="0"/>
      <w:divBdr>
        <w:top w:val="none" w:sz="0" w:space="0" w:color="auto"/>
        <w:left w:val="none" w:sz="0" w:space="0" w:color="auto"/>
        <w:bottom w:val="none" w:sz="0" w:space="0" w:color="auto"/>
        <w:right w:val="none" w:sz="0" w:space="0" w:color="auto"/>
      </w:divBdr>
    </w:div>
    <w:div w:id="528638914">
      <w:bodyDiv w:val="1"/>
      <w:marLeft w:val="0"/>
      <w:marRight w:val="0"/>
      <w:marTop w:val="0"/>
      <w:marBottom w:val="0"/>
      <w:divBdr>
        <w:top w:val="none" w:sz="0" w:space="0" w:color="auto"/>
        <w:left w:val="none" w:sz="0" w:space="0" w:color="auto"/>
        <w:bottom w:val="none" w:sz="0" w:space="0" w:color="auto"/>
        <w:right w:val="none" w:sz="0" w:space="0" w:color="auto"/>
      </w:divBdr>
    </w:div>
    <w:div w:id="600263279">
      <w:bodyDiv w:val="1"/>
      <w:marLeft w:val="0"/>
      <w:marRight w:val="0"/>
      <w:marTop w:val="0"/>
      <w:marBottom w:val="0"/>
      <w:divBdr>
        <w:top w:val="none" w:sz="0" w:space="0" w:color="auto"/>
        <w:left w:val="none" w:sz="0" w:space="0" w:color="auto"/>
        <w:bottom w:val="none" w:sz="0" w:space="0" w:color="auto"/>
        <w:right w:val="none" w:sz="0" w:space="0" w:color="auto"/>
      </w:divBdr>
    </w:div>
    <w:div w:id="634795481">
      <w:bodyDiv w:val="1"/>
      <w:marLeft w:val="0"/>
      <w:marRight w:val="0"/>
      <w:marTop w:val="0"/>
      <w:marBottom w:val="0"/>
      <w:divBdr>
        <w:top w:val="none" w:sz="0" w:space="0" w:color="auto"/>
        <w:left w:val="none" w:sz="0" w:space="0" w:color="auto"/>
        <w:bottom w:val="none" w:sz="0" w:space="0" w:color="auto"/>
        <w:right w:val="none" w:sz="0" w:space="0" w:color="auto"/>
      </w:divBdr>
    </w:div>
    <w:div w:id="649558368">
      <w:bodyDiv w:val="1"/>
      <w:marLeft w:val="0"/>
      <w:marRight w:val="0"/>
      <w:marTop w:val="0"/>
      <w:marBottom w:val="0"/>
      <w:divBdr>
        <w:top w:val="none" w:sz="0" w:space="0" w:color="auto"/>
        <w:left w:val="none" w:sz="0" w:space="0" w:color="auto"/>
        <w:bottom w:val="none" w:sz="0" w:space="0" w:color="auto"/>
        <w:right w:val="none" w:sz="0" w:space="0" w:color="auto"/>
      </w:divBdr>
    </w:div>
    <w:div w:id="656495357">
      <w:bodyDiv w:val="1"/>
      <w:marLeft w:val="0"/>
      <w:marRight w:val="0"/>
      <w:marTop w:val="0"/>
      <w:marBottom w:val="0"/>
      <w:divBdr>
        <w:top w:val="none" w:sz="0" w:space="0" w:color="auto"/>
        <w:left w:val="none" w:sz="0" w:space="0" w:color="auto"/>
        <w:bottom w:val="none" w:sz="0" w:space="0" w:color="auto"/>
        <w:right w:val="none" w:sz="0" w:space="0" w:color="auto"/>
      </w:divBdr>
    </w:div>
    <w:div w:id="656765587">
      <w:bodyDiv w:val="1"/>
      <w:marLeft w:val="0"/>
      <w:marRight w:val="0"/>
      <w:marTop w:val="0"/>
      <w:marBottom w:val="0"/>
      <w:divBdr>
        <w:top w:val="none" w:sz="0" w:space="0" w:color="auto"/>
        <w:left w:val="none" w:sz="0" w:space="0" w:color="auto"/>
        <w:bottom w:val="none" w:sz="0" w:space="0" w:color="auto"/>
        <w:right w:val="none" w:sz="0" w:space="0" w:color="auto"/>
      </w:divBdr>
      <w:divsChild>
        <w:div w:id="1811904281">
          <w:marLeft w:val="0"/>
          <w:marRight w:val="0"/>
          <w:marTop w:val="0"/>
          <w:marBottom w:val="0"/>
          <w:divBdr>
            <w:top w:val="none" w:sz="0" w:space="0" w:color="auto"/>
            <w:left w:val="none" w:sz="0" w:space="0" w:color="auto"/>
            <w:bottom w:val="none" w:sz="0" w:space="0" w:color="auto"/>
            <w:right w:val="none" w:sz="0" w:space="0" w:color="auto"/>
          </w:divBdr>
          <w:divsChild>
            <w:div w:id="814876465">
              <w:marLeft w:val="0"/>
              <w:marRight w:val="0"/>
              <w:marTop w:val="0"/>
              <w:marBottom w:val="0"/>
              <w:divBdr>
                <w:top w:val="none" w:sz="0" w:space="0" w:color="auto"/>
                <w:left w:val="none" w:sz="0" w:space="0" w:color="auto"/>
                <w:bottom w:val="none" w:sz="0" w:space="0" w:color="auto"/>
                <w:right w:val="none" w:sz="0" w:space="0" w:color="auto"/>
              </w:divBdr>
              <w:divsChild>
                <w:div w:id="527915896">
                  <w:marLeft w:val="0"/>
                  <w:marRight w:val="0"/>
                  <w:marTop w:val="0"/>
                  <w:marBottom w:val="0"/>
                  <w:divBdr>
                    <w:top w:val="none" w:sz="0" w:space="0" w:color="auto"/>
                    <w:left w:val="none" w:sz="0" w:space="0" w:color="auto"/>
                    <w:bottom w:val="none" w:sz="0" w:space="0" w:color="auto"/>
                    <w:right w:val="none" w:sz="0" w:space="0" w:color="auto"/>
                  </w:divBdr>
                  <w:divsChild>
                    <w:div w:id="1418475465">
                      <w:marLeft w:val="0"/>
                      <w:marRight w:val="0"/>
                      <w:marTop w:val="0"/>
                      <w:marBottom w:val="0"/>
                      <w:divBdr>
                        <w:top w:val="none" w:sz="0" w:space="0" w:color="auto"/>
                        <w:left w:val="none" w:sz="0" w:space="0" w:color="auto"/>
                        <w:bottom w:val="none" w:sz="0" w:space="0" w:color="auto"/>
                        <w:right w:val="none" w:sz="0" w:space="0" w:color="auto"/>
                      </w:divBdr>
                      <w:divsChild>
                        <w:div w:id="1956059096">
                          <w:marLeft w:val="0"/>
                          <w:marRight w:val="0"/>
                          <w:marTop w:val="0"/>
                          <w:marBottom w:val="0"/>
                          <w:divBdr>
                            <w:top w:val="none" w:sz="0" w:space="0" w:color="auto"/>
                            <w:left w:val="none" w:sz="0" w:space="0" w:color="auto"/>
                            <w:bottom w:val="none" w:sz="0" w:space="0" w:color="auto"/>
                            <w:right w:val="none" w:sz="0" w:space="0" w:color="auto"/>
                          </w:divBdr>
                          <w:divsChild>
                            <w:div w:id="34799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4206">
      <w:bodyDiv w:val="1"/>
      <w:marLeft w:val="0"/>
      <w:marRight w:val="0"/>
      <w:marTop w:val="0"/>
      <w:marBottom w:val="0"/>
      <w:divBdr>
        <w:top w:val="none" w:sz="0" w:space="0" w:color="auto"/>
        <w:left w:val="none" w:sz="0" w:space="0" w:color="auto"/>
        <w:bottom w:val="none" w:sz="0" w:space="0" w:color="auto"/>
        <w:right w:val="none" w:sz="0" w:space="0" w:color="auto"/>
      </w:divBdr>
    </w:div>
    <w:div w:id="755175814">
      <w:bodyDiv w:val="1"/>
      <w:marLeft w:val="0"/>
      <w:marRight w:val="0"/>
      <w:marTop w:val="0"/>
      <w:marBottom w:val="0"/>
      <w:divBdr>
        <w:top w:val="none" w:sz="0" w:space="0" w:color="auto"/>
        <w:left w:val="none" w:sz="0" w:space="0" w:color="auto"/>
        <w:bottom w:val="none" w:sz="0" w:space="0" w:color="auto"/>
        <w:right w:val="none" w:sz="0" w:space="0" w:color="auto"/>
      </w:divBdr>
    </w:div>
    <w:div w:id="858204184">
      <w:bodyDiv w:val="1"/>
      <w:marLeft w:val="0"/>
      <w:marRight w:val="0"/>
      <w:marTop w:val="0"/>
      <w:marBottom w:val="0"/>
      <w:divBdr>
        <w:top w:val="none" w:sz="0" w:space="0" w:color="auto"/>
        <w:left w:val="none" w:sz="0" w:space="0" w:color="auto"/>
        <w:bottom w:val="none" w:sz="0" w:space="0" w:color="auto"/>
        <w:right w:val="none" w:sz="0" w:space="0" w:color="auto"/>
      </w:divBdr>
    </w:div>
    <w:div w:id="866873300">
      <w:bodyDiv w:val="1"/>
      <w:marLeft w:val="0"/>
      <w:marRight w:val="0"/>
      <w:marTop w:val="0"/>
      <w:marBottom w:val="0"/>
      <w:divBdr>
        <w:top w:val="none" w:sz="0" w:space="0" w:color="auto"/>
        <w:left w:val="none" w:sz="0" w:space="0" w:color="auto"/>
        <w:bottom w:val="none" w:sz="0" w:space="0" w:color="auto"/>
        <w:right w:val="none" w:sz="0" w:space="0" w:color="auto"/>
      </w:divBdr>
    </w:div>
    <w:div w:id="882669699">
      <w:bodyDiv w:val="1"/>
      <w:marLeft w:val="0"/>
      <w:marRight w:val="0"/>
      <w:marTop w:val="0"/>
      <w:marBottom w:val="0"/>
      <w:divBdr>
        <w:top w:val="none" w:sz="0" w:space="0" w:color="auto"/>
        <w:left w:val="none" w:sz="0" w:space="0" w:color="auto"/>
        <w:bottom w:val="none" w:sz="0" w:space="0" w:color="auto"/>
        <w:right w:val="none" w:sz="0" w:space="0" w:color="auto"/>
      </w:divBdr>
    </w:div>
    <w:div w:id="889806163">
      <w:bodyDiv w:val="1"/>
      <w:marLeft w:val="0"/>
      <w:marRight w:val="0"/>
      <w:marTop w:val="0"/>
      <w:marBottom w:val="0"/>
      <w:divBdr>
        <w:top w:val="none" w:sz="0" w:space="0" w:color="auto"/>
        <w:left w:val="none" w:sz="0" w:space="0" w:color="auto"/>
        <w:bottom w:val="none" w:sz="0" w:space="0" w:color="auto"/>
        <w:right w:val="none" w:sz="0" w:space="0" w:color="auto"/>
      </w:divBdr>
    </w:div>
    <w:div w:id="903950565">
      <w:bodyDiv w:val="1"/>
      <w:marLeft w:val="0"/>
      <w:marRight w:val="0"/>
      <w:marTop w:val="0"/>
      <w:marBottom w:val="0"/>
      <w:divBdr>
        <w:top w:val="none" w:sz="0" w:space="0" w:color="auto"/>
        <w:left w:val="none" w:sz="0" w:space="0" w:color="auto"/>
        <w:bottom w:val="none" w:sz="0" w:space="0" w:color="auto"/>
        <w:right w:val="none" w:sz="0" w:space="0" w:color="auto"/>
      </w:divBdr>
    </w:div>
    <w:div w:id="909190014">
      <w:bodyDiv w:val="1"/>
      <w:marLeft w:val="0"/>
      <w:marRight w:val="0"/>
      <w:marTop w:val="0"/>
      <w:marBottom w:val="0"/>
      <w:divBdr>
        <w:top w:val="none" w:sz="0" w:space="0" w:color="auto"/>
        <w:left w:val="none" w:sz="0" w:space="0" w:color="auto"/>
        <w:bottom w:val="none" w:sz="0" w:space="0" w:color="auto"/>
        <w:right w:val="none" w:sz="0" w:space="0" w:color="auto"/>
      </w:divBdr>
    </w:div>
    <w:div w:id="972251190">
      <w:bodyDiv w:val="1"/>
      <w:marLeft w:val="0"/>
      <w:marRight w:val="0"/>
      <w:marTop w:val="0"/>
      <w:marBottom w:val="0"/>
      <w:divBdr>
        <w:top w:val="none" w:sz="0" w:space="0" w:color="auto"/>
        <w:left w:val="none" w:sz="0" w:space="0" w:color="auto"/>
        <w:bottom w:val="none" w:sz="0" w:space="0" w:color="auto"/>
        <w:right w:val="none" w:sz="0" w:space="0" w:color="auto"/>
      </w:divBdr>
    </w:div>
    <w:div w:id="1065832348">
      <w:bodyDiv w:val="1"/>
      <w:marLeft w:val="0"/>
      <w:marRight w:val="0"/>
      <w:marTop w:val="0"/>
      <w:marBottom w:val="0"/>
      <w:divBdr>
        <w:top w:val="none" w:sz="0" w:space="0" w:color="auto"/>
        <w:left w:val="none" w:sz="0" w:space="0" w:color="auto"/>
        <w:bottom w:val="none" w:sz="0" w:space="0" w:color="auto"/>
        <w:right w:val="none" w:sz="0" w:space="0" w:color="auto"/>
      </w:divBdr>
    </w:div>
    <w:div w:id="1075278219">
      <w:bodyDiv w:val="1"/>
      <w:marLeft w:val="0"/>
      <w:marRight w:val="0"/>
      <w:marTop w:val="0"/>
      <w:marBottom w:val="0"/>
      <w:divBdr>
        <w:top w:val="none" w:sz="0" w:space="0" w:color="auto"/>
        <w:left w:val="none" w:sz="0" w:space="0" w:color="auto"/>
        <w:bottom w:val="none" w:sz="0" w:space="0" w:color="auto"/>
        <w:right w:val="none" w:sz="0" w:space="0" w:color="auto"/>
      </w:divBdr>
    </w:div>
    <w:div w:id="1109007641">
      <w:bodyDiv w:val="1"/>
      <w:marLeft w:val="0"/>
      <w:marRight w:val="0"/>
      <w:marTop w:val="0"/>
      <w:marBottom w:val="0"/>
      <w:divBdr>
        <w:top w:val="none" w:sz="0" w:space="0" w:color="auto"/>
        <w:left w:val="none" w:sz="0" w:space="0" w:color="auto"/>
        <w:bottom w:val="none" w:sz="0" w:space="0" w:color="auto"/>
        <w:right w:val="none" w:sz="0" w:space="0" w:color="auto"/>
      </w:divBdr>
    </w:div>
    <w:div w:id="1186597977">
      <w:bodyDiv w:val="1"/>
      <w:marLeft w:val="0"/>
      <w:marRight w:val="0"/>
      <w:marTop w:val="0"/>
      <w:marBottom w:val="0"/>
      <w:divBdr>
        <w:top w:val="none" w:sz="0" w:space="0" w:color="auto"/>
        <w:left w:val="none" w:sz="0" w:space="0" w:color="auto"/>
        <w:bottom w:val="none" w:sz="0" w:space="0" w:color="auto"/>
        <w:right w:val="none" w:sz="0" w:space="0" w:color="auto"/>
      </w:divBdr>
    </w:div>
    <w:div w:id="1260525173">
      <w:bodyDiv w:val="1"/>
      <w:marLeft w:val="0"/>
      <w:marRight w:val="0"/>
      <w:marTop w:val="0"/>
      <w:marBottom w:val="0"/>
      <w:divBdr>
        <w:top w:val="none" w:sz="0" w:space="0" w:color="auto"/>
        <w:left w:val="none" w:sz="0" w:space="0" w:color="auto"/>
        <w:bottom w:val="none" w:sz="0" w:space="0" w:color="auto"/>
        <w:right w:val="none" w:sz="0" w:space="0" w:color="auto"/>
      </w:divBdr>
    </w:div>
    <w:div w:id="1276600882">
      <w:bodyDiv w:val="1"/>
      <w:marLeft w:val="0"/>
      <w:marRight w:val="0"/>
      <w:marTop w:val="0"/>
      <w:marBottom w:val="0"/>
      <w:divBdr>
        <w:top w:val="none" w:sz="0" w:space="0" w:color="auto"/>
        <w:left w:val="none" w:sz="0" w:space="0" w:color="auto"/>
        <w:bottom w:val="none" w:sz="0" w:space="0" w:color="auto"/>
        <w:right w:val="none" w:sz="0" w:space="0" w:color="auto"/>
      </w:divBdr>
    </w:div>
    <w:div w:id="1286499492">
      <w:bodyDiv w:val="1"/>
      <w:marLeft w:val="0"/>
      <w:marRight w:val="0"/>
      <w:marTop w:val="0"/>
      <w:marBottom w:val="0"/>
      <w:divBdr>
        <w:top w:val="none" w:sz="0" w:space="0" w:color="auto"/>
        <w:left w:val="none" w:sz="0" w:space="0" w:color="auto"/>
        <w:bottom w:val="none" w:sz="0" w:space="0" w:color="auto"/>
        <w:right w:val="none" w:sz="0" w:space="0" w:color="auto"/>
      </w:divBdr>
      <w:divsChild>
        <w:div w:id="1252355989">
          <w:marLeft w:val="0"/>
          <w:marRight w:val="0"/>
          <w:marTop w:val="0"/>
          <w:marBottom w:val="0"/>
          <w:divBdr>
            <w:top w:val="none" w:sz="0" w:space="0" w:color="auto"/>
            <w:left w:val="none" w:sz="0" w:space="0" w:color="auto"/>
            <w:bottom w:val="none" w:sz="0" w:space="0" w:color="auto"/>
            <w:right w:val="none" w:sz="0" w:space="0" w:color="auto"/>
          </w:divBdr>
          <w:divsChild>
            <w:div w:id="1722557461">
              <w:marLeft w:val="0"/>
              <w:marRight w:val="0"/>
              <w:marTop w:val="0"/>
              <w:marBottom w:val="0"/>
              <w:divBdr>
                <w:top w:val="none" w:sz="0" w:space="0" w:color="auto"/>
                <w:left w:val="none" w:sz="0" w:space="0" w:color="auto"/>
                <w:bottom w:val="none" w:sz="0" w:space="0" w:color="auto"/>
                <w:right w:val="none" w:sz="0" w:space="0" w:color="auto"/>
              </w:divBdr>
              <w:divsChild>
                <w:div w:id="1590458979">
                  <w:marLeft w:val="0"/>
                  <w:marRight w:val="0"/>
                  <w:marTop w:val="0"/>
                  <w:marBottom w:val="0"/>
                  <w:divBdr>
                    <w:top w:val="none" w:sz="0" w:space="0" w:color="auto"/>
                    <w:left w:val="none" w:sz="0" w:space="0" w:color="auto"/>
                    <w:bottom w:val="none" w:sz="0" w:space="0" w:color="auto"/>
                    <w:right w:val="none" w:sz="0" w:space="0" w:color="auto"/>
                  </w:divBdr>
                  <w:divsChild>
                    <w:div w:id="1665663072">
                      <w:marLeft w:val="0"/>
                      <w:marRight w:val="0"/>
                      <w:marTop w:val="0"/>
                      <w:marBottom w:val="0"/>
                      <w:divBdr>
                        <w:top w:val="none" w:sz="0" w:space="0" w:color="auto"/>
                        <w:left w:val="none" w:sz="0" w:space="0" w:color="auto"/>
                        <w:bottom w:val="none" w:sz="0" w:space="0" w:color="auto"/>
                        <w:right w:val="none" w:sz="0" w:space="0" w:color="auto"/>
                      </w:divBdr>
                      <w:divsChild>
                        <w:div w:id="354160106">
                          <w:marLeft w:val="0"/>
                          <w:marRight w:val="0"/>
                          <w:marTop w:val="0"/>
                          <w:marBottom w:val="0"/>
                          <w:divBdr>
                            <w:top w:val="none" w:sz="0" w:space="0" w:color="auto"/>
                            <w:left w:val="none" w:sz="0" w:space="0" w:color="auto"/>
                            <w:bottom w:val="none" w:sz="0" w:space="0" w:color="auto"/>
                            <w:right w:val="none" w:sz="0" w:space="0" w:color="auto"/>
                          </w:divBdr>
                          <w:divsChild>
                            <w:div w:id="16001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16553">
      <w:bodyDiv w:val="1"/>
      <w:marLeft w:val="0"/>
      <w:marRight w:val="0"/>
      <w:marTop w:val="0"/>
      <w:marBottom w:val="0"/>
      <w:divBdr>
        <w:top w:val="none" w:sz="0" w:space="0" w:color="auto"/>
        <w:left w:val="none" w:sz="0" w:space="0" w:color="auto"/>
        <w:bottom w:val="none" w:sz="0" w:space="0" w:color="auto"/>
        <w:right w:val="none" w:sz="0" w:space="0" w:color="auto"/>
      </w:divBdr>
    </w:div>
    <w:div w:id="1313945150">
      <w:bodyDiv w:val="1"/>
      <w:marLeft w:val="0"/>
      <w:marRight w:val="0"/>
      <w:marTop w:val="0"/>
      <w:marBottom w:val="0"/>
      <w:divBdr>
        <w:top w:val="none" w:sz="0" w:space="0" w:color="auto"/>
        <w:left w:val="none" w:sz="0" w:space="0" w:color="auto"/>
        <w:bottom w:val="none" w:sz="0" w:space="0" w:color="auto"/>
        <w:right w:val="none" w:sz="0" w:space="0" w:color="auto"/>
      </w:divBdr>
    </w:div>
    <w:div w:id="1345941479">
      <w:bodyDiv w:val="1"/>
      <w:marLeft w:val="0"/>
      <w:marRight w:val="0"/>
      <w:marTop w:val="0"/>
      <w:marBottom w:val="0"/>
      <w:divBdr>
        <w:top w:val="none" w:sz="0" w:space="0" w:color="auto"/>
        <w:left w:val="none" w:sz="0" w:space="0" w:color="auto"/>
        <w:bottom w:val="none" w:sz="0" w:space="0" w:color="auto"/>
        <w:right w:val="none" w:sz="0" w:space="0" w:color="auto"/>
      </w:divBdr>
      <w:divsChild>
        <w:div w:id="1292050163">
          <w:marLeft w:val="0"/>
          <w:marRight w:val="0"/>
          <w:marTop w:val="0"/>
          <w:marBottom w:val="0"/>
          <w:divBdr>
            <w:top w:val="none" w:sz="0" w:space="0" w:color="auto"/>
            <w:left w:val="none" w:sz="0" w:space="0" w:color="auto"/>
            <w:bottom w:val="none" w:sz="0" w:space="0" w:color="auto"/>
            <w:right w:val="none" w:sz="0" w:space="0" w:color="auto"/>
          </w:divBdr>
          <w:divsChild>
            <w:div w:id="1651060207">
              <w:marLeft w:val="0"/>
              <w:marRight w:val="0"/>
              <w:marTop w:val="0"/>
              <w:marBottom w:val="0"/>
              <w:divBdr>
                <w:top w:val="none" w:sz="0" w:space="0" w:color="auto"/>
                <w:left w:val="none" w:sz="0" w:space="0" w:color="auto"/>
                <w:bottom w:val="none" w:sz="0" w:space="0" w:color="auto"/>
                <w:right w:val="none" w:sz="0" w:space="0" w:color="auto"/>
              </w:divBdr>
              <w:divsChild>
                <w:div w:id="1313217594">
                  <w:marLeft w:val="0"/>
                  <w:marRight w:val="0"/>
                  <w:marTop w:val="0"/>
                  <w:marBottom w:val="0"/>
                  <w:divBdr>
                    <w:top w:val="none" w:sz="0" w:space="0" w:color="auto"/>
                    <w:left w:val="none" w:sz="0" w:space="0" w:color="auto"/>
                    <w:bottom w:val="none" w:sz="0" w:space="0" w:color="auto"/>
                    <w:right w:val="none" w:sz="0" w:space="0" w:color="auto"/>
                  </w:divBdr>
                  <w:divsChild>
                    <w:div w:id="2001351615">
                      <w:marLeft w:val="0"/>
                      <w:marRight w:val="0"/>
                      <w:marTop w:val="0"/>
                      <w:marBottom w:val="0"/>
                      <w:divBdr>
                        <w:top w:val="none" w:sz="0" w:space="0" w:color="auto"/>
                        <w:left w:val="none" w:sz="0" w:space="0" w:color="auto"/>
                        <w:bottom w:val="none" w:sz="0" w:space="0" w:color="auto"/>
                        <w:right w:val="none" w:sz="0" w:space="0" w:color="auto"/>
                      </w:divBdr>
                      <w:divsChild>
                        <w:div w:id="1636641478">
                          <w:marLeft w:val="0"/>
                          <w:marRight w:val="0"/>
                          <w:marTop w:val="0"/>
                          <w:marBottom w:val="0"/>
                          <w:divBdr>
                            <w:top w:val="none" w:sz="0" w:space="0" w:color="auto"/>
                            <w:left w:val="none" w:sz="0" w:space="0" w:color="auto"/>
                            <w:bottom w:val="none" w:sz="0" w:space="0" w:color="auto"/>
                            <w:right w:val="none" w:sz="0" w:space="0" w:color="auto"/>
                          </w:divBdr>
                          <w:divsChild>
                            <w:div w:id="8664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460280">
      <w:bodyDiv w:val="1"/>
      <w:marLeft w:val="0"/>
      <w:marRight w:val="0"/>
      <w:marTop w:val="0"/>
      <w:marBottom w:val="0"/>
      <w:divBdr>
        <w:top w:val="none" w:sz="0" w:space="0" w:color="auto"/>
        <w:left w:val="none" w:sz="0" w:space="0" w:color="auto"/>
        <w:bottom w:val="none" w:sz="0" w:space="0" w:color="auto"/>
        <w:right w:val="none" w:sz="0" w:space="0" w:color="auto"/>
      </w:divBdr>
    </w:div>
    <w:div w:id="1424254849">
      <w:bodyDiv w:val="1"/>
      <w:marLeft w:val="0"/>
      <w:marRight w:val="0"/>
      <w:marTop w:val="0"/>
      <w:marBottom w:val="0"/>
      <w:divBdr>
        <w:top w:val="none" w:sz="0" w:space="0" w:color="auto"/>
        <w:left w:val="none" w:sz="0" w:space="0" w:color="auto"/>
        <w:bottom w:val="none" w:sz="0" w:space="0" w:color="auto"/>
        <w:right w:val="none" w:sz="0" w:space="0" w:color="auto"/>
      </w:divBdr>
    </w:div>
    <w:div w:id="1429959975">
      <w:bodyDiv w:val="1"/>
      <w:marLeft w:val="0"/>
      <w:marRight w:val="0"/>
      <w:marTop w:val="0"/>
      <w:marBottom w:val="0"/>
      <w:divBdr>
        <w:top w:val="none" w:sz="0" w:space="0" w:color="auto"/>
        <w:left w:val="none" w:sz="0" w:space="0" w:color="auto"/>
        <w:bottom w:val="none" w:sz="0" w:space="0" w:color="auto"/>
        <w:right w:val="none" w:sz="0" w:space="0" w:color="auto"/>
      </w:divBdr>
    </w:div>
    <w:div w:id="1452821593">
      <w:bodyDiv w:val="1"/>
      <w:marLeft w:val="0"/>
      <w:marRight w:val="0"/>
      <w:marTop w:val="0"/>
      <w:marBottom w:val="0"/>
      <w:divBdr>
        <w:top w:val="none" w:sz="0" w:space="0" w:color="auto"/>
        <w:left w:val="none" w:sz="0" w:space="0" w:color="auto"/>
        <w:bottom w:val="none" w:sz="0" w:space="0" w:color="auto"/>
        <w:right w:val="none" w:sz="0" w:space="0" w:color="auto"/>
      </w:divBdr>
    </w:div>
    <w:div w:id="1460683884">
      <w:bodyDiv w:val="1"/>
      <w:marLeft w:val="0"/>
      <w:marRight w:val="0"/>
      <w:marTop w:val="0"/>
      <w:marBottom w:val="0"/>
      <w:divBdr>
        <w:top w:val="none" w:sz="0" w:space="0" w:color="auto"/>
        <w:left w:val="none" w:sz="0" w:space="0" w:color="auto"/>
        <w:bottom w:val="none" w:sz="0" w:space="0" w:color="auto"/>
        <w:right w:val="none" w:sz="0" w:space="0" w:color="auto"/>
      </w:divBdr>
    </w:div>
    <w:div w:id="1463156766">
      <w:bodyDiv w:val="1"/>
      <w:marLeft w:val="0"/>
      <w:marRight w:val="0"/>
      <w:marTop w:val="0"/>
      <w:marBottom w:val="0"/>
      <w:divBdr>
        <w:top w:val="none" w:sz="0" w:space="0" w:color="auto"/>
        <w:left w:val="none" w:sz="0" w:space="0" w:color="auto"/>
        <w:bottom w:val="none" w:sz="0" w:space="0" w:color="auto"/>
        <w:right w:val="none" w:sz="0" w:space="0" w:color="auto"/>
      </w:divBdr>
    </w:div>
    <w:div w:id="1495797882">
      <w:bodyDiv w:val="1"/>
      <w:marLeft w:val="0"/>
      <w:marRight w:val="0"/>
      <w:marTop w:val="0"/>
      <w:marBottom w:val="0"/>
      <w:divBdr>
        <w:top w:val="none" w:sz="0" w:space="0" w:color="auto"/>
        <w:left w:val="none" w:sz="0" w:space="0" w:color="auto"/>
        <w:bottom w:val="none" w:sz="0" w:space="0" w:color="auto"/>
        <w:right w:val="none" w:sz="0" w:space="0" w:color="auto"/>
      </w:divBdr>
    </w:div>
    <w:div w:id="1567109962">
      <w:bodyDiv w:val="1"/>
      <w:marLeft w:val="0"/>
      <w:marRight w:val="0"/>
      <w:marTop w:val="0"/>
      <w:marBottom w:val="0"/>
      <w:divBdr>
        <w:top w:val="none" w:sz="0" w:space="0" w:color="auto"/>
        <w:left w:val="none" w:sz="0" w:space="0" w:color="auto"/>
        <w:bottom w:val="none" w:sz="0" w:space="0" w:color="auto"/>
        <w:right w:val="none" w:sz="0" w:space="0" w:color="auto"/>
      </w:divBdr>
    </w:div>
    <w:div w:id="1679768436">
      <w:bodyDiv w:val="1"/>
      <w:marLeft w:val="0"/>
      <w:marRight w:val="0"/>
      <w:marTop w:val="0"/>
      <w:marBottom w:val="0"/>
      <w:divBdr>
        <w:top w:val="none" w:sz="0" w:space="0" w:color="auto"/>
        <w:left w:val="none" w:sz="0" w:space="0" w:color="auto"/>
        <w:bottom w:val="none" w:sz="0" w:space="0" w:color="auto"/>
        <w:right w:val="none" w:sz="0" w:space="0" w:color="auto"/>
      </w:divBdr>
    </w:div>
    <w:div w:id="1698576969">
      <w:bodyDiv w:val="1"/>
      <w:marLeft w:val="0"/>
      <w:marRight w:val="0"/>
      <w:marTop w:val="0"/>
      <w:marBottom w:val="0"/>
      <w:divBdr>
        <w:top w:val="none" w:sz="0" w:space="0" w:color="auto"/>
        <w:left w:val="none" w:sz="0" w:space="0" w:color="auto"/>
        <w:bottom w:val="none" w:sz="0" w:space="0" w:color="auto"/>
        <w:right w:val="none" w:sz="0" w:space="0" w:color="auto"/>
      </w:divBdr>
    </w:div>
    <w:div w:id="1773278127">
      <w:bodyDiv w:val="1"/>
      <w:marLeft w:val="0"/>
      <w:marRight w:val="0"/>
      <w:marTop w:val="0"/>
      <w:marBottom w:val="0"/>
      <w:divBdr>
        <w:top w:val="none" w:sz="0" w:space="0" w:color="auto"/>
        <w:left w:val="none" w:sz="0" w:space="0" w:color="auto"/>
        <w:bottom w:val="none" w:sz="0" w:space="0" w:color="auto"/>
        <w:right w:val="none" w:sz="0" w:space="0" w:color="auto"/>
      </w:divBdr>
    </w:div>
    <w:div w:id="1773356585">
      <w:bodyDiv w:val="1"/>
      <w:marLeft w:val="0"/>
      <w:marRight w:val="0"/>
      <w:marTop w:val="0"/>
      <w:marBottom w:val="0"/>
      <w:divBdr>
        <w:top w:val="none" w:sz="0" w:space="0" w:color="auto"/>
        <w:left w:val="none" w:sz="0" w:space="0" w:color="auto"/>
        <w:bottom w:val="none" w:sz="0" w:space="0" w:color="auto"/>
        <w:right w:val="none" w:sz="0" w:space="0" w:color="auto"/>
      </w:divBdr>
    </w:div>
    <w:div w:id="1776099176">
      <w:bodyDiv w:val="1"/>
      <w:marLeft w:val="0"/>
      <w:marRight w:val="0"/>
      <w:marTop w:val="0"/>
      <w:marBottom w:val="0"/>
      <w:divBdr>
        <w:top w:val="none" w:sz="0" w:space="0" w:color="auto"/>
        <w:left w:val="none" w:sz="0" w:space="0" w:color="auto"/>
        <w:bottom w:val="none" w:sz="0" w:space="0" w:color="auto"/>
        <w:right w:val="none" w:sz="0" w:space="0" w:color="auto"/>
      </w:divBdr>
    </w:div>
    <w:div w:id="1896043633">
      <w:bodyDiv w:val="1"/>
      <w:marLeft w:val="0"/>
      <w:marRight w:val="0"/>
      <w:marTop w:val="0"/>
      <w:marBottom w:val="0"/>
      <w:divBdr>
        <w:top w:val="none" w:sz="0" w:space="0" w:color="auto"/>
        <w:left w:val="none" w:sz="0" w:space="0" w:color="auto"/>
        <w:bottom w:val="none" w:sz="0" w:space="0" w:color="auto"/>
        <w:right w:val="none" w:sz="0" w:space="0" w:color="auto"/>
      </w:divBdr>
    </w:div>
    <w:div w:id="1960798302">
      <w:bodyDiv w:val="1"/>
      <w:marLeft w:val="0"/>
      <w:marRight w:val="0"/>
      <w:marTop w:val="0"/>
      <w:marBottom w:val="0"/>
      <w:divBdr>
        <w:top w:val="none" w:sz="0" w:space="0" w:color="auto"/>
        <w:left w:val="none" w:sz="0" w:space="0" w:color="auto"/>
        <w:bottom w:val="none" w:sz="0" w:space="0" w:color="auto"/>
        <w:right w:val="none" w:sz="0" w:space="0" w:color="auto"/>
      </w:divBdr>
    </w:div>
    <w:div w:id="2072268238">
      <w:bodyDiv w:val="1"/>
      <w:marLeft w:val="0"/>
      <w:marRight w:val="0"/>
      <w:marTop w:val="0"/>
      <w:marBottom w:val="0"/>
      <w:divBdr>
        <w:top w:val="none" w:sz="0" w:space="0" w:color="auto"/>
        <w:left w:val="none" w:sz="0" w:space="0" w:color="auto"/>
        <w:bottom w:val="none" w:sz="0" w:space="0" w:color="auto"/>
        <w:right w:val="none" w:sz="0" w:space="0" w:color="auto"/>
      </w:divBdr>
    </w:div>
    <w:div w:id="214593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pubchem.ncbi.nlm.nih.go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mohfw.gov.in/?q=hi/node/7676"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16</Pages>
  <Words>4183</Words>
  <Characters>23844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8</cp:revision>
  <dcterms:created xsi:type="dcterms:W3CDTF">2025-03-11T06:05:00Z</dcterms:created>
  <dcterms:modified xsi:type="dcterms:W3CDTF">2025-03-11T10:17:00Z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cb13aa08456c46ad2b7ed7203c02671f813192208149f6a1a4342241924349a3</vt:lpwstr>
  </property>
</Properties>
</file>