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51A4C" w14:textId="4817E6D4" w:rsidR="00952573" w:rsidRDefault="00570FF6" w:rsidP="00B56E3F">
      <w:pPr>
        <w:suppressLineNumbers/>
        <w:spacing w:line="240" w:lineRule="auto"/>
        <w:jc w:val="both"/>
        <w:rPr>
          <w:rFonts w:ascii="Arial" w:hAnsi="Arial" w:cs="Arial"/>
          <w:b/>
          <w:bCs/>
          <w:sz w:val="24"/>
          <w:szCs w:val="24"/>
        </w:rPr>
      </w:pPr>
      <w:r w:rsidRPr="00570FF6">
        <w:rPr>
          <w:rFonts w:ascii="Arial" w:hAnsi="Arial" w:cs="Arial"/>
          <w:b/>
          <w:bCs/>
          <w:sz w:val="24"/>
          <w:szCs w:val="24"/>
        </w:rPr>
        <w:t>Original Research Article</w:t>
      </w:r>
    </w:p>
    <w:p w14:paraId="0BE012F3" w14:textId="77777777" w:rsidR="00570FF6" w:rsidRPr="00376CD5" w:rsidRDefault="00570FF6" w:rsidP="00B56E3F">
      <w:pPr>
        <w:suppressLineNumbers/>
        <w:spacing w:line="240" w:lineRule="auto"/>
        <w:jc w:val="both"/>
        <w:rPr>
          <w:rFonts w:ascii="Arial" w:hAnsi="Arial" w:cs="Arial"/>
          <w:b/>
          <w:bCs/>
          <w:sz w:val="24"/>
          <w:szCs w:val="24"/>
        </w:rPr>
      </w:pPr>
    </w:p>
    <w:p w14:paraId="674BEF2D" w14:textId="5C05A503" w:rsidR="00734D9B" w:rsidRDefault="0036656D" w:rsidP="0036656D">
      <w:pPr>
        <w:spacing w:line="240" w:lineRule="auto"/>
        <w:jc w:val="right"/>
        <w:rPr>
          <w:rFonts w:ascii="Arial" w:hAnsi="Arial" w:cs="Arial"/>
          <w:b/>
          <w:bCs/>
          <w:sz w:val="36"/>
          <w:szCs w:val="36"/>
        </w:rPr>
      </w:pPr>
      <w:r w:rsidRPr="00376CD5">
        <w:rPr>
          <w:rFonts w:ascii="Arial" w:hAnsi="Arial" w:cs="Arial"/>
          <w:b/>
          <w:bCs/>
          <w:sz w:val="36"/>
          <w:szCs w:val="36"/>
        </w:rPr>
        <w:t xml:space="preserve">Effect Of Extraction Methods On Phenolics </w:t>
      </w:r>
      <w:proofErr w:type="gramStart"/>
      <w:r w:rsidRPr="00376CD5">
        <w:rPr>
          <w:rFonts w:ascii="Arial" w:hAnsi="Arial" w:cs="Arial"/>
          <w:b/>
          <w:bCs/>
          <w:sz w:val="36"/>
          <w:szCs w:val="36"/>
        </w:rPr>
        <w:t>And</w:t>
      </w:r>
      <w:proofErr w:type="gramEnd"/>
      <w:r w:rsidR="00B833C8">
        <w:rPr>
          <w:rFonts w:ascii="Arial" w:hAnsi="Arial" w:cs="Arial"/>
          <w:b/>
          <w:bCs/>
          <w:sz w:val="36"/>
          <w:szCs w:val="36"/>
        </w:rPr>
        <w:t xml:space="preserve"> </w:t>
      </w:r>
      <w:r w:rsidRPr="00376CD5">
        <w:rPr>
          <w:rFonts w:ascii="Arial" w:hAnsi="Arial" w:cs="Arial"/>
          <w:b/>
          <w:bCs/>
          <w:sz w:val="36"/>
          <w:szCs w:val="36"/>
        </w:rPr>
        <w:t xml:space="preserve">Flavonoids Content Of </w:t>
      </w:r>
      <w:r w:rsidRPr="00376CD5">
        <w:rPr>
          <w:rFonts w:ascii="Arial" w:hAnsi="Arial" w:cs="Arial"/>
          <w:b/>
          <w:bCs/>
          <w:i/>
          <w:iCs/>
          <w:sz w:val="36"/>
          <w:szCs w:val="36"/>
        </w:rPr>
        <w:t>Catharanthus Roseus</w:t>
      </w:r>
      <w:r w:rsidRPr="00376CD5">
        <w:rPr>
          <w:rFonts w:ascii="Arial" w:hAnsi="Arial" w:cs="Arial"/>
          <w:b/>
          <w:bCs/>
          <w:sz w:val="36"/>
          <w:szCs w:val="36"/>
        </w:rPr>
        <w:t xml:space="preserve"> And Evaluation Of Their Efficacy On Lifespan Extension Model </w:t>
      </w:r>
      <w:r w:rsidRPr="00376CD5">
        <w:rPr>
          <w:rFonts w:ascii="Arial" w:hAnsi="Arial" w:cs="Arial"/>
          <w:b/>
          <w:bCs/>
          <w:i/>
          <w:iCs/>
          <w:sz w:val="36"/>
          <w:szCs w:val="36"/>
        </w:rPr>
        <w:t>Caenorhabditis Elegans</w:t>
      </w:r>
      <w:r w:rsidRPr="00376CD5">
        <w:rPr>
          <w:rFonts w:ascii="Arial" w:hAnsi="Arial" w:cs="Arial"/>
          <w:b/>
          <w:bCs/>
          <w:sz w:val="36"/>
          <w:szCs w:val="36"/>
        </w:rPr>
        <w:t xml:space="preserve"> </w:t>
      </w:r>
    </w:p>
    <w:p w14:paraId="5C546519" w14:textId="77777777" w:rsidR="00A5476B" w:rsidRDefault="00A5476B" w:rsidP="003A5C3A">
      <w:pPr>
        <w:jc w:val="right"/>
        <w:rPr>
          <w:rFonts w:ascii="Arial" w:hAnsi="Arial" w:cs="Arial"/>
          <w:i/>
          <w:iCs/>
          <w:sz w:val="20"/>
          <w:szCs w:val="20"/>
        </w:rPr>
      </w:pPr>
    </w:p>
    <w:p w14:paraId="11BDB054" w14:textId="77777777" w:rsidR="00A5476B" w:rsidRDefault="00A5476B" w:rsidP="003A5C3A">
      <w:pPr>
        <w:jc w:val="right"/>
        <w:rPr>
          <w:rFonts w:ascii="Arial" w:hAnsi="Arial" w:cs="Arial"/>
          <w:i/>
          <w:iCs/>
          <w:sz w:val="20"/>
          <w:szCs w:val="20"/>
        </w:rPr>
      </w:pPr>
    </w:p>
    <w:p w14:paraId="040A593F" w14:textId="2CB75ED4" w:rsidR="003A5C3A" w:rsidRDefault="0036656D" w:rsidP="003A5C3A">
      <w:pPr>
        <w:jc w:val="right"/>
        <w:rPr>
          <w:rFonts w:ascii="Arial" w:hAnsi="Arial" w:cs="Arial"/>
          <w:i/>
          <w:iCs/>
          <w:sz w:val="20"/>
          <w:szCs w:val="20"/>
        </w:rPr>
      </w:pPr>
      <w:r w:rsidRPr="00376CD5">
        <w:rPr>
          <w:rFonts w:ascii="Arial" w:hAnsi="Arial" w:cs="Arial"/>
          <w:i/>
          <w:iCs/>
          <w:sz w:val="20"/>
          <w:szCs w:val="20"/>
        </w:rPr>
        <w:t>.</w:t>
      </w:r>
    </w:p>
    <w:p w14:paraId="0BF68F76" w14:textId="77777777" w:rsidR="003A5C3A" w:rsidRDefault="003A5C3A" w:rsidP="003A5C3A">
      <w:pPr>
        <w:jc w:val="right"/>
        <w:rPr>
          <w:rFonts w:ascii="Arial" w:hAnsi="Arial" w:cs="Arial"/>
          <w:i/>
          <w:iCs/>
          <w:sz w:val="20"/>
          <w:szCs w:val="20"/>
        </w:rPr>
      </w:pPr>
    </w:p>
    <w:p w14:paraId="7BD50D9B" w14:textId="77777777" w:rsidR="003A5C3A" w:rsidRDefault="0036656D" w:rsidP="003A5C3A">
      <w:pPr>
        <w:rPr>
          <w:rFonts w:ascii="Arial" w:hAnsi="Arial" w:cs="Arial"/>
          <w:i/>
          <w:iCs/>
          <w:sz w:val="20"/>
          <w:szCs w:val="20"/>
        </w:rPr>
      </w:pPr>
      <w:r w:rsidRPr="00376CD5">
        <w:rPr>
          <w:rFonts w:ascii="Arial" w:hAnsi="Arial" w:cs="Arial"/>
          <w:b/>
          <w:bCs/>
          <w:sz w:val="24"/>
          <w:szCs w:val="24"/>
        </w:rPr>
        <w:t>ABSTRACT</w:t>
      </w:r>
    </w:p>
    <w:p w14:paraId="6FEAD134" w14:textId="77777777" w:rsidR="003A5C3A" w:rsidRDefault="003A5C3A" w:rsidP="003A5C3A">
      <w:pPr>
        <w:rPr>
          <w:rFonts w:ascii="Arial" w:hAnsi="Arial" w:cs="Arial"/>
          <w:i/>
          <w:iCs/>
          <w:sz w:val="20"/>
          <w:szCs w:val="20"/>
        </w:rPr>
      </w:pPr>
    </w:p>
    <w:p w14:paraId="7F17B9D4" w14:textId="1201F398" w:rsidR="00107C21" w:rsidRPr="003A5C3A" w:rsidRDefault="00D85183" w:rsidP="001D5D94">
      <w:pPr>
        <w:jc w:val="both"/>
        <w:rPr>
          <w:rFonts w:ascii="Arial" w:hAnsi="Arial" w:cs="Arial"/>
          <w:i/>
          <w:iCs/>
          <w:sz w:val="20"/>
          <w:szCs w:val="20"/>
        </w:rPr>
      </w:pPr>
      <w:r w:rsidRPr="00B56E3F">
        <w:rPr>
          <w:rFonts w:ascii="Arial" w:hAnsi="Arial" w:cs="Arial"/>
          <w:b/>
          <w:bCs/>
          <w:sz w:val="20"/>
          <w:szCs w:val="20"/>
          <w:shd w:val="clear" w:color="auto" w:fill="FFFFFF"/>
        </w:rPr>
        <w:t>Objective:</w:t>
      </w:r>
      <w:r w:rsidRPr="00B56E3F">
        <w:rPr>
          <w:rFonts w:ascii="Arial" w:hAnsi="Arial" w:cs="Arial"/>
          <w:sz w:val="20"/>
          <w:szCs w:val="20"/>
          <w:shd w:val="clear" w:color="auto" w:fill="FFFFFF"/>
        </w:rPr>
        <w:t xml:space="preserve"> </w:t>
      </w:r>
      <w:r w:rsidR="003B3B36" w:rsidRPr="00B56E3F">
        <w:rPr>
          <w:rFonts w:ascii="Arial" w:hAnsi="Arial" w:cs="Arial"/>
          <w:sz w:val="20"/>
          <w:szCs w:val="20"/>
          <w:shd w:val="clear" w:color="auto" w:fill="FFFFFF"/>
        </w:rPr>
        <w:t xml:space="preserve">In the preparation of plant extract, the extraction method plays a crucial role </w:t>
      </w:r>
      <w:proofErr w:type="gramStart"/>
      <w:r w:rsidR="003B3B36" w:rsidRPr="00B56E3F">
        <w:rPr>
          <w:rFonts w:ascii="Arial" w:hAnsi="Arial" w:cs="Arial"/>
          <w:sz w:val="20"/>
          <w:szCs w:val="20"/>
          <w:shd w:val="clear" w:color="auto" w:fill="FFFFFF"/>
        </w:rPr>
        <w:t>as  it</w:t>
      </w:r>
      <w:proofErr w:type="gramEnd"/>
      <w:r w:rsidR="003B3B36" w:rsidRPr="00B56E3F">
        <w:rPr>
          <w:rFonts w:ascii="Arial" w:hAnsi="Arial" w:cs="Arial"/>
          <w:sz w:val="20"/>
          <w:szCs w:val="20"/>
          <w:shd w:val="clear" w:color="auto" w:fill="FFFFFF"/>
        </w:rPr>
        <w:t xml:space="preserve"> can have a significant impact on the quality of secondary </w:t>
      </w:r>
      <w:r w:rsidR="00297353" w:rsidRPr="00B56E3F">
        <w:rPr>
          <w:rFonts w:ascii="Arial" w:hAnsi="Arial" w:cs="Arial"/>
          <w:sz w:val="20"/>
          <w:szCs w:val="20"/>
          <w:shd w:val="clear" w:color="auto" w:fill="FFFFFF"/>
        </w:rPr>
        <w:t xml:space="preserve">metabolites extracted, as well as </w:t>
      </w:r>
      <w:r w:rsidR="003B3B36" w:rsidRPr="00B56E3F">
        <w:rPr>
          <w:rFonts w:ascii="Arial" w:hAnsi="Arial" w:cs="Arial"/>
          <w:sz w:val="20"/>
          <w:szCs w:val="20"/>
          <w:shd w:val="clear" w:color="auto" w:fill="FFFFFF"/>
        </w:rPr>
        <w:t xml:space="preserve">their stability and concentration. </w:t>
      </w:r>
      <w:r w:rsidR="00B56E3F" w:rsidRPr="00B56E3F">
        <w:rPr>
          <w:rFonts w:ascii="Arial" w:hAnsi="Arial" w:cs="Arial"/>
          <w:b/>
          <w:bCs/>
          <w:sz w:val="20"/>
          <w:szCs w:val="20"/>
          <w:shd w:val="clear" w:color="auto" w:fill="FFFFFF"/>
        </w:rPr>
        <w:t>Methodology:</w:t>
      </w:r>
      <w:r w:rsidR="00B56E3F" w:rsidRPr="00B56E3F">
        <w:rPr>
          <w:rFonts w:ascii="Arial" w:hAnsi="Arial" w:cs="Arial"/>
          <w:sz w:val="20"/>
          <w:szCs w:val="20"/>
          <w:shd w:val="clear" w:color="auto" w:fill="FFFFFF"/>
        </w:rPr>
        <w:t xml:space="preserve"> </w:t>
      </w:r>
      <w:r w:rsidR="00297353" w:rsidRPr="00B56E3F">
        <w:rPr>
          <w:rFonts w:ascii="Arial" w:hAnsi="Arial" w:cs="Arial"/>
          <w:sz w:val="20"/>
          <w:szCs w:val="20"/>
          <w:shd w:val="clear" w:color="auto" w:fill="FFFFFF"/>
        </w:rPr>
        <w:t xml:space="preserve">The preliminary </w:t>
      </w:r>
      <w:r w:rsidR="00B56E3F" w:rsidRPr="00B56E3F">
        <w:rPr>
          <w:rFonts w:ascii="Arial" w:hAnsi="Arial" w:cs="Arial"/>
          <w:sz w:val="20"/>
          <w:szCs w:val="20"/>
          <w:shd w:val="clear" w:color="auto" w:fill="FFFFFF"/>
        </w:rPr>
        <w:t>methodology in this research was to use two distinct methods of extraction on the leaves of Catharanthus roseus and then test</w:t>
      </w:r>
      <w:r w:rsidR="00297353" w:rsidRPr="00B56E3F">
        <w:rPr>
          <w:rFonts w:ascii="Arial" w:hAnsi="Arial" w:cs="Arial"/>
          <w:sz w:val="20"/>
          <w:szCs w:val="20"/>
          <w:shd w:val="clear" w:color="auto" w:fill="FFFFFF"/>
        </w:rPr>
        <w:t xml:space="preserve"> the resulting extract for the quantitative and qualitative determination of phytoconstituents and further evaluating their biological efficiency on </w:t>
      </w:r>
      <w:r w:rsidR="00297353" w:rsidRPr="00B56E3F">
        <w:rPr>
          <w:rFonts w:ascii="Arial" w:hAnsi="Arial" w:cs="Arial"/>
          <w:i/>
          <w:iCs/>
          <w:sz w:val="20"/>
          <w:szCs w:val="20"/>
          <w:shd w:val="clear" w:color="auto" w:fill="FFFFFF"/>
        </w:rPr>
        <w:t>Caenorhabditis elegans</w:t>
      </w:r>
      <w:r w:rsidR="00297353" w:rsidRPr="00B56E3F">
        <w:rPr>
          <w:rFonts w:ascii="Arial" w:hAnsi="Arial" w:cs="Arial"/>
          <w:sz w:val="20"/>
          <w:szCs w:val="20"/>
          <w:shd w:val="clear" w:color="auto" w:fill="FFFFFF"/>
        </w:rPr>
        <w:t xml:space="preserve">. Thereafter, the </w:t>
      </w:r>
      <w:r w:rsidR="00026910" w:rsidRPr="00B56E3F">
        <w:rPr>
          <w:rFonts w:ascii="Arial" w:hAnsi="Arial" w:cs="Arial"/>
          <w:sz w:val="20"/>
          <w:szCs w:val="20"/>
          <w:shd w:val="clear" w:color="auto" w:fill="FFFFFF"/>
        </w:rPr>
        <w:t>resultant extracts were compared for total flavonoid concentration, total polyphenol content, total antioxidant activity, and DPPH free radical scavenging activity.</w:t>
      </w:r>
      <w:r w:rsidR="006C1DAF" w:rsidRPr="00B56E3F">
        <w:rPr>
          <w:rFonts w:ascii="Arial" w:hAnsi="Arial" w:cs="Arial"/>
          <w:sz w:val="20"/>
          <w:szCs w:val="20"/>
          <w:shd w:val="clear" w:color="auto" w:fill="FFFFFF"/>
        </w:rPr>
        <w:t xml:space="preserve"> </w:t>
      </w:r>
      <w:r w:rsidR="007B7901" w:rsidRPr="00B56E3F">
        <w:rPr>
          <w:rFonts w:ascii="Arial" w:hAnsi="Arial" w:cs="Arial"/>
          <w:sz w:val="20"/>
          <w:szCs w:val="20"/>
          <w:shd w:val="clear" w:color="auto" w:fill="FFFFFF"/>
        </w:rPr>
        <w:t>The i</w:t>
      </w:r>
      <w:r w:rsidR="00502047" w:rsidRPr="00B56E3F">
        <w:rPr>
          <w:rFonts w:ascii="Arial" w:hAnsi="Arial" w:cs="Arial"/>
          <w:sz w:val="20"/>
          <w:szCs w:val="20"/>
          <w:shd w:val="clear" w:color="auto" w:fill="FFFFFF"/>
        </w:rPr>
        <w:t xml:space="preserve">n vivo </w:t>
      </w:r>
      <w:r w:rsidR="00B25EF3" w:rsidRPr="00B56E3F">
        <w:rPr>
          <w:rFonts w:ascii="Arial" w:hAnsi="Arial" w:cs="Arial"/>
          <w:sz w:val="20"/>
          <w:szCs w:val="20"/>
          <w:shd w:val="clear" w:color="auto" w:fill="FFFFFF"/>
        </w:rPr>
        <w:t>efficacy</w:t>
      </w:r>
      <w:r w:rsidR="00175F06" w:rsidRPr="00B56E3F">
        <w:rPr>
          <w:rFonts w:ascii="Arial" w:hAnsi="Arial" w:cs="Arial"/>
          <w:sz w:val="20"/>
          <w:szCs w:val="20"/>
          <w:shd w:val="clear" w:color="auto" w:fill="FFFFFF"/>
        </w:rPr>
        <w:t xml:space="preserve"> </w:t>
      </w:r>
      <w:r w:rsidR="00502047" w:rsidRPr="00B56E3F">
        <w:rPr>
          <w:rFonts w:ascii="Arial" w:hAnsi="Arial" w:cs="Arial"/>
          <w:sz w:val="20"/>
          <w:szCs w:val="20"/>
          <w:shd w:val="clear" w:color="auto" w:fill="FFFFFF"/>
        </w:rPr>
        <w:t>of these extract</w:t>
      </w:r>
      <w:r w:rsidR="003A3179" w:rsidRPr="00B56E3F">
        <w:rPr>
          <w:rFonts w:ascii="Arial" w:hAnsi="Arial" w:cs="Arial"/>
          <w:sz w:val="20"/>
          <w:szCs w:val="20"/>
          <w:shd w:val="clear" w:color="auto" w:fill="FFFFFF"/>
        </w:rPr>
        <w:t>s</w:t>
      </w:r>
      <w:r w:rsidR="00502047" w:rsidRPr="00B56E3F">
        <w:rPr>
          <w:rFonts w:ascii="Arial" w:hAnsi="Arial" w:cs="Arial"/>
          <w:sz w:val="20"/>
          <w:szCs w:val="20"/>
          <w:shd w:val="clear" w:color="auto" w:fill="FFFFFF"/>
        </w:rPr>
        <w:t xml:space="preserve"> </w:t>
      </w:r>
      <w:r w:rsidR="00175F06" w:rsidRPr="00B56E3F">
        <w:rPr>
          <w:rFonts w:ascii="Arial" w:hAnsi="Arial" w:cs="Arial"/>
          <w:sz w:val="20"/>
          <w:szCs w:val="20"/>
          <w:shd w:val="clear" w:color="auto" w:fill="FFFFFF"/>
        </w:rPr>
        <w:t xml:space="preserve">was also evaluated for longevity of </w:t>
      </w:r>
      <w:r w:rsidR="008A4E5C" w:rsidRPr="00B56E3F">
        <w:rPr>
          <w:rFonts w:ascii="Arial" w:hAnsi="Arial" w:cs="Arial"/>
          <w:i/>
          <w:iCs/>
          <w:sz w:val="20"/>
          <w:szCs w:val="20"/>
          <w:shd w:val="clear" w:color="auto" w:fill="FFFFFF"/>
        </w:rPr>
        <w:t>Caenorhabditis elegans</w:t>
      </w:r>
      <w:r w:rsidR="00B25EF3" w:rsidRPr="00B56E3F">
        <w:rPr>
          <w:rFonts w:ascii="Arial" w:hAnsi="Arial" w:cs="Arial"/>
          <w:i/>
          <w:iCs/>
          <w:sz w:val="20"/>
          <w:szCs w:val="20"/>
          <w:shd w:val="clear" w:color="auto" w:fill="FFFFFF"/>
        </w:rPr>
        <w:t>.</w:t>
      </w:r>
      <w:r w:rsidR="008A4E5C" w:rsidRPr="00B56E3F">
        <w:rPr>
          <w:rFonts w:ascii="Arial" w:hAnsi="Arial" w:cs="Arial"/>
          <w:sz w:val="20"/>
          <w:szCs w:val="20"/>
          <w:shd w:val="clear" w:color="auto" w:fill="FFFFFF"/>
        </w:rPr>
        <w:t xml:space="preserve"> </w:t>
      </w:r>
      <w:r w:rsidRPr="00B56E3F">
        <w:rPr>
          <w:rFonts w:ascii="Arial" w:hAnsi="Arial" w:cs="Arial"/>
          <w:b/>
          <w:bCs/>
          <w:sz w:val="20"/>
          <w:szCs w:val="20"/>
          <w:shd w:val="clear" w:color="auto" w:fill="FFFFFF"/>
        </w:rPr>
        <w:t>Results:</w:t>
      </w:r>
      <w:r w:rsidRPr="00B56E3F">
        <w:rPr>
          <w:rFonts w:ascii="Arial" w:hAnsi="Arial" w:cs="Arial"/>
          <w:sz w:val="20"/>
          <w:szCs w:val="20"/>
          <w:shd w:val="clear" w:color="auto" w:fill="FFFFFF"/>
        </w:rPr>
        <w:t xml:space="preserve"> </w:t>
      </w:r>
      <w:r w:rsidR="006C1DAF" w:rsidRPr="00B56E3F">
        <w:rPr>
          <w:rFonts w:ascii="Arial" w:hAnsi="Arial" w:cs="Arial"/>
          <w:sz w:val="20"/>
          <w:szCs w:val="20"/>
          <w:shd w:val="clear" w:color="auto" w:fill="FFFFFF"/>
        </w:rPr>
        <w:t xml:space="preserve">Ultrasound-assisted extraction </w:t>
      </w:r>
      <w:r w:rsidR="007E77DA" w:rsidRPr="00B56E3F">
        <w:rPr>
          <w:rFonts w:ascii="Arial" w:hAnsi="Arial" w:cs="Arial"/>
          <w:sz w:val="20"/>
          <w:szCs w:val="20"/>
          <w:shd w:val="clear" w:color="auto" w:fill="FFFFFF"/>
        </w:rPr>
        <w:t>(</w:t>
      </w:r>
      <w:r w:rsidR="00866EBA" w:rsidRPr="00B56E3F">
        <w:rPr>
          <w:rFonts w:ascii="Arial" w:hAnsi="Arial" w:cs="Arial"/>
          <w:sz w:val="20"/>
          <w:szCs w:val="20"/>
          <w:shd w:val="clear" w:color="auto" w:fill="FFFFFF"/>
        </w:rPr>
        <w:t>UAE)</w:t>
      </w:r>
      <w:r w:rsidR="006C1DAF" w:rsidRPr="00B56E3F">
        <w:rPr>
          <w:rFonts w:ascii="Arial" w:hAnsi="Arial" w:cs="Arial"/>
          <w:sz w:val="20"/>
          <w:szCs w:val="20"/>
          <w:shd w:val="clear" w:color="auto" w:fill="FFFFFF"/>
        </w:rPr>
        <w:t xml:space="preserve"> yielded considerably more extracted chemicals (P &lt; 0.05) than the conventional maceration process at </w:t>
      </w:r>
      <w:bookmarkStart w:id="0" w:name="_Hlk173856971"/>
      <w:r w:rsidR="00EB0E42" w:rsidRPr="00B56E3F">
        <w:rPr>
          <w:rFonts w:ascii="Arial" w:hAnsi="Arial" w:cs="Arial"/>
          <w:sz w:val="20"/>
          <w:szCs w:val="20"/>
          <w:shd w:val="clear" w:color="auto" w:fill="FFFFFF"/>
        </w:rPr>
        <w:t>20</w:t>
      </w:r>
      <w:r w:rsidR="00EB0E42" w:rsidRPr="00B56E3F">
        <w:rPr>
          <w:rFonts w:ascii="Arial" w:hAnsi="Arial" w:cs="Arial"/>
          <w:sz w:val="20"/>
          <w:szCs w:val="20"/>
          <w:shd w:val="clear" w:color="auto" w:fill="FFFFFF"/>
          <w:vertAlign w:val="superscript"/>
        </w:rPr>
        <w:t>o</w:t>
      </w:r>
      <w:r w:rsidR="00EB0E42" w:rsidRPr="00B56E3F">
        <w:rPr>
          <w:rFonts w:ascii="Arial" w:hAnsi="Arial" w:cs="Arial"/>
          <w:sz w:val="20"/>
          <w:szCs w:val="20"/>
          <w:shd w:val="clear" w:color="auto" w:fill="FFFFFF"/>
        </w:rPr>
        <w:t>C</w:t>
      </w:r>
      <w:bookmarkEnd w:id="0"/>
      <w:r w:rsidR="006C1DAF" w:rsidRPr="00B56E3F">
        <w:rPr>
          <w:rFonts w:ascii="Arial" w:hAnsi="Arial" w:cs="Arial"/>
          <w:sz w:val="20"/>
          <w:szCs w:val="20"/>
          <w:shd w:val="clear" w:color="auto" w:fill="FFFFFF"/>
        </w:rPr>
        <w:t>.</w:t>
      </w:r>
      <w:r w:rsidR="00E330F3" w:rsidRPr="00B56E3F">
        <w:rPr>
          <w:rFonts w:ascii="Arial" w:hAnsi="Arial" w:cs="Arial"/>
          <w:sz w:val="20"/>
          <w:szCs w:val="20"/>
          <w:shd w:val="clear" w:color="auto" w:fill="FFFFFF"/>
        </w:rPr>
        <w:t xml:space="preserve"> </w:t>
      </w:r>
      <w:r w:rsidR="00DF0793" w:rsidRPr="00B56E3F">
        <w:rPr>
          <w:rFonts w:ascii="Arial" w:hAnsi="Arial" w:cs="Arial"/>
          <w:sz w:val="20"/>
          <w:szCs w:val="20"/>
          <w:shd w:val="clear" w:color="auto" w:fill="FFFFFF"/>
        </w:rPr>
        <w:t>The free radical scavenging activity was found to be 60</w:t>
      </w:r>
      <w:r w:rsidR="003B3B36" w:rsidRPr="00B56E3F">
        <w:rPr>
          <w:rFonts w:ascii="Arial" w:hAnsi="Arial" w:cs="Arial"/>
          <w:sz w:val="20"/>
          <w:szCs w:val="20"/>
          <w:shd w:val="clear" w:color="auto" w:fill="FFFFFF"/>
        </w:rPr>
        <w:t xml:space="preserve"> %</w:t>
      </w:r>
      <w:r w:rsidR="00175F06" w:rsidRPr="00B56E3F">
        <w:rPr>
          <w:rFonts w:ascii="Arial" w:hAnsi="Arial" w:cs="Arial"/>
          <w:sz w:val="20"/>
          <w:szCs w:val="20"/>
          <w:shd w:val="clear" w:color="auto" w:fill="FFFFFF"/>
        </w:rPr>
        <w:t xml:space="preserve"> at 1</w:t>
      </w:r>
      <w:r w:rsidR="003B3B36" w:rsidRPr="00B56E3F">
        <w:rPr>
          <w:rFonts w:ascii="Arial" w:hAnsi="Arial" w:cs="Arial"/>
          <w:sz w:val="20"/>
          <w:szCs w:val="20"/>
          <w:shd w:val="clear" w:color="auto" w:fill="FFFFFF"/>
        </w:rPr>
        <w:t xml:space="preserve"> </w:t>
      </w:r>
      <w:r w:rsidR="00175F06" w:rsidRPr="00B56E3F">
        <w:rPr>
          <w:rFonts w:ascii="Arial" w:hAnsi="Arial" w:cs="Arial"/>
          <w:sz w:val="20"/>
          <w:szCs w:val="20"/>
          <w:shd w:val="clear" w:color="auto" w:fill="FFFFFF"/>
        </w:rPr>
        <w:t>mg/ml concentration for extract prepared by Ultrasonication, while for maceration,</w:t>
      </w:r>
      <w:r w:rsidR="00B25EF3" w:rsidRPr="00B56E3F">
        <w:rPr>
          <w:rFonts w:ascii="Arial" w:hAnsi="Arial" w:cs="Arial"/>
          <w:sz w:val="20"/>
          <w:szCs w:val="20"/>
          <w:shd w:val="clear" w:color="auto" w:fill="FFFFFF"/>
        </w:rPr>
        <w:t xml:space="preserve"> i</w:t>
      </w:r>
      <w:r w:rsidR="00DF0793" w:rsidRPr="00B56E3F">
        <w:rPr>
          <w:rFonts w:ascii="Arial" w:hAnsi="Arial" w:cs="Arial"/>
          <w:sz w:val="20"/>
          <w:szCs w:val="20"/>
          <w:shd w:val="clear" w:color="auto" w:fill="FFFFFF"/>
        </w:rPr>
        <w:t xml:space="preserve">t was non-significant. </w:t>
      </w:r>
      <w:r w:rsidR="006C1DAF" w:rsidRPr="00B56E3F">
        <w:rPr>
          <w:rFonts w:ascii="Arial" w:hAnsi="Arial" w:cs="Arial"/>
          <w:sz w:val="20"/>
          <w:szCs w:val="20"/>
          <w:shd w:val="clear" w:color="auto" w:fill="FFFFFF"/>
        </w:rPr>
        <w:t>The worms' lifespan was improved by 35</w:t>
      </w:r>
      <w:r w:rsidR="003B3B36" w:rsidRPr="00B56E3F">
        <w:rPr>
          <w:rFonts w:ascii="Arial" w:hAnsi="Arial" w:cs="Arial"/>
          <w:sz w:val="20"/>
          <w:szCs w:val="20"/>
          <w:shd w:val="clear" w:color="auto" w:fill="FFFFFF"/>
        </w:rPr>
        <w:t xml:space="preserve"> </w:t>
      </w:r>
      <w:r w:rsidR="006C1DAF" w:rsidRPr="00B56E3F">
        <w:rPr>
          <w:rFonts w:ascii="Arial" w:hAnsi="Arial" w:cs="Arial"/>
          <w:sz w:val="20"/>
          <w:szCs w:val="20"/>
          <w:shd w:val="clear" w:color="auto" w:fill="FFFFFF"/>
        </w:rPr>
        <w:t xml:space="preserve">% using the ultrasound-based extraction approach, and </w:t>
      </w:r>
      <w:r w:rsidR="005C65CE" w:rsidRPr="00B56E3F">
        <w:rPr>
          <w:rFonts w:ascii="Arial" w:hAnsi="Arial" w:cs="Arial"/>
          <w:sz w:val="20"/>
          <w:szCs w:val="20"/>
          <w:shd w:val="clear" w:color="auto" w:fill="FFFFFF"/>
        </w:rPr>
        <w:t>in all instances</w:t>
      </w:r>
      <w:r w:rsidR="006C1DAF" w:rsidRPr="00B56E3F">
        <w:rPr>
          <w:rFonts w:ascii="Arial" w:hAnsi="Arial" w:cs="Arial"/>
          <w:sz w:val="20"/>
          <w:szCs w:val="20"/>
          <w:shd w:val="clear" w:color="auto" w:fill="FFFFFF"/>
        </w:rPr>
        <w:t xml:space="preserve">, a dose-dependent effect was seen. </w:t>
      </w:r>
      <w:r w:rsidRPr="00B56E3F">
        <w:rPr>
          <w:rFonts w:ascii="Arial" w:hAnsi="Arial" w:cs="Arial"/>
          <w:b/>
          <w:bCs/>
          <w:sz w:val="20"/>
          <w:szCs w:val="20"/>
          <w:shd w:val="clear" w:color="auto" w:fill="FFFFFF"/>
        </w:rPr>
        <w:t>Conclusion:</w:t>
      </w:r>
      <w:r w:rsidRPr="00B56E3F">
        <w:rPr>
          <w:rFonts w:ascii="Arial" w:hAnsi="Arial" w:cs="Arial"/>
          <w:sz w:val="20"/>
          <w:szCs w:val="20"/>
          <w:shd w:val="clear" w:color="auto" w:fill="FFFFFF"/>
        </w:rPr>
        <w:t xml:space="preserve"> </w:t>
      </w:r>
      <w:r w:rsidR="00D741B0" w:rsidRPr="00B56E3F">
        <w:rPr>
          <w:rFonts w:ascii="Arial" w:hAnsi="Arial" w:cs="Arial"/>
          <w:sz w:val="20"/>
          <w:szCs w:val="20"/>
        </w:rPr>
        <w:t xml:space="preserve">The results </w:t>
      </w:r>
      <w:r w:rsidR="00FD3AB7" w:rsidRPr="00B56E3F">
        <w:rPr>
          <w:rFonts w:ascii="Arial" w:hAnsi="Arial" w:cs="Arial"/>
          <w:sz w:val="20"/>
          <w:szCs w:val="20"/>
        </w:rPr>
        <w:t xml:space="preserve">also </w:t>
      </w:r>
      <w:r w:rsidR="00D741B0" w:rsidRPr="00B56E3F">
        <w:rPr>
          <w:rFonts w:ascii="Arial" w:hAnsi="Arial" w:cs="Arial"/>
          <w:sz w:val="20"/>
          <w:szCs w:val="20"/>
        </w:rPr>
        <w:t>showed</w:t>
      </w:r>
      <w:r w:rsidR="00FD3AB7" w:rsidRPr="00B56E3F">
        <w:rPr>
          <w:rFonts w:ascii="Arial" w:hAnsi="Arial" w:cs="Arial"/>
          <w:sz w:val="20"/>
          <w:szCs w:val="20"/>
        </w:rPr>
        <w:t xml:space="preserve"> that the</w:t>
      </w:r>
      <w:r w:rsidR="0088441E" w:rsidRPr="00B56E3F">
        <w:rPr>
          <w:rFonts w:ascii="Arial" w:hAnsi="Arial" w:cs="Arial"/>
          <w:sz w:val="20"/>
          <w:szCs w:val="20"/>
        </w:rPr>
        <w:t xml:space="preserve"> process</w:t>
      </w:r>
      <w:r w:rsidR="00E11C9E" w:rsidRPr="00B56E3F">
        <w:rPr>
          <w:rFonts w:ascii="Arial" w:hAnsi="Arial" w:cs="Arial"/>
          <w:sz w:val="20"/>
          <w:szCs w:val="20"/>
        </w:rPr>
        <w:t xml:space="preserve"> of extraction</w:t>
      </w:r>
      <w:r w:rsidR="00D741B0" w:rsidRPr="00B56E3F">
        <w:rPr>
          <w:rFonts w:ascii="Arial" w:hAnsi="Arial" w:cs="Arial"/>
          <w:sz w:val="20"/>
          <w:szCs w:val="20"/>
        </w:rPr>
        <w:t xml:space="preserve"> used</w:t>
      </w:r>
      <w:r w:rsidR="005A7F6C" w:rsidRPr="00B56E3F">
        <w:rPr>
          <w:rFonts w:ascii="Arial" w:hAnsi="Arial" w:cs="Arial"/>
          <w:sz w:val="20"/>
          <w:szCs w:val="20"/>
        </w:rPr>
        <w:t xml:space="preserve"> </w:t>
      </w:r>
      <w:r w:rsidR="005C65CE" w:rsidRPr="00B56E3F">
        <w:rPr>
          <w:rFonts w:ascii="Arial" w:hAnsi="Arial" w:cs="Arial"/>
          <w:sz w:val="20"/>
          <w:szCs w:val="20"/>
        </w:rPr>
        <w:t>has a vital impact on the</w:t>
      </w:r>
      <w:r w:rsidR="00D741B0" w:rsidRPr="00B56E3F">
        <w:rPr>
          <w:rFonts w:ascii="Arial" w:hAnsi="Arial" w:cs="Arial"/>
          <w:sz w:val="20"/>
          <w:szCs w:val="20"/>
        </w:rPr>
        <w:t xml:space="preserve"> </w:t>
      </w:r>
      <w:r w:rsidR="007B7901" w:rsidRPr="00B56E3F">
        <w:rPr>
          <w:rFonts w:ascii="Arial" w:hAnsi="Arial" w:cs="Arial"/>
          <w:sz w:val="20"/>
          <w:szCs w:val="20"/>
        </w:rPr>
        <w:t>extraction yield</w:t>
      </w:r>
      <w:r w:rsidR="00D741B0" w:rsidRPr="00B56E3F">
        <w:rPr>
          <w:rFonts w:ascii="Arial" w:hAnsi="Arial" w:cs="Arial"/>
          <w:sz w:val="20"/>
          <w:szCs w:val="20"/>
        </w:rPr>
        <w:t xml:space="preserve">, the phytochemical content, and the tested biological activities. </w:t>
      </w:r>
    </w:p>
    <w:p w14:paraId="1E69A1EA" w14:textId="77777777" w:rsidR="0036656D" w:rsidRPr="00376CD5" w:rsidRDefault="00622475" w:rsidP="0036656D">
      <w:pPr>
        <w:spacing w:before="100" w:beforeAutospacing="1" w:line="240" w:lineRule="auto"/>
        <w:rPr>
          <w:rFonts w:ascii="Arial" w:hAnsi="Arial" w:cs="Arial"/>
          <w:i/>
          <w:iCs/>
          <w:sz w:val="20"/>
          <w:szCs w:val="20"/>
          <w:shd w:val="clear" w:color="auto" w:fill="FFFFFF"/>
        </w:rPr>
      </w:pPr>
      <w:r w:rsidRPr="00376CD5">
        <w:rPr>
          <w:rFonts w:ascii="Arial" w:hAnsi="Arial" w:cs="Arial"/>
          <w:i/>
          <w:iCs/>
          <w:sz w:val="20"/>
          <w:szCs w:val="20"/>
        </w:rPr>
        <w:t xml:space="preserve">Keywords: Catharanthus roseus, Different methods of extraction, Antioxidant activities, </w:t>
      </w:r>
      <w:r w:rsidR="00A608B0" w:rsidRPr="00376CD5">
        <w:rPr>
          <w:rFonts w:ascii="Arial" w:hAnsi="Arial" w:cs="Arial"/>
          <w:i/>
          <w:iCs/>
          <w:sz w:val="20"/>
          <w:szCs w:val="20"/>
        </w:rPr>
        <w:t>I</w:t>
      </w:r>
      <w:r w:rsidRPr="00376CD5">
        <w:rPr>
          <w:rFonts w:ascii="Arial" w:hAnsi="Arial" w:cs="Arial"/>
          <w:i/>
          <w:iCs/>
          <w:sz w:val="20"/>
          <w:szCs w:val="20"/>
        </w:rPr>
        <w:t>n vivo biological activities</w:t>
      </w:r>
    </w:p>
    <w:p w14:paraId="113822E0" w14:textId="77777777" w:rsidR="0036656D" w:rsidRPr="00376CD5" w:rsidRDefault="0036656D" w:rsidP="0036656D">
      <w:pPr>
        <w:spacing w:before="100" w:beforeAutospacing="1" w:line="240" w:lineRule="auto"/>
        <w:rPr>
          <w:rFonts w:ascii="Arial" w:hAnsi="Arial" w:cs="Arial"/>
          <w:i/>
          <w:iCs/>
          <w:sz w:val="20"/>
          <w:szCs w:val="20"/>
          <w:shd w:val="clear" w:color="auto" w:fill="FFFFFF"/>
        </w:rPr>
      </w:pPr>
    </w:p>
    <w:p w14:paraId="32B27FE1" w14:textId="54919A4A" w:rsidR="00C8038A" w:rsidRPr="00376CD5" w:rsidRDefault="001B70FF" w:rsidP="0036656D">
      <w:pPr>
        <w:pStyle w:val="AbstHead"/>
        <w:spacing w:after="0"/>
        <w:rPr>
          <w:rFonts w:ascii="Arial" w:hAnsi="Arial" w:cs="Arial"/>
        </w:rPr>
      </w:pPr>
      <w:r w:rsidRPr="00376CD5">
        <w:rPr>
          <w:rFonts w:ascii="Arial" w:hAnsi="Arial" w:cs="Arial"/>
          <w:szCs w:val="22"/>
        </w:rPr>
        <w:t>INTRODUCTION</w:t>
      </w:r>
      <w:r w:rsidR="0036656D" w:rsidRPr="00376CD5">
        <w:rPr>
          <w:rFonts w:ascii="Arial" w:hAnsi="Arial" w:cs="Arial"/>
          <w:sz w:val="24"/>
          <w:szCs w:val="24"/>
        </w:rPr>
        <w:t xml:space="preserve"> </w:t>
      </w:r>
    </w:p>
    <w:p w14:paraId="0388E18B" w14:textId="1C30C796" w:rsidR="00C32F05" w:rsidRPr="00376CD5" w:rsidRDefault="00695060" w:rsidP="001D5D94">
      <w:pPr>
        <w:spacing w:before="100" w:beforeAutospacing="1" w:line="240" w:lineRule="auto"/>
        <w:jc w:val="both"/>
        <w:rPr>
          <w:rFonts w:ascii="Arial" w:hAnsi="Arial" w:cs="Arial"/>
          <w:i/>
          <w:iCs/>
          <w:sz w:val="20"/>
          <w:szCs w:val="20"/>
        </w:rPr>
      </w:pPr>
      <w:r w:rsidRPr="00376CD5">
        <w:rPr>
          <w:rFonts w:ascii="Arial" w:hAnsi="Arial" w:cs="Arial"/>
          <w:sz w:val="20"/>
          <w:szCs w:val="20"/>
        </w:rPr>
        <w:t xml:space="preserve">Plant secondary metabolites </w:t>
      </w:r>
      <w:r w:rsidR="007B7901" w:rsidRPr="00376CD5">
        <w:rPr>
          <w:rFonts w:ascii="Arial" w:hAnsi="Arial" w:cs="Arial"/>
          <w:sz w:val="20"/>
          <w:szCs w:val="20"/>
        </w:rPr>
        <w:t>can potentially</w:t>
      </w:r>
      <w:r w:rsidRPr="00376CD5">
        <w:rPr>
          <w:rFonts w:ascii="Arial" w:hAnsi="Arial" w:cs="Arial"/>
          <w:sz w:val="20"/>
          <w:szCs w:val="20"/>
        </w:rPr>
        <w:t xml:space="preserve"> prevent and treat </w:t>
      </w:r>
      <w:r w:rsidR="004B6726" w:rsidRPr="00376CD5">
        <w:rPr>
          <w:rFonts w:ascii="Arial" w:hAnsi="Arial" w:cs="Arial"/>
          <w:sz w:val="20"/>
          <w:szCs w:val="20"/>
        </w:rPr>
        <w:t>many</w:t>
      </w:r>
      <w:r w:rsidRPr="00376CD5">
        <w:rPr>
          <w:rFonts w:ascii="Arial" w:hAnsi="Arial" w:cs="Arial"/>
          <w:sz w:val="20"/>
          <w:szCs w:val="20"/>
        </w:rPr>
        <w:t xml:space="preserve"> metabolic dis</w:t>
      </w:r>
      <w:r w:rsidR="004B6726" w:rsidRPr="00376CD5">
        <w:rPr>
          <w:rFonts w:ascii="Arial" w:hAnsi="Arial" w:cs="Arial"/>
          <w:sz w:val="20"/>
          <w:szCs w:val="20"/>
        </w:rPr>
        <w:t>eases</w:t>
      </w:r>
      <w:r w:rsidRPr="00376CD5">
        <w:rPr>
          <w:rFonts w:ascii="Arial" w:hAnsi="Arial" w:cs="Arial"/>
          <w:sz w:val="20"/>
          <w:szCs w:val="20"/>
        </w:rPr>
        <w:t xml:space="preserve"> and </w:t>
      </w:r>
      <w:r w:rsidR="00FD3AB7" w:rsidRPr="00376CD5">
        <w:rPr>
          <w:rFonts w:ascii="Arial" w:hAnsi="Arial" w:cs="Arial"/>
          <w:sz w:val="20"/>
          <w:szCs w:val="20"/>
        </w:rPr>
        <w:t xml:space="preserve">have been </w:t>
      </w:r>
      <w:r w:rsidRPr="00376CD5">
        <w:rPr>
          <w:rFonts w:ascii="Arial" w:hAnsi="Arial" w:cs="Arial"/>
          <w:sz w:val="20"/>
          <w:szCs w:val="20"/>
        </w:rPr>
        <w:t xml:space="preserve">recommended as dietary supplements </w:t>
      </w:r>
      <w:r w:rsidR="003A3179" w:rsidRPr="00376CD5">
        <w:rPr>
          <w:rFonts w:ascii="Arial" w:hAnsi="Arial" w:cs="Arial"/>
          <w:sz w:val="20"/>
          <w:szCs w:val="20"/>
        </w:rPr>
        <w:t>for</w:t>
      </w:r>
      <w:r w:rsidRPr="00376CD5">
        <w:rPr>
          <w:rFonts w:ascii="Arial" w:hAnsi="Arial" w:cs="Arial"/>
          <w:sz w:val="20"/>
          <w:szCs w:val="20"/>
        </w:rPr>
        <w:t xml:space="preserve"> ages</w:t>
      </w:r>
      <w:r w:rsidR="00B94BA6" w:rsidRPr="00376CD5">
        <w:rPr>
          <w:rFonts w:ascii="Arial" w:hAnsi="Arial" w:cs="Arial"/>
          <w:sz w:val="20"/>
          <w:szCs w:val="20"/>
        </w:rPr>
        <w:t xml:space="preserve"> </w:t>
      </w:r>
      <w:r w:rsidR="00B94BA6" w:rsidRPr="00376CD5">
        <w:rPr>
          <w:rFonts w:ascii="Arial" w:hAnsi="Arial" w:cs="Arial"/>
          <w:sz w:val="20"/>
          <w:szCs w:val="20"/>
        </w:rPr>
        <w:fldChar w:fldCharType="begin"/>
      </w:r>
      <w:r w:rsidR="001D5D94">
        <w:rPr>
          <w:rFonts w:ascii="Arial" w:hAnsi="Arial" w:cs="Arial"/>
          <w:sz w:val="20"/>
          <w:szCs w:val="20"/>
        </w:rPr>
        <w:instrText xml:space="preserve"> ADDIN ZOTERO_ITEM CSL_CITATION {"citationID":"aaeR3NB4","properties":{"formattedCitation":"(Dhanani et al., 2017)","plainCitation":"(Dhanani et al., 2017)","noteIndex":0},"citationItems":[{"id":419,"uris":["http://zotero.org/users/local/rsD5gSSy/items/STSK95UQ"],"itemData":{"id":419,"type":"article-journal","abstract":"Withnaia somnifera (L.) is a wonder herb with multiple medicinal properties. Its root is used in the preparation of many Ayurvedic medicines. Withanolides, steroidal lactones, present in the root are active chemical markers, however, phenolics, and flavonoids have also been reported in the root of this plant. In most of the herbal preparations, water extraction is carried out using the infusion or decoction preparation process. In the present study, extract yield, phytochemical constituents such as total phenol and withanolide content of water and water-alcohol extracts prepared using two most commonly used extraction techniques, also known as “Green Extraction” techniques, ultrasound and microwave assisted solvent extraction were compared with the conventional extraction method. Antioxidant activity of the extracts was also determined using DPPH and ABTS methods of antioxidant assay. Extract yield, chemical composition of the extracts (total phenol and withanolide content) and antioxidant activity of the extracts varied with the extraction process as well as solvent composition.","container-title":"Arabian Journal of Chemistry","DOI":"10.1016/j.arabjc.2013.02.015","ISSN":"1878-5352","journalAbbreviation":"Arabian Journal of Chemistry","page":"S1193-S1199","source":"ScienceDirect","title":"Effect of extraction methods on yield, phytochemical constituents and antioxidant activity of Withania somnifera","volume":"10","author":[{"family":"Dhanani","given":"Tushar"},{"family":"Shah","given":"Sonal"},{"family":"Gajbhiye","given":"N. A."},{"family":"Kumar","given":"Satyanshu"}],"issued":{"date-parts":[["2017",2,1]]}}}],"schema":"https://github.com/citation-style-language/schema/raw/master/csl-citation.json"} </w:instrText>
      </w:r>
      <w:r w:rsidR="00B94BA6" w:rsidRPr="00376CD5">
        <w:rPr>
          <w:rFonts w:ascii="Arial" w:hAnsi="Arial" w:cs="Arial"/>
          <w:sz w:val="20"/>
          <w:szCs w:val="20"/>
        </w:rPr>
        <w:fldChar w:fldCharType="separate"/>
      </w:r>
      <w:r w:rsidR="001D5D94" w:rsidRPr="001D5D94">
        <w:rPr>
          <w:rFonts w:ascii="Arial" w:hAnsi="Arial" w:cs="Arial"/>
          <w:sz w:val="20"/>
        </w:rPr>
        <w:t>(Dhanani et al., 2017)</w:t>
      </w:r>
      <w:r w:rsidR="00B94BA6" w:rsidRPr="00376CD5">
        <w:rPr>
          <w:rFonts w:ascii="Arial" w:hAnsi="Arial" w:cs="Arial"/>
          <w:sz w:val="20"/>
          <w:szCs w:val="20"/>
        </w:rPr>
        <w:fldChar w:fldCharType="end"/>
      </w:r>
      <w:r w:rsidRPr="00376CD5">
        <w:rPr>
          <w:rFonts w:ascii="Arial" w:hAnsi="Arial" w:cs="Arial"/>
          <w:sz w:val="20"/>
          <w:szCs w:val="20"/>
        </w:rPr>
        <w:t>.</w:t>
      </w:r>
      <w:r w:rsidRPr="00376CD5">
        <w:rPr>
          <w:rFonts w:ascii="Arial" w:hAnsi="Arial" w:cs="Arial"/>
          <w:i/>
          <w:iCs/>
          <w:sz w:val="20"/>
          <w:szCs w:val="20"/>
        </w:rPr>
        <w:t xml:space="preserve"> </w:t>
      </w:r>
      <w:r w:rsidR="004B6726" w:rsidRPr="00376CD5">
        <w:rPr>
          <w:rFonts w:ascii="Arial" w:hAnsi="Arial" w:cs="Arial"/>
          <w:sz w:val="20"/>
          <w:szCs w:val="20"/>
        </w:rPr>
        <w:t>High-throughput extraction of secondary metabolites is based on various methods employed</w:t>
      </w:r>
      <w:r w:rsidR="00FF21C7" w:rsidRPr="00376CD5">
        <w:rPr>
          <w:rFonts w:ascii="Arial" w:hAnsi="Arial" w:cs="Arial"/>
          <w:sz w:val="20"/>
          <w:szCs w:val="20"/>
        </w:rPr>
        <w:t xml:space="preserve"> </w:t>
      </w:r>
      <w:r w:rsidR="00FF21C7" w:rsidRPr="00376CD5">
        <w:rPr>
          <w:rFonts w:ascii="Arial" w:hAnsi="Arial" w:cs="Arial"/>
          <w:sz w:val="20"/>
          <w:szCs w:val="20"/>
        </w:rPr>
        <w:fldChar w:fldCharType="begin"/>
      </w:r>
      <w:r w:rsidR="001D5D94">
        <w:rPr>
          <w:rFonts w:ascii="Arial" w:hAnsi="Arial" w:cs="Arial"/>
          <w:sz w:val="20"/>
          <w:szCs w:val="20"/>
        </w:rPr>
        <w:instrText xml:space="preserve"> ADDIN ZOTERO_ITEM CSL_CITATION {"citationID":"P2aUz3Q5","properties":{"formattedCitation":"(Gligor et al., 2023)","plainCitation":"(Gligor et al., 2023)","noteIndex":0},"citationItems":[{"id":422,"uris":["http://zotero.org/users/local/rsD5gSSy/items/RSPFWGJD"],"itemData":{"id":422,"type":"article-journal","abstract":"The objectives of the present study consisted of identifying the impact of extraction methods and parameters held over the phytochemistry and biological activities of green coffee beans. Extraction processes belonging to two categories were performed: classical methods—maceration, Soxhlet extraction, and such innovative methods as turboextraction, ultrasound-assisted extraction, and a combination of the latter two. Total polyphenolic and flavonoid content, as well as in vitro antioxidant activity of the resulted extracts were spectrophotometrically determined. Extracts displaying the highest yields of bioactive compounds were subjected to High Performance Liquid Chromatography-Mass Spectrometry analysis. The extracts with the best phytochemical profiles were selected for biological activity assessment. In vivo, a model of plantar inflammation in Wistar rats was used to determine antioxidant activity, by evaluating the oxidative stress reduction potential, and anti-inflammatory activity. In vitro antimicrobial activity was also determined. The Soxhlet extraction and ultrasound-assisted extraction gave the highest bioactive compound yields. The highest total polyphenolic content was 2.691 mg/mL gallic acid equivalents and total flavonoid content was 0.487 mM quercetin equivalents for the Soxhlet extract subjected to 60 min extraction time. Regarding the antioxidant activity, ultrasound-assisted extraction reached the highest levels, i.e., 9.160 mg/mL Trolox equivalents in the DPPH (2,2-diphenyl-1-picryl-hydrazyl-hydrate) assay and 26.676 mM Trolox equivalents in the FRAP (Ferric Reducing Antioxidant Power) assay, at a 30 min extraction time and 50 °C extraction temperature. The 60 min Soxhlet extract reached the highest level for the ABTS+ (2,2′-azino-bis(3-ethylbenzothiazoline-6-sulfonic acid)) assay, 16.136 mM Trolox equivalents, respectively. Chlorogenic acid was present in the highest concentration in the same Soxhlet extract, 1657.179 µg/mL extract, respectively. Sterolic compounds were found in high concentrations throughout all the analyzed extracts. A proportional increase between yields and extraction parameter values was observed. Increased inhibition of Gram-negative bacteria was observed. The finally selected Soxhlet extract, that of 60 min extraction time, presented a significant in vivo antioxidant activity, with a slight anti-inflammatory activity. Antioxidant levels were elevated after 2 h of extract administration. Pro-inflammatory cytokine secretion was not influenced by the administration of the extract.","container-title":"Plants","DOI":"10.3390/plants12040712","ISSN":"2223-7747","issue":"4","journalAbbreviation":"Plants (Basel)","note":"PMID: 36840060\nPMCID: PMC9966978","page":"712","source":"PubMed Central","title":"The Effect of Extraction Methods on Phytochemicals and Biological Activities of Green Coffee Beans Extracts","volume":"12","author":[{"family":"Gligor","given":"Octavia"},{"family":"Clichici","given":"Simona"},{"family":"Moldovan","given":"Remus"},{"family":"Muntean","given":"Dana"},{"family":"Vlase","given":"Ana-Maria"},{"family":"Nadăș","given":"George Cosmin"},{"family":"Matei","given":"Ioana Adriana"},{"family":"Filip","given":"Gabriela Adriana"},{"family":"Vlase","given":"Laurian"},{"family":"Crișan","given":"Gianina"}],"issued":{"date-parts":[["2023",2,6]]}}}],"schema":"https://github.com/citation-style-language/schema/raw/master/csl-citation.json"} </w:instrText>
      </w:r>
      <w:r w:rsidR="00FF21C7" w:rsidRPr="00376CD5">
        <w:rPr>
          <w:rFonts w:ascii="Arial" w:hAnsi="Arial" w:cs="Arial"/>
          <w:sz w:val="20"/>
          <w:szCs w:val="20"/>
        </w:rPr>
        <w:fldChar w:fldCharType="separate"/>
      </w:r>
      <w:r w:rsidR="001D5D94" w:rsidRPr="001D5D94">
        <w:rPr>
          <w:rFonts w:ascii="Arial" w:hAnsi="Arial" w:cs="Arial"/>
          <w:sz w:val="20"/>
        </w:rPr>
        <w:t>(Gligor et al., 2023)</w:t>
      </w:r>
      <w:r w:rsidR="00FF21C7" w:rsidRPr="00376CD5">
        <w:rPr>
          <w:rFonts w:ascii="Arial" w:hAnsi="Arial" w:cs="Arial"/>
          <w:sz w:val="20"/>
          <w:szCs w:val="20"/>
        </w:rPr>
        <w:fldChar w:fldCharType="end"/>
      </w:r>
      <w:r w:rsidR="00B94BA6" w:rsidRPr="00376CD5">
        <w:rPr>
          <w:rFonts w:ascii="Arial" w:hAnsi="Arial" w:cs="Arial"/>
          <w:i/>
          <w:iCs/>
          <w:sz w:val="20"/>
          <w:szCs w:val="20"/>
        </w:rPr>
        <w:t>.</w:t>
      </w:r>
      <w:r w:rsidR="005A2BAD" w:rsidRPr="00376CD5">
        <w:rPr>
          <w:rFonts w:ascii="Arial" w:hAnsi="Arial" w:cs="Arial"/>
          <w:i/>
          <w:iCs/>
          <w:sz w:val="20"/>
          <w:szCs w:val="20"/>
        </w:rPr>
        <w:t xml:space="preserve"> </w:t>
      </w:r>
      <w:r w:rsidR="005A2BAD" w:rsidRPr="00376CD5">
        <w:rPr>
          <w:rFonts w:ascii="Arial" w:hAnsi="Arial" w:cs="Arial"/>
          <w:sz w:val="20"/>
          <w:szCs w:val="20"/>
        </w:rPr>
        <w:t>Cold maceration is generally considered the classical</w:t>
      </w:r>
      <w:r w:rsidR="004B6726" w:rsidRPr="00376CD5">
        <w:rPr>
          <w:rFonts w:ascii="Arial" w:hAnsi="Arial" w:cs="Arial"/>
          <w:sz w:val="20"/>
          <w:szCs w:val="20"/>
        </w:rPr>
        <w:t xml:space="preserve"> extraction </w:t>
      </w:r>
      <w:r w:rsidR="005A2BAD" w:rsidRPr="00376CD5">
        <w:rPr>
          <w:rFonts w:ascii="Arial" w:hAnsi="Arial" w:cs="Arial"/>
          <w:sz w:val="20"/>
          <w:szCs w:val="20"/>
        </w:rPr>
        <w:t>method</w:t>
      </w:r>
      <w:r w:rsidR="004B6726" w:rsidRPr="00376CD5">
        <w:rPr>
          <w:rFonts w:ascii="Arial" w:hAnsi="Arial" w:cs="Arial"/>
          <w:sz w:val="20"/>
          <w:szCs w:val="20"/>
        </w:rPr>
        <w:t xml:space="preserve">. </w:t>
      </w:r>
      <w:r w:rsidR="007B7901" w:rsidRPr="00376CD5">
        <w:rPr>
          <w:rFonts w:ascii="Arial" w:hAnsi="Arial" w:cs="Arial"/>
          <w:sz w:val="20"/>
          <w:szCs w:val="20"/>
        </w:rPr>
        <w:t>At the same time,</w:t>
      </w:r>
      <w:r w:rsidR="005A2BAD" w:rsidRPr="00376CD5">
        <w:rPr>
          <w:rFonts w:ascii="Arial" w:hAnsi="Arial" w:cs="Arial"/>
          <w:sz w:val="20"/>
          <w:szCs w:val="20"/>
        </w:rPr>
        <w:t xml:space="preserve"> </w:t>
      </w:r>
      <w:r w:rsidR="00B25EF3" w:rsidRPr="00376CD5">
        <w:rPr>
          <w:rFonts w:ascii="Arial" w:hAnsi="Arial" w:cs="Arial"/>
          <w:sz w:val="20"/>
          <w:szCs w:val="20"/>
        </w:rPr>
        <w:t>U</w:t>
      </w:r>
      <w:r w:rsidR="005A2BAD" w:rsidRPr="00376CD5">
        <w:rPr>
          <w:rFonts w:ascii="Arial" w:hAnsi="Arial" w:cs="Arial"/>
          <w:sz w:val="20"/>
          <w:szCs w:val="20"/>
        </w:rPr>
        <w:t xml:space="preserve">ltrasonication is </w:t>
      </w:r>
      <w:r w:rsidR="004B6726" w:rsidRPr="00376CD5">
        <w:rPr>
          <w:rFonts w:ascii="Arial" w:hAnsi="Arial" w:cs="Arial"/>
          <w:sz w:val="20"/>
          <w:szCs w:val="20"/>
        </w:rPr>
        <w:t xml:space="preserve">considered </w:t>
      </w:r>
      <w:r w:rsidR="005A2BAD" w:rsidRPr="00376CD5">
        <w:rPr>
          <w:rFonts w:ascii="Arial" w:hAnsi="Arial" w:cs="Arial"/>
          <w:sz w:val="20"/>
          <w:szCs w:val="20"/>
        </w:rPr>
        <w:t xml:space="preserve">as the </w:t>
      </w:r>
      <w:r w:rsidR="00FD3AB7" w:rsidRPr="00376CD5">
        <w:rPr>
          <w:rFonts w:ascii="Arial" w:hAnsi="Arial" w:cs="Arial"/>
          <w:sz w:val="20"/>
          <w:szCs w:val="20"/>
        </w:rPr>
        <w:t>e</w:t>
      </w:r>
      <w:r w:rsidR="005A2BAD" w:rsidRPr="00376CD5">
        <w:rPr>
          <w:rFonts w:ascii="Arial" w:hAnsi="Arial" w:cs="Arial"/>
          <w:sz w:val="20"/>
          <w:szCs w:val="20"/>
        </w:rPr>
        <w:t>merging, innovative and green chemistry</w:t>
      </w:r>
      <w:r w:rsidR="003A3179" w:rsidRPr="00376CD5">
        <w:rPr>
          <w:rFonts w:ascii="Arial" w:hAnsi="Arial" w:cs="Arial"/>
          <w:sz w:val="20"/>
          <w:szCs w:val="20"/>
        </w:rPr>
        <w:t>-</w:t>
      </w:r>
      <w:r w:rsidR="005A2BAD" w:rsidRPr="00376CD5">
        <w:rPr>
          <w:rFonts w:ascii="Arial" w:hAnsi="Arial" w:cs="Arial"/>
          <w:sz w:val="20"/>
          <w:szCs w:val="20"/>
        </w:rPr>
        <w:t xml:space="preserve">based method </w:t>
      </w:r>
      <w:r w:rsidR="004B6726" w:rsidRPr="00376CD5">
        <w:rPr>
          <w:rFonts w:ascii="Arial" w:hAnsi="Arial" w:cs="Arial"/>
          <w:sz w:val="20"/>
          <w:szCs w:val="20"/>
        </w:rPr>
        <w:t>because</w:t>
      </w:r>
      <w:r w:rsidR="005A2BAD" w:rsidRPr="00376CD5">
        <w:rPr>
          <w:rFonts w:ascii="Arial" w:hAnsi="Arial" w:cs="Arial"/>
          <w:sz w:val="20"/>
          <w:szCs w:val="20"/>
        </w:rPr>
        <w:t xml:space="preserve"> it re</w:t>
      </w:r>
      <w:r w:rsidR="003A3179" w:rsidRPr="00376CD5">
        <w:rPr>
          <w:rFonts w:ascii="Arial" w:hAnsi="Arial" w:cs="Arial"/>
          <w:sz w:val="20"/>
          <w:szCs w:val="20"/>
        </w:rPr>
        <w:t>quire</w:t>
      </w:r>
      <w:r w:rsidR="005A2BAD" w:rsidRPr="00376CD5">
        <w:rPr>
          <w:rFonts w:ascii="Arial" w:hAnsi="Arial" w:cs="Arial"/>
          <w:sz w:val="20"/>
          <w:szCs w:val="20"/>
        </w:rPr>
        <w:t>s much lower</w:t>
      </w:r>
      <w:r w:rsidR="007E77DA" w:rsidRPr="00376CD5">
        <w:rPr>
          <w:rFonts w:ascii="Arial" w:hAnsi="Arial" w:cs="Arial"/>
          <w:sz w:val="20"/>
          <w:szCs w:val="20"/>
        </w:rPr>
        <w:t xml:space="preserve"> </w:t>
      </w:r>
      <w:r w:rsidR="0058492E" w:rsidRPr="00376CD5">
        <w:rPr>
          <w:rFonts w:ascii="Arial" w:hAnsi="Arial" w:cs="Arial"/>
          <w:sz w:val="20"/>
          <w:szCs w:val="20"/>
        </w:rPr>
        <w:t xml:space="preserve">quantities </w:t>
      </w:r>
      <w:r w:rsidR="005A2BAD" w:rsidRPr="00376CD5">
        <w:rPr>
          <w:rFonts w:ascii="Arial" w:hAnsi="Arial" w:cs="Arial"/>
          <w:sz w:val="20"/>
          <w:szCs w:val="20"/>
        </w:rPr>
        <w:t xml:space="preserve">of </w:t>
      </w:r>
      <w:r w:rsidR="007E77DA" w:rsidRPr="00376CD5">
        <w:rPr>
          <w:rFonts w:ascii="Arial" w:hAnsi="Arial" w:cs="Arial"/>
          <w:sz w:val="20"/>
          <w:szCs w:val="20"/>
        </w:rPr>
        <w:t xml:space="preserve">the </w:t>
      </w:r>
      <w:r w:rsidR="005C65CE" w:rsidRPr="00376CD5">
        <w:rPr>
          <w:rFonts w:ascii="Arial" w:hAnsi="Arial" w:cs="Arial"/>
          <w:sz w:val="20"/>
          <w:szCs w:val="20"/>
        </w:rPr>
        <w:t>solvents</w:t>
      </w:r>
      <w:r w:rsidR="005A2BAD" w:rsidRPr="00376CD5">
        <w:rPr>
          <w:rFonts w:ascii="Arial" w:hAnsi="Arial" w:cs="Arial"/>
          <w:sz w:val="20"/>
          <w:szCs w:val="20"/>
        </w:rPr>
        <w:t xml:space="preserve"> and </w:t>
      </w:r>
      <w:r w:rsidR="00FD3AB7" w:rsidRPr="00376CD5">
        <w:rPr>
          <w:rFonts w:ascii="Arial" w:hAnsi="Arial" w:cs="Arial"/>
          <w:sz w:val="20"/>
          <w:szCs w:val="20"/>
        </w:rPr>
        <w:t xml:space="preserve">has </w:t>
      </w:r>
      <w:r w:rsidR="00175F06" w:rsidRPr="00376CD5">
        <w:rPr>
          <w:rFonts w:ascii="Arial" w:hAnsi="Arial" w:cs="Arial"/>
          <w:sz w:val="20"/>
          <w:szCs w:val="20"/>
        </w:rPr>
        <w:t xml:space="preserve">a </w:t>
      </w:r>
      <w:r w:rsidR="005A2BAD" w:rsidRPr="00376CD5">
        <w:rPr>
          <w:rFonts w:ascii="Arial" w:hAnsi="Arial" w:cs="Arial"/>
          <w:sz w:val="20"/>
          <w:szCs w:val="20"/>
        </w:rPr>
        <w:t>lesser re</w:t>
      </w:r>
      <w:r w:rsidR="003A3179" w:rsidRPr="00376CD5">
        <w:rPr>
          <w:rFonts w:ascii="Arial" w:hAnsi="Arial" w:cs="Arial"/>
          <w:sz w:val="20"/>
          <w:szCs w:val="20"/>
        </w:rPr>
        <w:t>quirement</w:t>
      </w:r>
      <w:r w:rsidR="005A2BAD" w:rsidRPr="00376CD5">
        <w:rPr>
          <w:rFonts w:ascii="Arial" w:hAnsi="Arial" w:cs="Arial"/>
          <w:sz w:val="20"/>
          <w:szCs w:val="20"/>
        </w:rPr>
        <w:t xml:space="preserve"> of the plant materials</w:t>
      </w:r>
      <w:r w:rsidR="00FF21C7" w:rsidRPr="00376CD5">
        <w:rPr>
          <w:rFonts w:ascii="Arial" w:hAnsi="Arial" w:cs="Arial"/>
          <w:sz w:val="20"/>
          <w:szCs w:val="20"/>
        </w:rPr>
        <w:t xml:space="preserve"> </w:t>
      </w:r>
      <w:r w:rsidR="005A2BAD" w:rsidRPr="00376CD5">
        <w:rPr>
          <w:rFonts w:ascii="Arial" w:hAnsi="Arial" w:cs="Arial"/>
          <w:sz w:val="20"/>
          <w:szCs w:val="20"/>
        </w:rPr>
        <w:fldChar w:fldCharType="begin"/>
      </w:r>
      <w:r w:rsidR="001D5D94">
        <w:rPr>
          <w:rFonts w:ascii="Arial" w:hAnsi="Arial" w:cs="Arial"/>
          <w:sz w:val="20"/>
          <w:szCs w:val="20"/>
        </w:rPr>
        <w:instrText xml:space="preserve"> ADDIN ZOTERO_ITEM CSL_CITATION {"citationID":"HgLMI2Qn","properties":{"formattedCitation":"(Belwal et al., 2018)","plainCitation":"(Belwal et al., 2018)","noteIndex":0},"citationItems":[{"id":425,"uris":["http://zotero.org/users/local/rsD5gSSy/items/8NCZQ3JL"],"itemData":{"id":425,"type":"article-journal","abstract":"Plant extracts have been long used by the traditional healers for providing health benefits and are nowadays suitable ingredient for the production of formulated health products and nutraceuticals. Traditional methods of extraction such as maceration, percolation, digestion, and preparation of decoctions and infusions are now been replaced by advanced extraction methods for increased extraction efficiency and selectivity of bioactive compounds to meet up the increasing market demand. Advanced techniques use different ways for extraction such as microwaves, ultrasound waves, supercritical fluids, enzymes, pressurized liquids, electric field, etc. These innovative extraction techniques, afford final extracts selectively rich in compounds of interest without formation of artifacts, and are often simple, fast, environment friendly and fully automated compared to existing extraction method. The present review is focused on the recent trends on the extraction of different bioactive chemical constituents depending on the nature of sample matrices and their chemical classes including anthocyanins, flavonoids, polyphenols, alkaloids, oils, etc. In addition, we review the strategies for designing extraction, selection of most suitable extraction methods, and trends of extraction methods for botanicals. Recent progress on the research based on these advanced methods of extractions and their industrial importance are also discussed in detail.","container-title":"TrAC Trends in Analytical Chemistry","DOI":"10.1016/j.trac.2017.12.018","ISSN":"0165-9936","journalAbbreviation":"TrAC Trends in Analytical Chemistry","page":"82-102","source":"ScienceDirect","title":"A critical analysis of extraction techniques used for botanicals: Trends, priorities, industrial uses and optimization strategies","title-short":"A critical analysis of extraction techniques used for botanicals","volume":"100","author":[{"family":"Belwal","given":"Tarun"},{"family":"Ezzat","given":"Shahira M."},{"family":"Rastrelli","given":"Luca"},{"family":"Bhatt","given":"Indra D."},{"family":"Daglia","given":"Maria"},{"family":"Baldi","given":"Alessandra"},{"family":"Devkota","given":"Hari Prasad"},{"family":"Orhan","given":"Ilkay Erdogan"},{"family":"Patra","given":"Jayanta Kumar"},{"family":"Das","given":"Gitishree"},{"family":"Anandharamakrishnan","given":"C."},{"family":"Gomez-Gomez","given":"Lourdes"},{"family":"Nabavi","given":"Seyed Fazel"},{"family":"Nabavi","given":"Seyed Mohammad"},{"family":"Atanasov","given":"Atanas G."}],"issued":{"date-parts":[["2018",3,1]]}}}],"schema":"https://github.com/citation-style-language/schema/raw/master/csl-citation.json"} </w:instrText>
      </w:r>
      <w:r w:rsidR="005A2BAD" w:rsidRPr="00376CD5">
        <w:rPr>
          <w:rFonts w:ascii="Arial" w:hAnsi="Arial" w:cs="Arial"/>
          <w:sz w:val="20"/>
          <w:szCs w:val="20"/>
        </w:rPr>
        <w:fldChar w:fldCharType="separate"/>
      </w:r>
      <w:r w:rsidR="001D5D94" w:rsidRPr="001D5D94">
        <w:rPr>
          <w:rFonts w:ascii="Arial" w:hAnsi="Arial" w:cs="Arial"/>
          <w:sz w:val="20"/>
        </w:rPr>
        <w:t>(Belwal et al., 2018)</w:t>
      </w:r>
      <w:r w:rsidR="005A2BAD" w:rsidRPr="00376CD5">
        <w:rPr>
          <w:rFonts w:ascii="Arial" w:hAnsi="Arial" w:cs="Arial"/>
          <w:sz w:val="20"/>
          <w:szCs w:val="20"/>
        </w:rPr>
        <w:fldChar w:fldCharType="end"/>
      </w:r>
      <w:r w:rsidR="005A2BAD" w:rsidRPr="00376CD5">
        <w:rPr>
          <w:rFonts w:ascii="Arial" w:hAnsi="Arial" w:cs="Arial"/>
          <w:sz w:val="20"/>
          <w:szCs w:val="20"/>
        </w:rPr>
        <w:t>.</w:t>
      </w:r>
      <w:r w:rsidR="005A2BAD" w:rsidRPr="00376CD5">
        <w:rPr>
          <w:rFonts w:ascii="Arial" w:hAnsi="Arial" w:cs="Arial"/>
          <w:i/>
          <w:iCs/>
          <w:sz w:val="20"/>
          <w:szCs w:val="20"/>
        </w:rPr>
        <w:t xml:space="preserve"> </w:t>
      </w:r>
    </w:p>
    <w:p w14:paraId="0666DDA5" w14:textId="39D93712" w:rsidR="00841846" w:rsidRPr="00376CD5" w:rsidRDefault="006C1DAF" w:rsidP="001D5D94">
      <w:pPr>
        <w:spacing w:before="100" w:beforeAutospacing="1" w:line="240" w:lineRule="auto"/>
        <w:jc w:val="both"/>
        <w:rPr>
          <w:rFonts w:ascii="Arial" w:hAnsi="Arial" w:cs="Arial"/>
          <w:sz w:val="20"/>
          <w:szCs w:val="20"/>
          <w:shd w:val="clear" w:color="auto" w:fill="FFFFFF"/>
        </w:rPr>
      </w:pPr>
      <w:r w:rsidRPr="00376CD5">
        <w:rPr>
          <w:rFonts w:ascii="Arial" w:hAnsi="Arial" w:cs="Arial"/>
          <w:sz w:val="20"/>
          <w:szCs w:val="20"/>
        </w:rPr>
        <w:t xml:space="preserve">Madagascar periwinkle, or </w:t>
      </w:r>
      <w:r w:rsidRPr="00376CD5">
        <w:rPr>
          <w:rFonts w:ascii="Arial" w:hAnsi="Arial" w:cs="Arial"/>
          <w:i/>
          <w:iCs/>
          <w:sz w:val="20"/>
          <w:szCs w:val="20"/>
        </w:rPr>
        <w:t>Catharanthus roseus</w:t>
      </w:r>
      <w:r w:rsidRPr="00376CD5">
        <w:rPr>
          <w:rFonts w:ascii="Arial" w:hAnsi="Arial" w:cs="Arial"/>
          <w:sz w:val="20"/>
          <w:szCs w:val="20"/>
        </w:rPr>
        <w:t xml:space="preserve">(L.), </w:t>
      </w:r>
      <w:r w:rsidR="00564E01" w:rsidRPr="00376CD5">
        <w:rPr>
          <w:rFonts w:ascii="Arial" w:hAnsi="Arial" w:cs="Arial"/>
          <w:sz w:val="20"/>
          <w:szCs w:val="20"/>
        </w:rPr>
        <w:t>(</w:t>
      </w:r>
      <w:r w:rsidR="00564E01" w:rsidRPr="00376CD5">
        <w:rPr>
          <w:rFonts w:ascii="Arial" w:hAnsi="Arial" w:cs="Arial"/>
          <w:i/>
          <w:iCs/>
          <w:sz w:val="20"/>
          <w:szCs w:val="20"/>
        </w:rPr>
        <w:t>C. roseus</w:t>
      </w:r>
      <w:r w:rsidR="00564E01" w:rsidRPr="00376CD5">
        <w:rPr>
          <w:rFonts w:ascii="Arial" w:hAnsi="Arial" w:cs="Arial"/>
          <w:sz w:val="20"/>
          <w:szCs w:val="20"/>
        </w:rPr>
        <w:t>)</w:t>
      </w:r>
      <w:r w:rsidRPr="00376CD5">
        <w:rPr>
          <w:rFonts w:ascii="Arial" w:hAnsi="Arial" w:cs="Arial"/>
          <w:sz w:val="20"/>
          <w:szCs w:val="20"/>
        </w:rPr>
        <w:t xml:space="preserve">is a well-known </w:t>
      </w:r>
      <w:r w:rsidR="00026910" w:rsidRPr="00376CD5">
        <w:rPr>
          <w:rFonts w:ascii="Arial" w:hAnsi="Arial" w:cs="Arial"/>
          <w:sz w:val="20"/>
          <w:szCs w:val="20"/>
        </w:rPr>
        <w:t xml:space="preserve">therapeutic plant </w:t>
      </w:r>
      <w:r w:rsidRPr="00376CD5">
        <w:rPr>
          <w:rFonts w:ascii="Arial" w:hAnsi="Arial" w:cs="Arial"/>
          <w:sz w:val="20"/>
          <w:szCs w:val="20"/>
        </w:rPr>
        <w:t>that contains two advantageous anticancer terpenoid indole alkaloids (T.I.A.s), vincristine and vinblastine.</w:t>
      </w:r>
      <w:r w:rsidRPr="00376CD5">
        <w:rPr>
          <w:rFonts w:ascii="Arial" w:hAnsi="Arial" w:cs="Arial"/>
          <w:i/>
          <w:iCs/>
          <w:sz w:val="20"/>
          <w:szCs w:val="20"/>
        </w:rPr>
        <w:t xml:space="preserve"> </w:t>
      </w:r>
      <w:r w:rsidR="00841846" w:rsidRPr="00376CD5">
        <w:rPr>
          <w:rFonts w:ascii="Arial" w:hAnsi="Arial" w:cs="Arial"/>
          <w:sz w:val="20"/>
          <w:szCs w:val="20"/>
        </w:rPr>
        <w:fldChar w:fldCharType="begin"/>
      </w:r>
      <w:r w:rsidR="001D5D94">
        <w:rPr>
          <w:rFonts w:ascii="Arial" w:hAnsi="Arial" w:cs="Arial"/>
          <w:sz w:val="20"/>
          <w:szCs w:val="20"/>
        </w:rPr>
        <w:instrText xml:space="preserve"> ADDIN ZOTERO_ITEM CSL_CITATION {"citationID":"YTnxglRv","properties":{"formattedCitation":"(Nejat et al., 2015)","plainCitation":"(Nejat et al., 2015)","noteIndex":0},"citationItems":[{"id":367,"uris":["http://zotero.org/users/local/rsD5gSSy/items/HH7YZFDV",["http://zotero.org/users/local/rsD5gSSy/items/HH7YZFDV"]],"itemData":{"id":367,"type":"webpage","abstract":"Catharanthus roseus (L.) known as Madagascar periwinkle (MP) is a legendary medicinal plant mostly because of possessing two invaluable antitumor terpenoid indole alkaloids (TIAs), vincristine and vinblastine. The plant has also high aesthetic value as an evergreen ornamental that yields prolific blooms of splendid colors. The plant possesses yet another unique characteristic as an amiable experimental host for the maintenance of the smallest bacteria found on earth, the phytoplasmas and spiroplasmas, and serves as a model for their study. Botanical information with respect to synonyms, vernacular names, cultivars, floral morphology, and reproduction adds to understanding of the plant while the geography and ecology of periwinkle illustrate the organism’s ubiquity. Good agronomic practices ensure generous propagation of healthy plants that serve as a source of bioactive compounds and multitudinous horticultural applications. The correlation between genetic diversity, variants, and TIA production exists. MP is afflicted with a whole range of diseases that have to be properly managed. The ethnobotanical significance of MP is exemplified by its international usage as a traditional remedy for abundant ailments and not only for cancer. TIAs are present only in micro quantities in the plant and are highly poisonous per se rendering a challenge for researchers to increase yield and reduce toxicity.","container-title":"The Scientific World Journal","genre":"Review Article","language":"en","note":"DOI: https://doi.org/10.1155/2015/982412\nISSN: 2356-6140\nsource: www.hindawi.com\npage: e982412\npublisher: Hindawi\nvolume: 2015\nDOI: https://doi.org/10.1155/2015/982412","title":"Ornamental Exterior versus Therapeutic Interior of Madagascar Periwinkle (Catharanthus roseus): The Two Faces of a Versatile Herb","title-short":"Ornamental Exterior versus Therapeutic Interior of Madagascar Periwinkle (Catharanthus roseus)","URL":"https://www.hindawi.com/journals/tswj/2015/982412/","author":[{"family":"Nejat","given":"Naghmeh"},{"family":"Valdiani","given":"Alireza"},{"family":"Cahill","given":"David"},{"family":"Tan","given":"Yee-How"},{"family":"Maziah","given":"Mahmood"},{"family":"Abiri","given":"Rambod"}],"accessed":{"date-parts":[["2020",5,1]]},"issued":{"date-parts":[["2015"]]}}}],"schema":"https://github.com/citation-style-language/schema/raw/master/csl-citation.json"} </w:instrText>
      </w:r>
      <w:r w:rsidR="00841846" w:rsidRPr="00376CD5">
        <w:rPr>
          <w:rFonts w:ascii="Arial" w:hAnsi="Arial" w:cs="Arial"/>
          <w:sz w:val="20"/>
          <w:szCs w:val="20"/>
        </w:rPr>
        <w:fldChar w:fldCharType="separate"/>
      </w:r>
      <w:r w:rsidR="001D5D94" w:rsidRPr="001D5D94">
        <w:rPr>
          <w:rFonts w:ascii="Arial" w:hAnsi="Arial" w:cs="Arial"/>
          <w:sz w:val="20"/>
        </w:rPr>
        <w:t>(Nejat et al., 2015)</w:t>
      </w:r>
      <w:r w:rsidR="00841846" w:rsidRPr="00376CD5">
        <w:rPr>
          <w:rFonts w:ascii="Arial" w:hAnsi="Arial" w:cs="Arial"/>
          <w:sz w:val="20"/>
          <w:szCs w:val="20"/>
        </w:rPr>
        <w:fldChar w:fldCharType="end"/>
      </w:r>
      <w:r w:rsidR="00841846" w:rsidRPr="00376CD5">
        <w:rPr>
          <w:rFonts w:ascii="Arial" w:hAnsi="Arial" w:cs="Arial"/>
          <w:sz w:val="20"/>
          <w:szCs w:val="20"/>
        </w:rPr>
        <w:t xml:space="preserve">. </w:t>
      </w:r>
      <w:r w:rsidRPr="00376CD5">
        <w:rPr>
          <w:rFonts w:ascii="Arial" w:hAnsi="Arial" w:cs="Arial"/>
          <w:sz w:val="20"/>
          <w:szCs w:val="20"/>
        </w:rPr>
        <w:t xml:space="preserve">The most significant components of </w:t>
      </w:r>
      <w:r w:rsidRPr="00376CD5">
        <w:rPr>
          <w:rFonts w:ascii="Arial" w:hAnsi="Arial" w:cs="Arial"/>
          <w:i/>
          <w:iCs/>
          <w:sz w:val="20"/>
          <w:szCs w:val="20"/>
        </w:rPr>
        <w:t>C</w:t>
      </w:r>
      <w:r w:rsidR="00564E01" w:rsidRPr="00376CD5">
        <w:rPr>
          <w:rFonts w:ascii="Arial" w:hAnsi="Arial" w:cs="Arial"/>
          <w:i/>
          <w:iCs/>
          <w:sz w:val="20"/>
          <w:szCs w:val="20"/>
        </w:rPr>
        <w:t>.</w:t>
      </w:r>
      <w:r w:rsidRPr="00376CD5">
        <w:rPr>
          <w:rFonts w:ascii="Arial" w:hAnsi="Arial" w:cs="Arial"/>
          <w:i/>
          <w:iCs/>
          <w:sz w:val="20"/>
          <w:szCs w:val="20"/>
        </w:rPr>
        <w:t xml:space="preserve"> roseus</w:t>
      </w:r>
      <w:r w:rsidRPr="00376CD5">
        <w:rPr>
          <w:rFonts w:ascii="Arial" w:hAnsi="Arial" w:cs="Arial"/>
          <w:sz w:val="20"/>
          <w:szCs w:val="20"/>
        </w:rPr>
        <w:t xml:space="preserve"> are its alkaloids and phenolics, but other phytochemicals have also been identified in other plant sections. These include </w:t>
      </w:r>
      <w:r w:rsidR="00026910" w:rsidRPr="00376CD5">
        <w:rPr>
          <w:rFonts w:ascii="Arial" w:hAnsi="Arial" w:cs="Arial"/>
          <w:sz w:val="20"/>
          <w:szCs w:val="20"/>
        </w:rPr>
        <w:t xml:space="preserve">steroids, </w:t>
      </w:r>
      <w:r w:rsidRPr="00376CD5">
        <w:rPr>
          <w:rFonts w:ascii="Arial" w:hAnsi="Arial" w:cs="Arial"/>
          <w:sz w:val="20"/>
          <w:szCs w:val="20"/>
        </w:rPr>
        <w:t xml:space="preserve">alkaloids, </w:t>
      </w:r>
      <w:r w:rsidR="00026910" w:rsidRPr="00376CD5">
        <w:rPr>
          <w:rFonts w:ascii="Arial" w:hAnsi="Arial" w:cs="Arial"/>
          <w:sz w:val="20"/>
          <w:szCs w:val="20"/>
        </w:rPr>
        <w:t>polyphenols,</w:t>
      </w:r>
      <w:r w:rsidRPr="00376CD5">
        <w:rPr>
          <w:rFonts w:ascii="Arial" w:hAnsi="Arial" w:cs="Arial"/>
          <w:sz w:val="20"/>
          <w:szCs w:val="20"/>
        </w:rPr>
        <w:t xml:space="preserve"> anthocyanins, </w:t>
      </w:r>
      <w:r w:rsidR="00026910" w:rsidRPr="00376CD5">
        <w:rPr>
          <w:rFonts w:ascii="Arial" w:hAnsi="Arial" w:cs="Arial"/>
          <w:sz w:val="20"/>
          <w:szCs w:val="20"/>
        </w:rPr>
        <w:t>flavonoid glycosides, &amp;</w:t>
      </w:r>
      <w:r w:rsidRPr="00376CD5">
        <w:rPr>
          <w:rFonts w:ascii="Arial" w:hAnsi="Arial" w:cs="Arial"/>
          <w:sz w:val="20"/>
          <w:szCs w:val="20"/>
        </w:rPr>
        <w:t xml:space="preserve"> iridoid glucosides</w:t>
      </w:r>
      <w:r w:rsidR="00532C56" w:rsidRPr="00376CD5">
        <w:rPr>
          <w:rFonts w:ascii="Arial" w:hAnsi="Arial" w:cs="Arial"/>
          <w:sz w:val="20"/>
          <w:szCs w:val="20"/>
        </w:rPr>
        <w:t xml:space="preserve"> </w:t>
      </w:r>
      <w:r w:rsidR="00532C56" w:rsidRPr="00376CD5">
        <w:rPr>
          <w:rFonts w:ascii="Arial" w:hAnsi="Arial" w:cs="Arial"/>
          <w:sz w:val="20"/>
          <w:szCs w:val="20"/>
        </w:rPr>
        <w:fldChar w:fldCharType="begin"/>
      </w:r>
      <w:r w:rsidR="001D5D94">
        <w:rPr>
          <w:rFonts w:ascii="Arial" w:hAnsi="Arial" w:cs="Arial"/>
          <w:sz w:val="20"/>
          <w:szCs w:val="20"/>
        </w:rPr>
        <w:instrText xml:space="preserve"> ADDIN ZOTERO_ITEM CSL_CITATION {"citationID":"i09tmx6t","properties":{"formattedCitation":"(Mustafa &amp; Verpoorte, 2007)","plainCitation":"(Mustafa &amp; Verpoorte, 2007)","noteIndex":0},"citationItems":[{"id":370,"uris":["http://zotero.org/users/local/rsD5gSSy/items/GVG8F85C"],"itemData":{"id":370,"type":"article-journal","abstract":"Besides alkaloids Catharanthus roseus produces a wide spectrum of phenolic compounds, this includes C6C1 compounds such as 2,3-dihydoxybenzoic acid, as well as phenylpropanoids such as cinnamic acid derivatives, flavonoids and anthocyanins. The occurrence of these compounds in C. roseus is reviewed as well as their biosynthesis and the regulation of the pathways. Both types of compounds compete with the indole alkaloid biosynthesis for chorismate, an important intermediate in plant metabolism. The biosynthesis C6C1 compounds is induced by biotic elicitors.","container-title":"Phytochemistry Reviews","DOI":"10.1007/s11101-006-9039-8","ISSN":"1572-980X","issue":"2","journalAbbreviation":"Phytochem Rev","language":"en","page":"243-258","source":"Springer Link","title":"Phenolic compounds in Catharanthus roseus","volume":"6","author":[{"family":"Mustafa","given":"Natali Rianika"},{"family":"Verpoorte","given":"Robert"}],"issued":{"date-parts":[["2007",7,1]]}}}],"schema":"https://github.com/citation-style-language/schema/raw/master/csl-citation.json"} </w:instrText>
      </w:r>
      <w:r w:rsidR="00532C56" w:rsidRPr="00376CD5">
        <w:rPr>
          <w:rFonts w:ascii="Arial" w:hAnsi="Arial" w:cs="Arial"/>
          <w:sz w:val="20"/>
          <w:szCs w:val="20"/>
        </w:rPr>
        <w:fldChar w:fldCharType="separate"/>
      </w:r>
      <w:r w:rsidR="001D5D94" w:rsidRPr="001D5D94">
        <w:rPr>
          <w:rFonts w:ascii="Arial" w:hAnsi="Arial" w:cs="Arial"/>
          <w:sz w:val="20"/>
        </w:rPr>
        <w:t>(Mustafa &amp; Verpoorte, 2007)</w:t>
      </w:r>
      <w:r w:rsidR="00532C56" w:rsidRPr="00376CD5">
        <w:rPr>
          <w:rFonts w:ascii="Arial" w:hAnsi="Arial" w:cs="Arial"/>
          <w:sz w:val="20"/>
          <w:szCs w:val="20"/>
        </w:rPr>
        <w:fldChar w:fldCharType="end"/>
      </w:r>
      <w:r w:rsidR="00CF1B9A" w:rsidRPr="00376CD5">
        <w:rPr>
          <w:rFonts w:ascii="Arial" w:hAnsi="Arial" w:cs="Arial"/>
          <w:sz w:val="20"/>
          <w:szCs w:val="20"/>
        </w:rPr>
        <w:t>.</w:t>
      </w:r>
      <w:r w:rsidR="000743C9" w:rsidRPr="00376CD5">
        <w:rPr>
          <w:rFonts w:ascii="Arial" w:hAnsi="Arial" w:cs="Arial"/>
          <w:sz w:val="20"/>
          <w:szCs w:val="20"/>
        </w:rPr>
        <w:t xml:space="preserve"> </w:t>
      </w:r>
      <w:r w:rsidR="005C65CE" w:rsidRPr="00376CD5">
        <w:rPr>
          <w:rFonts w:ascii="Arial" w:hAnsi="Arial" w:cs="Arial"/>
          <w:sz w:val="20"/>
          <w:szCs w:val="20"/>
        </w:rPr>
        <w:t xml:space="preserve">Diarrhoea </w:t>
      </w:r>
      <w:r w:rsidR="00026910" w:rsidRPr="00376CD5">
        <w:rPr>
          <w:rFonts w:ascii="Arial" w:hAnsi="Arial" w:cs="Arial"/>
          <w:sz w:val="20"/>
          <w:szCs w:val="20"/>
        </w:rPr>
        <w:t xml:space="preserve"> </w:t>
      </w:r>
      <w:r w:rsidRPr="00376CD5">
        <w:rPr>
          <w:rFonts w:ascii="Arial" w:hAnsi="Arial" w:cs="Arial"/>
          <w:sz w:val="20"/>
          <w:szCs w:val="20"/>
        </w:rPr>
        <w:t>skin infections,</w:t>
      </w:r>
      <w:r w:rsidR="00026910" w:rsidRPr="00376CD5">
        <w:rPr>
          <w:rFonts w:ascii="Arial" w:hAnsi="Arial" w:cs="Arial"/>
          <w:sz w:val="20"/>
          <w:szCs w:val="20"/>
        </w:rPr>
        <w:t xml:space="preserve"> </w:t>
      </w:r>
      <w:proofErr w:type="spellStart"/>
      <w:r w:rsidR="00ED7722" w:rsidRPr="00376CD5">
        <w:rPr>
          <w:rFonts w:ascii="Arial" w:hAnsi="Arial" w:cs="Arial"/>
          <w:sz w:val="20"/>
          <w:szCs w:val="20"/>
        </w:rPr>
        <w:t>leukaemia,</w:t>
      </w:r>
      <w:r w:rsidR="00A60824" w:rsidRPr="00376CD5">
        <w:rPr>
          <w:rFonts w:ascii="Arial" w:hAnsi="Arial" w:cs="Arial"/>
          <w:sz w:val="20"/>
          <w:szCs w:val="20"/>
        </w:rPr>
        <w:t>liqui</w:t>
      </w:r>
      <w:proofErr w:type="spellEnd"/>
      <w:r w:rsidR="00026910" w:rsidRPr="00376CD5">
        <w:rPr>
          <w:rFonts w:ascii="Arial" w:hAnsi="Arial" w:cs="Arial"/>
          <w:sz w:val="20"/>
          <w:szCs w:val="20"/>
        </w:rPr>
        <w:t xml:space="preserve"> dyspepsia, </w:t>
      </w:r>
      <w:r w:rsidRPr="00376CD5">
        <w:rPr>
          <w:rFonts w:ascii="Arial" w:hAnsi="Arial" w:cs="Arial"/>
          <w:sz w:val="20"/>
          <w:szCs w:val="20"/>
        </w:rPr>
        <w:t xml:space="preserve">eye irritation, dysentery, toothaches, </w:t>
      </w:r>
      <w:r w:rsidR="00026910" w:rsidRPr="00376CD5">
        <w:rPr>
          <w:rFonts w:ascii="Arial" w:hAnsi="Arial" w:cs="Arial"/>
          <w:sz w:val="20"/>
          <w:szCs w:val="20"/>
        </w:rPr>
        <w:t xml:space="preserve">lung </w:t>
      </w:r>
      <w:r w:rsidR="00026910" w:rsidRPr="00376CD5">
        <w:rPr>
          <w:rFonts w:ascii="Arial" w:hAnsi="Arial" w:cs="Arial"/>
          <w:sz w:val="20"/>
          <w:szCs w:val="20"/>
        </w:rPr>
        <w:lastRenderedPageBreak/>
        <w:t xml:space="preserve">congestion and </w:t>
      </w:r>
      <w:r w:rsidRPr="00376CD5">
        <w:rPr>
          <w:rFonts w:ascii="Arial" w:hAnsi="Arial" w:cs="Arial"/>
          <w:sz w:val="20"/>
          <w:szCs w:val="20"/>
        </w:rPr>
        <w:t xml:space="preserve">sore throats are among the conditions that can be treated with </w:t>
      </w:r>
      <w:r w:rsidRPr="00376CD5">
        <w:rPr>
          <w:rFonts w:ascii="Arial" w:hAnsi="Arial" w:cs="Arial"/>
          <w:i/>
          <w:iCs/>
          <w:sz w:val="20"/>
          <w:szCs w:val="20"/>
        </w:rPr>
        <w:t xml:space="preserve">C. </w:t>
      </w:r>
      <w:proofErr w:type="spellStart"/>
      <w:r w:rsidRPr="00376CD5">
        <w:rPr>
          <w:rFonts w:ascii="Arial" w:hAnsi="Arial" w:cs="Arial"/>
          <w:i/>
          <w:iCs/>
          <w:sz w:val="20"/>
          <w:szCs w:val="20"/>
        </w:rPr>
        <w:t>roseus's</w:t>
      </w:r>
      <w:proofErr w:type="spellEnd"/>
      <w:r w:rsidRPr="00376CD5">
        <w:rPr>
          <w:rFonts w:ascii="Arial" w:hAnsi="Arial" w:cs="Arial"/>
          <w:sz w:val="20"/>
          <w:szCs w:val="20"/>
        </w:rPr>
        <w:t xml:space="preserve"> medicinal qualities</w:t>
      </w:r>
      <w:r w:rsidR="00E40A14" w:rsidRPr="00376CD5">
        <w:rPr>
          <w:rFonts w:ascii="Arial" w:hAnsi="Arial" w:cs="Arial"/>
          <w:sz w:val="20"/>
          <w:szCs w:val="20"/>
        </w:rPr>
        <w:t xml:space="preserve"> </w:t>
      </w:r>
      <w:r w:rsidR="00E40A14" w:rsidRPr="00376CD5">
        <w:rPr>
          <w:rFonts w:ascii="Arial" w:hAnsi="Arial" w:cs="Arial"/>
          <w:sz w:val="20"/>
          <w:szCs w:val="20"/>
        </w:rPr>
        <w:fldChar w:fldCharType="begin"/>
      </w:r>
      <w:r w:rsidR="001D5D94">
        <w:rPr>
          <w:rFonts w:ascii="Arial" w:hAnsi="Arial" w:cs="Arial"/>
          <w:sz w:val="20"/>
          <w:szCs w:val="20"/>
        </w:rPr>
        <w:instrText xml:space="preserve"> ADDIN ZOTERO_ITEM CSL_CITATION {"citationID":"ma3rSh3h","properties":{"formattedCitation":"(Fischhof et al., 1996; Hindmarch et al., 1991; Nayak &amp; Pinto Pereira, 2006; Vega-\\uc0\\u193{}vila et al., 2012)","plainCitation":"(Fischhof et al., 1996; Hindmarch et al., 1991; Nayak &amp; Pinto Pereira, 2006; Vega-Ávila et al., 2012)","noteIndex":0},"citationItems":[{"id":372,"uris":["http://zotero.org/users/local/rsD5gSSy/items/AFI7XDVX"],"itemData":{"id":372,"type":"webpage","abstract":"Introduction. Catharanthus roseus (L.) is used in some countries to treat diabetes. The aim of this study was to evaluate the hypoglycemic activity of extracts from the flower, leaf, stem, and root in normal and alloxan-induced diabetic mice. Methods. Roots, leaves, flowers, and stems were separated to obtain organic and aqueous extracts. The blood glucose lowering activity of these extracts was determinate in healthy and alloxan-induced (75 mg/Kg) diabetic mice, after intraperitoneal administration (250 mg/Kg body weight). Blood samples were obtained and blood glucose levels were analyzed employing a glucometer. The data were statistically compared by ANOVA. The most active extract was fractioned. Phytochemical screen and chromatographic studies were also done. Results. The aqueous extracts from C. roseus reduced the blood glucose of both healthy and diabetic mice. The aqueous stem extract (250 mg/Kg) and its alkaloid-free fraction (300 mg/Kg) significantly ( ) reduced blood glucose in diabetic mice by 52.90 and 51.21%. Their hypoglycemic activity was comparable to tolbutamide (58.1%, ). Conclusions. The best hypoglycemic activity was presented for the aqueous extracts and by alkaloid-free stem aqueous fraction. This fraction is formed by three polyphenols compounds.","container-title":"Evidence-Based Complementary and Alternative Medicine","genre":"Research Article","language":"en","note":"DOI: https://doi.org/10.1155/2012/934258\nISSN: 1741-427X\nsource: www.hindawi.com\npage: e934258\npublisher: Hindawi\nvolume: 2012\nDOI: https://doi.org/10.1155/2012/934258","title":"Hypoglycemic Activity of Aqueous Extracts from Catharanthus roseus","URL":"https://www.hindawi.com/journals/ecam/2012/934258/","author":[{"family":"Vega-Ávila","given":"Elisa"},{"family":"Cano-Velasco","given":"José Luis"},{"family":"Alarcón-Aguilar","given":"Francisco J."},{"family":"Fajardo Ortíz","given":"María del Carmen"},{"family":"Almanza-Pérez","given":"Julio César"},{"family":"Román-Ramos","given":"Rubén"}],"accessed":{"date-parts":[["2020",5,1]]},"issued":{"date-parts":[["2012"]]}}},{"id":375,"uris":["http://zotero.org/users/local/rsD5gSSy/items/VFBAM3IJ"],"itemData":{"id":375,"type":"article-journal","abstract":"Catharanthus roseus L (C. roseus) has been used to treat a wide assortment of diseases including diabetes. The objective of our study was to evaluate the antimicrobial and wound healing activity of the flower extract of Catharanthus in rats.","container-title":"BMC Complementary and Alternative Medicine","DOI":"10.1186/1472-6882-6-41","ISSN":"1472-6882","issue":"1","journalAbbreviation":"BMC Complementary and Alternative Medicine","page":"41","source":"BioMed Central","title":"Catharanthus roseus flower extract has wound-healing activity in Sprague Dawley rats","volume":"6","author":[{"family":"Nayak","given":"BS"},{"family":"Pinto Pereira","given":"Lexley M."}],"issued":{"date-parts":[["2006",12,21]]}}},{"id":378,"uris":["http://zotero.org/users/local/rsD5gSSy/items/EP3TL9PY"],"itemData":{"id":378,"type":"article-journal","abstract":"This trial was performed to investigate the therapeutic efficacy of vincamine in the treatment of primary degenerative and vascular dementia. 152 male and female patients aged between 50 and 85 years from two psychogeriatric centers and two nursing homes were initially included in the trial and screened for eligibility. 142 patients completed the trial. Clinical diagnosis was established according to DSM-III-R criteria. Allocation of the patients to the primary degenerative dementia of the Alzheimer type (DAT) group or the multi-infarct dementia (MID) group was based on computed tomography scans, electroencephalographic findings and the Hachinski Ischemic Score. In a 12-week double-blind treatment either 30 mg vincamine or placebo was given twice daily. Confirmatory statistics included item 2 of the Clinical Global Impression (CGI), the total score of the Sandoz Clinical Assessment Geriatric (SCAG) scale, the subscale ‘need for help’ of the nurse’s rating of geriatric patients (Beurteilungsskala für geriatrische Patienten; BGP) and the total score of the Short Cognitive Performance Test (Syndrom-Kurztest; SKT). In addition, data on tolerance and on therapy response were evaluated based on descriptive statistics. The therapeutic efficacy of vincamine was clearly demonstrated by confirmatory analysis as the drug was statistically significantly superior to placebo in all four target variables. The clinical relevance of the outcome was further underlined by the results of the responder analysis of the variables SCAG, BGP and SKT. Based on the results of this trial, it can be accepted that the therapeutic effect of vincamine is superior to placebo in patients with mild to moderate dementia of degenerative and vascular etiologies.","container-title":"Neuropsychobiology","DOI":"10.1159/000119288","ISSN":"0302-282X, 1423-0224","issue":"1","journalAbbreviation":"NPS","language":"english","note":"publisher: Karger Publishers\nPMID: 8884757","page":"29-35","source":"www.karger.com","title":"Therapeutic Efficacy of Vincamine in Dementia","volume":"34","author":[{"family":"Fischhof","given":"P. K."},{"family":"Möslinger-Gehmayr","given":"R."},{"family":"Herrmann","given":"W. M."},{"family":"Friedmann","given":"A."},{"family":"Ruβmann","given":"D. L."}],"issued":{"date-parts":[["1996"]]}}},{"id":381,"uris":["http://zotero.org/users/local/rsD5gSSy/items/BNJ3A94H"],"itemData":{"id":381,"type":"article-journal","abstract":"The efficacy and tolerance of orally administered vinpocetine was investigated in patients suffering from mild to moderate organic psychosyndromes including primary dementia. Two hundred and three patients were included in a placebo-controlled, randomized double-blind, multicentre trial and received every day for 16 weeks either: 3 x 10 mg doses of vinpocetine, 3 x 20 mg doses of vinpocetine, or 3 x placebo. Patients were assessed on ratings of clinical global impression, cognitive performance and on measures of the quality of life including depressive illness.\n        There were no clinically relevant side-effects reported and the frequencies of adverse events between patients treated with vinpocetine (30 mg or 60 mg) and placebo were comparable.\n        Statistically significant improvements were found in favour of both active treatment groups compared to placebo in both confirmatory evaluations of efficacy of treatment: the “Global Improvement” (on the CGI scale) and cognitive performance (SKT). Vinpocetine was also superior to placebo in ratings of the “severity of illness”. This study demonstrates the usefulness and efficacy of vinpocetine in the management of patients with moderate organic psychosyndromes. An apparently greater therapeutic efficacy of 3 x 10 mg vinpocetine compared with the higher vinpocetine dosage is statistically not significant.\n        © Lippincott-Raven Publishers.","container-title":"International Clinical Psychopharmacology","ISSN":"0268-1315","issue":"1","language":"en-US","page":"31–44","source":"journals.lww.com","title":"Efficacy and Tolerance of Vinpocetine in Ambulant Patients Suffering from Mild to Moderate Organic Psychosyndromes","volume":"6","author":[{"family":"Hindmarch","given":"Ian"},{"family":"Fuchs","given":"Hans-Hermann"},{"family":"Erzigkeit","given":"Hellmut"}],"issued":{"date-parts":[["1991",4]]}}}],"schema":"https://github.com/citation-style-language/schema/raw/master/csl-citation.json"} </w:instrText>
      </w:r>
      <w:r w:rsidR="00E40A14" w:rsidRPr="00376CD5">
        <w:rPr>
          <w:rFonts w:ascii="Arial" w:hAnsi="Arial" w:cs="Arial"/>
          <w:sz w:val="20"/>
          <w:szCs w:val="20"/>
        </w:rPr>
        <w:fldChar w:fldCharType="separate"/>
      </w:r>
      <w:r w:rsidR="001D5D94" w:rsidRPr="001D5D94">
        <w:rPr>
          <w:rFonts w:ascii="Arial" w:hAnsi="Arial" w:cs="Arial"/>
          <w:sz w:val="20"/>
        </w:rPr>
        <w:t>(Fischhof et al., 1996; Hindmarch et al., 1991; Nayak &amp; Pinto Pereira, 2006; Vega-Ávila et al., 2012)</w:t>
      </w:r>
      <w:r w:rsidR="00E40A14" w:rsidRPr="00376CD5">
        <w:rPr>
          <w:rFonts w:ascii="Arial" w:hAnsi="Arial" w:cs="Arial"/>
          <w:sz w:val="20"/>
          <w:szCs w:val="20"/>
        </w:rPr>
        <w:fldChar w:fldCharType="end"/>
      </w:r>
      <w:r w:rsidR="00ED7722" w:rsidRPr="00376CD5">
        <w:rPr>
          <w:rFonts w:ascii="Arial" w:hAnsi="Arial" w:cs="Arial"/>
          <w:sz w:val="20"/>
          <w:szCs w:val="20"/>
        </w:rPr>
        <w:t xml:space="preserve">. </w:t>
      </w:r>
      <w:r w:rsidR="00026910" w:rsidRPr="00376CD5">
        <w:rPr>
          <w:rFonts w:ascii="Arial" w:hAnsi="Arial" w:cs="Arial"/>
          <w:sz w:val="20"/>
          <w:szCs w:val="20"/>
          <w:shd w:val="clear" w:color="auto" w:fill="FFFFFF"/>
        </w:rPr>
        <w:t>The identification of novel biomolecules for direct application by the pharmaceutical and agrochemical industries, or for use as lead compounds in the synthesis of more powerful molecules, requires the extraction of these chemicals from plants and the quantitative and qualitative assessment of those compounds</w:t>
      </w:r>
      <w:r w:rsidR="00E40A14" w:rsidRPr="00376CD5">
        <w:rPr>
          <w:rFonts w:ascii="Arial" w:hAnsi="Arial" w:cs="Arial"/>
          <w:sz w:val="20"/>
          <w:szCs w:val="20"/>
          <w:shd w:val="clear" w:color="auto" w:fill="FFFFFF"/>
        </w:rPr>
        <w:t xml:space="preserve"> </w:t>
      </w:r>
      <w:r w:rsidR="00E40A14" w:rsidRPr="00376CD5">
        <w:rPr>
          <w:rFonts w:ascii="Arial" w:hAnsi="Arial" w:cs="Arial"/>
          <w:sz w:val="20"/>
          <w:szCs w:val="20"/>
          <w:shd w:val="clear" w:color="auto" w:fill="FFFFFF"/>
        </w:rPr>
        <w:fldChar w:fldCharType="begin"/>
      </w:r>
      <w:r w:rsidR="001D5D94">
        <w:rPr>
          <w:rFonts w:ascii="Arial" w:hAnsi="Arial" w:cs="Arial"/>
          <w:sz w:val="20"/>
          <w:szCs w:val="20"/>
          <w:shd w:val="clear" w:color="auto" w:fill="FFFFFF"/>
        </w:rPr>
        <w:instrText xml:space="preserve"> ADDIN ZOTERO_ITEM CSL_CITATION {"citationID":"0ThcCufe","properties":{"formattedCitation":"(Altemimi et al., 2017)","plainCitation":"(Altemimi et al., 2017)","noteIndex":0},"citationItems":[{"id":359,"uris":["http://zotero.org/users/local/rsD5gSSy/items/KLR62Q52",["http://zotero.org/users/local/rsD5gSSy/items/KLR62Q52"]],"itemData":{"id":359,"type":"article-journal","abstract":"There are concerns about using synthetic phenolic antioxidants such as butylated hydroxytoluene (BHT) and butylated hydroxyanisole (BHA) as food additives because of the reported negative effects on human health. Thus, a replacement of these synthetics by antioxidant extractions from various foods has been proposed. More than 8000 different phenolic compounds have been characterized; fruits and vegetables are the prime sources of natural antioxidants. In order to extract, measure, and identify bioactive compounds from a wide variety of fruits and vegetables, researchers use multiple techniques and methods. This review includes a brief description of a wide range of different assays. The antioxidant, antimicrobial, and anticancer properties of phenolic natural products from fruits and vegetables are also discussed.","container-title":"Plants","DOI":"10.3390/plants6040042","issue":"4","language":"en","license":"http://creativecommons.org/licenses/by/3.0/","note":"number: 4\npublisher: Multidisciplinary Digital Publishing Institute","page":"42","source":"www.mdpi.com","title":"Phytochemicals: Extraction, Isolation, and Identification of Bioactive Compounds from Plant Extracts","title-short":"Phytochemicals","volume":"6","author":[{"family":"Altemimi","given":"Ammar"},{"family":"Lakhssassi","given":"Naoufal"},{"family":"Baharlouei","given":"Azam"},{"family":"Watson","given":"Dennis G."},{"family":"Lightfoot","given":"David A."}],"issued":{"date-parts":[["2017",12]]}}}],"schema":"https://github.com/citation-style-language/schema/raw/master/csl-citation.json"} </w:instrText>
      </w:r>
      <w:r w:rsidR="00E40A14" w:rsidRPr="00376CD5">
        <w:rPr>
          <w:rFonts w:ascii="Arial" w:hAnsi="Arial" w:cs="Arial"/>
          <w:sz w:val="20"/>
          <w:szCs w:val="20"/>
          <w:shd w:val="clear" w:color="auto" w:fill="FFFFFF"/>
        </w:rPr>
        <w:fldChar w:fldCharType="separate"/>
      </w:r>
      <w:r w:rsidR="001D5D94" w:rsidRPr="001D5D94">
        <w:rPr>
          <w:rFonts w:ascii="Arial" w:hAnsi="Arial" w:cs="Arial"/>
          <w:sz w:val="20"/>
        </w:rPr>
        <w:t>(Altemimi et al., 2017)</w:t>
      </w:r>
      <w:r w:rsidR="00E40A14" w:rsidRPr="00376CD5">
        <w:rPr>
          <w:rFonts w:ascii="Arial" w:hAnsi="Arial" w:cs="Arial"/>
          <w:sz w:val="20"/>
          <w:szCs w:val="20"/>
          <w:shd w:val="clear" w:color="auto" w:fill="FFFFFF"/>
        </w:rPr>
        <w:fldChar w:fldCharType="end"/>
      </w:r>
      <w:r w:rsidR="00A837F9" w:rsidRPr="00376CD5">
        <w:rPr>
          <w:rFonts w:ascii="Arial" w:hAnsi="Arial" w:cs="Arial"/>
          <w:sz w:val="20"/>
          <w:szCs w:val="20"/>
          <w:shd w:val="clear" w:color="auto" w:fill="FFFFFF"/>
        </w:rPr>
        <w:t xml:space="preserve">. </w:t>
      </w:r>
    </w:p>
    <w:p w14:paraId="5BD2F0DA" w14:textId="10457E6C" w:rsidR="008A4E5C" w:rsidRPr="00376CD5" w:rsidRDefault="00026910" w:rsidP="001D5D94">
      <w:pPr>
        <w:spacing w:before="100" w:beforeAutospacing="1" w:line="240" w:lineRule="auto"/>
        <w:jc w:val="both"/>
        <w:rPr>
          <w:rFonts w:ascii="Arial" w:hAnsi="Arial" w:cs="Arial"/>
          <w:sz w:val="20"/>
          <w:szCs w:val="20"/>
          <w:shd w:val="clear" w:color="auto" w:fill="FFFFFF"/>
        </w:rPr>
      </w:pPr>
      <w:r w:rsidRPr="00376CD5">
        <w:rPr>
          <w:rStyle w:val="Emphasis"/>
          <w:rFonts w:ascii="Arial" w:hAnsi="Arial" w:cs="Arial"/>
          <w:i w:val="0"/>
          <w:iCs w:val="0"/>
          <w:sz w:val="20"/>
          <w:szCs w:val="20"/>
        </w:rPr>
        <w:t xml:space="preserve">An established model for studying the aging process is the short-lived nematode </w:t>
      </w:r>
      <w:r w:rsidRPr="00376CD5">
        <w:rPr>
          <w:rStyle w:val="Emphasis"/>
          <w:rFonts w:ascii="Arial" w:hAnsi="Arial" w:cs="Arial"/>
          <w:sz w:val="20"/>
          <w:szCs w:val="20"/>
        </w:rPr>
        <w:t>Caenorhabditis elegans</w:t>
      </w:r>
      <w:r w:rsidRPr="00376CD5">
        <w:rPr>
          <w:rStyle w:val="Emphasis"/>
          <w:rFonts w:ascii="Arial" w:hAnsi="Arial" w:cs="Arial"/>
          <w:i w:val="0"/>
          <w:iCs w:val="0"/>
          <w:sz w:val="20"/>
          <w:szCs w:val="20"/>
        </w:rPr>
        <w:t xml:space="preserve"> </w:t>
      </w:r>
      <w:r w:rsidR="00564E01" w:rsidRPr="00376CD5">
        <w:rPr>
          <w:rStyle w:val="Emphasis"/>
          <w:rFonts w:ascii="Arial" w:hAnsi="Arial" w:cs="Arial"/>
          <w:i w:val="0"/>
          <w:iCs w:val="0"/>
          <w:sz w:val="20"/>
          <w:szCs w:val="20"/>
        </w:rPr>
        <w:t>(</w:t>
      </w:r>
      <w:r w:rsidR="00564E01" w:rsidRPr="00376CD5">
        <w:rPr>
          <w:rStyle w:val="Emphasis"/>
          <w:rFonts w:ascii="Arial" w:hAnsi="Arial" w:cs="Arial"/>
          <w:sz w:val="20"/>
          <w:szCs w:val="20"/>
        </w:rPr>
        <w:t>C. elegans</w:t>
      </w:r>
      <w:r w:rsidR="00564E01" w:rsidRPr="00376CD5">
        <w:rPr>
          <w:rStyle w:val="Emphasis"/>
          <w:rFonts w:ascii="Arial" w:hAnsi="Arial" w:cs="Arial"/>
          <w:i w:val="0"/>
          <w:iCs w:val="0"/>
          <w:sz w:val="20"/>
          <w:szCs w:val="20"/>
        </w:rPr>
        <w:t>)</w:t>
      </w:r>
      <w:r w:rsidR="00A95F4F" w:rsidRPr="00376CD5">
        <w:rPr>
          <w:rFonts w:ascii="Arial" w:hAnsi="Arial" w:cs="Arial"/>
          <w:sz w:val="20"/>
          <w:szCs w:val="20"/>
        </w:rPr>
        <w:fldChar w:fldCharType="begin"/>
      </w:r>
      <w:r w:rsidR="001D5D94">
        <w:rPr>
          <w:rFonts w:ascii="Arial" w:hAnsi="Arial" w:cs="Arial"/>
          <w:sz w:val="20"/>
          <w:szCs w:val="20"/>
        </w:rPr>
        <w:instrText xml:space="preserve"> ADDIN ZOTERO_ITEM CSL_CITATION {"citationID":"dH8f3IWM","properties":{"formattedCitation":"(Denzel et al., 2019)","plainCitation":"(Denzel et al., 2019)","noteIndex":0},"citationItems":[{"id":405,"uris":["http://zotero.org/users/local/rsD5gSSy/items/CB7ZYH4L",["http://zotero.org/users/local/rsD5gSSy/items/CB7ZYH4L"]],"itemData":{"id":405,"type":"article-journal","abstract":"Key discoveries in aging research have been made possible with the use of model organisms. Caenorhabditis elegans is a short-lived nematode that has become a well-established system to study aging. The practicality and powerful genetic manipulations associated with this metazoan have revolutionized our ability to understand how organisms age. 25 years after the publication of the discovery of the daf-2 gene as a genetic modifier of lifespan, C. elegans remains as relevant as ever in the quest to understand the process of aging. Nematode aging research has proven useful in identifying transcriptional regulators, small molecule signals, cellular mechanisms, epigenetic modifications associated with stress resistance and longevity, and lifespan-extending compounds. Here, we review recent discoveries and selected topics that have emerged in aging research using this incredible little worm.","collection-title":"Molecular aspects of aging and longevity","container-title":"Mechanisms of Ageing and Development","DOI":"10.1016/j.mad.2018.08.001","ISSN":"0047-6374","journalAbbreviation":"Mechanisms of Ageing and Development","language":"en","page":"4-21","source":"ScienceDirect","title":"Emerging topics in C. elegans aging research: Transcriptional regulation, stress response and epigenetics","title-short":"Emerging topics in C. elegans aging research","volume":"177","author":[{"family":"Denzel","given":"Martin S."},{"family":"Lapierre","given":"Louis R."},{"family":"Mack","given":"Hildegard I. D."}],"issued":{"date-parts":[["2019",1,1]]}}}],"schema":"https://github.com/citation-style-language/schema/raw/master/csl-citation.json"} </w:instrText>
      </w:r>
      <w:r w:rsidR="00A95F4F" w:rsidRPr="00376CD5">
        <w:rPr>
          <w:rFonts w:ascii="Arial" w:hAnsi="Arial" w:cs="Arial"/>
          <w:sz w:val="20"/>
          <w:szCs w:val="20"/>
        </w:rPr>
        <w:fldChar w:fldCharType="separate"/>
      </w:r>
      <w:r w:rsidR="001D5D94" w:rsidRPr="001D5D94">
        <w:rPr>
          <w:rFonts w:ascii="Arial" w:hAnsi="Arial" w:cs="Arial"/>
          <w:sz w:val="20"/>
        </w:rPr>
        <w:t>(Denzel et al., 2019)</w:t>
      </w:r>
      <w:r w:rsidR="00A95F4F" w:rsidRPr="00376CD5">
        <w:rPr>
          <w:rFonts w:ascii="Arial" w:hAnsi="Arial" w:cs="Arial"/>
          <w:sz w:val="20"/>
          <w:szCs w:val="20"/>
        </w:rPr>
        <w:fldChar w:fldCharType="end"/>
      </w:r>
      <w:r w:rsidR="00A95F4F" w:rsidRPr="00376CD5">
        <w:rPr>
          <w:rFonts w:ascii="Arial" w:hAnsi="Arial" w:cs="Arial"/>
          <w:sz w:val="20"/>
          <w:szCs w:val="20"/>
        </w:rPr>
        <w:t xml:space="preserve">. </w:t>
      </w:r>
      <w:r w:rsidR="00B43737" w:rsidRPr="00376CD5">
        <w:rPr>
          <w:rFonts w:ascii="Arial" w:hAnsi="Arial" w:cs="Arial"/>
          <w:sz w:val="20"/>
          <w:szCs w:val="20"/>
        </w:rPr>
        <w:t xml:space="preserve">Aging research on </w:t>
      </w:r>
      <w:r w:rsidR="00B43737" w:rsidRPr="00376CD5">
        <w:rPr>
          <w:rFonts w:ascii="Arial" w:hAnsi="Arial" w:cs="Arial"/>
          <w:i/>
          <w:iCs/>
          <w:sz w:val="20"/>
          <w:szCs w:val="20"/>
        </w:rPr>
        <w:t>C. elegans</w:t>
      </w:r>
      <w:r w:rsidR="00B43737" w:rsidRPr="00376CD5">
        <w:rPr>
          <w:rFonts w:ascii="Arial" w:hAnsi="Arial" w:cs="Arial"/>
          <w:sz w:val="20"/>
          <w:szCs w:val="20"/>
        </w:rPr>
        <w:t xml:space="preserve"> has proven </w:t>
      </w:r>
      <w:r w:rsidR="007B7901" w:rsidRPr="00376CD5">
        <w:rPr>
          <w:rFonts w:ascii="Arial" w:hAnsi="Arial" w:cs="Arial"/>
          <w:sz w:val="20"/>
          <w:szCs w:val="20"/>
        </w:rPr>
        <w:t>help</w:t>
      </w:r>
      <w:r w:rsidR="00B43737" w:rsidRPr="00376CD5">
        <w:rPr>
          <w:rFonts w:ascii="Arial" w:hAnsi="Arial" w:cs="Arial"/>
          <w:sz w:val="20"/>
          <w:szCs w:val="20"/>
        </w:rPr>
        <w:t xml:space="preserve">ful in exploring the role of phytochemicals in promoting </w:t>
      </w:r>
      <w:r w:rsidR="00E524BE" w:rsidRPr="00376CD5">
        <w:rPr>
          <w:rFonts w:ascii="Arial" w:hAnsi="Arial" w:cs="Arial"/>
          <w:sz w:val="20"/>
          <w:szCs w:val="20"/>
        </w:rPr>
        <w:t xml:space="preserve">the </w:t>
      </w:r>
      <w:r w:rsidR="00B43737" w:rsidRPr="00376CD5">
        <w:rPr>
          <w:rFonts w:ascii="Arial" w:hAnsi="Arial" w:cs="Arial"/>
          <w:sz w:val="20"/>
          <w:szCs w:val="20"/>
        </w:rPr>
        <w:t>antiaging and adaptogenic potential of numerous plant extracts and isolated phytochemicals</w:t>
      </w:r>
      <w:r w:rsidR="00DD0ECB" w:rsidRPr="00376CD5">
        <w:rPr>
          <w:rFonts w:ascii="Arial" w:hAnsi="Arial" w:cs="Arial"/>
          <w:sz w:val="20"/>
          <w:szCs w:val="20"/>
        </w:rPr>
        <w:t xml:space="preserve"> </w:t>
      </w:r>
      <w:r w:rsidR="000171FB" w:rsidRPr="00376CD5">
        <w:rPr>
          <w:rFonts w:ascii="Arial" w:hAnsi="Arial" w:cs="Arial"/>
          <w:sz w:val="20"/>
          <w:szCs w:val="20"/>
        </w:rPr>
        <w:t xml:space="preserve"> </w:t>
      </w:r>
      <w:r w:rsidR="009F515E" w:rsidRPr="00376CD5">
        <w:rPr>
          <w:rFonts w:ascii="Arial" w:hAnsi="Arial" w:cs="Arial"/>
          <w:sz w:val="20"/>
          <w:szCs w:val="20"/>
        </w:rPr>
        <w:fldChar w:fldCharType="begin"/>
      </w:r>
      <w:r w:rsidR="001D5D94">
        <w:rPr>
          <w:rFonts w:ascii="Arial" w:hAnsi="Arial" w:cs="Arial"/>
          <w:sz w:val="20"/>
          <w:szCs w:val="20"/>
        </w:rPr>
        <w:instrText xml:space="preserve"> ADDIN ZOTERO_ITEM CSL_CITATION {"citationID":"5En4suXg","properties":{"formattedCitation":"(Ernst et al., 2013; Kim &amp; Park, 2013; Lima et al., 2014)","plainCitation":"(Ernst et al., 2013; Kim &amp; Park, 2013; Lima et al., 2014)","noteIndex":0},"citationItems":[{"id":77,"uris":["http://zotero.org/users/local/rsD5gSSy/items/788D9ACM"],"itemData":{"id":77,"type":"article-journal","abstract":"Acanthopanax sessiliflorus has been used as traditional medicine in many diseases. The extracts from Acanthopanax sessiliflorus leaves were examined for their anti-oxidant activity in vivo. Resistance to oxidative stress was significantly increased by Acanthopanax sessiliflorus extracts. Since increased resistance to oxidative stress is commonly positively correlated with lifespan extension, we determined the effect of Acanthopanax sessiliflorus on lifespan of C. elegans. Both mean and maximum lifespan were markedly increased by Acanthopanax sessiliflorus extracts. In addition, the treatment of Acanthopanax sessiliflorus enhanced the survival of worms under heat stress. However, the reduced fertility or delayed reproduction period frequently accompanied with increased lifespan were not observed in Acanthopanax sessiliflorustreated animals. These findings suggest that Acanthopanax sessiliflorus leaves can confer longevity phenotype without reduced fertility, possibly through their anti-oxidant activity.","container-title":"Food Science and Technology Research","DOI":"10.3136/fstr.19.439","ISSN":"1344-6606, 1881-3984","issue":"3","journalAbbreviation":"FSTR","language":"en","page":"439-444","source":"DOI.org (Crossref)","title":"Effect of Acanthopanax sessiliflorus Extracts on Stress Response and Aging in Caenorhabditis elegans","volume":"19","author":[{"family":"Kim","given":"Chul-Kyu"},{"family":"Park","given":"Sang-Kyu"}],"issued":{"date-parts":[["2013"]]}}},{"id":125,"uris":["http://zotero.org/users/local/rsD5gSSy/items/3ISYI4ED"],"itemData":{"id":125,"type":"article-journal","container-title":"International Journal of Environmental Research and Public Health","DOI":"10.3390/ijerph111010091","ISSN":"1660-4601","issue":"10","journalAbbreviation":"IJERPH","language":"en","page":"10091-10104","source":"DOI.org (Crossref)","title":"Ilex paraguariensis Extract Increases Lifespan and Protects Against the Toxic Effects Caused by Paraquat in Caenorhabditis elegans","volume":"11","author":[{"family":"Lima","given":"Maria"},{"family":"Colpo","given":"Ana"},{"family":"Salgueiro","given":"Willian"},{"family":"Sardinha","given":"Guilherme"},{"family":"Ávila","given":"Daiana"},{"family":"Folmer","given":"Vanderlei"}],"issued":{"date-parts":[["2014",9,26]]}}},{"id":235,"uris":["http://zotero.org/users/local/rsD5gSSy/items/HDA8QBYT"],"itemData":{"id":235,"type":"article-journal","abstract":"We have conducted a comprehensive literature review regarding the effect of vitamin E on lifespan in model organisms including single-cell organisms, rotifers, Caenorhabditis elegans, Drosophila melanogaster and laboratory rodents. We searched Pubmed and ISI Web of knowledge for studies up to 2011 using the terms “tocopherols”, “tocotrienols”, “lifespan” and “longevity” in the above mentioned model organisms. Twenty-four studies were included in the ﬁnal analysis. While some studies suggest an increase in lifespan due to vitamin E, other studies did not observe any vitamin E-mediated changes in lifespan in model organisms. Furthermore there are several studies reporting a decrease in lifespan in response to vitamin E supplementation. Different outcomes between studies may be partly related to species-speciﬁc differences, differences in vitamin E concentrations and the vitamin E congeners administered. The ﬁndings of our literature review suggest that there is no consistent beneﬁcial effect of vitamin E on lifespan in model organisms which is consistent with reports in human intervention studies.","container-title":"Ageing Research Reviews","DOI":"10.1016/j.arr.2012.10.002","ISSN":"15681637","issue":"1","journalAbbreviation":"Ageing Research Reviews","language":"en","page":"365-375","source":"DOI.org (Crossref)","title":"Vitamin E supplementation and lifespan in model organisms","volume":"12","author":[{"family":"Ernst","given":"I.M.A."},{"family":"Pallauf","given":"K."},{"family":"Bendall","given":"J.K."},{"family":"Paulsen","given":"L."},{"family":"Nikolai","given":"S."},{"family":"Huebbe","given":"P."},{"family":"Roeder","given":"T."},{"family":"Rimbach","given":"G."}],"issued":{"date-parts":[["2013",1]]}}}],"schema":"https://github.com/citation-style-language/schema/raw/master/csl-citation.json"} </w:instrText>
      </w:r>
      <w:r w:rsidR="009F515E" w:rsidRPr="00376CD5">
        <w:rPr>
          <w:rFonts w:ascii="Arial" w:hAnsi="Arial" w:cs="Arial"/>
          <w:sz w:val="20"/>
          <w:szCs w:val="20"/>
        </w:rPr>
        <w:fldChar w:fldCharType="separate"/>
      </w:r>
      <w:r w:rsidR="001D5D94" w:rsidRPr="001D5D94">
        <w:rPr>
          <w:rFonts w:ascii="Arial" w:hAnsi="Arial" w:cs="Arial"/>
          <w:sz w:val="20"/>
        </w:rPr>
        <w:t>(Ernst et al., 2013; Kim &amp; Park, 2013; Lima et al., 2014)</w:t>
      </w:r>
      <w:r w:rsidR="009F515E" w:rsidRPr="00376CD5">
        <w:rPr>
          <w:rFonts w:ascii="Arial" w:hAnsi="Arial" w:cs="Arial"/>
          <w:sz w:val="20"/>
          <w:szCs w:val="20"/>
        </w:rPr>
        <w:fldChar w:fldCharType="end"/>
      </w:r>
      <w:r w:rsidR="000171FB" w:rsidRPr="00376CD5">
        <w:rPr>
          <w:rFonts w:ascii="Arial" w:hAnsi="Arial" w:cs="Arial"/>
          <w:sz w:val="20"/>
          <w:szCs w:val="20"/>
        </w:rPr>
        <w:t>.</w:t>
      </w:r>
      <w:r w:rsidR="00C20CCB" w:rsidRPr="00376CD5">
        <w:rPr>
          <w:rFonts w:ascii="Arial" w:hAnsi="Arial" w:cs="Arial"/>
          <w:sz w:val="20"/>
          <w:szCs w:val="20"/>
        </w:rPr>
        <w:t xml:space="preserve"> </w:t>
      </w:r>
      <w:r w:rsidR="009972B5" w:rsidRPr="00376CD5">
        <w:rPr>
          <w:rFonts w:ascii="Arial" w:hAnsi="Arial" w:cs="Arial"/>
          <w:sz w:val="20"/>
          <w:szCs w:val="20"/>
        </w:rPr>
        <w:t xml:space="preserve">Researchers have been able to uncover potential mechanisms of lifespan extension in </w:t>
      </w:r>
      <w:r w:rsidR="009972B5" w:rsidRPr="00376CD5">
        <w:rPr>
          <w:rFonts w:ascii="Arial" w:hAnsi="Arial" w:cs="Arial"/>
          <w:i/>
          <w:iCs/>
          <w:sz w:val="20"/>
          <w:szCs w:val="20"/>
        </w:rPr>
        <w:t>C. elegans</w:t>
      </w:r>
      <w:r w:rsidR="009972B5" w:rsidRPr="00376CD5">
        <w:rPr>
          <w:rFonts w:ascii="Arial" w:hAnsi="Arial" w:cs="Arial"/>
          <w:sz w:val="20"/>
          <w:szCs w:val="20"/>
        </w:rPr>
        <w:t xml:space="preserve"> studies, including effects similar to dietary restriction, suppression of insulin-like growth factor </w:t>
      </w:r>
      <w:r w:rsidR="00F146D8" w:rsidRPr="00376CD5">
        <w:rPr>
          <w:rFonts w:ascii="Arial" w:hAnsi="Arial" w:cs="Arial"/>
          <w:sz w:val="20"/>
          <w:szCs w:val="20"/>
        </w:rPr>
        <w:t>signalling,</w:t>
      </w:r>
      <w:r w:rsidR="009972B5" w:rsidRPr="00376CD5">
        <w:rPr>
          <w:rFonts w:ascii="Arial" w:hAnsi="Arial" w:cs="Arial"/>
          <w:sz w:val="20"/>
          <w:szCs w:val="20"/>
        </w:rPr>
        <w:t xml:space="preserve"> stimulation of antioxidant </w:t>
      </w:r>
      <w:r w:rsidR="00F146D8" w:rsidRPr="00376CD5">
        <w:rPr>
          <w:rFonts w:ascii="Arial" w:hAnsi="Arial" w:cs="Arial"/>
          <w:sz w:val="20"/>
          <w:szCs w:val="20"/>
        </w:rPr>
        <w:t xml:space="preserve">defence </w:t>
      </w:r>
      <w:r w:rsidR="009972B5" w:rsidRPr="00376CD5">
        <w:rPr>
          <w:rFonts w:ascii="Arial" w:hAnsi="Arial" w:cs="Arial"/>
          <w:sz w:val="20"/>
          <w:szCs w:val="20"/>
        </w:rPr>
        <w:t>systems, hormesis, and antimicrobial factors</w:t>
      </w:r>
      <w:r w:rsidR="00B82BB1" w:rsidRPr="00376CD5">
        <w:rPr>
          <w:rFonts w:ascii="Arial" w:hAnsi="Arial" w:cs="Arial"/>
          <w:sz w:val="20"/>
          <w:szCs w:val="20"/>
          <w:shd w:val="clear" w:color="auto" w:fill="FFFFFF"/>
        </w:rPr>
        <w:t xml:space="preserve"> </w:t>
      </w:r>
      <w:r w:rsidR="00B82BB1" w:rsidRPr="00376CD5">
        <w:rPr>
          <w:rFonts w:ascii="Arial" w:hAnsi="Arial" w:cs="Arial"/>
          <w:sz w:val="20"/>
          <w:szCs w:val="20"/>
          <w:shd w:val="clear" w:color="auto" w:fill="FFFFFF"/>
        </w:rPr>
        <w:fldChar w:fldCharType="begin"/>
      </w:r>
      <w:r w:rsidR="001D5D94">
        <w:rPr>
          <w:rFonts w:ascii="Arial" w:hAnsi="Arial" w:cs="Arial"/>
          <w:sz w:val="20"/>
          <w:szCs w:val="20"/>
          <w:shd w:val="clear" w:color="auto" w:fill="FFFFFF"/>
        </w:rPr>
        <w:instrText xml:space="preserve"> ADDIN ZOTERO_ITEM CSL_CITATION {"citationID":"FyXbaa4S","properties":{"formattedCitation":"(Brown et al., 2006; Guha et al., 2013; Hartwig et al., 2009; Pietsch et al., 2009)","plainCitation":"(Brown et al., 2006; Guha et al., 2013; Hartwig et al., 2009; Pietsch et al., 2009)","noteIndex":0},"citationItems":[{"id":53,"uris":["http://zotero.org/users/local/rsD5gSSy/items/SPN4HZA8",["http://zotero.org/users/local/rsD5gSSy/items/SPN4HZA8"]],"itemData":{"id":53,"type":"article-journal","container-title":"AGE","DOI":"10.1007/s11357-012-9459-x","ISSN":"0161-9152, 1574-4647","issue":"5","journalAbbreviation":"AGE","language":"en","page":"1559-1574","source":"DOI.org (Crossref)","title":"The longevity effect of cranberry extract in Caenorhabditis elegans is modulated by daf-16 and osr-1","volume":"35","author":[{"family":"Guha","given":"Sujay"},{"family":"Cao","given":"Min"},{"family":"Kane","given":"Ryan M."},{"family":"Savino","given":"Anthony M."},{"family":"Zou","given":"Sige"},{"family":"Dong","given":"Yuqing"}],"issued":{"date-parts":[["2013",10]]}}},{"id":350,"uris":["http://zotero.org/users/local/rsD5gSSy/items/HIY5MFB4",["http://zotero.org/users/local/rsD5gSSy/items/HIY5MFB4"]],"itemData":{"id":350,"type":"article-journal","abstract":"The nematode Caenorhabditis elegans responds to flavonoid-rich diets with improved health and longevity. The precise mechanism(s) responsible for this remains to be identified, but is believed to be linked to the highly antioxidative properties of flavonoids. This study provides a dissection of lifespan modulation by the flavonoid quercetin. In detail, quercetin was shown not to act as a simple antimicrobial agent or exclusively via radical scavenging capacities. Likewise, lifespan extension had no effect on reproduction and body length. Furthermore, neither a caloric restriction mimetic nor a sirtuin (sir-2.1) dependence was identified as a likely mode of action. However, four genes were pinpointed to be required for the quercetin derived lifespan extension, namely age-1, daf-2, unc-43 and sek-1. The latter two have, to date, not been linked to quercetin-mediated lifespan extension.","container-title":"Biogerontology","DOI":"10.1007/s10522-008-9199-6","ISSN":"1573-6768","issue":"5","journalAbbreviation":"Biogerontology","language":"en","page":"565-578","source":"Springer Link","title":"Quercetin mediated lifespan extension in Caenorhabditis elegans is modulated by age-1, daf-2, sek-1 and unc-43","volume":"10","author":[{"family":"Pietsch","given":"Kerstin"},{"family":"Saul","given":"Nadine"},{"family":"Menzel","given":"Ralph"},{"family":"Stürzenbaum","given":"Stephen R."},{"family":"Steinberg","given":"Christian E. W."}],"issued":{"date-parts":[["2009",10,1]]}}},{"id":229,"uris":["http://zotero.org/users/local/rsD5gSSy/items/ICFGJMMC",["http://zotero.org/users/local/rsD5gSSy/items/ICFGJMMC"]],"itemData":{"id":229,"type":"article-journal","abstract":"Oxidative stress has been associated with both the aging process and the development of age-dependent tissue degenerative pathologies. Beneficial effects of antioxidant therapies to abrogate the deleterious consequences of elevated free radicals are implicated in disease prevention and cost-effective strategy. Previous data have shown protective effects of the polyphenol green tea constituent epigallocatechin gallate (EGCG) and a classic natural antioxidant α-lipoic acid (LA) against oxidative stress and aging. In this study, EGCG and α-lipoic acid were applied to model Caenorhabditis elegans, and their ability to modulate the life span and several age-associated behavioral declines were examined, including: pharyngeal pumping, chemotaxic behavior and amyloid β-associated pathological behavior. It was demonstrated that both antioxidants attenuated the levels of hydrogen peroxide in C. elegans, but their effects on age-dependent decline in behaviors were different. EGCG, but not αlipoic acid, attenuated the rate of decline in pharyngeal pumping behavior in C. elegans. In contrast, α-lipoic acid, but not EGCG, extended mean and maximal life span in C. elegans. Both EGCG and α-lipoic acid were able to facilitate the chemotaxis index and this effect was additive. Furthermore, EGCG, but not α-lipoic acid, moderately alleviated an Aβ-induced pathological behavior in a transgenic C. elegans strain. These results indicate that natural antioxidants can protect against age-dependent behavioral declines. Other protective mechanisms, in addition to their antioxidant properties, may underlie their differential beneficial effects on aging and physiological behaviors.","container-title":"Pharmacology Biochemistry and Behavior","DOI":"10.1016/j.pbb.2006.10.017","ISSN":"00913057","issue":"3","journalAbbreviation":"Pharmacology Biochemistry and Behavior","language":"en","page":"620-628","source":"DOI.org (Crossref)","title":"Beneficial effects of natural antioxidants EGCG and α-lipoic acid on life span and age-dependent behavioral declines in Caenorhabditis elegans","volume":"85","author":[{"family":"Brown","given":"M"},{"family":"Evans","given":"J"},{"family":"Luo","given":"Y"}],"issued":{"date-parts":[["2006",11]]}}},{"id":325,"uris":["http://zotero.org/users/local/rsD5gSSy/items/H2FUZT3N",["http://zotero.org/users/local/rsD5gSSy/items/H2FUZT3N"]],"itemData":{"id":325,"type":"article-journal","abstract":"Reactive oxygen species (ROS) are thought to be a driving force in the aging process. In transgenic Caenorhabditis elegans expressing green fluorescent protein (GFP) under control of the hsp-16.2 promoter (CL2070) 100 μM of the ROS-generator juglone induced GFP-expression. This was associated with translocation of DAF-16 to the nucleus as visualized in a transgenic strain expressing a DAF-16::GFP fusion protein (TJ356) and with increased cellular levels of reduced glutathione. RNA-interference for DAF-16 in CL2070 blocked the juglone-induced HSP-16.2 expression and the increase in glutathione levels. Higher concentrations of juglone did not further increase the adaptive responses but caused premature death, indicating hormetic adaptations unless the stressor exceeds the intrinsic protective capacity. The addition of the ROS-scavenger ascorbic acid finally blocked lifespan reductions and all of the adaptations to juglone stressing that ROS are indeed the molecular species that require protective response.","container-title":"Genes &amp; Nutrition","DOI":"10.1007/s12263-009-0113-x","ISSN":"1865-3499","issue":"1","journalAbbreviation":"Genes Nutr","language":"en","page":"59-67","source":"Springer Link","title":"Feeding a ROS-generator to Caenorhabditis elegans leads to increased expression of small heat shock protein HSP-16.2 and hormesis","volume":"4","author":[{"family":"Hartwig","given":"Kai"},{"family":"Heidler","given":"Tanja"},{"family":"Moch","given":"Jan"},{"family":"Daniel","given":"Hannelore"},{"family":"Wenzel","given":"Uwe"}],"issued":{"date-parts":[["2009",3,1]]}}}],"schema":"https://github.com/citation-style-language/schema/raw/master/csl-citation.json"} </w:instrText>
      </w:r>
      <w:r w:rsidR="00B82BB1" w:rsidRPr="00376CD5">
        <w:rPr>
          <w:rFonts w:ascii="Arial" w:hAnsi="Arial" w:cs="Arial"/>
          <w:sz w:val="20"/>
          <w:szCs w:val="20"/>
          <w:shd w:val="clear" w:color="auto" w:fill="FFFFFF"/>
        </w:rPr>
        <w:fldChar w:fldCharType="separate"/>
      </w:r>
      <w:r w:rsidR="001D5D94" w:rsidRPr="001D5D94">
        <w:rPr>
          <w:rFonts w:ascii="Arial" w:hAnsi="Arial" w:cs="Arial"/>
          <w:sz w:val="20"/>
        </w:rPr>
        <w:t>(Brown et al., 2006; Guha et al., 2013; Hartwig et al., 2009; Pietsch et al., 2009)</w:t>
      </w:r>
      <w:r w:rsidR="00B82BB1" w:rsidRPr="00376CD5">
        <w:rPr>
          <w:rFonts w:ascii="Arial" w:hAnsi="Arial" w:cs="Arial"/>
          <w:sz w:val="20"/>
          <w:szCs w:val="20"/>
          <w:shd w:val="clear" w:color="auto" w:fill="FFFFFF"/>
        </w:rPr>
        <w:fldChar w:fldCharType="end"/>
      </w:r>
      <w:r w:rsidR="00B82BB1" w:rsidRPr="00376CD5">
        <w:rPr>
          <w:rFonts w:ascii="Arial" w:hAnsi="Arial" w:cs="Arial"/>
          <w:sz w:val="20"/>
          <w:szCs w:val="20"/>
          <w:shd w:val="clear" w:color="auto" w:fill="FFFFFF"/>
        </w:rPr>
        <w:t xml:space="preserve">. </w:t>
      </w:r>
    </w:p>
    <w:p w14:paraId="42F99C84" w14:textId="77777777" w:rsidR="008B59C9" w:rsidRPr="00376CD5" w:rsidRDefault="00B023CB" w:rsidP="008B59C9">
      <w:pPr>
        <w:spacing w:before="100" w:beforeAutospacing="1" w:line="240" w:lineRule="auto"/>
        <w:jc w:val="both"/>
        <w:rPr>
          <w:rFonts w:ascii="Arial" w:hAnsi="Arial" w:cs="Arial"/>
          <w:sz w:val="20"/>
          <w:szCs w:val="20"/>
        </w:rPr>
      </w:pPr>
      <w:r w:rsidRPr="00376CD5">
        <w:rPr>
          <w:rFonts w:ascii="Arial" w:hAnsi="Arial" w:cs="Arial"/>
          <w:sz w:val="20"/>
          <w:szCs w:val="20"/>
        </w:rPr>
        <w:t xml:space="preserve">The current investigation involved the preparation of leaf extracts and quantitative analysis to assess the concentration of phenolics and flavonoids, </w:t>
      </w:r>
      <w:r w:rsidR="00026910" w:rsidRPr="00376CD5">
        <w:rPr>
          <w:rFonts w:ascii="Arial" w:hAnsi="Arial" w:cs="Arial"/>
          <w:sz w:val="20"/>
          <w:szCs w:val="20"/>
        </w:rPr>
        <w:t>free radical scavenging activity</w:t>
      </w:r>
      <w:r w:rsidRPr="00376CD5">
        <w:rPr>
          <w:rFonts w:ascii="Arial" w:hAnsi="Arial" w:cs="Arial"/>
          <w:sz w:val="20"/>
          <w:szCs w:val="20"/>
        </w:rPr>
        <w:t>, and</w:t>
      </w:r>
      <w:r w:rsidR="00026910" w:rsidRPr="00376CD5">
        <w:rPr>
          <w:rFonts w:ascii="Arial" w:hAnsi="Arial" w:cs="Arial"/>
          <w:sz w:val="20"/>
          <w:szCs w:val="20"/>
        </w:rPr>
        <w:t xml:space="preserve"> antioxidant activity</w:t>
      </w:r>
      <w:r w:rsidRPr="00376CD5">
        <w:rPr>
          <w:rFonts w:ascii="Arial" w:hAnsi="Arial" w:cs="Arial"/>
          <w:sz w:val="20"/>
          <w:szCs w:val="20"/>
        </w:rPr>
        <w:t xml:space="preserve">. </w:t>
      </w:r>
      <w:r w:rsidR="007B0C6A" w:rsidRPr="00376CD5">
        <w:rPr>
          <w:rFonts w:ascii="Arial" w:hAnsi="Arial" w:cs="Arial"/>
          <w:sz w:val="20"/>
          <w:szCs w:val="20"/>
        </w:rPr>
        <w:t>Further</w:t>
      </w:r>
      <w:r w:rsidR="004F3E0A" w:rsidRPr="00376CD5">
        <w:rPr>
          <w:rFonts w:ascii="Arial" w:hAnsi="Arial" w:cs="Arial"/>
          <w:sz w:val="20"/>
          <w:szCs w:val="20"/>
        </w:rPr>
        <w:t>,</w:t>
      </w:r>
      <w:r w:rsidR="00026910" w:rsidRPr="00376CD5">
        <w:rPr>
          <w:rFonts w:ascii="Arial" w:hAnsi="Arial" w:cs="Arial"/>
          <w:sz w:val="20"/>
          <w:szCs w:val="20"/>
        </w:rPr>
        <w:t xml:space="preserve"> in vivo studies were carried out on </w:t>
      </w:r>
      <w:r w:rsidR="00026910" w:rsidRPr="00376CD5">
        <w:rPr>
          <w:rFonts w:ascii="Arial" w:hAnsi="Arial" w:cs="Arial"/>
          <w:i/>
          <w:iCs/>
          <w:sz w:val="20"/>
          <w:szCs w:val="20"/>
        </w:rPr>
        <w:t>C. elegans</w:t>
      </w:r>
      <w:r w:rsidR="00026910" w:rsidRPr="00376CD5">
        <w:rPr>
          <w:rFonts w:ascii="Arial" w:hAnsi="Arial" w:cs="Arial"/>
          <w:sz w:val="20"/>
          <w:szCs w:val="20"/>
        </w:rPr>
        <w:t xml:space="preserve"> wild-type organisms to evaluate the extracts' antiaging capabilities. </w:t>
      </w:r>
    </w:p>
    <w:p w14:paraId="1D2F5630" w14:textId="77777777" w:rsidR="008B59C9" w:rsidRPr="00376CD5" w:rsidRDefault="001B70FF" w:rsidP="008B59C9">
      <w:pPr>
        <w:spacing w:before="100" w:beforeAutospacing="1" w:line="240" w:lineRule="auto"/>
        <w:rPr>
          <w:rFonts w:ascii="Arial" w:hAnsi="Arial" w:cs="Arial"/>
          <w:sz w:val="20"/>
          <w:szCs w:val="20"/>
        </w:rPr>
      </w:pPr>
      <w:r w:rsidRPr="00376CD5">
        <w:rPr>
          <w:rFonts w:ascii="Arial" w:hAnsi="Arial" w:cs="Arial"/>
          <w:b/>
          <w:bCs/>
        </w:rPr>
        <w:t>MATERIALS AND METHODS</w:t>
      </w:r>
    </w:p>
    <w:p w14:paraId="1C97A1E0" w14:textId="72C57BE8" w:rsidR="00E93EB7" w:rsidRPr="00167D47" w:rsidRDefault="00E93EB7" w:rsidP="008B59C9">
      <w:pPr>
        <w:spacing w:before="100" w:beforeAutospacing="1" w:line="240" w:lineRule="auto"/>
        <w:rPr>
          <w:rFonts w:ascii="Arial" w:hAnsi="Arial" w:cs="Arial"/>
          <w:b/>
          <w:bCs/>
        </w:rPr>
      </w:pPr>
      <w:r w:rsidRPr="00167D47">
        <w:rPr>
          <w:rFonts w:ascii="Arial" w:hAnsi="Arial" w:cs="Arial"/>
          <w:b/>
          <w:bCs/>
        </w:rPr>
        <w:t xml:space="preserve">Collection of plant </w:t>
      </w:r>
      <w:r w:rsidR="00B023CB" w:rsidRPr="00167D47">
        <w:rPr>
          <w:rFonts w:ascii="Arial" w:hAnsi="Arial" w:cs="Arial"/>
          <w:b/>
          <w:bCs/>
        </w:rPr>
        <w:t>&amp;</w:t>
      </w:r>
      <w:r w:rsidRPr="00167D47">
        <w:rPr>
          <w:rFonts w:ascii="Arial" w:hAnsi="Arial" w:cs="Arial"/>
          <w:b/>
          <w:bCs/>
        </w:rPr>
        <w:t xml:space="preserve"> preparation of plant extracts</w:t>
      </w:r>
    </w:p>
    <w:p w14:paraId="7068AB23" w14:textId="77777777" w:rsidR="00712C71" w:rsidRPr="00376CD5" w:rsidRDefault="00B023CB" w:rsidP="008B59C9">
      <w:pPr>
        <w:spacing w:before="100" w:beforeAutospacing="1" w:after="0" w:line="240" w:lineRule="auto"/>
        <w:jc w:val="both"/>
        <w:rPr>
          <w:rFonts w:ascii="Arial" w:hAnsi="Arial" w:cs="Arial"/>
          <w:sz w:val="20"/>
          <w:szCs w:val="20"/>
        </w:rPr>
      </w:pPr>
      <w:r w:rsidRPr="00376CD5">
        <w:rPr>
          <w:rFonts w:ascii="Arial" w:hAnsi="Arial" w:cs="Arial"/>
          <w:i/>
          <w:sz w:val="20"/>
          <w:szCs w:val="20"/>
        </w:rPr>
        <w:t xml:space="preserve">Plants of C. roseus </w:t>
      </w:r>
      <w:r w:rsidRPr="00376CD5">
        <w:rPr>
          <w:rFonts w:ascii="Arial" w:hAnsi="Arial" w:cs="Arial"/>
          <w:iCs/>
          <w:sz w:val="20"/>
          <w:szCs w:val="20"/>
        </w:rPr>
        <w:t xml:space="preserve">were gathered from the greenhouse of the Loyola </w:t>
      </w:r>
      <w:proofErr w:type="spellStart"/>
      <w:r w:rsidRPr="00376CD5">
        <w:rPr>
          <w:rFonts w:ascii="Arial" w:hAnsi="Arial" w:cs="Arial"/>
          <w:iCs/>
          <w:sz w:val="20"/>
          <w:szCs w:val="20"/>
        </w:rPr>
        <w:t>Center</w:t>
      </w:r>
      <w:proofErr w:type="spellEnd"/>
      <w:r w:rsidRPr="00376CD5">
        <w:rPr>
          <w:rFonts w:ascii="Arial" w:hAnsi="Arial" w:cs="Arial"/>
          <w:iCs/>
          <w:sz w:val="20"/>
          <w:szCs w:val="20"/>
        </w:rPr>
        <w:t xml:space="preserve"> for Research and Development (LCRD). Plant extracts were prepared using the leaves of </w:t>
      </w:r>
      <w:r w:rsidRPr="00376CD5">
        <w:rPr>
          <w:rFonts w:ascii="Arial" w:hAnsi="Arial" w:cs="Arial"/>
          <w:i/>
          <w:sz w:val="20"/>
          <w:szCs w:val="20"/>
        </w:rPr>
        <w:t>C. roseus</w:t>
      </w:r>
      <w:r w:rsidRPr="00376CD5">
        <w:rPr>
          <w:rFonts w:ascii="Arial" w:hAnsi="Arial" w:cs="Arial"/>
          <w:iCs/>
          <w:sz w:val="20"/>
          <w:szCs w:val="20"/>
        </w:rPr>
        <w:t xml:space="preserve">. After giving the </w:t>
      </w:r>
      <w:proofErr w:type="gramStart"/>
      <w:r w:rsidRPr="00376CD5">
        <w:rPr>
          <w:rFonts w:ascii="Arial" w:hAnsi="Arial" w:cs="Arial"/>
          <w:iCs/>
          <w:sz w:val="20"/>
          <w:szCs w:val="20"/>
        </w:rPr>
        <w:t>sample</w:t>
      </w:r>
      <w:proofErr w:type="gramEnd"/>
      <w:r w:rsidRPr="00376CD5">
        <w:rPr>
          <w:rFonts w:ascii="Arial" w:hAnsi="Arial" w:cs="Arial"/>
          <w:iCs/>
          <w:sz w:val="20"/>
          <w:szCs w:val="20"/>
        </w:rPr>
        <w:t xml:space="preserve"> a thorough wash under running water, it was left to dry for 10 days in the shade. Using a blender, </w:t>
      </w:r>
      <w:r w:rsidR="00B073D8" w:rsidRPr="00376CD5">
        <w:rPr>
          <w:rFonts w:ascii="Arial" w:hAnsi="Arial" w:cs="Arial"/>
          <w:iCs/>
          <w:sz w:val="20"/>
          <w:szCs w:val="20"/>
        </w:rPr>
        <w:t>20 g</w:t>
      </w:r>
      <w:r w:rsidRPr="00376CD5">
        <w:rPr>
          <w:rFonts w:ascii="Arial" w:hAnsi="Arial" w:cs="Arial"/>
          <w:iCs/>
          <w:sz w:val="20"/>
          <w:szCs w:val="20"/>
        </w:rPr>
        <w:t xml:space="preserve"> dry material was ground into a powder, and</w:t>
      </w:r>
      <w:r w:rsidR="00B073D8" w:rsidRPr="00376CD5">
        <w:rPr>
          <w:rFonts w:ascii="Arial" w:hAnsi="Arial" w:cs="Arial"/>
          <w:iCs/>
          <w:sz w:val="20"/>
          <w:szCs w:val="20"/>
        </w:rPr>
        <w:t xml:space="preserve"> 400 ml </w:t>
      </w:r>
      <w:proofErr w:type="gramStart"/>
      <w:r w:rsidR="00B073D8" w:rsidRPr="00376CD5">
        <w:rPr>
          <w:rFonts w:ascii="Arial" w:hAnsi="Arial" w:cs="Arial"/>
          <w:iCs/>
          <w:sz w:val="20"/>
          <w:szCs w:val="20"/>
        </w:rPr>
        <w:t xml:space="preserve">of </w:t>
      </w:r>
      <w:r w:rsidRPr="00376CD5">
        <w:rPr>
          <w:rFonts w:ascii="Arial" w:hAnsi="Arial" w:cs="Arial"/>
          <w:iCs/>
          <w:sz w:val="20"/>
          <w:szCs w:val="20"/>
        </w:rPr>
        <w:t xml:space="preserve"> </w:t>
      </w:r>
      <w:proofErr w:type="spellStart"/>
      <w:r w:rsidRPr="00376CD5">
        <w:rPr>
          <w:rFonts w:ascii="Arial" w:hAnsi="Arial" w:cs="Arial"/>
          <w:iCs/>
          <w:sz w:val="20"/>
          <w:szCs w:val="20"/>
        </w:rPr>
        <w:t>ethanol</w:t>
      </w:r>
      <w:proofErr w:type="gramEnd"/>
      <w:r w:rsidRPr="00376CD5">
        <w:rPr>
          <w:rFonts w:ascii="Arial" w:hAnsi="Arial" w:cs="Arial"/>
          <w:iCs/>
          <w:sz w:val="20"/>
          <w:szCs w:val="20"/>
        </w:rPr>
        <w:t>:water</w:t>
      </w:r>
      <w:proofErr w:type="spellEnd"/>
      <w:r w:rsidRPr="00376CD5">
        <w:rPr>
          <w:rFonts w:ascii="Arial" w:hAnsi="Arial" w:cs="Arial"/>
          <w:iCs/>
          <w:sz w:val="20"/>
          <w:szCs w:val="20"/>
        </w:rPr>
        <w:t xml:space="preserve"> (70:30) was used as the solvent to prepare the extracts using either sonication or maceration.</w:t>
      </w:r>
      <w:r w:rsidRPr="00376CD5">
        <w:rPr>
          <w:rFonts w:ascii="Arial" w:hAnsi="Arial" w:cs="Arial"/>
          <w:i/>
          <w:sz w:val="20"/>
          <w:szCs w:val="20"/>
        </w:rPr>
        <w:t xml:space="preserve"> </w:t>
      </w:r>
      <w:r w:rsidR="00E93EB7" w:rsidRPr="00376CD5">
        <w:rPr>
          <w:rStyle w:val="Emphasis"/>
          <w:rFonts w:ascii="Arial" w:hAnsi="Arial" w:cs="Arial"/>
          <w:i w:val="0"/>
          <w:sz w:val="20"/>
          <w:szCs w:val="20"/>
        </w:rPr>
        <w:t xml:space="preserve">The sonication was carried out in a </w:t>
      </w:r>
      <w:r w:rsidR="00E93EB7" w:rsidRPr="00376CD5">
        <w:rPr>
          <w:rStyle w:val="Emphasis"/>
          <w:rFonts w:ascii="Arial" w:hAnsi="Arial" w:cs="Arial"/>
          <w:i w:val="0"/>
          <w:noProof/>
          <w:sz w:val="20"/>
          <w:szCs w:val="20"/>
        </w:rPr>
        <w:t>bath</w:t>
      </w:r>
      <w:r w:rsidR="00E93EB7" w:rsidRPr="00376CD5">
        <w:rPr>
          <w:rStyle w:val="Emphasis"/>
          <w:rFonts w:ascii="Arial" w:hAnsi="Arial" w:cs="Arial"/>
          <w:i w:val="0"/>
          <w:sz w:val="20"/>
          <w:szCs w:val="20"/>
        </w:rPr>
        <w:t xml:space="preserve"> </w:t>
      </w:r>
      <w:r w:rsidR="00E93EB7" w:rsidRPr="00376CD5">
        <w:rPr>
          <w:rStyle w:val="Emphasis"/>
          <w:rFonts w:ascii="Arial" w:hAnsi="Arial" w:cs="Arial"/>
          <w:i w:val="0"/>
          <w:noProof/>
          <w:sz w:val="20"/>
          <w:szCs w:val="20"/>
        </w:rPr>
        <w:t>sonicator</w:t>
      </w:r>
      <w:r w:rsidR="00E93EB7" w:rsidRPr="00376CD5">
        <w:rPr>
          <w:rFonts w:ascii="Arial" w:hAnsi="Arial" w:cs="Arial"/>
          <w:i/>
          <w:noProof/>
          <w:sz w:val="20"/>
          <w:szCs w:val="20"/>
        </w:rPr>
        <w:t xml:space="preserve"> </w:t>
      </w:r>
      <w:r w:rsidR="00E93EB7" w:rsidRPr="00376CD5">
        <w:rPr>
          <w:rFonts w:ascii="Arial" w:hAnsi="Arial" w:cs="Arial"/>
          <w:iCs/>
          <w:noProof/>
          <w:sz w:val="20"/>
          <w:szCs w:val="20"/>
        </w:rPr>
        <w:t>for</w:t>
      </w:r>
      <w:r w:rsidR="00E93EB7" w:rsidRPr="00376CD5">
        <w:rPr>
          <w:rFonts w:ascii="Arial" w:hAnsi="Arial" w:cs="Arial"/>
          <w:iCs/>
          <w:sz w:val="20"/>
          <w:szCs w:val="20"/>
        </w:rPr>
        <w:t xml:space="preserve"> 60 minutes at room temperature</w:t>
      </w:r>
      <w:r w:rsidR="00B073D8" w:rsidRPr="00376CD5">
        <w:rPr>
          <w:rFonts w:ascii="Arial" w:hAnsi="Arial" w:cs="Arial"/>
          <w:iCs/>
          <w:sz w:val="20"/>
          <w:szCs w:val="20"/>
        </w:rPr>
        <w:t xml:space="preserve"> for the 3 </w:t>
      </w:r>
      <w:proofErr w:type="gramStart"/>
      <w:r w:rsidR="00B073D8" w:rsidRPr="00376CD5">
        <w:rPr>
          <w:rFonts w:ascii="Arial" w:hAnsi="Arial" w:cs="Arial"/>
          <w:iCs/>
          <w:sz w:val="20"/>
          <w:szCs w:val="20"/>
        </w:rPr>
        <w:t>cycle</w:t>
      </w:r>
      <w:proofErr w:type="gramEnd"/>
      <w:r w:rsidR="00E93EB7" w:rsidRPr="00376CD5">
        <w:rPr>
          <w:rFonts w:ascii="Arial" w:hAnsi="Arial" w:cs="Arial"/>
          <w:iCs/>
          <w:sz w:val="20"/>
          <w:szCs w:val="20"/>
        </w:rPr>
        <w:t xml:space="preserve">. </w:t>
      </w:r>
      <w:r w:rsidR="00B073D8" w:rsidRPr="00376CD5">
        <w:rPr>
          <w:rFonts w:ascii="Arial" w:hAnsi="Arial" w:cs="Arial"/>
          <w:iCs/>
          <w:sz w:val="20"/>
          <w:szCs w:val="20"/>
        </w:rPr>
        <w:t xml:space="preserve">Extracts from each cycle </w:t>
      </w:r>
      <w:r w:rsidR="00E93EB7" w:rsidRPr="00376CD5">
        <w:rPr>
          <w:rFonts w:ascii="Arial" w:hAnsi="Arial" w:cs="Arial"/>
          <w:sz w:val="20"/>
          <w:szCs w:val="20"/>
        </w:rPr>
        <w:t xml:space="preserve">were pooled and </w:t>
      </w:r>
      <w:r w:rsidR="00B073D8" w:rsidRPr="00376CD5">
        <w:rPr>
          <w:rFonts w:ascii="Arial" w:hAnsi="Arial" w:cs="Arial"/>
          <w:sz w:val="20"/>
          <w:szCs w:val="20"/>
        </w:rPr>
        <w:t>concentrated</w:t>
      </w:r>
      <w:r w:rsidR="00E93EB7" w:rsidRPr="00376CD5">
        <w:rPr>
          <w:rFonts w:ascii="Arial" w:hAnsi="Arial" w:cs="Arial"/>
          <w:sz w:val="20"/>
          <w:szCs w:val="20"/>
        </w:rPr>
        <w:t>. The cold extraction was carried out at 20</w:t>
      </w:r>
      <w:r w:rsidR="00B073D8" w:rsidRPr="00376CD5">
        <w:rPr>
          <w:rFonts w:ascii="Arial" w:hAnsi="Arial" w:cs="Arial"/>
          <w:sz w:val="20"/>
          <w:szCs w:val="20"/>
        </w:rPr>
        <w:t xml:space="preserve"> </w:t>
      </w:r>
      <w:proofErr w:type="spellStart"/>
      <w:r w:rsidR="00B073D8" w:rsidRPr="00376CD5">
        <w:rPr>
          <w:rFonts w:ascii="Arial" w:hAnsi="Arial" w:cs="Arial"/>
          <w:sz w:val="20"/>
          <w:szCs w:val="20"/>
          <w:vertAlign w:val="superscript"/>
        </w:rPr>
        <w:t>o</w:t>
      </w:r>
      <w:r w:rsidR="00B073D8" w:rsidRPr="00376CD5">
        <w:rPr>
          <w:rFonts w:ascii="Arial" w:hAnsi="Arial" w:cs="Arial"/>
          <w:sz w:val="20"/>
          <w:szCs w:val="20"/>
        </w:rPr>
        <w:t>C</w:t>
      </w:r>
      <w:proofErr w:type="spellEnd"/>
      <w:r w:rsidR="00E93EB7" w:rsidRPr="00376CD5">
        <w:rPr>
          <w:rStyle w:val="Emphasis"/>
          <w:rFonts w:ascii="Arial" w:hAnsi="Arial" w:cs="Arial"/>
          <w:i w:val="0"/>
          <w:iCs w:val="0"/>
          <w:sz w:val="20"/>
          <w:szCs w:val="20"/>
        </w:rPr>
        <w:t xml:space="preserve"> in </w:t>
      </w:r>
      <w:r w:rsidR="007B7901" w:rsidRPr="00376CD5">
        <w:rPr>
          <w:rStyle w:val="Emphasis"/>
          <w:rFonts w:ascii="Arial" w:hAnsi="Arial" w:cs="Arial"/>
          <w:i w:val="0"/>
          <w:iCs w:val="0"/>
          <w:sz w:val="20"/>
          <w:szCs w:val="20"/>
        </w:rPr>
        <w:t xml:space="preserve">a </w:t>
      </w:r>
      <w:r w:rsidR="00E93EB7" w:rsidRPr="00376CD5">
        <w:rPr>
          <w:rStyle w:val="Emphasis"/>
          <w:rFonts w:ascii="Arial" w:hAnsi="Arial" w:cs="Arial"/>
          <w:i w:val="0"/>
          <w:iCs w:val="0"/>
          <w:sz w:val="20"/>
          <w:szCs w:val="20"/>
        </w:rPr>
        <w:t>B.O.D. incubator cum shaker in continuously agitated conditions at 100 RPM</w:t>
      </w:r>
      <w:r w:rsidR="00B073D8" w:rsidRPr="00376CD5">
        <w:rPr>
          <w:rStyle w:val="Emphasis"/>
          <w:rFonts w:ascii="Arial" w:hAnsi="Arial" w:cs="Arial"/>
          <w:i w:val="0"/>
          <w:iCs w:val="0"/>
          <w:sz w:val="20"/>
          <w:szCs w:val="20"/>
        </w:rPr>
        <w:t xml:space="preserve"> till the plant material turned colourless</w:t>
      </w:r>
      <w:r w:rsidR="00E93EB7" w:rsidRPr="00376CD5">
        <w:rPr>
          <w:rStyle w:val="Emphasis"/>
          <w:rFonts w:ascii="Arial" w:hAnsi="Arial" w:cs="Arial"/>
          <w:i w:val="0"/>
          <w:iCs w:val="0"/>
          <w:sz w:val="20"/>
          <w:szCs w:val="20"/>
        </w:rPr>
        <w:t xml:space="preserve">. </w:t>
      </w:r>
      <w:r w:rsidR="00B073D8" w:rsidRPr="00376CD5">
        <w:rPr>
          <w:rStyle w:val="Emphasis"/>
          <w:rFonts w:ascii="Arial" w:hAnsi="Arial" w:cs="Arial"/>
          <w:i w:val="0"/>
          <w:iCs w:val="0"/>
          <w:noProof/>
          <w:sz w:val="20"/>
          <w:szCs w:val="20"/>
        </w:rPr>
        <w:t xml:space="preserve">The extracts were concentrated, and in both </w:t>
      </w:r>
      <w:r w:rsidR="00A60824" w:rsidRPr="00376CD5">
        <w:rPr>
          <w:rStyle w:val="Emphasis"/>
          <w:rFonts w:ascii="Arial" w:hAnsi="Arial" w:cs="Arial"/>
          <w:i w:val="0"/>
          <w:iCs w:val="0"/>
          <w:noProof/>
          <w:sz w:val="20"/>
          <w:szCs w:val="20"/>
        </w:rPr>
        <w:t>cases</w:t>
      </w:r>
      <w:r w:rsidR="00B073D8" w:rsidRPr="00376CD5">
        <w:rPr>
          <w:rStyle w:val="Emphasis"/>
          <w:rFonts w:ascii="Arial" w:hAnsi="Arial" w:cs="Arial"/>
          <w:i w:val="0"/>
          <w:iCs w:val="0"/>
          <w:noProof/>
          <w:sz w:val="20"/>
          <w:szCs w:val="20"/>
        </w:rPr>
        <w:t xml:space="preserve">, </w:t>
      </w:r>
      <w:r w:rsidR="00B073D8" w:rsidRPr="00376CD5">
        <w:rPr>
          <w:rFonts w:ascii="Arial" w:hAnsi="Arial" w:cs="Arial"/>
          <w:sz w:val="20"/>
          <w:szCs w:val="20"/>
        </w:rPr>
        <w:t>a</w:t>
      </w:r>
      <w:r w:rsidRPr="00376CD5">
        <w:rPr>
          <w:rFonts w:ascii="Arial" w:hAnsi="Arial" w:cs="Arial"/>
          <w:sz w:val="20"/>
          <w:szCs w:val="20"/>
        </w:rPr>
        <w:t xml:space="preserve"> stock solution containing 100 mg of extract per </w:t>
      </w:r>
      <w:r w:rsidR="007B0C6A" w:rsidRPr="00376CD5">
        <w:rPr>
          <w:rFonts w:ascii="Arial" w:hAnsi="Arial" w:cs="Arial"/>
          <w:sz w:val="20"/>
          <w:szCs w:val="20"/>
        </w:rPr>
        <w:t xml:space="preserve">millilitre </w:t>
      </w:r>
      <w:r w:rsidRPr="00376CD5">
        <w:rPr>
          <w:rFonts w:ascii="Arial" w:hAnsi="Arial" w:cs="Arial"/>
          <w:sz w:val="20"/>
          <w:szCs w:val="20"/>
        </w:rPr>
        <w:t xml:space="preserve">was created by dissolving the extract in molecular biology-grade DMSO following solvent evaporation. The yield calculation </w:t>
      </w:r>
      <w:r w:rsidR="007C24C6" w:rsidRPr="00376CD5">
        <w:rPr>
          <w:rFonts w:ascii="Arial" w:hAnsi="Arial" w:cs="Arial"/>
          <w:sz w:val="20"/>
          <w:szCs w:val="20"/>
        </w:rPr>
        <w:t>formula was:</w:t>
      </w:r>
      <w:r w:rsidRPr="00376CD5">
        <w:rPr>
          <w:rFonts w:ascii="Arial" w:hAnsi="Arial" w:cs="Arial"/>
          <w:sz w:val="20"/>
          <w:szCs w:val="20"/>
        </w:rPr>
        <w:t xml:space="preserve"> </w:t>
      </w:r>
    </w:p>
    <w:p w14:paraId="10858613" w14:textId="2C059D00" w:rsidR="007C24C6" w:rsidRPr="00376CD5" w:rsidRDefault="00E93EB7" w:rsidP="008B59C9">
      <w:pPr>
        <w:spacing w:before="100" w:beforeAutospacing="1" w:after="0" w:line="240" w:lineRule="auto"/>
        <w:jc w:val="both"/>
        <w:rPr>
          <w:rFonts w:ascii="Arial" w:hAnsi="Arial" w:cs="Arial"/>
          <w:sz w:val="20"/>
          <w:szCs w:val="20"/>
        </w:rPr>
      </w:pPr>
      <w:r w:rsidRPr="00376CD5">
        <w:rPr>
          <w:rFonts w:ascii="Arial" w:hAnsi="Arial" w:cs="Arial"/>
          <w:b/>
          <w:sz w:val="20"/>
          <w:szCs w:val="20"/>
        </w:rPr>
        <w:t>Yield</w:t>
      </w:r>
      <w:r w:rsidRPr="00376CD5">
        <w:rPr>
          <w:rFonts w:ascii="Arial" w:hAnsi="Arial" w:cs="Arial"/>
          <w:sz w:val="20"/>
          <w:szCs w:val="20"/>
        </w:rPr>
        <w:t xml:space="preserve"> = (Weight of crucible with extract- Weight of the empty crucible)/ weight of dried plant material used </w:t>
      </w:r>
      <w:r w:rsidR="00175F06" w:rsidRPr="00376CD5">
        <w:rPr>
          <w:rFonts w:ascii="Arial" w:hAnsi="Arial" w:cs="Arial"/>
          <w:sz w:val="20"/>
          <w:szCs w:val="20"/>
        </w:rPr>
        <w:t>for</w:t>
      </w:r>
      <w:r w:rsidRPr="00376CD5">
        <w:rPr>
          <w:rFonts w:ascii="Arial" w:hAnsi="Arial" w:cs="Arial"/>
          <w:sz w:val="20"/>
          <w:szCs w:val="20"/>
        </w:rPr>
        <w:t xml:space="preserve"> extraction.</w:t>
      </w:r>
      <w:r w:rsidR="00712C71" w:rsidRPr="00376CD5">
        <w:rPr>
          <w:rFonts w:ascii="Arial" w:hAnsi="Arial" w:cs="Arial"/>
          <w:sz w:val="20"/>
          <w:szCs w:val="20"/>
        </w:rPr>
        <w:t xml:space="preserve"> </w:t>
      </w:r>
      <w:r w:rsidR="007C24C6" w:rsidRPr="00376CD5">
        <w:rPr>
          <w:rFonts w:ascii="Arial" w:hAnsi="Arial" w:cs="Arial"/>
          <w:sz w:val="20"/>
          <w:szCs w:val="20"/>
        </w:rPr>
        <w:t>The extracts were stored at 4</w:t>
      </w:r>
      <w:r w:rsidR="00A60824" w:rsidRPr="00376CD5">
        <w:rPr>
          <w:rFonts w:ascii="Arial" w:hAnsi="Arial" w:cs="Arial"/>
          <w:sz w:val="20"/>
          <w:szCs w:val="20"/>
        </w:rPr>
        <w:t xml:space="preserve"> </w:t>
      </w:r>
      <w:proofErr w:type="spellStart"/>
      <w:r w:rsidR="007C24C6" w:rsidRPr="00376CD5">
        <w:rPr>
          <w:rFonts w:ascii="Arial" w:hAnsi="Arial" w:cs="Arial"/>
          <w:sz w:val="20"/>
          <w:szCs w:val="20"/>
          <w:vertAlign w:val="superscript"/>
        </w:rPr>
        <w:t>o</w:t>
      </w:r>
      <w:r w:rsidR="007C24C6" w:rsidRPr="00376CD5">
        <w:rPr>
          <w:rFonts w:ascii="Arial" w:hAnsi="Arial" w:cs="Arial"/>
          <w:sz w:val="20"/>
          <w:szCs w:val="20"/>
        </w:rPr>
        <w:t>C</w:t>
      </w:r>
      <w:proofErr w:type="spellEnd"/>
      <w:r w:rsidR="007C24C6" w:rsidRPr="00376CD5">
        <w:rPr>
          <w:rFonts w:ascii="Arial" w:hAnsi="Arial" w:cs="Arial"/>
          <w:sz w:val="20"/>
          <w:szCs w:val="20"/>
        </w:rPr>
        <w:t xml:space="preserve"> </w:t>
      </w:r>
      <w:r w:rsidR="007C24C6" w:rsidRPr="00376CD5">
        <w:rPr>
          <w:rFonts w:ascii="Arial" w:hAnsi="Arial" w:cs="Arial"/>
          <w:noProof/>
          <w:sz w:val="20"/>
          <w:szCs w:val="20"/>
        </w:rPr>
        <w:t>until</w:t>
      </w:r>
      <w:r w:rsidR="007C24C6" w:rsidRPr="00376CD5">
        <w:rPr>
          <w:rFonts w:ascii="Arial" w:hAnsi="Arial" w:cs="Arial"/>
          <w:sz w:val="20"/>
          <w:szCs w:val="20"/>
        </w:rPr>
        <w:t xml:space="preserve"> further use.</w:t>
      </w:r>
    </w:p>
    <w:p w14:paraId="6D75373B" w14:textId="606F4077" w:rsidR="007C24C6" w:rsidRPr="00167D47" w:rsidRDefault="000A13EA" w:rsidP="00167D47">
      <w:pPr>
        <w:spacing w:before="100" w:beforeAutospacing="1" w:line="240" w:lineRule="auto"/>
        <w:rPr>
          <w:rFonts w:ascii="Arial" w:hAnsi="Arial" w:cs="Arial"/>
          <w:b/>
          <w:iCs/>
          <w:caps/>
        </w:rPr>
      </w:pPr>
      <w:r w:rsidRPr="00167D47">
        <w:rPr>
          <w:rFonts w:ascii="Arial" w:hAnsi="Arial" w:cs="Arial"/>
          <w:b/>
          <w:iCs/>
        </w:rPr>
        <w:t>Quantification of phenolics and flavonoids</w:t>
      </w:r>
    </w:p>
    <w:p w14:paraId="31B9A08A" w14:textId="007D3DBF" w:rsidR="00712C71" w:rsidRPr="00376CD5" w:rsidRDefault="00EA5300" w:rsidP="001D5D94">
      <w:pPr>
        <w:spacing w:before="100" w:beforeAutospacing="1" w:after="0" w:line="240" w:lineRule="auto"/>
        <w:jc w:val="both"/>
        <w:rPr>
          <w:rFonts w:ascii="Arial" w:hAnsi="Arial" w:cs="Arial"/>
          <w:sz w:val="20"/>
          <w:szCs w:val="20"/>
        </w:rPr>
      </w:pPr>
      <w:r w:rsidRPr="00376CD5">
        <w:rPr>
          <w:rFonts w:ascii="Arial" w:hAnsi="Arial" w:cs="Arial"/>
          <w:sz w:val="20"/>
          <w:szCs w:val="20"/>
        </w:rPr>
        <w:t>The total phenolic and flavonoid content of each plant extract was determined using the Folin–</w:t>
      </w:r>
      <w:proofErr w:type="spellStart"/>
      <w:r w:rsidRPr="00376CD5">
        <w:rPr>
          <w:rFonts w:ascii="Arial" w:hAnsi="Arial" w:cs="Arial"/>
          <w:sz w:val="20"/>
          <w:szCs w:val="20"/>
        </w:rPr>
        <w:t>Ciocalteu’s</w:t>
      </w:r>
      <w:proofErr w:type="spellEnd"/>
      <w:r w:rsidRPr="00376CD5">
        <w:rPr>
          <w:rFonts w:ascii="Arial" w:hAnsi="Arial" w:cs="Arial"/>
          <w:sz w:val="20"/>
          <w:szCs w:val="20"/>
        </w:rPr>
        <w:t xml:space="preserve"> (F-C) method and an AlCl</w:t>
      </w:r>
      <w:r w:rsidRPr="00376CD5">
        <w:rPr>
          <w:rFonts w:ascii="Arial" w:hAnsi="Arial" w:cs="Arial"/>
          <w:sz w:val="20"/>
          <w:szCs w:val="20"/>
          <w:vertAlign w:val="subscript"/>
        </w:rPr>
        <w:t xml:space="preserve">3 </w:t>
      </w:r>
      <w:r w:rsidRPr="00376CD5">
        <w:rPr>
          <w:rFonts w:ascii="Arial" w:hAnsi="Arial" w:cs="Arial"/>
          <w:sz w:val="20"/>
          <w:szCs w:val="20"/>
        </w:rPr>
        <w:t>method, with modifications taken from Doshi S</w:t>
      </w:r>
      <w:r w:rsidR="007C24C6" w:rsidRPr="00376CD5">
        <w:rPr>
          <w:rFonts w:ascii="Arial" w:hAnsi="Arial" w:cs="Arial"/>
          <w:sz w:val="20"/>
          <w:szCs w:val="20"/>
        </w:rPr>
        <w:t xml:space="preserve"> </w:t>
      </w:r>
      <w:r w:rsidR="00BD2EFD" w:rsidRPr="00376CD5">
        <w:rPr>
          <w:rFonts w:ascii="Arial" w:hAnsi="Arial" w:cs="Arial"/>
          <w:sz w:val="20"/>
          <w:szCs w:val="20"/>
        </w:rPr>
        <w:fldChar w:fldCharType="begin"/>
      </w:r>
      <w:r w:rsidR="001D5D94">
        <w:rPr>
          <w:rFonts w:ascii="Arial" w:hAnsi="Arial" w:cs="Arial"/>
          <w:sz w:val="20"/>
          <w:szCs w:val="20"/>
        </w:rPr>
        <w:instrText xml:space="preserve"> ADDIN ZOTERO_ITEM CSL_CITATION {"citationID":"qwxx1zPz","properties":{"formattedCitation":"(Doshi &amp; Braganza, 2018)","plainCitation":"(Doshi &amp; Braganza, 2018)","noteIndex":0},"citationItems":[{"id":285,"uris":["http://zotero.org/users/local/rsD5gSSy/items/6VV3FW4R"],"itemData":{"id":285,"type":"article-journal","abstract":"BACKGROUND: Argyreia boseana Santapau and Patel commonly known as Kumbharao belongs to the family of Convolvulaceae. The plant is rare in distribution and found chiefly in the dediapada region of Gujarat. Traditionally it is used by the tribals of south Gujarat forest region in the treatment of various diseases of the nervous system. In order to study the scientific basis of the plants effect we set out to investigate the effect of the plant on ageing organisms and used Caenorhabditis elegans as a model.\nOBJECTIVE: In the present study the objective is to evaluate the effect of crude extract of leaves, prepared from A. boseana on oxidative stress, thermal stress, longevity and in vivo gene expression of C. elegans.\nMATERIAL AND METHODS: Plant extracts was prepared by sonication based method using solvent ethanol:water. Longevity experiments were carried out in liquid S media. Oxidative stress was induced by paraquat.\nRESULT: Results indicate no increase in the normal life span of C. elegans. However, A. boseana significantly induces stress tolerance and increased the mean lifespan of worms during thermal and oxidative stress. Additionally A. boseana was also able to up regulate the stress associated gene gst-4.\nCONCLUSION: Thus the present study, for the first time, unravels the anti-stress and ROS modulating effect of A. boseana.","container-title":"Journal of Ayurveda and Integrative Medicine","DOI":"10.1016/j.jaim.2017.11.001","ISSN":"0975-9476","journalAbbreviation":"J Ayurveda Integr Med","language":"eng","note":"PMID: 30448258","source":"PubMed","title":"Ameliorative effect of Argyreia boseana Sant. &amp; Pat. on stress in Caenorhabditis elegans","author":[{"family":"Doshi","given":"Shital"},{"family":"Braganza","given":"Vincent"}],"issued":{"date-parts":[["2018",11,15]]}}}],"schema":"https://github.com/citation-style-language/schema/raw/master/csl-citation.json"} </w:instrText>
      </w:r>
      <w:r w:rsidR="00BD2EFD" w:rsidRPr="00376CD5">
        <w:rPr>
          <w:rFonts w:ascii="Arial" w:hAnsi="Arial" w:cs="Arial"/>
          <w:sz w:val="20"/>
          <w:szCs w:val="20"/>
        </w:rPr>
        <w:fldChar w:fldCharType="separate"/>
      </w:r>
      <w:r w:rsidR="001D5D94" w:rsidRPr="001D5D94">
        <w:rPr>
          <w:rFonts w:ascii="Arial" w:hAnsi="Arial" w:cs="Arial"/>
          <w:sz w:val="20"/>
        </w:rPr>
        <w:t>(Doshi &amp; Braganza, 2018)</w:t>
      </w:r>
      <w:r w:rsidR="00BD2EFD" w:rsidRPr="00376CD5">
        <w:rPr>
          <w:rFonts w:ascii="Arial" w:hAnsi="Arial" w:cs="Arial"/>
          <w:sz w:val="20"/>
          <w:szCs w:val="20"/>
        </w:rPr>
        <w:fldChar w:fldCharType="end"/>
      </w:r>
      <w:r w:rsidR="009F515E" w:rsidRPr="00376CD5">
        <w:rPr>
          <w:rFonts w:ascii="Arial" w:hAnsi="Arial" w:cs="Arial"/>
          <w:sz w:val="20"/>
          <w:szCs w:val="20"/>
        </w:rPr>
        <w:t xml:space="preserve">. </w:t>
      </w:r>
      <w:r w:rsidR="00F40FD4" w:rsidRPr="00376CD5">
        <w:rPr>
          <w:rFonts w:ascii="Arial" w:hAnsi="Arial" w:cs="Arial"/>
          <w:sz w:val="20"/>
          <w:szCs w:val="20"/>
        </w:rPr>
        <w:t xml:space="preserve">To measure total </w:t>
      </w:r>
      <w:proofErr w:type="gramStart"/>
      <w:r w:rsidR="00F40FD4" w:rsidRPr="00376CD5">
        <w:rPr>
          <w:rFonts w:ascii="Arial" w:hAnsi="Arial" w:cs="Arial"/>
          <w:sz w:val="20"/>
          <w:szCs w:val="20"/>
        </w:rPr>
        <w:t>phenolics,  25</w:t>
      </w:r>
      <w:proofErr w:type="gramEnd"/>
      <w:r w:rsidR="009F515E" w:rsidRPr="00376CD5">
        <w:rPr>
          <w:rFonts w:ascii="Arial" w:hAnsi="Arial" w:cs="Arial"/>
          <w:sz w:val="20"/>
          <w:szCs w:val="20"/>
        </w:rPr>
        <w:t xml:space="preserve"> </w:t>
      </w:r>
      <w:r w:rsidR="00F40FD4" w:rsidRPr="00376CD5">
        <w:rPr>
          <w:rFonts w:ascii="Arial" w:hAnsi="Arial" w:cs="Arial"/>
          <w:sz w:val="20"/>
          <w:szCs w:val="20"/>
        </w:rPr>
        <w:t xml:space="preserve">µl of diluted F-C reagent (1:10 ratio) and 5µl of standard or sample </w:t>
      </w:r>
      <w:r w:rsidR="007C24C6" w:rsidRPr="00376CD5">
        <w:rPr>
          <w:rFonts w:ascii="Arial" w:hAnsi="Arial" w:cs="Arial"/>
          <w:sz w:val="20"/>
          <w:szCs w:val="20"/>
        </w:rPr>
        <w:t>w</w:t>
      </w:r>
      <w:r w:rsidR="000768B3" w:rsidRPr="00376CD5">
        <w:rPr>
          <w:rFonts w:ascii="Arial" w:hAnsi="Arial" w:cs="Arial"/>
          <w:sz w:val="20"/>
          <w:szCs w:val="20"/>
        </w:rPr>
        <w:t>as</w:t>
      </w:r>
      <w:r w:rsidR="007C24C6" w:rsidRPr="00376CD5">
        <w:rPr>
          <w:rFonts w:ascii="Arial" w:hAnsi="Arial" w:cs="Arial"/>
          <w:sz w:val="20"/>
          <w:szCs w:val="20"/>
        </w:rPr>
        <w:t xml:space="preserve"> added </w:t>
      </w:r>
      <w:r w:rsidR="00F40FD4" w:rsidRPr="00376CD5">
        <w:rPr>
          <w:rFonts w:ascii="Arial" w:hAnsi="Arial" w:cs="Arial"/>
          <w:sz w:val="20"/>
          <w:szCs w:val="20"/>
        </w:rPr>
        <w:t>to each well of a 96-well plate. Following a 6-minute incubation period, 40</w:t>
      </w:r>
      <w:r w:rsidR="009F515E" w:rsidRPr="00376CD5">
        <w:rPr>
          <w:rFonts w:ascii="Arial" w:hAnsi="Arial" w:cs="Arial"/>
          <w:sz w:val="20"/>
          <w:szCs w:val="20"/>
        </w:rPr>
        <w:t xml:space="preserve"> </w:t>
      </w:r>
      <w:r w:rsidR="00F40FD4" w:rsidRPr="00376CD5">
        <w:rPr>
          <w:rFonts w:ascii="Arial" w:hAnsi="Arial" w:cs="Arial"/>
          <w:sz w:val="20"/>
          <w:szCs w:val="20"/>
        </w:rPr>
        <w:t>µl of 75</w:t>
      </w:r>
      <w:r w:rsidR="009F515E" w:rsidRPr="00376CD5">
        <w:rPr>
          <w:rFonts w:ascii="Arial" w:hAnsi="Arial" w:cs="Arial"/>
          <w:sz w:val="20"/>
          <w:szCs w:val="20"/>
        </w:rPr>
        <w:t xml:space="preserve"> </w:t>
      </w:r>
      <w:r w:rsidR="00F40FD4" w:rsidRPr="00376CD5">
        <w:rPr>
          <w:rFonts w:ascii="Arial" w:hAnsi="Arial" w:cs="Arial"/>
          <w:sz w:val="20"/>
          <w:szCs w:val="20"/>
        </w:rPr>
        <w:t>g/l</w:t>
      </w:r>
      <w:r w:rsidRPr="00376CD5">
        <w:rPr>
          <w:rFonts w:ascii="Arial" w:hAnsi="Arial" w:cs="Arial"/>
          <w:sz w:val="20"/>
          <w:szCs w:val="20"/>
        </w:rPr>
        <w:t xml:space="preserve"> </w:t>
      </w:r>
      <w:r w:rsidR="00F40FD4" w:rsidRPr="00376CD5">
        <w:rPr>
          <w:rFonts w:ascii="Arial" w:hAnsi="Arial" w:cs="Arial"/>
          <w:sz w:val="20"/>
          <w:szCs w:val="20"/>
        </w:rPr>
        <w:t>Na</w:t>
      </w:r>
      <w:r w:rsidR="00F40FD4" w:rsidRPr="00376CD5">
        <w:rPr>
          <w:rFonts w:ascii="Arial" w:hAnsi="Arial" w:cs="Arial"/>
          <w:sz w:val="20"/>
          <w:szCs w:val="20"/>
          <w:vertAlign w:val="subscript"/>
        </w:rPr>
        <w:t>2</w:t>
      </w:r>
      <w:r w:rsidR="00F40FD4" w:rsidRPr="00376CD5">
        <w:rPr>
          <w:rFonts w:ascii="Arial" w:hAnsi="Arial" w:cs="Arial"/>
          <w:sz w:val="20"/>
          <w:szCs w:val="20"/>
        </w:rPr>
        <w:t>CO</w:t>
      </w:r>
      <w:r w:rsidR="00F40FD4" w:rsidRPr="00376CD5">
        <w:rPr>
          <w:rFonts w:ascii="Arial" w:hAnsi="Arial" w:cs="Arial"/>
          <w:sz w:val="20"/>
          <w:szCs w:val="20"/>
          <w:vertAlign w:val="subscript"/>
        </w:rPr>
        <w:t>3</w:t>
      </w:r>
      <w:r w:rsidR="00F40FD4" w:rsidRPr="00376CD5">
        <w:rPr>
          <w:rFonts w:ascii="Arial" w:hAnsi="Arial" w:cs="Arial"/>
          <w:sz w:val="20"/>
          <w:szCs w:val="20"/>
        </w:rPr>
        <w:t xml:space="preserve"> was added to each well. After 90 </w:t>
      </w:r>
      <w:r w:rsidR="004D7BC2" w:rsidRPr="00376CD5">
        <w:rPr>
          <w:rFonts w:ascii="Arial" w:hAnsi="Arial" w:cs="Arial"/>
          <w:sz w:val="20"/>
          <w:szCs w:val="20"/>
        </w:rPr>
        <w:t>“</w:t>
      </w:r>
      <w:r w:rsidR="00F40FD4" w:rsidRPr="00376CD5">
        <w:rPr>
          <w:rFonts w:ascii="Arial" w:hAnsi="Arial" w:cs="Arial"/>
          <w:sz w:val="20"/>
          <w:szCs w:val="20"/>
        </w:rPr>
        <w:t>minutes of dark incubation, the absorbance at 765 nm was measured on the plate. In order to measure flavonoids, 96-well plates were filled with 100 µl of distilled water, 10 µl of NaNO</w:t>
      </w:r>
      <w:r w:rsidR="00F40FD4" w:rsidRPr="00376CD5">
        <w:rPr>
          <w:rFonts w:ascii="Arial" w:hAnsi="Arial" w:cs="Arial"/>
          <w:sz w:val="20"/>
          <w:szCs w:val="20"/>
          <w:vertAlign w:val="subscript"/>
        </w:rPr>
        <w:t>2</w:t>
      </w:r>
      <w:r w:rsidR="009F515E" w:rsidRPr="00376CD5">
        <w:rPr>
          <w:rFonts w:ascii="Arial" w:hAnsi="Arial" w:cs="Arial"/>
          <w:sz w:val="20"/>
          <w:szCs w:val="20"/>
          <w:vertAlign w:val="subscript"/>
        </w:rPr>
        <w:t xml:space="preserve"> </w:t>
      </w:r>
      <w:r w:rsidR="00F40FD4" w:rsidRPr="00376CD5">
        <w:rPr>
          <w:rFonts w:ascii="Arial" w:hAnsi="Arial" w:cs="Arial"/>
          <w:sz w:val="20"/>
          <w:szCs w:val="20"/>
        </w:rPr>
        <w:t>(50 g/l), and 5</w:t>
      </w:r>
      <w:r w:rsidR="009F515E" w:rsidRPr="00376CD5">
        <w:rPr>
          <w:rFonts w:ascii="Arial" w:hAnsi="Arial" w:cs="Arial"/>
          <w:sz w:val="20"/>
          <w:szCs w:val="20"/>
        </w:rPr>
        <w:t xml:space="preserve"> </w:t>
      </w:r>
      <w:r w:rsidR="00F40FD4" w:rsidRPr="00376CD5">
        <w:rPr>
          <w:rFonts w:ascii="Arial" w:hAnsi="Arial" w:cs="Arial"/>
          <w:sz w:val="20"/>
          <w:szCs w:val="20"/>
        </w:rPr>
        <w:t>µl of the sample</w:t>
      </w:r>
      <w:r w:rsidR="004D7BC2" w:rsidRPr="00376CD5">
        <w:rPr>
          <w:rFonts w:ascii="Arial" w:hAnsi="Arial" w:cs="Arial"/>
          <w:sz w:val="20"/>
          <w:szCs w:val="20"/>
        </w:rPr>
        <w:t>”</w:t>
      </w:r>
      <w:r w:rsidR="00F40FD4" w:rsidRPr="00376CD5">
        <w:rPr>
          <w:rFonts w:ascii="Arial" w:hAnsi="Arial" w:cs="Arial"/>
          <w:sz w:val="20"/>
          <w:szCs w:val="20"/>
        </w:rPr>
        <w:t xml:space="preserve"> or standard. Five minutes later, 15µl of </w:t>
      </w:r>
      <w:r w:rsidR="00125036" w:rsidRPr="00376CD5">
        <w:rPr>
          <w:rFonts w:ascii="Arial" w:hAnsi="Arial" w:cs="Arial"/>
          <w:sz w:val="20"/>
          <w:szCs w:val="20"/>
        </w:rPr>
        <w:t>100</w:t>
      </w:r>
      <w:r w:rsidR="009F515E" w:rsidRPr="00376CD5">
        <w:rPr>
          <w:rFonts w:ascii="Arial" w:hAnsi="Arial" w:cs="Arial"/>
          <w:sz w:val="20"/>
          <w:szCs w:val="20"/>
        </w:rPr>
        <w:t xml:space="preserve"> </w:t>
      </w:r>
      <w:r w:rsidR="00125036" w:rsidRPr="00376CD5">
        <w:rPr>
          <w:rFonts w:ascii="Arial" w:hAnsi="Arial" w:cs="Arial"/>
          <w:sz w:val="20"/>
          <w:szCs w:val="20"/>
        </w:rPr>
        <w:t>g/</w:t>
      </w:r>
      <w:r w:rsidR="00637D2D" w:rsidRPr="00376CD5">
        <w:rPr>
          <w:rFonts w:ascii="Arial" w:hAnsi="Arial" w:cs="Arial"/>
          <w:sz w:val="20"/>
          <w:szCs w:val="20"/>
        </w:rPr>
        <w:t>l</w:t>
      </w:r>
      <w:r w:rsidR="00125036" w:rsidRPr="00376CD5">
        <w:rPr>
          <w:rFonts w:ascii="Arial" w:hAnsi="Arial" w:cs="Arial"/>
          <w:sz w:val="20"/>
          <w:szCs w:val="20"/>
        </w:rPr>
        <w:t xml:space="preserve"> AlCl</w:t>
      </w:r>
      <w:r w:rsidR="00125036" w:rsidRPr="00376CD5">
        <w:rPr>
          <w:rFonts w:ascii="Arial" w:hAnsi="Arial" w:cs="Arial"/>
          <w:sz w:val="20"/>
          <w:szCs w:val="20"/>
          <w:vertAlign w:val="subscript"/>
        </w:rPr>
        <w:t>3</w:t>
      </w:r>
      <w:r w:rsidR="00F40FD4" w:rsidRPr="00376CD5">
        <w:rPr>
          <w:rFonts w:ascii="Arial" w:hAnsi="Arial" w:cs="Arial"/>
          <w:sz w:val="20"/>
          <w:szCs w:val="20"/>
        </w:rPr>
        <w:t xml:space="preserve"> was added, and six minutes were then allowed for the plate to incubate. Each well was then filled with 50µl of 1MNaOH and 50µl of water. After 30 seconds of shaking the plate, the absorbance at 510nm was measured. Total phenolics were measured using gallic acid as a standard, and the outcomes were reported as gallic acid equivalent. Rutin was used as the </w:t>
      </w:r>
      <w:r w:rsidR="00167D47">
        <w:rPr>
          <w:rFonts w:ascii="Arial" w:hAnsi="Arial" w:cs="Arial"/>
          <w:sz w:val="20"/>
          <w:szCs w:val="20"/>
        </w:rPr>
        <w:t>flavonoid benchmark</w:t>
      </w:r>
      <w:r w:rsidR="00F40FD4" w:rsidRPr="00376CD5">
        <w:rPr>
          <w:rFonts w:ascii="Arial" w:hAnsi="Arial" w:cs="Arial"/>
          <w:sz w:val="20"/>
          <w:szCs w:val="20"/>
        </w:rPr>
        <w:t>, and the outcomes were reported as rutin equivalent.</w:t>
      </w:r>
    </w:p>
    <w:p w14:paraId="0B351F47" w14:textId="2A76FC4B" w:rsidR="006F101C" w:rsidRPr="00167D47" w:rsidRDefault="000A13EA" w:rsidP="00167D47">
      <w:pPr>
        <w:spacing w:before="100" w:beforeAutospacing="1" w:after="0" w:line="240" w:lineRule="auto"/>
        <w:rPr>
          <w:rFonts w:ascii="Arial" w:hAnsi="Arial" w:cs="Arial"/>
          <w:b/>
        </w:rPr>
      </w:pPr>
      <w:r w:rsidRPr="00167D47">
        <w:rPr>
          <w:rFonts w:ascii="Arial" w:hAnsi="Arial" w:cs="Arial"/>
          <w:b/>
          <w:iCs/>
        </w:rPr>
        <w:t>Determination of nitric oxide free radical scavenging activity of plant extracts</w:t>
      </w:r>
    </w:p>
    <w:p w14:paraId="20D767E6" w14:textId="4DB0C8D1" w:rsidR="00175F06" w:rsidRPr="00376CD5" w:rsidRDefault="00697B88" w:rsidP="001D5D94">
      <w:pPr>
        <w:autoSpaceDE w:val="0"/>
        <w:autoSpaceDN w:val="0"/>
        <w:adjustRightInd w:val="0"/>
        <w:spacing w:before="100" w:beforeAutospacing="1" w:after="0" w:line="240" w:lineRule="auto"/>
        <w:jc w:val="both"/>
        <w:rPr>
          <w:rFonts w:ascii="Arial" w:hAnsi="Arial" w:cs="Arial"/>
          <w:sz w:val="20"/>
          <w:szCs w:val="20"/>
        </w:rPr>
      </w:pPr>
      <w:r w:rsidRPr="00376CD5">
        <w:rPr>
          <w:rFonts w:ascii="Arial" w:hAnsi="Arial" w:cs="Arial"/>
          <w:sz w:val="20"/>
          <w:szCs w:val="20"/>
        </w:rPr>
        <w:lastRenderedPageBreak/>
        <w:t>T</w:t>
      </w:r>
      <w:r w:rsidR="00DA1F08" w:rsidRPr="00376CD5">
        <w:rPr>
          <w:rFonts w:ascii="Arial" w:hAnsi="Arial" w:cs="Arial"/>
          <w:sz w:val="20"/>
          <w:szCs w:val="20"/>
        </w:rPr>
        <w:t xml:space="preserve">he extracts' ability to scavenge free radicals using </w:t>
      </w:r>
      <w:r w:rsidRPr="00376CD5">
        <w:rPr>
          <w:rFonts w:ascii="Arial" w:hAnsi="Arial" w:cs="Arial"/>
          <w:sz w:val="20"/>
          <w:szCs w:val="20"/>
        </w:rPr>
        <w:t>Nitric Oxide</w:t>
      </w:r>
      <w:r w:rsidR="00DA1F08" w:rsidRPr="00376CD5">
        <w:rPr>
          <w:rFonts w:ascii="Arial" w:hAnsi="Arial" w:cs="Arial"/>
          <w:sz w:val="20"/>
          <w:szCs w:val="20"/>
        </w:rPr>
        <w:t xml:space="preserve"> was evaluated</w:t>
      </w:r>
      <w:r w:rsidRPr="00376CD5">
        <w:rPr>
          <w:rFonts w:ascii="Arial" w:hAnsi="Arial" w:cs="Arial"/>
          <w:sz w:val="20"/>
          <w:szCs w:val="20"/>
        </w:rPr>
        <w:t xml:space="preserve"> by sodium Nitroprusside method using Griess reagent as per the method adopted from Ebrahimzadeh </w:t>
      </w:r>
      <w:r w:rsidR="004E009D" w:rsidRPr="00376CD5">
        <w:rPr>
          <w:rFonts w:ascii="Arial" w:hAnsi="Arial" w:cs="Arial"/>
          <w:sz w:val="20"/>
          <w:szCs w:val="20"/>
        </w:rPr>
        <w:t>et al.</w:t>
      </w:r>
      <w:r w:rsidRPr="00376CD5">
        <w:rPr>
          <w:rFonts w:ascii="Arial" w:hAnsi="Arial" w:cs="Arial"/>
          <w:sz w:val="20"/>
          <w:szCs w:val="20"/>
        </w:rPr>
        <w:fldChar w:fldCharType="begin"/>
      </w:r>
      <w:r w:rsidR="001D5D94">
        <w:rPr>
          <w:rFonts w:ascii="Arial" w:hAnsi="Arial" w:cs="Arial"/>
          <w:sz w:val="20"/>
          <w:szCs w:val="20"/>
        </w:rPr>
        <w:instrText xml:space="preserve"> ADDIN ZOTERO_ITEM CSL_CITATION {"citationID":"5jl4bP4R","properties":{"formattedCitation":"(Ebrahimzadeh et al., n.d.)","plainCitation":"(Ebrahimzadeh et al., n.d.)","noteIndex":0},"citationItems":[{"id":474,"uris":["http://zotero.org/users/local/rsD5gSSy/items/SV8SUHQ3"],"itemData":{"id":474,"type":"article-journal","abstract":"Traditionally corn silk (CS) has been used as diuretic, antilithiasic, uricosuric, and antiseptic. It is used for the treatment of edema as well as for cystitis, gout, kidney stones, nephritis, and prostatitis. In the present study, the antioxidant properties of ethanol-water extract from CS were estimated by different methods. Also phenol and flavonoid content of the extract were measured by Folin Ciocalteu and AlCl3 assays. CS extract contained a significant amount of phenol and flavonoids. The percentage of DPPH radical scavenged by CS extract was 92.6 at a concentration of 1.6 mg ml–1. IC50 of the extract and the standard compounds butylated hydroxytoluene (BHA) and quercetin was 0.59, 0.053, and 0.025 mg ml–1, respectively. Iron chelating activity of the extract was less than the standard compounds. CS extract showed nitric oxide-scavenging effect less than the reference agent (quercetin). The extract showed a high reducing ability. According to ferric thiocyanate (FTC) method, the extract showed more than 88% inhibition of linoleic acid peroxidation. It might be concluded that some of the properties of CS in traditional medicine is due to its antioxidant ability.","language":"en","source":"Zotero","title":"Antioxidant Activities of Iranian Corn Silk","author":[{"family":"Ebrahimzadeh","given":"Mohammad Ali"},{"family":"Pourmorad","given":"Fereshteh"},{"family":"Hafezi","given":"Samira"}]}}],"schema":"https://github.com/citation-style-language/schema/raw/master/csl-citation.json"} </w:instrText>
      </w:r>
      <w:r w:rsidRPr="00376CD5">
        <w:rPr>
          <w:rFonts w:ascii="Arial" w:hAnsi="Arial" w:cs="Arial"/>
          <w:sz w:val="20"/>
          <w:szCs w:val="20"/>
        </w:rPr>
        <w:fldChar w:fldCharType="separate"/>
      </w:r>
      <w:r w:rsidR="001D5D94" w:rsidRPr="001D5D94">
        <w:rPr>
          <w:rFonts w:ascii="Arial" w:hAnsi="Arial" w:cs="Arial"/>
          <w:sz w:val="20"/>
        </w:rPr>
        <w:t>(Ebrahimzadeh et al., n.d.)</w:t>
      </w:r>
      <w:r w:rsidRPr="00376CD5">
        <w:rPr>
          <w:rFonts w:ascii="Arial" w:hAnsi="Arial" w:cs="Arial"/>
          <w:sz w:val="20"/>
          <w:szCs w:val="20"/>
        </w:rPr>
        <w:fldChar w:fldCharType="end"/>
      </w:r>
      <w:r w:rsidRPr="00376CD5">
        <w:rPr>
          <w:rFonts w:ascii="Arial" w:hAnsi="Arial" w:cs="Arial"/>
          <w:sz w:val="20"/>
          <w:szCs w:val="20"/>
        </w:rPr>
        <w:t>.</w:t>
      </w:r>
      <w:r w:rsidR="00DA1F08" w:rsidRPr="00376CD5">
        <w:rPr>
          <w:rFonts w:ascii="Arial" w:hAnsi="Arial" w:cs="Arial"/>
          <w:sz w:val="20"/>
          <w:szCs w:val="20"/>
        </w:rPr>
        <w:t xml:space="preserve"> </w:t>
      </w:r>
      <w:r w:rsidR="004E009D" w:rsidRPr="00376CD5">
        <w:rPr>
          <w:rFonts w:ascii="Arial" w:hAnsi="Arial" w:cs="Arial"/>
          <w:sz w:val="20"/>
          <w:szCs w:val="20"/>
        </w:rPr>
        <w:t xml:space="preserve">Absorbance was measured at 596nm and </w:t>
      </w:r>
    </w:p>
    <w:p w14:paraId="7CF005A9" w14:textId="57193D15" w:rsidR="003A5C3A" w:rsidRDefault="006D61B2" w:rsidP="001D5D94">
      <w:pPr>
        <w:autoSpaceDE w:val="0"/>
        <w:autoSpaceDN w:val="0"/>
        <w:adjustRightInd w:val="0"/>
        <w:spacing w:before="100" w:beforeAutospacing="1" w:after="0" w:line="240" w:lineRule="auto"/>
        <w:jc w:val="both"/>
        <w:rPr>
          <w:rFonts w:ascii="Arial" w:hAnsi="Arial" w:cs="Arial"/>
          <w:sz w:val="20"/>
          <w:szCs w:val="20"/>
        </w:rPr>
      </w:pPr>
      <w:r w:rsidRPr="00376CD5">
        <w:rPr>
          <w:rFonts w:ascii="Arial" w:hAnsi="Arial" w:cs="Arial"/>
          <w:sz w:val="20"/>
          <w:szCs w:val="20"/>
        </w:rPr>
        <w:t>the formula given below,</w:t>
      </w:r>
      <w:r w:rsidR="00DA1F08" w:rsidRPr="00376CD5">
        <w:rPr>
          <w:rFonts w:ascii="Arial" w:hAnsi="Arial" w:cs="Arial"/>
          <w:sz w:val="20"/>
          <w:szCs w:val="20"/>
        </w:rPr>
        <w:t xml:space="preserve"> was used to calculate the percentage inhibition</w:t>
      </w:r>
      <w:r w:rsidR="006E40AC" w:rsidRPr="00376CD5">
        <w:rPr>
          <w:rFonts w:ascii="Arial" w:hAnsi="Arial" w:cs="Arial"/>
          <w:sz w:val="20"/>
          <w:szCs w:val="20"/>
        </w:rPr>
        <w:t xml:space="preserve"> </w:t>
      </w:r>
      <w:r w:rsidR="006E40AC" w:rsidRPr="00376CD5">
        <w:rPr>
          <w:rFonts w:ascii="Arial" w:hAnsi="Arial" w:cs="Arial"/>
          <w:sz w:val="20"/>
          <w:szCs w:val="20"/>
        </w:rPr>
        <w:fldChar w:fldCharType="begin"/>
      </w:r>
      <w:r w:rsidR="001D5D94">
        <w:rPr>
          <w:rFonts w:ascii="Arial" w:hAnsi="Arial" w:cs="Arial"/>
          <w:sz w:val="20"/>
          <w:szCs w:val="20"/>
        </w:rPr>
        <w:instrText xml:space="preserve"> ADDIN ZOTERO_ITEM CSL_CITATION {"citationID":"qFayXKP6","properties":{"formattedCitation":"(Ali et al., 2020; Habu &amp; Ibeh, 2015)","plainCitation":"(Ali et al., 2020; Habu &amp; Ibeh, 2015)","noteIndex":0},"citationItems":[{"id":467,"uris":["http://zotero.org/users/local/rsD5gSSy/items/QJJYB3V5"],"itemData":{"id":467,"type":"article-journal","abstract":"This article describes free radical scavenging activity of TEMPO (2, 2, 6, 6-tetramethylpiperidin-1-yloxyl) radical functionalized dendrimers of generation G0 - G4 against nitric oxide (NO), 1, 1-diphenyl-2-picrylhydrazyl (DPPH) and hydrogen peroxide (H2O2) radicals. The total antioxidant activity of the dendrimers was also reported and compared with pure 4-hydoxy TEMPO (constituent of dendrimers) and ascorbic acid (vitamin C) standard. The activity of TEMPO functionalized G4 dendrimer against scavenging of nitric oxide and hydrogen peroxide radicals was found comparable to vitamin C. The data presented in this article supports the good antioxidant activity of the dendrimers newly reported in our previous publication (Radical dendrimers: Synthesis, anti-tumor activity and enhanced cytoprotective performance of TEMPO free radical functionalized polyurethane dendrimers).","container-title":"Data in Brief","DOI":"10.1016/j.dib.2019.104972","ISSN":"2352-3409","journalAbbreviation":"Data in Brief","page":"104972","source":"ScienceDirect","title":"Nitric oxide, DPPH and hydrogen peroxide radical scavenging activity of TEMPO terminated polyurethane dendrimers: Data supporting antioxidant activity of radical dendrimers","title-short":"Nitric oxide, DPPH and hydrogen peroxide radical scavenging activity of TEMPO terminated polyurethane dendrimers","volume":"28","author":[{"family":"Ali","given":"Badusha Mohamad"},{"family":"Boothapandi","given":"Madakkannu"},{"family":"Sultan Nasar","given":"AbdulSalam"}],"issued":{"date-parts":[["2020",2,1]]}}},{"id":470,"uris":["http://zotero.org/users/local/rsD5gSSy/items/QJVTKCFM"],"itemData":{"id":470,"type":"article-journal","abstract":"Background\nThe aim of the present study was to evaluate the in vitro antioxidant and free radical scavenging capacity of bioactive metabolites present in Newbouldia laevis leaf extract.\n\nResults\nChromatographic and spectrophotometric methods were used in the study and modified where necessary in the study. Bioactivity of the extract was determined at 10 μg/ml, 50 μg/ml, 100 μg/ml, 200 μg/ml and 400 μg/ml concentrations expressed in % inhibition. The yield of the ethanolic leaf extract of N.laevis was 30.3 g (9.93%). Evaluation of bioactive metabolic constituents gave high levels of ascorbic acid (515.53 ± 12 IU/100 g [25.7 mg/100 g]), vitamin E (26.46 ± 1.08 IU/100 g), saponins (6.2 ± 0.10), alkaloids (2.20 ± 0.03), cardiac glycosides(1.48 ± 0.22), amino acids and steroids (8.01 ± 0.04) measured in mg/100 g dry weight; moderate levels of vitamin A (188.28 ± 6.19 IU/100 g), tannins (0.09 ± 0.30), terpenoids (3.42 ± 0.67); low level of flavonoids (1.01 ± 0.34 mg/100 g) and absence of cyanogenic glycosides, carboxylic acids and aldehydes/ketones. The extracts percentage inhibition of DPPH, hydroxyl radical (OH.), superoxide anion (O2.-), iron chelating, nitric oxide radical (NO), peroxynitrite (ONOO−), singlet oxygen (1O2), hypochlorous acid (HOCl), lipid peroxidation (LPO) and FRAP showed a concentration-dependent antioxidant activity with no significant difference with the controls. Though, IC50 of the extract showed significant difference only in singlet oxygen (1O2) and iron chelating activity when compared with the controls.\n\nConclusions\nThe extract is a potential source of antioxidants/free radical scavengers having important metabolites which maybe linked to its ethno-medicinal use.","container-title":"Biological Research","DOI":"10.1186/s40659-015-0007-x","ISSN":"0716-9760","issue":"1","journalAbbreviation":"Biol Res","note":"PMID: 25849161\nPMCID: PMC4380105","page":"16","source":"PubMed Central","title":"In vitro antioxidant capacity and free radical scavenging evaluation of active metabolite constituents of Newbouldia laevis ethanolic leaf extract","volume":"48","author":[{"family":"Habu","given":"Josiah Bitrus"},{"family":"Ibeh","given":"Bartholomew Okechukwu"}],"issued":{"date-parts":[["2015",3,14]]}}}],"schema":"https://github.com/citation-style-language/schema/raw/master/csl-citation.json"} </w:instrText>
      </w:r>
      <w:r w:rsidR="006E40AC" w:rsidRPr="00376CD5">
        <w:rPr>
          <w:rFonts w:ascii="Arial" w:hAnsi="Arial" w:cs="Arial"/>
          <w:sz w:val="20"/>
          <w:szCs w:val="20"/>
        </w:rPr>
        <w:fldChar w:fldCharType="separate"/>
      </w:r>
      <w:r w:rsidR="001D5D94" w:rsidRPr="001D5D94">
        <w:rPr>
          <w:rFonts w:ascii="Arial" w:hAnsi="Arial" w:cs="Arial"/>
          <w:sz w:val="20"/>
        </w:rPr>
        <w:t>(Ali et al., 2020; Habu &amp; Ibeh, 2015)</w:t>
      </w:r>
      <w:r w:rsidR="006E40AC" w:rsidRPr="00376CD5">
        <w:rPr>
          <w:rFonts w:ascii="Arial" w:hAnsi="Arial" w:cs="Arial"/>
          <w:sz w:val="20"/>
          <w:szCs w:val="20"/>
        </w:rPr>
        <w:fldChar w:fldCharType="end"/>
      </w:r>
      <w:r w:rsidR="00DA1F08" w:rsidRPr="00376CD5">
        <w:rPr>
          <w:rFonts w:ascii="Arial" w:hAnsi="Arial" w:cs="Arial"/>
          <w:sz w:val="20"/>
          <w:szCs w:val="20"/>
        </w:rPr>
        <w:t>:</w:t>
      </w:r>
    </w:p>
    <w:p w14:paraId="702125F4" w14:textId="30C7FD1C" w:rsidR="001A1A36" w:rsidRPr="003A5C3A" w:rsidRDefault="006F101C" w:rsidP="003A5C3A">
      <w:pPr>
        <w:autoSpaceDE w:val="0"/>
        <w:autoSpaceDN w:val="0"/>
        <w:adjustRightInd w:val="0"/>
        <w:spacing w:before="100" w:beforeAutospacing="1" w:after="0" w:line="240" w:lineRule="auto"/>
        <w:jc w:val="both"/>
        <w:rPr>
          <w:rFonts w:ascii="Arial" w:hAnsi="Arial" w:cs="Arial"/>
          <w:sz w:val="20"/>
          <w:szCs w:val="20"/>
        </w:rPr>
      </w:pPr>
      <w:r w:rsidRPr="003A5C3A">
        <w:rPr>
          <w:b/>
          <w:bCs/>
        </w:rPr>
        <w:t>% inhibition</w:t>
      </w:r>
      <w:r w:rsidRPr="00376CD5">
        <w:t xml:space="preserve"> = [(Absorbance</w:t>
      </w:r>
      <w:r w:rsidRPr="00376CD5">
        <w:rPr>
          <w:lang w:val="en-US"/>
        </w:rPr>
        <w:t xml:space="preserve"> of </w:t>
      </w:r>
      <w:r w:rsidRPr="00376CD5">
        <w:t>control- Absorbance</w:t>
      </w:r>
      <w:r w:rsidRPr="00376CD5">
        <w:rPr>
          <w:lang w:val="en-US"/>
        </w:rPr>
        <w:t xml:space="preserve"> of </w:t>
      </w:r>
      <w:r w:rsidRPr="00376CD5">
        <w:t>test)/Absorbance</w:t>
      </w:r>
      <w:r w:rsidRPr="00376CD5">
        <w:rPr>
          <w:lang w:val="en-US"/>
        </w:rPr>
        <w:t xml:space="preserve"> of </w:t>
      </w:r>
      <w:r w:rsidRPr="00376CD5">
        <w:t xml:space="preserve">  </w:t>
      </w:r>
      <w:proofErr w:type="gramStart"/>
      <w:r w:rsidRPr="00376CD5">
        <w:t>control]*</w:t>
      </w:r>
      <w:proofErr w:type="gramEnd"/>
      <w:r w:rsidRPr="00376CD5">
        <w:t>100</w:t>
      </w:r>
    </w:p>
    <w:p w14:paraId="52EB6D54" w14:textId="56046E4F" w:rsidR="00EF6835" w:rsidRPr="00167D47" w:rsidRDefault="000A13EA" w:rsidP="00167D47">
      <w:pPr>
        <w:spacing w:before="100" w:beforeAutospacing="1" w:after="0" w:line="240" w:lineRule="auto"/>
        <w:rPr>
          <w:rFonts w:ascii="Arial" w:hAnsi="Arial" w:cs="Arial"/>
          <w:b/>
          <w:i/>
        </w:rPr>
      </w:pPr>
      <w:r w:rsidRPr="00167D47">
        <w:rPr>
          <w:rFonts w:ascii="Arial" w:hAnsi="Arial" w:cs="Arial"/>
          <w:b/>
          <w:noProof/>
        </w:rPr>
        <w:t>Lifespan</w:t>
      </w:r>
      <w:r w:rsidRPr="00167D47">
        <w:rPr>
          <w:rFonts w:ascii="Arial" w:hAnsi="Arial" w:cs="Arial"/>
          <w:b/>
        </w:rPr>
        <w:t xml:space="preserve"> analysis of</w:t>
      </w:r>
      <w:r w:rsidRPr="00167D47">
        <w:rPr>
          <w:rFonts w:ascii="Arial" w:hAnsi="Arial" w:cs="Arial"/>
          <w:b/>
          <w:i/>
        </w:rPr>
        <w:t xml:space="preserve"> C. elegans</w:t>
      </w:r>
    </w:p>
    <w:p w14:paraId="2CCDFF04" w14:textId="5C653AA6" w:rsidR="00EF6835" w:rsidRPr="00376CD5" w:rsidRDefault="00DA1F08" w:rsidP="001D5D94">
      <w:pPr>
        <w:spacing w:before="100" w:beforeAutospacing="1" w:after="0" w:line="240" w:lineRule="auto"/>
        <w:jc w:val="both"/>
        <w:rPr>
          <w:rFonts w:ascii="Arial" w:hAnsi="Arial" w:cs="Arial"/>
          <w:sz w:val="20"/>
          <w:szCs w:val="20"/>
        </w:rPr>
      </w:pPr>
      <w:r w:rsidRPr="00376CD5">
        <w:rPr>
          <w:rFonts w:ascii="Arial" w:hAnsi="Arial" w:cs="Arial"/>
          <w:noProof/>
          <w:sz w:val="20"/>
          <w:szCs w:val="20"/>
        </w:rPr>
        <w:t xml:space="preserve">The longevity experiment of </w:t>
      </w:r>
      <w:r w:rsidRPr="00376CD5">
        <w:rPr>
          <w:rFonts w:ascii="Arial" w:hAnsi="Arial" w:cs="Arial"/>
          <w:i/>
          <w:iCs/>
          <w:noProof/>
          <w:sz w:val="20"/>
          <w:szCs w:val="20"/>
        </w:rPr>
        <w:t>C. elegans</w:t>
      </w:r>
      <w:r w:rsidRPr="00376CD5">
        <w:rPr>
          <w:rFonts w:ascii="Arial" w:hAnsi="Arial" w:cs="Arial"/>
          <w:noProof/>
          <w:sz w:val="20"/>
          <w:szCs w:val="20"/>
        </w:rPr>
        <w:t xml:space="preserve"> was conducted in 96-well plates, following the protocol described by Solis G</w:t>
      </w:r>
      <w:r w:rsidR="00D70138" w:rsidRPr="00376CD5">
        <w:rPr>
          <w:rFonts w:ascii="Arial" w:hAnsi="Arial" w:cs="Arial"/>
          <w:noProof/>
          <w:sz w:val="20"/>
          <w:szCs w:val="20"/>
        </w:rPr>
        <w:t xml:space="preserve"> </w:t>
      </w:r>
      <w:r w:rsidR="00EF6835" w:rsidRPr="00376CD5">
        <w:rPr>
          <w:rFonts w:ascii="Arial" w:hAnsi="Arial" w:cs="Arial"/>
          <w:sz w:val="20"/>
          <w:szCs w:val="20"/>
        </w:rPr>
        <w:fldChar w:fldCharType="begin"/>
      </w:r>
      <w:r w:rsidR="001D5D94">
        <w:rPr>
          <w:rFonts w:ascii="Arial" w:hAnsi="Arial" w:cs="Arial"/>
          <w:sz w:val="20"/>
          <w:szCs w:val="20"/>
        </w:rPr>
        <w:instrText xml:space="preserve"> ADDIN ZOTERO_ITEM CSL_CITATION {"citationID":"a24ok5d8ta8","properties":{"formattedCitation":"(Solis &amp; Petrascheck, 2011)","plainCitation":"(Solis &amp; Petrascheck, 2011)","noteIndex":0},"citationItems":[{"id":"UbSiRcVh/xxxayKxF","uris":["http://zotero.org/users/local/EnGaFKnu/items/XINJGXI6",["http://zotero.org/users/local/EnGaFKnu/items/XINJGXI6"]],"itemData":{"id":157,"type":"article-journal","title":"Measuring Caenorhabditis elegans Life Span in 96 Well Microtiter Plates","container-title":"Journal of Visualized Experiments : JoVE","issue":"49","source":"PubMed Central","abstract":"Lifespan is a biological process regulated by several genetic pathways. One strategy to investigate the biology of aging is to study animals that harbor mutations in components of age-regulatory pathways. If these mutations perturb the function of the age-regulatory pathway and therefore alter the lifespan of the entire organism, they provide important mechanistic insights1-3., Another strategy to investigate the regulation of lifespan is to use small molecules to perturb age-regulatory pathways. To date, a number of molecules are known to extend lifespan in various model organisms and are used as tools to study the biology of aging4-16. The number of molecules identified thus far is small compared to the genetic \"toolset\" that is available to study the biology of aging., Caenorhabditis elegans is one of the principle models used to study aging because of its excellent genetics and short lifespan of three weeks. More recently, C.elegans has emerged as a model organism for phenotype based drug screens5,7,16-20 because of its small size and its ability to grow in microtiter plates., Here we present an assay to measure C.elegans lifespan in 96 well microtiter plates. The assay was developed and successfully used to screen large libraries for molecules that extend C.elegans lifespan7. The reliability of the assay was evaluated in multiple tests: first, by measuring the lifespan of wild type animals grown at different temperatures; second, by measuring the lifespan of mutants with altered lifespans; third, by measuring changes in lifespan in response to different concentrations of the antidepressant Mirtazepine. Mirtazepine has previously been shown to extend lifespan in C.elegans7. The results of these tests show that the assay is able to replicate previous findings from other assays and is quantitative. The microtiter format also makes this lifespan assay compatible with automated liquid handling systems and allows integration into automated platforms.","URL":"http://www.ncbi.nlm.nih.gov/pmc/articles/PMC3197298/","DOI":"10.3791/2496","ISSN":"1940-087X","note":"PMID: 21445049\nPMCID: PMC3197298","journalAbbreviation":"J Vis Exp","author":[{"family":"Solis","given":"Gregory M."},{"family":"Petrascheck","given":"Michael"}],"issued":{"date-parts":[["2011",3,18]]},"accessed":{"date-parts":[["2017",4,13]]}}}],"schema":"https://github.com/citation-style-language/schema/raw/master/csl-citation.json"} </w:instrText>
      </w:r>
      <w:r w:rsidR="00EF6835" w:rsidRPr="00376CD5">
        <w:rPr>
          <w:rFonts w:ascii="Arial" w:hAnsi="Arial" w:cs="Arial"/>
          <w:sz w:val="20"/>
          <w:szCs w:val="20"/>
        </w:rPr>
        <w:fldChar w:fldCharType="separate"/>
      </w:r>
      <w:r w:rsidR="001D5D94" w:rsidRPr="001D5D94">
        <w:rPr>
          <w:rFonts w:ascii="Arial" w:hAnsi="Arial" w:cs="Arial"/>
          <w:sz w:val="20"/>
        </w:rPr>
        <w:t>(Solis &amp; Petrascheck, 2011)</w:t>
      </w:r>
      <w:r w:rsidR="00EF6835" w:rsidRPr="00376CD5">
        <w:rPr>
          <w:rFonts w:ascii="Arial" w:hAnsi="Arial" w:cs="Arial"/>
          <w:sz w:val="20"/>
          <w:szCs w:val="20"/>
        </w:rPr>
        <w:fldChar w:fldCharType="end"/>
      </w:r>
      <w:r w:rsidR="00EF6835" w:rsidRPr="00376CD5">
        <w:rPr>
          <w:rFonts w:ascii="Arial" w:hAnsi="Arial" w:cs="Arial"/>
          <w:sz w:val="20"/>
          <w:szCs w:val="20"/>
        </w:rPr>
        <w:t xml:space="preserve">. </w:t>
      </w:r>
      <w:r w:rsidR="005C0AEC" w:rsidRPr="00376CD5">
        <w:rPr>
          <w:rFonts w:ascii="Arial" w:hAnsi="Arial" w:cs="Arial"/>
          <w:i/>
          <w:iCs/>
          <w:sz w:val="20"/>
          <w:szCs w:val="20"/>
        </w:rPr>
        <w:t>C. elegans</w:t>
      </w:r>
      <w:r w:rsidR="005C0AEC" w:rsidRPr="00376CD5">
        <w:rPr>
          <w:rFonts w:ascii="Arial" w:hAnsi="Arial" w:cs="Arial"/>
          <w:sz w:val="20"/>
          <w:szCs w:val="20"/>
        </w:rPr>
        <w:t xml:space="preserve"> populations were synchronized through treatment with sodium hypochlorite. Each 96-well plate had approximately 10 Larvae1 (L1) stage </w:t>
      </w:r>
      <w:r w:rsidR="005C0AEC" w:rsidRPr="00376CD5">
        <w:rPr>
          <w:rFonts w:ascii="Arial" w:hAnsi="Arial" w:cs="Arial"/>
          <w:i/>
          <w:iCs/>
          <w:sz w:val="20"/>
          <w:szCs w:val="20"/>
        </w:rPr>
        <w:t>C. elegans</w:t>
      </w:r>
      <w:r w:rsidR="005C0AEC" w:rsidRPr="00376CD5">
        <w:rPr>
          <w:rFonts w:ascii="Arial" w:hAnsi="Arial" w:cs="Arial"/>
          <w:sz w:val="20"/>
          <w:szCs w:val="20"/>
        </w:rPr>
        <w:t xml:space="preserve"> together with 100</w:t>
      </w:r>
      <w:r w:rsidR="002B077D" w:rsidRPr="00376CD5">
        <w:rPr>
          <w:rFonts w:ascii="Arial" w:hAnsi="Arial" w:cs="Arial"/>
          <w:sz w:val="20"/>
          <w:szCs w:val="20"/>
        </w:rPr>
        <w:t xml:space="preserve"> </w:t>
      </w:r>
      <w:r w:rsidR="005C0AEC" w:rsidRPr="00376CD5">
        <w:rPr>
          <w:rFonts w:ascii="Arial" w:hAnsi="Arial" w:cs="Arial"/>
          <w:sz w:val="20"/>
          <w:szCs w:val="20"/>
        </w:rPr>
        <w:t xml:space="preserve">µl of S complete medium and OP50 as a food source. Adulthood was permitted for </w:t>
      </w:r>
      <w:r w:rsidR="005C0AEC" w:rsidRPr="00376CD5">
        <w:rPr>
          <w:rFonts w:ascii="Arial" w:hAnsi="Arial" w:cs="Arial"/>
          <w:i/>
          <w:iCs/>
          <w:sz w:val="20"/>
          <w:szCs w:val="20"/>
        </w:rPr>
        <w:t>C. elegans</w:t>
      </w:r>
      <w:r w:rsidR="005C0AEC" w:rsidRPr="00376CD5">
        <w:rPr>
          <w:rFonts w:ascii="Arial" w:hAnsi="Arial" w:cs="Arial"/>
          <w:sz w:val="20"/>
          <w:szCs w:val="20"/>
        </w:rPr>
        <w:t>. After that, on day 0 of adulthood, they received treatment with 5-fluoro-2'-deoxyuridine</w:t>
      </w:r>
      <w:r w:rsidR="00125036" w:rsidRPr="00376CD5">
        <w:rPr>
          <w:rFonts w:ascii="Arial" w:hAnsi="Arial" w:cs="Arial"/>
          <w:sz w:val="20"/>
          <w:szCs w:val="20"/>
        </w:rPr>
        <w:t xml:space="preserve"> </w:t>
      </w:r>
      <w:r w:rsidR="005C0AEC" w:rsidRPr="00376CD5">
        <w:rPr>
          <w:rFonts w:ascii="Arial" w:hAnsi="Arial" w:cs="Arial"/>
          <w:sz w:val="20"/>
          <w:szCs w:val="20"/>
        </w:rPr>
        <w:t>(FUDR) to stop the development of progeny.</w:t>
      </w:r>
      <w:r w:rsidR="00712C71" w:rsidRPr="00376CD5">
        <w:rPr>
          <w:rFonts w:ascii="Arial" w:hAnsi="Arial" w:cs="Arial"/>
          <w:sz w:val="20"/>
          <w:szCs w:val="20"/>
        </w:rPr>
        <w:t xml:space="preserve"> </w:t>
      </w:r>
      <w:r w:rsidR="005C0AEC" w:rsidRPr="00376CD5">
        <w:rPr>
          <w:rFonts w:ascii="Arial" w:hAnsi="Arial" w:cs="Arial"/>
          <w:sz w:val="20"/>
          <w:szCs w:val="20"/>
        </w:rPr>
        <w:t xml:space="preserve">Subsequently, DMSO and plant extracts were applied to the corresponding wells as controls. To maintain effects, </w:t>
      </w:r>
      <w:r w:rsidR="005C0AEC" w:rsidRPr="00376CD5">
        <w:rPr>
          <w:rFonts w:ascii="Arial" w:hAnsi="Arial" w:cs="Arial"/>
          <w:i/>
          <w:iCs/>
          <w:sz w:val="20"/>
          <w:szCs w:val="20"/>
        </w:rPr>
        <w:t>C. elegans</w:t>
      </w:r>
      <w:r w:rsidR="005C0AEC" w:rsidRPr="00376CD5">
        <w:rPr>
          <w:rFonts w:ascii="Arial" w:hAnsi="Arial" w:cs="Arial"/>
          <w:sz w:val="20"/>
          <w:szCs w:val="20"/>
        </w:rPr>
        <w:t xml:space="preserve"> was given weekly supplies of plant extracts and OP50. The experiment was conducted with </w:t>
      </w:r>
      <w:r w:rsidR="005C0AEC" w:rsidRPr="00376CD5">
        <w:rPr>
          <w:rFonts w:ascii="Arial" w:hAnsi="Arial" w:cs="Arial"/>
          <w:i/>
          <w:iCs/>
          <w:sz w:val="20"/>
          <w:szCs w:val="20"/>
        </w:rPr>
        <w:t>C. elegans</w:t>
      </w:r>
      <w:r w:rsidR="005C0AEC" w:rsidRPr="00376CD5">
        <w:rPr>
          <w:rFonts w:ascii="Arial" w:hAnsi="Arial" w:cs="Arial"/>
          <w:sz w:val="20"/>
          <w:szCs w:val="20"/>
        </w:rPr>
        <w:t xml:space="preserve"> at 20</w:t>
      </w:r>
      <w:r w:rsidR="00A60824" w:rsidRPr="00376CD5">
        <w:rPr>
          <w:rFonts w:ascii="Arial" w:hAnsi="Arial" w:cs="Arial"/>
          <w:sz w:val="20"/>
          <w:szCs w:val="20"/>
        </w:rPr>
        <w:t xml:space="preserve"> </w:t>
      </w:r>
      <w:r w:rsidR="005C0AEC" w:rsidRPr="00376CD5">
        <w:rPr>
          <w:rFonts w:ascii="Arial" w:hAnsi="Arial" w:cs="Arial"/>
          <w:sz w:val="20"/>
          <w:szCs w:val="20"/>
        </w:rPr>
        <w:t xml:space="preserve">ºC. In each experiment, the average number of C. elegans (n) was between 50 and 55. </w:t>
      </w:r>
      <w:r w:rsidR="00637D2D" w:rsidRPr="00376CD5">
        <w:rPr>
          <w:rFonts w:ascii="Arial" w:hAnsi="Arial" w:cs="Arial"/>
          <w:sz w:val="20"/>
          <w:szCs w:val="20"/>
        </w:rPr>
        <w:t>T</w:t>
      </w:r>
      <w:r w:rsidR="005C0AEC" w:rsidRPr="00376CD5">
        <w:rPr>
          <w:rFonts w:ascii="Arial" w:hAnsi="Arial" w:cs="Arial"/>
          <w:sz w:val="20"/>
          <w:szCs w:val="20"/>
        </w:rPr>
        <w:t xml:space="preserve">hree of these trials </w:t>
      </w:r>
      <w:r w:rsidR="00E73E62" w:rsidRPr="00376CD5">
        <w:rPr>
          <w:rFonts w:ascii="Arial" w:hAnsi="Arial" w:cs="Arial"/>
          <w:sz w:val="20"/>
          <w:szCs w:val="20"/>
        </w:rPr>
        <w:t>were</w:t>
      </w:r>
      <w:r w:rsidR="00637D2D" w:rsidRPr="00376CD5">
        <w:rPr>
          <w:rFonts w:ascii="Arial" w:hAnsi="Arial" w:cs="Arial"/>
          <w:sz w:val="20"/>
          <w:szCs w:val="20"/>
        </w:rPr>
        <w:t xml:space="preserve"> </w:t>
      </w:r>
      <w:r w:rsidR="005C0AEC" w:rsidRPr="00376CD5">
        <w:rPr>
          <w:rFonts w:ascii="Arial" w:hAnsi="Arial" w:cs="Arial"/>
          <w:sz w:val="20"/>
          <w:szCs w:val="20"/>
        </w:rPr>
        <w:t xml:space="preserve">carried out. Every day, the animals' survival was observed under an inverted microscope. </w:t>
      </w:r>
      <w:proofErr w:type="spellStart"/>
      <w:r w:rsidR="005C0AEC" w:rsidRPr="00376CD5">
        <w:rPr>
          <w:rFonts w:ascii="Arial" w:hAnsi="Arial" w:cs="Arial"/>
          <w:sz w:val="20"/>
          <w:szCs w:val="20"/>
        </w:rPr>
        <w:t>Kaplein</w:t>
      </w:r>
      <w:proofErr w:type="spellEnd"/>
      <w:r w:rsidR="005C0AEC" w:rsidRPr="00376CD5">
        <w:rPr>
          <w:rFonts w:ascii="Arial" w:hAnsi="Arial" w:cs="Arial"/>
          <w:sz w:val="20"/>
          <w:szCs w:val="20"/>
        </w:rPr>
        <w:t xml:space="preserve"> Meyer statistical analysis was used to perform a lifespan study.</w:t>
      </w:r>
    </w:p>
    <w:p w14:paraId="23D8DE42" w14:textId="77777777" w:rsidR="00712C71" w:rsidRPr="00167D47" w:rsidRDefault="000A13EA" w:rsidP="00712C71">
      <w:pPr>
        <w:spacing w:before="100" w:beforeAutospacing="1" w:after="0" w:line="240" w:lineRule="auto"/>
        <w:jc w:val="both"/>
        <w:rPr>
          <w:rFonts w:ascii="Arial" w:hAnsi="Arial" w:cs="Arial"/>
          <w:b/>
          <w:bCs/>
        </w:rPr>
      </w:pPr>
      <w:r w:rsidRPr="00167D47">
        <w:rPr>
          <w:rFonts w:ascii="Arial" w:hAnsi="Arial" w:cs="Arial"/>
          <w:b/>
          <w:bCs/>
        </w:rPr>
        <w:t>RESULTS</w:t>
      </w:r>
    </w:p>
    <w:p w14:paraId="16BE7247" w14:textId="75B46022" w:rsidR="00DB4FD3" w:rsidRPr="00167D47" w:rsidRDefault="000A13EA" w:rsidP="00712C71">
      <w:pPr>
        <w:spacing w:before="100" w:beforeAutospacing="1" w:after="0" w:line="240" w:lineRule="auto"/>
        <w:jc w:val="both"/>
        <w:rPr>
          <w:rFonts w:ascii="Arial" w:hAnsi="Arial" w:cs="Arial"/>
          <w:b/>
        </w:rPr>
      </w:pPr>
      <w:r w:rsidRPr="00167D47">
        <w:rPr>
          <w:rFonts w:ascii="Arial" w:hAnsi="Arial" w:cs="Arial"/>
          <w:b/>
        </w:rPr>
        <w:t>Yields</w:t>
      </w:r>
    </w:p>
    <w:p w14:paraId="686A18AB" w14:textId="4A3662D3" w:rsidR="00DB4FD3" w:rsidRPr="00812EE7" w:rsidRDefault="00DB4FD3" w:rsidP="00712C71">
      <w:pPr>
        <w:spacing w:before="100" w:beforeAutospacing="1" w:after="0" w:line="240" w:lineRule="auto"/>
        <w:jc w:val="both"/>
        <w:rPr>
          <w:rFonts w:ascii="Arial" w:hAnsi="Arial" w:cs="Arial"/>
          <w:sz w:val="20"/>
          <w:szCs w:val="20"/>
        </w:rPr>
      </w:pPr>
      <w:r w:rsidRPr="00812EE7">
        <w:rPr>
          <w:rFonts w:ascii="Arial" w:hAnsi="Arial" w:cs="Arial"/>
          <w:sz w:val="20"/>
          <w:szCs w:val="20"/>
        </w:rPr>
        <w:t xml:space="preserve">The higher yield was obtained </w:t>
      </w:r>
      <w:r w:rsidR="00175F06" w:rsidRPr="00812EE7">
        <w:rPr>
          <w:rFonts w:ascii="Arial" w:hAnsi="Arial" w:cs="Arial"/>
          <w:sz w:val="20"/>
          <w:szCs w:val="20"/>
        </w:rPr>
        <w:t xml:space="preserve">through the Ultrasonication </w:t>
      </w:r>
      <w:r w:rsidR="004F3E0A" w:rsidRPr="00812EE7">
        <w:rPr>
          <w:rFonts w:ascii="Arial" w:hAnsi="Arial" w:cs="Arial"/>
          <w:sz w:val="20"/>
          <w:szCs w:val="20"/>
        </w:rPr>
        <w:t>method (</w:t>
      </w:r>
      <w:r w:rsidRPr="00812EE7">
        <w:rPr>
          <w:rFonts w:ascii="Arial" w:hAnsi="Arial" w:cs="Arial"/>
          <w:sz w:val="20"/>
          <w:szCs w:val="20"/>
        </w:rPr>
        <w:t>460 ± 24.60 mg/g)</w:t>
      </w:r>
      <w:r w:rsidR="00E86315" w:rsidRPr="00812EE7">
        <w:rPr>
          <w:rFonts w:ascii="Arial" w:hAnsi="Arial" w:cs="Arial"/>
          <w:sz w:val="20"/>
          <w:szCs w:val="20"/>
        </w:rPr>
        <w:t>,</w:t>
      </w:r>
      <w:r w:rsidRPr="00812EE7">
        <w:rPr>
          <w:rFonts w:ascii="Arial" w:hAnsi="Arial" w:cs="Arial"/>
          <w:sz w:val="20"/>
          <w:szCs w:val="20"/>
        </w:rPr>
        <w:t xml:space="preserve"> while </w:t>
      </w:r>
      <w:r w:rsidR="003A3179" w:rsidRPr="00812EE7">
        <w:rPr>
          <w:rFonts w:ascii="Arial" w:hAnsi="Arial" w:cs="Arial"/>
          <w:sz w:val="20"/>
          <w:szCs w:val="20"/>
        </w:rPr>
        <w:t xml:space="preserve">a </w:t>
      </w:r>
      <w:r w:rsidRPr="00812EE7">
        <w:rPr>
          <w:rFonts w:ascii="Arial" w:hAnsi="Arial" w:cs="Arial"/>
          <w:sz w:val="20"/>
          <w:szCs w:val="20"/>
        </w:rPr>
        <w:t xml:space="preserve">lower yield was obtained </w:t>
      </w:r>
      <w:r w:rsidR="00175F06" w:rsidRPr="00812EE7">
        <w:rPr>
          <w:rFonts w:ascii="Arial" w:hAnsi="Arial" w:cs="Arial"/>
          <w:sz w:val="20"/>
          <w:szCs w:val="20"/>
        </w:rPr>
        <w:t xml:space="preserve">through the maceration </w:t>
      </w:r>
      <w:proofErr w:type="gramStart"/>
      <w:r w:rsidR="00175F06" w:rsidRPr="00812EE7">
        <w:rPr>
          <w:rFonts w:ascii="Arial" w:hAnsi="Arial" w:cs="Arial"/>
          <w:sz w:val="20"/>
          <w:szCs w:val="20"/>
        </w:rPr>
        <w:t>method</w:t>
      </w:r>
      <w:r w:rsidRPr="00812EE7">
        <w:rPr>
          <w:rFonts w:ascii="Arial" w:hAnsi="Arial" w:cs="Arial"/>
          <w:noProof/>
          <w:sz w:val="20"/>
          <w:szCs w:val="20"/>
        </w:rPr>
        <w:t xml:space="preserve"> </w:t>
      </w:r>
      <w:r w:rsidR="00BF4A9E" w:rsidRPr="00812EE7">
        <w:rPr>
          <w:rFonts w:ascii="Arial" w:hAnsi="Arial" w:cs="Arial"/>
          <w:sz w:val="20"/>
          <w:szCs w:val="20"/>
        </w:rPr>
        <w:t xml:space="preserve"> </w:t>
      </w:r>
      <w:r w:rsidR="00A33AFD" w:rsidRPr="00812EE7">
        <w:rPr>
          <w:rFonts w:ascii="Arial" w:hAnsi="Arial" w:cs="Arial"/>
          <w:sz w:val="20"/>
          <w:szCs w:val="20"/>
        </w:rPr>
        <w:t>(</w:t>
      </w:r>
      <w:proofErr w:type="gramEnd"/>
      <w:r w:rsidR="00A33AFD" w:rsidRPr="00812EE7">
        <w:rPr>
          <w:rFonts w:ascii="Arial" w:hAnsi="Arial" w:cs="Arial"/>
          <w:sz w:val="20"/>
          <w:szCs w:val="20"/>
        </w:rPr>
        <w:t>344 ± 24.49 mg/g)</w:t>
      </w:r>
      <w:r w:rsidRPr="00812EE7">
        <w:rPr>
          <w:rFonts w:ascii="Arial" w:hAnsi="Arial" w:cs="Arial"/>
          <w:sz w:val="20"/>
          <w:szCs w:val="20"/>
        </w:rPr>
        <w:t xml:space="preserve">. There is </w:t>
      </w:r>
      <w:r w:rsidR="0014174B" w:rsidRPr="00812EE7">
        <w:rPr>
          <w:rFonts w:ascii="Arial" w:hAnsi="Arial" w:cs="Arial"/>
          <w:sz w:val="20"/>
          <w:szCs w:val="20"/>
        </w:rPr>
        <w:t xml:space="preserve">a </w:t>
      </w:r>
      <w:r w:rsidRPr="00812EE7">
        <w:rPr>
          <w:rFonts w:ascii="Arial" w:hAnsi="Arial" w:cs="Arial"/>
          <w:sz w:val="20"/>
          <w:szCs w:val="20"/>
        </w:rPr>
        <w:t xml:space="preserve">statistically significant difference </w:t>
      </w:r>
      <w:r w:rsidR="003A3179" w:rsidRPr="00812EE7">
        <w:rPr>
          <w:rFonts w:ascii="Arial" w:hAnsi="Arial" w:cs="Arial"/>
          <w:sz w:val="20"/>
          <w:szCs w:val="20"/>
        </w:rPr>
        <w:t>in</w:t>
      </w:r>
      <w:r w:rsidRPr="00812EE7">
        <w:rPr>
          <w:rFonts w:ascii="Arial" w:hAnsi="Arial" w:cs="Arial"/>
          <w:sz w:val="20"/>
          <w:szCs w:val="20"/>
        </w:rPr>
        <w:t xml:space="preserve"> the yield obtained </w:t>
      </w:r>
      <w:r w:rsidR="0075536D" w:rsidRPr="00812EE7">
        <w:rPr>
          <w:rFonts w:ascii="Arial" w:hAnsi="Arial" w:cs="Arial"/>
          <w:sz w:val="20"/>
          <w:szCs w:val="20"/>
        </w:rPr>
        <w:t>using</w:t>
      </w:r>
      <w:r w:rsidRPr="00812EE7">
        <w:rPr>
          <w:rFonts w:ascii="Arial" w:hAnsi="Arial" w:cs="Arial"/>
          <w:sz w:val="20"/>
          <w:szCs w:val="20"/>
        </w:rPr>
        <w:t xml:space="preserve"> different methods (Figure 1, Table 1).</w:t>
      </w:r>
    </w:p>
    <w:p w14:paraId="48184FF2" w14:textId="77777777" w:rsidR="00AA688A" w:rsidRPr="00376CD5" w:rsidRDefault="00AA688A" w:rsidP="00A5476B">
      <w:pPr>
        <w:pStyle w:val="Paragraph"/>
      </w:pPr>
      <w:r w:rsidRPr="00376CD5">
        <w:object w:dxaOrig="3406" w:dyaOrig="6225" w14:anchorId="3AC69C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311.25pt" o:ole="">
            <v:imagedata r:id="rId7" o:title=""/>
          </v:shape>
          <o:OLEObject Type="Embed" ProgID="Prism8.Document" ShapeID="_x0000_i1025" DrawAspect="Content" ObjectID="_1801920506" r:id="rId8"/>
        </w:object>
      </w:r>
      <w:r w:rsidRPr="00376CD5">
        <w:tab/>
      </w:r>
    </w:p>
    <w:p w14:paraId="67BFD15A" w14:textId="51D33EA7" w:rsidR="00AA688A" w:rsidRPr="00812EE7" w:rsidRDefault="00AA688A" w:rsidP="00712C71">
      <w:pPr>
        <w:tabs>
          <w:tab w:val="left" w:pos="1155"/>
        </w:tabs>
        <w:spacing w:before="100" w:beforeAutospacing="1" w:line="240" w:lineRule="auto"/>
        <w:rPr>
          <w:rFonts w:ascii="Arial" w:hAnsi="Arial" w:cs="Arial"/>
          <w:sz w:val="20"/>
          <w:szCs w:val="20"/>
          <w:lang w:eastAsia="x-none"/>
        </w:rPr>
      </w:pPr>
      <w:r w:rsidRPr="00812EE7">
        <w:rPr>
          <w:rFonts w:ascii="Arial" w:hAnsi="Arial" w:cs="Arial"/>
          <w:sz w:val="20"/>
          <w:szCs w:val="20"/>
          <w:lang w:eastAsia="x-none"/>
        </w:rPr>
        <w:lastRenderedPageBreak/>
        <w:t>Fig 1: The extraction procedure has an impact on the extract yield</w:t>
      </w:r>
    </w:p>
    <w:p w14:paraId="44CF4CC0" w14:textId="77777777" w:rsidR="00AA688A" w:rsidRPr="00376CD5" w:rsidRDefault="00AA688A" w:rsidP="00712C71">
      <w:pPr>
        <w:spacing w:before="100" w:beforeAutospacing="1" w:line="240" w:lineRule="auto"/>
        <w:ind w:firstLine="720"/>
        <w:rPr>
          <w:rFonts w:ascii="Arial" w:hAnsi="Arial" w:cs="Arial"/>
          <w:sz w:val="24"/>
          <w:szCs w:val="24"/>
        </w:rPr>
      </w:pPr>
      <w:r w:rsidRPr="00376CD5">
        <w:rPr>
          <w:rFonts w:ascii="Arial" w:hAnsi="Arial" w:cs="Arial"/>
          <w:sz w:val="24"/>
          <w:szCs w:val="24"/>
        </w:rPr>
        <w:object w:dxaOrig="4622" w:dyaOrig="5851" w14:anchorId="705B6E75">
          <v:shape id="_x0000_i1026" type="#_x0000_t75" style="width:182.25pt;height:292.5pt" o:ole="">
            <v:imagedata r:id="rId9" o:title=""/>
          </v:shape>
          <o:OLEObject Type="Embed" ProgID="Prism8.Document" ShapeID="_x0000_i1026" DrawAspect="Content" ObjectID="_1801920507" r:id="rId10"/>
        </w:object>
      </w:r>
      <w:r w:rsidRPr="00376CD5">
        <w:rPr>
          <w:rFonts w:ascii="Arial" w:hAnsi="Arial" w:cs="Arial"/>
          <w:sz w:val="24"/>
          <w:szCs w:val="24"/>
        </w:rPr>
        <w:object w:dxaOrig="3766" w:dyaOrig="5088" w14:anchorId="7EA98320">
          <v:shape id="_x0000_i1027" type="#_x0000_t75" style="width:188.25pt;height:254.25pt" o:ole="">
            <v:imagedata r:id="rId11" o:title=""/>
          </v:shape>
          <o:OLEObject Type="Embed" ProgID="Prism8.Document" ShapeID="_x0000_i1027" DrawAspect="Content" ObjectID="_1801920508" r:id="rId12"/>
        </w:object>
      </w:r>
    </w:p>
    <w:p w14:paraId="5FC04088" w14:textId="77777777" w:rsidR="00AA688A" w:rsidRPr="00376CD5" w:rsidRDefault="00AA688A" w:rsidP="00712C71">
      <w:pPr>
        <w:tabs>
          <w:tab w:val="left" w:pos="1920"/>
        </w:tabs>
        <w:spacing w:before="100" w:beforeAutospacing="1" w:line="240" w:lineRule="auto"/>
        <w:rPr>
          <w:rFonts w:ascii="Arial" w:hAnsi="Arial" w:cs="Arial"/>
          <w:sz w:val="24"/>
          <w:szCs w:val="24"/>
          <w:lang w:eastAsia="x-none"/>
        </w:rPr>
      </w:pPr>
      <w:r w:rsidRPr="00812EE7">
        <w:rPr>
          <w:rFonts w:ascii="Arial" w:hAnsi="Arial" w:cs="Arial"/>
          <w:sz w:val="20"/>
          <w:szCs w:val="20"/>
          <w:lang w:eastAsia="x-none"/>
        </w:rPr>
        <w:t>Fig 2: The total phenolics and Flavonoids extract prepared by two different methods</w:t>
      </w:r>
      <w:r w:rsidRPr="00376CD5">
        <w:rPr>
          <w:rFonts w:ascii="Arial" w:hAnsi="Arial" w:cs="Arial"/>
          <w:sz w:val="24"/>
          <w:szCs w:val="24"/>
          <w:lang w:eastAsia="x-none"/>
        </w:rPr>
        <w:t>.</w:t>
      </w:r>
    </w:p>
    <w:p w14:paraId="163B69AD" w14:textId="451E0E8D" w:rsidR="00792A3F" w:rsidRPr="00167D47" w:rsidRDefault="000A13EA" w:rsidP="00712C71">
      <w:pPr>
        <w:pStyle w:val="NoSpacing"/>
        <w:spacing w:before="100" w:beforeAutospacing="1"/>
        <w:jc w:val="both"/>
        <w:rPr>
          <w:rFonts w:ascii="Arial" w:hAnsi="Arial" w:cs="Arial"/>
          <w:b/>
        </w:rPr>
      </w:pPr>
      <w:r w:rsidRPr="00167D47">
        <w:rPr>
          <w:rFonts w:ascii="Arial" w:hAnsi="Arial" w:cs="Arial"/>
          <w:b/>
        </w:rPr>
        <w:t>Total phenolics and flavonoids</w:t>
      </w:r>
    </w:p>
    <w:p w14:paraId="1A38B691" w14:textId="76E69B2C" w:rsidR="000A13EA" w:rsidRPr="00812EE7" w:rsidRDefault="00432517" w:rsidP="00712C71">
      <w:pPr>
        <w:pStyle w:val="NoSpacing"/>
        <w:spacing w:before="100" w:beforeAutospacing="1"/>
        <w:jc w:val="both"/>
        <w:rPr>
          <w:rFonts w:ascii="Arial" w:hAnsi="Arial" w:cs="Arial"/>
          <w:sz w:val="20"/>
          <w:szCs w:val="20"/>
        </w:rPr>
      </w:pPr>
      <w:r w:rsidRPr="00812EE7">
        <w:rPr>
          <w:rFonts w:ascii="Arial" w:hAnsi="Arial" w:cs="Arial"/>
          <w:sz w:val="20"/>
          <w:szCs w:val="20"/>
        </w:rPr>
        <w:t xml:space="preserve">The polyphenol content and flavonoids content is as mentioned below </w:t>
      </w:r>
      <w:proofErr w:type="gramStart"/>
      <w:r w:rsidRPr="00812EE7">
        <w:rPr>
          <w:rFonts w:ascii="Arial" w:hAnsi="Arial" w:cs="Arial"/>
          <w:sz w:val="20"/>
          <w:szCs w:val="20"/>
        </w:rPr>
        <w:t xml:space="preserve">in </w:t>
      </w:r>
      <w:r w:rsidR="005C0AEC" w:rsidRPr="00812EE7">
        <w:rPr>
          <w:rFonts w:ascii="Arial" w:hAnsi="Arial" w:cs="Arial"/>
          <w:sz w:val="20"/>
          <w:szCs w:val="20"/>
        </w:rPr>
        <w:t xml:space="preserve"> Figure</w:t>
      </w:r>
      <w:proofErr w:type="gramEnd"/>
      <w:r w:rsidR="005C0AEC" w:rsidRPr="00812EE7">
        <w:rPr>
          <w:rFonts w:ascii="Arial" w:hAnsi="Arial" w:cs="Arial"/>
          <w:sz w:val="20"/>
          <w:szCs w:val="20"/>
        </w:rPr>
        <w:t xml:space="preserve"> 2, Table </w:t>
      </w:r>
      <w:r w:rsidR="00D70138" w:rsidRPr="00812EE7">
        <w:rPr>
          <w:rFonts w:ascii="Arial" w:hAnsi="Arial" w:cs="Arial"/>
          <w:sz w:val="20"/>
          <w:szCs w:val="20"/>
        </w:rPr>
        <w:t>1</w:t>
      </w:r>
      <w:r w:rsidR="005C0AEC" w:rsidRPr="00812EE7">
        <w:rPr>
          <w:rFonts w:ascii="Arial" w:hAnsi="Arial" w:cs="Arial"/>
          <w:sz w:val="20"/>
          <w:szCs w:val="20"/>
        </w:rPr>
        <w:t>.</w:t>
      </w:r>
    </w:p>
    <w:p w14:paraId="42B1121C" w14:textId="24E1F417" w:rsidR="00712C71" w:rsidRPr="00812EE7" w:rsidRDefault="00AA688A" w:rsidP="00376CD5">
      <w:pPr>
        <w:pStyle w:val="NoSpacing"/>
        <w:spacing w:before="100" w:beforeAutospacing="1"/>
        <w:jc w:val="both"/>
        <w:rPr>
          <w:rFonts w:ascii="Arial" w:hAnsi="Arial" w:cs="Arial"/>
          <w:i/>
          <w:sz w:val="20"/>
          <w:szCs w:val="20"/>
        </w:rPr>
      </w:pPr>
      <w:r w:rsidRPr="00812EE7">
        <w:rPr>
          <w:rFonts w:ascii="Arial" w:hAnsi="Arial" w:cs="Arial"/>
          <w:b/>
          <w:noProof/>
          <w:sz w:val="20"/>
          <w:szCs w:val="20"/>
        </w:rPr>
        <w:t>Table 1</w:t>
      </w:r>
      <w:r w:rsidRPr="00812EE7">
        <w:rPr>
          <w:rFonts w:ascii="Arial" w:hAnsi="Arial" w:cs="Arial"/>
          <w:noProof/>
          <w:sz w:val="20"/>
          <w:szCs w:val="20"/>
        </w:rPr>
        <w:t>:</w:t>
      </w:r>
      <w:r w:rsidRPr="00812EE7">
        <w:rPr>
          <w:rFonts w:ascii="Arial" w:hAnsi="Arial" w:cs="Arial"/>
          <w:sz w:val="20"/>
          <w:szCs w:val="20"/>
        </w:rPr>
        <w:t xml:space="preserve">  Yield of </w:t>
      </w:r>
      <w:r w:rsidRPr="00812EE7">
        <w:rPr>
          <w:rFonts w:ascii="Arial" w:hAnsi="Arial" w:cs="Arial"/>
          <w:i/>
          <w:sz w:val="20"/>
          <w:szCs w:val="20"/>
        </w:rPr>
        <w:t xml:space="preserve">Catharanthus roseus </w:t>
      </w:r>
      <w:r w:rsidRPr="00812EE7">
        <w:rPr>
          <w:rFonts w:ascii="Arial" w:hAnsi="Arial" w:cs="Arial"/>
          <w:sz w:val="20"/>
          <w:szCs w:val="20"/>
        </w:rPr>
        <w:t>extracts with various solvents</w:t>
      </w:r>
      <w:r w:rsidRPr="00812EE7">
        <w:rPr>
          <w:rFonts w:ascii="Arial" w:hAnsi="Arial" w:cs="Arial"/>
          <w:i/>
          <w:sz w:val="20"/>
          <w:szCs w:val="20"/>
        </w:rPr>
        <w:t>.</w:t>
      </w:r>
    </w:p>
    <w:p w14:paraId="5D020E62" w14:textId="77777777" w:rsidR="00376CD5" w:rsidRPr="00812EE7" w:rsidRDefault="00376CD5" w:rsidP="00376CD5">
      <w:pPr>
        <w:pStyle w:val="NoSpacing"/>
        <w:spacing w:before="100" w:beforeAutospacing="1"/>
        <w:jc w:val="both"/>
        <w:rPr>
          <w:rFonts w:ascii="Arial" w:hAnsi="Arial" w:cs="Arial"/>
          <w:i/>
          <w:sz w:val="20"/>
          <w:szCs w:val="20"/>
        </w:rPr>
      </w:pPr>
    </w:p>
    <w:tbl>
      <w:tblPr>
        <w:tblStyle w:val="LightShading"/>
        <w:tblW w:w="8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2116"/>
        <w:gridCol w:w="2116"/>
        <w:gridCol w:w="2116"/>
      </w:tblGrid>
      <w:tr w:rsidR="00AA688A" w:rsidRPr="00812EE7" w14:paraId="2F8A59ED" w14:textId="77777777" w:rsidTr="007147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3" w:type="dxa"/>
            <w:shd w:val="clear" w:color="auto" w:fill="auto"/>
          </w:tcPr>
          <w:p w14:paraId="710E649F" w14:textId="77777777" w:rsidR="00AA688A" w:rsidRPr="00812EE7" w:rsidRDefault="00AA688A" w:rsidP="00376CD5">
            <w:pPr>
              <w:spacing w:before="100" w:beforeAutospacing="1" w:line="480" w:lineRule="auto"/>
              <w:jc w:val="both"/>
              <w:rPr>
                <w:rFonts w:ascii="Arial" w:hAnsi="Arial" w:cs="Arial"/>
                <w:color w:val="auto"/>
                <w:sz w:val="20"/>
                <w:szCs w:val="20"/>
              </w:rPr>
            </w:pPr>
            <w:r w:rsidRPr="00812EE7">
              <w:rPr>
                <w:rFonts w:ascii="Arial" w:hAnsi="Arial" w:cs="Arial"/>
                <w:color w:val="auto"/>
                <w:sz w:val="20"/>
                <w:szCs w:val="20"/>
              </w:rPr>
              <w:t>Method of extraction</w:t>
            </w:r>
          </w:p>
        </w:tc>
        <w:tc>
          <w:tcPr>
            <w:tcW w:w="2116" w:type="dxa"/>
          </w:tcPr>
          <w:p w14:paraId="503717EE" w14:textId="77777777" w:rsidR="00AA688A" w:rsidRPr="00812EE7" w:rsidRDefault="00AA688A" w:rsidP="00376CD5">
            <w:pPr>
              <w:spacing w:before="100" w:beforeAutospacing="1"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812EE7">
              <w:rPr>
                <w:rFonts w:ascii="Arial" w:hAnsi="Arial" w:cs="Arial"/>
                <w:color w:val="auto"/>
                <w:sz w:val="20"/>
                <w:szCs w:val="20"/>
              </w:rPr>
              <w:t>Yield (mg/gm)</w:t>
            </w:r>
          </w:p>
        </w:tc>
        <w:tc>
          <w:tcPr>
            <w:tcW w:w="2116" w:type="dxa"/>
          </w:tcPr>
          <w:p w14:paraId="6C9DDC27" w14:textId="77777777" w:rsidR="00AA688A" w:rsidRPr="00812EE7" w:rsidRDefault="00AA688A" w:rsidP="00376CD5">
            <w:pPr>
              <w:spacing w:before="100" w:beforeAutospacing="1"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812EE7">
              <w:rPr>
                <w:rFonts w:ascii="Arial" w:hAnsi="Arial" w:cs="Arial"/>
                <w:sz w:val="20"/>
                <w:szCs w:val="20"/>
              </w:rPr>
              <w:t>Total polyphenol content (mg/</w:t>
            </w:r>
            <w:proofErr w:type="gramStart"/>
            <w:r w:rsidRPr="00812EE7">
              <w:rPr>
                <w:rFonts w:ascii="Arial" w:hAnsi="Arial" w:cs="Arial"/>
                <w:sz w:val="20"/>
                <w:szCs w:val="20"/>
              </w:rPr>
              <w:t>gm)</w:t>
            </w:r>
            <w:r w:rsidRPr="00812EE7">
              <w:rPr>
                <w:rFonts w:ascii="Arial" w:hAnsi="Arial" w:cs="Arial"/>
                <w:sz w:val="20"/>
                <w:szCs w:val="20"/>
                <w:vertAlign w:val="superscript"/>
              </w:rPr>
              <w:t>a</w:t>
            </w:r>
            <w:proofErr w:type="gramEnd"/>
          </w:p>
        </w:tc>
        <w:tc>
          <w:tcPr>
            <w:tcW w:w="2116" w:type="dxa"/>
          </w:tcPr>
          <w:p w14:paraId="7F13A413" w14:textId="77777777" w:rsidR="00AA688A" w:rsidRPr="00812EE7" w:rsidRDefault="00AA688A" w:rsidP="00376CD5">
            <w:pPr>
              <w:spacing w:before="100" w:beforeAutospacing="1"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812EE7">
              <w:rPr>
                <w:rFonts w:ascii="Arial" w:hAnsi="Arial" w:cs="Arial"/>
                <w:sz w:val="20"/>
                <w:szCs w:val="20"/>
              </w:rPr>
              <w:t>Total flavonoids content (mg/</w:t>
            </w:r>
            <w:proofErr w:type="gramStart"/>
            <w:r w:rsidRPr="00812EE7">
              <w:rPr>
                <w:rFonts w:ascii="Arial" w:hAnsi="Arial" w:cs="Arial"/>
                <w:sz w:val="20"/>
                <w:szCs w:val="20"/>
              </w:rPr>
              <w:t>gm)</w:t>
            </w:r>
            <w:r w:rsidRPr="00812EE7">
              <w:rPr>
                <w:rFonts w:ascii="Arial" w:hAnsi="Arial" w:cs="Arial"/>
                <w:sz w:val="20"/>
                <w:szCs w:val="20"/>
                <w:vertAlign w:val="superscript"/>
              </w:rPr>
              <w:t>b</w:t>
            </w:r>
            <w:proofErr w:type="gramEnd"/>
          </w:p>
        </w:tc>
      </w:tr>
      <w:tr w:rsidR="00AA688A" w:rsidRPr="00812EE7" w14:paraId="2C5ABA53" w14:textId="77777777" w:rsidTr="00714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3" w:type="dxa"/>
            <w:shd w:val="clear" w:color="auto" w:fill="auto"/>
          </w:tcPr>
          <w:p w14:paraId="69A897A9" w14:textId="77777777" w:rsidR="00AA688A" w:rsidRPr="00812EE7" w:rsidRDefault="00AA688A" w:rsidP="00376CD5">
            <w:pPr>
              <w:spacing w:before="100" w:beforeAutospacing="1" w:line="480" w:lineRule="auto"/>
              <w:jc w:val="both"/>
              <w:rPr>
                <w:rFonts w:ascii="Arial" w:hAnsi="Arial" w:cs="Arial"/>
                <w:color w:val="auto"/>
                <w:sz w:val="20"/>
                <w:szCs w:val="20"/>
              </w:rPr>
            </w:pPr>
            <w:r w:rsidRPr="00812EE7">
              <w:rPr>
                <w:rFonts w:ascii="Arial" w:hAnsi="Arial" w:cs="Arial"/>
                <w:color w:val="auto"/>
                <w:sz w:val="20"/>
                <w:szCs w:val="20"/>
              </w:rPr>
              <w:t>Sonication</w:t>
            </w:r>
          </w:p>
        </w:tc>
        <w:tc>
          <w:tcPr>
            <w:tcW w:w="2116" w:type="dxa"/>
          </w:tcPr>
          <w:p w14:paraId="03CF21F0" w14:textId="77777777" w:rsidR="00AA688A" w:rsidRPr="00812EE7" w:rsidRDefault="00AA688A" w:rsidP="00376CD5">
            <w:pPr>
              <w:spacing w:before="100" w:beforeAutospacing="1"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12EE7">
              <w:rPr>
                <w:rFonts w:ascii="Arial" w:hAnsi="Arial" w:cs="Arial"/>
                <w:color w:val="auto"/>
                <w:sz w:val="20"/>
                <w:szCs w:val="20"/>
              </w:rPr>
              <w:t>460 ± 24.60</w:t>
            </w:r>
          </w:p>
        </w:tc>
        <w:tc>
          <w:tcPr>
            <w:tcW w:w="2116" w:type="dxa"/>
          </w:tcPr>
          <w:p w14:paraId="3C55AB1C" w14:textId="77777777" w:rsidR="00AA688A" w:rsidRPr="00812EE7" w:rsidRDefault="00AA688A" w:rsidP="00376CD5">
            <w:pPr>
              <w:spacing w:before="100" w:beforeAutospacing="1"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12EE7">
              <w:rPr>
                <w:rFonts w:ascii="Arial" w:hAnsi="Arial" w:cs="Arial"/>
                <w:sz w:val="20"/>
                <w:szCs w:val="20"/>
              </w:rPr>
              <w:t>24.43 ± 0.48</w:t>
            </w:r>
          </w:p>
        </w:tc>
        <w:tc>
          <w:tcPr>
            <w:tcW w:w="2116" w:type="dxa"/>
          </w:tcPr>
          <w:p w14:paraId="3D92307B" w14:textId="77777777" w:rsidR="00AA688A" w:rsidRPr="00812EE7" w:rsidRDefault="00AA688A" w:rsidP="00376CD5">
            <w:pPr>
              <w:spacing w:before="100" w:beforeAutospacing="1"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12EE7">
              <w:rPr>
                <w:rFonts w:ascii="Arial" w:hAnsi="Arial" w:cs="Arial"/>
                <w:sz w:val="20"/>
                <w:szCs w:val="20"/>
              </w:rPr>
              <w:t>2.11 ± 0.01</w:t>
            </w:r>
          </w:p>
        </w:tc>
      </w:tr>
      <w:tr w:rsidR="00AA688A" w:rsidRPr="00812EE7" w14:paraId="478576D0" w14:textId="77777777" w:rsidTr="007147D9">
        <w:tc>
          <w:tcPr>
            <w:cnfStyle w:val="001000000000" w:firstRow="0" w:lastRow="0" w:firstColumn="1" w:lastColumn="0" w:oddVBand="0" w:evenVBand="0" w:oddHBand="0" w:evenHBand="0" w:firstRowFirstColumn="0" w:firstRowLastColumn="0" w:lastRowFirstColumn="0" w:lastRowLastColumn="0"/>
            <w:tcW w:w="2423" w:type="dxa"/>
            <w:shd w:val="clear" w:color="auto" w:fill="auto"/>
          </w:tcPr>
          <w:p w14:paraId="2FAABB40" w14:textId="77777777" w:rsidR="00AA688A" w:rsidRPr="00812EE7" w:rsidRDefault="00AA688A" w:rsidP="00376CD5">
            <w:pPr>
              <w:spacing w:before="100" w:beforeAutospacing="1" w:line="480" w:lineRule="auto"/>
              <w:jc w:val="both"/>
              <w:rPr>
                <w:rFonts w:ascii="Arial" w:hAnsi="Arial" w:cs="Arial"/>
                <w:color w:val="auto"/>
                <w:sz w:val="20"/>
                <w:szCs w:val="20"/>
              </w:rPr>
            </w:pPr>
            <w:r w:rsidRPr="00812EE7">
              <w:rPr>
                <w:rFonts w:ascii="Arial" w:hAnsi="Arial" w:cs="Arial"/>
                <w:color w:val="auto"/>
                <w:sz w:val="20"/>
                <w:szCs w:val="20"/>
              </w:rPr>
              <w:t>Maceration</w:t>
            </w:r>
          </w:p>
        </w:tc>
        <w:tc>
          <w:tcPr>
            <w:tcW w:w="2116" w:type="dxa"/>
          </w:tcPr>
          <w:p w14:paraId="43DE4976" w14:textId="77777777" w:rsidR="00AA688A" w:rsidRPr="00812EE7" w:rsidRDefault="00AA688A" w:rsidP="00376CD5">
            <w:pPr>
              <w:spacing w:before="100" w:beforeAutospacing="1"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1" w:name="_Hlk173850171"/>
            <w:r w:rsidRPr="00812EE7">
              <w:rPr>
                <w:rFonts w:ascii="Arial" w:hAnsi="Arial" w:cs="Arial"/>
                <w:color w:val="auto"/>
                <w:sz w:val="20"/>
                <w:szCs w:val="20"/>
              </w:rPr>
              <w:t>344 ± 24.49</w:t>
            </w:r>
            <w:bookmarkEnd w:id="1"/>
          </w:p>
        </w:tc>
        <w:tc>
          <w:tcPr>
            <w:tcW w:w="2116" w:type="dxa"/>
          </w:tcPr>
          <w:p w14:paraId="41B50B15" w14:textId="77777777" w:rsidR="00AA688A" w:rsidRPr="00812EE7" w:rsidRDefault="00AA688A" w:rsidP="00376CD5">
            <w:pPr>
              <w:spacing w:before="100" w:beforeAutospacing="1"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12EE7">
              <w:rPr>
                <w:rFonts w:ascii="Arial" w:hAnsi="Arial" w:cs="Arial"/>
                <w:sz w:val="20"/>
                <w:szCs w:val="20"/>
              </w:rPr>
              <w:t>10.72 ± 1.24</w:t>
            </w:r>
          </w:p>
        </w:tc>
        <w:tc>
          <w:tcPr>
            <w:tcW w:w="2116" w:type="dxa"/>
          </w:tcPr>
          <w:p w14:paraId="59770EF3" w14:textId="77777777" w:rsidR="00AA688A" w:rsidRPr="00812EE7" w:rsidRDefault="00AA688A" w:rsidP="00376CD5">
            <w:pPr>
              <w:spacing w:before="100" w:beforeAutospacing="1"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12EE7">
              <w:rPr>
                <w:rFonts w:ascii="Arial" w:hAnsi="Arial" w:cs="Arial"/>
                <w:sz w:val="20"/>
                <w:szCs w:val="20"/>
              </w:rPr>
              <w:t>1.99 ± 0.065</w:t>
            </w:r>
          </w:p>
        </w:tc>
      </w:tr>
    </w:tbl>
    <w:p w14:paraId="662BF109" w14:textId="0D79460C" w:rsidR="00AA688A" w:rsidRPr="00376CD5" w:rsidRDefault="00AA688A" w:rsidP="00712C71">
      <w:pPr>
        <w:pStyle w:val="NoSpacing"/>
        <w:rPr>
          <w:rFonts w:ascii="Arial" w:hAnsi="Arial" w:cs="Arial"/>
          <w:sz w:val="20"/>
          <w:szCs w:val="20"/>
          <w:vertAlign w:val="superscript"/>
        </w:rPr>
      </w:pPr>
      <w:r w:rsidRPr="00376CD5">
        <w:rPr>
          <w:rFonts w:ascii="Arial" w:hAnsi="Arial" w:cs="Arial"/>
          <w:sz w:val="20"/>
          <w:szCs w:val="20"/>
          <w:vertAlign w:val="superscript"/>
        </w:rPr>
        <w:t xml:space="preserve">Yield is expressed in mg of extract/g of dried material.  </w:t>
      </w:r>
      <w:proofErr w:type="spellStart"/>
      <w:r w:rsidRPr="00376CD5">
        <w:rPr>
          <w:rFonts w:ascii="Arial" w:hAnsi="Arial" w:cs="Arial"/>
          <w:sz w:val="20"/>
          <w:szCs w:val="20"/>
          <w:vertAlign w:val="superscript"/>
        </w:rPr>
        <w:t>aPolyphenol</w:t>
      </w:r>
      <w:proofErr w:type="spellEnd"/>
      <w:r w:rsidRPr="00376CD5">
        <w:rPr>
          <w:rFonts w:ascii="Arial" w:hAnsi="Arial" w:cs="Arial"/>
          <w:sz w:val="20"/>
          <w:szCs w:val="20"/>
          <w:vertAlign w:val="superscript"/>
        </w:rPr>
        <w:t xml:space="preserve"> content is expressed as a gallic acid equivalent. b </w:t>
      </w:r>
      <w:r w:rsidRPr="00376CD5">
        <w:rPr>
          <w:rFonts w:ascii="Arial" w:hAnsi="Arial" w:cs="Arial"/>
          <w:noProof/>
          <w:sz w:val="20"/>
          <w:szCs w:val="20"/>
          <w:vertAlign w:val="superscript"/>
        </w:rPr>
        <w:t>The amount of flavonoids is represented as rutin equivalents</w:t>
      </w:r>
      <w:r w:rsidRPr="00376CD5">
        <w:rPr>
          <w:rFonts w:ascii="Arial" w:hAnsi="Arial" w:cs="Arial"/>
          <w:sz w:val="20"/>
          <w:szCs w:val="20"/>
          <w:vertAlign w:val="superscript"/>
        </w:rPr>
        <w:t xml:space="preserve"> </w:t>
      </w:r>
      <w:bookmarkStart w:id="2" w:name="OLE_LINK2"/>
      <w:r w:rsidRPr="00376CD5">
        <w:rPr>
          <w:rFonts w:ascii="Arial" w:hAnsi="Arial" w:cs="Arial"/>
          <w:sz w:val="20"/>
          <w:szCs w:val="20"/>
          <w:vertAlign w:val="superscript"/>
        </w:rPr>
        <w:t>Every data point is represented as mean± S.D. with a one-way ANOVA. *** indicates a</w:t>
      </w:r>
      <w:r w:rsidRPr="003A5C3A">
        <w:rPr>
          <w:rFonts w:ascii="Arial" w:hAnsi="Arial" w:cs="Arial"/>
          <w:i/>
          <w:iCs/>
          <w:sz w:val="20"/>
          <w:szCs w:val="20"/>
          <w:vertAlign w:val="superscript"/>
        </w:rPr>
        <w:t xml:space="preserve"> P</w:t>
      </w:r>
      <w:r w:rsidRPr="00376CD5">
        <w:rPr>
          <w:rFonts w:ascii="Arial" w:hAnsi="Arial" w:cs="Arial"/>
          <w:sz w:val="20"/>
          <w:szCs w:val="20"/>
          <w:vertAlign w:val="superscript"/>
        </w:rPr>
        <w:t xml:space="preserve"> value of less than .001. </w:t>
      </w:r>
    </w:p>
    <w:bookmarkEnd w:id="2"/>
    <w:p w14:paraId="1D1F75EF" w14:textId="064FDD98" w:rsidR="005A77AC" w:rsidRPr="00167D47" w:rsidRDefault="000A13EA" w:rsidP="00167D47">
      <w:pPr>
        <w:spacing w:before="100" w:beforeAutospacing="1" w:after="0" w:line="240" w:lineRule="auto"/>
        <w:rPr>
          <w:rFonts w:ascii="Arial" w:hAnsi="Arial" w:cs="Arial"/>
          <w:b/>
        </w:rPr>
      </w:pPr>
      <w:r w:rsidRPr="00167D47">
        <w:rPr>
          <w:rFonts w:ascii="Arial" w:hAnsi="Arial" w:cs="Arial"/>
          <w:b/>
        </w:rPr>
        <w:t>Nitric oxide scavenging assay</w:t>
      </w:r>
    </w:p>
    <w:p w14:paraId="497AB540" w14:textId="06C090DB" w:rsidR="000A13EA" w:rsidRPr="00812EE7" w:rsidRDefault="00DA1F08" w:rsidP="00712C71">
      <w:pPr>
        <w:spacing w:before="100" w:beforeAutospacing="1" w:after="0" w:line="240" w:lineRule="auto"/>
        <w:jc w:val="both"/>
        <w:rPr>
          <w:rFonts w:ascii="Arial" w:hAnsi="Arial" w:cs="Arial"/>
          <w:noProof/>
          <w:sz w:val="20"/>
          <w:szCs w:val="20"/>
        </w:rPr>
      </w:pPr>
      <w:r w:rsidRPr="00812EE7">
        <w:rPr>
          <w:rFonts w:ascii="Arial" w:hAnsi="Arial" w:cs="Arial"/>
          <w:noProof/>
          <w:sz w:val="20"/>
          <w:szCs w:val="20"/>
        </w:rPr>
        <w:t xml:space="preserve">The </w:t>
      </w:r>
      <w:r w:rsidR="00184D38" w:rsidRPr="00812EE7">
        <w:rPr>
          <w:rFonts w:ascii="Arial" w:hAnsi="Arial" w:cs="Arial"/>
          <w:noProof/>
          <w:sz w:val="20"/>
          <w:szCs w:val="20"/>
        </w:rPr>
        <w:t xml:space="preserve">Nitric Oxide </w:t>
      </w:r>
      <w:r w:rsidRPr="00812EE7">
        <w:rPr>
          <w:rFonts w:ascii="Arial" w:hAnsi="Arial" w:cs="Arial"/>
          <w:noProof/>
          <w:sz w:val="20"/>
          <w:szCs w:val="20"/>
        </w:rPr>
        <w:t xml:space="preserve">scavenging capacities of plant extracts were evaluated at </w:t>
      </w:r>
      <w:r w:rsidR="00083D7A" w:rsidRPr="00812EE7">
        <w:rPr>
          <w:rFonts w:ascii="Arial" w:hAnsi="Arial" w:cs="Arial"/>
          <w:noProof/>
          <w:sz w:val="20"/>
          <w:szCs w:val="20"/>
        </w:rPr>
        <w:t>0.5 mg/ml, 1 mg/ml, 1.5mg/ml and 2 mg/ml</w:t>
      </w:r>
      <w:r w:rsidRPr="00812EE7">
        <w:rPr>
          <w:rFonts w:ascii="Arial" w:hAnsi="Arial" w:cs="Arial"/>
          <w:noProof/>
          <w:sz w:val="20"/>
          <w:szCs w:val="20"/>
        </w:rPr>
        <w:t xml:space="preserve"> concentrations. </w:t>
      </w:r>
      <w:r w:rsidR="00041042" w:rsidRPr="00812EE7">
        <w:rPr>
          <w:rFonts w:ascii="Arial" w:hAnsi="Arial" w:cs="Arial"/>
          <w:noProof/>
          <w:sz w:val="20"/>
          <w:szCs w:val="20"/>
        </w:rPr>
        <w:t xml:space="preserve">The percentage scvaging ability are as shown in table no </w:t>
      </w:r>
      <w:r w:rsidR="007F12C3" w:rsidRPr="00812EE7">
        <w:rPr>
          <w:rFonts w:ascii="Arial" w:hAnsi="Arial" w:cs="Arial"/>
          <w:noProof/>
          <w:sz w:val="20"/>
          <w:szCs w:val="20"/>
        </w:rPr>
        <w:t>2</w:t>
      </w:r>
      <w:r w:rsidR="00041042" w:rsidRPr="00812EE7">
        <w:rPr>
          <w:rFonts w:ascii="Arial" w:hAnsi="Arial" w:cs="Arial"/>
          <w:noProof/>
          <w:sz w:val="20"/>
          <w:szCs w:val="20"/>
        </w:rPr>
        <w:t>.</w:t>
      </w:r>
      <w:r w:rsidR="0082509F" w:rsidRPr="00812EE7">
        <w:rPr>
          <w:rFonts w:ascii="Arial" w:hAnsi="Arial" w:cs="Arial"/>
          <w:noProof/>
          <w:sz w:val="20"/>
          <w:szCs w:val="20"/>
        </w:rPr>
        <w:t xml:space="preserve"> And Figure 3</w:t>
      </w:r>
      <w:r w:rsidR="00E26038" w:rsidRPr="00812EE7">
        <w:rPr>
          <w:rFonts w:ascii="Arial" w:hAnsi="Arial" w:cs="Arial"/>
          <w:noProof/>
          <w:sz w:val="20"/>
          <w:szCs w:val="20"/>
        </w:rPr>
        <w:t>.</w:t>
      </w:r>
    </w:p>
    <w:p w14:paraId="762AD11F" w14:textId="77777777" w:rsidR="008A01BE" w:rsidRPr="00376CD5" w:rsidRDefault="008A01BE" w:rsidP="00712C71">
      <w:pPr>
        <w:spacing w:before="100" w:beforeAutospacing="1" w:after="0" w:line="240" w:lineRule="auto"/>
        <w:jc w:val="both"/>
        <w:rPr>
          <w:rFonts w:ascii="Arial" w:hAnsi="Arial" w:cs="Arial"/>
          <w:noProof/>
          <w:sz w:val="24"/>
          <w:szCs w:val="24"/>
        </w:rPr>
      </w:pPr>
    </w:p>
    <w:p w14:paraId="557FB7CC" w14:textId="77777777" w:rsidR="0082509F" w:rsidRPr="00376CD5" w:rsidRDefault="0082509F" w:rsidP="00712C71">
      <w:pPr>
        <w:tabs>
          <w:tab w:val="left" w:pos="1920"/>
        </w:tabs>
        <w:spacing w:before="100" w:beforeAutospacing="1" w:line="240" w:lineRule="auto"/>
        <w:rPr>
          <w:rFonts w:ascii="Arial" w:hAnsi="Arial" w:cs="Arial"/>
          <w:sz w:val="24"/>
          <w:szCs w:val="24"/>
          <w:lang w:eastAsia="x-none"/>
        </w:rPr>
      </w:pPr>
      <w:r w:rsidRPr="00376CD5">
        <w:rPr>
          <w:rFonts w:ascii="Arial" w:hAnsi="Arial" w:cs="Arial"/>
          <w:sz w:val="24"/>
          <w:szCs w:val="24"/>
        </w:rPr>
        <w:object w:dxaOrig="8150" w:dyaOrig="5011" w14:anchorId="3A57CDD2">
          <v:shape id="_x0000_i1028" type="#_x0000_t75" style="width:312.75pt;height:192.75pt" o:ole="">
            <v:imagedata r:id="rId13" o:title=""/>
          </v:shape>
          <o:OLEObject Type="Embed" ProgID="Prism8.Document" ShapeID="_x0000_i1028" DrawAspect="Content" ObjectID="_1801920509" r:id="rId14"/>
        </w:object>
      </w:r>
    </w:p>
    <w:p w14:paraId="1DCF015F" w14:textId="77777777" w:rsidR="003A5C3A" w:rsidRDefault="0082509F" w:rsidP="003A5C3A">
      <w:pPr>
        <w:spacing w:before="100" w:beforeAutospacing="1" w:after="0" w:line="240" w:lineRule="auto"/>
        <w:jc w:val="both"/>
        <w:rPr>
          <w:rFonts w:ascii="Arial" w:hAnsi="Arial" w:cs="Arial"/>
          <w:sz w:val="20"/>
          <w:szCs w:val="20"/>
        </w:rPr>
      </w:pPr>
      <w:r w:rsidRPr="00812EE7">
        <w:rPr>
          <w:rFonts w:ascii="Arial" w:hAnsi="Arial" w:cs="Arial"/>
          <w:sz w:val="20"/>
          <w:szCs w:val="20"/>
        </w:rPr>
        <w:t xml:space="preserve">Fig. 3: Nitric Oxide scavenging activity of extracts prepared by the ultrasonication was significantly higher at all the four </w:t>
      </w:r>
      <w:proofErr w:type="gramStart"/>
      <w:r w:rsidRPr="00812EE7">
        <w:rPr>
          <w:rFonts w:ascii="Arial" w:hAnsi="Arial" w:cs="Arial"/>
          <w:sz w:val="20"/>
          <w:szCs w:val="20"/>
        </w:rPr>
        <w:t>concentrations  tested</w:t>
      </w:r>
      <w:proofErr w:type="gramEnd"/>
      <w:r w:rsidRPr="00812EE7">
        <w:rPr>
          <w:rFonts w:ascii="Arial" w:hAnsi="Arial" w:cs="Arial"/>
          <w:sz w:val="20"/>
          <w:szCs w:val="20"/>
        </w:rPr>
        <w:t xml:space="preserve"> compared to Maceration.</w:t>
      </w:r>
    </w:p>
    <w:p w14:paraId="547117E5" w14:textId="77777777" w:rsidR="003A5C3A" w:rsidRDefault="003A5C3A" w:rsidP="003A5C3A">
      <w:pPr>
        <w:spacing w:before="100" w:beforeAutospacing="1" w:after="0" w:line="240" w:lineRule="auto"/>
        <w:jc w:val="both"/>
        <w:rPr>
          <w:rFonts w:ascii="Arial" w:hAnsi="Arial" w:cs="Arial"/>
          <w:sz w:val="20"/>
          <w:szCs w:val="20"/>
        </w:rPr>
      </w:pPr>
    </w:p>
    <w:p w14:paraId="66167C07" w14:textId="6B2C4E91" w:rsidR="008A01BE" w:rsidRPr="00812EE7" w:rsidRDefault="008A01BE" w:rsidP="003A5C3A">
      <w:pPr>
        <w:spacing w:before="100" w:beforeAutospacing="1" w:after="0" w:line="240" w:lineRule="auto"/>
        <w:jc w:val="both"/>
        <w:rPr>
          <w:rFonts w:ascii="Arial" w:hAnsi="Arial" w:cs="Arial"/>
          <w:sz w:val="20"/>
          <w:szCs w:val="20"/>
        </w:rPr>
      </w:pPr>
      <w:r w:rsidRPr="00812EE7">
        <w:rPr>
          <w:rFonts w:ascii="Arial" w:hAnsi="Arial" w:cs="Arial"/>
          <w:noProof/>
          <w:sz w:val="20"/>
          <w:szCs w:val="20"/>
        </w:rPr>
        <w:t xml:space="preserve">Table No. </w:t>
      </w:r>
      <w:r w:rsidR="007F12C3" w:rsidRPr="00812EE7">
        <w:rPr>
          <w:rFonts w:ascii="Arial" w:hAnsi="Arial" w:cs="Arial"/>
          <w:noProof/>
          <w:sz w:val="20"/>
          <w:szCs w:val="20"/>
        </w:rPr>
        <w:t>2</w:t>
      </w:r>
      <w:r w:rsidR="00E26038" w:rsidRPr="00812EE7">
        <w:rPr>
          <w:rFonts w:ascii="Arial" w:hAnsi="Arial" w:cs="Arial"/>
          <w:noProof/>
          <w:sz w:val="20"/>
          <w:szCs w:val="20"/>
        </w:rPr>
        <w:t xml:space="preserve">: </w:t>
      </w:r>
      <w:r w:rsidRPr="00812EE7">
        <w:rPr>
          <w:rFonts w:ascii="Arial" w:hAnsi="Arial" w:cs="Arial"/>
          <w:noProof/>
          <w:sz w:val="20"/>
          <w:szCs w:val="20"/>
        </w:rPr>
        <w:t>NO scavenging ability of plant extract prepared by two different methods in percentage.</w:t>
      </w:r>
    </w:p>
    <w:p w14:paraId="42573939" w14:textId="77777777" w:rsidR="00E26038" w:rsidRPr="00376CD5" w:rsidRDefault="00E26038" w:rsidP="00712C71">
      <w:pPr>
        <w:spacing w:before="100" w:beforeAutospacing="1" w:after="0" w:line="240" w:lineRule="auto"/>
        <w:jc w:val="both"/>
        <w:rPr>
          <w:rFonts w:ascii="Arial" w:hAnsi="Arial" w:cs="Arial"/>
          <w:noProof/>
          <w:sz w:val="24"/>
          <w:szCs w:val="24"/>
        </w:rPr>
      </w:pPr>
    </w:p>
    <w:tbl>
      <w:tblPr>
        <w:tblStyle w:val="TableGrid"/>
        <w:tblW w:w="0" w:type="auto"/>
        <w:tblLook w:val="04A0" w:firstRow="1" w:lastRow="0" w:firstColumn="1" w:lastColumn="0" w:noHBand="0" w:noVBand="1"/>
      </w:tblPr>
      <w:tblGrid>
        <w:gridCol w:w="1573"/>
        <w:gridCol w:w="1327"/>
        <w:gridCol w:w="1327"/>
      </w:tblGrid>
      <w:tr w:rsidR="008A01BE" w:rsidRPr="00812EE7" w14:paraId="0C83B686" w14:textId="77777777" w:rsidTr="00376CD5">
        <w:tc>
          <w:tcPr>
            <w:tcW w:w="0" w:type="auto"/>
          </w:tcPr>
          <w:p w14:paraId="4994FB08" w14:textId="77777777" w:rsidR="00376CD5" w:rsidRPr="00812EE7" w:rsidRDefault="008A01BE" w:rsidP="00376CD5">
            <w:pPr>
              <w:spacing w:before="100" w:beforeAutospacing="1" w:line="480" w:lineRule="auto"/>
              <w:jc w:val="both"/>
              <w:rPr>
                <w:rFonts w:ascii="Arial" w:hAnsi="Arial" w:cs="Arial"/>
                <w:noProof/>
                <w:sz w:val="20"/>
                <w:szCs w:val="20"/>
              </w:rPr>
            </w:pPr>
            <w:r w:rsidRPr="00812EE7">
              <w:rPr>
                <w:rFonts w:ascii="Arial" w:hAnsi="Arial" w:cs="Arial"/>
                <w:noProof/>
                <w:sz w:val="20"/>
                <w:szCs w:val="20"/>
              </w:rPr>
              <w:t>Conncentration</w:t>
            </w:r>
          </w:p>
          <w:p w14:paraId="07A0F7EE" w14:textId="2CD02E82" w:rsidR="008A01BE" w:rsidRPr="00812EE7" w:rsidRDefault="008A01BE" w:rsidP="00376CD5">
            <w:pPr>
              <w:spacing w:before="100" w:beforeAutospacing="1" w:line="480" w:lineRule="auto"/>
              <w:jc w:val="both"/>
              <w:rPr>
                <w:rFonts w:ascii="Arial" w:hAnsi="Arial" w:cs="Arial"/>
                <w:noProof/>
                <w:sz w:val="20"/>
                <w:szCs w:val="20"/>
              </w:rPr>
            </w:pPr>
            <w:r w:rsidRPr="00812EE7">
              <w:rPr>
                <w:rFonts w:ascii="Arial" w:hAnsi="Arial" w:cs="Arial"/>
                <w:noProof/>
                <w:sz w:val="20"/>
                <w:szCs w:val="20"/>
              </w:rPr>
              <w:t xml:space="preserve"> (mg/ml)</w:t>
            </w:r>
          </w:p>
        </w:tc>
        <w:tc>
          <w:tcPr>
            <w:tcW w:w="0" w:type="auto"/>
          </w:tcPr>
          <w:p w14:paraId="455421B4" w14:textId="77777777" w:rsidR="008A01BE" w:rsidRPr="00812EE7" w:rsidRDefault="008A01BE" w:rsidP="00376CD5">
            <w:pPr>
              <w:spacing w:before="100" w:beforeAutospacing="1" w:line="480" w:lineRule="auto"/>
              <w:jc w:val="both"/>
              <w:rPr>
                <w:rFonts w:ascii="Arial" w:hAnsi="Arial" w:cs="Arial"/>
                <w:noProof/>
                <w:sz w:val="20"/>
                <w:szCs w:val="20"/>
              </w:rPr>
            </w:pPr>
            <w:r w:rsidRPr="00812EE7">
              <w:rPr>
                <w:rFonts w:ascii="Arial" w:hAnsi="Arial" w:cs="Arial"/>
                <w:noProof/>
                <w:sz w:val="20"/>
                <w:szCs w:val="20"/>
              </w:rPr>
              <w:t>Sonication</w:t>
            </w:r>
          </w:p>
        </w:tc>
        <w:tc>
          <w:tcPr>
            <w:tcW w:w="0" w:type="auto"/>
          </w:tcPr>
          <w:p w14:paraId="479DD1BA" w14:textId="77777777" w:rsidR="008A01BE" w:rsidRPr="00812EE7" w:rsidRDefault="008A01BE" w:rsidP="00376CD5">
            <w:pPr>
              <w:spacing w:before="100" w:beforeAutospacing="1" w:line="480" w:lineRule="auto"/>
              <w:jc w:val="both"/>
              <w:rPr>
                <w:rFonts w:ascii="Arial" w:hAnsi="Arial" w:cs="Arial"/>
                <w:noProof/>
                <w:sz w:val="20"/>
                <w:szCs w:val="20"/>
              </w:rPr>
            </w:pPr>
            <w:r w:rsidRPr="00812EE7">
              <w:rPr>
                <w:rFonts w:ascii="Arial" w:hAnsi="Arial" w:cs="Arial"/>
                <w:noProof/>
                <w:sz w:val="20"/>
                <w:szCs w:val="20"/>
              </w:rPr>
              <w:t>Maceration</w:t>
            </w:r>
          </w:p>
        </w:tc>
      </w:tr>
      <w:tr w:rsidR="008A01BE" w:rsidRPr="00812EE7" w14:paraId="3A7849C1" w14:textId="77777777" w:rsidTr="00376CD5">
        <w:tc>
          <w:tcPr>
            <w:tcW w:w="0" w:type="auto"/>
          </w:tcPr>
          <w:p w14:paraId="33FDE003" w14:textId="77777777" w:rsidR="008A01BE" w:rsidRPr="00812EE7" w:rsidRDefault="008A01BE" w:rsidP="00376CD5">
            <w:pPr>
              <w:spacing w:before="100" w:beforeAutospacing="1" w:line="480" w:lineRule="auto"/>
              <w:jc w:val="both"/>
              <w:rPr>
                <w:rFonts w:ascii="Arial" w:hAnsi="Arial" w:cs="Arial"/>
                <w:noProof/>
                <w:sz w:val="20"/>
                <w:szCs w:val="20"/>
              </w:rPr>
            </w:pPr>
            <w:r w:rsidRPr="00812EE7">
              <w:rPr>
                <w:rFonts w:ascii="Arial" w:hAnsi="Arial" w:cs="Arial"/>
                <w:noProof/>
                <w:sz w:val="20"/>
                <w:szCs w:val="20"/>
              </w:rPr>
              <w:t>0.5</w:t>
            </w:r>
          </w:p>
        </w:tc>
        <w:tc>
          <w:tcPr>
            <w:tcW w:w="0" w:type="auto"/>
          </w:tcPr>
          <w:p w14:paraId="2D87A8CF" w14:textId="77777777" w:rsidR="008A01BE" w:rsidRPr="00812EE7" w:rsidRDefault="008A01BE" w:rsidP="00376CD5">
            <w:pPr>
              <w:spacing w:before="100" w:beforeAutospacing="1" w:line="480" w:lineRule="auto"/>
              <w:jc w:val="both"/>
              <w:rPr>
                <w:rFonts w:ascii="Arial" w:hAnsi="Arial" w:cs="Arial"/>
                <w:noProof/>
                <w:sz w:val="20"/>
                <w:szCs w:val="20"/>
              </w:rPr>
            </w:pPr>
            <w:r w:rsidRPr="00812EE7">
              <w:rPr>
                <w:rFonts w:ascii="Arial" w:hAnsi="Arial" w:cs="Arial"/>
                <w:noProof/>
                <w:sz w:val="20"/>
                <w:szCs w:val="20"/>
              </w:rPr>
              <w:t xml:space="preserve">27.97 ± 2.28 </w:t>
            </w:r>
          </w:p>
        </w:tc>
        <w:tc>
          <w:tcPr>
            <w:tcW w:w="0" w:type="auto"/>
          </w:tcPr>
          <w:p w14:paraId="4863DF3F" w14:textId="77777777" w:rsidR="008A01BE" w:rsidRPr="00812EE7" w:rsidRDefault="008A01BE" w:rsidP="00376CD5">
            <w:pPr>
              <w:spacing w:before="100" w:beforeAutospacing="1" w:line="480" w:lineRule="auto"/>
              <w:jc w:val="both"/>
              <w:rPr>
                <w:rFonts w:ascii="Arial" w:hAnsi="Arial" w:cs="Arial"/>
                <w:noProof/>
                <w:sz w:val="20"/>
                <w:szCs w:val="20"/>
              </w:rPr>
            </w:pPr>
            <w:r w:rsidRPr="00812EE7">
              <w:rPr>
                <w:rFonts w:ascii="Arial" w:hAnsi="Arial" w:cs="Arial"/>
                <w:noProof/>
                <w:sz w:val="20"/>
                <w:szCs w:val="20"/>
              </w:rPr>
              <w:t>10.93 ± 0.56</w:t>
            </w:r>
          </w:p>
        </w:tc>
      </w:tr>
      <w:tr w:rsidR="008A01BE" w:rsidRPr="00812EE7" w14:paraId="68C502FE" w14:textId="77777777" w:rsidTr="00376CD5">
        <w:tc>
          <w:tcPr>
            <w:tcW w:w="0" w:type="auto"/>
          </w:tcPr>
          <w:p w14:paraId="33B25119" w14:textId="77777777" w:rsidR="008A01BE" w:rsidRPr="00812EE7" w:rsidRDefault="008A01BE" w:rsidP="00376CD5">
            <w:pPr>
              <w:spacing w:before="100" w:beforeAutospacing="1" w:line="480" w:lineRule="auto"/>
              <w:jc w:val="both"/>
              <w:rPr>
                <w:rFonts w:ascii="Arial" w:hAnsi="Arial" w:cs="Arial"/>
                <w:noProof/>
                <w:sz w:val="20"/>
                <w:szCs w:val="20"/>
              </w:rPr>
            </w:pPr>
            <w:r w:rsidRPr="00812EE7">
              <w:rPr>
                <w:rFonts w:ascii="Arial" w:hAnsi="Arial" w:cs="Arial"/>
                <w:noProof/>
                <w:sz w:val="20"/>
                <w:szCs w:val="20"/>
              </w:rPr>
              <w:t>1</w:t>
            </w:r>
          </w:p>
        </w:tc>
        <w:tc>
          <w:tcPr>
            <w:tcW w:w="0" w:type="auto"/>
          </w:tcPr>
          <w:p w14:paraId="5ADDF9B5" w14:textId="77777777" w:rsidR="008A01BE" w:rsidRPr="00812EE7" w:rsidRDefault="008A01BE" w:rsidP="00376CD5">
            <w:pPr>
              <w:spacing w:before="100" w:beforeAutospacing="1" w:line="480" w:lineRule="auto"/>
              <w:jc w:val="both"/>
              <w:rPr>
                <w:rFonts w:ascii="Arial" w:hAnsi="Arial" w:cs="Arial"/>
                <w:noProof/>
                <w:sz w:val="20"/>
                <w:szCs w:val="20"/>
              </w:rPr>
            </w:pPr>
            <w:r w:rsidRPr="00812EE7">
              <w:rPr>
                <w:rFonts w:ascii="Arial" w:hAnsi="Arial" w:cs="Arial"/>
                <w:noProof/>
                <w:sz w:val="20"/>
                <w:szCs w:val="20"/>
              </w:rPr>
              <w:t>33.1 ± 0.6</w:t>
            </w:r>
          </w:p>
        </w:tc>
        <w:tc>
          <w:tcPr>
            <w:tcW w:w="0" w:type="auto"/>
          </w:tcPr>
          <w:p w14:paraId="10C1757D" w14:textId="77777777" w:rsidR="008A01BE" w:rsidRPr="00812EE7" w:rsidRDefault="008A01BE" w:rsidP="00376CD5">
            <w:pPr>
              <w:spacing w:before="100" w:beforeAutospacing="1" w:line="480" w:lineRule="auto"/>
              <w:jc w:val="both"/>
              <w:rPr>
                <w:rFonts w:ascii="Arial" w:hAnsi="Arial" w:cs="Arial"/>
                <w:noProof/>
                <w:sz w:val="20"/>
                <w:szCs w:val="20"/>
              </w:rPr>
            </w:pPr>
            <w:r w:rsidRPr="00812EE7">
              <w:rPr>
                <w:rFonts w:ascii="Arial" w:hAnsi="Arial" w:cs="Arial"/>
                <w:noProof/>
                <w:sz w:val="20"/>
                <w:szCs w:val="20"/>
              </w:rPr>
              <w:t>24.03 ± 3.10</w:t>
            </w:r>
          </w:p>
        </w:tc>
      </w:tr>
      <w:tr w:rsidR="008A01BE" w:rsidRPr="00812EE7" w14:paraId="35B7031E" w14:textId="77777777" w:rsidTr="00376CD5">
        <w:tc>
          <w:tcPr>
            <w:tcW w:w="0" w:type="auto"/>
          </w:tcPr>
          <w:p w14:paraId="6910A828" w14:textId="77777777" w:rsidR="008A01BE" w:rsidRPr="00812EE7" w:rsidRDefault="008A01BE" w:rsidP="00376CD5">
            <w:pPr>
              <w:spacing w:before="100" w:beforeAutospacing="1" w:line="480" w:lineRule="auto"/>
              <w:jc w:val="both"/>
              <w:rPr>
                <w:rFonts w:ascii="Arial" w:hAnsi="Arial" w:cs="Arial"/>
                <w:noProof/>
                <w:sz w:val="20"/>
                <w:szCs w:val="20"/>
              </w:rPr>
            </w:pPr>
            <w:r w:rsidRPr="00812EE7">
              <w:rPr>
                <w:rFonts w:ascii="Arial" w:hAnsi="Arial" w:cs="Arial"/>
                <w:noProof/>
                <w:sz w:val="20"/>
                <w:szCs w:val="20"/>
              </w:rPr>
              <w:t>1.5</w:t>
            </w:r>
          </w:p>
        </w:tc>
        <w:tc>
          <w:tcPr>
            <w:tcW w:w="0" w:type="auto"/>
          </w:tcPr>
          <w:p w14:paraId="3F0FF739" w14:textId="77777777" w:rsidR="008A01BE" w:rsidRPr="00812EE7" w:rsidRDefault="008A01BE" w:rsidP="00376CD5">
            <w:pPr>
              <w:spacing w:before="100" w:beforeAutospacing="1" w:line="480" w:lineRule="auto"/>
              <w:jc w:val="both"/>
              <w:rPr>
                <w:rFonts w:ascii="Arial" w:hAnsi="Arial" w:cs="Arial"/>
                <w:noProof/>
                <w:sz w:val="20"/>
                <w:szCs w:val="20"/>
              </w:rPr>
            </w:pPr>
            <w:r w:rsidRPr="00812EE7">
              <w:rPr>
                <w:rFonts w:ascii="Arial" w:hAnsi="Arial" w:cs="Arial"/>
                <w:noProof/>
                <w:sz w:val="20"/>
                <w:szCs w:val="20"/>
              </w:rPr>
              <w:t>44.2  ± 4.49</w:t>
            </w:r>
          </w:p>
        </w:tc>
        <w:tc>
          <w:tcPr>
            <w:tcW w:w="0" w:type="auto"/>
          </w:tcPr>
          <w:p w14:paraId="628C26BD" w14:textId="77777777" w:rsidR="008A01BE" w:rsidRPr="00812EE7" w:rsidRDefault="008A01BE" w:rsidP="00376CD5">
            <w:pPr>
              <w:spacing w:before="100" w:beforeAutospacing="1" w:line="480" w:lineRule="auto"/>
              <w:jc w:val="both"/>
              <w:rPr>
                <w:rFonts w:ascii="Arial" w:hAnsi="Arial" w:cs="Arial"/>
                <w:noProof/>
                <w:sz w:val="20"/>
                <w:szCs w:val="20"/>
              </w:rPr>
            </w:pPr>
            <w:r w:rsidRPr="00812EE7">
              <w:rPr>
                <w:rFonts w:ascii="Arial" w:hAnsi="Arial" w:cs="Arial"/>
                <w:noProof/>
                <w:sz w:val="20"/>
                <w:szCs w:val="20"/>
              </w:rPr>
              <w:t>35.54 ± 2.3</w:t>
            </w:r>
          </w:p>
        </w:tc>
      </w:tr>
      <w:tr w:rsidR="008A01BE" w:rsidRPr="00812EE7" w14:paraId="40A7EBBF" w14:textId="77777777" w:rsidTr="00376CD5">
        <w:tc>
          <w:tcPr>
            <w:tcW w:w="0" w:type="auto"/>
          </w:tcPr>
          <w:p w14:paraId="48FF634D" w14:textId="77777777" w:rsidR="008A01BE" w:rsidRPr="00812EE7" w:rsidRDefault="008A01BE" w:rsidP="00376CD5">
            <w:pPr>
              <w:spacing w:before="100" w:beforeAutospacing="1" w:line="480" w:lineRule="auto"/>
              <w:jc w:val="both"/>
              <w:rPr>
                <w:rFonts w:ascii="Arial" w:hAnsi="Arial" w:cs="Arial"/>
                <w:noProof/>
                <w:sz w:val="20"/>
                <w:szCs w:val="20"/>
              </w:rPr>
            </w:pPr>
            <w:r w:rsidRPr="00812EE7">
              <w:rPr>
                <w:rFonts w:ascii="Arial" w:hAnsi="Arial" w:cs="Arial"/>
                <w:noProof/>
                <w:sz w:val="20"/>
                <w:szCs w:val="20"/>
              </w:rPr>
              <w:t>2</w:t>
            </w:r>
          </w:p>
        </w:tc>
        <w:tc>
          <w:tcPr>
            <w:tcW w:w="0" w:type="auto"/>
          </w:tcPr>
          <w:p w14:paraId="08914CCE" w14:textId="77777777" w:rsidR="008A01BE" w:rsidRPr="00812EE7" w:rsidRDefault="008A01BE" w:rsidP="00376CD5">
            <w:pPr>
              <w:spacing w:before="100" w:beforeAutospacing="1" w:line="480" w:lineRule="auto"/>
              <w:jc w:val="both"/>
              <w:rPr>
                <w:rFonts w:ascii="Arial" w:hAnsi="Arial" w:cs="Arial"/>
                <w:sz w:val="20"/>
                <w:szCs w:val="20"/>
              </w:rPr>
            </w:pPr>
            <w:r w:rsidRPr="00812EE7">
              <w:rPr>
                <w:rFonts w:ascii="Arial" w:hAnsi="Arial" w:cs="Arial"/>
                <w:noProof/>
                <w:sz w:val="20"/>
                <w:szCs w:val="20"/>
              </w:rPr>
              <w:t xml:space="preserve">65.73 </w:t>
            </w:r>
            <w:bookmarkStart w:id="3" w:name="OLE_LINK1"/>
            <w:r w:rsidRPr="00812EE7">
              <w:rPr>
                <w:rFonts w:ascii="Arial" w:hAnsi="Arial" w:cs="Arial"/>
                <w:noProof/>
                <w:sz w:val="20"/>
                <w:szCs w:val="20"/>
              </w:rPr>
              <w:t>±</w:t>
            </w:r>
            <w:bookmarkEnd w:id="3"/>
            <w:r w:rsidRPr="00812EE7">
              <w:rPr>
                <w:rFonts w:ascii="Arial" w:hAnsi="Arial" w:cs="Arial"/>
                <w:noProof/>
                <w:sz w:val="20"/>
                <w:szCs w:val="20"/>
              </w:rPr>
              <w:t xml:space="preserve"> 2.42</w:t>
            </w:r>
          </w:p>
          <w:p w14:paraId="493C276B" w14:textId="77777777" w:rsidR="008A01BE" w:rsidRPr="00812EE7" w:rsidRDefault="008A01BE" w:rsidP="00376CD5">
            <w:pPr>
              <w:spacing w:before="100" w:beforeAutospacing="1" w:line="480" w:lineRule="auto"/>
              <w:jc w:val="both"/>
              <w:rPr>
                <w:rFonts w:ascii="Arial" w:hAnsi="Arial" w:cs="Arial"/>
                <w:noProof/>
                <w:sz w:val="20"/>
                <w:szCs w:val="20"/>
              </w:rPr>
            </w:pPr>
          </w:p>
        </w:tc>
        <w:tc>
          <w:tcPr>
            <w:tcW w:w="0" w:type="auto"/>
          </w:tcPr>
          <w:p w14:paraId="23C110A2" w14:textId="77777777" w:rsidR="008A01BE" w:rsidRPr="00812EE7" w:rsidRDefault="008A01BE" w:rsidP="00376CD5">
            <w:pPr>
              <w:spacing w:before="100" w:beforeAutospacing="1" w:line="480" w:lineRule="auto"/>
              <w:jc w:val="both"/>
              <w:rPr>
                <w:rFonts w:ascii="Arial" w:hAnsi="Arial" w:cs="Arial"/>
                <w:noProof/>
                <w:sz w:val="20"/>
                <w:szCs w:val="20"/>
              </w:rPr>
            </w:pPr>
            <w:r w:rsidRPr="00812EE7">
              <w:rPr>
                <w:rFonts w:ascii="Arial" w:hAnsi="Arial" w:cs="Arial"/>
                <w:noProof/>
                <w:sz w:val="20"/>
                <w:szCs w:val="20"/>
              </w:rPr>
              <w:t>39.2 ± 0.5</w:t>
            </w:r>
          </w:p>
        </w:tc>
      </w:tr>
    </w:tbl>
    <w:p w14:paraId="21B3362C" w14:textId="77777777" w:rsidR="003A5C3A" w:rsidRDefault="008A01BE" w:rsidP="003A5C3A">
      <w:pPr>
        <w:pStyle w:val="NoSpacing"/>
        <w:rPr>
          <w:i/>
          <w:iCs/>
          <w:noProof/>
        </w:rPr>
      </w:pPr>
      <w:r w:rsidRPr="00376CD5">
        <w:rPr>
          <w:i/>
          <w:iCs/>
          <w:noProof/>
        </w:rPr>
        <w:t>Ethanol: Water extract made using a sonication-based technique showed better scavenging ability at all concentrations tested.</w:t>
      </w:r>
    </w:p>
    <w:p w14:paraId="26425A6E" w14:textId="77777777" w:rsidR="003A5C3A" w:rsidRDefault="003A5C3A" w:rsidP="003A5C3A">
      <w:pPr>
        <w:pStyle w:val="NoSpacing"/>
        <w:rPr>
          <w:i/>
          <w:iCs/>
          <w:noProof/>
        </w:rPr>
      </w:pPr>
    </w:p>
    <w:p w14:paraId="1E4B9601" w14:textId="77777777" w:rsidR="003A5C3A" w:rsidRDefault="00ED4261" w:rsidP="003A5C3A">
      <w:pPr>
        <w:pStyle w:val="NoSpacing"/>
        <w:rPr>
          <w:rFonts w:ascii="Arial" w:hAnsi="Arial" w:cs="Arial"/>
          <w:b/>
          <w:i/>
        </w:rPr>
      </w:pPr>
      <w:r w:rsidRPr="00167D47">
        <w:rPr>
          <w:rFonts w:ascii="Arial" w:hAnsi="Arial" w:cs="Arial"/>
          <w:b/>
        </w:rPr>
        <w:t xml:space="preserve">Lifespan analysis of </w:t>
      </w:r>
      <w:r w:rsidRPr="00167D47">
        <w:rPr>
          <w:rFonts w:ascii="Arial" w:hAnsi="Arial" w:cs="Arial"/>
          <w:b/>
          <w:i/>
        </w:rPr>
        <w:t xml:space="preserve">C. </w:t>
      </w:r>
      <w:r w:rsidR="000A13EA" w:rsidRPr="00167D47">
        <w:rPr>
          <w:rFonts w:ascii="Arial" w:hAnsi="Arial" w:cs="Arial"/>
          <w:b/>
          <w:i/>
        </w:rPr>
        <w:t>roseus</w:t>
      </w:r>
    </w:p>
    <w:p w14:paraId="701316A5" w14:textId="77777777" w:rsidR="003A5C3A" w:rsidRDefault="003A5C3A" w:rsidP="003A5C3A">
      <w:pPr>
        <w:pStyle w:val="NoSpacing"/>
        <w:rPr>
          <w:rFonts w:ascii="Arial" w:hAnsi="Arial" w:cs="Arial"/>
          <w:b/>
          <w:i/>
        </w:rPr>
      </w:pPr>
    </w:p>
    <w:p w14:paraId="7183F9D1" w14:textId="2F058284" w:rsidR="003A5C3A" w:rsidRDefault="00B704DB" w:rsidP="001D5D94">
      <w:pPr>
        <w:pStyle w:val="NoSpacing"/>
        <w:jc w:val="both"/>
        <w:rPr>
          <w:rFonts w:ascii="Arial" w:hAnsi="Arial" w:cs="Arial"/>
          <w:sz w:val="20"/>
          <w:szCs w:val="20"/>
        </w:rPr>
      </w:pPr>
      <w:r w:rsidRPr="00812EE7">
        <w:rPr>
          <w:rFonts w:ascii="Arial" w:hAnsi="Arial" w:cs="Arial"/>
          <w:sz w:val="20"/>
          <w:szCs w:val="20"/>
        </w:rPr>
        <w:t xml:space="preserve">The worms were subjected to three distinct doses of </w:t>
      </w:r>
      <w:r w:rsidRPr="00812EE7">
        <w:rPr>
          <w:rFonts w:ascii="Arial" w:hAnsi="Arial" w:cs="Arial"/>
          <w:i/>
          <w:iCs/>
          <w:sz w:val="20"/>
          <w:szCs w:val="20"/>
        </w:rPr>
        <w:t>C. roseus</w:t>
      </w:r>
      <w:r w:rsidRPr="00812EE7">
        <w:rPr>
          <w:rFonts w:ascii="Arial" w:hAnsi="Arial" w:cs="Arial"/>
          <w:sz w:val="20"/>
          <w:szCs w:val="20"/>
        </w:rPr>
        <w:t xml:space="preserve"> extracts (0.01 mg/</w:t>
      </w:r>
      <w:r w:rsidR="00F87BC3" w:rsidRPr="00812EE7">
        <w:rPr>
          <w:rFonts w:ascii="Arial" w:hAnsi="Arial" w:cs="Arial"/>
          <w:sz w:val="20"/>
          <w:szCs w:val="20"/>
        </w:rPr>
        <w:t xml:space="preserve"> </w:t>
      </w:r>
      <w:r w:rsidRPr="00812EE7">
        <w:rPr>
          <w:rFonts w:ascii="Arial" w:hAnsi="Arial" w:cs="Arial"/>
          <w:sz w:val="20"/>
          <w:szCs w:val="20"/>
        </w:rPr>
        <w:t>ml,0.1 mg/</w:t>
      </w:r>
      <w:r w:rsidR="00F87BC3" w:rsidRPr="00812EE7">
        <w:rPr>
          <w:rFonts w:ascii="Arial" w:hAnsi="Arial" w:cs="Arial"/>
          <w:sz w:val="20"/>
          <w:szCs w:val="20"/>
        </w:rPr>
        <w:t xml:space="preserve"> </w:t>
      </w:r>
      <w:r w:rsidRPr="00812EE7">
        <w:rPr>
          <w:rFonts w:ascii="Arial" w:hAnsi="Arial" w:cs="Arial"/>
          <w:sz w:val="20"/>
          <w:szCs w:val="20"/>
        </w:rPr>
        <w:t>ml, &amp;</w:t>
      </w:r>
      <w:r w:rsidR="006A5A35" w:rsidRPr="00812EE7">
        <w:rPr>
          <w:rFonts w:ascii="Arial" w:hAnsi="Arial" w:cs="Arial"/>
          <w:sz w:val="20"/>
          <w:szCs w:val="20"/>
        </w:rPr>
        <w:t xml:space="preserve"> </w:t>
      </w:r>
      <w:r w:rsidR="00EC446D" w:rsidRPr="00812EE7">
        <w:rPr>
          <w:rFonts w:ascii="Arial" w:hAnsi="Arial" w:cs="Arial"/>
          <w:sz w:val="20"/>
          <w:szCs w:val="20"/>
        </w:rPr>
        <w:t>1</w:t>
      </w:r>
      <w:r w:rsidR="008A01BE" w:rsidRPr="00812EE7">
        <w:rPr>
          <w:rFonts w:ascii="Arial" w:hAnsi="Arial" w:cs="Arial"/>
          <w:sz w:val="20"/>
          <w:szCs w:val="20"/>
        </w:rPr>
        <w:t xml:space="preserve"> </w:t>
      </w:r>
      <w:r w:rsidRPr="00812EE7">
        <w:rPr>
          <w:rFonts w:ascii="Arial" w:hAnsi="Arial" w:cs="Arial"/>
          <w:sz w:val="20"/>
          <w:szCs w:val="20"/>
        </w:rPr>
        <w:t>mg/</w:t>
      </w:r>
      <w:r w:rsidR="00F87BC3" w:rsidRPr="00812EE7">
        <w:rPr>
          <w:rFonts w:ascii="Arial" w:hAnsi="Arial" w:cs="Arial"/>
          <w:sz w:val="20"/>
          <w:szCs w:val="20"/>
        </w:rPr>
        <w:t xml:space="preserve"> </w:t>
      </w:r>
      <w:r w:rsidRPr="00812EE7">
        <w:rPr>
          <w:rFonts w:ascii="Arial" w:hAnsi="Arial" w:cs="Arial"/>
          <w:sz w:val="20"/>
          <w:szCs w:val="20"/>
        </w:rPr>
        <w:t xml:space="preserve">ml in liquid S-complete medium along with the OP50 as a food source </w:t>
      </w:r>
      <w:r w:rsidR="001D5D94">
        <w:rPr>
          <w:rFonts w:ascii="Arial" w:hAnsi="Arial" w:cs="Arial"/>
          <w:sz w:val="20"/>
          <w:szCs w:val="20"/>
        </w:rPr>
        <w:t>to</w:t>
      </w:r>
      <w:r w:rsidRPr="00812EE7">
        <w:rPr>
          <w:rFonts w:ascii="Arial" w:hAnsi="Arial" w:cs="Arial"/>
          <w:sz w:val="20"/>
          <w:szCs w:val="20"/>
        </w:rPr>
        <w:t xml:space="preserve"> ascertain the impact of </w:t>
      </w:r>
      <w:r w:rsidRPr="00812EE7">
        <w:rPr>
          <w:rFonts w:ascii="Arial" w:hAnsi="Arial" w:cs="Arial"/>
          <w:i/>
          <w:iCs/>
          <w:sz w:val="20"/>
          <w:szCs w:val="20"/>
        </w:rPr>
        <w:t>C. roseus</w:t>
      </w:r>
      <w:r w:rsidRPr="00812EE7">
        <w:rPr>
          <w:rFonts w:ascii="Arial" w:hAnsi="Arial" w:cs="Arial"/>
          <w:sz w:val="20"/>
          <w:szCs w:val="20"/>
        </w:rPr>
        <w:t xml:space="preserve"> on the longevity of </w:t>
      </w:r>
      <w:r w:rsidRPr="00812EE7">
        <w:rPr>
          <w:rFonts w:ascii="Arial" w:hAnsi="Arial" w:cs="Arial"/>
          <w:i/>
          <w:iCs/>
          <w:sz w:val="20"/>
          <w:szCs w:val="20"/>
        </w:rPr>
        <w:t>C. elegans</w:t>
      </w:r>
      <w:r w:rsidRPr="00812EE7">
        <w:rPr>
          <w:rFonts w:ascii="Arial" w:hAnsi="Arial" w:cs="Arial"/>
          <w:sz w:val="20"/>
          <w:szCs w:val="20"/>
        </w:rPr>
        <w:t xml:space="preserve">. The control well was supplemented with DMSO as a solvent control. The impact of several extracts on </w:t>
      </w:r>
      <w:r w:rsidRPr="00812EE7">
        <w:rPr>
          <w:rFonts w:ascii="Arial" w:hAnsi="Arial" w:cs="Arial"/>
          <w:i/>
          <w:iCs/>
          <w:sz w:val="20"/>
          <w:szCs w:val="20"/>
        </w:rPr>
        <w:t>C. elegans</w:t>
      </w:r>
      <w:r w:rsidRPr="00812EE7">
        <w:rPr>
          <w:rFonts w:ascii="Arial" w:hAnsi="Arial" w:cs="Arial"/>
          <w:sz w:val="20"/>
          <w:szCs w:val="20"/>
        </w:rPr>
        <w:t xml:space="preserve"> longevity is displayed below:</w:t>
      </w:r>
      <w:bookmarkStart w:id="4" w:name="OLE_LINK12"/>
    </w:p>
    <w:p w14:paraId="040E486F" w14:textId="77777777" w:rsidR="003A5C3A" w:rsidRDefault="003A5C3A" w:rsidP="003A5C3A">
      <w:pPr>
        <w:pStyle w:val="NoSpacing"/>
        <w:rPr>
          <w:rFonts w:ascii="Arial" w:hAnsi="Arial" w:cs="Arial"/>
          <w:sz w:val="20"/>
          <w:szCs w:val="20"/>
        </w:rPr>
      </w:pPr>
    </w:p>
    <w:p w14:paraId="496A59DE" w14:textId="738D0539" w:rsidR="00ED4261" w:rsidRPr="003A5C3A" w:rsidRDefault="00ED4261" w:rsidP="003A5C3A">
      <w:pPr>
        <w:pStyle w:val="NoSpacing"/>
        <w:rPr>
          <w:i/>
          <w:iCs/>
        </w:rPr>
      </w:pPr>
      <w:r w:rsidRPr="00167D47">
        <w:rPr>
          <w:rFonts w:ascii="Arial" w:hAnsi="Arial" w:cs="Arial"/>
          <w:b/>
        </w:rPr>
        <w:t xml:space="preserve">Effect of </w:t>
      </w:r>
      <w:r w:rsidRPr="00167D47">
        <w:rPr>
          <w:rFonts w:ascii="Arial" w:hAnsi="Arial" w:cs="Arial"/>
          <w:b/>
          <w:i/>
        </w:rPr>
        <w:t>C</w:t>
      </w:r>
      <w:r w:rsidR="000A13EA" w:rsidRPr="00167D47">
        <w:rPr>
          <w:rFonts w:ascii="Arial" w:hAnsi="Arial" w:cs="Arial"/>
          <w:b/>
          <w:i/>
        </w:rPr>
        <w:t>.</w:t>
      </w:r>
      <w:r w:rsidRPr="00167D47">
        <w:rPr>
          <w:rFonts w:ascii="Arial" w:hAnsi="Arial" w:cs="Arial"/>
          <w:b/>
          <w:i/>
        </w:rPr>
        <w:t xml:space="preserve"> roseus</w:t>
      </w:r>
      <w:r w:rsidRPr="00167D47">
        <w:rPr>
          <w:rFonts w:ascii="Arial" w:hAnsi="Arial" w:cs="Arial"/>
          <w:b/>
        </w:rPr>
        <w:t xml:space="preserve"> </w:t>
      </w:r>
      <w:r w:rsidRPr="00167D47">
        <w:rPr>
          <w:rFonts w:ascii="Arial" w:hAnsi="Arial" w:cs="Arial"/>
          <w:b/>
          <w:noProof/>
        </w:rPr>
        <w:t>ethanol: water</w:t>
      </w:r>
      <w:r w:rsidRPr="00167D47">
        <w:rPr>
          <w:rFonts w:ascii="Arial" w:hAnsi="Arial" w:cs="Arial"/>
          <w:b/>
        </w:rPr>
        <w:t xml:space="preserve"> extract prepared by </w:t>
      </w:r>
      <w:r w:rsidR="000A13EA" w:rsidRPr="00167D47">
        <w:rPr>
          <w:rFonts w:ascii="Arial" w:hAnsi="Arial" w:cs="Arial"/>
          <w:b/>
        </w:rPr>
        <w:t>m</w:t>
      </w:r>
      <w:r w:rsidR="001A4D43" w:rsidRPr="00167D47">
        <w:rPr>
          <w:rFonts w:ascii="Arial" w:hAnsi="Arial" w:cs="Arial"/>
          <w:b/>
        </w:rPr>
        <w:t>aceration</w:t>
      </w:r>
      <w:r w:rsidRPr="00167D47">
        <w:rPr>
          <w:rFonts w:ascii="Arial" w:hAnsi="Arial" w:cs="Arial"/>
          <w:b/>
        </w:rPr>
        <w:t xml:space="preserve"> method</w:t>
      </w:r>
      <w:bookmarkEnd w:id="4"/>
    </w:p>
    <w:p w14:paraId="54ECECA8" w14:textId="77777777" w:rsidR="00ED4261" w:rsidRPr="00376CD5" w:rsidRDefault="00ED4261" w:rsidP="00712C71">
      <w:pPr>
        <w:spacing w:before="100" w:beforeAutospacing="1" w:after="0" w:line="240" w:lineRule="auto"/>
        <w:jc w:val="both"/>
        <w:rPr>
          <w:rFonts w:ascii="Arial" w:hAnsi="Arial" w:cs="Arial"/>
          <w:sz w:val="24"/>
          <w:szCs w:val="24"/>
        </w:rPr>
      </w:pPr>
    </w:p>
    <w:p w14:paraId="203FD3E2" w14:textId="2C7416C9" w:rsidR="00ED4261" w:rsidRPr="00812EE7" w:rsidRDefault="00090F30" w:rsidP="00712C71">
      <w:pPr>
        <w:spacing w:before="100" w:beforeAutospacing="1" w:after="0" w:line="240" w:lineRule="auto"/>
        <w:jc w:val="both"/>
        <w:rPr>
          <w:rFonts w:ascii="Arial" w:hAnsi="Arial" w:cs="Arial"/>
          <w:sz w:val="20"/>
          <w:szCs w:val="20"/>
        </w:rPr>
      </w:pPr>
      <w:r w:rsidRPr="00812EE7">
        <w:rPr>
          <w:rFonts w:ascii="Arial" w:hAnsi="Arial" w:cs="Arial"/>
          <w:sz w:val="20"/>
          <w:szCs w:val="20"/>
        </w:rPr>
        <w:lastRenderedPageBreak/>
        <w:t>The wild type was found to have an average lifetime of 18.32</w:t>
      </w:r>
      <w:r w:rsidR="00D70138" w:rsidRPr="00812EE7">
        <w:rPr>
          <w:rFonts w:ascii="Arial" w:hAnsi="Arial" w:cs="Arial"/>
          <w:sz w:val="20"/>
          <w:szCs w:val="20"/>
        </w:rPr>
        <w:t xml:space="preserve"> </w:t>
      </w:r>
      <w:r w:rsidRPr="00812EE7">
        <w:rPr>
          <w:rFonts w:ascii="Arial" w:hAnsi="Arial" w:cs="Arial"/>
          <w:sz w:val="20"/>
          <w:szCs w:val="20"/>
        </w:rPr>
        <w:t>±</w:t>
      </w:r>
      <w:r w:rsidR="00D70138" w:rsidRPr="00812EE7">
        <w:rPr>
          <w:rFonts w:ascii="Arial" w:hAnsi="Arial" w:cs="Arial"/>
          <w:sz w:val="20"/>
          <w:szCs w:val="20"/>
        </w:rPr>
        <w:t xml:space="preserve"> </w:t>
      </w:r>
      <w:r w:rsidRPr="00812EE7">
        <w:rPr>
          <w:rFonts w:ascii="Arial" w:hAnsi="Arial" w:cs="Arial"/>
          <w:sz w:val="20"/>
          <w:szCs w:val="20"/>
        </w:rPr>
        <w:t>0.98 days. At concentrations of 0.01mg/</w:t>
      </w:r>
      <w:r w:rsidR="00356574" w:rsidRPr="00812EE7">
        <w:rPr>
          <w:rFonts w:ascii="Arial" w:hAnsi="Arial" w:cs="Arial"/>
          <w:sz w:val="20"/>
          <w:szCs w:val="20"/>
        </w:rPr>
        <w:t xml:space="preserve"> </w:t>
      </w:r>
      <w:r w:rsidRPr="00812EE7">
        <w:rPr>
          <w:rFonts w:ascii="Arial" w:hAnsi="Arial" w:cs="Arial"/>
          <w:sz w:val="20"/>
          <w:szCs w:val="20"/>
        </w:rPr>
        <w:t>ml,0.1mg/</w:t>
      </w:r>
      <w:r w:rsidR="00356574" w:rsidRPr="00812EE7">
        <w:rPr>
          <w:rFonts w:ascii="Arial" w:hAnsi="Arial" w:cs="Arial"/>
          <w:sz w:val="20"/>
          <w:szCs w:val="20"/>
        </w:rPr>
        <w:t xml:space="preserve"> </w:t>
      </w:r>
      <w:r w:rsidR="00EC446D" w:rsidRPr="00812EE7">
        <w:rPr>
          <w:rFonts w:ascii="Arial" w:hAnsi="Arial" w:cs="Arial"/>
          <w:sz w:val="20"/>
          <w:szCs w:val="20"/>
        </w:rPr>
        <w:t>ml, &amp;</w:t>
      </w:r>
      <w:r w:rsidRPr="00812EE7">
        <w:rPr>
          <w:rFonts w:ascii="Arial" w:hAnsi="Arial" w:cs="Arial"/>
          <w:sz w:val="20"/>
          <w:szCs w:val="20"/>
        </w:rPr>
        <w:t>1mg/</w:t>
      </w:r>
      <w:r w:rsidR="00356574" w:rsidRPr="00812EE7">
        <w:rPr>
          <w:rFonts w:ascii="Arial" w:hAnsi="Arial" w:cs="Arial"/>
          <w:sz w:val="20"/>
          <w:szCs w:val="20"/>
        </w:rPr>
        <w:t xml:space="preserve"> </w:t>
      </w:r>
      <w:r w:rsidRPr="00812EE7">
        <w:rPr>
          <w:rFonts w:ascii="Arial" w:hAnsi="Arial" w:cs="Arial"/>
          <w:sz w:val="20"/>
          <w:szCs w:val="20"/>
        </w:rPr>
        <w:t xml:space="preserve">ml respectively, the life spans of treated </w:t>
      </w:r>
      <w:r w:rsidRPr="00812EE7">
        <w:rPr>
          <w:rFonts w:ascii="Arial" w:hAnsi="Arial" w:cs="Arial"/>
          <w:i/>
          <w:iCs/>
          <w:sz w:val="20"/>
          <w:szCs w:val="20"/>
        </w:rPr>
        <w:t>C. elegans</w:t>
      </w:r>
      <w:r w:rsidRPr="00812EE7">
        <w:rPr>
          <w:rFonts w:ascii="Arial" w:hAnsi="Arial" w:cs="Arial"/>
          <w:sz w:val="20"/>
          <w:szCs w:val="20"/>
        </w:rPr>
        <w:t xml:space="preserve"> rose by 11.24</w:t>
      </w:r>
      <w:r w:rsidR="00D70138" w:rsidRPr="00812EE7">
        <w:rPr>
          <w:rFonts w:ascii="Arial" w:hAnsi="Arial" w:cs="Arial"/>
          <w:sz w:val="20"/>
          <w:szCs w:val="20"/>
        </w:rPr>
        <w:t xml:space="preserve"> </w:t>
      </w:r>
      <w:r w:rsidRPr="00812EE7">
        <w:rPr>
          <w:rFonts w:ascii="Arial" w:hAnsi="Arial" w:cs="Arial"/>
          <w:sz w:val="20"/>
          <w:szCs w:val="20"/>
        </w:rPr>
        <w:t>%,</w:t>
      </w:r>
      <w:r w:rsidR="00B15CE1" w:rsidRPr="00812EE7">
        <w:rPr>
          <w:rFonts w:ascii="Arial" w:hAnsi="Arial" w:cs="Arial"/>
          <w:sz w:val="20"/>
          <w:szCs w:val="20"/>
        </w:rPr>
        <w:t xml:space="preserve"> </w:t>
      </w:r>
      <w:r w:rsidRPr="00812EE7">
        <w:rPr>
          <w:rFonts w:ascii="Arial" w:hAnsi="Arial" w:cs="Arial"/>
          <w:sz w:val="20"/>
          <w:szCs w:val="20"/>
        </w:rPr>
        <w:t>17.03</w:t>
      </w:r>
      <w:r w:rsidR="00D70138" w:rsidRPr="00812EE7">
        <w:rPr>
          <w:rFonts w:ascii="Arial" w:hAnsi="Arial" w:cs="Arial"/>
          <w:sz w:val="20"/>
          <w:szCs w:val="20"/>
        </w:rPr>
        <w:t xml:space="preserve"> </w:t>
      </w:r>
      <w:r w:rsidRPr="00812EE7">
        <w:rPr>
          <w:rFonts w:ascii="Arial" w:hAnsi="Arial" w:cs="Arial"/>
          <w:sz w:val="20"/>
          <w:szCs w:val="20"/>
        </w:rPr>
        <w:t>%, &amp; 21.34</w:t>
      </w:r>
      <w:r w:rsidR="00D70138" w:rsidRPr="00812EE7">
        <w:rPr>
          <w:rFonts w:ascii="Arial" w:hAnsi="Arial" w:cs="Arial"/>
          <w:sz w:val="20"/>
          <w:szCs w:val="20"/>
        </w:rPr>
        <w:t xml:space="preserve"> </w:t>
      </w:r>
      <w:r w:rsidRPr="00812EE7">
        <w:rPr>
          <w:rFonts w:ascii="Arial" w:hAnsi="Arial" w:cs="Arial"/>
          <w:sz w:val="20"/>
          <w:szCs w:val="20"/>
        </w:rPr>
        <w:t>%</w:t>
      </w:r>
      <w:r w:rsidR="00D70138" w:rsidRPr="00812EE7">
        <w:rPr>
          <w:rFonts w:ascii="Arial" w:hAnsi="Arial" w:cs="Arial"/>
          <w:sz w:val="20"/>
          <w:szCs w:val="20"/>
        </w:rPr>
        <w:t xml:space="preserve"> </w:t>
      </w:r>
      <w:r w:rsidRPr="00812EE7">
        <w:rPr>
          <w:rFonts w:ascii="Arial" w:hAnsi="Arial" w:cs="Arial"/>
          <w:sz w:val="20"/>
          <w:szCs w:val="20"/>
        </w:rPr>
        <w:t xml:space="preserve">(Figure 4 &amp; Table </w:t>
      </w:r>
      <w:r w:rsidR="007F12C3" w:rsidRPr="00812EE7">
        <w:rPr>
          <w:rFonts w:ascii="Arial" w:hAnsi="Arial" w:cs="Arial"/>
          <w:sz w:val="20"/>
          <w:szCs w:val="20"/>
        </w:rPr>
        <w:t>3</w:t>
      </w:r>
      <w:r w:rsidRPr="00812EE7">
        <w:rPr>
          <w:rFonts w:ascii="Arial" w:hAnsi="Arial" w:cs="Arial"/>
          <w:sz w:val="20"/>
          <w:szCs w:val="20"/>
        </w:rPr>
        <w:t>).</w:t>
      </w:r>
    </w:p>
    <w:p w14:paraId="49EC3F2C" w14:textId="77777777" w:rsidR="006A5A35" w:rsidRPr="00376CD5" w:rsidRDefault="006A5A35" w:rsidP="00712C71">
      <w:pPr>
        <w:spacing w:before="100" w:beforeAutospacing="1" w:after="0" w:line="240" w:lineRule="auto"/>
        <w:jc w:val="both"/>
        <w:rPr>
          <w:rFonts w:ascii="Arial" w:hAnsi="Arial" w:cs="Arial"/>
          <w:sz w:val="24"/>
          <w:szCs w:val="24"/>
        </w:rPr>
      </w:pPr>
    </w:p>
    <w:p w14:paraId="51679384" w14:textId="33976A2A" w:rsidR="006A5A35" w:rsidRPr="00376CD5" w:rsidRDefault="006A5A35" w:rsidP="00A5476B">
      <w:pPr>
        <w:pStyle w:val="Paragraph"/>
      </w:pPr>
      <w:r w:rsidRPr="00376CD5">
        <w:rPr>
          <w:noProof/>
        </w:rPr>
        <mc:AlternateContent>
          <mc:Choice Requires="wps">
            <w:drawing>
              <wp:anchor distT="0" distB="0" distL="114300" distR="114300" simplePos="0" relativeHeight="251678720" behindDoc="0" locked="0" layoutInCell="1" allowOverlap="1" wp14:anchorId="52D09C62" wp14:editId="280C2E40">
                <wp:simplePos x="0" y="0"/>
                <wp:positionH relativeFrom="margin">
                  <wp:posOffset>0</wp:posOffset>
                </wp:positionH>
                <wp:positionV relativeFrom="paragraph">
                  <wp:posOffset>-635</wp:posOffset>
                </wp:positionV>
                <wp:extent cx="5372100" cy="2876550"/>
                <wp:effectExtent l="0" t="0" r="19050" b="19050"/>
                <wp:wrapNone/>
                <wp:docPr id="30" name="Text Box 30"/>
                <wp:cNvGraphicFramePr/>
                <a:graphic xmlns:a="http://schemas.openxmlformats.org/drawingml/2006/main">
                  <a:graphicData uri="http://schemas.microsoft.com/office/word/2010/wordprocessingShape">
                    <wps:wsp>
                      <wps:cNvSpPr txBox="1"/>
                      <wps:spPr>
                        <a:xfrm>
                          <a:off x="0" y="0"/>
                          <a:ext cx="5372100" cy="287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B5C3A6" w14:textId="77777777" w:rsidR="006A5A35" w:rsidRPr="00613BEC" w:rsidRDefault="006A5A35" w:rsidP="006A5A35">
                            <w:pPr>
                              <w:jc w:val="center"/>
                              <w:rPr>
                                <w:rFonts w:ascii="Times New Roman" w:hAnsi="Times New Roman" w:cs="Times New Roman"/>
                                <w:sz w:val="20"/>
                                <w:szCs w:val="20"/>
                              </w:rPr>
                            </w:pPr>
                            <w:r>
                              <w:object w:dxaOrig="8813" w:dyaOrig="4205" w14:anchorId="04150D8E">
                                <v:shape id="_x0000_i1030" type="#_x0000_t75" style="width:303pt;height:148.5pt" o:ole="">
                                  <v:imagedata r:id="rId15" o:title=""/>
                                </v:shape>
                                <o:OLEObject Type="Embed" ProgID="Prism7.Document" ShapeID="_x0000_i1030" DrawAspect="Content" ObjectID="_1801920510" r:id="rId16"/>
                              </w:object>
                            </w:r>
                            <w:r w:rsidRPr="00613BEC">
                              <w:rPr>
                                <w:rFonts w:ascii="Times New Roman" w:hAnsi="Times New Roman" w:cs="Times New Roman"/>
                                <w:sz w:val="20"/>
                                <w:szCs w:val="20"/>
                              </w:rPr>
                              <w:t xml:space="preserve">                              </w:t>
                            </w:r>
                          </w:p>
                          <w:p w14:paraId="761F8095" w14:textId="3ACBA3FA" w:rsidR="006A5A35" w:rsidRPr="00812EE7" w:rsidRDefault="006A5A35" w:rsidP="006A5A35">
                            <w:pPr>
                              <w:spacing w:after="0" w:line="240" w:lineRule="exact"/>
                              <w:jc w:val="both"/>
                              <w:rPr>
                                <w:rFonts w:ascii="Arial" w:hAnsi="Arial" w:cs="Arial"/>
                                <w:sz w:val="20"/>
                                <w:szCs w:val="20"/>
                              </w:rPr>
                            </w:pPr>
                            <w:r w:rsidRPr="00812EE7">
                              <w:rPr>
                                <w:rFonts w:ascii="Arial" w:hAnsi="Arial" w:cs="Arial"/>
                                <w:b/>
                                <w:color w:val="000000" w:themeColor="text1"/>
                                <w:sz w:val="20"/>
                                <w:szCs w:val="20"/>
                              </w:rPr>
                              <w:t>Fig 4</w:t>
                            </w:r>
                            <w:r w:rsidRPr="00812EE7">
                              <w:rPr>
                                <w:rFonts w:ascii="Arial" w:hAnsi="Arial" w:cs="Arial"/>
                                <w:color w:val="000000" w:themeColor="text1"/>
                                <w:sz w:val="20"/>
                                <w:szCs w:val="20"/>
                              </w:rPr>
                              <w:t xml:space="preserve">: </w:t>
                            </w:r>
                            <w:r w:rsidRPr="00812EE7">
                              <w:rPr>
                                <w:rFonts w:ascii="Arial" w:hAnsi="Arial" w:cs="Arial"/>
                                <w:b/>
                                <w:color w:val="000000" w:themeColor="text1"/>
                                <w:sz w:val="20"/>
                                <w:szCs w:val="20"/>
                              </w:rPr>
                              <w:t xml:space="preserve">The survival curve depicts effect of </w:t>
                            </w:r>
                            <w:r w:rsidRPr="00812EE7">
                              <w:rPr>
                                <w:rFonts w:ascii="Arial" w:hAnsi="Arial" w:cs="Arial"/>
                                <w:b/>
                                <w:noProof/>
                                <w:color w:val="000000" w:themeColor="text1"/>
                                <w:sz w:val="20"/>
                                <w:szCs w:val="20"/>
                              </w:rPr>
                              <w:t>ethanol: water</w:t>
                            </w:r>
                            <w:r w:rsidRPr="00812EE7">
                              <w:rPr>
                                <w:rFonts w:ascii="Arial" w:hAnsi="Arial" w:cs="Arial"/>
                                <w:b/>
                                <w:color w:val="000000" w:themeColor="text1"/>
                                <w:sz w:val="20"/>
                                <w:szCs w:val="20"/>
                              </w:rPr>
                              <w:t xml:space="preserve"> extract of </w:t>
                            </w:r>
                            <w:r w:rsidRPr="00812EE7">
                              <w:rPr>
                                <w:rFonts w:ascii="Arial" w:hAnsi="Arial" w:cs="Arial"/>
                                <w:b/>
                                <w:i/>
                                <w:color w:val="000000" w:themeColor="text1"/>
                                <w:sz w:val="20"/>
                                <w:szCs w:val="20"/>
                              </w:rPr>
                              <w:t>C. roseus</w:t>
                            </w:r>
                            <w:r w:rsidRPr="00812EE7">
                              <w:rPr>
                                <w:rFonts w:ascii="Arial" w:hAnsi="Arial" w:cs="Arial"/>
                                <w:b/>
                                <w:color w:val="000000" w:themeColor="text1"/>
                                <w:sz w:val="20"/>
                                <w:szCs w:val="20"/>
                              </w:rPr>
                              <w:t xml:space="preserve"> prepared by maceration method.</w:t>
                            </w:r>
                            <w:r w:rsidRPr="00812EE7">
                              <w:rPr>
                                <w:rFonts w:ascii="Arial" w:hAnsi="Arial" w:cs="Arial"/>
                                <w:color w:val="000000" w:themeColor="text1"/>
                                <w:sz w:val="20"/>
                                <w:szCs w:val="20"/>
                              </w:rPr>
                              <w:t xml:space="preserve"> Survival curve was plotted by </w:t>
                            </w:r>
                            <w:r w:rsidRPr="00812EE7">
                              <w:rPr>
                                <w:rFonts w:ascii="Arial" w:hAnsi="Arial" w:cs="Arial"/>
                                <w:bCs/>
                                <w:sz w:val="20"/>
                                <w:szCs w:val="20"/>
                              </w:rPr>
                              <w:t>Kaplan</w:t>
                            </w:r>
                            <w:r w:rsidRPr="00812EE7">
                              <w:rPr>
                                <w:rFonts w:ascii="Arial" w:hAnsi="Arial" w:cs="Arial"/>
                                <w:sz w:val="20"/>
                                <w:szCs w:val="20"/>
                              </w:rPr>
                              <w:t>–</w:t>
                            </w:r>
                            <w:r w:rsidRPr="00812EE7">
                              <w:rPr>
                                <w:rFonts w:ascii="Arial" w:hAnsi="Arial" w:cs="Arial"/>
                                <w:bCs/>
                                <w:sz w:val="20"/>
                                <w:szCs w:val="20"/>
                              </w:rPr>
                              <w:t>Meier</w:t>
                            </w:r>
                            <w:r w:rsidRPr="00812EE7">
                              <w:rPr>
                                <w:rFonts w:ascii="Arial" w:hAnsi="Arial" w:cs="Arial"/>
                                <w:b/>
                                <w:bCs/>
                                <w:sz w:val="20"/>
                                <w:szCs w:val="20"/>
                              </w:rPr>
                              <w:t xml:space="preserve"> </w:t>
                            </w:r>
                            <w:r w:rsidRPr="00812EE7">
                              <w:rPr>
                                <w:rFonts w:ascii="Arial" w:hAnsi="Arial" w:cs="Arial"/>
                                <w:color w:val="000000" w:themeColor="text1"/>
                                <w:sz w:val="20"/>
                                <w:szCs w:val="20"/>
                              </w:rPr>
                              <w:t xml:space="preserve">analysis and analysed by Log-Rank (Mentel cox analysis). </w:t>
                            </w:r>
                            <w:r w:rsidRPr="00812EE7">
                              <w:rPr>
                                <w:rFonts w:ascii="Arial" w:hAnsi="Arial" w:cs="Arial"/>
                                <w:i/>
                                <w:color w:val="000000" w:themeColor="text1"/>
                                <w:sz w:val="20"/>
                                <w:szCs w:val="20"/>
                              </w:rPr>
                              <w:t>C. roseus</w:t>
                            </w:r>
                            <w:r w:rsidRPr="00812EE7">
                              <w:rPr>
                                <w:rFonts w:ascii="Arial" w:hAnsi="Arial" w:cs="Arial"/>
                                <w:color w:val="000000" w:themeColor="text1"/>
                                <w:sz w:val="20"/>
                                <w:szCs w:val="20"/>
                              </w:rPr>
                              <w:t xml:space="preserve"> </w:t>
                            </w:r>
                            <w:r w:rsidRPr="00812EE7">
                              <w:rPr>
                                <w:rFonts w:ascii="Arial" w:hAnsi="Arial" w:cs="Arial"/>
                                <w:noProof/>
                                <w:color w:val="000000" w:themeColor="text1"/>
                                <w:sz w:val="20"/>
                                <w:szCs w:val="20"/>
                              </w:rPr>
                              <w:t>treated</w:t>
                            </w:r>
                            <w:r w:rsidRPr="00812EE7">
                              <w:rPr>
                                <w:rFonts w:ascii="Arial" w:hAnsi="Arial" w:cs="Arial"/>
                                <w:color w:val="000000" w:themeColor="text1"/>
                                <w:sz w:val="20"/>
                                <w:szCs w:val="20"/>
                              </w:rPr>
                              <w:t xml:space="preserve"> </w:t>
                            </w:r>
                            <w:r w:rsidRPr="00812EE7">
                              <w:rPr>
                                <w:rFonts w:ascii="Arial" w:hAnsi="Arial" w:cs="Arial"/>
                                <w:i/>
                                <w:color w:val="000000" w:themeColor="text1"/>
                                <w:sz w:val="20"/>
                                <w:szCs w:val="20"/>
                              </w:rPr>
                              <w:t>C. elegans</w:t>
                            </w:r>
                            <w:r w:rsidRPr="00812EE7">
                              <w:rPr>
                                <w:rFonts w:ascii="Arial" w:hAnsi="Arial" w:cs="Arial"/>
                                <w:color w:val="000000" w:themeColor="text1"/>
                                <w:sz w:val="20"/>
                                <w:szCs w:val="20"/>
                              </w:rPr>
                              <w:t xml:space="preserve"> showed an </w:t>
                            </w:r>
                            <w:r w:rsidRPr="00812EE7">
                              <w:rPr>
                                <w:rFonts w:ascii="Arial" w:hAnsi="Arial" w:cs="Arial"/>
                                <w:noProof/>
                                <w:color w:val="000000" w:themeColor="text1"/>
                                <w:sz w:val="20"/>
                                <w:szCs w:val="20"/>
                              </w:rPr>
                              <w:t>increase</w:t>
                            </w:r>
                            <w:r w:rsidRPr="00812EE7">
                              <w:rPr>
                                <w:rFonts w:ascii="Arial" w:hAnsi="Arial" w:cs="Arial"/>
                                <w:color w:val="000000" w:themeColor="text1"/>
                                <w:sz w:val="20"/>
                                <w:szCs w:val="20"/>
                              </w:rPr>
                              <w:t xml:space="preserve"> in </w:t>
                            </w:r>
                            <w:r w:rsidRPr="00812EE7">
                              <w:rPr>
                                <w:rFonts w:ascii="Arial" w:hAnsi="Arial" w:cs="Arial"/>
                                <w:noProof/>
                                <w:color w:val="000000" w:themeColor="text1"/>
                                <w:sz w:val="20"/>
                                <w:szCs w:val="20"/>
                              </w:rPr>
                              <w:t>lifespan</w:t>
                            </w:r>
                            <w:r w:rsidRPr="00812EE7">
                              <w:rPr>
                                <w:rFonts w:ascii="Arial" w:hAnsi="Arial" w:cs="Arial"/>
                                <w:color w:val="000000" w:themeColor="text1"/>
                                <w:sz w:val="20"/>
                                <w:szCs w:val="20"/>
                              </w:rPr>
                              <w:t xml:space="preserve"> at 1 mg/ml concentration. </w:t>
                            </w:r>
                            <w:r w:rsidRPr="00812EE7">
                              <w:rPr>
                                <w:rFonts w:ascii="Arial" w:hAnsi="Arial" w:cs="Arial"/>
                                <w:color w:val="131413"/>
                                <w:sz w:val="20"/>
                                <w:szCs w:val="20"/>
                              </w:rPr>
                              <w:t xml:space="preserve">Quantitative data and statistical analyses for the representative experiments are included in Table </w:t>
                            </w:r>
                            <w:r w:rsidR="007F12C3" w:rsidRPr="00812EE7">
                              <w:rPr>
                                <w:rFonts w:ascii="Arial" w:hAnsi="Arial" w:cs="Arial"/>
                                <w:color w:val="131413"/>
                                <w:sz w:val="20"/>
                                <w:szCs w:val="20"/>
                              </w:rPr>
                              <w:t>3</w:t>
                            </w:r>
                          </w:p>
                          <w:p w14:paraId="3194C6B2" w14:textId="77777777" w:rsidR="006A5A35" w:rsidRPr="00613BEC" w:rsidRDefault="006A5A35" w:rsidP="006A5A35">
                            <w:pPr>
                              <w:jc w:val="both"/>
                              <w:rPr>
                                <w:rFonts w:ascii="Times New Roman" w:hAnsi="Times New Roman" w:cs="Times New Roman"/>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D09C62" id="_x0000_t202" coordsize="21600,21600" o:spt="202" path="m,l,21600r21600,l21600,xe">
                <v:stroke joinstyle="miter"/>
                <v:path gradientshapeok="t" o:connecttype="rect"/>
              </v:shapetype>
              <v:shape id="Text Box 30" o:spid="_x0000_s1026" type="#_x0000_t202" style="position:absolute;left:0;text-align:left;margin-left:0;margin-top:-.05pt;width:423pt;height:226.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" fillcolor="white [3201]" strokeweight=".5pt">
                <v:textbox>
                  <w:txbxContent>
                    <w:p w14:paraId="36B5C3A6" w14:textId="77777777" w:rsidR="006A5A35" w:rsidRPr="00613BEC" w:rsidRDefault="006A5A35" w:rsidP="006A5A35">
                      <w:pPr>
                        <w:jc w:val="center"/>
                        <w:rPr>
                          <w:rFonts w:ascii="Times New Roman" w:hAnsi="Times New Roman" w:cs="Times New Roman"/>
                          <w:sz w:val="20"/>
                          <w:szCs w:val="20"/>
                        </w:rPr>
                      </w:pPr>
                      <w:r>
                        <w:object w:dxaOrig="8813" w:dyaOrig="4205" w14:anchorId="04150D8E">
                          <v:shape id="_x0000_i1030" type="#_x0000_t75" style="width:303pt;height:148.5pt" o:ole="">
                            <v:imagedata r:id="rId15" o:title=""/>
                          </v:shape>
                          <o:OLEObject Type="Embed" ProgID="Prism7.Document" ShapeID="_x0000_i1030" DrawAspect="Content" ObjectID="_1801920510" r:id="rId17"/>
                        </w:object>
                      </w:r>
                      <w:r w:rsidRPr="00613BEC">
                        <w:rPr>
                          <w:rFonts w:ascii="Times New Roman" w:hAnsi="Times New Roman" w:cs="Times New Roman"/>
                          <w:sz w:val="20"/>
                          <w:szCs w:val="20"/>
                        </w:rPr>
                        <w:t xml:space="preserve">                              </w:t>
                      </w:r>
                    </w:p>
                    <w:p w14:paraId="761F8095" w14:textId="3ACBA3FA" w:rsidR="006A5A35" w:rsidRPr="00812EE7" w:rsidRDefault="006A5A35" w:rsidP="006A5A35">
                      <w:pPr>
                        <w:spacing w:after="0" w:line="240" w:lineRule="exact"/>
                        <w:jc w:val="both"/>
                        <w:rPr>
                          <w:rFonts w:ascii="Arial" w:hAnsi="Arial" w:cs="Arial"/>
                          <w:sz w:val="20"/>
                          <w:szCs w:val="20"/>
                        </w:rPr>
                      </w:pPr>
                      <w:r w:rsidRPr="00812EE7">
                        <w:rPr>
                          <w:rFonts w:ascii="Arial" w:hAnsi="Arial" w:cs="Arial"/>
                          <w:b/>
                          <w:color w:val="000000" w:themeColor="text1"/>
                          <w:sz w:val="20"/>
                          <w:szCs w:val="20"/>
                        </w:rPr>
                        <w:t>Fig 4</w:t>
                      </w:r>
                      <w:r w:rsidRPr="00812EE7">
                        <w:rPr>
                          <w:rFonts w:ascii="Arial" w:hAnsi="Arial" w:cs="Arial"/>
                          <w:color w:val="000000" w:themeColor="text1"/>
                          <w:sz w:val="20"/>
                          <w:szCs w:val="20"/>
                        </w:rPr>
                        <w:t xml:space="preserve">: </w:t>
                      </w:r>
                      <w:r w:rsidRPr="00812EE7">
                        <w:rPr>
                          <w:rFonts w:ascii="Arial" w:hAnsi="Arial" w:cs="Arial"/>
                          <w:b/>
                          <w:color w:val="000000" w:themeColor="text1"/>
                          <w:sz w:val="20"/>
                          <w:szCs w:val="20"/>
                        </w:rPr>
                        <w:t xml:space="preserve">The survival curve depicts effect of </w:t>
                      </w:r>
                      <w:r w:rsidRPr="00812EE7">
                        <w:rPr>
                          <w:rFonts w:ascii="Arial" w:hAnsi="Arial" w:cs="Arial"/>
                          <w:b/>
                          <w:noProof/>
                          <w:color w:val="000000" w:themeColor="text1"/>
                          <w:sz w:val="20"/>
                          <w:szCs w:val="20"/>
                        </w:rPr>
                        <w:t>ethanol: water</w:t>
                      </w:r>
                      <w:r w:rsidRPr="00812EE7">
                        <w:rPr>
                          <w:rFonts w:ascii="Arial" w:hAnsi="Arial" w:cs="Arial"/>
                          <w:b/>
                          <w:color w:val="000000" w:themeColor="text1"/>
                          <w:sz w:val="20"/>
                          <w:szCs w:val="20"/>
                        </w:rPr>
                        <w:t xml:space="preserve"> extract of </w:t>
                      </w:r>
                      <w:r w:rsidRPr="00812EE7">
                        <w:rPr>
                          <w:rFonts w:ascii="Arial" w:hAnsi="Arial" w:cs="Arial"/>
                          <w:b/>
                          <w:i/>
                          <w:color w:val="000000" w:themeColor="text1"/>
                          <w:sz w:val="20"/>
                          <w:szCs w:val="20"/>
                        </w:rPr>
                        <w:t>C. roseus</w:t>
                      </w:r>
                      <w:r w:rsidRPr="00812EE7">
                        <w:rPr>
                          <w:rFonts w:ascii="Arial" w:hAnsi="Arial" w:cs="Arial"/>
                          <w:b/>
                          <w:color w:val="000000" w:themeColor="text1"/>
                          <w:sz w:val="20"/>
                          <w:szCs w:val="20"/>
                        </w:rPr>
                        <w:t xml:space="preserve"> prepared by maceration method.</w:t>
                      </w:r>
                      <w:r w:rsidRPr="00812EE7">
                        <w:rPr>
                          <w:rFonts w:ascii="Arial" w:hAnsi="Arial" w:cs="Arial"/>
                          <w:color w:val="000000" w:themeColor="text1"/>
                          <w:sz w:val="20"/>
                          <w:szCs w:val="20"/>
                        </w:rPr>
                        <w:t xml:space="preserve"> Survival curve was plotted by </w:t>
                      </w:r>
                      <w:r w:rsidRPr="00812EE7">
                        <w:rPr>
                          <w:rFonts w:ascii="Arial" w:hAnsi="Arial" w:cs="Arial"/>
                          <w:bCs/>
                          <w:sz w:val="20"/>
                          <w:szCs w:val="20"/>
                        </w:rPr>
                        <w:t>Kaplan</w:t>
                      </w:r>
                      <w:r w:rsidRPr="00812EE7">
                        <w:rPr>
                          <w:rFonts w:ascii="Arial" w:hAnsi="Arial" w:cs="Arial"/>
                          <w:sz w:val="20"/>
                          <w:szCs w:val="20"/>
                        </w:rPr>
                        <w:t>–</w:t>
                      </w:r>
                      <w:r w:rsidRPr="00812EE7">
                        <w:rPr>
                          <w:rFonts w:ascii="Arial" w:hAnsi="Arial" w:cs="Arial"/>
                          <w:bCs/>
                          <w:sz w:val="20"/>
                          <w:szCs w:val="20"/>
                        </w:rPr>
                        <w:t>Meier</w:t>
                      </w:r>
                      <w:r w:rsidRPr="00812EE7">
                        <w:rPr>
                          <w:rFonts w:ascii="Arial" w:hAnsi="Arial" w:cs="Arial"/>
                          <w:b/>
                          <w:bCs/>
                          <w:sz w:val="20"/>
                          <w:szCs w:val="20"/>
                        </w:rPr>
                        <w:t xml:space="preserve"> </w:t>
                      </w:r>
                      <w:r w:rsidRPr="00812EE7">
                        <w:rPr>
                          <w:rFonts w:ascii="Arial" w:hAnsi="Arial" w:cs="Arial"/>
                          <w:color w:val="000000" w:themeColor="text1"/>
                          <w:sz w:val="20"/>
                          <w:szCs w:val="20"/>
                        </w:rPr>
                        <w:t xml:space="preserve">analysis and analysed by Log-Rank (Mentel cox analysis). </w:t>
                      </w:r>
                      <w:r w:rsidRPr="00812EE7">
                        <w:rPr>
                          <w:rFonts w:ascii="Arial" w:hAnsi="Arial" w:cs="Arial"/>
                          <w:i/>
                          <w:color w:val="000000" w:themeColor="text1"/>
                          <w:sz w:val="20"/>
                          <w:szCs w:val="20"/>
                        </w:rPr>
                        <w:t>C. roseus</w:t>
                      </w:r>
                      <w:r w:rsidRPr="00812EE7">
                        <w:rPr>
                          <w:rFonts w:ascii="Arial" w:hAnsi="Arial" w:cs="Arial"/>
                          <w:color w:val="000000" w:themeColor="text1"/>
                          <w:sz w:val="20"/>
                          <w:szCs w:val="20"/>
                        </w:rPr>
                        <w:t xml:space="preserve"> </w:t>
                      </w:r>
                      <w:r w:rsidRPr="00812EE7">
                        <w:rPr>
                          <w:rFonts w:ascii="Arial" w:hAnsi="Arial" w:cs="Arial"/>
                          <w:noProof/>
                          <w:color w:val="000000" w:themeColor="text1"/>
                          <w:sz w:val="20"/>
                          <w:szCs w:val="20"/>
                        </w:rPr>
                        <w:t>treated</w:t>
                      </w:r>
                      <w:r w:rsidRPr="00812EE7">
                        <w:rPr>
                          <w:rFonts w:ascii="Arial" w:hAnsi="Arial" w:cs="Arial"/>
                          <w:color w:val="000000" w:themeColor="text1"/>
                          <w:sz w:val="20"/>
                          <w:szCs w:val="20"/>
                        </w:rPr>
                        <w:t xml:space="preserve"> </w:t>
                      </w:r>
                      <w:r w:rsidRPr="00812EE7">
                        <w:rPr>
                          <w:rFonts w:ascii="Arial" w:hAnsi="Arial" w:cs="Arial"/>
                          <w:i/>
                          <w:color w:val="000000" w:themeColor="text1"/>
                          <w:sz w:val="20"/>
                          <w:szCs w:val="20"/>
                        </w:rPr>
                        <w:t>C. elegans</w:t>
                      </w:r>
                      <w:r w:rsidRPr="00812EE7">
                        <w:rPr>
                          <w:rFonts w:ascii="Arial" w:hAnsi="Arial" w:cs="Arial"/>
                          <w:color w:val="000000" w:themeColor="text1"/>
                          <w:sz w:val="20"/>
                          <w:szCs w:val="20"/>
                        </w:rPr>
                        <w:t xml:space="preserve"> showed an </w:t>
                      </w:r>
                      <w:r w:rsidRPr="00812EE7">
                        <w:rPr>
                          <w:rFonts w:ascii="Arial" w:hAnsi="Arial" w:cs="Arial"/>
                          <w:noProof/>
                          <w:color w:val="000000" w:themeColor="text1"/>
                          <w:sz w:val="20"/>
                          <w:szCs w:val="20"/>
                        </w:rPr>
                        <w:t>increase</w:t>
                      </w:r>
                      <w:r w:rsidRPr="00812EE7">
                        <w:rPr>
                          <w:rFonts w:ascii="Arial" w:hAnsi="Arial" w:cs="Arial"/>
                          <w:color w:val="000000" w:themeColor="text1"/>
                          <w:sz w:val="20"/>
                          <w:szCs w:val="20"/>
                        </w:rPr>
                        <w:t xml:space="preserve"> in </w:t>
                      </w:r>
                      <w:r w:rsidRPr="00812EE7">
                        <w:rPr>
                          <w:rFonts w:ascii="Arial" w:hAnsi="Arial" w:cs="Arial"/>
                          <w:noProof/>
                          <w:color w:val="000000" w:themeColor="text1"/>
                          <w:sz w:val="20"/>
                          <w:szCs w:val="20"/>
                        </w:rPr>
                        <w:t>lifespan</w:t>
                      </w:r>
                      <w:r w:rsidRPr="00812EE7">
                        <w:rPr>
                          <w:rFonts w:ascii="Arial" w:hAnsi="Arial" w:cs="Arial"/>
                          <w:color w:val="000000" w:themeColor="text1"/>
                          <w:sz w:val="20"/>
                          <w:szCs w:val="20"/>
                        </w:rPr>
                        <w:t xml:space="preserve"> at 1 mg/ml concentration. </w:t>
                      </w:r>
                      <w:r w:rsidRPr="00812EE7">
                        <w:rPr>
                          <w:rFonts w:ascii="Arial" w:hAnsi="Arial" w:cs="Arial"/>
                          <w:color w:val="131413"/>
                          <w:sz w:val="20"/>
                          <w:szCs w:val="20"/>
                        </w:rPr>
                        <w:t xml:space="preserve">Quantitative data and statistical analyses for the representative experiments are included in Table </w:t>
                      </w:r>
                      <w:r w:rsidR="007F12C3" w:rsidRPr="00812EE7">
                        <w:rPr>
                          <w:rFonts w:ascii="Arial" w:hAnsi="Arial" w:cs="Arial"/>
                          <w:color w:val="131413"/>
                          <w:sz w:val="20"/>
                          <w:szCs w:val="20"/>
                        </w:rPr>
                        <w:t>3</w:t>
                      </w:r>
                    </w:p>
                    <w:p w14:paraId="3194C6B2" w14:textId="77777777" w:rsidR="006A5A35" w:rsidRPr="00613BEC" w:rsidRDefault="006A5A35" w:rsidP="006A5A35">
                      <w:pPr>
                        <w:jc w:val="both"/>
                        <w:rPr>
                          <w:rFonts w:ascii="Times New Roman" w:hAnsi="Times New Roman" w:cs="Times New Roman"/>
                          <w:b/>
                          <w:sz w:val="20"/>
                          <w:szCs w:val="20"/>
                        </w:rPr>
                      </w:pPr>
                    </w:p>
                  </w:txbxContent>
                </v:textbox>
                <w10:wrap anchorx="margin"/>
              </v:shape>
            </w:pict>
          </mc:Fallback>
        </mc:AlternateContent>
      </w:r>
    </w:p>
    <w:p w14:paraId="5F09CB4B" w14:textId="77777777" w:rsidR="006A5A35" w:rsidRPr="00376CD5" w:rsidRDefault="006A5A35" w:rsidP="00A5476B">
      <w:pPr>
        <w:pStyle w:val="Paragraph"/>
      </w:pPr>
    </w:p>
    <w:p w14:paraId="56734886" w14:textId="77777777" w:rsidR="006A5A35" w:rsidRPr="00376CD5" w:rsidRDefault="006A5A35" w:rsidP="00A5476B">
      <w:pPr>
        <w:pStyle w:val="Paragraph"/>
      </w:pPr>
    </w:p>
    <w:p w14:paraId="0E9AF80B" w14:textId="77777777" w:rsidR="006A5A35" w:rsidRPr="00376CD5" w:rsidRDefault="006A5A35" w:rsidP="00A5476B">
      <w:pPr>
        <w:pStyle w:val="Paragraph"/>
      </w:pPr>
    </w:p>
    <w:p w14:paraId="7994FD86" w14:textId="77777777" w:rsidR="006A5A35" w:rsidRPr="00376CD5" w:rsidRDefault="006A5A35" w:rsidP="00A5476B">
      <w:pPr>
        <w:pStyle w:val="Paragraph"/>
      </w:pPr>
    </w:p>
    <w:p w14:paraId="138A7FE8" w14:textId="77777777" w:rsidR="006A5A35" w:rsidRPr="00376CD5" w:rsidRDefault="006A5A35" w:rsidP="00A5476B">
      <w:pPr>
        <w:pStyle w:val="Paragraph"/>
      </w:pPr>
    </w:p>
    <w:p w14:paraId="63168DAB" w14:textId="77777777" w:rsidR="006A5A35" w:rsidRPr="00376CD5" w:rsidRDefault="006A5A35" w:rsidP="00A5476B">
      <w:pPr>
        <w:pStyle w:val="Paragraph"/>
      </w:pPr>
    </w:p>
    <w:p w14:paraId="5608E0DB" w14:textId="77777777" w:rsidR="006A5A35" w:rsidRPr="00376CD5" w:rsidRDefault="006A5A35" w:rsidP="00A5476B">
      <w:pPr>
        <w:pStyle w:val="Paragraph"/>
      </w:pPr>
    </w:p>
    <w:p w14:paraId="7BDD6031" w14:textId="77777777" w:rsidR="006A5A35" w:rsidRPr="00376CD5" w:rsidRDefault="006A5A35" w:rsidP="00A5476B">
      <w:pPr>
        <w:pStyle w:val="Paragraph"/>
      </w:pPr>
    </w:p>
    <w:p w14:paraId="36503E9C" w14:textId="7B512263" w:rsidR="008A01BE" w:rsidRPr="00376CD5" w:rsidRDefault="008A01BE" w:rsidP="00A5476B">
      <w:pPr>
        <w:pStyle w:val="Paragraph"/>
      </w:pPr>
      <w:r w:rsidRPr="00376CD5">
        <w:t xml:space="preserve">Table </w:t>
      </w:r>
      <w:r w:rsidR="007F12C3" w:rsidRPr="00376CD5">
        <w:t>3</w:t>
      </w:r>
      <w:r w:rsidRPr="00376CD5">
        <w:t xml:space="preserve">: N2 Bristol </w:t>
      </w:r>
      <w:r w:rsidRPr="00376CD5">
        <w:rPr>
          <w:i/>
          <w:iCs/>
        </w:rPr>
        <w:t>Caenorhabditis elegans</w:t>
      </w:r>
      <w:r w:rsidRPr="00376CD5">
        <w:t xml:space="preserve"> longevity as affected by </w:t>
      </w:r>
      <w:r w:rsidRPr="00376CD5">
        <w:rPr>
          <w:i/>
          <w:iCs/>
        </w:rPr>
        <w:t>Catharanthus roseus</w:t>
      </w:r>
      <w:r w:rsidRPr="00376CD5">
        <w:t xml:space="preserve"> ethanol: water extract generated by Maceration technique.</w:t>
      </w:r>
    </w:p>
    <w:p w14:paraId="2916E197" w14:textId="77777777" w:rsidR="004F7341" w:rsidRPr="00376CD5" w:rsidRDefault="004F7341" w:rsidP="00A5476B">
      <w:pPr>
        <w:pStyle w:val="Paragraph"/>
      </w:pPr>
    </w:p>
    <w:tbl>
      <w:tblPr>
        <w:tblStyle w:val="TableGrid"/>
        <w:tblW w:w="7282" w:type="dxa"/>
        <w:tblLook w:val="04A0" w:firstRow="1" w:lastRow="0" w:firstColumn="1" w:lastColumn="0" w:noHBand="0" w:noVBand="1"/>
      </w:tblPr>
      <w:tblGrid>
        <w:gridCol w:w="2178"/>
        <w:gridCol w:w="1277"/>
        <w:gridCol w:w="1985"/>
        <w:gridCol w:w="1842"/>
      </w:tblGrid>
      <w:tr w:rsidR="008A01BE" w:rsidRPr="00812EE7" w14:paraId="1735D16C" w14:textId="77777777" w:rsidTr="007147D9">
        <w:trPr>
          <w:trHeight w:val="295"/>
        </w:trPr>
        <w:tc>
          <w:tcPr>
            <w:tcW w:w="2178" w:type="dxa"/>
            <w:noWrap/>
            <w:hideMark/>
          </w:tcPr>
          <w:p w14:paraId="3F7EC4EF" w14:textId="77777777" w:rsidR="008A01BE" w:rsidRPr="00812EE7" w:rsidRDefault="008A01BE" w:rsidP="00954E86">
            <w:pPr>
              <w:spacing w:before="100" w:beforeAutospacing="1" w:line="480" w:lineRule="auto"/>
              <w:jc w:val="both"/>
              <w:rPr>
                <w:rFonts w:ascii="Arial" w:eastAsia="Times New Roman" w:hAnsi="Arial" w:cs="Arial"/>
                <w:sz w:val="20"/>
                <w:szCs w:val="20"/>
              </w:rPr>
            </w:pPr>
          </w:p>
        </w:tc>
        <w:tc>
          <w:tcPr>
            <w:tcW w:w="1277" w:type="dxa"/>
            <w:noWrap/>
            <w:hideMark/>
          </w:tcPr>
          <w:p w14:paraId="7D55CBA1" w14:textId="77777777" w:rsidR="008A01BE" w:rsidRPr="00812EE7" w:rsidRDefault="008A01BE" w:rsidP="00954E86">
            <w:pPr>
              <w:spacing w:before="100" w:beforeAutospacing="1" w:line="480" w:lineRule="auto"/>
              <w:jc w:val="both"/>
              <w:rPr>
                <w:rFonts w:ascii="Arial" w:eastAsia="Times New Roman" w:hAnsi="Arial" w:cs="Arial"/>
                <w:b/>
                <w:sz w:val="20"/>
                <w:szCs w:val="20"/>
              </w:rPr>
            </w:pPr>
            <w:r w:rsidRPr="00812EE7">
              <w:rPr>
                <w:rFonts w:ascii="Arial" w:eastAsia="Times New Roman" w:hAnsi="Arial" w:cs="Arial"/>
                <w:b/>
                <w:sz w:val="20"/>
                <w:szCs w:val="20"/>
              </w:rPr>
              <w:t xml:space="preserve">No. of </w:t>
            </w:r>
            <w:r w:rsidRPr="00812EE7">
              <w:rPr>
                <w:rFonts w:ascii="Arial" w:eastAsia="Times New Roman" w:hAnsi="Arial" w:cs="Arial"/>
                <w:b/>
                <w:i/>
                <w:sz w:val="20"/>
                <w:szCs w:val="20"/>
              </w:rPr>
              <w:t xml:space="preserve">C. </w:t>
            </w:r>
            <w:proofErr w:type="spellStart"/>
            <w:proofErr w:type="gramStart"/>
            <w:r w:rsidRPr="00812EE7">
              <w:rPr>
                <w:rFonts w:ascii="Arial" w:eastAsia="Times New Roman" w:hAnsi="Arial" w:cs="Arial"/>
                <w:b/>
                <w:i/>
                <w:sz w:val="20"/>
                <w:szCs w:val="20"/>
              </w:rPr>
              <w:t>elegans</w:t>
            </w:r>
            <w:r w:rsidRPr="00812EE7">
              <w:rPr>
                <w:rFonts w:ascii="Arial" w:eastAsia="Times New Roman" w:hAnsi="Arial" w:cs="Arial"/>
                <w:b/>
                <w:sz w:val="20"/>
                <w:szCs w:val="20"/>
              </w:rPr>
              <w:t>,n</w:t>
            </w:r>
            <w:proofErr w:type="spellEnd"/>
            <w:proofErr w:type="gramEnd"/>
            <w:r w:rsidRPr="00812EE7">
              <w:rPr>
                <w:rFonts w:ascii="Arial" w:eastAsia="Times New Roman" w:hAnsi="Arial" w:cs="Arial"/>
                <w:b/>
                <w:sz w:val="20"/>
                <w:szCs w:val="20"/>
              </w:rPr>
              <w:t>*</w:t>
            </w:r>
          </w:p>
        </w:tc>
        <w:tc>
          <w:tcPr>
            <w:tcW w:w="1985" w:type="dxa"/>
            <w:noWrap/>
            <w:hideMark/>
          </w:tcPr>
          <w:p w14:paraId="5F71D247" w14:textId="77777777" w:rsidR="008A01BE" w:rsidRPr="00812EE7" w:rsidRDefault="008A01BE" w:rsidP="00954E86">
            <w:pPr>
              <w:spacing w:before="100" w:beforeAutospacing="1" w:line="480" w:lineRule="auto"/>
              <w:jc w:val="both"/>
              <w:rPr>
                <w:rFonts w:ascii="Arial" w:eastAsia="Times New Roman" w:hAnsi="Arial" w:cs="Arial"/>
                <w:b/>
                <w:sz w:val="20"/>
                <w:szCs w:val="20"/>
              </w:rPr>
            </w:pPr>
            <w:r w:rsidRPr="00812EE7">
              <w:rPr>
                <w:rFonts w:ascii="Arial" w:eastAsia="Times New Roman" w:hAnsi="Arial" w:cs="Arial"/>
                <w:b/>
                <w:sz w:val="20"/>
                <w:szCs w:val="20"/>
              </w:rPr>
              <w:t>Mean life span± S.E.(Days)</w:t>
            </w:r>
          </w:p>
        </w:tc>
        <w:tc>
          <w:tcPr>
            <w:tcW w:w="1842" w:type="dxa"/>
            <w:noWrap/>
            <w:hideMark/>
          </w:tcPr>
          <w:p w14:paraId="2C9CD220" w14:textId="77777777" w:rsidR="008A01BE" w:rsidRPr="00812EE7" w:rsidRDefault="008A01BE" w:rsidP="00954E86">
            <w:pPr>
              <w:spacing w:before="100" w:beforeAutospacing="1" w:line="480" w:lineRule="auto"/>
              <w:jc w:val="both"/>
              <w:rPr>
                <w:rFonts w:ascii="Arial" w:eastAsia="Times New Roman" w:hAnsi="Arial" w:cs="Arial"/>
                <w:b/>
                <w:sz w:val="20"/>
                <w:szCs w:val="20"/>
              </w:rPr>
            </w:pPr>
            <w:r w:rsidRPr="00812EE7">
              <w:rPr>
                <w:rFonts w:ascii="Arial" w:eastAsia="Times New Roman" w:hAnsi="Arial" w:cs="Arial"/>
                <w:b/>
                <w:i/>
                <w:sz w:val="20"/>
                <w:szCs w:val="20"/>
              </w:rPr>
              <w:t>P</w:t>
            </w:r>
            <w:r w:rsidRPr="00812EE7">
              <w:rPr>
                <w:rFonts w:ascii="Arial" w:eastAsia="Times New Roman" w:hAnsi="Arial" w:cs="Arial"/>
                <w:b/>
                <w:sz w:val="20"/>
                <w:szCs w:val="20"/>
              </w:rPr>
              <w:t>-value v/s control</w:t>
            </w:r>
          </w:p>
        </w:tc>
      </w:tr>
      <w:tr w:rsidR="008A01BE" w:rsidRPr="00812EE7" w14:paraId="07D93CB2" w14:textId="77777777" w:rsidTr="007147D9">
        <w:trPr>
          <w:trHeight w:val="295"/>
        </w:trPr>
        <w:tc>
          <w:tcPr>
            <w:tcW w:w="2178" w:type="dxa"/>
            <w:noWrap/>
            <w:hideMark/>
          </w:tcPr>
          <w:p w14:paraId="06AFCDC4" w14:textId="77777777" w:rsidR="008A01BE" w:rsidRPr="00812EE7" w:rsidRDefault="008A01BE" w:rsidP="00954E86">
            <w:pPr>
              <w:spacing w:before="100" w:beforeAutospacing="1" w:line="480" w:lineRule="auto"/>
              <w:jc w:val="both"/>
              <w:rPr>
                <w:rFonts w:ascii="Arial" w:eastAsia="Times New Roman" w:hAnsi="Arial" w:cs="Arial"/>
                <w:sz w:val="20"/>
                <w:szCs w:val="20"/>
              </w:rPr>
            </w:pPr>
            <w:r w:rsidRPr="00812EE7">
              <w:rPr>
                <w:rFonts w:ascii="Arial" w:eastAsia="Times New Roman" w:hAnsi="Arial" w:cs="Arial"/>
                <w:sz w:val="20"/>
                <w:szCs w:val="20"/>
              </w:rPr>
              <w:t>Control</w:t>
            </w:r>
          </w:p>
        </w:tc>
        <w:tc>
          <w:tcPr>
            <w:tcW w:w="1277" w:type="dxa"/>
            <w:noWrap/>
            <w:hideMark/>
          </w:tcPr>
          <w:p w14:paraId="21758E27" w14:textId="77777777" w:rsidR="008A01BE" w:rsidRPr="00812EE7" w:rsidRDefault="008A01BE" w:rsidP="00954E86">
            <w:pPr>
              <w:spacing w:before="100" w:beforeAutospacing="1" w:line="480" w:lineRule="auto"/>
              <w:jc w:val="both"/>
              <w:rPr>
                <w:rFonts w:ascii="Arial" w:eastAsia="Times New Roman" w:hAnsi="Arial" w:cs="Arial"/>
                <w:sz w:val="20"/>
                <w:szCs w:val="20"/>
              </w:rPr>
            </w:pPr>
            <w:r w:rsidRPr="00812EE7">
              <w:rPr>
                <w:rFonts w:ascii="Arial" w:eastAsia="Times New Roman" w:hAnsi="Arial" w:cs="Arial"/>
                <w:sz w:val="20"/>
                <w:szCs w:val="20"/>
              </w:rPr>
              <w:t>144</w:t>
            </w:r>
          </w:p>
        </w:tc>
        <w:tc>
          <w:tcPr>
            <w:tcW w:w="1985" w:type="dxa"/>
            <w:noWrap/>
            <w:hideMark/>
          </w:tcPr>
          <w:p w14:paraId="35DB3F9E" w14:textId="77777777" w:rsidR="008A01BE" w:rsidRPr="00812EE7" w:rsidRDefault="008A01BE" w:rsidP="00954E86">
            <w:pPr>
              <w:spacing w:before="100" w:beforeAutospacing="1" w:line="480" w:lineRule="auto"/>
              <w:jc w:val="both"/>
              <w:rPr>
                <w:rFonts w:ascii="Arial" w:eastAsia="Times New Roman" w:hAnsi="Arial" w:cs="Arial"/>
                <w:sz w:val="20"/>
                <w:szCs w:val="20"/>
              </w:rPr>
            </w:pPr>
            <w:bookmarkStart w:id="5" w:name="OLE_LINK17"/>
            <w:r w:rsidRPr="00812EE7">
              <w:rPr>
                <w:rFonts w:ascii="Arial" w:eastAsia="Times New Roman" w:hAnsi="Arial" w:cs="Arial"/>
                <w:sz w:val="20"/>
                <w:szCs w:val="20"/>
              </w:rPr>
              <w:t xml:space="preserve">18.32 </w:t>
            </w:r>
            <w:bookmarkEnd w:id="5"/>
            <w:r w:rsidRPr="00812EE7">
              <w:rPr>
                <w:rFonts w:ascii="Arial" w:eastAsia="Times New Roman" w:hAnsi="Arial" w:cs="Arial"/>
                <w:sz w:val="20"/>
                <w:szCs w:val="20"/>
              </w:rPr>
              <w:t>± 0.98</w:t>
            </w:r>
          </w:p>
        </w:tc>
        <w:tc>
          <w:tcPr>
            <w:tcW w:w="1842" w:type="dxa"/>
            <w:noWrap/>
            <w:hideMark/>
          </w:tcPr>
          <w:p w14:paraId="372454E2" w14:textId="77777777" w:rsidR="008A01BE" w:rsidRPr="00812EE7" w:rsidRDefault="008A01BE" w:rsidP="00954E86">
            <w:pPr>
              <w:spacing w:before="100" w:beforeAutospacing="1" w:line="480" w:lineRule="auto"/>
              <w:jc w:val="both"/>
              <w:rPr>
                <w:rFonts w:ascii="Arial" w:eastAsia="Times New Roman" w:hAnsi="Arial" w:cs="Arial"/>
                <w:sz w:val="20"/>
                <w:szCs w:val="20"/>
              </w:rPr>
            </w:pPr>
          </w:p>
        </w:tc>
      </w:tr>
      <w:tr w:rsidR="008A01BE" w:rsidRPr="00812EE7" w14:paraId="6C4A0C2E" w14:textId="77777777" w:rsidTr="007147D9">
        <w:trPr>
          <w:trHeight w:val="239"/>
        </w:trPr>
        <w:tc>
          <w:tcPr>
            <w:tcW w:w="2178" w:type="dxa"/>
            <w:noWrap/>
          </w:tcPr>
          <w:p w14:paraId="33FA1CEE" w14:textId="77777777" w:rsidR="008A01BE" w:rsidRPr="00812EE7" w:rsidRDefault="008A01BE" w:rsidP="00954E86">
            <w:pPr>
              <w:spacing w:before="100" w:beforeAutospacing="1" w:line="480" w:lineRule="auto"/>
              <w:jc w:val="both"/>
              <w:rPr>
                <w:rFonts w:ascii="Arial" w:eastAsia="Times New Roman" w:hAnsi="Arial" w:cs="Arial"/>
                <w:sz w:val="20"/>
                <w:szCs w:val="20"/>
              </w:rPr>
            </w:pPr>
            <w:r w:rsidRPr="00812EE7">
              <w:rPr>
                <w:rFonts w:ascii="Arial" w:eastAsia="Times New Roman" w:hAnsi="Arial" w:cs="Arial"/>
                <w:i/>
                <w:iCs/>
                <w:sz w:val="20"/>
                <w:szCs w:val="20"/>
              </w:rPr>
              <w:t>C. roseus</w:t>
            </w:r>
            <w:r w:rsidRPr="00812EE7">
              <w:rPr>
                <w:rFonts w:ascii="Arial" w:eastAsia="Times New Roman" w:hAnsi="Arial" w:cs="Arial"/>
                <w:sz w:val="20"/>
                <w:szCs w:val="20"/>
              </w:rPr>
              <w:t xml:space="preserve"> 0.01 mg/ml</w:t>
            </w:r>
          </w:p>
        </w:tc>
        <w:tc>
          <w:tcPr>
            <w:tcW w:w="1277" w:type="dxa"/>
            <w:noWrap/>
          </w:tcPr>
          <w:p w14:paraId="1D34AD01" w14:textId="77777777" w:rsidR="008A01BE" w:rsidRPr="00812EE7" w:rsidRDefault="008A01BE" w:rsidP="00954E86">
            <w:pPr>
              <w:spacing w:before="100" w:beforeAutospacing="1" w:line="480" w:lineRule="auto"/>
              <w:jc w:val="both"/>
              <w:rPr>
                <w:rFonts w:ascii="Arial" w:eastAsia="Times New Roman" w:hAnsi="Arial" w:cs="Arial"/>
                <w:sz w:val="20"/>
                <w:szCs w:val="20"/>
              </w:rPr>
            </w:pPr>
            <w:r w:rsidRPr="00812EE7">
              <w:rPr>
                <w:rFonts w:ascii="Arial" w:eastAsia="Times New Roman" w:hAnsi="Arial" w:cs="Arial"/>
                <w:sz w:val="20"/>
                <w:szCs w:val="20"/>
              </w:rPr>
              <w:t>147</w:t>
            </w:r>
          </w:p>
        </w:tc>
        <w:tc>
          <w:tcPr>
            <w:tcW w:w="1985" w:type="dxa"/>
            <w:noWrap/>
          </w:tcPr>
          <w:p w14:paraId="08DDD157" w14:textId="77777777" w:rsidR="008A01BE" w:rsidRPr="00812EE7" w:rsidRDefault="008A01BE" w:rsidP="00954E86">
            <w:pPr>
              <w:spacing w:before="100" w:beforeAutospacing="1" w:line="480" w:lineRule="auto"/>
              <w:jc w:val="both"/>
              <w:rPr>
                <w:rFonts w:ascii="Arial" w:eastAsia="Times New Roman" w:hAnsi="Arial" w:cs="Arial"/>
                <w:sz w:val="20"/>
                <w:szCs w:val="20"/>
              </w:rPr>
            </w:pPr>
            <w:r w:rsidRPr="00812EE7">
              <w:rPr>
                <w:rFonts w:ascii="Arial" w:eastAsia="Times New Roman" w:hAnsi="Arial" w:cs="Arial"/>
                <w:sz w:val="20"/>
                <w:szCs w:val="20"/>
              </w:rPr>
              <w:t>20.38 ± 1.5</w:t>
            </w:r>
          </w:p>
        </w:tc>
        <w:tc>
          <w:tcPr>
            <w:tcW w:w="1842" w:type="dxa"/>
            <w:noWrap/>
          </w:tcPr>
          <w:p w14:paraId="40B49F24" w14:textId="724C9A30" w:rsidR="008A01BE" w:rsidRPr="00812EE7" w:rsidRDefault="008A01BE" w:rsidP="00954E86">
            <w:pPr>
              <w:spacing w:before="100" w:beforeAutospacing="1" w:line="480" w:lineRule="auto"/>
              <w:jc w:val="both"/>
              <w:rPr>
                <w:rFonts w:ascii="Arial" w:eastAsia="Times New Roman" w:hAnsi="Arial" w:cs="Arial"/>
                <w:sz w:val="20"/>
                <w:szCs w:val="20"/>
              </w:rPr>
            </w:pPr>
            <w:r w:rsidRPr="00812EE7">
              <w:rPr>
                <w:rFonts w:ascii="Arial" w:eastAsia="Times New Roman" w:hAnsi="Arial" w:cs="Arial"/>
                <w:sz w:val="20"/>
                <w:szCs w:val="20"/>
              </w:rPr>
              <w:t>≤.001</w:t>
            </w:r>
          </w:p>
        </w:tc>
      </w:tr>
      <w:tr w:rsidR="008A01BE" w:rsidRPr="00812EE7" w14:paraId="204ED7D7" w14:textId="77777777" w:rsidTr="007147D9">
        <w:trPr>
          <w:trHeight w:val="239"/>
        </w:trPr>
        <w:tc>
          <w:tcPr>
            <w:tcW w:w="2178" w:type="dxa"/>
            <w:noWrap/>
          </w:tcPr>
          <w:p w14:paraId="6FC23453" w14:textId="77777777" w:rsidR="008A01BE" w:rsidRPr="00812EE7" w:rsidRDefault="008A01BE" w:rsidP="00954E86">
            <w:pPr>
              <w:spacing w:before="100" w:beforeAutospacing="1" w:line="480" w:lineRule="auto"/>
              <w:jc w:val="both"/>
              <w:rPr>
                <w:rFonts w:ascii="Arial" w:eastAsia="Times New Roman" w:hAnsi="Arial" w:cs="Arial"/>
                <w:sz w:val="20"/>
                <w:szCs w:val="20"/>
              </w:rPr>
            </w:pPr>
            <w:r w:rsidRPr="00812EE7">
              <w:rPr>
                <w:rFonts w:ascii="Arial" w:eastAsia="Times New Roman" w:hAnsi="Arial" w:cs="Arial"/>
                <w:i/>
                <w:iCs/>
                <w:sz w:val="20"/>
                <w:szCs w:val="20"/>
              </w:rPr>
              <w:t>C. roseus</w:t>
            </w:r>
            <w:r w:rsidRPr="00812EE7">
              <w:rPr>
                <w:rFonts w:ascii="Arial" w:eastAsia="Times New Roman" w:hAnsi="Arial" w:cs="Arial"/>
                <w:sz w:val="20"/>
                <w:szCs w:val="20"/>
              </w:rPr>
              <w:t xml:space="preserve"> 0.1 mg/ml</w:t>
            </w:r>
          </w:p>
        </w:tc>
        <w:tc>
          <w:tcPr>
            <w:tcW w:w="1277" w:type="dxa"/>
            <w:noWrap/>
          </w:tcPr>
          <w:p w14:paraId="085E387C" w14:textId="77777777" w:rsidR="008A01BE" w:rsidRPr="00812EE7" w:rsidRDefault="008A01BE" w:rsidP="00954E86">
            <w:pPr>
              <w:spacing w:before="100" w:beforeAutospacing="1" w:line="480" w:lineRule="auto"/>
              <w:jc w:val="both"/>
              <w:rPr>
                <w:rFonts w:ascii="Arial" w:eastAsia="Times New Roman" w:hAnsi="Arial" w:cs="Arial"/>
                <w:sz w:val="20"/>
                <w:szCs w:val="20"/>
              </w:rPr>
            </w:pPr>
            <w:r w:rsidRPr="00812EE7">
              <w:rPr>
                <w:rFonts w:ascii="Arial" w:eastAsia="Times New Roman" w:hAnsi="Arial" w:cs="Arial"/>
                <w:sz w:val="20"/>
                <w:szCs w:val="20"/>
              </w:rPr>
              <w:t>144</w:t>
            </w:r>
          </w:p>
        </w:tc>
        <w:tc>
          <w:tcPr>
            <w:tcW w:w="1985" w:type="dxa"/>
            <w:noWrap/>
          </w:tcPr>
          <w:p w14:paraId="21A9A8EB" w14:textId="77777777" w:rsidR="008A01BE" w:rsidRPr="00812EE7" w:rsidRDefault="008A01BE" w:rsidP="00954E86">
            <w:pPr>
              <w:spacing w:before="100" w:beforeAutospacing="1" w:line="480" w:lineRule="auto"/>
              <w:jc w:val="both"/>
              <w:rPr>
                <w:rFonts w:ascii="Arial" w:eastAsia="Times New Roman" w:hAnsi="Arial" w:cs="Arial"/>
                <w:sz w:val="20"/>
                <w:szCs w:val="20"/>
              </w:rPr>
            </w:pPr>
            <w:bookmarkStart w:id="6" w:name="OLE_LINK19"/>
            <w:r w:rsidRPr="00812EE7">
              <w:rPr>
                <w:rFonts w:ascii="Arial" w:eastAsia="Times New Roman" w:hAnsi="Arial" w:cs="Arial"/>
                <w:sz w:val="20"/>
                <w:szCs w:val="20"/>
              </w:rPr>
              <w:t xml:space="preserve">21.44 </w:t>
            </w:r>
            <w:bookmarkEnd w:id="6"/>
            <w:r w:rsidRPr="00812EE7">
              <w:rPr>
                <w:rFonts w:ascii="Arial" w:eastAsia="Times New Roman" w:hAnsi="Arial" w:cs="Arial"/>
                <w:sz w:val="20"/>
                <w:szCs w:val="20"/>
              </w:rPr>
              <w:t>± 0.90</w:t>
            </w:r>
          </w:p>
        </w:tc>
        <w:tc>
          <w:tcPr>
            <w:tcW w:w="1842" w:type="dxa"/>
            <w:noWrap/>
          </w:tcPr>
          <w:p w14:paraId="04C1F7DF" w14:textId="7E278EF0" w:rsidR="008A01BE" w:rsidRPr="00812EE7" w:rsidRDefault="008A01BE" w:rsidP="00954E86">
            <w:pPr>
              <w:spacing w:before="100" w:beforeAutospacing="1" w:line="480" w:lineRule="auto"/>
              <w:jc w:val="both"/>
              <w:rPr>
                <w:rFonts w:ascii="Arial" w:eastAsia="Times New Roman" w:hAnsi="Arial" w:cs="Arial"/>
                <w:sz w:val="20"/>
                <w:szCs w:val="20"/>
              </w:rPr>
            </w:pPr>
            <w:r w:rsidRPr="00812EE7">
              <w:rPr>
                <w:rFonts w:ascii="Arial" w:eastAsia="Times New Roman" w:hAnsi="Arial" w:cs="Arial"/>
                <w:sz w:val="20"/>
                <w:szCs w:val="20"/>
              </w:rPr>
              <w:t>≤.001</w:t>
            </w:r>
          </w:p>
        </w:tc>
      </w:tr>
      <w:tr w:rsidR="008A01BE" w:rsidRPr="00812EE7" w14:paraId="053F59CA" w14:textId="77777777" w:rsidTr="007147D9">
        <w:trPr>
          <w:trHeight w:val="239"/>
        </w:trPr>
        <w:tc>
          <w:tcPr>
            <w:tcW w:w="2178" w:type="dxa"/>
            <w:noWrap/>
            <w:hideMark/>
          </w:tcPr>
          <w:p w14:paraId="0BBB24EE" w14:textId="77777777" w:rsidR="008A01BE" w:rsidRPr="00812EE7" w:rsidRDefault="008A01BE" w:rsidP="00954E86">
            <w:pPr>
              <w:spacing w:before="100" w:beforeAutospacing="1" w:line="480" w:lineRule="auto"/>
              <w:jc w:val="both"/>
              <w:rPr>
                <w:rFonts w:ascii="Arial" w:eastAsia="Times New Roman" w:hAnsi="Arial" w:cs="Arial"/>
                <w:sz w:val="20"/>
                <w:szCs w:val="20"/>
              </w:rPr>
            </w:pPr>
            <w:r w:rsidRPr="00812EE7">
              <w:rPr>
                <w:rFonts w:ascii="Arial" w:eastAsia="Times New Roman" w:hAnsi="Arial" w:cs="Arial"/>
                <w:i/>
                <w:iCs/>
                <w:sz w:val="20"/>
                <w:szCs w:val="20"/>
              </w:rPr>
              <w:t>C. roseus</w:t>
            </w:r>
            <w:r w:rsidRPr="00812EE7">
              <w:rPr>
                <w:rFonts w:ascii="Arial" w:eastAsia="Times New Roman" w:hAnsi="Arial" w:cs="Arial"/>
                <w:sz w:val="20"/>
                <w:szCs w:val="20"/>
              </w:rPr>
              <w:t xml:space="preserve"> 1 mg/ml</w:t>
            </w:r>
          </w:p>
        </w:tc>
        <w:tc>
          <w:tcPr>
            <w:tcW w:w="1277" w:type="dxa"/>
            <w:noWrap/>
            <w:hideMark/>
          </w:tcPr>
          <w:p w14:paraId="25847F6D" w14:textId="77777777" w:rsidR="008A01BE" w:rsidRPr="00812EE7" w:rsidRDefault="008A01BE" w:rsidP="00954E86">
            <w:pPr>
              <w:spacing w:before="100" w:beforeAutospacing="1" w:line="480" w:lineRule="auto"/>
              <w:jc w:val="both"/>
              <w:rPr>
                <w:rFonts w:ascii="Arial" w:eastAsia="Times New Roman" w:hAnsi="Arial" w:cs="Arial"/>
                <w:sz w:val="20"/>
                <w:szCs w:val="20"/>
              </w:rPr>
            </w:pPr>
            <w:r w:rsidRPr="00812EE7">
              <w:rPr>
                <w:rFonts w:ascii="Arial" w:eastAsia="Times New Roman" w:hAnsi="Arial" w:cs="Arial"/>
                <w:sz w:val="20"/>
                <w:szCs w:val="20"/>
              </w:rPr>
              <w:t>147</w:t>
            </w:r>
          </w:p>
        </w:tc>
        <w:tc>
          <w:tcPr>
            <w:tcW w:w="1985" w:type="dxa"/>
            <w:noWrap/>
            <w:hideMark/>
          </w:tcPr>
          <w:p w14:paraId="67193E94" w14:textId="77777777" w:rsidR="008A01BE" w:rsidRPr="00812EE7" w:rsidRDefault="008A01BE" w:rsidP="00954E86">
            <w:pPr>
              <w:spacing w:before="100" w:beforeAutospacing="1" w:line="480" w:lineRule="auto"/>
              <w:jc w:val="both"/>
              <w:rPr>
                <w:rFonts w:ascii="Arial" w:eastAsia="Times New Roman" w:hAnsi="Arial" w:cs="Arial"/>
                <w:sz w:val="20"/>
                <w:szCs w:val="20"/>
              </w:rPr>
            </w:pPr>
            <w:bookmarkStart w:id="7" w:name="OLE_LINK18"/>
            <w:r w:rsidRPr="00812EE7">
              <w:rPr>
                <w:rFonts w:ascii="Arial" w:eastAsia="Times New Roman" w:hAnsi="Arial" w:cs="Arial"/>
                <w:sz w:val="20"/>
                <w:szCs w:val="20"/>
              </w:rPr>
              <w:t xml:space="preserve">22.23 </w:t>
            </w:r>
            <w:bookmarkEnd w:id="7"/>
            <w:r w:rsidRPr="00812EE7">
              <w:rPr>
                <w:rFonts w:ascii="Arial" w:eastAsia="Times New Roman" w:hAnsi="Arial" w:cs="Arial"/>
                <w:sz w:val="20"/>
                <w:szCs w:val="20"/>
              </w:rPr>
              <w:t>± 1.2</w:t>
            </w:r>
          </w:p>
        </w:tc>
        <w:tc>
          <w:tcPr>
            <w:tcW w:w="1842" w:type="dxa"/>
            <w:noWrap/>
            <w:hideMark/>
          </w:tcPr>
          <w:p w14:paraId="4E82A6A1" w14:textId="4EA37710" w:rsidR="008A01BE" w:rsidRPr="00812EE7" w:rsidRDefault="008A01BE" w:rsidP="00954E86">
            <w:pPr>
              <w:spacing w:before="100" w:beforeAutospacing="1" w:line="480" w:lineRule="auto"/>
              <w:jc w:val="both"/>
              <w:rPr>
                <w:rFonts w:ascii="Arial" w:eastAsia="Times New Roman" w:hAnsi="Arial" w:cs="Arial"/>
                <w:sz w:val="20"/>
                <w:szCs w:val="20"/>
              </w:rPr>
            </w:pPr>
            <w:r w:rsidRPr="00812EE7">
              <w:rPr>
                <w:rFonts w:ascii="Arial" w:eastAsia="Times New Roman" w:hAnsi="Arial" w:cs="Arial"/>
                <w:sz w:val="20"/>
                <w:szCs w:val="20"/>
              </w:rPr>
              <w:t>≤.001</w:t>
            </w:r>
          </w:p>
        </w:tc>
      </w:tr>
    </w:tbl>
    <w:p w14:paraId="3FB4FB02" w14:textId="77777777" w:rsidR="003A5C3A" w:rsidRDefault="008A01BE" w:rsidP="003A5C3A">
      <w:pPr>
        <w:pStyle w:val="NoSpacing"/>
        <w:spacing w:before="100" w:beforeAutospacing="1"/>
        <w:rPr>
          <w:rFonts w:ascii="Arial" w:hAnsi="Arial" w:cs="Arial"/>
          <w:vertAlign w:val="superscript"/>
        </w:rPr>
      </w:pPr>
      <w:r w:rsidRPr="00954E86">
        <w:rPr>
          <w:rFonts w:ascii="Arial" w:hAnsi="Arial" w:cs="Arial"/>
          <w:vertAlign w:val="superscript"/>
        </w:rPr>
        <w:t xml:space="preserve">*n represents a cumulative number of </w:t>
      </w:r>
      <w:r w:rsidRPr="00954E86">
        <w:rPr>
          <w:rFonts w:ascii="Arial" w:hAnsi="Arial" w:cs="Arial"/>
          <w:i/>
          <w:vertAlign w:val="superscript"/>
        </w:rPr>
        <w:t>C. elegans</w:t>
      </w:r>
      <w:r w:rsidRPr="00954E86">
        <w:rPr>
          <w:rFonts w:ascii="Arial" w:hAnsi="Arial" w:cs="Arial"/>
          <w:vertAlign w:val="superscript"/>
        </w:rPr>
        <w:t xml:space="preserve"> studied in all experiment replicates.</w:t>
      </w:r>
    </w:p>
    <w:p w14:paraId="5ED38C1C" w14:textId="77777777" w:rsidR="003A5C3A" w:rsidRDefault="003A5C3A" w:rsidP="003A5C3A">
      <w:pPr>
        <w:pStyle w:val="NoSpacing"/>
        <w:spacing w:before="100" w:beforeAutospacing="1"/>
        <w:rPr>
          <w:rFonts w:ascii="Arial" w:hAnsi="Arial" w:cs="Arial"/>
          <w:vertAlign w:val="superscript"/>
        </w:rPr>
      </w:pPr>
    </w:p>
    <w:p w14:paraId="11B21399" w14:textId="5A6138F9" w:rsidR="00607E63" w:rsidRPr="003A5C3A" w:rsidRDefault="00356574" w:rsidP="003A5C3A">
      <w:pPr>
        <w:pStyle w:val="NoSpacing"/>
        <w:spacing w:before="100" w:beforeAutospacing="1"/>
        <w:rPr>
          <w:rFonts w:ascii="Arial" w:hAnsi="Arial" w:cs="Arial"/>
          <w:vertAlign w:val="superscript"/>
        </w:rPr>
      </w:pPr>
      <w:r w:rsidRPr="00167D47">
        <w:rPr>
          <w:rFonts w:ascii="Arial" w:hAnsi="Arial" w:cs="Arial"/>
          <w:b/>
        </w:rPr>
        <w:t>E</w:t>
      </w:r>
      <w:r w:rsidR="00E86315" w:rsidRPr="00167D47">
        <w:rPr>
          <w:rFonts w:ascii="Arial" w:hAnsi="Arial" w:cs="Arial"/>
          <w:b/>
        </w:rPr>
        <w:t xml:space="preserve">ffect of ethanol: </w:t>
      </w:r>
      <w:r w:rsidR="006435FF" w:rsidRPr="00167D47">
        <w:rPr>
          <w:rFonts w:ascii="Arial" w:hAnsi="Arial" w:cs="Arial"/>
          <w:b/>
        </w:rPr>
        <w:t>w</w:t>
      </w:r>
      <w:r w:rsidR="00E86315" w:rsidRPr="00167D47">
        <w:rPr>
          <w:rFonts w:ascii="Arial" w:hAnsi="Arial" w:cs="Arial"/>
          <w:b/>
        </w:rPr>
        <w:t>ater extract prepared using a</w:t>
      </w:r>
      <w:r w:rsidR="00113BAA" w:rsidRPr="00167D47">
        <w:rPr>
          <w:rFonts w:ascii="Arial" w:hAnsi="Arial" w:cs="Arial"/>
          <w:b/>
        </w:rPr>
        <w:t xml:space="preserve"> </w:t>
      </w:r>
      <w:r w:rsidR="00675CAA" w:rsidRPr="00167D47">
        <w:rPr>
          <w:rFonts w:ascii="Arial" w:hAnsi="Arial" w:cs="Arial"/>
          <w:b/>
        </w:rPr>
        <w:t>sonication</w:t>
      </w:r>
      <w:r w:rsidR="003A3179" w:rsidRPr="00167D47">
        <w:rPr>
          <w:rFonts w:ascii="Arial" w:hAnsi="Arial" w:cs="Arial"/>
          <w:b/>
        </w:rPr>
        <w:t>-</w:t>
      </w:r>
      <w:r w:rsidR="00675CAA" w:rsidRPr="00167D47">
        <w:rPr>
          <w:rFonts w:ascii="Arial" w:hAnsi="Arial" w:cs="Arial"/>
          <w:b/>
        </w:rPr>
        <w:t>based</w:t>
      </w:r>
      <w:r w:rsidR="00113BAA" w:rsidRPr="00167D47">
        <w:rPr>
          <w:rFonts w:ascii="Arial" w:hAnsi="Arial" w:cs="Arial"/>
          <w:b/>
        </w:rPr>
        <w:t xml:space="preserve"> extraction method</w:t>
      </w:r>
    </w:p>
    <w:p w14:paraId="6135BF32" w14:textId="4A2E0194" w:rsidR="00113BAA" w:rsidRDefault="00090F30" w:rsidP="00812EE7">
      <w:pPr>
        <w:spacing w:before="100" w:beforeAutospacing="1" w:after="0" w:line="240" w:lineRule="auto"/>
        <w:rPr>
          <w:rFonts w:ascii="Arial" w:hAnsi="Arial" w:cs="Arial"/>
          <w:sz w:val="20"/>
          <w:szCs w:val="20"/>
        </w:rPr>
      </w:pPr>
      <w:r w:rsidRPr="00812EE7">
        <w:rPr>
          <w:rFonts w:ascii="Arial" w:hAnsi="Arial" w:cs="Arial"/>
          <w:sz w:val="20"/>
          <w:szCs w:val="20"/>
        </w:rPr>
        <w:t>The wild type was found to have a mean lifespan of 20.04</w:t>
      </w:r>
      <w:r w:rsidR="0082509F" w:rsidRPr="00812EE7">
        <w:rPr>
          <w:rFonts w:ascii="Arial" w:hAnsi="Arial" w:cs="Arial"/>
          <w:sz w:val="20"/>
          <w:szCs w:val="20"/>
        </w:rPr>
        <w:t xml:space="preserve"> </w:t>
      </w:r>
      <w:r w:rsidRPr="00812EE7">
        <w:rPr>
          <w:rFonts w:ascii="Arial" w:hAnsi="Arial" w:cs="Arial"/>
          <w:sz w:val="20"/>
          <w:szCs w:val="20"/>
        </w:rPr>
        <w:t>±</w:t>
      </w:r>
      <w:r w:rsidR="0082509F" w:rsidRPr="00812EE7">
        <w:rPr>
          <w:rFonts w:ascii="Arial" w:hAnsi="Arial" w:cs="Arial"/>
          <w:sz w:val="20"/>
          <w:szCs w:val="20"/>
        </w:rPr>
        <w:t xml:space="preserve"> </w:t>
      </w:r>
      <w:r w:rsidRPr="00812EE7">
        <w:rPr>
          <w:rFonts w:ascii="Arial" w:hAnsi="Arial" w:cs="Arial"/>
          <w:sz w:val="20"/>
          <w:szCs w:val="20"/>
        </w:rPr>
        <w:t>1.1 days. The lifespans of the treated worms rose by 19.86</w:t>
      </w:r>
      <w:r w:rsidR="0082509F" w:rsidRPr="00812EE7">
        <w:rPr>
          <w:rFonts w:ascii="Arial" w:hAnsi="Arial" w:cs="Arial"/>
          <w:sz w:val="20"/>
          <w:szCs w:val="20"/>
        </w:rPr>
        <w:t xml:space="preserve"> </w:t>
      </w:r>
      <w:r w:rsidRPr="00812EE7">
        <w:rPr>
          <w:rFonts w:ascii="Arial" w:hAnsi="Arial" w:cs="Arial"/>
          <w:sz w:val="20"/>
          <w:szCs w:val="20"/>
        </w:rPr>
        <w:t>%,</w:t>
      </w:r>
      <w:r w:rsidR="0082509F" w:rsidRPr="00812EE7">
        <w:rPr>
          <w:rFonts w:ascii="Arial" w:hAnsi="Arial" w:cs="Arial"/>
          <w:sz w:val="20"/>
          <w:szCs w:val="20"/>
        </w:rPr>
        <w:t xml:space="preserve"> </w:t>
      </w:r>
      <w:r w:rsidRPr="00812EE7">
        <w:rPr>
          <w:rFonts w:ascii="Arial" w:hAnsi="Arial" w:cs="Arial"/>
          <w:sz w:val="20"/>
          <w:szCs w:val="20"/>
        </w:rPr>
        <w:t>20.30</w:t>
      </w:r>
      <w:r w:rsidR="0082509F" w:rsidRPr="00812EE7">
        <w:rPr>
          <w:rFonts w:ascii="Arial" w:hAnsi="Arial" w:cs="Arial"/>
          <w:sz w:val="20"/>
          <w:szCs w:val="20"/>
        </w:rPr>
        <w:t xml:space="preserve"> </w:t>
      </w:r>
      <w:r w:rsidRPr="00812EE7">
        <w:rPr>
          <w:rFonts w:ascii="Arial" w:hAnsi="Arial" w:cs="Arial"/>
          <w:sz w:val="20"/>
          <w:szCs w:val="20"/>
        </w:rPr>
        <w:t>%, and 35.22</w:t>
      </w:r>
      <w:r w:rsidR="0082509F" w:rsidRPr="00812EE7">
        <w:rPr>
          <w:rFonts w:ascii="Arial" w:hAnsi="Arial" w:cs="Arial"/>
          <w:sz w:val="20"/>
          <w:szCs w:val="20"/>
        </w:rPr>
        <w:t xml:space="preserve"> </w:t>
      </w:r>
      <w:r w:rsidRPr="00812EE7">
        <w:rPr>
          <w:rFonts w:ascii="Arial" w:hAnsi="Arial" w:cs="Arial"/>
          <w:sz w:val="20"/>
          <w:szCs w:val="20"/>
        </w:rPr>
        <w:t>% for the treatments of 0.01 mg/ml,</w:t>
      </w:r>
      <w:r w:rsidR="006435FF" w:rsidRPr="00812EE7">
        <w:rPr>
          <w:rFonts w:ascii="Arial" w:hAnsi="Arial" w:cs="Arial"/>
          <w:sz w:val="20"/>
          <w:szCs w:val="20"/>
        </w:rPr>
        <w:t xml:space="preserve"> </w:t>
      </w:r>
      <w:r w:rsidRPr="00812EE7">
        <w:rPr>
          <w:rFonts w:ascii="Arial" w:hAnsi="Arial" w:cs="Arial"/>
          <w:sz w:val="20"/>
          <w:szCs w:val="20"/>
        </w:rPr>
        <w:t xml:space="preserve">0.1 mg/ml, </w:t>
      </w:r>
      <w:r w:rsidR="00DA1F08" w:rsidRPr="00812EE7">
        <w:rPr>
          <w:rFonts w:ascii="Arial" w:hAnsi="Arial" w:cs="Arial"/>
          <w:sz w:val="20"/>
          <w:szCs w:val="20"/>
        </w:rPr>
        <w:t>&amp;</w:t>
      </w:r>
      <w:r w:rsidRPr="00812EE7">
        <w:rPr>
          <w:rFonts w:ascii="Arial" w:hAnsi="Arial" w:cs="Arial"/>
          <w:sz w:val="20"/>
          <w:szCs w:val="20"/>
        </w:rPr>
        <w:t xml:space="preserve"> 1 mg/ml, respectively (figure 5 Table </w:t>
      </w:r>
      <w:r w:rsidR="007F12C3" w:rsidRPr="00812EE7">
        <w:rPr>
          <w:rFonts w:ascii="Arial" w:hAnsi="Arial" w:cs="Arial"/>
          <w:sz w:val="20"/>
          <w:szCs w:val="20"/>
        </w:rPr>
        <w:t>4</w:t>
      </w:r>
      <w:r w:rsidRPr="00812EE7">
        <w:rPr>
          <w:rFonts w:ascii="Arial" w:hAnsi="Arial" w:cs="Arial"/>
          <w:sz w:val="20"/>
          <w:szCs w:val="20"/>
        </w:rPr>
        <w:t xml:space="preserve">). </w:t>
      </w:r>
    </w:p>
    <w:p w14:paraId="466D5644" w14:textId="77777777" w:rsidR="00DE5F4E" w:rsidRDefault="00DE5F4E" w:rsidP="00812EE7">
      <w:pPr>
        <w:spacing w:before="100" w:beforeAutospacing="1" w:after="0" w:line="240" w:lineRule="auto"/>
        <w:rPr>
          <w:rFonts w:ascii="Arial" w:hAnsi="Arial" w:cs="Arial"/>
          <w:sz w:val="20"/>
          <w:szCs w:val="20"/>
        </w:rPr>
      </w:pPr>
    </w:p>
    <w:p w14:paraId="6976036A" w14:textId="77777777" w:rsidR="00DE5F4E" w:rsidRPr="00812EE7" w:rsidRDefault="00DE5F4E" w:rsidP="00812EE7">
      <w:pPr>
        <w:spacing w:before="100" w:beforeAutospacing="1" w:after="0" w:line="240" w:lineRule="auto"/>
        <w:rPr>
          <w:rFonts w:ascii="Arial" w:hAnsi="Arial" w:cs="Arial"/>
          <w:sz w:val="20"/>
          <w:szCs w:val="20"/>
        </w:rPr>
      </w:pPr>
    </w:p>
    <w:p w14:paraId="00E35C24" w14:textId="55982606" w:rsidR="0082509F" w:rsidRPr="00376CD5" w:rsidRDefault="00DE5F4E" w:rsidP="00712C71">
      <w:pPr>
        <w:spacing w:before="100" w:beforeAutospacing="1" w:after="0" w:line="240" w:lineRule="auto"/>
        <w:jc w:val="both"/>
        <w:rPr>
          <w:rFonts w:ascii="Arial" w:hAnsi="Arial" w:cs="Arial"/>
          <w:sz w:val="24"/>
          <w:szCs w:val="24"/>
        </w:rPr>
      </w:pPr>
      <w:r w:rsidRPr="00376CD5">
        <w:rPr>
          <w:rFonts w:ascii="Arial" w:hAnsi="Arial" w:cs="Arial"/>
          <w:noProof/>
          <w:sz w:val="24"/>
          <w:szCs w:val="24"/>
        </w:rPr>
        <w:lastRenderedPageBreak/>
        <mc:AlternateContent>
          <mc:Choice Requires="wps">
            <w:drawing>
              <wp:anchor distT="0" distB="0" distL="114300" distR="114300" simplePos="0" relativeHeight="251676672" behindDoc="0" locked="0" layoutInCell="1" allowOverlap="1" wp14:anchorId="04E06C1E" wp14:editId="3A13F28F">
                <wp:simplePos x="0" y="0"/>
                <wp:positionH relativeFrom="margin">
                  <wp:align>left</wp:align>
                </wp:positionH>
                <wp:positionV relativeFrom="paragraph">
                  <wp:posOffset>171450</wp:posOffset>
                </wp:positionV>
                <wp:extent cx="5572125" cy="2990850"/>
                <wp:effectExtent l="0" t="0" r="28575" b="19050"/>
                <wp:wrapNone/>
                <wp:docPr id="39" name="Text Box 39"/>
                <wp:cNvGraphicFramePr/>
                <a:graphic xmlns:a="http://schemas.openxmlformats.org/drawingml/2006/main">
                  <a:graphicData uri="http://schemas.microsoft.com/office/word/2010/wordprocessingShape">
                    <wps:wsp>
                      <wps:cNvSpPr txBox="1"/>
                      <wps:spPr>
                        <a:xfrm>
                          <a:off x="0" y="0"/>
                          <a:ext cx="5572125" cy="2990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7B8A1D" w14:textId="77777777" w:rsidR="0082509F" w:rsidRPr="00812EE7" w:rsidRDefault="0082509F" w:rsidP="0082509F">
                            <w:pPr>
                              <w:jc w:val="center"/>
                              <w:rPr>
                                <w:rFonts w:ascii="Arial" w:hAnsi="Arial" w:cs="Arial"/>
                                <w:sz w:val="20"/>
                                <w:szCs w:val="20"/>
                              </w:rPr>
                            </w:pPr>
                            <w:r w:rsidRPr="00812EE7">
                              <w:rPr>
                                <w:rFonts w:ascii="Arial" w:hAnsi="Arial" w:cs="Arial"/>
                                <w:sz w:val="20"/>
                                <w:szCs w:val="20"/>
                              </w:rPr>
                              <w:t xml:space="preserve"> </w:t>
                            </w:r>
                            <w:r w:rsidRPr="00812EE7">
                              <w:rPr>
                                <w:rFonts w:ascii="Arial" w:hAnsi="Arial" w:cs="Arial"/>
                                <w:b/>
                                <w:sz w:val="20"/>
                                <w:szCs w:val="20"/>
                              </w:rPr>
                              <w:object w:dxaOrig="8806" w:dyaOrig="4471" w14:anchorId="3BB34C1B">
                                <v:shape id="_x0000_i1032" type="#_x0000_t75" style="width:297pt;height:151.5pt" o:ole="">
                                  <v:imagedata r:id="rId18" o:title=""/>
                                </v:shape>
                                <o:OLEObject Type="Embed" ProgID="Prism7.Document" ShapeID="_x0000_i1032" DrawAspect="Content" ObjectID="_1801920511" r:id="rId19"/>
                              </w:object>
                            </w:r>
                            <w:r w:rsidRPr="00812EE7">
                              <w:rPr>
                                <w:rFonts w:ascii="Arial" w:hAnsi="Arial" w:cs="Arial"/>
                                <w:sz w:val="20"/>
                                <w:szCs w:val="20"/>
                              </w:rPr>
                              <w:t xml:space="preserve">                             </w:t>
                            </w:r>
                          </w:p>
                          <w:p w14:paraId="666E605C" w14:textId="1FB1C9BD" w:rsidR="0082509F" w:rsidRPr="00812EE7" w:rsidRDefault="0082509F" w:rsidP="0082509F">
                            <w:pPr>
                              <w:spacing w:after="0" w:line="240" w:lineRule="exact"/>
                              <w:jc w:val="both"/>
                              <w:rPr>
                                <w:rFonts w:ascii="Arial" w:hAnsi="Arial" w:cs="Arial"/>
                                <w:sz w:val="20"/>
                                <w:szCs w:val="20"/>
                              </w:rPr>
                            </w:pPr>
                            <w:r w:rsidRPr="00812EE7">
                              <w:rPr>
                                <w:rFonts w:ascii="Arial" w:hAnsi="Arial" w:cs="Arial"/>
                                <w:b/>
                                <w:color w:val="000000" w:themeColor="text1"/>
                                <w:sz w:val="20"/>
                                <w:szCs w:val="20"/>
                              </w:rPr>
                              <w:t>Fig. 5</w:t>
                            </w:r>
                            <w:r w:rsidRPr="00812EE7">
                              <w:rPr>
                                <w:rFonts w:ascii="Arial" w:hAnsi="Arial" w:cs="Arial"/>
                                <w:color w:val="000000" w:themeColor="text1"/>
                                <w:sz w:val="20"/>
                                <w:szCs w:val="20"/>
                              </w:rPr>
                              <w:t xml:space="preserve">: The survival curve showed the effect of ethanol:water extract of </w:t>
                            </w:r>
                            <w:r w:rsidRPr="00812EE7">
                              <w:rPr>
                                <w:rFonts w:ascii="Arial" w:hAnsi="Arial" w:cs="Arial"/>
                                <w:i/>
                                <w:color w:val="000000" w:themeColor="text1"/>
                                <w:sz w:val="20"/>
                                <w:szCs w:val="20"/>
                              </w:rPr>
                              <w:t>C.roseus</w:t>
                            </w:r>
                            <w:r w:rsidRPr="00812EE7">
                              <w:rPr>
                                <w:rFonts w:ascii="Arial" w:hAnsi="Arial" w:cs="Arial"/>
                                <w:color w:val="000000" w:themeColor="text1"/>
                                <w:sz w:val="20"/>
                                <w:szCs w:val="20"/>
                              </w:rPr>
                              <w:t xml:space="preserve"> prepared by sonication based extraction method. The Kaplan-Meier technique was used to plot the survival curve, and Log-Rank (Mentel-Cox analysis) was used for analysis. </w:t>
                            </w:r>
                            <w:r w:rsidRPr="00812EE7">
                              <w:rPr>
                                <w:rFonts w:ascii="Arial" w:hAnsi="Arial" w:cs="Arial"/>
                                <w:i/>
                                <w:color w:val="000000" w:themeColor="text1"/>
                                <w:sz w:val="20"/>
                                <w:szCs w:val="20"/>
                              </w:rPr>
                              <w:t>C.roseus</w:t>
                            </w:r>
                            <w:r w:rsidRPr="00812EE7">
                              <w:rPr>
                                <w:rFonts w:ascii="Arial" w:hAnsi="Arial" w:cs="Arial"/>
                                <w:color w:val="000000" w:themeColor="text1"/>
                                <w:sz w:val="20"/>
                                <w:szCs w:val="20"/>
                              </w:rPr>
                              <w:t xml:space="preserve"> treated worms showed an </w:t>
                            </w:r>
                            <w:r w:rsidRPr="00812EE7">
                              <w:rPr>
                                <w:rFonts w:ascii="Arial" w:hAnsi="Arial" w:cs="Arial"/>
                                <w:noProof/>
                                <w:color w:val="000000" w:themeColor="text1"/>
                                <w:sz w:val="20"/>
                                <w:szCs w:val="20"/>
                              </w:rPr>
                              <w:t>increase</w:t>
                            </w:r>
                            <w:r w:rsidRPr="00812EE7">
                              <w:rPr>
                                <w:rFonts w:ascii="Arial" w:hAnsi="Arial" w:cs="Arial"/>
                                <w:color w:val="000000" w:themeColor="text1"/>
                                <w:sz w:val="20"/>
                                <w:szCs w:val="20"/>
                              </w:rPr>
                              <w:t xml:space="preserve"> in </w:t>
                            </w:r>
                            <w:r w:rsidRPr="00812EE7">
                              <w:rPr>
                                <w:rFonts w:ascii="Arial" w:hAnsi="Arial" w:cs="Arial"/>
                                <w:noProof/>
                                <w:color w:val="000000" w:themeColor="text1"/>
                                <w:sz w:val="20"/>
                                <w:szCs w:val="20"/>
                              </w:rPr>
                              <w:t>lifespan</w:t>
                            </w:r>
                            <w:r w:rsidRPr="00812EE7">
                              <w:rPr>
                                <w:rFonts w:ascii="Arial" w:hAnsi="Arial" w:cs="Arial"/>
                                <w:color w:val="000000" w:themeColor="text1"/>
                                <w:sz w:val="20"/>
                                <w:szCs w:val="20"/>
                              </w:rPr>
                              <w:t xml:space="preserve"> dose dependent manner at all concentrations tested. </w:t>
                            </w:r>
                            <w:r w:rsidRPr="00812EE7">
                              <w:rPr>
                                <w:rFonts w:ascii="Arial" w:hAnsi="Arial" w:cs="Arial"/>
                                <w:color w:val="131413"/>
                                <w:sz w:val="20"/>
                                <w:szCs w:val="20"/>
                              </w:rPr>
                              <w:t xml:space="preserve">Table </w:t>
                            </w:r>
                            <w:r w:rsidR="007F12C3" w:rsidRPr="00812EE7">
                              <w:rPr>
                                <w:rFonts w:ascii="Arial" w:hAnsi="Arial" w:cs="Arial"/>
                                <w:color w:val="131413"/>
                                <w:sz w:val="20"/>
                                <w:szCs w:val="20"/>
                              </w:rPr>
                              <w:t>4</w:t>
                            </w:r>
                            <w:r w:rsidRPr="00812EE7">
                              <w:rPr>
                                <w:rFonts w:ascii="Arial" w:hAnsi="Arial" w:cs="Arial"/>
                                <w:color w:val="131413"/>
                                <w:sz w:val="20"/>
                                <w:szCs w:val="20"/>
                              </w:rPr>
                              <w:t xml:space="preserve"> contains quantitative information and statistical analyses for the typical studies.</w:t>
                            </w:r>
                          </w:p>
                          <w:p w14:paraId="3373A3DB" w14:textId="77777777" w:rsidR="0082509F" w:rsidRPr="00613BEC" w:rsidRDefault="0082509F" w:rsidP="0082509F">
                            <w:pPr>
                              <w:spacing w:after="0" w:line="240" w:lineRule="exact"/>
                              <w:jc w:val="both"/>
                              <w:rPr>
                                <w:rFonts w:ascii="Times New Roman" w:hAnsi="Times New Roman" w:cs="Times New Roman"/>
                                <w:sz w:val="20"/>
                                <w:szCs w:val="20"/>
                              </w:rPr>
                            </w:pPr>
                            <w:r w:rsidRPr="00613BEC">
                              <w:rPr>
                                <w:rFonts w:ascii="Times New Roman" w:hAnsi="Times New Roman" w:cs="Times New Roman"/>
                                <w:color w:val="131413"/>
                                <w:sz w:val="20"/>
                                <w:szCs w:val="20"/>
                              </w:rPr>
                              <w:t>.</w:t>
                            </w:r>
                          </w:p>
                          <w:p w14:paraId="7661DAC0" w14:textId="77777777" w:rsidR="0082509F" w:rsidRPr="00613BEC" w:rsidRDefault="0082509F" w:rsidP="0082509F">
                            <w:pPr>
                              <w:jc w:val="both"/>
                              <w:rPr>
                                <w:rFonts w:ascii="Times New Roman" w:hAnsi="Times New Roman" w:cs="Times New Roman"/>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06C1E" id="Text Box 39" o:spid="_x0000_s1027" type="#_x0000_t202" style="position:absolute;left:0;text-align:left;margin-left:0;margin-top:13.5pt;width:438.75pt;height:235.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" fillcolor="white [3201]" strokeweight=".5pt">
                <v:textbox>
                  <w:txbxContent>
                    <w:p w14:paraId="687B8A1D" w14:textId="77777777" w:rsidR="0082509F" w:rsidRPr="00812EE7" w:rsidRDefault="0082509F" w:rsidP="0082509F">
                      <w:pPr>
                        <w:jc w:val="center"/>
                        <w:rPr>
                          <w:rFonts w:ascii="Arial" w:hAnsi="Arial" w:cs="Arial"/>
                          <w:sz w:val="20"/>
                          <w:szCs w:val="20"/>
                        </w:rPr>
                      </w:pPr>
                      <w:r w:rsidRPr="00812EE7">
                        <w:rPr>
                          <w:rFonts w:ascii="Arial" w:hAnsi="Arial" w:cs="Arial"/>
                          <w:sz w:val="20"/>
                          <w:szCs w:val="20"/>
                        </w:rPr>
                        <w:t xml:space="preserve"> </w:t>
                      </w:r>
                      <w:r w:rsidRPr="00812EE7">
                        <w:rPr>
                          <w:rFonts w:ascii="Arial" w:hAnsi="Arial" w:cs="Arial"/>
                          <w:b/>
                          <w:sz w:val="20"/>
                          <w:szCs w:val="20"/>
                        </w:rPr>
                        <w:object w:dxaOrig="8806" w:dyaOrig="4471" w14:anchorId="3BB34C1B">
                          <v:shape id="_x0000_i1032" type="#_x0000_t75" style="width:297pt;height:151.5pt" o:ole="">
                            <v:imagedata r:id="rId18" o:title=""/>
                          </v:shape>
                          <o:OLEObject Type="Embed" ProgID="Prism7.Document" ShapeID="_x0000_i1032" DrawAspect="Content" ObjectID="_1801920511" r:id="rId20"/>
                        </w:object>
                      </w:r>
                      <w:r w:rsidRPr="00812EE7">
                        <w:rPr>
                          <w:rFonts w:ascii="Arial" w:hAnsi="Arial" w:cs="Arial"/>
                          <w:sz w:val="20"/>
                          <w:szCs w:val="20"/>
                        </w:rPr>
                        <w:t xml:space="preserve">                             </w:t>
                      </w:r>
                    </w:p>
                    <w:p w14:paraId="666E605C" w14:textId="1FB1C9BD" w:rsidR="0082509F" w:rsidRPr="00812EE7" w:rsidRDefault="0082509F" w:rsidP="0082509F">
                      <w:pPr>
                        <w:spacing w:after="0" w:line="240" w:lineRule="exact"/>
                        <w:jc w:val="both"/>
                        <w:rPr>
                          <w:rFonts w:ascii="Arial" w:hAnsi="Arial" w:cs="Arial"/>
                          <w:sz w:val="20"/>
                          <w:szCs w:val="20"/>
                        </w:rPr>
                      </w:pPr>
                      <w:r w:rsidRPr="00812EE7">
                        <w:rPr>
                          <w:rFonts w:ascii="Arial" w:hAnsi="Arial" w:cs="Arial"/>
                          <w:b/>
                          <w:color w:val="000000" w:themeColor="text1"/>
                          <w:sz w:val="20"/>
                          <w:szCs w:val="20"/>
                        </w:rPr>
                        <w:t>Fig. 5</w:t>
                      </w:r>
                      <w:r w:rsidRPr="00812EE7">
                        <w:rPr>
                          <w:rFonts w:ascii="Arial" w:hAnsi="Arial" w:cs="Arial"/>
                          <w:color w:val="000000" w:themeColor="text1"/>
                          <w:sz w:val="20"/>
                          <w:szCs w:val="20"/>
                        </w:rPr>
                        <w:t xml:space="preserve">: The survival curve showed the effect of ethanol:water extract of </w:t>
                      </w:r>
                      <w:r w:rsidRPr="00812EE7">
                        <w:rPr>
                          <w:rFonts w:ascii="Arial" w:hAnsi="Arial" w:cs="Arial"/>
                          <w:i/>
                          <w:color w:val="000000" w:themeColor="text1"/>
                          <w:sz w:val="20"/>
                          <w:szCs w:val="20"/>
                        </w:rPr>
                        <w:t>C.roseus</w:t>
                      </w:r>
                      <w:r w:rsidRPr="00812EE7">
                        <w:rPr>
                          <w:rFonts w:ascii="Arial" w:hAnsi="Arial" w:cs="Arial"/>
                          <w:color w:val="000000" w:themeColor="text1"/>
                          <w:sz w:val="20"/>
                          <w:szCs w:val="20"/>
                        </w:rPr>
                        <w:t xml:space="preserve"> prepared by sonication based extraction method. The Kaplan-Meier technique was used to plot the survival curve, and Log-Rank (Mentel-Cox analysis) was used for analysis. </w:t>
                      </w:r>
                      <w:r w:rsidRPr="00812EE7">
                        <w:rPr>
                          <w:rFonts w:ascii="Arial" w:hAnsi="Arial" w:cs="Arial"/>
                          <w:i/>
                          <w:color w:val="000000" w:themeColor="text1"/>
                          <w:sz w:val="20"/>
                          <w:szCs w:val="20"/>
                        </w:rPr>
                        <w:t>C.roseus</w:t>
                      </w:r>
                      <w:r w:rsidRPr="00812EE7">
                        <w:rPr>
                          <w:rFonts w:ascii="Arial" w:hAnsi="Arial" w:cs="Arial"/>
                          <w:color w:val="000000" w:themeColor="text1"/>
                          <w:sz w:val="20"/>
                          <w:szCs w:val="20"/>
                        </w:rPr>
                        <w:t xml:space="preserve"> treated worms showed an </w:t>
                      </w:r>
                      <w:r w:rsidRPr="00812EE7">
                        <w:rPr>
                          <w:rFonts w:ascii="Arial" w:hAnsi="Arial" w:cs="Arial"/>
                          <w:noProof/>
                          <w:color w:val="000000" w:themeColor="text1"/>
                          <w:sz w:val="20"/>
                          <w:szCs w:val="20"/>
                        </w:rPr>
                        <w:t>increase</w:t>
                      </w:r>
                      <w:r w:rsidRPr="00812EE7">
                        <w:rPr>
                          <w:rFonts w:ascii="Arial" w:hAnsi="Arial" w:cs="Arial"/>
                          <w:color w:val="000000" w:themeColor="text1"/>
                          <w:sz w:val="20"/>
                          <w:szCs w:val="20"/>
                        </w:rPr>
                        <w:t xml:space="preserve"> in </w:t>
                      </w:r>
                      <w:r w:rsidRPr="00812EE7">
                        <w:rPr>
                          <w:rFonts w:ascii="Arial" w:hAnsi="Arial" w:cs="Arial"/>
                          <w:noProof/>
                          <w:color w:val="000000" w:themeColor="text1"/>
                          <w:sz w:val="20"/>
                          <w:szCs w:val="20"/>
                        </w:rPr>
                        <w:t>lifespan</w:t>
                      </w:r>
                      <w:r w:rsidRPr="00812EE7">
                        <w:rPr>
                          <w:rFonts w:ascii="Arial" w:hAnsi="Arial" w:cs="Arial"/>
                          <w:color w:val="000000" w:themeColor="text1"/>
                          <w:sz w:val="20"/>
                          <w:szCs w:val="20"/>
                        </w:rPr>
                        <w:t xml:space="preserve"> dose dependent manner at all concentrations tested. </w:t>
                      </w:r>
                      <w:r w:rsidRPr="00812EE7">
                        <w:rPr>
                          <w:rFonts w:ascii="Arial" w:hAnsi="Arial" w:cs="Arial"/>
                          <w:color w:val="131413"/>
                          <w:sz w:val="20"/>
                          <w:szCs w:val="20"/>
                        </w:rPr>
                        <w:t xml:space="preserve">Table </w:t>
                      </w:r>
                      <w:r w:rsidR="007F12C3" w:rsidRPr="00812EE7">
                        <w:rPr>
                          <w:rFonts w:ascii="Arial" w:hAnsi="Arial" w:cs="Arial"/>
                          <w:color w:val="131413"/>
                          <w:sz w:val="20"/>
                          <w:szCs w:val="20"/>
                        </w:rPr>
                        <w:t>4</w:t>
                      </w:r>
                      <w:r w:rsidRPr="00812EE7">
                        <w:rPr>
                          <w:rFonts w:ascii="Arial" w:hAnsi="Arial" w:cs="Arial"/>
                          <w:color w:val="131413"/>
                          <w:sz w:val="20"/>
                          <w:szCs w:val="20"/>
                        </w:rPr>
                        <w:t xml:space="preserve"> contains quantitative information and statistical analyses for the typical studies.</w:t>
                      </w:r>
                    </w:p>
                    <w:p w14:paraId="3373A3DB" w14:textId="77777777" w:rsidR="0082509F" w:rsidRPr="00613BEC" w:rsidRDefault="0082509F" w:rsidP="0082509F">
                      <w:pPr>
                        <w:spacing w:after="0" w:line="240" w:lineRule="exact"/>
                        <w:jc w:val="both"/>
                        <w:rPr>
                          <w:rFonts w:ascii="Times New Roman" w:hAnsi="Times New Roman" w:cs="Times New Roman"/>
                          <w:sz w:val="20"/>
                          <w:szCs w:val="20"/>
                        </w:rPr>
                      </w:pPr>
                      <w:r w:rsidRPr="00613BEC">
                        <w:rPr>
                          <w:rFonts w:ascii="Times New Roman" w:hAnsi="Times New Roman" w:cs="Times New Roman"/>
                          <w:color w:val="131413"/>
                          <w:sz w:val="20"/>
                          <w:szCs w:val="20"/>
                        </w:rPr>
                        <w:t>.</w:t>
                      </w:r>
                    </w:p>
                    <w:p w14:paraId="7661DAC0" w14:textId="77777777" w:rsidR="0082509F" w:rsidRPr="00613BEC" w:rsidRDefault="0082509F" w:rsidP="0082509F">
                      <w:pPr>
                        <w:jc w:val="both"/>
                        <w:rPr>
                          <w:rFonts w:ascii="Times New Roman" w:hAnsi="Times New Roman" w:cs="Times New Roman"/>
                          <w:b/>
                          <w:sz w:val="20"/>
                          <w:szCs w:val="20"/>
                        </w:rPr>
                      </w:pPr>
                    </w:p>
                  </w:txbxContent>
                </v:textbox>
                <w10:wrap anchorx="margin"/>
              </v:shape>
            </w:pict>
          </mc:Fallback>
        </mc:AlternateContent>
      </w:r>
    </w:p>
    <w:p w14:paraId="0238FB39" w14:textId="7186A5EB" w:rsidR="0082509F" w:rsidRPr="00376CD5" w:rsidRDefault="0082509F" w:rsidP="00712C71">
      <w:pPr>
        <w:spacing w:before="100" w:beforeAutospacing="1" w:after="0" w:line="240" w:lineRule="auto"/>
        <w:jc w:val="both"/>
        <w:rPr>
          <w:rFonts w:ascii="Arial" w:hAnsi="Arial" w:cs="Arial"/>
          <w:sz w:val="24"/>
          <w:szCs w:val="24"/>
        </w:rPr>
      </w:pPr>
    </w:p>
    <w:p w14:paraId="4A720789" w14:textId="77777777" w:rsidR="0082509F" w:rsidRPr="00376CD5" w:rsidRDefault="0082509F" w:rsidP="00712C71">
      <w:pPr>
        <w:spacing w:before="100" w:beforeAutospacing="1" w:after="0" w:line="240" w:lineRule="auto"/>
        <w:jc w:val="both"/>
        <w:rPr>
          <w:rFonts w:ascii="Arial" w:hAnsi="Arial" w:cs="Arial"/>
          <w:sz w:val="24"/>
          <w:szCs w:val="24"/>
        </w:rPr>
      </w:pPr>
    </w:p>
    <w:p w14:paraId="140A84E6" w14:textId="77777777" w:rsidR="00DE5F4E" w:rsidRDefault="00DE5F4E" w:rsidP="00A5476B">
      <w:pPr>
        <w:pStyle w:val="Paragraph"/>
      </w:pPr>
    </w:p>
    <w:p w14:paraId="2399C406" w14:textId="77777777" w:rsidR="00DE5F4E" w:rsidRDefault="00DE5F4E" w:rsidP="00A5476B">
      <w:pPr>
        <w:pStyle w:val="Paragraph"/>
      </w:pPr>
    </w:p>
    <w:p w14:paraId="6DACFD0B" w14:textId="77777777" w:rsidR="00DE5F4E" w:rsidRDefault="00DE5F4E" w:rsidP="00A5476B">
      <w:pPr>
        <w:pStyle w:val="Paragraph"/>
      </w:pPr>
    </w:p>
    <w:p w14:paraId="73BCF430" w14:textId="77777777" w:rsidR="00DE5F4E" w:rsidRDefault="00DE5F4E" w:rsidP="00A5476B">
      <w:pPr>
        <w:pStyle w:val="Paragraph"/>
      </w:pPr>
    </w:p>
    <w:p w14:paraId="72CB2732" w14:textId="77777777" w:rsidR="00DE5F4E" w:rsidRDefault="00DE5F4E" w:rsidP="00A5476B">
      <w:pPr>
        <w:pStyle w:val="Paragraph"/>
      </w:pPr>
    </w:p>
    <w:p w14:paraId="55511241" w14:textId="77777777" w:rsidR="00DE5F4E" w:rsidRDefault="00DE5F4E" w:rsidP="00A5476B">
      <w:pPr>
        <w:pStyle w:val="Paragraph"/>
      </w:pPr>
    </w:p>
    <w:p w14:paraId="0B13ADD0" w14:textId="77777777" w:rsidR="00DE5F4E" w:rsidRDefault="00DE5F4E" w:rsidP="00A5476B">
      <w:pPr>
        <w:pStyle w:val="Paragraph"/>
      </w:pPr>
    </w:p>
    <w:p w14:paraId="747DF080" w14:textId="77777777" w:rsidR="00DE5F4E" w:rsidRDefault="00DE5F4E" w:rsidP="00A5476B">
      <w:pPr>
        <w:pStyle w:val="Paragraph"/>
      </w:pPr>
    </w:p>
    <w:p w14:paraId="0FF18DE2" w14:textId="35616574" w:rsidR="00564E01" w:rsidRPr="00376CD5" w:rsidRDefault="0082509F" w:rsidP="00A5476B">
      <w:pPr>
        <w:pStyle w:val="Paragraph"/>
      </w:pPr>
      <w:r w:rsidRPr="00376CD5">
        <w:t xml:space="preserve">Table </w:t>
      </w:r>
      <w:r w:rsidR="00704EC9" w:rsidRPr="00376CD5">
        <w:t>4</w:t>
      </w:r>
      <w:r w:rsidRPr="00376CD5">
        <w:t xml:space="preserve">: Effect of </w:t>
      </w:r>
      <w:r w:rsidRPr="00376CD5">
        <w:rPr>
          <w:i/>
        </w:rPr>
        <w:t>C. roseus</w:t>
      </w:r>
      <w:r w:rsidRPr="00376CD5">
        <w:t xml:space="preserve"> ethanol: water extract prepared by sonication-based extraction method on the lifespan of </w:t>
      </w:r>
      <w:r w:rsidRPr="00376CD5">
        <w:rPr>
          <w:i/>
          <w:iCs/>
        </w:rPr>
        <w:t>C. elegans</w:t>
      </w:r>
      <w:r w:rsidRPr="00376CD5">
        <w:t xml:space="preserve"> N2(variety Bristol) worms.</w:t>
      </w:r>
    </w:p>
    <w:p w14:paraId="3DD94043" w14:textId="77777777" w:rsidR="004F7341" w:rsidRPr="00376CD5" w:rsidRDefault="004F7341" w:rsidP="00A5476B">
      <w:pPr>
        <w:pStyle w:val="Paragraph"/>
      </w:pPr>
    </w:p>
    <w:tbl>
      <w:tblPr>
        <w:tblStyle w:val="TableGrid"/>
        <w:tblW w:w="6996" w:type="dxa"/>
        <w:tblLook w:val="04A0" w:firstRow="1" w:lastRow="0" w:firstColumn="1" w:lastColumn="0" w:noHBand="0" w:noVBand="1"/>
      </w:tblPr>
      <w:tblGrid>
        <w:gridCol w:w="2178"/>
        <w:gridCol w:w="1251"/>
        <w:gridCol w:w="1821"/>
        <w:gridCol w:w="1746"/>
      </w:tblGrid>
      <w:tr w:rsidR="0082509F" w:rsidRPr="00376CD5" w14:paraId="4BA39998" w14:textId="77777777" w:rsidTr="007147D9">
        <w:trPr>
          <w:trHeight w:val="295"/>
        </w:trPr>
        <w:tc>
          <w:tcPr>
            <w:tcW w:w="2178" w:type="dxa"/>
            <w:noWrap/>
            <w:hideMark/>
          </w:tcPr>
          <w:p w14:paraId="4DB6E384" w14:textId="77777777" w:rsidR="0082509F" w:rsidRPr="00376CD5" w:rsidRDefault="0082509F" w:rsidP="00EF7184">
            <w:pPr>
              <w:spacing w:before="100" w:beforeAutospacing="1" w:line="480" w:lineRule="auto"/>
              <w:jc w:val="both"/>
              <w:rPr>
                <w:rFonts w:ascii="Arial" w:eastAsia="Times New Roman" w:hAnsi="Arial" w:cs="Arial"/>
                <w:sz w:val="24"/>
                <w:szCs w:val="24"/>
              </w:rPr>
            </w:pPr>
          </w:p>
        </w:tc>
        <w:tc>
          <w:tcPr>
            <w:tcW w:w="1251" w:type="dxa"/>
            <w:noWrap/>
            <w:hideMark/>
          </w:tcPr>
          <w:p w14:paraId="7C432274" w14:textId="77777777" w:rsidR="0082509F" w:rsidRPr="00376CD5" w:rsidRDefault="0082509F" w:rsidP="00EF7184">
            <w:pPr>
              <w:spacing w:before="100" w:beforeAutospacing="1" w:line="480" w:lineRule="auto"/>
              <w:jc w:val="both"/>
              <w:rPr>
                <w:rFonts w:ascii="Arial" w:eastAsia="Times New Roman" w:hAnsi="Arial" w:cs="Arial"/>
                <w:sz w:val="24"/>
                <w:szCs w:val="24"/>
              </w:rPr>
            </w:pPr>
            <w:r w:rsidRPr="00376CD5">
              <w:rPr>
                <w:rFonts w:ascii="Arial" w:eastAsia="Times New Roman" w:hAnsi="Arial" w:cs="Arial"/>
                <w:sz w:val="24"/>
                <w:szCs w:val="24"/>
              </w:rPr>
              <w:t xml:space="preserve">No. of </w:t>
            </w:r>
            <w:proofErr w:type="spellStart"/>
            <w:proofErr w:type="gramStart"/>
            <w:r w:rsidRPr="00376CD5">
              <w:rPr>
                <w:rFonts w:ascii="Arial" w:eastAsia="Times New Roman" w:hAnsi="Arial" w:cs="Arial"/>
                <w:sz w:val="24"/>
                <w:szCs w:val="24"/>
              </w:rPr>
              <w:t>worms,n</w:t>
            </w:r>
            <w:proofErr w:type="spellEnd"/>
            <w:proofErr w:type="gramEnd"/>
            <w:r w:rsidRPr="00376CD5">
              <w:rPr>
                <w:rFonts w:ascii="Arial" w:eastAsia="Times New Roman" w:hAnsi="Arial" w:cs="Arial"/>
                <w:sz w:val="24"/>
                <w:szCs w:val="24"/>
              </w:rPr>
              <w:t>*</w:t>
            </w:r>
          </w:p>
        </w:tc>
        <w:tc>
          <w:tcPr>
            <w:tcW w:w="1821" w:type="dxa"/>
            <w:noWrap/>
            <w:hideMark/>
          </w:tcPr>
          <w:p w14:paraId="368DC4BC" w14:textId="61A93675" w:rsidR="0082509F" w:rsidRPr="00376CD5" w:rsidRDefault="0082509F" w:rsidP="00EF7184">
            <w:pPr>
              <w:spacing w:before="100" w:beforeAutospacing="1" w:line="480" w:lineRule="auto"/>
              <w:jc w:val="both"/>
              <w:rPr>
                <w:rFonts w:ascii="Arial" w:eastAsia="Times New Roman" w:hAnsi="Arial" w:cs="Arial"/>
                <w:sz w:val="24"/>
                <w:szCs w:val="24"/>
              </w:rPr>
            </w:pPr>
            <w:r w:rsidRPr="00376CD5">
              <w:rPr>
                <w:rFonts w:ascii="Arial" w:eastAsia="Times New Roman" w:hAnsi="Arial" w:cs="Arial"/>
                <w:sz w:val="24"/>
                <w:szCs w:val="24"/>
              </w:rPr>
              <w:t>Mean life span</w:t>
            </w:r>
            <w:r w:rsidR="00B35D34" w:rsidRPr="00376CD5">
              <w:rPr>
                <w:rFonts w:ascii="Arial" w:eastAsia="Times New Roman" w:hAnsi="Arial" w:cs="Arial"/>
                <w:sz w:val="24"/>
                <w:szCs w:val="24"/>
              </w:rPr>
              <w:t xml:space="preserve"> </w:t>
            </w:r>
            <w:r w:rsidRPr="00376CD5">
              <w:rPr>
                <w:rFonts w:ascii="Arial" w:eastAsia="Times New Roman" w:hAnsi="Arial" w:cs="Arial"/>
                <w:sz w:val="24"/>
                <w:szCs w:val="24"/>
              </w:rPr>
              <w:t>± S.E.(Days)</w:t>
            </w:r>
          </w:p>
        </w:tc>
        <w:tc>
          <w:tcPr>
            <w:tcW w:w="1746" w:type="dxa"/>
            <w:noWrap/>
            <w:hideMark/>
          </w:tcPr>
          <w:p w14:paraId="77C13F3A" w14:textId="77777777" w:rsidR="0082509F" w:rsidRPr="00376CD5" w:rsidRDefault="0082509F" w:rsidP="00EF7184">
            <w:pPr>
              <w:spacing w:before="100" w:beforeAutospacing="1" w:line="480" w:lineRule="auto"/>
              <w:jc w:val="both"/>
              <w:rPr>
                <w:rFonts w:ascii="Arial" w:eastAsia="Times New Roman" w:hAnsi="Arial" w:cs="Arial"/>
                <w:sz w:val="24"/>
                <w:szCs w:val="24"/>
              </w:rPr>
            </w:pPr>
            <w:r w:rsidRPr="00376CD5">
              <w:rPr>
                <w:rFonts w:ascii="Arial" w:eastAsia="Times New Roman" w:hAnsi="Arial" w:cs="Arial"/>
                <w:i/>
                <w:sz w:val="24"/>
                <w:szCs w:val="24"/>
              </w:rPr>
              <w:t>P</w:t>
            </w:r>
            <w:r w:rsidRPr="00376CD5">
              <w:rPr>
                <w:rFonts w:ascii="Arial" w:eastAsia="Times New Roman" w:hAnsi="Arial" w:cs="Arial"/>
                <w:sz w:val="24"/>
                <w:szCs w:val="24"/>
              </w:rPr>
              <w:t xml:space="preserve"> value V/S control</w:t>
            </w:r>
          </w:p>
        </w:tc>
      </w:tr>
      <w:tr w:rsidR="0082509F" w:rsidRPr="00376CD5" w14:paraId="33E1DEE8" w14:textId="77777777" w:rsidTr="007147D9">
        <w:trPr>
          <w:trHeight w:val="295"/>
        </w:trPr>
        <w:tc>
          <w:tcPr>
            <w:tcW w:w="2178" w:type="dxa"/>
            <w:noWrap/>
            <w:hideMark/>
          </w:tcPr>
          <w:p w14:paraId="5E482A11" w14:textId="77777777" w:rsidR="0082509F" w:rsidRPr="00376CD5" w:rsidRDefault="0082509F" w:rsidP="00EF7184">
            <w:pPr>
              <w:spacing w:before="100" w:beforeAutospacing="1" w:line="480" w:lineRule="auto"/>
              <w:jc w:val="both"/>
              <w:rPr>
                <w:rFonts w:ascii="Arial" w:eastAsia="Times New Roman" w:hAnsi="Arial" w:cs="Arial"/>
                <w:sz w:val="24"/>
                <w:szCs w:val="24"/>
              </w:rPr>
            </w:pPr>
            <w:r w:rsidRPr="00376CD5">
              <w:rPr>
                <w:rFonts w:ascii="Arial" w:eastAsia="Times New Roman" w:hAnsi="Arial" w:cs="Arial"/>
                <w:sz w:val="24"/>
                <w:szCs w:val="24"/>
              </w:rPr>
              <w:t>Control</w:t>
            </w:r>
          </w:p>
        </w:tc>
        <w:tc>
          <w:tcPr>
            <w:tcW w:w="1251" w:type="dxa"/>
            <w:noWrap/>
            <w:hideMark/>
          </w:tcPr>
          <w:p w14:paraId="1182C3D1" w14:textId="77777777" w:rsidR="0082509F" w:rsidRPr="00376CD5" w:rsidRDefault="0082509F" w:rsidP="00EF7184">
            <w:pPr>
              <w:spacing w:before="100" w:beforeAutospacing="1" w:line="480" w:lineRule="auto"/>
              <w:jc w:val="both"/>
              <w:rPr>
                <w:rFonts w:ascii="Arial" w:eastAsia="Times New Roman" w:hAnsi="Arial" w:cs="Arial"/>
                <w:sz w:val="24"/>
                <w:szCs w:val="24"/>
              </w:rPr>
            </w:pPr>
            <w:r w:rsidRPr="00376CD5">
              <w:rPr>
                <w:rFonts w:ascii="Arial" w:eastAsia="Times New Roman" w:hAnsi="Arial" w:cs="Arial"/>
                <w:sz w:val="24"/>
                <w:szCs w:val="24"/>
              </w:rPr>
              <w:t>144</w:t>
            </w:r>
          </w:p>
        </w:tc>
        <w:tc>
          <w:tcPr>
            <w:tcW w:w="1821" w:type="dxa"/>
            <w:noWrap/>
            <w:hideMark/>
          </w:tcPr>
          <w:p w14:paraId="609EE325" w14:textId="77777777" w:rsidR="0082509F" w:rsidRPr="00376CD5" w:rsidRDefault="0082509F" w:rsidP="00EF7184">
            <w:pPr>
              <w:spacing w:before="100" w:beforeAutospacing="1" w:line="480" w:lineRule="auto"/>
              <w:jc w:val="both"/>
              <w:rPr>
                <w:rFonts w:ascii="Arial" w:eastAsia="Times New Roman" w:hAnsi="Arial" w:cs="Arial"/>
                <w:sz w:val="24"/>
                <w:szCs w:val="24"/>
              </w:rPr>
            </w:pPr>
            <w:r w:rsidRPr="00376CD5">
              <w:rPr>
                <w:rFonts w:ascii="Arial" w:eastAsia="Times New Roman" w:hAnsi="Arial" w:cs="Arial"/>
                <w:sz w:val="24"/>
                <w:szCs w:val="24"/>
              </w:rPr>
              <w:t>20.04 ± 1.1</w:t>
            </w:r>
          </w:p>
        </w:tc>
        <w:tc>
          <w:tcPr>
            <w:tcW w:w="1746" w:type="dxa"/>
            <w:noWrap/>
            <w:hideMark/>
          </w:tcPr>
          <w:p w14:paraId="4A7CE173" w14:textId="77777777" w:rsidR="0082509F" w:rsidRPr="00376CD5" w:rsidRDefault="0082509F" w:rsidP="00EF7184">
            <w:pPr>
              <w:spacing w:before="100" w:beforeAutospacing="1" w:line="480" w:lineRule="auto"/>
              <w:jc w:val="both"/>
              <w:rPr>
                <w:rFonts w:ascii="Arial" w:eastAsia="Times New Roman" w:hAnsi="Arial" w:cs="Arial"/>
                <w:sz w:val="24"/>
                <w:szCs w:val="24"/>
              </w:rPr>
            </w:pPr>
          </w:p>
        </w:tc>
      </w:tr>
      <w:tr w:rsidR="0082509F" w:rsidRPr="00376CD5" w14:paraId="51453FD3" w14:textId="77777777" w:rsidTr="007147D9">
        <w:trPr>
          <w:trHeight w:val="295"/>
        </w:trPr>
        <w:tc>
          <w:tcPr>
            <w:tcW w:w="2178" w:type="dxa"/>
            <w:noWrap/>
          </w:tcPr>
          <w:p w14:paraId="7B3133DC" w14:textId="77777777" w:rsidR="0082509F" w:rsidRPr="00376CD5" w:rsidRDefault="0082509F" w:rsidP="00EF7184">
            <w:pPr>
              <w:spacing w:before="100" w:beforeAutospacing="1" w:line="480" w:lineRule="auto"/>
              <w:jc w:val="both"/>
              <w:rPr>
                <w:rFonts w:ascii="Arial" w:eastAsia="Times New Roman" w:hAnsi="Arial" w:cs="Arial"/>
                <w:sz w:val="24"/>
                <w:szCs w:val="24"/>
              </w:rPr>
            </w:pPr>
            <w:proofErr w:type="spellStart"/>
            <w:r w:rsidRPr="00376CD5">
              <w:rPr>
                <w:rFonts w:ascii="Arial" w:eastAsia="Times New Roman" w:hAnsi="Arial" w:cs="Arial"/>
                <w:i/>
                <w:iCs/>
                <w:sz w:val="24"/>
                <w:szCs w:val="24"/>
              </w:rPr>
              <w:t>C.roseus</w:t>
            </w:r>
            <w:proofErr w:type="spellEnd"/>
            <w:r w:rsidRPr="00376CD5">
              <w:rPr>
                <w:rFonts w:ascii="Arial" w:eastAsia="Times New Roman" w:hAnsi="Arial" w:cs="Arial"/>
                <w:sz w:val="24"/>
                <w:szCs w:val="24"/>
              </w:rPr>
              <w:t xml:space="preserve"> 0.01mg/ml</w:t>
            </w:r>
          </w:p>
        </w:tc>
        <w:tc>
          <w:tcPr>
            <w:tcW w:w="1251" w:type="dxa"/>
            <w:noWrap/>
          </w:tcPr>
          <w:p w14:paraId="299F6700" w14:textId="77777777" w:rsidR="0082509F" w:rsidRPr="00376CD5" w:rsidRDefault="0082509F" w:rsidP="00EF7184">
            <w:pPr>
              <w:spacing w:before="100" w:beforeAutospacing="1" w:line="480" w:lineRule="auto"/>
              <w:jc w:val="both"/>
              <w:rPr>
                <w:rFonts w:ascii="Arial" w:eastAsia="Times New Roman" w:hAnsi="Arial" w:cs="Arial"/>
                <w:sz w:val="24"/>
                <w:szCs w:val="24"/>
              </w:rPr>
            </w:pPr>
            <w:r w:rsidRPr="00376CD5">
              <w:rPr>
                <w:rFonts w:ascii="Arial" w:eastAsia="Times New Roman" w:hAnsi="Arial" w:cs="Arial"/>
                <w:sz w:val="24"/>
                <w:szCs w:val="24"/>
              </w:rPr>
              <w:t>147</w:t>
            </w:r>
          </w:p>
        </w:tc>
        <w:tc>
          <w:tcPr>
            <w:tcW w:w="1821" w:type="dxa"/>
            <w:noWrap/>
          </w:tcPr>
          <w:p w14:paraId="633F2A03" w14:textId="77777777" w:rsidR="0082509F" w:rsidRPr="00376CD5" w:rsidRDefault="0082509F" w:rsidP="00EF7184">
            <w:pPr>
              <w:spacing w:before="100" w:beforeAutospacing="1" w:line="480" w:lineRule="auto"/>
              <w:jc w:val="both"/>
              <w:rPr>
                <w:rFonts w:ascii="Arial" w:eastAsia="Times New Roman" w:hAnsi="Arial" w:cs="Arial"/>
                <w:sz w:val="24"/>
                <w:szCs w:val="24"/>
              </w:rPr>
            </w:pPr>
            <w:r w:rsidRPr="00376CD5">
              <w:rPr>
                <w:rFonts w:ascii="Arial" w:eastAsia="Times New Roman" w:hAnsi="Arial" w:cs="Arial"/>
                <w:sz w:val="24"/>
                <w:szCs w:val="24"/>
              </w:rPr>
              <w:t>23.92 ± 1.5</w:t>
            </w:r>
          </w:p>
        </w:tc>
        <w:tc>
          <w:tcPr>
            <w:tcW w:w="1746" w:type="dxa"/>
            <w:noWrap/>
          </w:tcPr>
          <w:p w14:paraId="093BAC14" w14:textId="77777777" w:rsidR="0082509F" w:rsidRPr="00376CD5" w:rsidRDefault="0082509F" w:rsidP="00EF7184">
            <w:pPr>
              <w:spacing w:before="100" w:beforeAutospacing="1" w:line="480" w:lineRule="auto"/>
              <w:jc w:val="both"/>
              <w:rPr>
                <w:rFonts w:ascii="Arial" w:eastAsia="Times New Roman" w:hAnsi="Arial" w:cs="Arial"/>
                <w:sz w:val="24"/>
                <w:szCs w:val="24"/>
              </w:rPr>
            </w:pPr>
            <w:r w:rsidRPr="00376CD5">
              <w:rPr>
                <w:rFonts w:ascii="Arial" w:eastAsia="Times New Roman" w:hAnsi="Arial" w:cs="Arial"/>
                <w:sz w:val="24"/>
                <w:szCs w:val="24"/>
              </w:rPr>
              <w:t>≤0.001</w:t>
            </w:r>
          </w:p>
        </w:tc>
      </w:tr>
      <w:tr w:rsidR="0082509F" w:rsidRPr="00376CD5" w14:paraId="66F35992" w14:textId="77777777" w:rsidTr="007147D9">
        <w:trPr>
          <w:trHeight w:val="295"/>
        </w:trPr>
        <w:tc>
          <w:tcPr>
            <w:tcW w:w="2178" w:type="dxa"/>
            <w:noWrap/>
          </w:tcPr>
          <w:p w14:paraId="68AE6335" w14:textId="77777777" w:rsidR="0082509F" w:rsidRPr="00376CD5" w:rsidRDefault="0082509F" w:rsidP="00EF7184">
            <w:pPr>
              <w:spacing w:before="100" w:beforeAutospacing="1" w:line="480" w:lineRule="auto"/>
              <w:jc w:val="both"/>
              <w:rPr>
                <w:rFonts w:ascii="Arial" w:eastAsia="Times New Roman" w:hAnsi="Arial" w:cs="Arial"/>
                <w:sz w:val="24"/>
                <w:szCs w:val="24"/>
              </w:rPr>
            </w:pPr>
            <w:proofErr w:type="spellStart"/>
            <w:r w:rsidRPr="00376CD5">
              <w:rPr>
                <w:rFonts w:ascii="Arial" w:eastAsia="Times New Roman" w:hAnsi="Arial" w:cs="Arial"/>
                <w:i/>
                <w:iCs/>
                <w:sz w:val="24"/>
                <w:szCs w:val="24"/>
              </w:rPr>
              <w:t>C.roseus</w:t>
            </w:r>
            <w:proofErr w:type="spellEnd"/>
            <w:r w:rsidRPr="00376CD5">
              <w:rPr>
                <w:rFonts w:ascii="Arial" w:eastAsia="Times New Roman" w:hAnsi="Arial" w:cs="Arial"/>
                <w:sz w:val="24"/>
                <w:szCs w:val="24"/>
              </w:rPr>
              <w:t xml:space="preserve"> 0.1mg/ml</w:t>
            </w:r>
          </w:p>
        </w:tc>
        <w:tc>
          <w:tcPr>
            <w:tcW w:w="1251" w:type="dxa"/>
            <w:noWrap/>
          </w:tcPr>
          <w:p w14:paraId="0520D521" w14:textId="77777777" w:rsidR="0082509F" w:rsidRPr="00376CD5" w:rsidRDefault="0082509F" w:rsidP="00EF7184">
            <w:pPr>
              <w:spacing w:before="100" w:beforeAutospacing="1" w:line="480" w:lineRule="auto"/>
              <w:jc w:val="both"/>
              <w:rPr>
                <w:rFonts w:ascii="Arial" w:eastAsia="Times New Roman" w:hAnsi="Arial" w:cs="Arial"/>
                <w:sz w:val="24"/>
                <w:szCs w:val="24"/>
              </w:rPr>
            </w:pPr>
            <w:r w:rsidRPr="00376CD5">
              <w:rPr>
                <w:rFonts w:ascii="Arial" w:eastAsia="Times New Roman" w:hAnsi="Arial" w:cs="Arial"/>
                <w:sz w:val="24"/>
                <w:szCs w:val="24"/>
              </w:rPr>
              <w:t>144</w:t>
            </w:r>
          </w:p>
        </w:tc>
        <w:tc>
          <w:tcPr>
            <w:tcW w:w="1821" w:type="dxa"/>
            <w:noWrap/>
          </w:tcPr>
          <w:p w14:paraId="579D038A" w14:textId="77777777" w:rsidR="0082509F" w:rsidRPr="00376CD5" w:rsidRDefault="0082509F" w:rsidP="00EF7184">
            <w:pPr>
              <w:spacing w:before="100" w:beforeAutospacing="1" w:line="480" w:lineRule="auto"/>
              <w:jc w:val="both"/>
              <w:rPr>
                <w:rFonts w:ascii="Arial" w:eastAsia="Times New Roman" w:hAnsi="Arial" w:cs="Arial"/>
                <w:sz w:val="24"/>
                <w:szCs w:val="24"/>
              </w:rPr>
            </w:pPr>
            <w:r w:rsidRPr="00376CD5">
              <w:rPr>
                <w:rFonts w:ascii="Arial" w:eastAsia="Times New Roman" w:hAnsi="Arial" w:cs="Arial"/>
                <w:sz w:val="24"/>
                <w:szCs w:val="24"/>
              </w:rPr>
              <w:t>24.04 ± 0.90</w:t>
            </w:r>
          </w:p>
        </w:tc>
        <w:tc>
          <w:tcPr>
            <w:tcW w:w="1746" w:type="dxa"/>
            <w:noWrap/>
          </w:tcPr>
          <w:p w14:paraId="3D9DB9F2" w14:textId="77777777" w:rsidR="0082509F" w:rsidRPr="00376CD5" w:rsidRDefault="0082509F" w:rsidP="00EF7184">
            <w:pPr>
              <w:spacing w:before="100" w:beforeAutospacing="1" w:line="480" w:lineRule="auto"/>
              <w:jc w:val="both"/>
              <w:rPr>
                <w:rFonts w:ascii="Arial" w:eastAsia="Times New Roman" w:hAnsi="Arial" w:cs="Arial"/>
                <w:sz w:val="24"/>
                <w:szCs w:val="24"/>
              </w:rPr>
            </w:pPr>
            <w:r w:rsidRPr="00376CD5">
              <w:rPr>
                <w:rFonts w:ascii="Arial" w:eastAsia="Times New Roman" w:hAnsi="Arial" w:cs="Arial"/>
                <w:sz w:val="24"/>
                <w:szCs w:val="24"/>
              </w:rPr>
              <w:t>≤0.001</w:t>
            </w:r>
          </w:p>
        </w:tc>
      </w:tr>
      <w:tr w:rsidR="0082509F" w:rsidRPr="00376CD5" w14:paraId="59ED162A" w14:textId="77777777" w:rsidTr="007147D9">
        <w:trPr>
          <w:trHeight w:val="295"/>
        </w:trPr>
        <w:tc>
          <w:tcPr>
            <w:tcW w:w="2178" w:type="dxa"/>
            <w:noWrap/>
          </w:tcPr>
          <w:p w14:paraId="20C01C05" w14:textId="77777777" w:rsidR="0082509F" w:rsidRPr="00376CD5" w:rsidRDefault="0082509F" w:rsidP="00EF7184">
            <w:pPr>
              <w:spacing w:before="100" w:beforeAutospacing="1" w:line="480" w:lineRule="auto"/>
              <w:jc w:val="both"/>
              <w:rPr>
                <w:rFonts w:ascii="Arial" w:eastAsia="Times New Roman" w:hAnsi="Arial" w:cs="Arial"/>
                <w:sz w:val="24"/>
                <w:szCs w:val="24"/>
              </w:rPr>
            </w:pPr>
            <w:proofErr w:type="spellStart"/>
            <w:r w:rsidRPr="00376CD5">
              <w:rPr>
                <w:rFonts w:ascii="Arial" w:eastAsia="Times New Roman" w:hAnsi="Arial" w:cs="Arial"/>
                <w:i/>
                <w:iCs/>
                <w:sz w:val="24"/>
                <w:szCs w:val="24"/>
              </w:rPr>
              <w:t>C.roseus</w:t>
            </w:r>
            <w:proofErr w:type="spellEnd"/>
            <w:r w:rsidRPr="00376CD5">
              <w:rPr>
                <w:rFonts w:ascii="Arial" w:eastAsia="Times New Roman" w:hAnsi="Arial" w:cs="Arial"/>
                <w:sz w:val="24"/>
                <w:szCs w:val="24"/>
              </w:rPr>
              <w:t xml:space="preserve"> 1mg/ml</w:t>
            </w:r>
          </w:p>
        </w:tc>
        <w:tc>
          <w:tcPr>
            <w:tcW w:w="1251" w:type="dxa"/>
            <w:noWrap/>
          </w:tcPr>
          <w:p w14:paraId="04FFA777" w14:textId="77777777" w:rsidR="0082509F" w:rsidRPr="00376CD5" w:rsidRDefault="0082509F" w:rsidP="00EF7184">
            <w:pPr>
              <w:spacing w:before="100" w:beforeAutospacing="1" w:line="480" w:lineRule="auto"/>
              <w:jc w:val="both"/>
              <w:rPr>
                <w:rFonts w:ascii="Arial" w:eastAsia="Times New Roman" w:hAnsi="Arial" w:cs="Arial"/>
                <w:sz w:val="24"/>
                <w:szCs w:val="24"/>
              </w:rPr>
            </w:pPr>
            <w:r w:rsidRPr="00376CD5">
              <w:rPr>
                <w:rFonts w:ascii="Arial" w:eastAsia="Times New Roman" w:hAnsi="Arial" w:cs="Arial"/>
                <w:sz w:val="24"/>
                <w:szCs w:val="24"/>
              </w:rPr>
              <w:t>147</w:t>
            </w:r>
          </w:p>
        </w:tc>
        <w:tc>
          <w:tcPr>
            <w:tcW w:w="1821" w:type="dxa"/>
            <w:noWrap/>
          </w:tcPr>
          <w:p w14:paraId="5EC823D2" w14:textId="77777777" w:rsidR="0082509F" w:rsidRPr="00376CD5" w:rsidRDefault="0082509F" w:rsidP="00EF7184">
            <w:pPr>
              <w:spacing w:before="100" w:beforeAutospacing="1" w:line="480" w:lineRule="auto"/>
              <w:jc w:val="both"/>
              <w:rPr>
                <w:rFonts w:ascii="Arial" w:eastAsia="Times New Roman" w:hAnsi="Arial" w:cs="Arial"/>
                <w:sz w:val="24"/>
                <w:szCs w:val="24"/>
              </w:rPr>
            </w:pPr>
            <w:r w:rsidRPr="00376CD5">
              <w:rPr>
                <w:rFonts w:ascii="Arial" w:eastAsia="Times New Roman" w:hAnsi="Arial" w:cs="Arial"/>
                <w:sz w:val="24"/>
                <w:szCs w:val="24"/>
              </w:rPr>
              <w:t>27.10 ± 1.2</w:t>
            </w:r>
          </w:p>
        </w:tc>
        <w:tc>
          <w:tcPr>
            <w:tcW w:w="1746" w:type="dxa"/>
            <w:noWrap/>
          </w:tcPr>
          <w:p w14:paraId="3F1313D8" w14:textId="77777777" w:rsidR="0082509F" w:rsidRPr="00376CD5" w:rsidRDefault="0082509F" w:rsidP="00EF7184">
            <w:pPr>
              <w:spacing w:before="100" w:beforeAutospacing="1" w:line="480" w:lineRule="auto"/>
              <w:jc w:val="both"/>
              <w:rPr>
                <w:rFonts w:ascii="Arial" w:eastAsia="Times New Roman" w:hAnsi="Arial" w:cs="Arial"/>
                <w:sz w:val="24"/>
                <w:szCs w:val="24"/>
              </w:rPr>
            </w:pPr>
            <w:r w:rsidRPr="00376CD5">
              <w:rPr>
                <w:rFonts w:ascii="Arial" w:eastAsia="Times New Roman" w:hAnsi="Arial" w:cs="Arial"/>
                <w:sz w:val="24"/>
                <w:szCs w:val="24"/>
              </w:rPr>
              <w:t>≤0.001</w:t>
            </w:r>
          </w:p>
        </w:tc>
      </w:tr>
    </w:tbl>
    <w:p w14:paraId="77783B25" w14:textId="77777777" w:rsidR="0082509F" w:rsidRPr="00EF7184" w:rsidRDefault="0082509F" w:rsidP="00EF7184">
      <w:pPr>
        <w:spacing w:before="100" w:beforeAutospacing="1" w:after="0" w:line="480" w:lineRule="auto"/>
        <w:jc w:val="both"/>
        <w:rPr>
          <w:rFonts w:ascii="Arial" w:hAnsi="Arial" w:cs="Arial"/>
          <w:b/>
          <w:sz w:val="24"/>
          <w:szCs w:val="24"/>
          <w:vertAlign w:val="superscript"/>
        </w:rPr>
      </w:pPr>
      <w:r w:rsidRPr="00EF7184">
        <w:rPr>
          <w:rFonts w:ascii="Arial" w:hAnsi="Arial" w:cs="Arial"/>
          <w:sz w:val="24"/>
          <w:szCs w:val="24"/>
          <w:vertAlign w:val="superscript"/>
        </w:rPr>
        <w:t>*n represents the cumulative number of worms studied in all experiment replicates.</w:t>
      </w:r>
    </w:p>
    <w:p w14:paraId="3BD0804D" w14:textId="3CB21368" w:rsidR="0016092C" w:rsidRPr="00167D47" w:rsidRDefault="000A13EA" w:rsidP="00A5476B">
      <w:pPr>
        <w:pStyle w:val="Paragraph"/>
      </w:pPr>
      <w:r w:rsidRPr="00167D47">
        <w:t>DISCUSSION</w:t>
      </w:r>
    </w:p>
    <w:p w14:paraId="1757E6DB" w14:textId="3BCA592F" w:rsidR="000C2887" w:rsidRPr="00812EE7" w:rsidRDefault="00090F30" w:rsidP="001D5D94">
      <w:pPr>
        <w:spacing w:before="100" w:beforeAutospacing="1" w:line="240" w:lineRule="auto"/>
        <w:jc w:val="both"/>
        <w:rPr>
          <w:rFonts w:ascii="Arial" w:hAnsi="Arial" w:cs="Arial"/>
          <w:sz w:val="20"/>
          <w:szCs w:val="20"/>
        </w:rPr>
      </w:pPr>
      <w:r w:rsidRPr="00812EE7">
        <w:rPr>
          <w:rFonts w:ascii="Arial" w:hAnsi="Arial" w:cs="Arial"/>
          <w:sz w:val="20"/>
          <w:szCs w:val="20"/>
        </w:rPr>
        <w:t xml:space="preserve">Numerous studies have shown the protective benefits of polyphenols, especially flavonoids, against age-related diseases, cancer, and cardiovascular disease using both </w:t>
      </w:r>
      <w:r w:rsidRPr="00812EE7">
        <w:rPr>
          <w:rFonts w:ascii="Arial" w:hAnsi="Arial" w:cs="Arial"/>
          <w:i/>
          <w:iCs/>
          <w:sz w:val="20"/>
          <w:szCs w:val="20"/>
        </w:rPr>
        <w:t>in vitro</w:t>
      </w:r>
      <w:r w:rsidRPr="00812EE7">
        <w:rPr>
          <w:rFonts w:ascii="Arial" w:hAnsi="Arial" w:cs="Arial"/>
          <w:sz w:val="20"/>
          <w:szCs w:val="20"/>
        </w:rPr>
        <w:t xml:space="preserve"> </w:t>
      </w:r>
      <w:r w:rsidR="00DA1F08" w:rsidRPr="00812EE7">
        <w:rPr>
          <w:rFonts w:ascii="Arial" w:hAnsi="Arial" w:cs="Arial"/>
          <w:sz w:val="20"/>
          <w:szCs w:val="20"/>
        </w:rPr>
        <w:t>&amp;</w:t>
      </w:r>
      <w:r w:rsidRPr="00812EE7">
        <w:rPr>
          <w:rFonts w:ascii="Arial" w:hAnsi="Arial" w:cs="Arial"/>
          <w:sz w:val="20"/>
          <w:szCs w:val="20"/>
        </w:rPr>
        <w:t xml:space="preserve"> </w:t>
      </w:r>
      <w:r w:rsidRPr="00812EE7">
        <w:rPr>
          <w:rFonts w:ascii="Arial" w:hAnsi="Arial" w:cs="Arial"/>
          <w:i/>
          <w:iCs/>
          <w:sz w:val="20"/>
          <w:szCs w:val="20"/>
        </w:rPr>
        <w:t>in vivo</w:t>
      </w:r>
      <w:r w:rsidRPr="00812EE7">
        <w:rPr>
          <w:rFonts w:ascii="Arial" w:hAnsi="Arial" w:cs="Arial"/>
          <w:sz w:val="20"/>
          <w:szCs w:val="20"/>
        </w:rPr>
        <w:t xml:space="preserve"> trials</w:t>
      </w:r>
      <w:r w:rsidR="00D70138" w:rsidRPr="00812EE7">
        <w:rPr>
          <w:rFonts w:ascii="Arial" w:hAnsi="Arial" w:cs="Arial"/>
          <w:sz w:val="20"/>
          <w:szCs w:val="20"/>
        </w:rPr>
        <w:t xml:space="preserve"> </w:t>
      </w:r>
      <w:r w:rsidR="00E7451C" w:rsidRPr="00812EE7">
        <w:rPr>
          <w:rFonts w:ascii="Arial" w:hAnsi="Arial" w:cs="Arial"/>
          <w:sz w:val="20"/>
          <w:szCs w:val="20"/>
        </w:rPr>
        <w:fldChar w:fldCharType="begin"/>
      </w:r>
      <w:r w:rsidR="001D5D94">
        <w:rPr>
          <w:rFonts w:ascii="Arial" w:hAnsi="Arial" w:cs="Arial"/>
          <w:sz w:val="20"/>
          <w:szCs w:val="20"/>
        </w:rPr>
        <w:instrText xml:space="preserve"> ADDIN ZOTERO_ITEM CSL_CITATION {"citationID":"hbXxihRH","properties":{"formattedCitation":"(Forni et al., 2019; Truong et al., 2018)","plainCitation":"(Forni et al., 2019; Truong et al., 2018)","noteIndex":0},"citationItems":[{"id":388,"uris":["http://zotero.org/users/local/rsD5gSSy/items/7P6BPZZX",["http://zotero.org/users/local/rsD5gSSy/items/7P6BPZZX"]],"itemData":{"id":388,"type":"webpage","abstract":"Aging is related to a number of functional and morphological changes leading to progressive decline of the biological functions of an organism. Reactive Oxygen Species (ROS), released by several endogenous and exogenous processes, may cause important oxidative damage to DNA, proteins, and lipids, leading to important cellular dysfunctions. The imbalance between ROS production and antioxidant defenses brings to oxidative stress conditions and, related to accumulation of ROS, aging-associated diseases. The purpose of this review is to provide an overview of the most relevant data reported in literature on the natural compounds, mainly phytochemicals, with antioxidant activity and their potential protective effects on age-related diseases such as metabolic syndrome, diabetes, cardiovascular disease, cancer, neurodegenerative disease, and chronic inflammation, and possibly lower side effects, when compared to other drugs.","container-title":"BioMed Research International","genre":"Review Article","language":"en","note":"DOI: https://doi.org/10.1155/2019/8748253\nISSN: 2314-6133\nsource: www.hindawi.com\npage: e8748253\npublisher: Hindawi\nvolume: 2019\nDOI: https://doi.org/10.1155/2019/8748253","title":"Beneficial Role of Phytochemicals on Oxidative Stress and Age-Related Diseases","URL":"https://www.hindawi.com/journals/bmri/2019/8748253/","author":[{"family":"Forni","given":"Cinzia"},{"family":"Facchiano","given":"Francesco"},{"family":"Bartoli","given":"Manuela"},{"family":"Pieretti","given":"Stefano"},{"family":"Facchiano","given":"Antonio"},{"family":"D’Arcangelo","given":"Daniela"},{"family":"Norelli","given":"Sandro"},{"family":"Valle","given":"Giorgia"},{"family":"Nisini","given":"Roberto"},{"family":"Beninati","given":"Simone"},{"family":"Tabolacci","given":"Claudio"},{"family":"Jadeja","given":"Ravirajsinh N."}],"accessed":{"date-parts":[["2020",5,1]]},"issued":{"date-parts":[["2019"]]}}},{"id":434,"uris":["http://zotero.org/users/local/rsD5gSSy/items/N5V9Z73G"],"itemData":{"id":434,"type":"article-journal","abstract":"Resveratrol, a natural polyphenolic compound, is found in various kinds of fruits, plants, and their commercial products such as red wine. It has been demonstrated to exhibit a variety of health-promoting effects including prevention and/or treatment of cardiovascular diseases, inflammation, diabetes, neurodegeneration, aging, and cancer. Cellular defensive properties of resveratrol can be explained through its ability of either directly neutralizing reactive oxygen species/reactive nitrogen species (ROS/RNS) or indirectly upregulating the expression of cellular defensive genes. As a direct antioxidant agent, resveratrol scavenges diverse ROS/RNS as well as secondary organic radicals with mechanisms of hydrogen atom transfer and sequential proton loss electron transfer, thereby protecting cellular biomolecules from oxidative damage. Resveratrol also enhances the expression of various antioxidant defensive enzymes such as heme oxygenase 1, catalase, glutathione peroxidase, and superoxide dismutase as well as the induction of glutathione level responsible for maintaining the cellular redox balance. Such defenses could be achieved by regulating various signaling pathways including sirtuin 1, nuclear factor-erythroid 2-related factor 2 and nuclear factor κB. This review provides current understanding and information on the role of resveratrol in cellular defense system against oxidative stress. © 2017 BioFactors, 44(1):36-49, 2018.","container-title":"BioFactors (Oxford, England)","DOI":"10.1002/biof.1399","ISSN":"1872-8081","issue":"1","journalAbbreviation":"Biofactors","language":"eng","note":"PMID: 29193412","page":"36-49","source":"PubMed","title":"Role of resveratrol in regulation of cellular defense systems against oxidative stress","volume":"44","author":[{"family":"Truong","given":"Van-Long"},{"family":"Jun","given":"Mira"},{"family":"Jeong","given":"Woo-Sik"}],"issued":{"date-parts":[["2018",1]]}}}],"schema":"https://github.com/citation-style-language/schema/raw/master/csl-citation.json"} </w:instrText>
      </w:r>
      <w:r w:rsidR="00E7451C" w:rsidRPr="00812EE7">
        <w:rPr>
          <w:rFonts w:ascii="Arial" w:hAnsi="Arial" w:cs="Arial"/>
          <w:sz w:val="20"/>
          <w:szCs w:val="20"/>
        </w:rPr>
        <w:fldChar w:fldCharType="separate"/>
      </w:r>
      <w:r w:rsidR="001D5D94" w:rsidRPr="001D5D94">
        <w:rPr>
          <w:rFonts w:ascii="Arial" w:hAnsi="Arial" w:cs="Arial"/>
          <w:sz w:val="20"/>
        </w:rPr>
        <w:t>(Forni et al., 2019; Truong et al., 2018)</w:t>
      </w:r>
      <w:r w:rsidR="00E7451C" w:rsidRPr="00812EE7">
        <w:rPr>
          <w:rFonts w:ascii="Arial" w:hAnsi="Arial" w:cs="Arial"/>
          <w:sz w:val="20"/>
          <w:szCs w:val="20"/>
        </w:rPr>
        <w:fldChar w:fldCharType="end"/>
      </w:r>
      <w:r w:rsidR="002E5955" w:rsidRPr="00812EE7">
        <w:rPr>
          <w:rFonts w:ascii="Arial" w:hAnsi="Arial" w:cs="Arial"/>
          <w:sz w:val="20"/>
          <w:szCs w:val="20"/>
        </w:rPr>
        <w:t xml:space="preserve">. </w:t>
      </w:r>
      <w:r w:rsidRPr="00812EE7">
        <w:rPr>
          <w:rFonts w:ascii="Arial" w:hAnsi="Arial" w:cs="Arial"/>
          <w:sz w:val="20"/>
          <w:szCs w:val="20"/>
        </w:rPr>
        <w:t xml:space="preserve">Furthermore, these substances have the potential to function as strong antioxidants that could help prevent aging and other health issues in people </w:t>
      </w:r>
      <w:r w:rsidR="00D70138" w:rsidRPr="00812EE7">
        <w:rPr>
          <w:rFonts w:ascii="Arial" w:hAnsi="Arial" w:cs="Arial"/>
          <w:sz w:val="20"/>
          <w:szCs w:val="20"/>
        </w:rPr>
        <w:fldChar w:fldCharType="begin"/>
      </w:r>
      <w:r w:rsidR="001D5D94">
        <w:rPr>
          <w:rFonts w:ascii="Arial" w:hAnsi="Arial" w:cs="Arial"/>
          <w:sz w:val="20"/>
          <w:szCs w:val="20"/>
        </w:rPr>
        <w:instrText xml:space="preserve"> ADDIN ZOTERO_ITEM CSL_CITATION {"citationID":"hwDNhjXZ","properties":{"formattedCitation":"(Salehi et al., 2020)","plainCitation":"(Salehi et al., 2020)","noteIndex":0},"citationItems":[{"id":327,"uris":["http://zotero.org/users/local/rsD5gSSy/items/HXFVXEAB"],"itemData":{"id":327,"type":"article-journal","abstract":"Plants and their corresponding botanical preparations have been used for centuries due to their remarkable potential in both the treatment and prevention of oxidative stress-related disorders. Aging and aging-related diseases, like cardiovascular disease, cancer, diabetes, and neurodegenerative disorders, which have increased exponentially, are intrinsically related with redox imbalance and oxidative stress. Hundreds of biologically active constituents are present in each whole plant matrix, providing promissory bioactive effects for human beings. Indeed, the worldwide population has devoted increased attention and preference for the use of medicinal plants for healthy aging and longevity promotion. In fact, plant-derived bioactives present a broad spectrum of biological effects, and their antioxidant, anti-inflammatory, and, more recently, anti-aging effects, are considered to be a hot topic among the medical and scientific communities. Nonetheless, despite the numerous biological effects, it should not be forgotten that some bioactive molecules are prone to oxidation and can even exert pro-oxidant effects. In this sense, the objective of the present review is to provide a detailed overview of plant-derived bioactives in age-related disorders. Specifically, the role of phytochemicals as antioxidants and pro-oxidant agents is carefully addressed, as is their therapeutic relevance in longevity, aging-related disorders, and healthy-aging promotion. Finally, an eye-opening look into the overall evidence of plant compounds related to longevity is presented.","container-title":"Applied Sciences","DOI":"10.3390/app10030947","issue":"3","language":"en","license":"http://creativecommons.org/licenses/by/3.0/","note":"number: 3\npublisher: Multidisciplinary Digital Publishing Institute","page":"947","source":"www.mdpi.com","title":"Plant-Derived Bioactives and Oxidative Stress-Related Disorders: A Key Trend towards Healthy Aging and Longevity Promotion","title-short":"Plant-Derived Bioactives and Oxidative Stress-Related Disorders","volume":"10","author":[{"family":"Salehi","given":"Bahare"},{"family":"Azzini","given":"Elena"},{"family":"Zucca","given":"Paolo"},{"family":"Maria Varoni","given":"Elena"},{"family":"V. Anil Kumar","given":"Nanjangud"},{"family":"Dini","given":"Luciana"},{"family":"Panzarini","given":"Elisa"},{"family":"Rajkovic","given":"Jovana"},{"family":"Valere Tsouh Fokou","given":"Patrick"},{"family":"Peluso","given":"Ilaria"},{"family":"Prakash Mishra","given":"Abhay"},{"family":"Nigam","given":"Manisha"},{"family":"El Rayess","given":"Youssef"},{"family":"El Beyrouthy","given":"Marc"},{"family":"N. Setzer","given":"William"},{"family":"Polito","given":"Letizia"},{"family":"Iriti","given":"Marcello"},{"family":"Sureda","given":"Antoni"},{"family":"Magdalena Quetglas-Llabrés","given":"Maria"},{"family":"Martorell","given":"Miquel"},{"family":"Martins","given":"Natália"},{"family":"Sharifi-Rad","given":"Mehdi"},{"family":"M. Estevinho","given":"Leticia"},{"family":"Sharifi-Rad","given":"Javad"}],"issued":{"date-parts":[["2020",1]]}}}],"schema":"https://github.com/citation-style-language/schema/raw/master/csl-citation.json"} </w:instrText>
      </w:r>
      <w:r w:rsidR="00D70138" w:rsidRPr="00812EE7">
        <w:rPr>
          <w:rFonts w:ascii="Arial" w:hAnsi="Arial" w:cs="Arial"/>
          <w:sz w:val="20"/>
          <w:szCs w:val="20"/>
        </w:rPr>
        <w:fldChar w:fldCharType="separate"/>
      </w:r>
      <w:r w:rsidR="001D5D94" w:rsidRPr="001D5D94">
        <w:rPr>
          <w:rFonts w:ascii="Arial" w:hAnsi="Arial" w:cs="Arial"/>
          <w:sz w:val="20"/>
        </w:rPr>
        <w:t>(Salehi et al., 2020)</w:t>
      </w:r>
      <w:r w:rsidR="00D70138" w:rsidRPr="00812EE7">
        <w:rPr>
          <w:rFonts w:ascii="Arial" w:hAnsi="Arial" w:cs="Arial"/>
          <w:sz w:val="20"/>
          <w:szCs w:val="20"/>
        </w:rPr>
        <w:fldChar w:fldCharType="end"/>
      </w:r>
      <w:r w:rsidRPr="00812EE7">
        <w:rPr>
          <w:rFonts w:ascii="Arial" w:hAnsi="Arial" w:cs="Arial"/>
          <w:sz w:val="20"/>
          <w:szCs w:val="20"/>
        </w:rPr>
        <w:t xml:space="preserve">. This </w:t>
      </w:r>
      <w:r w:rsidRPr="00812EE7">
        <w:rPr>
          <w:rFonts w:ascii="Arial" w:hAnsi="Arial" w:cs="Arial"/>
          <w:sz w:val="20"/>
          <w:szCs w:val="20"/>
        </w:rPr>
        <w:lastRenderedPageBreak/>
        <w:t xml:space="preserve">is because age-related diseases are closely linked to a steady rise in R.O.S. and a subsequent decrease in the organism's antioxidant </w:t>
      </w:r>
      <w:r w:rsidR="00FA54D8" w:rsidRPr="00812EE7">
        <w:rPr>
          <w:rFonts w:ascii="Arial" w:hAnsi="Arial" w:cs="Arial"/>
          <w:sz w:val="20"/>
          <w:szCs w:val="20"/>
        </w:rPr>
        <w:t>defence</w:t>
      </w:r>
      <w:r w:rsidRPr="00812EE7">
        <w:rPr>
          <w:rFonts w:ascii="Arial" w:hAnsi="Arial" w:cs="Arial"/>
          <w:sz w:val="20"/>
          <w:szCs w:val="20"/>
        </w:rPr>
        <w:t xml:space="preserve"> system </w:t>
      </w:r>
      <w:r w:rsidR="00D70138" w:rsidRPr="00812EE7">
        <w:rPr>
          <w:rFonts w:ascii="Arial" w:hAnsi="Arial" w:cs="Arial"/>
          <w:sz w:val="20"/>
          <w:szCs w:val="20"/>
        </w:rPr>
        <w:fldChar w:fldCharType="begin"/>
      </w:r>
      <w:r w:rsidR="001D5D94">
        <w:rPr>
          <w:rFonts w:ascii="Arial" w:hAnsi="Arial" w:cs="Arial"/>
          <w:sz w:val="20"/>
          <w:szCs w:val="20"/>
        </w:rPr>
        <w:instrText xml:space="preserve"> ADDIN ZOTERO_ITEM CSL_CITATION {"citationID":"DcddE8de","properties":{"formattedCitation":"(Liguori et al., 2018)","plainCitation":"(Liguori et al., 2018)","noteIndex":0},"citationItems":[{"id":402,"uris":["http://zotero.org/users/local/rsD5gSSy/items/525Q4823"],"itemData":{"id":402,"type":"webpage","abstract":"Oxidative stress, aging and diseases Ilaria Liguori,1 Gennaro Russo,1 Francesco Curcio,1 Giulia Bulli,1 Luisa Aran,1 David Della-Morte,2,3 Gaetano Gargiulo,4 Gianluca Testa,1,5 Francesco Cacciatore,1,6 Domenico Bonaduce,1 Pasquale Abete1  1Department of Translational Medical Sciences, University of Naples “Federico II”, Naples, Italy; 2Department of Systems Medicine, University of Rome Tor Vergata, Rome, Italy; 3San Raffaele Roma Open University, Rome, Italy; 4Division of Internal Medicine, AOU San Giovanni di Dio e Ruggi di Aragona, Salerno, Italy; 5Department of Medicine and Health Sciences, University of Molise, Campobasso, Italy; 6Azienda Ospedaliera dei Colli, Monaldi Hospital, Heart Transplantation Unit, Naples, Italy  Abstract: Reactive oxygen and nitrogen species (RONS) are produced by several endogenous and exogenous processes, and their negative effects are neutralized by antioxidant defenses. Oxidative stress occurs from the imbalance between RONS production and these antioxidant defenses. Aging is a process characterized by the progressive loss of tissue and organ function. The oxidative stress theory of aging is based on the hypothesis that age-associated functional losses are due to the accumulation of RONS-induced damages. At the same time, oxidative stress is involved in several age-related conditions (ie, cardiovascular diseases [CVDs], chronic obstructive pulmonary disease, chronic kidney disease, neurodegenerative diseases, and cancer), including sarcopenia and frailty. Different types of oxidative stress biomarkers have been identified and may provide important information about the efficacy of the treatment, guiding the selection of the most effective drugs/dose regimens for patients and, if particularly relevant from a pathophysiological point of view, acting on a specific therapeutic target. Given the important role of oxidative stress in the pathogenesis of many clinical conditions and aging, antioxidant therapy could positively affect the natural history of several diseases, but further investigation is needed to evaluate the real efficacy of these therapeutic interventions. The purpose of this paper is to provide a review of literature on this complex topic of ever increasing interest.  Keywords: elderly, reactive oxygen species, reactive nitrogen species, antioxidants","container-title":"Clinical Interventions in Aging","language":"English","note":"journalAbbreviation: CIA\nsource: www.dovepress.com\npage: 757-772\npublisher: Dove Press\nvolume: 13\nDOI: 10.2147/CIA.S158513","title":"Oxidative stress, aging, and diseases","URL":"https://www.dovepress.com/oxidative-stress-aging-and-diseases-peer-reviewed-article-CIA","author":[{"family":"Liguori","given":"Ilaria"},{"family":"Russo","given":"Gennaro"},{"family":"Curcio","given":"Francesco"},{"family":"Bulli","given":"Giulia"},{"family":"Aran","given":"Luisa"},{"family":"Della-Morte","given":"David"},{"family":"Gargiulo","given":"Gaetano"},{"family":"Testa","given":"Gianluca"},{"family":"Cacciatore","given":"Francesco"},{"family":"Bonaduce","given":"Domenico"},{"family":"Abete","given":"Pasquale"}],"accessed":{"date-parts":[["2020",5,1]]},"issued":{"date-parts":[["2018",4,26]]}}}],"schema":"https://github.com/citation-style-language/schema/raw/master/csl-citation.json"} </w:instrText>
      </w:r>
      <w:r w:rsidR="00D70138" w:rsidRPr="00812EE7">
        <w:rPr>
          <w:rFonts w:ascii="Arial" w:hAnsi="Arial" w:cs="Arial"/>
          <w:sz w:val="20"/>
          <w:szCs w:val="20"/>
        </w:rPr>
        <w:fldChar w:fldCharType="separate"/>
      </w:r>
      <w:r w:rsidR="001D5D94" w:rsidRPr="001D5D94">
        <w:rPr>
          <w:rFonts w:ascii="Arial" w:hAnsi="Arial" w:cs="Arial"/>
          <w:sz w:val="20"/>
        </w:rPr>
        <w:t>(Liguori et al., 2018)</w:t>
      </w:r>
      <w:r w:rsidR="00D70138" w:rsidRPr="00812EE7">
        <w:rPr>
          <w:rFonts w:ascii="Arial" w:hAnsi="Arial" w:cs="Arial"/>
          <w:sz w:val="20"/>
          <w:szCs w:val="20"/>
        </w:rPr>
        <w:fldChar w:fldCharType="end"/>
      </w:r>
      <w:r w:rsidRPr="00812EE7">
        <w:rPr>
          <w:rFonts w:ascii="Arial" w:hAnsi="Arial" w:cs="Arial"/>
          <w:sz w:val="20"/>
          <w:szCs w:val="20"/>
        </w:rPr>
        <w:t xml:space="preserve">. Numerous studies highlight the antioxidant capacity of phytochemicals in the prevention and therapy of age-associated decrease in functions as a means of overcoming this complex situation. </w:t>
      </w:r>
      <w:r w:rsidR="000C2887" w:rsidRPr="00812EE7">
        <w:rPr>
          <w:rFonts w:ascii="Arial" w:hAnsi="Arial" w:cs="Arial"/>
          <w:sz w:val="20"/>
          <w:szCs w:val="20"/>
        </w:rPr>
        <w:fldChar w:fldCharType="begin"/>
      </w:r>
      <w:r w:rsidR="001D5D94">
        <w:rPr>
          <w:rFonts w:ascii="Arial" w:hAnsi="Arial" w:cs="Arial"/>
          <w:sz w:val="20"/>
          <w:szCs w:val="20"/>
        </w:rPr>
        <w:instrText xml:space="preserve"> ADDIN ZOTERO_ITEM CSL_CITATION {"citationID":"asQB0ntw","properties":{"formattedCitation":"(Chattopadhyay &amp; Thirumurugan, 2018; Duangjan et al., 2019; Wiegant et al., 2009)","plainCitation":"(Chattopadhyay &amp; Thirumurugan, 2018; Duangjan et al., 2019; Wiegant et al., 2009)","noteIndex":0},"citationItems":[{"id":4,"uris":["http://zotero.org/users/local/rsD5gSSy/items/ZNYMKUZN",["http://zotero.org/users/local/rsD5gSSy/items/ZNYMKUZN"]],"itemData":{"id":4,"type":"webpage","abstract":"Anacardium occidentale (AO) contains a number of polyphenolic secondary metabolites with antioxidant activity. The objectives of this study were aimed at investigating the roles of AO leaf extracts in antioxidative stress and longevity, as well as their underlying mechanisms, in the Caenorhabditis elegans (C. elegans) model. AO extracts mediated the survival rate of nematodes under oxidative stress by attenuating intracellular reactive oxygen species (ROS) via the DAF-16/FoxO and SKN-1/Nrf-2 signaling pathways. AO extracts stimulated the expression of stress response genes including SOD-3 and GST-4. Moreover, AO extracts exhibited antiaging activities and enhanced longevity. We observed improved pharyngeal pumping function, attenuation of pigment accumulation (lipofuscin), and an increased lifespan of the worms. Collectively, our results demonstrated that AO extracts exerted both oxidative stress resistance and antiaging properties in the C. elegans model and may lead to new agents to benefit humans in the near future.","container-title":"Oxidative Medicine and Cellular Longevity","genre":"Research Article","language":"en","note":"DOI: https://doi.org/10.1155/2019/9012396\nISSN: 1942-0900\nsource: www.hindawi.com\npage: e9012396\npublisher: Hindawi\nvolume: 2019\nDOI: https://doi.org/10.1155/2019/9012396","title":"Lifespan Extending and Oxidative Stress Resistance Properties of a Leaf Extracts from Anacardium occidentale L. in Caenorhabditis elegans","URL":"https://www.hindawi.com/journals/omcl/2019/9012396/","author":[{"family":"Duangjan","given":"Chatrawee"},{"family":"Rangsinth","given":"Panthakarn"},{"family":"Gu","given":"Xiaojie"},{"family":"Wink","given":"Michael"},{"family":"Tencomnao","given":"Tewin"}],"accessed":{"date-parts":[["2020",4,16]]},"issued":{"date-parts":[["2019"]]}}},{"id":209,"uris":["http://zotero.org/users/local/rsD5gSSy/items/XQMNWZ4F",["http://zotero.org/users/local/rsD5gSSy/items/XQMNWZ4F"]],"itemData":{"id":209,"type":"article-journal","container-title":"Biogerontology","DOI":"10.1007/s10522-008-9151-9","ISSN":"1389-5729, 1573-6768","issue":"1","journalAbbreviation":"Biogerontology","language":"en","page":"27-42","source":"DOI.org (Crossref)","title":"Plant adaptogens increase lifespan and stress resistance in C. elegans","volume":"10","author":[{"family":"Wiegant","given":"F. A. C."},{"family":"Surinova","given":"S."},{"family":"Ytsma","given":"E."},{"family":"Langelaar-Makkinje","given":"M."},{"family":"Wikman","given":"G."},{"family":"Post","given":"J. A."}],"issued":{"date-parts":[["2009",2]]}}},{"id":253,"uris":["http://zotero.org/users/local/rsD5gSSy/items/IMJP39TK",["http://zotero.org/users/local/rsD5gSSy/items/IMJP39TK"]],"itemData":{"id":253,"type":"article-journal","abstract":"Past investigations have shown that various plant extracts are capable of promoting longevity in lower model organisms like Caenorhabditis elegans, Drosophila melanogaster, Saccharomyces cerevisiae, Bombyx mori etc. Longevity studies on such organisms provide a foundation to explore anti-aging efficacies of such plant extracts in higher organisms. Plant extracts of acai palm, apple, asparagus, blueberry, cinnamon, cocoa, Damnacanthus, maize, milk thistle, mistletoe, peach, pomegranate, Rhodiola, rose, Sasa, turmeric, and Withania have extended lifespan in lower model organisms via diverse mechanisms like insulin like growth factor (IGF) signaling pathway, and antioxidant defense mechanisms. Knowledge of pathways altered by the extracts can be investigated as potential drug-targets for natural anti-aging interventions. Thus, the aim of the review is to scrutinize longevity promoting efficacies of various plant extracts in lower model organisms.","container-title":"Mechanisms of Ageing and Development","DOI":"10.1016/j.mad.2018.03.002","ISSN":"1872-6216","journalAbbreviation":"Mech. Ageing Dev.","language":"eng","note":"PMID: 29526449","page":"47-57","source":"PubMed","title":"Longevity promoting efficacies of different plant extracts in lower model organisms","volume":"171","author":[{"family":"Chattopadhyay","given":"Debarati"},{"family":"Thirumurugan","given":"Kavitha"}],"issued":{"date-parts":[["2018"]]}}}],"schema":"https://github.com/citation-style-language/schema/raw/master/csl-citation.json"} </w:instrText>
      </w:r>
      <w:r w:rsidR="000C2887" w:rsidRPr="00812EE7">
        <w:rPr>
          <w:rFonts w:ascii="Arial" w:hAnsi="Arial" w:cs="Arial"/>
          <w:sz w:val="20"/>
          <w:szCs w:val="20"/>
        </w:rPr>
        <w:fldChar w:fldCharType="separate"/>
      </w:r>
      <w:r w:rsidR="001D5D94" w:rsidRPr="001D5D94">
        <w:rPr>
          <w:rFonts w:ascii="Arial" w:hAnsi="Arial" w:cs="Arial"/>
          <w:sz w:val="20"/>
        </w:rPr>
        <w:t>(Chattopadhyay &amp; Thirumurugan, 2018; Duangjan et al., 2019; Wiegant et al., 2009)</w:t>
      </w:r>
      <w:r w:rsidR="000C2887" w:rsidRPr="00812EE7">
        <w:rPr>
          <w:rFonts w:ascii="Arial" w:hAnsi="Arial" w:cs="Arial"/>
          <w:sz w:val="20"/>
          <w:szCs w:val="20"/>
        </w:rPr>
        <w:fldChar w:fldCharType="end"/>
      </w:r>
      <w:r w:rsidR="000C2887" w:rsidRPr="00812EE7">
        <w:rPr>
          <w:rFonts w:ascii="Arial" w:hAnsi="Arial" w:cs="Arial"/>
          <w:sz w:val="20"/>
          <w:szCs w:val="20"/>
        </w:rPr>
        <w:t xml:space="preserve">. </w:t>
      </w:r>
    </w:p>
    <w:p w14:paraId="03A88A62" w14:textId="59B4AD67" w:rsidR="00A85AEE" w:rsidRPr="00812EE7" w:rsidRDefault="00090F30" w:rsidP="001D5D94">
      <w:pPr>
        <w:spacing w:before="100" w:beforeAutospacing="1" w:line="240" w:lineRule="auto"/>
        <w:jc w:val="both"/>
        <w:rPr>
          <w:rFonts w:ascii="Arial" w:hAnsi="Arial" w:cs="Arial"/>
          <w:sz w:val="20"/>
          <w:szCs w:val="20"/>
        </w:rPr>
      </w:pPr>
      <w:r w:rsidRPr="00812EE7">
        <w:rPr>
          <w:rFonts w:ascii="Arial" w:hAnsi="Arial" w:cs="Arial"/>
          <w:sz w:val="20"/>
          <w:szCs w:val="20"/>
        </w:rPr>
        <w:t xml:space="preserve">To isolate the polyphenols and flavonoids, traditional techniques like maceration, stirring-assisted maceration, and Soxhlet extraction are most frequently employed. </w:t>
      </w:r>
      <w:r w:rsidR="00F33FF1" w:rsidRPr="00812EE7">
        <w:rPr>
          <w:rFonts w:ascii="Arial" w:hAnsi="Arial" w:cs="Arial"/>
          <w:sz w:val="20"/>
          <w:szCs w:val="20"/>
        </w:rPr>
        <w:fldChar w:fldCharType="begin"/>
      </w:r>
      <w:r w:rsidR="001D5D94">
        <w:rPr>
          <w:rFonts w:ascii="Arial" w:hAnsi="Arial" w:cs="Arial"/>
          <w:sz w:val="20"/>
          <w:szCs w:val="20"/>
        </w:rPr>
        <w:instrText xml:space="preserve"> ADDIN ZOTERO_ITEM CSL_CITATION {"citationID":"AJCU03RB","properties":{"formattedCitation":"(Alara et al., 2021; Altemimi et al., 2017; Belwal et al., 2018)","plainCitation":"(Alara et al., 2021; Altemimi et al., 2017; Belwal et al., 2018)","noteIndex":0},"citationItems":[{"id":359,"uris":["http://zotero.org/users/local/rsD5gSSy/items/KLR62Q52",["http://zotero.org/users/local/rsD5gSSy/items/KLR62Q52"]],"itemData":{"id":359,"type":"article-journal","abstract":"There are concerns about using synthetic phenolic antioxidants such as butylated hydroxytoluene (BHT) and butylated hydroxyanisole (BHA) as food additives because of the reported negative effects on human health. Thus, a replacement of these synthetics by antioxidant extractions from various foods has been proposed. More than 8000 different phenolic compounds have been characterized; fruits and vegetables are the prime sources of natural antioxidants. In order to extract, measure, and identify bioactive compounds from a wide variety of fruits and vegetables, researchers use multiple techniques and methods. This review includes a brief description of a wide range of different assays. The antioxidant, antimicrobial, and anticancer properties of phenolic natural products from fruits and vegetables are also discussed.","container-title":"Plants","DOI":"10.3390/plants6040042","issue":"4","language":"en","license":"http://creativecommons.org/licenses/by/3.0/","note":"number: 4\npublisher: Multidisciplinary Digital Publishing Institute","page":"42","source":"www.mdpi.com","title":"Phytochemicals: Extraction, Isolation, and Identification of Bioactive Compounds from Plant Extracts","title-short":"Phytochemicals","volume":"6","author":[{"family":"Altemimi","given":"Ammar"},{"family":"Lakhssassi","given":"Naoufal"},{"family":"Baharlouei","given":"Azam"},{"family":"Watson","given":"Dennis G."},{"family":"Lightfoot","given":"David A."}],"issued":{"date-parts":[["2017",12]]}}},{"id":425,"uris":["http://zotero.org/users/local/rsD5gSSy/items/8NCZQ3JL"],"itemData":{"id":425,"type":"article-journal","abstract":"Plant extracts have been long used by the traditional healers for providing health benefits and are nowadays suitable ingredient for the production of formulated health products and nutraceuticals. Traditional methods of extraction such as maceration, percolation, digestion, and preparation of decoctions and infusions are now been replaced by advanced extraction methods for increased extraction efficiency and selectivity of bioactive compounds to meet up the increasing market demand. Advanced techniques use different ways for extraction such as microwaves, ultrasound waves, supercritical fluids, enzymes, pressurized liquids, electric field, etc. These innovative extraction techniques, afford final extracts selectively rich in compounds of interest without formation of artifacts, and are often simple, fast, environment friendly and fully automated compared to existing extraction method. The present review is focused on the recent trends on the extraction of different bioactive chemical constituents depending on the nature of sample matrices and their chemical classes including anthocyanins, flavonoids, polyphenols, alkaloids, oils, etc. In addition, we review the strategies for designing extraction, selection of most suitable extraction methods, and trends of extraction methods for botanicals. Recent progress on the research based on these advanced methods of extractions and their industrial importance are also discussed in detail.","container-title":"TrAC Trends in Analytical Chemistry","DOI":"10.1016/j.trac.2017.12.018","ISSN":"0165-9936","journalAbbreviation":"TrAC Trends in Analytical Chemistry","page":"82-102","source":"ScienceDirect","title":"A critical analysis of extraction techniques used for botanicals: Trends, priorities, industrial uses and optimization strategies","title-short":"A critical analysis of extraction techniques used for botanicals","volume":"100","author":[{"family":"Belwal","given":"Tarun"},{"family":"Ezzat","given":"Shahira M."},{"family":"Rastrelli","given":"Luca"},{"family":"Bhatt","given":"Indra D."},{"family":"Daglia","given":"Maria"},{"family":"Baldi","given":"Alessandra"},{"family":"Devkota","given":"Hari Prasad"},{"family":"Orhan","given":"Ilkay Erdogan"},{"family":"Patra","given":"Jayanta Kumar"},{"family":"Das","given":"Gitishree"},{"family":"Anandharamakrishnan","given":"C."},{"family":"Gomez-Gomez","given":"Lourdes"},{"family":"Nabavi","given":"Seyed Fazel"},{"family":"Nabavi","given":"Seyed Mohammad"},{"family":"Atanasov","given":"Atanas G."}],"issued":{"date-parts":[["2018",3,1]]}}},{"id":428,"uris":["http://zotero.org/users/local/rsD5gSSy/items/XJGE3FR3"],"itemData":{"id":428,"type":"article-journal","abstract":"Phenolic compounds are parts of secondary metabolites mostly found in plant species with enormous structural diversities. They can exist as glycosides or aglycones; matrix or free-bound compounds; and comprising mostly polymerized or monomer structures. Additionally, these compounds are not universally dispensed within plants with varied stability. This has contributed to challenging extraction processes; implying that employing a single step or inappropriate extraction technique might change the recovery of phenolic components from the plant samples. Hence, it is important to select an appropriate extraction method so as to recover the targeted phenolic compounds. This is will helps to recover substantial yields from the sample matrix. Therefore, this review mainly focuses on the phenolic compounds and several methods of extraction that are used to obtaining them from plant materials. These extraction methods includes both conventional and unconventional techniques., \n          \n            Image 1\n            \n          \n        , \n          \n            \n              •\n              Phenolic compounds from natural sources.\n            \n            \n              •\n              Methods of extracting phenolic compounds.\n            \n            \n              •\n              Selection of an appropriate extraction method to recover the targeted phenolic compounds from plant materials.","container-title":"Current Research in Food Science","DOI":"10.1016/j.crfs.2021.03.011","ISSN":"2665-9271","journalAbbreviation":"Curr Res Food Sci","note":"PMID: 33899007\nPMCID: PMC8058613","page":"200-214","source":"PubMed Central","title":"Extraction of phenolic compounds: A review","title-short":"Extraction of phenolic compounds","volume":"4","author":[{"family":"Alara","given":"Oluwaseun Ruth"},{"family":"Abdurahman","given":"Nour Hamid"},{"family":"Ukaegbu","given":"Chinonso Ishamel"}],"issued":{"date-parts":[["2021",4,2]]}}}],"schema":"https://github.com/citation-style-language/schema/raw/master/csl-citation.json"} </w:instrText>
      </w:r>
      <w:r w:rsidR="00F33FF1" w:rsidRPr="00812EE7">
        <w:rPr>
          <w:rFonts w:ascii="Arial" w:hAnsi="Arial" w:cs="Arial"/>
          <w:sz w:val="20"/>
          <w:szCs w:val="20"/>
        </w:rPr>
        <w:fldChar w:fldCharType="separate"/>
      </w:r>
      <w:r w:rsidR="001D5D94" w:rsidRPr="001D5D94">
        <w:rPr>
          <w:rFonts w:ascii="Arial" w:hAnsi="Arial" w:cs="Arial"/>
          <w:sz w:val="20"/>
        </w:rPr>
        <w:t>(Alara et al., 2021; Altemimi et al., 2017; Belwal et al., 2018)</w:t>
      </w:r>
      <w:r w:rsidR="00F33FF1" w:rsidRPr="00812EE7">
        <w:rPr>
          <w:rFonts w:ascii="Arial" w:hAnsi="Arial" w:cs="Arial"/>
          <w:sz w:val="20"/>
          <w:szCs w:val="20"/>
        </w:rPr>
        <w:fldChar w:fldCharType="end"/>
      </w:r>
      <w:r w:rsidR="00A85AEE" w:rsidRPr="00812EE7">
        <w:rPr>
          <w:rFonts w:ascii="Arial" w:hAnsi="Arial" w:cs="Arial"/>
          <w:sz w:val="20"/>
          <w:szCs w:val="20"/>
        </w:rPr>
        <w:t xml:space="preserve">. </w:t>
      </w:r>
      <w:r w:rsidRPr="00812EE7">
        <w:rPr>
          <w:rFonts w:ascii="Arial" w:hAnsi="Arial" w:cs="Arial"/>
          <w:sz w:val="20"/>
          <w:szCs w:val="20"/>
        </w:rPr>
        <w:t>The basis of maceration extraction is the separation of solids from liquids, with water or an organic solvent serving as the liquid phase.</w:t>
      </w:r>
    </w:p>
    <w:p w14:paraId="09759D89" w14:textId="63A6600E" w:rsidR="00A85AEE" w:rsidRPr="00812EE7" w:rsidRDefault="006A67B7" w:rsidP="001D5D94">
      <w:pPr>
        <w:spacing w:before="100" w:beforeAutospacing="1" w:line="240" w:lineRule="auto"/>
        <w:jc w:val="both"/>
        <w:rPr>
          <w:rFonts w:ascii="Arial" w:hAnsi="Arial" w:cs="Arial"/>
          <w:sz w:val="20"/>
          <w:szCs w:val="20"/>
        </w:rPr>
      </w:pPr>
      <w:r w:rsidRPr="00812EE7">
        <w:rPr>
          <w:rFonts w:ascii="Arial" w:hAnsi="Arial" w:cs="Arial"/>
          <w:sz w:val="20"/>
          <w:szCs w:val="20"/>
        </w:rPr>
        <w:t>Another technique is ultrasound extraction, which combines pressure, temperature, and low-frequency vibrations to create cavitation and high-energy bubbles</w:t>
      </w:r>
      <w:r w:rsidR="00D70138" w:rsidRPr="00812EE7">
        <w:rPr>
          <w:rFonts w:ascii="Arial" w:hAnsi="Arial" w:cs="Arial"/>
          <w:sz w:val="20"/>
          <w:szCs w:val="20"/>
        </w:rPr>
        <w:t xml:space="preserve"> </w:t>
      </w:r>
      <w:r w:rsidR="00D70138" w:rsidRPr="00812EE7">
        <w:rPr>
          <w:rFonts w:ascii="Arial" w:hAnsi="Arial" w:cs="Arial"/>
          <w:sz w:val="20"/>
          <w:szCs w:val="20"/>
        </w:rPr>
        <w:fldChar w:fldCharType="begin"/>
      </w:r>
      <w:r w:rsidR="001D5D94">
        <w:rPr>
          <w:rFonts w:ascii="Arial" w:hAnsi="Arial" w:cs="Arial"/>
          <w:sz w:val="20"/>
          <w:szCs w:val="20"/>
        </w:rPr>
        <w:instrText xml:space="preserve"> ADDIN ZOTERO_ITEM CSL_CITATION {"citationID":"nonjRdtH","properties":{"formattedCitation":"(Bitwell et al., 2023; Kapadia et al., 2022)","plainCitation":"(Bitwell et al., 2023; Kapadia et al., 2022)","noteIndex":0},"citationItems":[{"id":446,"uris":["http://zotero.org/users/local/rsD5gSSy/items/ADDKNLIJ"],"itemData":{"id":446,"type":"article-journal","abstract":"For centuries, phytochemicals have been of immense value to communities worldwide. These metabolites have been used in healthcare systems as medicines to treat various diseases. Further, phytochemicals are used as lead compounds in the synthesis of drugs. The extraction of compounds from plant materials is the cornerstone of natural product research. There has been a relentless endeavor to discover better extractive methods. In the same vein, several promising modern green extraction methods such as supercritical fluid, ultrasound, accelerated solvent, microwave, enzyme-assisted extraction methods are gaining significance. This review describes and discusses the various extraction techniques used to obtain the phytochemicals from different plant parts. These extraction techniques include the conventional solvent-based and the more robust modern and green extraction techniques. The review critically analyses the extraction conditions, optimized situations, advantages, and disadvantages of these extraction techniques. The review includes the recent applications of these extraction techniques. The review will propel advanced research and applications in the extraction process, a significant and integral component of natural products research.","container-title":"Scientific African","DOI":"10.1016/j.sciaf.2023.e01585","ISSN":"2468-2276","journalAbbreviation":"Scientific African","page":"e01585","source":"ScienceDirect","title":"A review of modern and conventional extraction techniques and their applications for extracting phytochemicals from plants","volume":"19","author":[{"family":"Bitwell","given":"Chibuye"},{"family":"Indra","given":"Singh Sen"},{"family":"Luke","given":"Chimuka"},{"family":"Kakoma","given":"Maseka Kenneth"}],"issued":{"date-parts":[["2023",3,1]]}}},{"id":448,"uris":["http://zotero.org/users/local/rsD5gSSy/items/9UYIM528"],"itemData":{"id":448,"type":"article-journal","abstract":"Plants produce a variety of high-value chemicals (e.g., secondary metabolites) which have a plethora of biological activities, which may be utilised in many facets of industry (e.g., agrisciences, cosmetics, drugs, neutraceuticals, household products, etc.). Exposure to various different environments, as well as their treatment (e.g., exposure to chemicals), can influence the chemical makeup of these plants and, in turn, which chemicals will be prevalent within them. Essential oils (EOs) usually have complex compositions (&gt;300 organic compounds, e.g., alkaloids, flavonoids, phenolic acids, saponins and terpenes) and are obtained from botanically defined plant raw materials by dry/steam distillation or a suitable mechanical process (without heating). In certain cases, an antioxidant may be added to the EO (EOs are produced by more than 17,500 species of plants, but only ca. 250 EOs are commercially available). The interesting bioactivity of the chemicals produced by plants renders them high in value, motivating investment in their production, extraction and analysis. Traditional methods for effectively extracting plant-derived biomolecules include cold pressing and hydro/steam distillation; newer methods include solvent/Soxhlet extractions and sustainable processes that reduce waste, decrease processing times and deliver competitive yields, examples of which include microwave-assisted extraction (MAE), ultrasound-assisted extraction (UAE), subcritical water extraction (SWE) and supercritical CO2 extraction (scCO2). Once extracted, analytical techniques such as chromatography and mass spectrometry may be used to analyse the contents of the high-value extracts within a given feedstock. The bioactive components, which can be used in a variety of formulations and products (e.g., displaying anti-aging, antibacterial, anticancer, anti-depressive, antifungal, anti-inflammatory, antioxidant, antiparasitic, antiviral and anti-stress properties), are biorenewable high-value chemicals.","container-title":"International Journal of Molecular Sciences","DOI":"10.3390/ijms231810334","ISSN":"1422-0067","issue":"18","language":"en","license":"http://creativecommons.org/licenses/by/3.0/","note":"number: 18\npublisher: Multidisciplinary Digital Publishing Institute","page":"10334","source":"www.mdpi.com","title":"Extraction of High-Value Chemicals from Plants for Technical and Medical Applications","volume":"23","author":[{"family":"Kapadia","given":"Pritam"},{"family":"Newell","given":"Amy S."},{"family":"Cunningham","given":"John"},{"family":"Roberts","given":"Michael R."},{"family":"Hardy","given":"John G."}],"issued":{"date-parts":[["2022",1]]}}}],"schema":"https://github.com/citation-style-language/schema/raw/master/csl-citation.json"} </w:instrText>
      </w:r>
      <w:r w:rsidR="00D70138" w:rsidRPr="00812EE7">
        <w:rPr>
          <w:rFonts w:ascii="Arial" w:hAnsi="Arial" w:cs="Arial"/>
          <w:sz w:val="20"/>
          <w:szCs w:val="20"/>
        </w:rPr>
        <w:fldChar w:fldCharType="separate"/>
      </w:r>
      <w:r w:rsidR="001D5D94" w:rsidRPr="001D5D94">
        <w:rPr>
          <w:rFonts w:ascii="Arial" w:hAnsi="Arial" w:cs="Arial"/>
          <w:sz w:val="20"/>
        </w:rPr>
        <w:t>(Bitwell et al., 2023; Kapadia et al., 2022)</w:t>
      </w:r>
      <w:r w:rsidR="00D70138" w:rsidRPr="00812EE7">
        <w:rPr>
          <w:rFonts w:ascii="Arial" w:hAnsi="Arial" w:cs="Arial"/>
          <w:sz w:val="20"/>
          <w:szCs w:val="20"/>
        </w:rPr>
        <w:fldChar w:fldCharType="end"/>
      </w:r>
      <w:r w:rsidR="003556E1" w:rsidRPr="00812EE7">
        <w:rPr>
          <w:rFonts w:ascii="Arial" w:hAnsi="Arial" w:cs="Arial"/>
          <w:sz w:val="20"/>
          <w:szCs w:val="20"/>
        </w:rPr>
        <w:t>.</w:t>
      </w:r>
    </w:p>
    <w:p w14:paraId="57F9D852" w14:textId="301683AF" w:rsidR="005F3985" w:rsidRPr="00812EE7" w:rsidRDefault="006A67B7" w:rsidP="001D5D94">
      <w:pPr>
        <w:spacing w:before="100" w:beforeAutospacing="1" w:line="240" w:lineRule="auto"/>
        <w:jc w:val="both"/>
        <w:rPr>
          <w:rFonts w:ascii="Arial" w:hAnsi="Arial" w:cs="Arial"/>
          <w:sz w:val="20"/>
          <w:szCs w:val="20"/>
        </w:rPr>
      </w:pPr>
      <w:r w:rsidRPr="00812EE7">
        <w:rPr>
          <w:rFonts w:ascii="Arial" w:hAnsi="Arial" w:cs="Arial"/>
          <w:sz w:val="20"/>
          <w:szCs w:val="20"/>
        </w:rPr>
        <w:t xml:space="preserve">Two techniques were used in this work to prepare the crude extracts of </w:t>
      </w:r>
      <w:r w:rsidRPr="00812EE7">
        <w:rPr>
          <w:rFonts w:ascii="Arial" w:hAnsi="Arial" w:cs="Arial"/>
          <w:i/>
          <w:iCs/>
          <w:sz w:val="20"/>
          <w:szCs w:val="20"/>
        </w:rPr>
        <w:t>Catharanthus roseus</w:t>
      </w:r>
      <w:r w:rsidRPr="00812EE7">
        <w:rPr>
          <w:rFonts w:ascii="Arial" w:hAnsi="Arial" w:cs="Arial"/>
          <w:sz w:val="20"/>
          <w:szCs w:val="20"/>
        </w:rPr>
        <w:t xml:space="preserve">, resulting in varying levels of flavonoid and phenolic content. </w:t>
      </w:r>
      <w:r w:rsidR="00535554" w:rsidRPr="00812EE7">
        <w:rPr>
          <w:rFonts w:ascii="Arial" w:hAnsi="Arial" w:cs="Arial"/>
          <w:sz w:val="20"/>
          <w:szCs w:val="20"/>
        </w:rPr>
        <w:t>It is well known that the yield of extracted phenolics is influenced by several parameters, such as solvent polarity and the extraction procedure</w:t>
      </w:r>
      <w:r w:rsidR="00D70138" w:rsidRPr="00812EE7">
        <w:rPr>
          <w:rFonts w:ascii="Arial" w:hAnsi="Arial" w:cs="Arial"/>
          <w:sz w:val="20"/>
          <w:szCs w:val="20"/>
        </w:rPr>
        <w:t xml:space="preserve"> </w:t>
      </w:r>
      <w:r w:rsidR="0065050F" w:rsidRPr="00812EE7">
        <w:rPr>
          <w:rFonts w:ascii="Arial" w:hAnsi="Arial" w:cs="Arial"/>
          <w:sz w:val="20"/>
          <w:szCs w:val="20"/>
        </w:rPr>
        <w:fldChar w:fldCharType="begin"/>
      </w:r>
      <w:r w:rsidR="001D5D94">
        <w:rPr>
          <w:rFonts w:ascii="Arial" w:hAnsi="Arial" w:cs="Arial"/>
          <w:sz w:val="20"/>
          <w:szCs w:val="20"/>
        </w:rPr>
        <w:instrText xml:space="preserve"> ADDIN ZOTERO_ITEM CSL_CITATION {"citationID":"rcPD4prQ","properties":{"formattedCitation":"(Do et al., 2014)","plainCitation":"(Do et al., 2014)","noteIndex":0},"citationItems":[{"id":9,"uris":["http://zotero.org/users/local/rsD5gSSy/items/XEKR94YK"],"itemData":{"id":9,"type":"article-journal","abstract":"Limnophila aromatica is commonly used as a spice and a medicinal herb in Southeast Asia. In this study, water and various concentrations (50%, 75%, and 100%) of methanol, ethanol, and acetone in water were used as solvent in the extraction of L. aromatica. The antioxidant activity, total phenolic content, and total flavonoid content of the freeze-dried L. aromatica extracts were investigated using various in vitro assays. The extract obtained by 100% ethanol showed the highest total antioxidant activity, reducing power and DPPH (2,2-diphenyl-1-picrylhydrazyl) radical scavenging activity. The same extract also exhibited the highest phenolic content (40.5 mg gallic acid equivalent/g of defatted L. aromatica) and the highest flavonoid content (31.11 mg quercetin equivalent/g of defatted L. aromatica). The highest extraction yield was obtained by using 50% aqueous acetone. These results indicate that L. aromatica can be used in dietary applications with a potential to reduce oxidative stress.","container-title":"Journal of Food and Drug Analysis","DOI":"10.1016/j.jfda.2013.11.001","ISSN":"1021-9498","issue":"3","journalAbbreviation":"Journal of Food and Drug Analysis","language":"en","page":"296-302","source":"ScienceDirect","title":"Effect of extraction solvent on total phenol content, total flavonoid content, and antioxidant activity of Limnophila aromatica","volume":"22","author":[{"family":"Do","given":"Quy Diem"},{"family":"Angkawijaya","given":"Artik Elisa"},{"family":"Tran-Nguyen","given":"Phuong Lan"},{"family":"Huynh","given":"Lien Huong"},{"family":"Soetaredjo","given":"Felycia Edi"},{"family":"Ismadji","given":"Suryadi"},{"family":"Ju","given":"Yi-Hsu"}],"issued":{"date-parts":[["2014",9,1]]}}}],"schema":"https://github.com/citation-style-language/schema/raw/master/csl-citation.json"} </w:instrText>
      </w:r>
      <w:r w:rsidR="0065050F" w:rsidRPr="00812EE7">
        <w:rPr>
          <w:rFonts w:ascii="Arial" w:hAnsi="Arial" w:cs="Arial"/>
          <w:sz w:val="20"/>
          <w:szCs w:val="20"/>
        </w:rPr>
        <w:fldChar w:fldCharType="separate"/>
      </w:r>
      <w:r w:rsidR="001D5D94" w:rsidRPr="001D5D94">
        <w:rPr>
          <w:rFonts w:ascii="Arial" w:hAnsi="Arial" w:cs="Arial"/>
          <w:sz w:val="20"/>
        </w:rPr>
        <w:t>(Do et al., 2014)</w:t>
      </w:r>
      <w:r w:rsidR="0065050F" w:rsidRPr="00812EE7">
        <w:rPr>
          <w:rFonts w:ascii="Arial" w:hAnsi="Arial" w:cs="Arial"/>
          <w:sz w:val="20"/>
          <w:szCs w:val="20"/>
        </w:rPr>
        <w:fldChar w:fldCharType="end"/>
      </w:r>
      <w:r w:rsidR="005F3985" w:rsidRPr="00812EE7">
        <w:rPr>
          <w:rFonts w:ascii="Arial" w:hAnsi="Arial" w:cs="Arial"/>
          <w:sz w:val="20"/>
          <w:szCs w:val="20"/>
        </w:rPr>
        <w:t xml:space="preserve">. </w:t>
      </w:r>
      <w:r w:rsidRPr="00812EE7">
        <w:rPr>
          <w:rFonts w:ascii="Arial" w:hAnsi="Arial" w:cs="Arial"/>
          <w:sz w:val="20"/>
          <w:szCs w:val="20"/>
        </w:rPr>
        <w:t xml:space="preserve">In line with other investigations, the current investigation discovered that sonication-prepared extracts had significant concentrations of phenolics and flavonoids. </w:t>
      </w:r>
      <w:r w:rsidR="005F3985" w:rsidRPr="00812EE7">
        <w:rPr>
          <w:rFonts w:ascii="Arial" w:hAnsi="Arial" w:cs="Arial"/>
          <w:sz w:val="20"/>
          <w:szCs w:val="20"/>
        </w:rPr>
        <w:t>(</w:t>
      </w:r>
      <w:r w:rsidR="0065050F" w:rsidRPr="00812EE7">
        <w:rPr>
          <w:rFonts w:ascii="Arial" w:hAnsi="Arial" w:cs="Arial"/>
          <w:sz w:val="20"/>
          <w:szCs w:val="20"/>
        </w:rPr>
        <w:fldChar w:fldCharType="begin"/>
      </w:r>
      <w:r w:rsidR="001D5D94">
        <w:rPr>
          <w:rFonts w:ascii="Arial" w:hAnsi="Arial" w:cs="Arial"/>
          <w:sz w:val="20"/>
          <w:szCs w:val="20"/>
        </w:rPr>
        <w:instrText xml:space="preserve"> ADDIN ZOTERO_ITEM CSL_CITATION {"citationID":"JNKcojFc","properties":{"formattedCitation":"(Dubey, 2014; Siddhuraju &amp; Becker, 2003)","plainCitation":"(Dubey, 2014; Siddhuraju &amp; Becker, 2003)","noteIndex":0},"citationItems":[{"id":450,"uris":["http://zotero.org/users/local/rsD5gSSy/items/7IWBSEBM"],"itemData":{"id":450,"type":"article-journal","abstract":"Water, aqueous methanol, and aqueous ethanol extracts of freeze-dried leaves of Moringa oleifera Lam. from different agroclimatic regions were examined for radical scavenging capacities and antioxidant activities. All leaf extracts were capable of scavenging peroxyl and superoxyl radicals. Similar scavenging activities for different solvent extracts of each collection were found for the stable 1,1-diphenyl 2-picrylhydrazyl (DPPH•) radical. Among the three different moringa samples, both methanol and ethanol extracts of Indian origins showed the highest antioxidant activities, 65.1 and 66.8%, respectively, in the β-carotene−linoleic acid system. Nonetheless, increasing concentration of all the extracts had significantly (P &lt; 0.05) increased reducing power, which may in part be responsible for their antioxidant activity. The major bioactive compounds of phenolics were found to be flavonoid groups such as quercetin and kaempferol. On the basis of the results obtained, moringa leaves are found to be a potential source of natural antioxidants due to their marked antioxidant activity. This is the first report on the antioxidant properties of the extracts from freeze-dried moringa leaves. Overall, both methanol (80%) and ethanol (70%) were found to be the best solvents for the extraction of antioxidant compounds from moringa leaves. Keywords: Moringa oleifera leaves; flavonoids; quercetin; kaempferol; antioxidant activity; lipid peroxidation; reducing power; free radicals","container-title":"Journal of Agricultural and Food Chemistry","DOI":"10.1021/jf020444+","ISSN":"0021-8561","issue":"8","journalAbbreviation":"J. Agric. Food Chem.","note":"publisher: American Chemical Society","page":"2144-2155","source":"ACS Publications","title":"Antioxidant Properties of Various Solvent Extracts of Total Phenolic Constituents from Three Different Agroclimatic Origins of Drumstick Tree (Moringa oleifera Lam.) Leaves","volume":"51","author":[{"family":"Siddhuraju","given":"Perumal"},{"family":"Becker","given":"Klaus"}],"issued":{"date-parts":[["2003",4,1]]}}},{"id":208,"uris":["http://zotero.org/users/local/rsD5gSSy/items/MD3PPBEX"],"itemData":{"id":208,"type":"article-journal","abstract":"In the present study three medicinal plants i.e. Ecliptic alba, Cathranthusroseus and Swertiachirata were selected and screened for different bioactive compounds of medicinal importance. For this purpose methanolic extracts of the leaves and stems of these medicinal plants were prepared and tested for the presence of different phytochemical compounds. These plants were found to contain alkaloids, carbohydrates, phenols, tannins, flavonoids, proteins, saponins and glycosides. Presence of alkaloids was higher in the leaves and stems of C. roseus as compared to E. alba and S. chirata. However, carbohydrates and proteins were similar in the methanolic extract of leaves and stems of all the three plants. Qualitative analysis showed that the total flavonoids contents were 15.5, 16.2 and 18.3 mg/g in leaves and 8.5, 9.4 and 9.2 mg/g in stems of Ecliptaalba, Cathranthusroseus and Swertiachirata, respectively. Thetotal phenolic contents were 7.4, 8.3 and 5.5 mg/g in leaves and 4.9, 5.3 and 6.2 mg/g in stems of E.alba, C.roseus and S.chirata, respectively. Presence of different bioactive compounds in the methanolic extracts of leaves and stems of these plants suggested that they may be effectively used in the traditional medicine system for the treatment of different disease conditions.","language":"en","page":"7","source":"Zotero","title":"Phytochemical status of some selected medicinal plants (Eclipta alba, Cathranthus roseus and Swertia chirata)","author":[{"family":"Dubey","given":"Maneesha"}],"issued":{"date-parts":[["2014"]]}}}],"schema":"https://github.com/citation-style-language/schema/raw/master/csl-citation.json"} </w:instrText>
      </w:r>
      <w:r w:rsidR="0065050F" w:rsidRPr="00812EE7">
        <w:rPr>
          <w:rFonts w:ascii="Arial" w:hAnsi="Arial" w:cs="Arial"/>
          <w:sz w:val="20"/>
          <w:szCs w:val="20"/>
        </w:rPr>
        <w:fldChar w:fldCharType="separate"/>
      </w:r>
      <w:r w:rsidR="001D5D94" w:rsidRPr="001D5D94">
        <w:rPr>
          <w:rFonts w:ascii="Arial" w:hAnsi="Arial" w:cs="Arial"/>
          <w:sz w:val="20"/>
        </w:rPr>
        <w:t>(Dubey, 2014; Siddhuraju &amp; Becker, 2003)</w:t>
      </w:r>
      <w:r w:rsidR="0065050F" w:rsidRPr="00812EE7">
        <w:rPr>
          <w:rFonts w:ascii="Arial" w:hAnsi="Arial" w:cs="Arial"/>
          <w:sz w:val="20"/>
          <w:szCs w:val="20"/>
        </w:rPr>
        <w:fldChar w:fldCharType="end"/>
      </w:r>
      <w:r w:rsidR="00E86315" w:rsidRPr="00812EE7">
        <w:rPr>
          <w:rFonts w:ascii="Arial" w:hAnsi="Arial" w:cs="Arial"/>
          <w:sz w:val="20"/>
          <w:szCs w:val="20"/>
        </w:rPr>
        <w:t>.</w:t>
      </w:r>
      <w:r w:rsidR="005F3985" w:rsidRPr="00812EE7">
        <w:rPr>
          <w:rFonts w:ascii="Arial" w:hAnsi="Arial" w:cs="Arial"/>
          <w:sz w:val="20"/>
          <w:szCs w:val="20"/>
        </w:rPr>
        <w:t xml:space="preserve"> </w:t>
      </w:r>
      <w:r w:rsidRPr="00812EE7">
        <w:rPr>
          <w:rFonts w:ascii="Arial" w:hAnsi="Arial" w:cs="Arial"/>
          <w:sz w:val="20"/>
          <w:szCs w:val="20"/>
        </w:rPr>
        <w:t xml:space="preserve">The capacity of medicinal herbs to scavenge </w:t>
      </w:r>
      <w:r w:rsidR="008364F5" w:rsidRPr="00812EE7">
        <w:rPr>
          <w:rFonts w:ascii="Arial" w:hAnsi="Arial" w:cs="Arial"/>
          <w:sz w:val="20"/>
          <w:szCs w:val="20"/>
        </w:rPr>
        <w:t xml:space="preserve">free </w:t>
      </w:r>
      <w:r w:rsidRPr="00812EE7">
        <w:rPr>
          <w:rFonts w:ascii="Arial" w:hAnsi="Arial" w:cs="Arial"/>
          <w:sz w:val="20"/>
          <w:szCs w:val="20"/>
        </w:rPr>
        <w:t xml:space="preserve">radicals is an </w:t>
      </w:r>
      <w:proofErr w:type="gramStart"/>
      <w:r w:rsidR="00FA54D8" w:rsidRPr="00812EE7">
        <w:rPr>
          <w:rFonts w:ascii="Arial" w:hAnsi="Arial" w:cs="Arial"/>
          <w:sz w:val="20"/>
          <w:szCs w:val="20"/>
        </w:rPr>
        <w:t>often used</w:t>
      </w:r>
      <w:proofErr w:type="gramEnd"/>
      <w:r w:rsidR="00AC399C" w:rsidRPr="00812EE7">
        <w:rPr>
          <w:rFonts w:ascii="Arial" w:hAnsi="Arial" w:cs="Arial"/>
          <w:sz w:val="20"/>
          <w:szCs w:val="20"/>
        </w:rPr>
        <w:t xml:space="preserve"> indicator</w:t>
      </w:r>
      <w:r w:rsidRPr="00812EE7">
        <w:rPr>
          <w:rFonts w:ascii="Arial" w:hAnsi="Arial" w:cs="Arial"/>
          <w:sz w:val="20"/>
          <w:szCs w:val="20"/>
        </w:rPr>
        <w:t xml:space="preserve"> of their antioxidant activity. The current investigations assessed the degree of </w:t>
      </w:r>
      <w:r w:rsidR="008364F5" w:rsidRPr="00812EE7">
        <w:rPr>
          <w:rFonts w:ascii="Arial" w:hAnsi="Arial" w:cs="Arial"/>
          <w:sz w:val="20"/>
          <w:szCs w:val="20"/>
        </w:rPr>
        <w:t xml:space="preserve">Nitric Oxide free </w:t>
      </w:r>
      <w:r w:rsidRPr="00812EE7">
        <w:rPr>
          <w:rFonts w:ascii="Arial" w:hAnsi="Arial" w:cs="Arial"/>
          <w:sz w:val="20"/>
          <w:szCs w:val="20"/>
        </w:rPr>
        <w:t xml:space="preserve">radical scavenging at various doses of leaf extracts of </w:t>
      </w:r>
      <w:r w:rsidRPr="00812EE7">
        <w:rPr>
          <w:rFonts w:ascii="Arial" w:hAnsi="Arial" w:cs="Arial"/>
          <w:i/>
          <w:iCs/>
          <w:sz w:val="20"/>
          <w:szCs w:val="20"/>
        </w:rPr>
        <w:t>C</w:t>
      </w:r>
      <w:r w:rsidR="008A01BE" w:rsidRPr="00812EE7">
        <w:rPr>
          <w:rFonts w:ascii="Arial" w:hAnsi="Arial" w:cs="Arial"/>
          <w:i/>
          <w:iCs/>
          <w:sz w:val="20"/>
          <w:szCs w:val="20"/>
        </w:rPr>
        <w:t>.</w:t>
      </w:r>
      <w:r w:rsidRPr="00812EE7">
        <w:rPr>
          <w:rFonts w:ascii="Arial" w:hAnsi="Arial" w:cs="Arial"/>
          <w:i/>
          <w:iCs/>
          <w:sz w:val="20"/>
          <w:szCs w:val="20"/>
        </w:rPr>
        <w:t xml:space="preserve"> roseus</w:t>
      </w:r>
      <w:r w:rsidRPr="00812EE7">
        <w:rPr>
          <w:rFonts w:ascii="Arial" w:hAnsi="Arial" w:cs="Arial"/>
          <w:sz w:val="20"/>
          <w:szCs w:val="20"/>
        </w:rPr>
        <w:t xml:space="preserve"> made using two distinct techniques. </w:t>
      </w:r>
      <w:r w:rsidR="00A61ECF" w:rsidRPr="00812EE7">
        <w:rPr>
          <w:rFonts w:ascii="Arial" w:hAnsi="Arial" w:cs="Arial"/>
          <w:sz w:val="20"/>
          <w:szCs w:val="20"/>
        </w:rPr>
        <w:t xml:space="preserve">Nitric oxide free radicals are generated when they encounter oxygen or superoxide. It acts as a pro-inflammatory agent, but if produced for a prolonged duration, it causes tissue damage and can induce chronic inflammation, which in turn reduces longevity </w:t>
      </w:r>
      <w:r w:rsidR="00A61ECF" w:rsidRPr="00812EE7">
        <w:rPr>
          <w:rFonts w:ascii="Arial" w:hAnsi="Arial" w:cs="Arial"/>
          <w:sz w:val="20"/>
          <w:szCs w:val="20"/>
        </w:rPr>
        <w:fldChar w:fldCharType="begin"/>
      </w:r>
      <w:r w:rsidR="001D5D94">
        <w:rPr>
          <w:rFonts w:ascii="Arial" w:hAnsi="Arial" w:cs="Arial"/>
          <w:sz w:val="20"/>
          <w:szCs w:val="20"/>
        </w:rPr>
        <w:instrText xml:space="preserve"> ADDIN ZOTERO_ITEM CSL_CITATION {"citationID":"5jbFb4Cy","properties":{"formattedCitation":"(Mfotie Njoya et al., 2017; Sheikh, n.d.)","plainCitation":"(Mfotie Njoya et al., 2017; Sheikh, n.d.)","noteIndex":0},"citationItems":[{"id":477,"uris":["http://zotero.org/users/local/rsD5gSSy/items/MUNDAVD2"],"itemData":{"id":477,"type":"article-journal","abstract":"Free radicals have been implicated in the pathogenesis of diverse metabolic disorders including cancer. Therefore, fighting against free radicals has become an important strategy in the prevention or treatment of such diseases, in addition to direct or indirect anticancer chemotherapy. Sarcocephalus pobeguinii has been used traditionally to treat various diseases in which excess production of free radicals is implicated, warranting investigation of its free radical scavenging, anticancer and anti-inflammatory activity.","container-title":"BMC Complementary and Alternative Medicine","DOI":"10.1186/s12906-017-1712-5","ISSN":"1472-6882","issue":"1","journalAbbreviation":"BMC Complementary and Alternative Medicine","page":"199","source":"BioMed Central","title":"Phytochemical analysis with free radical scavenging, nitric oxide inhibition and antiproliferative activity of Sarcocephalus pobeguinii extracts","volume":"17","author":[{"family":"Mfotie Njoya","given":"Emmanuel"},{"family":"Munvera","given":"Aristide Mfifen"},{"family":"Mkounga","given":"Pierre"},{"family":"Nkengfack","given":"Augustin Ephrem"},{"family":"McGaw","given":"Lyndy Joy"}],"issued":{"date-parts":[["2017",4,4]]}}},{"id":475,"uris":["http://zotero.org/users/local/rsD5gSSy/items/3LBDMLEF"],"itemData":{"id":475,"type":"post-weblog","language":"en-US","title":"Evaluation of Free Radical-Scavenging and Nitric Oxide Inhibition Activities of Selected Medicinal Plants – Material Science Research India","URL":"https://www.materialsciencejournal.org/specialissue2023/evaluation-of-free-radical-scavenging-and-nitric-oxide-inhibition-activities-of-selected-medicinal-plants/","author":[{"family":"Sheikh","given":"Taha"}],"accessed":{"date-parts":[["2024",6,18]]}}}],"schema":"https://github.com/citation-style-language/schema/raw/master/csl-citation.json"} </w:instrText>
      </w:r>
      <w:r w:rsidR="00A61ECF" w:rsidRPr="00812EE7">
        <w:rPr>
          <w:rFonts w:ascii="Arial" w:hAnsi="Arial" w:cs="Arial"/>
          <w:sz w:val="20"/>
          <w:szCs w:val="20"/>
        </w:rPr>
        <w:fldChar w:fldCharType="separate"/>
      </w:r>
      <w:r w:rsidR="001D5D94" w:rsidRPr="001D5D94">
        <w:rPr>
          <w:rFonts w:ascii="Arial" w:hAnsi="Arial" w:cs="Arial"/>
          <w:sz w:val="20"/>
        </w:rPr>
        <w:t>(Mfotie Njoya et al., 2017; Sheikh, n.d.)</w:t>
      </w:r>
      <w:r w:rsidR="00A61ECF" w:rsidRPr="00812EE7">
        <w:rPr>
          <w:rFonts w:ascii="Arial" w:hAnsi="Arial" w:cs="Arial"/>
          <w:sz w:val="20"/>
          <w:szCs w:val="20"/>
        </w:rPr>
        <w:fldChar w:fldCharType="end"/>
      </w:r>
      <w:r w:rsidR="00A61ECF" w:rsidRPr="00812EE7">
        <w:rPr>
          <w:rFonts w:ascii="Arial" w:hAnsi="Arial" w:cs="Arial"/>
          <w:sz w:val="20"/>
          <w:szCs w:val="20"/>
        </w:rPr>
        <w:t xml:space="preserve">. In the present study, it was found that a higher concentration of plant extracts produced by the sonication method effectively </w:t>
      </w:r>
      <w:r w:rsidR="00FA54D8" w:rsidRPr="00812EE7">
        <w:rPr>
          <w:rFonts w:ascii="Arial" w:hAnsi="Arial" w:cs="Arial"/>
          <w:sz w:val="20"/>
          <w:szCs w:val="20"/>
        </w:rPr>
        <w:t>scavenges</w:t>
      </w:r>
      <w:r w:rsidR="00A61ECF" w:rsidRPr="00812EE7">
        <w:rPr>
          <w:rFonts w:ascii="Arial" w:hAnsi="Arial" w:cs="Arial"/>
          <w:sz w:val="20"/>
          <w:szCs w:val="20"/>
        </w:rPr>
        <w:t xml:space="preserve"> the Nitric oxides. </w:t>
      </w:r>
    </w:p>
    <w:p w14:paraId="29C46EA4" w14:textId="6A00A2E2" w:rsidR="000221CD" w:rsidRPr="00812EE7" w:rsidRDefault="00535554" w:rsidP="001D5D94">
      <w:pPr>
        <w:spacing w:before="100" w:beforeAutospacing="1" w:line="240" w:lineRule="auto"/>
        <w:jc w:val="both"/>
        <w:rPr>
          <w:rFonts w:ascii="Arial" w:hAnsi="Arial" w:cs="Arial"/>
          <w:sz w:val="20"/>
          <w:szCs w:val="20"/>
        </w:rPr>
      </w:pPr>
      <w:r w:rsidRPr="00812EE7">
        <w:rPr>
          <w:rFonts w:ascii="Arial" w:hAnsi="Arial" w:cs="Arial"/>
          <w:sz w:val="20"/>
          <w:szCs w:val="20"/>
        </w:rPr>
        <w:t xml:space="preserve">To assess the effectiveness of the generated plant extracts, the </w:t>
      </w:r>
      <w:r w:rsidRPr="00812EE7">
        <w:rPr>
          <w:rFonts w:ascii="Arial" w:hAnsi="Arial" w:cs="Arial"/>
          <w:i/>
          <w:iCs/>
          <w:sz w:val="20"/>
          <w:szCs w:val="20"/>
        </w:rPr>
        <w:t>C. elegans</w:t>
      </w:r>
      <w:r w:rsidRPr="00812EE7">
        <w:rPr>
          <w:rFonts w:ascii="Arial" w:hAnsi="Arial" w:cs="Arial"/>
          <w:sz w:val="20"/>
          <w:szCs w:val="20"/>
        </w:rPr>
        <w:t xml:space="preserve"> model—which is frequently employed to screen and assess the antiaging activity of various substances—was also employed</w:t>
      </w:r>
      <w:r w:rsidR="00D70138" w:rsidRPr="00812EE7">
        <w:rPr>
          <w:rFonts w:ascii="Arial" w:hAnsi="Arial" w:cs="Arial"/>
          <w:sz w:val="20"/>
          <w:szCs w:val="20"/>
        </w:rPr>
        <w:t xml:space="preserve"> </w:t>
      </w:r>
      <w:r w:rsidR="00C31301" w:rsidRPr="00812EE7">
        <w:rPr>
          <w:rFonts w:ascii="Arial" w:hAnsi="Arial" w:cs="Arial"/>
          <w:sz w:val="20"/>
          <w:szCs w:val="20"/>
        </w:rPr>
        <w:fldChar w:fldCharType="begin"/>
      </w:r>
      <w:r w:rsidR="001D5D94">
        <w:rPr>
          <w:rFonts w:ascii="Arial" w:hAnsi="Arial" w:cs="Arial"/>
          <w:sz w:val="20"/>
          <w:szCs w:val="20"/>
        </w:rPr>
        <w:instrText xml:space="preserve"> ADDIN ZOTERO_ITEM CSL_CITATION {"citationID":"WmO12ypi","properties":{"formattedCitation":"(Xu et al., 2023)","plainCitation":"(Xu et al., 2023)","noteIndex":0},"citationItems":[{"id":444,"uris":["http://zotero.org/users/local/rsD5gSSy/items/6BWTY5VH"],"itemData":{"id":444,"type":"article-journal","abstract":"Curcumin is well known as a potent antioxidant and free radical scavenger and has great potential for anti-aging applications. In this study, we investigate the molecular mechanism of curcumin in prolonging the lifespan of C. elegans. Four concentrations of curcumin (10, 25, 50, and 100 µM) were administered, and the optimal treatment concentration was determined by analyzing the nematode lifespan, physiology, and biochemistry. Additionally, RNA-seq and qRT-PCR were performed to explore the antioxidant effect of curcumin and its underlying mechanism. Results revealed that curcumin could significantly improve the survival capacity of C. elegans without influencing its growth. Curcumin was observed to significantly decrease the levels of reactive oxygen species (ROS) under extreme conditions such as heat stress and paraquat stress. In addition, curcumin increased the amount of nematode mitochondrial DNA (mtDNA) replication. RNA-seq results revealed that the underlying mechanism of curcumin in C. elegans is related to the mitogen-activated protein kinase (MAPK) pathway. qRT-PCR results confirmed that the expression of oxidative stress-related genes (sod-1, sod-2, sod-3, gst-4) was increased, and the expression of MAPK signaling pathway-related genes (sek-1, pmk-1, nsy-1) was significantly downregulated. Furthermore, the administration of curcumin extended the lifespan of nematodes, potentially through the enhancement of oxidative stress resistance and the downregulation of the MAPK signaling pathway. These findings improve our understanding of both lifespan extension and the potential mechanism of curcumin in C. elegans.","container-title":"Frontiers in Pharmacology","ISSN":"1663-9812","source":"Frontiers","title":"Curcumin supplementation increases longevity and antioxidant capacity in Caenorhabditis elegans","URL":"https://www.frontiersin.org/articles/10.3389/fphar.2023.1195490","volume":"14","author":[{"family":"Xu","given":"Jianing"},{"family":"Du","given":"Pengyun"},{"family":"Liu","given":"Xiaoyu"},{"family":"Xu","given":"Xiao"},{"family":"Ge","given":"Yuting"},{"family":"Zhang","given":"Chenggang"}],"accessed":{"date-parts":[["2023",11,27]]},"issued":{"date-parts":[["2023"]]}}}],"schema":"https://github.com/citation-style-language/schema/raw/master/csl-citation.json"} </w:instrText>
      </w:r>
      <w:r w:rsidR="00C31301" w:rsidRPr="00812EE7">
        <w:rPr>
          <w:rFonts w:ascii="Arial" w:hAnsi="Arial" w:cs="Arial"/>
          <w:sz w:val="20"/>
          <w:szCs w:val="20"/>
        </w:rPr>
        <w:fldChar w:fldCharType="separate"/>
      </w:r>
      <w:r w:rsidR="001D5D94" w:rsidRPr="001D5D94">
        <w:rPr>
          <w:rFonts w:ascii="Arial" w:hAnsi="Arial" w:cs="Arial"/>
          <w:sz w:val="20"/>
        </w:rPr>
        <w:t>(Xu et al., 2023)</w:t>
      </w:r>
      <w:r w:rsidR="00C31301" w:rsidRPr="00812EE7">
        <w:rPr>
          <w:rFonts w:ascii="Arial" w:hAnsi="Arial" w:cs="Arial"/>
          <w:sz w:val="20"/>
          <w:szCs w:val="20"/>
        </w:rPr>
        <w:fldChar w:fldCharType="end"/>
      </w:r>
      <w:r w:rsidR="000221CD" w:rsidRPr="00812EE7">
        <w:rPr>
          <w:rFonts w:ascii="Arial" w:hAnsi="Arial" w:cs="Arial"/>
          <w:sz w:val="20"/>
          <w:szCs w:val="20"/>
        </w:rPr>
        <w:t xml:space="preserve">. </w:t>
      </w:r>
      <w:r w:rsidR="006A67B7" w:rsidRPr="00812EE7">
        <w:rPr>
          <w:rFonts w:ascii="Arial" w:hAnsi="Arial" w:cs="Arial"/>
          <w:sz w:val="20"/>
          <w:szCs w:val="20"/>
        </w:rPr>
        <w:t xml:space="preserve">Three distinct doses of both extracts were utilized in the current investigation to slow down </w:t>
      </w:r>
      <w:r w:rsidR="006A67B7" w:rsidRPr="00812EE7">
        <w:rPr>
          <w:rFonts w:ascii="Arial" w:hAnsi="Arial" w:cs="Arial"/>
          <w:i/>
          <w:iCs/>
          <w:sz w:val="20"/>
          <w:szCs w:val="20"/>
        </w:rPr>
        <w:t>C. elegans'</w:t>
      </w:r>
      <w:r w:rsidR="006A67B7" w:rsidRPr="00812EE7">
        <w:rPr>
          <w:rFonts w:ascii="Arial" w:hAnsi="Arial" w:cs="Arial"/>
          <w:sz w:val="20"/>
          <w:szCs w:val="20"/>
        </w:rPr>
        <w:t xml:space="preserve"> aging process. The life duration of </w:t>
      </w:r>
      <w:proofErr w:type="gramStart"/>
      <w:r w:rsidR="006A67B7" w:rsidRPr="00812EE7">
        <w:rPr>
          <w:rFonts w:ascii="Arial" w:hAnsi="Arial" w:cs="Arial"/>
          <w:i/>
          <w:iCs/>
          <w:sz w:val="20"/>
          <w:szCs w:val="20"/>
        </w:rPr>
        <w:t>C</w:t>
      </w:r>
      <w:r w:rsidR="00D70138" w:rsidRPr="00812EE7">
        <w:rPr>
          <w:rFonts w:ascii="Arial" w:hAnsi="Arial" w:cs="Arial"/>
          <w:i/>
          <w:iCs/>
          <w:sz w:val="20"/>
          <w:szCs w:val="20"/>
        </w:rPr>
        <w:t xml:space="preserve"> </w:t>
      </w:r>
      <w:r w:rsidR="006A67B7" w:rsidRPr="00812EE7">
        <w:rPr>
          <w:rFonts w:ascii="Arial" w:hAnsi="Arial" w:cs="Arial"/>
          <w:i/>
          <w:iCs/>
          <w:sz w:val="20"/>
          <w:szCs w:val="20"/>
        </w:rPr>
        <w:t>.elegans</w:t>
      </w:r>
      <w:proofErr w:type="gramEnd"/>
      <w:r w:rsidR="006A67B7" w:rsidRPr="00812EE7">
        <w:rPr>
          <w:rFonts w:ascii="Arial" w:hAnsi="Arial" w:cs="Arial"/>
          <w:sz w:val="20"/>
          <w:szCs w:val="20"/>
        </w:rPr>
        <w:t xml:space="preserve"> was shown to be greatly extended by </w:t>
      </w:r>
      <w:r w:rsidR="006A67B7" w:rsidRPr="00812EE7">
        <w:rPr>
          <w:rFonts w:ascii="Arial" w:hAnsi="Arial" w:cs="Arial"/>
          <w:i/>
          <w:iCs/>
          <w:sz w:val="20"/>
          <w:szCs w:val="20"/>
        </w:rPr>
        <w:t>C</w:t>
      </w:r>
      <w:r w:rsidR="008A01BE" w:rsidRPr="00812EE7">
        <w:rPr>
          <w:rFonts w:ascii="Arial" w:hAnsi="Arial" w:cs="Arial"/>
          <w:i/>
          <w:iCs/>
          <w:sz w:val="20"/>
          <w:szCs w:val="20"/>
        </w:rPr>
        <w:t>.</w:t>
      </w:r>
      <w:r w:rsidR="006A67B7" w:rsidRPr="00812EE7">
        <w:rPr>
          <w:rFonts w:ascii="Arial" w:hAnsi="Arial" w:cs="Arial"/>
          <w:i/>
          <w:iCs/>
          <w:sz w:val="20"/>
          <w:szCs w:val="20"/>
        </w:rPr>
        <w:t xml:space="preserve"> roseus</w:t>
      </w:r>
      <w:r w:rsidR="006A67B7" w:rsidRPr="00812EE7">
        <w:rPr>
          <w:rFonts w:ascii="Arial" w:hAnsi="Arial" w:cs="Arial"/>
          <w:sz w:val="20"/>
          <w:szCs w:val="20"/>
        </w:rPr>
        <w:t xml:space="preserve"> extracts at different concentrations. The greatest influence on life span extension was noted at a concentration of 1mg/ml of </w:t>
      </w:r>
      <w:r w:rsidR="006A67B7" w:rsidRPr="00812EE7">
        <w:rPr>
          <w:rFonts w:ascii="Arial" w:hAnsi="Arial" w:cs="Arial"/>
          <w:i/>
          <w:iCs/>
          <w:sz w:val="20"/>
          <w:szCs w:val="20"/>
        </w:rPr>
        <w:t>C</w:t>
      </w:r>
      <w:r w:rsidR="008A01BE" w:rsidRPr="00812EE7">
        <w:rPr>
          <w:rFonts w:ascii="Arial" w:hAnsi="Arial" w:cs="Arial"/>
          <w:i/>
          <w:iCs/>
          <w:sz w:val="20"/>
          <w:szCs w:val="20"/>
        </w:rPr>
        <w:t>.</w:t>
      </w:r>
      <w:r w:rsidR="006A67B7" w:rsidRPr="00812EE7">
        <w:rPr>
          <w:rFonts w:ascii="Arial" w:hAnsi="Arial" w:cs="Arial"/>
          <w:i/>
          <w:iCs/>
          <w:sz w:val="20"/>
          <w:szCs w:val="20"/>
        </w:rPr>
        <w:t xml:space="preserve"> roseus</w:t>
      </w:r>
      <w:r w:rsidR="006A67B7" w:rsidRPr="00812EE7">
        <w:rPr>
          <w:rFonts w:ascii="Arial" w:hAnsi="Arial" w:cs="Arial"/>
          <w:sz w:val="20"/>
          <w:szCs w:val="20"/>
        </w:rPr>
        <w:t xml:space="preserve"> extract made using the sonication method.</w:t>
      </w:r>
    </w:p>
    <w:p w14:paraId="0AEACAF0" w14:textId="4B492DF6" w:rsidR="0027712F" w:rsidRPr="00624023" w:rsidRDefault="00C9633E" w:rsidP="00A5476B">
      <w:pPr>
        <w:pStyle w:val="Paragraph"/>
      </w:pPr>
      <w:r w:rsidRPr="00624023">
        <w:t xml:space="preserve">CONCLUSION </w:t>
      </w:r>
    </w:p>
    <w:p w14:paraId="1A06E5F4" w14:textId="0099153B" w:rsidR="0027712F" w:rsidRPr="00812EE7" w:rsidRDefault="006A67B7" w:rsidP="00A5476B">
      <w:pPr>
        <w:pStyle w:val="Paragraph"/>
      </w:pPr>
      <w:r w:rsidRPr="00812EE7">
        <w:t xml:space="preserve">The present study evaluated the medicinally significant herb </w:t>
      </w:r>
      <w:r w:rsidRPr="00812EE7">
        <w:rPr>
          <w:i/>
          <w:iCs/>
        </w:rPr>
        <w:t>C</w:t>
      </w:r>
      <w:r w:rsidR="008A01BE" w:rsidRPr="00812EE7">
        <w:rPr>
          <w:i/>
          <w:iCs/>
        </w:rPr>
        <w:t>.</w:t>
      </w:r>
      <w:r w:rsidRPr="00812EE7">
        <w:rPr>
          <w:i/>
          <w:iCs/>
        </w:rPr>
        <w:t xml:space="preserve"> roseus</w:t>
      </w:r>
      <w:r w:rsidRPr="00812EE7">
        <w:t xml:space="preserve"> for its total flavonoid content, </w:t>
      </w:r>
      <w:r w:rsidR="00535554" w:rsidRPr="00812EE7">
        <w:t xml:space="preserve">phenolic content, </w:t>
      </w:r>
      <w:r w:rsidR="000A6525" w:rsidRPr="00812EE7">
        <w:t xml:space="preserve">free radical scavenging ability </w:t>
      </w:r>
      <w:r w:rsidRPr="00812EE7">
        <w:t xml:space="preserve">and antiaging potential. </w:t>
      </w:r>
      <w:r w:rsidR="005F3985" w:rsidRPr="00812EE7">
        <w:t xml:space="preserve">This approach has helped </w:t>
      </w:r>
      <w:r w:rsidR="003A3179" w:rsidRPr="00812EE7">
        <w:t>prove</w:t>
      </w:r>
      <w:r w:rsidR="0027712F" w:rsidRPr="00812EE7">
        <w:t xml:space="preserve"> that </w:t>
      </w:r>
      <w:r w:rsidR="003A3179" w:rsidRPr="00812EE7">
        <w:t xml:space="preserve">the </w:t>
      </w:r>
      <w:r w:rsidR="0027712F" w:rsidRPr="00812EE7">
        <w:t>ultrasonication</w:t>
      </w:r>
      <w:r w:rsidR="003A3179" w:rsidRPr="00812EE7">
        <w:t>-</w:t>
      </w:r>
      <w:proofErr w:type="gramStart"/>
      <w:r w:rsidR="0027712F" w:rsidRPr="00812EE7">
        <w:t xml:space="preserve">based </w:t>
      </w:r>
      <w:r w:rsidR="004E6E7C" w:rsidRPr="00812EE7">
        <w:t xml:space="preserve"> </w:t>
      </w:r>
      <w:r w:rsidR="0027712F" w:rsidRPr="00812EE7">
        <w:t>method</w:t>
      </w:r>
      <w:proofErr w:type="gramEnd"/>
      <w:r w:rsidR="0027712F" w:rsidRPr="00812EE7">
        <w:t xml:space="preserve"> is much</w:t>
      </w:r>
      <w:r w:rsidR="003A3179" w:rsidRPr="00812EE7">
        <w:t xml:space="preserve"> m</w:t>
      </w:r>
      <w:r w:rsidR="0027712F" w:rsidRPr="00812EE7">
        <w:t xml:space="preserve">ore effective than the </w:t>
      </w:r>
      <w:r w:rsidR="004E6E7C" w:rsidRPr="00812EE7">
        <w:t>maceration</w:t>
      </w:r>
      <w:r w:rsidR="0027712F" w:rsidRPr="00812EE7">
        <w:t xml:space="preserve"> method in </w:t>
      </w:r>
      <w:r w:rsidR="00E86315" w:rsidRPr="00812EE7">
        <w:t>optimising phytochemicals from plant material extraction</w:t>
      </w:r>
      <w:r w:rsidR="005F3985" w:rsidRPr="00812EE7">
        <w:t xml:space="preserve">. </w:t>
      </w:r>
      <w:r w:rsidRPr="00812EE7">
        <w:t>This study's findings support the notion that crucial factors in the production of crude extracts with phenolic components and antioxidant activity are the extraction conditions.</w:t>
      </w:r>
      <w:r w:rsidR="005F3985" w:rsidRPr="00812EE7">
        <w:t xml:space="preserve"> </w:t>
      </w:r>
      <w:r w:rsidRPr="00812EE7">
        <w:rPr>
          <w:i/>
          <w:iCs/>
        </w:rPr>
        <w:t>C</w:t>
      </w:r>
      <w:r w:rsidR="008A01BE" w:rsidRPr="00812EE7">
        <w:rPr>
          <w:i/>
          <w:iCs/>
        </w:rPr>
        <w:t>.</w:t>
      </w:r>
      <w:r w:rsidRPr="00812EE7">
        <w:rPr>
          <w:i/>
          <w:iCs/>
        </w:rPr>
        <w:t xml:space="preserve"> Roseus</w:t>
      </w:r>
      <w:r w:rsidRPr="00812EE7">
        <w:t xml:space="preserve"> additionally demonstrated possible antiaging properties. This implies that these plants may have uses in the future as agents that lengthen life. </w:t>
      </w:r>
      <w:r w:rsidR="0027712F" w:rsidRPr="00812EE7">
        <w:t>Further</w:t>
      </w:r>
      <w:r w:rsidR="003A3179" w:rsidRPr="00812EE7">
        <w:t>,</w:t>
      </w:r>
      <w:r w:rsidR="0027712F" w:rsidRPr="00812EE7">
        <w:t xml:space="preserve"> it can be evaluated for its stress combating and anti-inflammatory potential</w:t>
      </w:r>
      <w:r w:rsidR="005F3985" w:rsidRPr="00812EE7">
        <w:t xml:space="preserve">. </w:t>
      </w:r>
    </w:p>
    <w:p w14:paraId="5F3556C7" w14:textId="77777777" w:rsidR="00385042" w:rsidRDefault="00385042" w:rsidP="00A5476B">
      <w:pPr>
        <w:pStyle w:val="Paragraph"/>
      </w:pPr>
    </w:p>
    <w:p w14:paraId="4FAA7BDC" w14:textId="77777777" w:rsidR="00A5476B" w:rsidRDefault="00A5476B" w:rsidP="00A5476B">
      <w:pPr>
        <w:pStyle w:val="Paragraph"/>
      </w:pPr>
    </w:p>
    <w:p w14:paraId="776D1FC6" w14:textId="77777777" w:rsidR="00A5476B" w:rsidRDefault="00A5476B" w:rsidP="00A5476B">
      <w:pPr>
        <w:pStyle w:val="Paragraph"/>
      </w:pPr>
    </w:p>
    <w:p w14:paraId="4515183D" w14:textId="77777777" w:rsidR="00A5476B" w:rsidRDefault="00A5476B" w:rsidP="00A5476B">
      <w:pPr>
        <w:pStyle w:val="Paragraph"/>
      </w:pPr>
    </w:p>
    <w:p w14:paraId="0724AB5C" w14:textId="77777777" w:rsidR="00B2329D" w:rsidRDefault="00B2329D" w:rsidP="00385042">
      <w:pPr>
        <w:pStyle w:val="ReferHead"/>
        <w:spacing w:after="0"/>
        <w:jc w:val="both"/>
        <w:rPr>
          <w:rFonts w:ascii="Arial" w:hAnsi="Arial" w:cs="Arial"/>
          <w:b w:val="0"/>
          <w:caps w:val="0"/>
          <w:sz w:val="20"/>
        </w:rPr>
      </w:pPr>
    </w:p>
    <w:p w14:paraId="7D3175C7" w14:textId="77777777" w:rsidR="00A5476B" w:rsidRDefault="00A5476B" w:rsidP="00385042">
      <w:pPr>
        <w:pStyle w:val="ReferHead"/>
        <w:spacing w:after="0"/>
        <w:jc w:val="both"/>
        <w:rPr>
          <w:rFonts w:ascii="Arial" w:hAnsi="Arial" w:cs="Arial"/>
          <w:b w:val="0"/>
          <w:caps w:val="0"/>
          <w:sz w:val="20"/>
        </w:rPr>
      </w:pPr>
    </w:p>
    <w:p w14:paraId="6F2F9F89" w14:textId="77777777" w:rsidR="00A5476B" w:rsidRDefault="00A5476B" w:rsidP="00385042">
      <w:pPr>
        <w:pStyle w:val="ReferHead"/>
        <w:spacing w:after="0"/>
        <w:jc w:val="both"/>
        <w:rPr>
          <w:rFonts w:ascii="Arial" w:hAnsi="Arial" w:cs="Arial"/>
          <w:b w:val="0"/>
          <w:caps w:val="0"/>
          <w:sz w:val="20"/>
        </w:rPr>
      </w:pPr>
    </w:p>
    <w:p w14:paraId="016E3B0B" w14:textId="77777777" w:rsidR="00A5476B" w:rsidRPr="00385042" w:rsidRDefault="00A5476B" w:rsidP="00385042">
      <w:pPr>
        <w:pStyle w:val="ReferHead"/>
        <w:spacing w:after="0"/>
        <w:jc w:val="both"/>
        <w:rPr>
          <w:rFonts w:ascii="Arial" w:hAnsi="Arial" w:cs="Arial"/>
          <w:b w:val="0"/>
          <w:caps w:val="0"/>
          <w:sz w:val="20"/>
        </w:rPr>
      </w:pPr>
    </w:p>
    <w:p w14:paraId="0FC8F292" w14:textId="473E63B4" w:rsidR="00E061DB" w:rsidRDefault="00C9633E" w:rsidP="00A5476B">
      <w:pPr>
        <w:pStyle w:val="Paragraph"/>
      </w:pPr>
      <w:r w:rsidRPr="00376CD5">
        <w:t>REFERENCES</w:t>
      </w:r>
    </w:p>
    <w:p w14:paraId="40747D32" w14:textId="77777777" w:rsidR="00B02D62" w:rsidRPr="00376CD5" w:rsidRDefault="00B02D62" w:rsidP="00A5476B">
      <w:pPr>
        <w:pStyle w:val="Paragraph"/>
      </w:pPr>
    </w:p>
    <w:p w14:paraId="251899D4" w14:textId="77777777" w:rsidR="001D5D94" w:rsidRDefault="00E061DB" w:rsidP="00B02D62">
      <w:pPr>
        <w:pStyle w:val="NoSpacing"/>
        <w:rPr>
          <w:rFonts w:ascii="Arial" w:hAnsi="Arial" w:cs="Arial"/>
          <w:sz w:val="20"/>
          <w:szCs w:val="20"/>
        </w:rPr>
      </w:pPr>
      <w:r w:rsidRPr="00B02D62">
        <w:rPr>
          <w:rFonts w:ascii="Arial" w:hAnsi="Arial" w:cs="Arial"/>
          <w:sz w:val="20"/>
          <w:szCs w:val="20"/>
        </w:rPr>
        <w:fldChar w:fldCharType="begin"/>
      </w:r>
      <w:r w:rsidR="001D5D94" w:rsidRPr="00B02D62">
        <w:rPr>
          <w:rFonts w:ascii="Arial" w:hAnsi="Arial" w:cs="Arial"/>
          <w:sz w:val="20"/>
          <w:szCs w:val="20"/>
        </w:rPr>
        <w:instrText xml:space="preserve"> ADDIN ZOTERO_BIBL {"uncited":[],"omitted":[],"custom":[]} CSL_BIBLIOGRAPHY </w:instrText>
      </w:r>
      <w:r w:rsidRPr="00B02D62">
        <w:rPr>
          <w:rFonts w:ascii="Arial" w:hAnsi="Arial" w:cs="Arial"/>
          <w:sz w:val="20"/>
          <w:szCs w:val="20"/>
        </w:rPr>
        <w:fldChar w:fldCharType="separate"/>
      </w:r>
      <w:r w:rsidR="001D5D94" w:rsidRPr="00B02D62">
        <w:rPr>
          <w:rFonts w:ascii="Arial" w:hAnsi="Arial" w:cs="Arial"/>
          <w:sz w:val="20"/>
          <w:szCs w:val="20"/>
        </w:rPr>
        <w:t xml:space="preserve">Alara, O. R., Abdurahman, N. H., &amp; Ukaegbu, C. I. (2021). Extraction of phenolic compounds: A review. </w:t>
      </w:r>
      <w:r w:rsidR="001D5D94" w:rsidRPr="00B02D62">
        <w:rPr>
          <w:rFonts w:ascii="Arial" w:hAnsi="Arial" w:cs="Arial"/>
          <w:i/>
          <w:iCs/>
          <w:sz w:val="20"/>
          <w:szCs w:val="20"/>
        </w:rPr>
        <w:t>Current Research in Food Science</w:t>
      </w:r>
      <w:r w:rsidR="001D5D94" w:rsidRPr="00B02D62">
        <w:rPr>
          <w:rFonts w:ascii="Arial" w:hAnsi="Arial" w:cs="Arial"/>
          <w:sz w:val="20"/>
          <w:szCs w:val="20"/>
        </w:rPr>
        <w:t xml:space="preserve">, </w:t>
      </w:r>
      <w:r w:rsidR="001D5D94" w:rsidRPr="00B02D62">
        <w:rPr>
          <w:rFonts w:ascii="Arial" w:hAnsi="Arial" w:cs="Arial"/>
          <w:i/>
          <w:iCs/>
          <w:sz w:val="20"/>
          <w:szCs w:val="20"/>
        </w:rPr>
        <w:t>4</w:t>
      </w:r>
      <w:r w:rsidR="001D5D94" w:rsidRPr="00B02D62">
        <w:rPr>
          <w:rFonts w:ascii="Arial" w:hAnsi="Arial" w:cs="Arial"/>
          <w:sz w:val="20"/>
          <w:szCs w:val="20"/>
        </w:rPr>
        <w:t>, 200–214. https://doi.org/10.1016/j.crfs.2021.03.011</w:t>
      </w:r>
    </w:p>
    <w:p w14:paraId="343D7253" w14:textId="77777777" w:rsidR="00B02D62" w:rsidRPr="00B02D62" w:rsidRDefault="00B02D62" w:rsidP="00B02D62">
      <w:pPr>
        <w:pStyle w:val="NoSpacing"/>
        <w:rPr>
          <w:rFonts w:ascii="Arial" w:hAnsi="Arial" w:cs="Arial"/>
          <w:sz w:val="20"/>
          <w:szCs w:val="20"/>
        </w:rPr>
      </w:pPr>
    </w:p>
    <w:p w14:paraId="3BD22C5D" w14:textId="4F2B8706" w:rsidR="001D5D94" w:rsidRDefault="001D5D94" w:rsidP="00B02D62">
      <w:pPr>
        <w:pStyle w:val="NoSpacing"/>
        <w:rPr>
          <w:rFonts w:ascii="Arial" w:hAnsi="Arial" w:cs="Arial"/>
          <w:sz w:val="20"/>
          <w:szCs w:val="20"/>
        </w:rPr>
      </w:pPr>
      <w:r w:rsidRPr="00B02D62">
        <w:rPr>
          <w:rFonts w:ascii="Arial" w:hAnsi="Arial" w:cs="Arial"/>
          <w:sz w:val="20"/>
          <w:szCs w:val="20"/>
        </w:rPr>
        <w:t xml:space="preserve">Ali, B. M., Boothapandi, M., &amp; Sultan Nasar, A. (2020). Nitric oxide, DPPH and hydrogen peroxide radical scavenging activity of TEMPO terminated polyurethane dendrimers: Data supporting antioxidant activity of radical dendrimers. </w:t>
      </w:r>
      <w:r w:rsidRPr="00B02D62">
        <w:rPr>
          <w:rFonts w:ascii="Arial" w:hAnsi="Arial" w:cs="Arial"/>
          <w:i/>
          <w:iCs/>
          <w:sz w:val="20"/>
          <w:szCs w:val="20"/>
        </w:rPr>
        <w:t>Data in Brief</w:t>
      </w:r>
      <w:r w:rsidRPr="00B02D62">
        <w:rPr>
          <w:rFonts w:ascii="Arial" w:hAnsi="Arial" w:cs="Arial"/>
          <w:sz w:val="20"/>
          <w:szCs w:val="20"/>
        </w:rPr>
        <w:t xml:space="preserve">, </w:t>
      </w:r>
      <w:r w:rsidRPr="00B02D62">
        <w:rPr>
          <w:rFonts w:ascii="Arial" w:hAnsi="Arial" w:cs="Arial"/>
          <w:i/>
          <w:iCs/>
          <w:sz w:val="20"/>
          <w:szCs w:val="20"/>
        </w:rPr>
        <w:t>28</w:t>
      </w:r>
      <w:r w:rsidRPr="00B02D62">
        <w:rPr>
          <w:rFonts w:ascii="Arial" w:hAnsi="Arial" w:cs="Arial"/>
          <w:sz w:val="20"/>
          <w:szCs w:val="20"/>
        </w:rPr>
        <w:t>, 104972.https://doi.org/10.1016/j.dib.2019.104972</w:t>
      </w:r>
    </w:p>
    <w:p w14:paraId="139FAE57" w14:textId="77777777" w:rsidR="00B02D62" w:rsidRPr="00B02D62" w:rsidRDefault="00B02D62" w:rsidP="00B02D62">
      <w:pPr>
        <w:pStyle w:val="NoSpacing"/>
        <w:rPr>
          <w:rFonts w:ascii="Arial" w:hAnsi="Arial" w:cs="Arial"/>
          <w:sz w:val="20"/>
          <w:szCs w:val="20"/>
        </w:rPr>
      </w:pPr>
    </w:p>
    <w:p w14:paraId="08FCB72B" w14:textId="77777777" w:rsidR="001D5D94" w:rsidRDefault="001D5D94" w:rsidP="00B02D62">
      <w:pPr>
        <w:pStyle w:val="NoSpacing"/>
        <w:rPr>
          <w:rFonts w:ascii="Arial" w:hAnsi="Arial" w:cs="Arial"/>
          <w:sz w:val="20"/>
          <w:szCs w:val="20"/>
        </w:rPr>
      </w:pPr>
      <w:r w:rsidRPr="00B02D62">
        <w:rPr>
          <w:rFonts w:ascii="Arial" w:hAnsi="Arial" w:cs="Arial"/>
          <w:sz w:val="20"/>
          <w:szCs w:val="20"/>
        </w:rPr>
        <w:t xml:space="preserve">Altemimi, A., Lakhssassi, N., Baharlouei, A., Watson, D. G., &amp; Lightfoot, D. A. (2017). Phytochemicals: Extraction, Isolation, and Identification of Bioactive Compounds from Plant Extracts. </w:t>
      </w:r>
      <w:r w:rsidRPr="00B02D62">
        <w:rPr>
          <w:rFonts w:ascii="Arial" w:hAnsi="Arial" w:cs="Arial"/>
          <w:i/>
          <w:iCs/>
          <w:sz w:val="20"/>
          <w:szCs w:val="20"/>
        </w:rPr>
        <w:t>Plants</w:t>
      </w:r>
      <w:r w:rsidRPr="00B02D62">
        <w:rPr>
          <w:rFonts w:ascii="Arial" w:hAnsi="Arial" w:cs="Arial"/>
          <w:sz w:val="20"/>
          <w:szCs w:val="20"/>
        </w:rPr>
        <w:t xml:space="preserve">, </w:t>
      </w:r>
      <w:r w:rsidRPr="00B02D62">
        <w:rPr>
          <w:rFonts w:ascii="Arial" w:hAnsi="Arial" w:cs="Arial"/>
          <w:i/>
          <w:iCs/>
          <w:sz w:val="20"/>
          <w:szCs w:val="20"/>
        </w:rPr>
        <w:t>6</w:t>
      </w:r>
      <w:r w:rsidRPr="00B02D62">
        <w:rPr>
          <w:rFonts w:ascii="Arial" w:hAnsi="Arial" w:cs="Arial"/>
          <w:sz w:val="20"/>
          <w:szCs w:val="20"/>
        </w:rPr>
        <w:t>(4), Article 4. https://doi.org/10.3390/plants6040042</w:t>
      </w:r>
    </w:p>
    <w:p w14:paraId="719A5D8C" w14:textId="77777777" w:rsidR="00B02D62" w:rsidRPr="00B02D62" w:rsidRDefault="00B02D62" w:rsidP="00B02D62">
      <w:pPr>
        <w:pStyle w:val="NoSpacing"/>
        <w:rPr>
          <w:rFonts w:ascii="Arial" w:hAnsi="Arial" w:cs="Arial"/>
          <w:sz w:val="20"/>
          <w:szCs w:val="20"/>
        </w:rPr>
      </w:pPr>
    </w:p>
    <w:p w14:paraId="620B95C1" w14:textId="44569386" w:rsidR="001D5D94" w:rsidRDefault="001D5D94" w:rsidP="00B02D62">
      <w:pPr>
        <w:pStyle w:val="NoSpacing"/>
        <w:rPr>
          <w:rFonts w:ascii="Arial" w:hAnsi="Arial" w:cs="Arial"/>
          <w:sz w:val="20"/>
          <w:szCs w:val="20"/>
        </w:rPr>
      </w:pPr>
      <w:r w:rsidRPr="00B02D62">
        <w:rPr>
          <w:rFonts w:ascii="Arial" w:hAnsi="Arial" w:cs="Arial"/>
          <w:sz w:val="20"/>
          <w:szCs w:val="20"/>
        </w:rPr>
        <w:t>Belwal, T., Ezzat, S. M., Rastrelli, L., Bhatt, I. D., Daglia, M., Baldi, A.,</w:t>
      </w:r>
      <w:r w:rsidR="00AD6C70">
        <w:rPr>
          <w:rFonts w:ascii="Arial" w:hAnsi="Arial" w:cs="Arial"/>
          <w:sz w:val="20"/>
          <w:szCs w:val="20"/>
        </w:rPr>
        <w:t>et.al.,</w:t>
      </w:r>
      <w:r w:rsidRPr="00B02D62">
        <w:rPr>
          <w:rFonts w:ascii="Arial" w:hAnsi="Arial" w:cs="Arial"/>
          <w:sz w:val="20"/>
          <w:szCs w:val="20"/>
        </w:rPr>
        <w:t xml:space="preserve"> (2018). A critical analysis of extraction techniques used for botanicals: Trends, priorities, industrial uses and optimization strategies. </w:t>
      </w:r>
      <w:r w:rsidRPr="00B02D62">
        <w:rPr>
          <w:rFonts w:ascii="Arial" w:hAnsi="Arial" w:cs="Arial"/>
          <w:i/>
          <w:iCs/>
          <w:sz w:val="20"/>
          <w:szCs w:val="20"/>
        </w:rPr>
        <w:t>TrAC Trends in Analytical Chemistry</w:t>
      </w:r>
      <w:r w:rsidRPr="00B02D62">
        <w:rPr>
          <w:rFonts w:ascii="Arial" w:hAnsi="Arial" w:cs="Arial"/>
          <w:sz w:val="20"/>
          <w:szCs w:val="20"/>
        </w:rPr>
        <w:t xml:space="preserve">, </w:t>
      </w:r>
      <w:r w:rsidRPr="00B02D62">
        <w:rPr>
          <w:rFonts w:ascii="Arial" w:hAnsi="Arial" w:cs="Arial"/>
          <w:i/>
          <w:iCs/>
          <w:sz w:val="20"/>
          <w:szCs w:val="20"/>
        </w:rPr>
        <w:t>100</w:t>
      </w:r>
      <w:r w:rsidRPr="00B02D62">
        <w:rPr>
          <w:rFonts w:ascii="Arial" w:hAnsi="Arial" w:cs="Arial"/>
          <w:sz w:val="20"/>
          <w:szCs w:val="20"/>
        </w:rPr>
        <w:t>, 82–102. https://doi.org/10.1016/j.trac.2017.12.018</w:t>
      </w:r>
    </w:p>
    <w:p w14:paraId="6B4F1F55" w14:textId="77777777" w:rsidR="00B02D62" w:rsidRPr="00B02D62" w:rsidRDefault="00B02D62" w:rsidP="00B02D62">
      <w:pPr>
        <w:pStyle w:val="NoSpacing"/>
        <w:rPr>
          <w:rFonts w:ascii="Arial" w:hAnsi="Arial" w:cs="Arial"/>
          <w:sz w:val="20"/>
          <w:szCs w:val="20"/>
        </w:rPr>
      </w:pPr>
    </w:p>
    <w:p w14:paraId="717D0299" w14:textId="77777777" w:rsidR="001D5D94" w:rsidRDefault="001D5D94" w:rsidP="00B02D62">
      <w:pPr>
        <w:pStyle w:val="NoSpacing"/>
        <w:rPr>
          <w:rFonts w:ascii="Arial" w:hAnsi="Arial" w:cs="Arial"/>
          <w:sz w:val="20"/>
          <w:szCs w:val="20"/>
        </w:rPr>
      </w:pPr>
      <w:r w:rsidRPr="00B02D62">
        <w:rPr>
          <w:rFonts w:ascii="Arial" w:hAnsi="Arial" w:cs="Arial"/>
          <w:sz w:val="20"/>
          <w:szCs w:val="20"/>
        </w:rPr>
        <w:t xml:space="preserve">Bitwell, C., Indra, S. S., Luke, C., &amp; Kakoma, M. K. (2023). A review of modern and conventional extraction techniques and their applications for extracting phytochemicals from plants. </w:t>
      </w:r>
      <w:r w:rsidRPr="00B02D62">
        <w:rPr>
          <w:rFonts w:ascii="Arial" w:hAnsi="Arial" w:cs="Arial"/>
          <w:i/>
          <w:iCs/>
          <w:sz w:val="20"/>
          <w:szCs w:val="20"/>
        </w:rPr>
        <w:t>Scientific African</w:t>
      </w:r>
      <w:r w:rsidRPr="00B02D62">
        <w:rPr>
          <w:rFonts w:ascii="Arial" w:hAnsi="Arial" w:cs="Arial"/>
          <w:sz w:val="20"/>
          <w:szCs w:val="20"/>
        </w:rPr>
        <w:t xml:space="preserve">, </w:t>
      </w:r>
      <w:r w:rsidRPr="00B02D62">
        <w:rPr>
          <w:rFonts w:ascii="Arial" w:hAnsi="Arial" w:cs="Arial"/>
          <w:i/>
          <w:iCs/>
          <w:sz w:val="20"/>
          <w:szCs w:val="20"/>
        </w:rPr>
        <w:t>19</w:t>
      </w:r>
      <w:r w:rsidRPr="00B02D62">
        <w:rPr>
          <w:rFonts w:ascii="Arial" w:hAnsi="Arial" w:cs="Arial"/>
          <w:sz w:val="20"/>
          <w:szCs w:val="20"/>
        </w:rPr>
        <w:t>, e01585. https://doi.org/10.1016/j.sciaf.2023.e01585</w:t>
      </w:r>
    </w:p>
    <w:p w14:paraId="17D45E7A" w14:textId="77777777" w:rsidR="00B02D62" w:rsidRPr="00B02D62" w:rsidRDefault="00B02D62" w:rsidP="00B02D62">
      <w:pPr>
        <w:pStyle w:val="NoSpacing"/>
        <w:rPr>
          <w:rFonts w:ascii="Arial" w:hAnsi="Arial" w:cs="Arial"/>
          <w:sz w:val="20"/>
          <w:szCs w:val="20"/>
        </w:rPr>
      </w:pPr>
    </w:p>
    <w:p w14:paraId="63D9A097" w14:textId="77777777" w:rsidR="001D5D94" w:rsidRDefault="001D5D94" w:rsidP="00B02D62">
      <w:pPr>
        <w:pStyle w:val="NoSpacing"/>
        <w:rPr>
          <w:rFonts w:ascii="Arial" w:hAnsi="Arial" w:cs="Arial"/>
          <w:sz w:val="20"/>
          <w:szCs w:val="20"/>
        </w:rPr>
      </w:pPr>
      <w:r w:rsidRPr="00B02D62">
        <w:rPr>
          <w:rFonts w:ascii="Arial" w:hAnsi="Arial" w:cs="Arial"/>
          <w:sz w:val="20"/>
          <w:szCs w:val="20"/>
        </w:rPr>
        <w:t xml:space="preserve">Brown, M., Evans, J., &amp; Luo, Y. (2006). Beneficial effects of natural antioxidants EGCG and α-lipoic acid on life span and age-dependent behavioral declines in Caenorhabditis elegans. </w:t>
      </w:r>
      <w:r w:rsidRPr="00B02D62">
        <w:rPr>
          <w:rFonts w:ascii="Arial" w:hAnsi="Arial" w:cs="Arial"/>
          <w:i/>
          <w:iCs/>
          <w:sz w:val="20"/>
          <w:szCs w:val="20"/>
        </w:rPr>
        <w:t>Pharmacology Biochemistry and Behavior</w:t>
      </w:r>
      <w:r w:rsidRPr="00B02D62">
        <w:rPr>
          <w:rFonts w:ascii="Arial" w:hAnsi="Arial" w:cs="Arial"/>
          <w:sz w:val="20"/>
          <w:szCs w:val="20"/>
        </w:rPr>
        <w:t xml:space="preserve">, </w:t>
      </w:r>
      <w:r w:rsidRPr="00B02D62">
        <w:rPr>
          <w:rFonts w:ascii="Arial" w:hAnsi="Arial" w:cs="Arial"/>
          <w:i/>
          <w:iCs/>
          <w:sz w:val="20"/>
          <w:szCs w:val="20"/>
        </w:rPr>
        <w:t>85</w:t>
      </w:r>
      <w:r w:rsidRPr="00B02D62">
        <w:rPr>
          <w:rFonts w:ascii="Arial" w:hAnsi="Arial" w:cs="Arial"/>
          <w:sz w:val="20"/>
          <w:szCs w:val="20"/>
        </w:rPr>
        <w:t>(3), 620–628. https://doi.org/10.1016/j.pbb.2006.10.017</w:t>
      </w:r>
    </w:p>
    <w:p w14:paraId="266F79AC" w14:textId="77777777" w:rsidR="00B02D62" w:rsidRPr="00B02D62" w:rsidRDefault="00B02D62" w:rsidP="00B02D62">
      <w:pPr>
        <w:pStyle w:val="NoSpacing"/>
        <w:rPr>
          <w:rFonts w:ascii="Arial" w:hAnsi="Arial" w:cs="Arial"/>
          <w:sz w:val="20"/>
          <w:szCs w:val="20"/>
        </w:rPr>
      </w:pPr>
    </w:p>
    <w:p w14:paraId="2EF2A82F" w14:textId="77777777" w:rsidR="001D5D94" w:rsidRDefault="001D5D94" w:rsidP="00B02D62">
      <w:pPr>
        <w:pStyle w:val="NoSpacing"/>
        <w:rPr>
          <w:rFonts w:ascii="Arial" w:hAnsi="Arial" w:cs="Arial"/>
          <w:sz w:val="20"/>
          <w:szCs w:val="20"/>
        </w:rPr>
      </w:pPr>
      <w:r w:rsidRPr="00B02D62">
        <w:rPr>
          <w:rFonts w:ascii="Arial" w:hAnsi="Arial" w:cs="Arial"/>
          <w:sz w:val="20"/>
          <w:szCs w:val="20"/>
        </w:rPr>
        <w:t xml:space="preserve">Chattopadhyay, D., &amp; Thirumurugan, K. (2018). Longevity promoting efficacies of different plant extracts in lower model organisms. </w:t>
      </w:r>
      <w:r w:rsidRPr="00B02D62">
        <w:rPr>
          <w:rFonts w:ascii="Arial" w:hAnsi="Arial" w:cs="Arial"/>
          <w:i/>
          <w:iCs/>
          <w:sz w:val="20"/>
          <w:szCs w:val="20"/>
        </w:rPr>
        <w:t>Mechanisms of Ageing and Development</w:t>
      </w:r>
      <w:r w:rsidRPr="00B02D62">
        <w:rPr>
          <w:rFonts w:ascii="Arial" w:hAnsi="Arial" w:cs="Arial"/>
          <w:sz w:val="20"/>
          <w:szCs w:val="20"/>
        </w:rPr>
        <w:t xml:space="preserve">, </w:t>
      </w:r>
      <w:r w:rsidRPr="00B02D62">
        <w:rPr>
          <w:rFonts w:ascii="Arial" w:hAnsi="Arial" w:cs="Arial"/>
          <w:i/>
          <w:iCs/>
          <w:sz w:val="20"/>
          <w:szCs w:val="20"/>
        </w:rPr>
        <w:t>171</w:t>
      </w:r>
      <w:r w:rsidRPr="00B02D62">
        <w:rPr>
          <w:rFonts w:ascii="Arial" w:hAnsi="Arial" w:cs="Arial"/>
          <w:sz w:val="20"/>
          <w:szCs w:val="20"/>
        </w:rPr>
        <w:t>, 47–57. https://doi.org/10.1016/j.mad.2018.03.002</w:t>
      </w:r>
    </w:p>
    <w:p w14:paraId="3FB07101" w14:textId="77777777" w:rsidR="00B02D62" w:rsidRPr="00B02D62" w:rsidRDefault="00B02D62" w:rsidP="00B02D62">
      <w:pPr>
        <w:pStyle w:val="NoSpacing"/>
        <w:rPr>
          <w:rFonts w:ascii="Arial" w:hAnsi="Arial" w:cs="Arial"/>
          <w:sz w:val="20"/>
          <w:szCs w:val="20"/>
        </w:rPr>
      </w:pPr>
    </w:p>
    <w:p w14:paraId="2E2AD90F" w14:textId="77777777" w:rsidR="001D5D94" w:rsidRDefault="001D5D94" w:rsidP="00B02D62">
      <w:pPr>
        <w:pStyle w:val="NoSpacing"/>
        <w:rPr>
          <w:rFonts w:ascii="Arial" w:hAnsi="Arial" w:cs="Arial"/>
          <w:sz w:val="20"/>
          <w:szCs w:val="20"/>
        </w:rPr>
      </w:pPr>
      <w:r w:rsidRPr="00B02D62">
        <w:rPr>
          <w:rFonts w:ascii="Arial" w:hAnsi="Arial" w:cs="Arial"/>
          <w:sz w:val="20"/>
          <w:szCs w:val="20"/>
        </w:rPr>
        <w:t xml:space="preserve">Denzel, M. S., Lapierre, L. R., &amp; Mack, H. I. D. (2019). Emerging topics in C. elegans aging research: Transcriptional regulation, stress response and epigenetics. </w:t>
      </w:r>
      <w:r w:rsidRPr="00B02D62">
        <w:rPr>
          <w:rFonts w:ascii="Arial" w:hAnsi="Arial" w:cs="Arial"/>
          <w:i/>
          <w:iCs/>
          <w:sz w:val="20"/>
          <w:szCs w:val="20"/>
        </w:rPr>
        <w:t>Mechanisms of Ageing and Development</w:t>
      </w:r>
      <w:r w:rsidRPr="00B02D62">
        <w:rPr>
          <w:rFonts w:ascii="Arial" w:hAnsi="Arial" w:cs="Arial"/>
          <w:sz w:val="20"/>
          <w:szCs w:val="20"/>
        </w:rPr>
        <w:t xml:space="preserve">, </w:t>
      </w:r>
      <w:r w:rsidRPr="00B02D62">
        <w:rPr>
          <w:rFonts w:ascii="Arial" w:hAnsi="Arial" w:cs="Arial"/>
          <w:i/>
          <w:iCs/>
          <w:sz w:val="20"/>
          <w:szCs w:val="20"/>
        </w:rPr>
        <w:t>177</w:t>
      </w:r>
      <w:r w:rsidRPr="00B02D62">
        <w:rPr>
          <w:rFonts w:ascii="Arial" w:hAnsi="Arial" w:cs="Arial"/>
          <w:sz w:val="20"/>
          <w:szCs w:val="20"/>
        </w:rPr>
        <w:t>, 4–21. https://doi.org/10.1016/j.mad.2018.08.001</w:t>
      </w:r>
    </w:p>
    <w:p w14:paraId="3D79C5FD" w14:textId="77777777" w:rsidR="00B02D62" w:rsidRPr="00B02D62" w:rsidRDefault="00B02D62" w:rsidP="00B02D62">
      <w:pPr>
        <w:pStyle w:val="NoSpacing"/>
        <w:rPr>
          <w:rFonts w:ascii="Arial" w:hAnsi="Arial" w:cs="Arial"/>
          <w:sz w:val="20"/>
          <w:szCs w:val="20"/>
        </w:rPr>
      </w:pPr>
    </w:p>
    <w:p w14:paraId="3CD5E0F4" w14:textId="77777777" w:rsidR="001D5D94" w:rsidRDefault="001D5D94" w:rsidP="00B02D62">
      <w:pPr>
        <w:pStyle w:val="NoSpacing"/>
        <w:rPr>
          <w:rFonts w:ascii="Arial" w:hAnsi="Arial" w:cs="Arial"/>
          <w:sz w:val="20"/>
          <w:szCs w:val="20"/>
        </w:rPr>
      </w:pPr>
      <w:r w:rsidRPr="00B02D62">
        <w:rPr>
          <w:rFonts w:ascii="Arial" w:hAnsi="Arial" w:cs="Arial"/>
          <w:sz w:val="20"/>
          <w:szCs w:val="20"/>
        </w:rPr>
        <w:t xml:space="preserve">Dhanani, T., Shah, S., Gajbhiye, N. A., &amp; Kumar, S. (2017). Effect of extraction methods on yield, phytochemical constituents and antioxidant activity of Withania somnifera. </w:t>
      </w:r>
      <w:r w:rsidRPr="00B02D62">
        <w:rPr>
          <w:rFonts w:ascii="Arial" w:hAnsi="Arial" w:cs="Arial"/>
          <w:i/>
          <w:iCs/>
          <w:sz w:val="20"/>
          <w:szCs w:val="20"/>
        </w:rPr>
        <w:t>Arabian Journal of Chemistry</w:t>
      </w:r>
      <w:r w:rsidRPr="00B02D62">
        <w:rPr>
          <w:rFonts w:ascii="Arial" w:hAnsi="Arial" w:cs="Arial"/>
          <w:sz w:val="20"/>
          <w:szCs w:val="20"/>
        </w:rPr>
        <w:t xml:space="preserve">, </w:t>
      </w:r>
      <w:r w:rsidRPr="00B02D62">
        <w:rPr>
          <w:rFonts w:ascii="Arial" w:hAnsi="Arial" w:cs="Arial"/>
          <w:i/>
          <w:iCs/>
          <w:sz w:val="20"/>
          <w:szCs w:val="20"/>
        </w:rPr>
        <w:t>10</w:t>
      </w:r>
      <w:r w:rsidRPr="00B02D62">
        <w:rPr>
          <w:rFonts w:ascii="Arial" w:hAnsi="Arial" w:cs="Arial"/>
          <w:sz w:val="20"/>
          <w:szCs w:val="20"/>
        </w:rPr>
        <w:t>, S1193–S1199. https://doi.org/10.1016/j.arabjc.2013.02.015</w:t>
      </w:r>
    </w:p>
    <w:p w14:paraId="003F73E1" w14:textId="77777777" w:rsidR="00B02D62" w:rsidRPr="00B02D62" w:rsidRDefault="00B02D62" w:rsidP="00B02D62">
      <w:pPr>
        <w:pStyle w:val="NoSpacing"/>
        <w:rPr>
          <w:rFonts w:ascii="Arial" w:hAnsi="Arial" w:cs="Arial"/>
          <w:sz w:val="20"/>
          <w:szCs w:val="20"/>
        </w:rPr>
      </w:pPr>
    </w:p>
    <w:p w14:paraId="7423B592" w14:textId="77777777" w:rsidR="001D5D94" w:rsidRDefault="001D5D94" w:rsidP="00B02D62">
      <w:pPr>
        <w:pStyle w:val="NoSpacing"/>
        <w:rPr>
          <w:rFonts w:ascii="Arial" w:hAnsi="Arial" w:cs="Arial"/>
          <w:sz w:val="20"/>
          <w:szCs w:val="20"/>
        </w:rPr>
      </w:pPr>
      <w:r w:rsidRPr="00B02D62">
        <w:rPr>
          <w:rFonts w:ascii="Arial" w:hAnsi="Arial" w:cs="Arial"/>
          <w:sz w:val="20"/>
          <w:szCs w:val="20"/>
        </w:rPr>
        <w:t xml:space="preserve">Do, Q. D., Angkawijaya, A. E., Tran-Nguyen, P. L., Huynh, L. H., Soetaredjo, F. E., Ismadji, S., &amp; Ju, Y.-H. (2014). Effect of extraction solvent on total phenol content, total flavonoid content, and antioxidant activity of Limnophila aromatica. </w:t>
      </w:r>
      <w:r w:rsidRPr="00B02D62">
        <w:rPr>
          <w:rFonts w:ascii="Arial" w:hAnsi="Arial" w:cs="Arial"/>
          <w:i/>
          <w:iCs/>
          <w:sz w:val="20"/>
          <w:szCs w:val="20"/>
        </w:rPr>
        <w:t>Journal of Food and Drug Analysis</w:t>
      </w:r>
      <w:r w:rsidRPr="00B02D62">
        <w:rPr>
          <w:rFonts w:ascii="Arial" w:hAnsi="Arial" w:cs="Arial"/>
          <w:sz w:val="20"/>
          <w:szCs w:val="20"/>
        </w:rPr>
        <w:t xml:space="preserve">, </w:t>
      </w:r>
      <w:r w:rsidRPr="00B02D62">
        <w:rPr>
          <w:rFonts w:ascii="Arial" w:hAnsi="Arial" w:cs="Arial"/>
          <w:i/>
          <w:iCs/>
          <w:sz w:val="20"/>
          <w:szCs w:val="20"/>
        </w:rPr>
        <w:t>22</w:t>
      </w:r>
      <w:r w:rsidRPr="00B02D62">
        <w:rPr>
          <w:rFonts w:ascii="Arial" w:hAnsi="Arial" w:cs="Arial"/>
          <w:sz w:val="20"/>
          <w:szCs w:val="20"/>
        </w:rPr>
        <w:t>(3), 296–302. https://doi.org/10.1016/j.jfda.2013.11.001</w:t>
      </w:r>
    </w:p>
    <w:p w14:paraId="6B3F1400" w14:textId="77777777" w:rsidR="00B02D62" w:rsidRPr="00B02D62" w:rsidRDefault="00B02D62" w:rsidP="00B02D62">
      <w:pPr>
        <w:pStyle w:val="NoSpacing"/>
        <w:rPr>
          <w:rFonts w:ascii="Arial" w:hAnsi="Arial" w:cs="Arial"/>
          <w:sz w:val="20"/>
          <w:szCs w:val="20"/>
        </w:rPr>
      </w:pPr>
    </w:p>
    <w:p w14:paraId="18F9A671" w14:textId="77777777" w:rsidR="001D5D94" w:rsidRDefault="001D5D94" w:rsidP="00B02D62">
      <w:pPr>
        <w:pStyle w:val="NoSpacing"/>
        <w:rPr>
          <w:rFonts w:ascii="Arial" w:hAnsi="Arial" w:cs="Arial"/>
          <w:sz w:val="20"/>
          <w:szCs w:val="20"/>
        </w:rPr>
      </w:pPr>
      <w:r w:rsidRPr="00B02D62">
        <w:rPr>
          <w:rFonts w:ascii="Arial" w:hAnsi="Arial" w:cs="Arial"/>
          <w:sz w:val="20"/>
          <w:szCs w:val="20"/>
        </w:rPr>
        <w:t xml:space="preserve">Doshi, S., &amp; Braganza, V. (2018). Ameliorative effect of Argyreia boseana Sant. &amp; Pat. On stress in Caenorhabditis elegans. </w:t>
      </w:r>
      <w:r w:rsidRPr="00B02D62">
        <w:rPr>
          <w:rFonts w:ascii="Arial" w:hAnsi="Arial" w:cs="Arial"/>
          <w:i/>
          <w:iCs/>
          <w:sz w:val="20"/>
          <w:szCs w:val="20"/>
        </w:rPr>
        <w:t>Journal of Ayurveda and Integrative Medicine</w:t>
      </w:r>
      <w:r w:rsidRPr="00B02D62">
        <w:rPr>
          <w:rFonts w:ascii="Arial" w:hAnsi="Arial" w:cs="Arial"/>
          <w:sz w:val="20"/>
          <w:szCs w:val="20"/>
        </w:rPr>
        <w:t>. https://doi.org/10.1016/j.jaim.2017.11.001</w:t>
      </w:r>
    </w:p>
    <w:p w14:paraId="39C465D7" w14:textId="77777777" w:rsidR="00B02D62" w:rsidRPr="00B02D62" w:rsidRDefault="00B02D62" w:rsidP="00B02D62">
      <w:pPr>
        <w:pStyle w:val="NoSpacing"/>
        <w:rPr>
          <w:rFonts w:ascii="Arial" w:hAnsi="Arial" w:cs="Arial"/>
          <w:sz w:val="20"/>
          <w:szCs w:val="20"/>
        </w:rPr>
      </w:pPr>
    </w:p>
    <w:p w14:paraId="3C72EF07" w14:textId="77777777" w:rsidR="001D5D94" w:rsidRDefault="001D5D94" w:rsidP="00B02D62">
      <w:pPr>
        <w:pStyle w:val="NoSpacing"/>
        <w:rPr>
          <w:rFonts w:ascii="Arial" w:hAnsi="Arial" w:cs="Arial"/>
          <w:sz w:val="20"/>
          <w:szCs w:val="20"/>
        </w:rPr>
      </w:pPr>
      <w:r w:rsidRPr="00B02D62">
        <w:rPr>
          <w:rFonts w:ascii="Arial" w:hAnsi="Arial" w:cs="Arial"/>
          <w:sz w:val="20"/>
          <w:szCs w:val="20"/>
        </w:rPr>
        <w:t xml:space="preserve">Duangjan, C., Rangsinth, P., Gu, X., Wink, M., &amp; Tencomnao, T. (2019). </w:t>
      </w:r>
      <w:r w:rsidRPr="00B02D62">
        <w:rPr>
          <w:rFonts w:ascii="Arial" w:hAnsi="Arial" w:cs="Arial"/>
          <w:i/>
          <w:iCs/>
          <w:sz w:val="20"/>
          <w:szCs w:val="20"/>
        </w:rPr>
        <w:t>Lifespan Extending and Oxidative Stress Resistance Properties of a Leaf Extracts from Anacardium occidentale L. in Caenorhabditis elegans</w:t>
      </w:r>
      <w:r w:rsidRPr="00B02D62">
        <w:rPr>
          <w:rFonts w:ascii="Arial" w:hAnsi="Arial" w:cs="Arial"/>
          <w:sz w:val="20"/>
          <w:szCs w:val="20"/>
        </w:rPr>
        <w:t xml:space="preserve"> [Research Article]. Oxidative Medicine and Cellular Longevity; Hindawi. https://doi.org/10.1155/2019/9012396</w:t>
      </w:r>
    </w:p>
    <w:p w14:paraId="4EC2577A" w14:textId="77777777" w:rsidR="00B02D62" w:rsidRPr="00B02D62" w:rsidRDefault="00B02D62" w:rsidP="00B02D62">
      <w:pPr>
        <w:pStyle w:val="NoSpacing"/>
        <w:rPr>
          <w:rFonts w:ascii="Arial" w:hAnsi="Arial" w:cs="Arial"/>
          <w:sz w:val="20"/>
          <w:szCs w:val="20"/>
        </w:rPr>
      </w:pPr>
    </w:p>
    <w:p w14:paraId="2048BF4E" w14:textId="77777777" w:rsidR="001D5D94" w:rsidRDefault="001D5D94" w:rsidP="00B02D62">
      <w:pPr>
        <w:pStyle w:val="NoSpacing"/>
        <w:rPr>
          <w:rFonts w:ascii="Arial" w:hAnsi="Arial" w:cs="Arial"/>
          <w:sz w:val="20"/>
          <w:szCs w:val="20"/>
        </w:rPr>
      </w:pPr>
      <w:r w:rsidRPr="00B02D62">
        <w:rPr>
          <w:rFonts w:ascii="Arial" w:hAnsi="Arial" w:cs="Arial"/>
          <w:sz w:val="20"/>
          <w:szCs w:val="20"/>
        </w:rPr>
        <w:lastRenderedPageBreak/>
        <w:t xml:space="preserve">Dubey, M. (2014). </w:t>
      </w:r>
      <w:r w:rsidRPr="00B02D62">
        <w:rPr>
          <w:rFonts w:ascii="Arial" w:hAnsi="Arial" w:cs="Arial"/>
          <w:i/>
          <w:iCs/>
          <w:sz w:val="20"/>
          <w:szCs w:val="20"/>
        </w:rPr>
        <w:t>Phytochemical status of some selected medicinal plants (Eclipta alba, Cathranthus roseus and Swertia chirata)</w:t>
      </w:r>
      <w:r w:rsidRPr="00B02D62">
        <w:rPr>
          <w:rFonts w:ascii="Arial" w:hAnsi="Arial" w:cs="Arial"/>
          <w:sz w:val="20"/>
          <w:szCs w:val="20"/>
        </w:rPr>
        <w:t>. 7.</w:t>
      </w:r>
    </w:p>
    <w:p w14:paraId="6BF5CE7B" w14:textId="77777777" w:rsidR="00B02D62" w:rsidRPr="00B02D62" w:rsidRDefault="00B02D62" w:rsidP="00B02D62">
      <w:pPr>
        <w:pStyle w:val="NoSpacing"/>
        <w:rPr>
          <w:rFonts w:ascii="Arial" w:hAnsi="Arial" w:cs="Arial"/>
          <w:sz w:val="20"/>
          <w:szCs w:val="20"/>
        </w:rPr>
      </w:pPr>
    </w:p>
    <w:p w14:paraId="21DFCC0F" w14:textId="77777777" w:rsidR="001D5D94" w:rsidRDefault="001D5D94" w:rsidP="00B02D62">
      <w:pPr>
        <w:pStyle w:val="NoSpacing"/>
        <w:rPr>
          <w:rFonts w:ascii="Arial" w:hAnsi="Arial" w:cs="Arial"/>
          <w:sz w:val="20"/>
          <w:szCs w:val="20"/>
        </w:rPr>
      </w:pPr>
      <w:r w:rsidRPr="00B02D62">
        <w:rPr>
          <w:rFonts w:ascii="Arial" w:hAnsi="Arial" w:cs="Arial"/>
          <w:sz w:val="20"/>
          <w:szCs w:val="20"/>
        </w:rPr>
        <w:t xml:space="preserve">Ebrahimzadeh, M. A., Pourmorad, F., &amp; Hafezi, S. (n.d.). </w:t>
      </w:r>
      <w:r w:rsidRPr="00B02D62">
        <w:rPr>
          <w:rFonts w:ascii="Arial" w:hAnsi="Arial" w:cs="Arial"/>
          <w:i/>
          <w:iCs/>
          <w:sz w:val="20"/>
          <w:szCs w:val="20"/>
        </w:rPr>
        <w:t>Antioxidant Activities of Iranian Corn Silk</w:t>
      </w:r>
      <w:r w:rsidRPr="00B02D62">
        <w:rPr>
          <w:rFonts w:ascii="Arial" w:hAnsi="Arial" w:cs="Arial"/>
          <w:sz w:val="20"/>
          <w:szCs w:val="20"/>
        </w:rPr>
        <w:t>.</w:t>
      </w:r>
    </w:p>
    <w:p w14:paraId="43A6D2AF" w14:textId="77777777" w:rsidR="00B02D62" w:rsidRPr="00B02D62" w:rsidRDefault="00B02D62" w:rsidP="00B02D62">
      <w:pPr>
        <w:pStyle w:val="NoSpacing"/>
        <w:rPr>
          <w:rFonts w:ascii="Arial" w:hAnsi="Arial" w:cs="Arial"/>
          <w:sz w:val="20"/>
          <w:szCs w:val="20"/>
        </w:rPr>
      </w:pPr>
    </w:p>
    <w:p w14:paraId="21A4222F" w14:textId="227DD7CE" w:rsidR="001D5D94" w:rsidRDefault="001D5D94" w:rsidP="00B02D62">
      <w:pPr>
        <w:pStyle w:val="NoSpacing"/>
        <w:rPr>
          <w:rFonts w:ascii="Arial" w:hAnsi="Arial" w:cs="Arial"/>
          <w:sz w:val="20"/>
          <w:szCs w:val="20"/>
        </w:rPr>
      </w:pPr>
      <w:r w:rsidRPr="00B02D62">
        <w:rPr>
          <w:rFonts w:ascii="Arial" w:hAnsi="Arial" w:cs="Arial"/>
          <w:sz w:val="20"/>
          <w:szCs w:val="20"/>
        </w:rPr>
        <w:t xml:space="preserve">Ernst, I. M. A., Pallauf, K., Bendall, J. K., Paulsen, L., Nikolai, S., Huebbe, P., </w:t>
      </w:r>
      <w:r w:rsidR="00AD6C70">
        <w:rPr>
          <w:rFonts w:ascii="Arial" w:hAnsi="Arial" w:cs="Arial"/>
          <w:sz w:val="20"/>
          <w:szCs w:val="20"/>
        </w:rPr>
        <w:t>et.al.,</w:t>
      </w:r>
      <w:r w:rsidRPr="00B02D62">
        <w:rPr>
          <w:rFonts w:ascii="Arial" w:hAnsi="Arial" w:cs="Arial"/>
          <w:sz w:val="20"/>
          <w:szCs w:val="20"/>
        </w:rPr>
        <w:t xml:space="preserve"> (2013). Vitamin E supplementation and lifespan in model organisms. </w:t>
      </w:r>
      <w:r w:rsidRPr="00B02D62">
        <w:rPr>
          <w:rFonts w:ascii="Arial" w:hAnsi="Arial" w:cs="Arial"/>
          <w:i/>
          <w:iCs/>
          <w:sz w:val="20"/>
          <w:szCs w:val="20"/>
        </w:rPr>
        <w:t>Ageing Research Reviews</w:t>
      </w:r>
      <w:r w:rsidRPr="00B02D62">
        <w:rPr>
          <w:rFonts w:ascii="Arial" w:hAnsi="Arial" w:cs="Arial"/>
          <w:sz w:val="20"/>
          <w:szCs w:val="20"/>
        </w:rPr>
        <w:t xml:space="preserve">, </w:t>
      </w:r>
      <w:r w:rsidRPr="00B02D62">
        <w:rPr>
          <w:rFonts w:ascii="Arial" w:hAnsi="Arial" w:cs="Arial"/>
          <w:i/>
          <w:iCs/>
          <w:sz w:val="20"/>
          <w:szCs w:val="20"/>
        </w:rPr>
        <w:t>12</w:t>
      </w:r>
      <w:r w:rsidRPr="00B02D62">
        <w:rPr>
          <w:rFonts w:ascii="Arial" w:hAnsi="Arial" w:cs="Arial"/>
          <w:sz w:val="20"/>
          <w:szCs w:val="20"/>
        </w:rPr>
        <w:t>(1), 365–375. https://doi.org/10.1016/j.arr.2012.10.002</w:t>
      </w:r>
    </w:p>
    <w:p w14:paraId="276B1EA3" w14:textId="77777777" w:rsidR="00B02D62" w:rsidRPr="00B02D62" w:rsidRDefault="00B02D62" w:rsidP="00B02D62">
      <w:pPr>
        <w:pStyle w:val="NoSpacing"/>
        <w:rPr>
          <w:rFonts w:ascii="Arial" w:hAnsi="Arial" w:cs="Arial"/>
          <w:sz w:val="20"/>
          <w:szCs w:val="20"/>
        </w:rPr>
      </w:pPr>
    </w:p>
    <w:p w14:paraId="30C02A89" w14:textId="77777777" w:rsidR="001D5D94" w:rsidRDefault="001D5D94" w:rsidP="00B02D62">
      <w:pPr>
        <w:pStyle w:val="NoSpacing"/>
        <w:rPr>
          <w:rFonts w:ascii="Arial" w:hAnsi="Arial" w:cs="Arial"/>
          <w:sz w:val="20"/>
          <w:szCs w:val="20"/>
        </w:rPr>
      </w:pPr>
      <w:r w:rsidRPr="00B02D62">
        <w:rPr>
          <w:rFonts w:ascii="Arial" w:hAnsi="Arial" w:cs="Arial"/>
          <w:sz w:val="20"/>
          <w:szCs w:val="20"/>
        </w:rPr>
        <w:t xml:space="preserve">Fischhof, P. K., Möslinger-Gehmayr, R., Herrmann, W. M., Friedmann, A., &amp; Ruβmann, D. L. (1996). Therapeutic Efficacy of Vincamine in Dementia. </w:t>
      </w:r>
      <w:r w:rsidRPr="00B02D62">
        <w:rPr>
          <w:rFonts w:ascii="Arial" w:hAnsi="Arial" w:cs="Arial"/>
          <w:i/>
          <w:iCs/>
          <w:sz w:val="20"/>
          <w:szCs w:val="20"/>
        </w:rPr>
        <w:t>Neuropsychobiology</w:t>
      </w:r>
      <w:r w:rsidRPr="00B02D62">
        <w:rPr>
          <w:rFonts w:ascii="Arial" w:hAnsi="Arial" w:cs="Arial"/>
          <w:sz w:val="20"/>
          <w:szCs w:val="20"/>
        </w:rPr>
        <w:t xml:space="preserve">, </w:t>
      </w:r>
      <w:r w:rsidRPr="00B02D62">
        <w:rPr>
          <w:rFonts w:ascii="Arial" w:hAnsi="Arial" w:cs="Arial"/>
          <w:i/>
          <w:iCs/>
          <w:sz w:val="20"/>
          <w:szCs w:val="20"/>
        </w:rPr>
        <w:t>34</w:t>
      </w:r>
      <w:r w:rsidRPr="00B02D62">
        <w:rPr>
          <w:rFonts w:ascii="Arial" w:hAnsi="Arial" w:cs="Arial"/>
          <w:sz w:val="20"/>
          <w:szCs w:val="20"/>
        </w:rPr>
        <w:t>(1), 29–35. https://doi.org/10.1159/000119288</w:t>
      </w:r>
    </w:p>
    <w:p w14:paraId="41DF5C8E" w14:textId="77777777" w:rsidR="00B02D62" w:rsidRPr="00B02D62" w:rsidRDefault="00B02D62" w:rsidP="00B02D62">
      <w:pPr>
        <w:pStyle w:val="NoSpacing"/>
        <w:rPr>
          <w:rFonts w:ascii="Arial" w:hAnsi="Arial" w:cs="Arial"/>
          <w:sz w:val="20"/>
          <w:szCs w:val="20"/>
        </w:rPr>
      </w:pPr>
    </w:p>
    <w:p w14:paraId="572C8BDB" w14:textId="636505EA" w:rsidR="001D5D94" w:rsidRDefault="001D5D94" w:rsidP="00B02D62">
      <w:pPr>
        <w:pStyle w:val="NoSpacing"/>
        <w:rPr>
          <w:rFonts w:ascii="Arial" w:hAnsi="Arial" w:cs="Arial"/>
          <w:sz w:val="20"/>
          <w:szCs w:val="20"/>
        </w:rPr>
      </w:pPr>
      <w:r w:rsidRPr="00B02D62">
        <w:rPr>
          <w:rFonts w:ascii="Arial" w:hAnsi="Arial" w:cs="Arial"/>
          <w:sz w:val="20"/>
          <w:szCs w:val="20"/>
        </w:rPr>
        <w:t xml:space="preserve">Forni, C., Facchiano, F., Bartoli, M., Pieretti, S., Facchiano, A., D’Arcangelo, </w:t>
      </w:r>
      <w:r w:rsidR="00144804">
        <w:rPr>
          <w:rFonts w:ascii="Arial" w:hAnsi="Arial" w:cs="Arial"/>
          <w:sz w:val="20"/>
          <w:szCs w:val="20"/>
        </w:rPr>
        <w:t>et.al.,</w:t>
      </w:r>
      <w:r w:rsidRPr="00B02D62">
        <w:rPr>
          <w:rFonts w:ascii="Arial" w:hAnsi="Arial" w:cs="Arial"/>
          <w:sz w:val="20"/>
          <w:szCs w:val="20"/>
        </w:rPr>
        <w:t xml:space="preserve">2019). </w:t>
      </w:r>
      <w:r w:rsidRPr="00B02D62">
        <w:rPr>
          <w:rFonts w:ascii="Arial" w:hAnsi="Arial" w:cs="Arial"/>
          <w:i/>
          <w:iCs/>
          <w:sz w:val="20"/>
          <w:szCs w:val="20"/>
        </w:rPr>
        <w:t>Beneficial Role of Phytochemicals on Oxidative Stress and Age-Related Diseases</w:t>
      </w:r>
      <w:r w:rsidRPr="00B02D62">
        <w:rPr>
          <w:rFonts w:ascii="Arial" w:hAnsi="Arial" w:cs="Arial"/>
          <w:sz w:val="20"/>
          <w:szCs w:val="20"/>
        </w:rPr>
        <w:t xml:space="preserve"> [Review Article]. BioMed Research International; Hindawi. https://doi.org/10.1155/2019/8748253</w:t>
      </w:r>
    </w:p>
    <w:p w14:paraId="7DE0AA72" w14:textId="77777777" w:rsidR="00B02D62" w:rsidRPr="00B02D62" w:rsidRDefault="00B02D62" w:rsidP="00B02D62">
      <w:pPr>
        <w:pStyle w:val="NoSpacing"/>
        <w:rPr>
          <w:rFonts w:ascii="Arial" w:hAnsi="Arial" w:cs="Arial"/>
          <w:sz w:val="20"/>
          <w:szCs w:val="20"/>
        </w:rPr>
      </w:pPr>
    </w:p>
    <w:p w14:paraId="62FE3257" w14:textId="1DB1C7FE" w:rsidR="001D5D94" w:rsidRDefault="001D5D94" w:rsidP="00B02D62">
      <w:pPr>
        <w:pStyle w:val="NoSpacing"/>
        <w:rPr>
          <w:rFonts w:ascii="Arial" w:hAnsi="Arial" w:cs="Arial"/>
          <w:sz w:val="20"/>
          <w:szCs w:val="20"/>
        </w:rPr>
      </w:pPr>
      <w:r w:rsidRPr="00B02D62">
        <w:rPr>
          <w:rFonts w:ascii="Arial" w:hAnsi="Arial" w:cs="Arial"/>
          <w:sz w:val="20"/>
          <w:szCs w:val="20"/>
        </w:rPr>
        <w:t>Gligor, O., Clichici, S., Moldovan, R., Muntean, D., Vlase, A.-M., Nadăș, G. C., Matei,</w:t>
      </w:r>
      <w:r w:rsidR="00144804">
        <w:rPr>
          <w:rFonts w:ascii="Arial" w:hAnsi="Arial" w:cs="Arial"/>
          <w:sz w:val="20"/>
          <w:szCs w:val="20"/>
        </w:rPr>
        <w:t xml:space="preserve"> </w:t>
      </w:r>
      <w:r w:rsidR="000326C6">
        <w:rPr>
          <w:rFonts w:ascii="Arial" w:hAnsi="Arial" w:cs="Arial"/>
          <w:sz w:val="20"/>
          <w:szCs w:val="20"/>
        </w:rPr>
        <w:t>et.al.,</w:t>
      </w:r>
      <w:r w:rsidRPr="00B02D62">
        <w:rPr>
          <w:rFonts w:ascii="Arial" w:hAnsi="Arial" w:cs="Arial"/>
          <w:sz w:val="20"/>
          <w:szCs w:val="20"/>
        </w:rPr>
        <w:t xml:space="preserve"> (2023). The Effect of Extraction Methods on Phytochemicals and Biological Activities of Green Coffee Beans Extracts. </w:t>
      </w:r>
      <w:r w:rsidRPr="00B02D62">
        <w:rPr>
          <w:rFonts w:ascii="Arial" w:hAnsi="Arial" w:cs="Arial"/>
          <w:i/>
          <w:iCs/>
          <w:sz w:val="20"/>
          <w:szCs w:val="20"/>
        </w:rPr>
        <w:t>Plants</w:t>
      </w:r>
      <w:r w:rsidRPr="00B02D62">
        <w:rPr>
          <w:rFonts w:ascii="Arial" w:hAnsi="Arial" w:cs="Arial"/>
          <w:sz w:val="20"/>
          <w:szCs w:val="20"/>
        </w:rPr>
        <w:t xml:space="preserve">, </w:t>
      </w:r>
      <w:r w:rsidRPr="00B02D62">
        <w:rPr>
          <w:rFonts w:ascii="Arial" w:hAnsi="Arial" w:cs="Arial"/>
          <w:i/>
          <w:iCs/>
          <w:sz w:val="20"/>
          <w:szCs w:val="20"/>
        </w:rPr>
        <w:t>12</w:t>
      </w:r>
      <w:r w:rsidRPr="00B02D62">
        <w:rPr>
          <w:rFonts w:ascii="Arial" w:hAnsi="Arial" w:cs="Arial"/>
          <w:sz w:val="20"/>
          <w:szCs w:val="20"/>
        </w:rPr>
        <w:t>(4), 712. https://doi.org/10.3390/plants12040712</w:t>
      </w:r>
    </w:p>
    <w:p w14:paraId="5EAEF149" w14:textId="77777777" w:rsidR="00B02D62" w:rsidRPr="00B02D62" w:rsidRDefault="00B02D62" w:rsidP="00B02D62">
      <w:pPr>
        <w:pStyle w:val="NoSpacing"/>
        <w:rPr>
          <w:rFonts w:ascii="Arial" w:hAnsi="Arial" w:cs="Arial"/>
          <w:sz w:val="20"/>
          <w:szCs w:val="20"/>
        </w:rPr>
      </w:pPr>
    </w:p>
    <w:p w14:paraId="4CDE0F04" w14:textId="77777777" w:rsidR="001D5D94" w:rsidRDefault="001D5D94" w:rsidP="00B02D62">
      <w:pPr>
        <w:pStyle w:val="NoSpacing"/>
        <w:rPr>
          <w:rFonts w:ascii="Arial" w:hAnsi="Arial" w:cs="Arial"/>
          <w:sz w:val="20"/>
          <w:szCs w:val="20"/>
        </w:rPr>
      </w:pPr>
      <w:r w:rsidRPr="00B02D62">
        <w:rPr>
          <w:rFonts w:ascii="Arial" w:hAnsi="Arial" w:cs="Arial"/>
          <w:sz w:val="20"/>
          <w:szCs w:val="20"/>
        </w:rPr>
        <w:t xml:space="preserve">Guha, S., Cao, M., Kane, R. M., Savino, A. M., Zou, S., &amp; Dong, Y. (2013). The longevity effect of cranberry extract in Caenorhabditis elegans is modulated by daf-16 and osr-1. </w:t>
      </w:r>
      <w:r w:rsidRPr="00B02D62">
        <w:rPr>
          <w:rFonts w:ascii="Arial" w:hAnsi="Arial" w:cs="Arial"/>
          <w:i/>
          <w:iCs/>
          <w:sz w:val="20"/>
          <w:szCs w:val="20"/>
        </w:rPr>
        <w:t>AGE</w:t>
      </w:r>
      <w:r w:rsidRPr="00B02D62">
        <w:rPr>
          <w:rFonts w:ascii="Arial" w:hAnsi="Arial" w:cs="Arial"/>
          <w:sz w:val="20"/>
          <w:szCs w:val="20"/>
        </w:rPr>
        <w:t xml:space="preserve">, </w:t>
      </w:r>
      <w:r w:rsidRPr="00B02D62">
        <w:rPr>
          <w:rFonts w:ascii="Arial" w:hAnsi="Arial" w:cs="Arial"/>
          <w:i/>
          <w:iCs/>
          <w:sz w:val="20"/>
          <w:szCs w:val="20"/>
        </w:rPr>
        <w:t>35</w:t>
      </w:r>
      <w:r w:rsidRPr="00B02D62">
        <w:rPr>
          <w:rFonts w:ascii="Arial" w:hAnsi="Arial" w:cs="Arial"/>
          <w:sz w:val="20"/>
          <w:szCs w:val="20"/>
        </w:rPr>
        <w:t>(5), 1559–1574. https://doi.org/10.1007/s11357-012-9459-x</w:t>
      </w:r>
    </w:p>
    <w:p w14:paraId="15B17CF1" w14:textId="77777777" w:rsidR="00B02D62" w:rsidRPr="00B02D62" w:rsidRDefault="00B02D62" w:rsidP="00B02D62">
      <w:pPr>
        <w:pStyle w:val="NoSpacing"/>
        <w:rPr>
          <w:rFonts w:ascii="Arial" w:hAnsi="Arial" w:cs="Arial"/>
          <w:sz w:val="20"/>
          <w:szCs w:val="20"/>
        </w:rPr>
      </w:pPr>
    </w:p>
    <w:p w14:paraId="7DF2FD5E" w14:textId="77777777" w:rsidR="001D5D94" w:rsidRDefault="001D5D94" w:rsidP="00B02D62">
      <w:pPr>
        <w:pStyle w:val="NoSpacing"/>
        <w:rPr>
          <w:rFonts w:ascii="Arial" w:hAnsi="Arial" w:cs="Arial"/>
          <w:sz w:val="20"/>
          <w:szCs w:val="20"/>
        </w:rPr>
      </w:pPr>
      <w:r w:rsidRPr="00B02D62">
        <w:rPr>
          <w:rFonts w:ascii="Arial" w:hAnsi="Arial" w:cs="Arial"/>
          <w:sz w:val="20"/>
          <w:szCs w:val="20"/>
        </w:rPr>
        <w:t xml:space="preserve">Habu, J. B., &amp; Ibeh, B. O. (2015). In vitro antioxidant capacity and free radical scavenging evaluation of active metabolite constituents of Newbouldia laevis ethanolic leaf extract. </w:t>
      </w:r>
      <w:r w:rsidRPr="00B02D62">
        <w:rPr>
          <w:rFonts w:ascii="Arial" w:hAnsi="Arial" w:cs="Arial"/>
          <w:i/>
          <w:iCs/>
          <w:sz w:val="20"/>
          <w:szCs w:val="20"/>
        </w:rPr>
        <w:t>Biological Research</w:t>
      </w:r>
      <w:r w:rsidRPr="00B02D62">
        <w:rPr>
          <w:rFonts w:ascii="Arial" w:hAnsi="Arial" w:cs="Arial"/>
          <w:sz w:val="20"/>
          <w:szCs w:val="20"/>
        </w:rPr>
        <w:t xml:space="preserve">, </w:t>
      </w:r>
      <w:r w:rsidRPr="00B02D62">
        <w:rPr>
          <w:rFonts w:ascii="Arial" w:hAnsi="Arial" w:cs="Arial"/>
          <w:i/>
          <w:iCs/>
          <w:sz w:val="20"/>
          <w:szCs w:val="20"/>
        </w:rPr>
        <w:t>48</w:t>
      </w:r>
      <w:r w:rsidRPr="00B02D62">
        <w:rPr>
          <w:rFonts w:ascii="Arial" w:hAnsi="Arial" w:cs="Arial"/>
          <w:sz w:val="20"/>
          <w:szCs w:val="20"/>
        </w:rPr>
        <w:t>(1), 16. https://doi.org/10.1186/s40659-015-0007-x</w:t>
      </w:r>
    </w:p>
    <w:p w14:paraId="2B7776DD" w14:textId="77777777" w:rsidR="00B02D62" w:rsidRPr="00B02D62" w:rsidRDefault="00B02D62" w:rsidP="00B02D62">
      <w:pPr>
        <w:pStyle w:val="NoSpacing"/>
        <w:rPr>
          <w:rFonts w:ascii="Arial" w:hAnsi="Arial" w:cs="Arial"/>
          <w:sz w:val="20"/>
          <w:szCs w:val="20"/>
        </w:rPr>
      </w:pPr>
    </w:p>
    <w:p w14:paraId="6DEEF515" w14:textId="77777777" w:rsidR="001D5D94" w:rsidRDefault="001D5D94" w:rsidP="00B02D62">
      <w:pPr>
        <w:pStyle w:val="NoSpacing"/>
        <w:rPr>
          <w:rFonts w:ascii="Arial" w:hAnsi="Arial" w:cs="Arial"/>
          <w:sz w:val="20"/>
          <w:szCs w:val="20"/>
        </w:rPr>
      </w:pPr>
      <w:r w:rsidRPr="00B02D62">
        <w:rPr>
          <w:rFonts w:ascii="Arial" w:hAnsi="Arial" w:cs="Arial"/>
          <w:sz w:val="20"/>
          <w:szCs w:val="20"/>
        </w:rPr>
        <w:t xml:space="preserve">Hartwig, K., Heidler, T., Moch, J., Daniel, H., &amp; Wenzel, U. (2009). Feeding a ROS-generator to Caenorhabditis elegans leads to increased expression of small heat shock protein HSP-16.2 and hormesis. </w:t>
      </w:r>
      <w:r w:rsidRPr="00B02D62">
        <w:rPr>
          <w:rFonts w:ascii="Arial" w:hAnsi="Arial" w:cs="Arial"/>
          <w:i/>
          <w:iCs/>
          <w:sz w:val="20"/>
          <w:szCs w:val="20"/>
        </w:rPr>
        <w:t>Genes &amp; Nutrition</w:t>
      </w:r>
      <w:r w:rsidRPr="00B02D62">
        <w:rPr>
          <w:rFonts w:ascii="Arial" w:hAnsi="Arial" w:cs="Arial"/>
          <w:sz w:val="20"/>
          <w:szCs w:val="20"/>
        </w:rPr>
        <w:t xml:space="preserve">, </w:t>
      </w:r>
      <w:r w:rsidRPr="00B02D62">
        <w:rPr>
          <w:rFonts w:ascii="Arial" w:hAnsi="Arial" w:cs="Arial"/>
          <w:i/>
          <w:iCs/>
          <w:sz w:val="20"/>
          <w:szCs w:val="20"/>
        </w:rPr>
        <w:t>4</w:t>
      </w:r>
      <w:r w:rsidRPr="00B02D62">
        <w:rPr>
          <w:rFonts w:ascii="Arial" w:hAnsi="Arial" w:cs="Arial"/>
          <w:sz w:val="20"/>
          <w:szCs w:val="20"/>
        </w:rPr>
        <w:t>(1), 59–67. https://doi.org/10.1007/s12263-009-0113-x</w:t>
      </w:r>
    </w:p>
    <w:p w14:paraId="145ABEB7" w14:textId="77777777" w:rsidR="00B02D62" w:rsidRPr="00B02D62" w:rsidRDefault="00B02D62" w:rsidP="00B02D62">
      <w:pPr>
        <w:pStyle w:val="NoSpacing"/>
        <w:rPr>
          <w:rFonts w:ascii="Arial" w:hAnsi="Arial" w:cs="Arial"/>
          <w:sz w:val="20"/>
          <w:szCs w:val="20"/>
        </w:rPr>
      </w:pPr>
    </w:p>
    <w:p w14:paraId="033D233D" w14:textId="77777777" w:rsidR="001D5D94" w:rsidRDefault="001D5D94" w:rsidP="00B02D62">
      <w:pPr>
        <w:pStyle w:val="NoSpacing"/>
        <w:rPr>
          <w:rFonts w:ascii="Arial" w:hAnsi="Arial" w:cs="Arial"/>
          <w:sz w:val="20"/>
          <w:szCs w:val="20"/>
        </w:rPr>
      </w:pPr>
      <w:r w:rsidRPr="00B02D62">
        <w:rPr>
          <w:rFonts w:ascii="Arial" w:hAnsi="Arial" w:cs="Arial"/>
          <w:sz w:val="20"/>
          <w:szCs w:val="20"/>
        </w:rPr>
        <w:t xml:space="preserve">Hindmarch, I., Fuchs, H.-H., &amp; Erzigkeit, H. (1991). Efficacy and Tolerance of Vinpocetine in Ambulant Patients Suffering from Mild to Moderate Organic Psychosyndromes. </w:t>
      </w:r>
      <w:r w:rsidRPr="00B02D62">
        <w:rPr>
          <w:rFonts w:ascii="Arial" w:hAnsi="Arial" w:cs="Arial"/>
          <w:i/>
          <w:iCs/>
          <w:sz w:val="20"/>
          <w:szCs w:val="20"/>
        </w:rPr>
        <w:t>International Clinical Psychopharmacology</w:t>
      </w:r>
      <w:r w:rsidRPr="00B02D62">
        <w:rPr>
          <w:rFonts w:ascii="Arial" w:hAnsi="Arial" w:cs="Arial"/>
          <w:sz w:val="20"/>
          <w:szCs w:val="20"/>
        </w:rPr>
        <w:t xml:space="preserve">, </w:t>
      </w:r>
      <w:r w:rsidRPr="00B02D62">
        <w:rPr>
          <w:rFonts w:ascii="Arial" w:hAnsi="Arial" w:cs="Arial"/>
          <w:i/>
          <w:iCs/>
          <w:sz w:val="20"/>
          <w:szCs w:val="20"/>
        </w:rPr>
        <w:t>6</w:t>
      </w:r>
      <w:r w:rsidRPr="00B02D62">
        <w:rPr>
          <w:rFonts w:ascii="Arial" w:hAnsi="Arial" w:cs="Arial"/>
          <w:sz w:val="20"/>
          <w:szCs w:val="20"/>
        </w:rPr>
        <w:t>(1), 31–44.</w:t>
      </w:r>
    </w:p>
    <w:p w14:paraId="404C2731" w14:textId="77777777" w:rsidR="00B02D62" w:rsidRPr="00B02D62" w:rsidRDefault="00B02D62" w:rsidP="00B02D62">
      <w:pPr>
        <w:pStyle w:val="NoSpacing"/>
        <w:rPr>
          <w:rFonts w:ascii="Arial" w:hAnsi="Arial" w:cs="Arial"/>
          <w:sz w:val="20"/>
          <w:szCs w:val="20"/>
        </w:rPr>
      </w:pPr>
    </w:p>
    <w:p w14:paraId="5B7D9155" w14:textId="77777777" w:rsidR="001D5D94" w:rsidRDefault="001D5D94" w:rsidP="00B02D62">
      <w:pPr>
        <w:pStyle w:val="NoSpacing"/>
        <w:rPr>
          <w:rFonts w:ascii="Arial" w:hAnsi="Arial" w:cs="Arial"/>
          <w:sz w:val="20"/>
          <w:szCs w:val="20"/>
        </w:rPr>
      </w:pPr>
      <w:r w:rsidRPr="00B02D62">
        <w:rPr>
          <w:rFonts w:ascii="Arial" w:hAnsi="Arial" w:cs="Arial"/>
          <w:sz w:val="20"/>
          <w:szCs w:val="20"/>
        </w:rPr>
        <w:t xml:space="preserve">Kapadia, P., Newell, A. S., Cunningham, J., Roberts, M. R., &amp; Hardy, J. G. (2022). Extraction of High-Value Chemicals from Plants for Technical and Medical Applications. </w:t>
      </w:r>
      <w:r w:rsidRPr="00B02D62">
        <w:rPr>
          <w:rFonts w:ascii="Arial" w:hAnsi="Arial" w:cs="Arial"/>
          <w:i/>
          <w:iCs/>
          <w:sz w:val="20"/>
          <w:szCs w:val="20"/>
        </w:rPr>
        <w:t>International Journal of Molecular Sciences</w:t>
      </w:r>
      <w:r w:rsidRPr="00B02D62">
        <w:rPr>
          <w:rFonts w:ascii="Arial" w:hAnsi="Arial" w:cs="Arial"/>
          <w:sz w:val="20"/>
          <w:szCs w:val="20"/>
        </w:rPr>
        <w:t xml:space="preserve">, </w:t>
      </w:r>
      <w:r w:rsidRPr="00B02D62">
        <w:rPr>
          <w:rFonts w:ascii="Arial" w:hAnsi="Arial" w:cs="Arial"/>
          <w:i/>
          <w:iCs/>
          <w:sz w:val="20"/>
          <w:szCs w:val="20"/>
        </w:rPr>
        <w:t>23</w:t>
      </w:r>
      <w:r w:rsidRPr="00B02D62">
        <w:rPr>
          <w:rFonts w:ascii="Arial" w:hAnsi="Arial" w:cs="Arial"/>
          <w:sz w:val="20"/>
          <w:szCs w:val="20"/>
        </w:rPr>
        <w:t>(18), Article 18. https://doi.org/10.3390/ijms231810334</w:t>
      </w:r>
    </w:p>
    <w:p w14:paraId="340A384A" w14:textId="77777777" w:rsidR="00B02D62" w:rsidRPr="00B02D62" w:rsidRDefault="00B02D62" w:rsidP="00B02D62">
      <w:pPr>
        <w:pStyle w:val="NoSpacing"/>
        <w:rPr>
          <w:rFonts w:ascii="Arial" w:hAnsi="Arial" w:cs="Arial"/>
          <w:sz w:val="20"/>
          <w:szCs w:val="20"/>
        </w:rPr>
      </w:pPr>
    </w:p>
    <w:p w14:paraId="7B3D503B" w14:textId="77777777" w:rsidR="001D5D94" w:rsidRDefault="001D5D94" w:rsidP="00B02D62">
      <w:pPr>
        <w:pStyle w:val="NoSpacing"/>
        <w:rPr>
          <w:rFonts w:ascii="Arial" w:hAnsi="Arial" w:cs="Arial"/>
          <w:sz w:val="20"/>
          <w:szCs w:val="20"/>
        </w:rPr>
      </w:pPr>
      <w:r w:rsidRPr="00B02D62">
        <w:rPr>
          <w:rFonts w:ascii="Arial" w:hAnsi="Arial" w:cs="Arial"/>
          <w:sz w:val="20"/>
          <w:szCs w:val="20"/>
        </w:rPr>
        <w:t xml:space="preserve">Kim, C.-K., &amp; Park, S.-K. (2013). Effect of Acanthopanax sessiliflorus Extracts on Stress Response and Aging in Caenorhabditis elegans. </w:t>
      </w:r>
      <w:r w:rsidRPr="00B02D62">
        <w:rPr>
          <w:rFonts w:ascii="Arial" w:hAnsi="Arial" w:cs="Arial"/>
          <w:i/>
          <w:iCs/>
          <w:sz w:val="20"/>
          <w:szCs w:val="20"/>
        </w:rPr>
        <w:t>Food Science and Technology Research</w:t>
      </w:r>
      <w:r w:rsidRPr="00B02D62">
        <w:rPr>
          <w:rFonts w:ascii="Arial" w:hAnsi="Arial" w:cs="Arial"/>
          <w:sz w:val="20"/>
          <w:szCs w:val="20"/>
        </w:rPr>
        <w:t xml:space="preserve">, </w:t>
      </w:r>
      <w:r w:rsidRPr="00B02D62">
        <w:rPr>
          <w:rFonts w:ascii="Arial" w:hAnsi="Arial" w:cs="Arial"/>
          <w:i/>
          <w:iCs/>
          <w:sz w:val="20"/>
          <w:szCs w:val="20"/>
        </w:rPr>
        <w:t>19</w:t>
      </w:r>
      <w:r w:rsidRPr="00B02D62">
        <w:rPr>
          <w:rFonts w:ascii="Arial" w:hAnsi="Arial" w:cs="Arial"/>
          <w:sz w:val="20"/>
          <w:szCs w:val="20"/>
        </w:rPr>
        <w:t>(3), 439–444. https://doi.org/10.3136/fstr.19.439</w:t>
      </w:r>
    </w:p>
    <w:p w14:paraId="63153C46" w14:textId="77777777" w:rsidR="00B02D62" w:rsidRPr="00B02D62" w:rsidRDefault="00B02D62" w:rsidP="00B02D62">
      <w:pPr>
        <w:pStyle w:val="NoSpacing"/>
        <w:rPr>
          <w:rFonts w:ascii="Arial" w:hAnsi="Arial" w:cs="Arial"/>
          <w:sz w:val="20"/>
          <w:szCs w:val="20"/>
        </w:rPr>
      </w:pPr>
    </w:p>
    <w:p w14:paraId="7A3BDCEB" w14:textId="0EDF86EB" w:rsidR="001D5D94" w:rsidRDefault="001D5D94" w:rsidP="00B02D62">
      <w:pPr>
        <w:pStyle w:val="NoSpacing"/>
        <w:rPr>
          <w:rFonts w:ascii="Arial" w:hAnsi="Arial" w:cs="Arial"/>
          <w:sz w:val="20"/>
          <w:szCs w:val="20"/>
        </w:rPr>
      </w:pPr>
      <w:r w:rsidRPr="00B02D62">
        <w:rPr>
          <w:rFonts w:ascii="Arial" w:hAnsi="Arial" w:cs="Arial"/>
          <w:sz w:val="20"/>
          <w:szCs w:val="20"/>
        </w:rPr>
        <w:t xml:space="preserve">Liguori, I., Russo, G., Curcio, F., Bulli, G., Aran, L., Della-Morte, D., </w:t>
      </w:r>
      <w:r w:rsidR="001B49A4">
        <w:rPr>
          <w:rFonts w:ascii="Arial" w:hAnsi="Arial" w:cs="Arial"/>
          <w:sz w:val="20"/>
          <w:szCs w:val="20"/>
        </w:rPr>
        <w:t>et.al.,</w:t>
      </w:r>
      <w:r w:rsidRPr="00B02D62">
        <w:rPr>
          <w:rFonts w:ascii="Arial" w:hAnsi="Arial" w:cs="Arial"/>
          <w:sz w:val="20"/>
          <w:szCs w:val="20"/>
        </w:rPr>
        <w:t xml:space="preserve">2018, April 26). </w:t>
      </w:r>
      <w:r w:rsidRPr="00B02D62">
        <w:rPr>
          <w:rFonts w:ascii="Arial" w:hAnsi="Arial" w:cs="Arial"/>
          <w:i/>
          <w:iCs/>
          <w:sz w:val="20"/>
          <w:szCs w:val="20"/>
        </w:rPr>
        <w:t>Oxidative stress, aging, and diseases</w:t>
      </w:r>
      <w:r w:rsidRPr="00B02D62">
        <w:rPr>
          <w:rFonts w:ascii="Arial" w:hAnsi="Arial" w:cs="Arial"/>
          <w:sz w:val="20"/>
          <w:szCs w:val="20"/>
        </w:rPr>
        <w:t>. Clinical Interventions in Aging; Dove Press. https://doi.org/10.2147/CIA.S158513</w:t>
      </w:r>
    </w:p>
    <w:p w14:paraId="5A7AE24F" w14:textId="77777777" w:rsidR="00B02D62" w:rsidRPr="00B02D62" w:rsidRDefault="00B02D62" w:rsidP="00B02D62">
      <w:pPr>
        <w:pStyle w:val="NoSpacing"/>
        <w:rPr>
          <w:rFonts w:ascii="Arial" w:hAnsi="Arial" w:cs="Arial"/>
          <w:sz w:val="20"/>
          <w:szCs w:val="20"/>
        </w:rPr>
      </w:pPr>
    </w:p>
    <w:p w14:paraId="65971C61" w14:textId="77777777" w:rsidR="001D5D94" w:rsidRDefault="001D5D94" w:rsidP="00B02D62">
      <w:pPr>
        <w:pStyle w:val="NoSpacing"/>
        <w:rPr>
          <w:rFonts w:ascii="Arial" w:hAnsi="Arial" w:cs="Arial"/>
          <w:sz w:val="20"/>
          <w:szCs w:val="20"/>
        </w:rPr>
      </w:pPr>
      <w:r w:rsidRPr="00B02D62">
        <w:rPr>
          <w:rFonts w:ascii="Arial" w:hAnsi="Arial" w:cs="Arial"/>
          <w:sz w:val="20"/>
          <w:szCs w:val="20"/>
        </w:rPr>
        <w:t xml:space="preserve">Lima, M., Colpo, A., Salgueiro, W., Sardinha, G., Ávila, D., &amp; Folmer, V. (2014). Ilex paraguariensis Extract Increases Lifespan and Protects Against the Toxic Effects Caused by Paraquat in Caenorhabditis elegans. </w:t>
      </w:r>
      <w:r w:rsidRPr="00B02D62">
        <w:rPr>
          <w:rFonts w:ascii="Arial" w:hAnsi="Arial" w:cs="Arial"/>
          <w:i/>
          <w:iCs/>
          <w:sz w:val="20"/>
          <w:szCs w:val="20"/>
        </w:rPr>
        <w:t>International Journal of Environmental Research and Public Health</w:t>
      </w:r>
      <w:r w:rsidRPr="00B02D62">
        <w:rPr>
          <w:rFonts w:ascii="Arial" w:hAnsi="Arial" w:cs="Arial"/>
          <w:sz w:val="20"/>
          <w:szCs w:val="20"/>
        </w:rPr>
        <w:t xml:space="preserve">, </w:t>
      </w:r>
      <w:r w:rsidRPr="00B02D62">
        <w:rPr>
          <w:rFonts w:ascii="Arial" w:hAnsi="Arial" w:cs="Arial"/>
          <w:i/>
          <w:iCs/>
          <w:sz w:val="20"/>
          <w:szCs w:val="20"/>
        </w:rPr>
        <w:t>11</w:t>
      </w:r>
      <w:r w:rsidRPr="00B02D62">
        <w:rPr>
          <w:rFonts w:ascii="Arial" w:hAnsi="Arial" w:cs="Arial"/>
          <w:sz w:val="20"/>
          <w:szCs w:val="20"/>
        </w:rPr>
        <w:t>(10), 10091–10104. https://doi.org/10.3390/ijerph111010091</w:t>
      </w:r>
    </w:p>
    <w:p w14:paraId="194E2117" w14:textId="77777777" w:rsidR="00B02D62" w:rsidRPr="00B02D62" w:rsidRDefault="00B02D62" w:rsidP="00B02D62">
      <w:pPr>
        <w:pStyle w:val="NoSpacing"/>
        <w:rPr>
          <w:rFonts w:ascii="Arial" w:hAnsi="Arial" w:cs="Arial"/>
          <w:sz w:val="20"/>
          <w:szCs w:val="20"/>
        </w:rPr>
      </w:pPr>
    </w:p>
    <w:p w14:paraId="71289C90" w14:textId="77777777" w:rsidR="001D5D94" w:rsidRDefault="001D5D94" w:rsidP="00B02D62">
      <w:pPr>
        <w:pStyle w:val="NoSpacing"/>
        <w:rPr>
          <w:rFonts w:ascii="Arial" w:hAnsi="Arial" w:cs="Arial"/>
          <w:sz w:val="20"/>
          <w:szCs w:val="20"/>
        </w:rPr>
      </w:pPr>
      <w:r w:rsidRPr="00B02D62">
        <w:rPr>
          <w:rFonts w:ascii="Arial" w:hAnsi="Arial" w:cs="Arial"/>
          <w:sz w:val="20"/>
          <w:szCs w:val="20"/>
        </w:rPr>
        <w:t xml:space="preserve">Mfotie Njoya, E., Munvera, A. M., Mkounga, P., Nkengfack, A. E., &amp; McGaw, L. J. (2017). Phytochemical analysis with free radical scavenging, nitric oxide inhibition and antiproliferative activity of Sarcocephalus pobeguinii extracts. </w:t>
      </w:r>
      <w:r w:rsidRPr="00B02D62">
        <w:rPr>
          <w:rFonts w:ascii="Arial" w:hAnsi="Arial" w:cs="Arial"/>
          <w:i/>
          <w:iCs/>
          <w:sz w:val="20"/>
          <w:szCs w:val="20"/>
        </w:rPr>
        <w:t>BMC Complementary and Alternative Medicine</w:t>
      </w:r>
      <w:r w:rsidRPr="00B02D62">
        <w:rPr>
          <w:rFonts w:ascii="Arial" w:hAnsi="Arial" w:cs="Arial"/>
          <w:sz w:val="20"/>
          <w:szCs w:val="20"/>
        </w:rPr>
        <w:t xml:space="preserve">, </w:t>
      </w:r>
      <w:r w:rsidRPr="00B02D62">
        <w:rPr>
          <w:rFonts w:ascii="Arial" w:hAnsi="Arial" w:cs="Arial"/>
          <w:i/>
          <w:iCs/>
          <w:sz w:val="20"/>
          <w:szCs w:val="20"/>
        </w:rPr>
        <w:t>17</w:t>
      </w:r>
      <w:r w:rsidRPr="00B02D62">
        <w:rPr>
          <w:rFonts w:ascii="Arial" w:hAnsi="Arial" w:cs="Arial"/>
          <w:sz w:val="20"/>
          <w:szCs w:val="20"/>
        </w:rPr>
        <w:t>(1), 199. https://doi.org/10.1186/s12906-017-1712-5</w:t>
      </w:r>
    </w:p>
    <w:p w14:paraId="448CD2CF" w14:textId="77777777" w:rsidR="00B02D62" w:rsidRPr="00B02D62" w:rsidRDefault="00B02D62" w:rsidP="00B02D62">
      <w:pPr>
        <w:pStyle w:val="NoSpacing"/>
        <w:rPr>
          <w:rFonts w:ascii="Arial" w:hAnsi="Arial" w:cs="Arial"/>
          <w:sz w:val="20"/>
          <w:szCs w:val="20"/>
        </w:rPr>
      </w:pPr>
    </w:p>
    <w:p w14:paraId="3E0B2CA9" w14:textId="77777777" w:rsidR="001D5D94" w:rsidRDefault="001D5D94" w:rsidP="00B02D62">
      <w:pPr>
        <w:pStyle w:val="NoSpacing"/>
        <w:rPr>
          <w:rFonts w:ascii="Arial" w:hAnsi="Arial" w:cs="Arial"/>
          <w:sz w:val="20"/>
          <w:szCs w:val="20"/>
        </w:rPr>
      </w:pPr>
      <w:r w:rsidRPr="00B02D62">
        <w:rPr>
          <w:rFonts w:ascii="Arial" w:hAnsi="Arial" w:cs="Arial"/>
          <w:sz w:val="20"/>
          <w:szCs w:val="20"/>
        </w:rPr>
        <w:lastRenderedPageBreak/>
        <w:t xml:space="preserve">Mustafa, N. R., &amp; Verpoorte, R. (2007). Phenolic compounds in Catharanthus roseus. </w:t>
      </w:r>
      <w:r w:rsidRPr="00B02D62">
        <w:rPr>
          <w:rFonts w:ascii="Arial" w:hAnsi="Arial" w:cs="Arial"/>
          <w:i/>
          <w:iCs/>
          <w:sz w:val="20"/>
          <w:szCs w:val="20"/>
        </w:rPr>
        <w:t>Phytochemistry Reviews</w:t>
      </w:r>
      <w:r w:rsidRPr="00B02D62">
        <w:rPr>
          <w:rFonts w:ascii="Arial" w:hAnsi="Arial" w:cs="Arial"/>
          <w:sz w:val="20"/>
          <w:szCs w:val="20"/>
        </w:rPr>
        <w:t xml:space="preserve">, </w:t>
      </w:r>
      <w:r w:rsidRPr="00B02D62">
        <w:rPr>
          <w:rFonts w:ascii="Arial" w:hAnsi="Arial" w:cs="Arial"/>
          <w:i/>
          <w:iCs/>
          <w:sz w:val="20"/>
          <w:szCs w:val="20"/>
        </w:rPr>
        <w:t>6</w:t>
      </w:r>
      <w:r w:rsidRPr="00B02D62">
        <w:rPr>
          <w:rFonts w:ascii="Arial" w:hAnsi="Arial" w:cs="Arial"/>
          <w:sz w:val="20"/>
          <w:szCs w:val="20"/>
        </w:rPr>
        <w:t>(2), 243–258. https://doi.org/10.1007/s11101-006-9039-8</w:t>
      </w:r>
    </w:p>
    <w:p w14:paraId="0785F277" w14:textId="77777777" w:rsidR="00B02D62" w:rsidRPr="00B02D62" w:rsidRDefault="00B02D62" w:rsidP="00B02D62">
      <w:pPr>
        <w:pStyle w:val="NoSpacing"/>
        <w:rPr>
          <w:rFonts w:ascii="Arial" w:hAnsi="Arial" w:cs="Arial"/>
          <w:sz w:val="20"/>
          <w:szCs w:val="20"/>
        </w:rPr>
      </w:pPr>
    </w:p>
    <w:p w14:paraId="4DBD1C0C" w14:textId="77777777" w:rsidR="001D5D94" w:rsidRDefault="001D5D94" w:rsidP="00B02D62">
      <w:pPr>
        <w:pStyle w:val="NoSpacing"/>
        <w:rPr>
          <w:rFonts w:ascii="Arial" w:hAnsi="Arial" w:cs="Arial"/>
          <w:sz w:val="20"/>
          <w:szCs w:val="20"/>
        </w:rPr>
      </w:pPr>
      <w:r w:rsidRPr="00B02D62">
        <w:rPr>
          <w:rFonts w:ascii="Arial" w:hAnsi="Arial" w:cs="Arial"/>
          <w:sz w:val="20"/>
          <w:szCs w:val="20"/>
        </w:rPr>
        <w:t xml:space="preserve">Nayak, B., &amp; Pinto Pereira, L. M. (2006). Catharanthus roseus flower extract has wound-healing activity in Sprague Dawley rats. </w:t>
      </w:r>
      <w:r w:rsidRPr="00B02D62">
        <w:rPr>
          <w:rFonts w:ascii="Arial" w:hAnsi="Arial" w:cs="Arial"/>
          <w:i/>
          <w:iCs/>
          <w:sz w:val="20"/>
          <w:szCs w:val="20"/>
        </w:rPr>
        <w:t>BMC Complementary and Alternative Medicine</w:t>
      </w:r>
      <w:r w:rsidRPr="00B02D62">
        <w:rPr>
          <w:rFonts w:ascii="Arial" w:hAnsi="Arial" w:cs="Arial"/>
          <w:sz w:val="20"/>
          <w:szCs w:val="20"/>
        </w:rPr>
        <w:t xml:space="preserve">, </w:t>
      </w:r>
      <w:r w:rsidRPr="00B02D62">
        <w:rPr>
          <w:rFonts w:ascii="Arial" w:hAnsi="Arial" w:cs="Arial"/>
          <w:i/>
          <w:iCs/>
          <w:sz w:val="20"/>
          <w:szCs w:val="20"/>
        </w:rPr>
        <w:t>6</w:t>
      </w:r>
      <w:r w:rsidRPr="00B02D62">
        <w:rPr>
          <w:rFonts w:ascii="Arial" w:hAnsi="Arial" w:cs="Arial"/>
          <w:sz w:val="20"/>
          <w:szCs w:val="20"/>
        </w:rPr>
        <w:t>(1), 41. https://doi.org/10.1186/1472-6882-6-41</w:t>
      </w:r>
    </w:p>
    <w:p w14:paraId="13A300BF" w14:textId="77777777" w:rsidR="00B02D62" w:rsidRPr="00B02D62" w:rsidRDefault="00B02D62" w:rsidP="00B02D62">
      <w:pPr>
        <w:pStyle w:val="NoSpacing"/>
        <w:rPr>
          <w:rFonts w:ascii="Arial" w:hAnsi="Arial" w:cs="Arial"/>
          <w:sz w:val="20"/>
          <w:szCs w:val="20"/>
        </w:rPr>
      </w:pPr>
    </w:p>
    <w:p w14:paraId="6AE9CB3A" w14:textId="60165C71" w:rsidR="001D5D94" w:rsidRDefault="001D5D94" w:rsidP="00B02D62">
      <w:pPr>
        <w:pStyle w:val="NoSpacing"/>
        <w:rPr>
          <w:rFonts w:ascii="Arial" w:hAnsi="Arial" w:cs="Arial"/>
          <w:sz w:val="20"/>
          <w:szCs w:val="20"/>
        </w:rPr>
      </w:pPr>
      <w:r w:rsidRPr="00B02D62">
        <w:rPr>
          <w:rFonts w:ascii="Arial" w:hAnsi="Arial" w:cs="Arial"/>
          <w:sz w:val="20"/>
          <w:szCs w:val="20"/>
        </w:rPr>
        <w:t xml:space="preserve">Nejat, N., Valdiani, A., Cahill, D., Tan, Y.-H., Maziah, M., &amp; Abiri, R. (2015). </w:t>
      </w:r>
      <w:r w:rsidRPr="00B02D62">
        <w:rPr>
          <w:rFonts w:ascii="Arial" w:hAnsi="Arial" w:cs="Arial"/>
          <w:i/>
          <w:iCs/>
          <w:sz w:val="20"/>
          <w:szCs w:val="20"/>
        </w:rPr>
        <w:t>Ornamental Exterior versus Therapeutic Interior of Madagascar Periwinkle (Catharanthus roseus): The Two Faces of a Versatile Herb</w:t>
      </w:r>
      <w:r w:rsidRPr="00B02D62">
        <w:rPr>
          <w:rFonts w:ascii="Arial" w:hAnsi="Arial" w:cs="Arial"/>
          <w:sz w:val="20"/>
          <w:szCs w:val="20"/>
        </w:rPr>
        <w:t xml:space="preserve"> [Review Article]. The Scientific World Journal; Hindawi</w:t>
      </w:r>
      <w:r w:rsidR="00B02D62">
        <w:rPr>
          <w:rFonts w:ascii="Arial" w:hAnsi="Arial" w:cs="Arial"/>
          <w:sz w:val="20"/>
          <w:szCs w:val="20"/>
        </w:rPr>
        <w:t>.</w:t>
      </w:r>
      <w:r w:rsidRPr="00B02D62">
        <w:rPr>
          <w:rFonts w:ascii="Arial" w:hAnsi="Arial" w:cs="Arial"/>
          <w:sz w:val="20"/>
          <w:szCs w:val="20"/>
        </w:rPr>
        <w:t>https://doi.org/10.1155/2015/982412</w:t>
      </w:r>
    </w:p>
    <w:p w14:paraId="0D60D36D" w14:textId="77777777" w:rsidR="00B02D62" w:rsidRPr="00B02D62" w:rsidRDefault="00B02D62" w:rsidP="00B02D62">
      <w:pPr>
        <w:pStyle w:val="NoSpacing"/>
        <w:rPr>
          <w:rFonts w:ascii="Arial" w:hAnsi="Arial" w:cs="Arial"/>
          <w:sz w:val="20"/>
          <w:szCs w:val="20"/>
        </w:rPr>
      </w:pPr>
    </w:p>
    <w:p w14:paraId="26266C3A" w14:textId="77777777" w:rsidR="001D5D94" w:rsidRDefault="001D5D94" w:rsidP="00B02D62">
      <w:pPr>
        <w:pStyle w:val="NoSpacing"/>
        <w:rPr>
          <w:rFonts w:ascii="Arial" w:hAnsi="Arial" w:cs="Arial"/>
          <w:sz w:val="20"/>
          <w:szCs w:val="20"/>
        </w:rPr>
      </w:pPr>
      <w:r w:rsidRPr="00B02D62">
        <w:rPr>
          <w:rFonts w:ascii="Arial" w:hAnsi="Arial" w:cs="Arial"/>
          <w:sz w:val="20"/>
          <w:szCs w:val="20"/>
        </w:rPr>
        <w:t xml:space="preserve">Pietsch, K., Saul, N., Menzel, R., Stürzenbaum, S. R., &amp; Steinberg, C. E. W. (2009). Quercetin mediated lifespan extension in Caenorhabditis elegans is modulated by age-1, daf-2, sek-1 and unc-43. </w:t>
      </w:r>
      <w:r w:rsidRPr="00B02D62">
        <w:rPr>
          <w:rFonts w:ascii="Arial" w:hAnsi="Arial" w:cs="Arial"/>
          <w:i/>
          <w:iCs/>
          <w:sz w:val="20"/>
          <w:szCs w:val="20"/>
        </w:rPr>
        <w:t>Biogerontology</w:t>
      </w:r>
      <w:r w:rsidRPr="00B02D62">
        <w:rPr>
          <w:rFonts w:ascii="Arial" w:hAnsi="Arial" w:cs="Arial"/>
          <w:sz w:val="20"/>
          <w:szCs w:val="20"/>
        </w:rPr>
        <w:t xml:space="preserve">, </w:t>
      </w:r>
      <w:r w:rsidRPr="00B02D62">
        <w:rPr>
          <w:rFonts w:ascii="Arial" w:hAnsi="Arial" w:cs="Arial"/>
          <w:i/>
          <w:iCs/>
          <w:sz w:val="20"/>
          <w:szCs w:val="20"/>
        </w:rPr>
        <w:t>10</w:t>
      </w:r>
      <w:r w:rsidRPr="00B02D62">
        <w:rPr>
          <w:rFonts w:ascii="Arial" w:hAnsi="Arial" w:cs="Arial"/>
          <w:sz w:val="20"/>
          <w:szCs w:val="20"/>
        </w:rPr>
        <w:t>(5), 565–578. https://doi.org/10.1007/s10522-008-9199-6</w:t>
      </w:r>
    </w:p>
    <w:p w14:paraId="47CDEA8A" w14:textId="77777777" w:rsidR="00B02D62" w:rsidRPr="00B02D62" w:rsidRDefault="00B02D62" w:rsidP="00B02D62">
      <w:pPr>
        <w:pStyle w:val="NoSpacing"/>
        <w:rPr>
          <w:rFonts w:ascii="Arial" w:hAnsi="Arial" w:cs="Arial"/>
          <w:sz w:val="20"/>
          <w:szCs w:val="20"/>
        </w:rPr>
      </w:pPr>
    </w:p>
    <w:p w14:paraId="2B12C629" w14:textId="45D64AA3" w:rsidR="001D5D94" w:rsidRDefault="001D5D94" w:rsidP="00B02D62">
      <w:pPr>
        <w:pStyle w:val="NoSpacing"/>
        <w:rPr>
          <w:rFonts w:ascii="Arial" w:hAnsi="Arial" w:cs="Arial"/>
          <w:sz w:val="20"/>
          <w:szCs w:val="20"/>
        </w:rPr>
      </w:pPr>
      <w:r w:rsidRPr="00B02D62">
        <w:rPr>
          <w:rFonts w:ascii="Arial" w:hAnsi="Arial" w:cs="Arial"/>
          <w:sz w:val="20"/>
          <w:szCs w:val="20"/>
        </w:rPr>
        <w:t xml:space="preserve">Salehi, B., Azzini, E., Zucca, P., Maria Varoni, E., V. Anil Kumar, N., Dini, L., Panzarini, E., </w:t>
      </w:r>
      <w:r w:rsidR="00B02D62">
        <w:rPr>
          <w:rFonts w:ascii="Arial" w:hAnsi="Arial" w:cs="Arial"/>
          <w:sz w:val="20"/>
          <w:szCs w:val="20"/>
        </w:rPr>
        <w:t>et.al.,</w:t>
      </w:r>
      <w:r w:rsidRPr="00B02D62">
        <w:rPr>
          <w:rFonts w:ascii="Arial" w:hAnsi="Arial" w:cs="Arial"/>
          <w:sz w:val="20"/>
          <w:szCs w:val="20"/>
        </w:rPr>
        <w:t xml:space="preserve"> (2020). Plant-Derived Bioactives and Oxidative Stress-Related Disorders: A Key Trend towards Healthy Aging and Longevity Promotion. </w:t>
      </w:r>
      <w:r w:rsidRPr="00B02D62">
        <w:rPr>
          <w:rFonts w:ascii="Arial" w:hAnsi="Arial" w:cs="Arial"/>
          <w:i/>
          <w:iCs/>
          <w:sz w:val="20"/>
          <w:szCs w:val="20"/>
        </w:rPr>
        <w:t>Applied Sciences</w:t>
      </w:r>
      <w:r w:rsidRPr="00B02D62">
        <w:rPr>
          <w:rFonts w:ascii="Arial" w:hAnsi="Arial" w:cs="Arial"/>
          <w:sz w:val="20"/>
          <w:szCs w:val="20"/>
        </w:rPr>
        <w:t xml:space="preserve">, </w:t>
      </w:r>
      <w:r w:rsidRPr="00B02D62">
        <w:rPr>
          <w:rFonts w:ascii="Arial" w:hAnsi="Arial" w:cs="Arial"/>
          <w:i/>
          <w:iCs/>
          <w:sz w:val="20"/>
          <w:szCs w:val="20"/>
        </w:rPr>
        <w:t>10</w:t>
      </w:r>
      <w:r w:rsidRPr="00B02D62">
        <w:rPr>
          <w:rFonts w:ascii="Arial" w:hAnsi="Arial" w:cs="Arial"/>
          <w:sz w:val="20"/>
          <w:szCs w:val="20"/>
        </w:rPr>
        <w:t>(3), Article 3. https://doi.org/10.3390/app10030947</w:t>
      </w:r>
    </w:p>
    <w:p w14:paraId="0E4D9A44" w14:textId="77777777" w:rsidR="00B02D62" w:rsidRPr="00B02D62" w:rsidRDefault="00B02D62" w:rsidP="00B02D62">
      <w:pPr>
        <w:pStyle w:val="NoSpacing"/>
        <w:rPr>
          <w:rFonts w:ascii="Arial" w:hAnsi="Arial" w:cs="Arial"/>
          <w:sz w:val="20"/>
          <w:szCs w:val="20"/>
        </w:rPr>
      </w:pPr>
    </w:p>
    <w:p w14:paraId="0A48EB9D" w14:textId="77777777" w:rsidR="001D5D94" w:rsidRDefault="001D5D94" w:rsidP="00B02D62">
      <w:pPr>
        <w:pStyle w:val="NoSpacing"/>
        <w:rPr>
          <w:rFonts w:ascii="Arial" w:hAnsi="Arial" w:cs="Arial"/>
          <w:sz w:val="20"/>
          <w:szCs w:val="20"/>
        </w:rPr>
      </w:pPr>
      <w:r w:rsidRPr="00B02D62">
        <w:rPr>
          <w:rFonts w:ascii="Arial" w:hAnsi="Arial" w:cs="Arial"/>
          <w:sz w:val="20"/>
          <w:szCs w:val="20"/>
        </w:rPr>
        <w:t xml:space="preserve">Sheikh, T. (n.d.). </w:t>
      </w:r>
      <w:r w:rsidRPr="00B02D62">
        <w:rPr>
          <w:rFonts w:ascii="Arial" w:hAnsi="Arial" w:cs="Arial"/>
          <w:i/>
          <w:iCs/>
          <w:sz w:val="20"/>
          <w:szCs w:val="20"/>
        </w:rPr>
        <w:t>Evaluation of Free Radical-Scavenging and Nitric Oxide Inhibition Activities of Selected Medicinal Plants – Material Science Research India</w:t>
      </w:r>
      <w:r w:rsidRPr="00B02D62">
        <w:rPr>
          <w:rFonts w:ascii="Arial" w:hAnsi="Arial" w:cs="Arial"/>
          <w:sz w:val="20"/>
          <w:szCs w:val="20"/>
        </w:rPr>
        <w:t>. Retrieved June 18, 2024, from https://www.materialsciencejournal.org/specialissue2023/evaluation-of-free-radical-scavenging-and-nitric-oxide-inhibition-activities-of-selected-medicinal-plants/</w:t>
      </w:r>
    </w:p>
    <w:p w14:paraId="4A75061E" w14:textId="77777777" w:rsidR="00B02D62" w:rsidRPr="00B02D62" w:rsidRDefault="00B02D62" w:rsidP="00B02D62">
      <w:pPr>
        <w:pStyle w:val="NoSpacing"/>
        <w:rPr>
          <w:rFonts w:ascii="Arial" w:hAnsi="Arial" w:cs="Arial"/>
          <w:sz w:val="20"/>
          <w:szCs w:val="20"/>
        </w:rPr>
      </w:pPr>
    </w:p>
    <w:p w14:paraId="2A839BE9" w14:textId="77777777" w:rsidR="001D5D94" w:rsidRDefault="001D5D94" w:rsidP="00B02D62">
      <w:pPr>
        <w:pStyle w:val="NoSpacing"/>
        <w:rPr>
          <w:rFonts w:ascii="Arial" w:hAnsi="Arial" w:cs="Arial"/>
          <w:sz w:val="20"/>
          <w:szCs w:val="20"/>
        </w:rPr>
      </w:pPr>
      <w:r w:rsidRPr="00B02D62">
        <w:rPr>
          <w:rFonts w:ascii="Arial" w:hAnsi="Arial" w:cs="Arial"/>
          <w:sz w:val="20"/>
          <w:szCs w:val="20"/>
        </w:rPr>
        <w:t xml:space="preserve">Siddhuraju, P., &amp; Becker, K. (2003). Antioxidant Properties of Various Solvent Extracts of Total Phenolic Constituents from Three Different Agroclimatic Origins of Drumstick Tree (Moringa oleifera Lam.) Leaves. </w:t>
      </w:r>
      <w:r w:rsidRPr="00B02D62">
        <w:rPr>
          <w:rFonts w:ascii="Arial" w:hAnsi="Arial" w:cs="Arial"/>
          <w:i/>
          <w:iCs/>
          <w:sz w:val="20"/>
          <w:szCs w:val="20"/>
        </w:rPr>
        <w:t>Journal of Agricultural and Food Chemistry</w:t>
      </w:r>
      <w:r w:rsidRPr="00B02D62">
        <w:rPr>
          <w:rFonts w:ascii="Arial" w:hAnsi="Arial" w:cs="Arial"/>
          <w:sz w:val="20"/>
          <w:szCs w:val="20"/>
        </w:rPr>
        <w:t xml:space="preserve">, </w:t>
      </w:r>
      <w:r w:rsidRPr="00B02D62">
        <w:rPr>
          <w:rFonts w:ascii="Arial" w:hAnsi="Arial" w:cs="Arial"/>
          <w:i/>
          <w:iCs/>
          <w:sz w:val="20"/>
          <w:szCs w:val="20"/>
        </w:rPr>
        <w:t>51</w:t>
      </w:r>
      <w:r w:rsidRPr="00B02D62">
        <w:rPr>
          <w:rFonts w:ascii="Arial" w:hAnsi="Arial" w:cs="Arial"/>
          <w:sz w:val="20"/>
          <w:szCs w:val="20"/>
        </w:rPr>
        <w:t>(8), 2144–2155. https://doi.org/10.1021/jf020444+</w:t>
      </w:r>
    </w:p>
    <w:p w14:paraId="33CB59AA" w14:textId="77777777" w:rsidR="00B02D62" w:rsidRPr="00B02D62" w:rsidRDefault="00B02D62" w:rsidP="00B02D62">
      <w:pPr>
        <w:pStyle w:val="NoSpacing"/>
        <w:rPr>
          <w:rFonts w:ascii="Arial" w:hAnsi="Arial" w:cs="Arial"/>
          <w:sz w:val="20"/>
          <w:szCs w:val="20"/>
        </w:rPr>
      </w:pPr>
    </w:p>
    <w:p w14:paraId="16010420" w14:textId="77777777" w:rsidR="001D5D94" w:rsidRPr="00B02D62" w:rsidRDefault="001D5D94" w:rsidP="00B02D62">
      <w:pPr>
        <w:pStyle w:val="NoSpacing"/>
        <w:rPr>
          <w:rFonts w:ascii="Arial" w:hAnsi="Arial" w:cs="Arial"/>
          <w:sz w:val="20"/>
          <w:szCs w:val="20"/>
        </w:rPr>
      </w:pPr>
      <w:r w:rsidRPr="00B02D62">
        <w:rPr>
          <w:rFonts w:ascii="Arial" w:hAnsi="Arial" w:cs="Arial"/>
          <w:sz w:val="20"/>
          <w:szCs w:val="20"/>
        </w:rPr>
        <w:t xml:space="preserve">Solis, G. M., &amp; Petrascheck, M. (2011). Measuring Caenorhabditis elegans Life Span in 96 Well Microtiter Plates. </w:t>
      </w:r>
      <w:r w:rsidRPr="00B02D62">
        <w:rPr>
          <w:rFonts w:ascii="Arial" w:hAnsi="Arial" w:cs="Arial"/>
          <w:i/>
          <w:iCs/>
          <w:sz w:val="20"/>
          <w:szCs w:val="20"/>
        </w:rPr>
        <w:t>Journal of Visualized Experiments : JoVE</w:t>
      </w:r>
      <w:r w:rsidRPr="00B02D62">
        <w:rPr>
          <w:rFonts w:ascii="Arial" w:hAnsi="Arial" w:cs="Arial"/>
          <w:sz w:val="20"/>
          <w:szCs w:val="20"/>
        </w:rPr>
        <w:t xml:space="preserve">, </w:t>
      </w:r>
      <w:r w:rsidRPr="00B02D62">
        <w:rPr>
          <w:rFonts w:ascii="Arial" w:hAnsi="Arial" w:cs="Arial"/>
          <w:i/>
          <w:iCs/>
          <w:sz w:val="20"/>
          <w:szCs w:val="20"/>
        </w:rPr>
        <w:t>49</w:t>
      </w:r>
      <w:r w:rsidRPr="00B02D62">
        <w:rPr>
          <w:rFonts w:ascii="Arial" w:hAnsi="Arial" w:cs="Arial"/>
          <w:sz w:val="20"/>
          <w:szCs w:val="20"/>
        </w:rPr>
        <w:t>. https://doi.org/10.3791/2496</w:t>
      </w:r>
    </w:p>
    <w:p w14:paraId="4008083B" w14:textId="77777777" w:rsidR="001D5D94" w:rsidRDefault="001D5D94" w:rsidP="00B02D62">
      <w:pPr>
        <w:pStyle w:val="NoSpacing"/>
        <w:rPr>
          <w:rFonts w:ascii="Arial" w:hAnsi="Arial" w:cs="Arial"/>
          <w:sz w:val="20"/>
          <w:szCs w:val="20"/>
        </w:rPr>
      </w:pPr>
      <w:r w:rsidRPr="00B02D62">
        <w:rPr>
          <w:rFonts w:ascii="Arial" w:hAnsi="Arial" w:cs="Arial"/>
          <w:sz w:val="20"/>
          <w:szCs w:val="20"/>
        </w:rPr>
        <w:t xml:space="preserve">Truong, V.-L., Jun, M., &amp; Jeong, W.-S. (2018). Role of resveratrol in regulation of cellular defense systems against oxidative stress. </w:t>
      </w:r>
      <w:r w:rsidRPr="00B02D62">
        <w:rPr>
          <w:rFonts w:ascii="Arial" w:hAnsi="Arial" w:cs="Arial"/>
          <w:i/>
          <w:iCs/>
          <w:sz w:val="20"/>
          <w:szCs w:val="20"/>
        </w:rPr>
        <w:t>BioFactors (Oxford, England)</w:t>
      </w:r>
      <w:r w:rsidRPr="00B02D62">
        <w:rPr>
          <w:rFonts w:ascii="Arial" w:hAnsi="Arial" w:cs="Arial"/>
          <w:sz w:val="20"/>
          <w:szCs w:val="20"/>
        </w:rPr>
        <w:t xml:space="preserve">, </w:t>
      </w:r>
      <w:r w:rsidRPr="00B02D62">
        <w:rPr>
          <w:rFonts w:ascii="Arial" w:hAnsi="Arial" w:cs="Arial"/>
          <w:i/>
          <w:iCs/>
          <w:sz w:val="20"/>
          <w:szCs w:val="20"/>
        </w:rPr>
        <w:t>44</w:t>
      </w:r>
      <w:r w:rsidRPr="00B02D62">
        <w:rPr>
          <w:rFonts w:ascii="Arial" w:hAnsi="Arial" w:cs="Arial"/>
          <w:sz w:val="20"/>
          <w:szCs w:val="20"/>
        </w:rPr>
        <w:t>(1), 36–49. https://doi.org/10.1002/biof.1399</w:t>
      </w:r>
    </w:p>
    <w:p w14:paraId="0E497F2A" w14:textId="77777777" w:rsidR="00B02D62" w:rsidRPr="00B02D62" w:rsidRDefault="00B02D62" w:rsidP="00B02D62">
      <w:pPr>
        <w:pStyle w:val="NoSpacing"/>
        <w:rPr>
          <w:rFonts w:ascii="Arial" w:hAnsi="Arial" w:cs="Arial"/>
          <w:sz w:val="20"/>
          <w:szCs w:val="20"/>
        </w:rPr>
      </w:pPr>
    </w:p>
    <w:p w14:paraId="0F3099A7" w14:textId="77777777" w:rsidR="001D5D94" w:rsidRDefault="001D5D94" w:rsidP="00B02D62">
      <w:pPr>
        <w:pStyle w:val="NoSpacing"/>
        <w:rPr>
          <w:rFonts w:ascii="Arial" w:hAnsi="Arial" w:cs="Arial"/>
          <w:sz w:val="20"/>
          <w:szCs w:val="20"/>
        </w:rPr>
      </w:pPr>
      <w:r w:rsidRPr="00B02D62">
        <w:rPr>
          <w:rFonts w:ascii="Arial" w:hAnsi="Arial" w:cs="Arial"/>
          <w:sz w:val="20"/>
          <w:szCs w:val="20"/>
        </w:rPr>
        <w:t xml:space="preserve">Vega-Ávila, E., Cano-Velasco, J. L., Alarcón-Aguilar, F. J., Fajardo Ortíz, M. del C., Almanza-Pérez, J. C., &amp; Román-Ramos, R. (2012). </w:t>
      </w:r>
      <w:r w:rsidRPr="00B02D62">
        <w:rPr>
          <w:rFonts w:ascii="Arial" w:hAnsi="Arial" w:cs="Arial"/>
          <w:i/>
          <w:iCs/>
          <w:sz w:val="20"/>
          <w:szCs w:val="20"/>
        </w:rPr>
        <w:t>Hypoglycemic Activity of Aqueous Extracts from Catharanthus roseus</w:t>
      </w:r>
      <w:r w:rsidRPr="00B02D62">
        <w:rPr>
          <w:rFonts w:ascii="Arial" w:hAnsi="Arial" w:cs="Arial"/>
          <w:sz w:val="20"/>
          <w:szCs w:val="20"/>
        </w:rPr>
        <w:t xml:space="preserve"> [Research Article]. Evidence-Based Complementary and Alternative Medicine; Hindawi. https://doi.org/10.1155/2012/934258</w:t>
      </w:r>
    </w:p>
    <w:p w14:paraId="10C7E36D" w14:textId="77777777" w:rsidR="00B02D62" w:rsidRPr="00B02D62" w:rsidRDefault="00B02D62" w:rsidP="00B02D62">
      <w:pPr>
        <w:pStyle w:val="NoSpacing"/>
        <w:rPr>
          <w:rFonts w:ascii="Arial" w:hAnsi="Arial" w:cs="Arial"/>
          <w:sz w:val="20"/>
          <w:szCs w:val="20"/>
        </w:rPr>
      </w:pPr>
    </w:p>
    <w:p w14:paraId="56834374" w14:textId="77777777" w:rsidR="001D5D94" w:rsidRDefault="001D5D94" w:rsidP="00B02D62">
      <w:pPr>
        <w:pStyle w:val="NoSpacing"/>
        <w:rPr>
          <w:rFonts w:ascii="Arial" w:hAnsi="Arial" w:cs="Arial"/>
          <w:sz w:val="20"/>
          <w:szCs w:val="20"/>
        </w:rPr>
      </w:pPr>
      <w:r w:rsidRPr="00B02D62">
        <w:rPr>
          <w:rFonts w:ascii="Arial" w:hAnsi="Arial" w:cs="Arial"/>
          <w:sz w:val="20"/>
          <w:szCs w:val="20"/>
        </w:rPr>
        <w:t xml:space="preserve">Wiegant, F. A. C., Surinova, S., Ytsma, E., Langelaar-Makkinje, M., Wikman, G., &amp; Post, J. A. (2009). Plant adaptogens increase lifespan and stress resistance in C. elegans. </w:t>
      </w:r>
      <w:r w:rsidRPr="00B02D62">
        <w:rPr>
          <w:rFonts w:ascii="Arial" w:hAnsi="Arial" w:cs="Arial"/>
          <w:i/>
          <w:iCs/>
          <w:sz w:val="20"/>
          <w:szCs w:val="20"/>
        </w:rPr>
        <w:t>Biogerontology</w:t>
      </w:r>
      <w:r w:rsidRPr="00B02D62">
        <w:rPr>
          <w:rFonts w:ascii="Arial" w:hAnsi="Arial" w:cs="Arial"/>
          <w:sz w:val="20"/>
          <w:szCs w:val="20"/>
        </w:rPr>
        <w:t xml:space="preserve">, </w:t>
      </w:r>
      <w:r w:rsidRPr="00B02D62">
        <w:rPr>
          <w:rFonts w:ascii="Arial" w:hAnsi="Arial" w:cs="Arial"/>
          <w:i/>
          <w:iCs/>
          <w:sz w:val="20"/>
          <w:szCs w:val="20"/>
        </w:rPr>
        <w:t>10</w:t>
      </w:r>
      <w:r w:rsidRPr="00B02D62">
        <w:rPr>
          <w:rFonts w:ascii="Arial" w:hAnsi="Arial" w:cs="Arial"/>
          <w:sz w:val="20"/>
          <w:szCs w:val="20"/>
        </w:rPr>
        <w:t>(1), 27–42. https://doi.org/10.1007/s10522-008-9151-9</w:t>
      </w:r>
    </w:p>
    <w:p w14:paraId="36D62233" w14:textId="77777777" w:rsidR="00B02D62" w:rsidRPr="00B02D62" w:rsidRDefault="00B02D62" w:rsidP="00B02D62">
      <w:pPr>
        <w:pStyle w:val="NoSpacing"/>
        <w:rPr>
          <w:rFonts w:ascii="Arial" w:hAnsi="Arial" w:cs="Arial"/>
          <w:sz w:val="20"/>
          <w:szCs w:val="20"/>
        </w:rPr>
      </w:pPr>
    </w:p>
    <w:p w14:paraId="04BFA44B" w14:textId="77777777" w:rsidR="001D5D94" w:rsidRPr="00B02D62" w:rsidRDefault="001D5D94" w:rsidP="00B02D62">
      <w:pPr>
        <w:pStyle w:val="NoSpacing"/>
        <w:rPr>
          <w:rFonts w:ascii="Arial" w:hAnsi="Arial" w:cs="Arial"/>
          <w:sz w:val="20"/>
          <w:szCs w:val="20"/>
        </w:rPr>
      </w:pPr>
      <w:r w:rsidRPr="00B02D62">
        <w:rPr>
          <w:rFonts w:ascii="Arial" w:hAnsi="Arial" w:cs="Arial"/>
          <w:sz w:val="20"/>
          <w:szCs w:val="20"/>
        </w:rPr>
        <w:t xml:space="preserve">Xu, J., Du, P., Liu, X., Xu, X., Ge, Y., &amp; Zhang, C. (2023). Curcumin supplementation increases longevity and antioxidant capacity in Caenorhabditis elegans. </w:t>
      </w:r>
      <w:r w:rsidRPr="00B02D62">
        <w:rPr>
          <w:rFonts w:ascii="Arial" w:hAnsi="Arial" w:cs="Arial"/>
          <w:i/>
          <w:iCs/>
          <w:sz w:val="20"/>
          <w:szCs w:val="20"/>
        </w:rPr>
        <w:t>Frontiers in Pharmacology</w:t>
      </w:r>
      <w:r w:rsidRPr="00B02D62">
        <w:rPr>
          <w:rFonts w:ascii="Arial" w:hAnsi="Arial" w:cs="Arial"/>
          <w:sz w:val="20"/>
          <w:szCs w:val="20"/>
        </w:rPr>
        <w:t xml:space="preserve">, </w:t>
      </w:r>
      <w:r w:rsidRPr="00B02D62">
        <w:rPr>
          <w:rFonts w:ascii="Arial" w:hAnsi="Arial" w:cs="Arial"/>
          <w:i/>
          <w:iCs/>
          <w:sz w:val="20"/>
          <w:szCs w:val="20"/>
        </w:rPr>
        <w:t>14</w:t>
      </w:r>
      <w:r w:rsidRPr="00B02D62">
        <w:rPr>
          <w:rFonts w:ascii="Arial" w:hAnsi="Arial" w:cs="Arial"/>
          <w:sz w:val="20"/>
          <w:szCs w:val="20"/>
        </w:rPr>
        <w:t>. https://www.frontiersin.org/articles/10.3389/fphar.2023.1195490</w:t>
      </w:r>
    </w:p>
    <w:p w14:paraId="2E599381" w14:textId="1190CFB2" w:rsidR="006A4432" w:rsidRPr="00B02D62" w:rsidRDefault="00E061DB" w:rsidP="00B02D62">
      <w:pPr>
        <w:pStyle w:val="NoSpacing"/>
        <w:rPr>
          <w:rFonts w:ascii="Arial" w:hAnsi="Arial" w:cs="Arial"/>
          <w:noProof/>
          <w:sz w:val="20"/>
          <w:szCs w:val="20"/>
        </w:rPr>
      </w:pPr>
      <w:r w:rsidRPr="00B02D62">
        <w:rPr>
          <w:rFonts w:ascii="Arial" w:hAnsi="Arial" w:cs="Arial"/>
          <w:sz w:val="20"/>
          <w:szCs w:val="20"/>
        </w:rPr>
        <w:fldChar w:fldCharType="end"/>
      </w:r>
    </w:p>
    <w:sectPr w:rsidR="006A4432" w:rsidRPr="00B02D62" w:rsidSect="00A5476B">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D03D9" w14:textId="77777777" w:rsidR="003F35A8" w:rsidRDefault="003F35A8" w:rsidP="00AE3D2B">
      <w:pPr>
        <w:spacing w:after="0" w:line="240" w:lineRule="auto"/>
      </w:pPr>
      <w:r>
        <w:separator/>
      </w:r>
    </w:p>
  </w:endnote>
  <w:endnote w:type="continuationSeparator" w:id="0">
    <w:p w14:paraId="0DAA29C5" w14:textId="77777777" w:rsidR="003F35A8" w:rsidRDefault="003F35A8" w:rsidP="00AE3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15F86" w14:textId="77777777" w:rsidR="00BB39B3" w:rsidRDefault="00BB39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9793476"/>
      <w:docPartObj>
        <w:docPartGallery w:val="Page Numbers (Bottom of Page)"/>
        <w:docPartUnique/>
      </w:docPartObj>
    </w:sdtPr>
    <w:sdtEndPr>
      <w:rPr>
        <w:noProof/>
      </w:rPr>
    </w:sdtEndPr>
    <w:sdtContent>
      <w:p w14:paraId="367A8E83" w14:textId="7C77AC67" w:rsidR="00787143" w:rsidRDefault="00787143">
        <w:pPr>
          <w:pStyle w:val="Footer"/>
        </w:pPr>
        <w:r>
          <w:fldChar w:fldCharType="begin"/>
        </w:r>
        <w:r>
          <w:instrText xml:space="preserve"> PAGE   \* MERGEFORMAT </w:instrText>
        </w:r>
        <w:r>
          <w:fldChar w:fldCharType="separate"/>
        </w:r>
        <w:r>
          <w:rPr>
            <w:noProof/>
          </w:rPr>
          <w:t>2</w:t>
        </w:r>
        <w:r>
          <w:rPr>
            <w:noProof/>
          </w:rPr>
          <w:fldChar w:fldCharType="end"/>
        </w:r>
      </w:p>
    </w:sdtContent>
  </w:sdt>
  <w:p w14:paraId="654FB78C" w14:textId="77777777" w:rsidR="00787143" w:rsidRDefault="007871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3E1B9" w14:textId="77777777" w:rsidR="00BB39B3" w:rsidRDefault="00BB3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7AA7C" w14:textId="77777777" w:rsidR="003F35A8" w:rsidRDefault="003F35A8" w:rsidP="00AE3D2B">
      <w:pPr>
        <w:spacing w:after="0" w:line="240" w:lineRule="auto"/>
      </w:pPr>
      <w:r>
        <w:separator/>
      </w:r>
    </w:p>
  </w:footnote>
  <w:footnote w:type="continuationSeparator" w:id="0">
    <w:p w14:paraId="2385303E" w14:textId="77777777" w:rsidR="003F35A8" w:rsidRDefault="003F35A8" w:rsidP="00AE3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9E95B" w14:textId="36771CD9" w:rsidR="00BB39B3" w:rsidRDefault="00BB39B3">
    <w:pPr>
      <w:pStyle w:val="Header"/>
    </w:pPr>
    <w:r>
      <w:rPr>
        <w:noProof/>
      </w:rPr>
      <w:pict w14:anchorId="298A37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73890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63CCD" w14:textId="6706A823" w:rsidR="00BB39B3" w:rsidRDefault="00BB39B3">
    <w:pPr>
      <w:pStyle w:val="Header"/>
    </w:pPr>
    <w:r>
      <w:rPr>
        <w:noProof/>
      </w:rPr>
      <w:pict w14:anchorId="7D5954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73890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3F46B" w14:textId="6483FFC1" w:rsidR="00BB39B3" w:rsidRDefault="00BB39B3">
    <w:pPr>
      <w:pStyle w:val="Header"/>
    </w:pPr>
    <w:r>
      <w:rPr>
        <w:noProof/>
      </w:rPr>
      <w:pict w14:anchorId="63BCFE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73890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079A4"/>
    <w:multiLevelType w:val="hybridMultilevel"/>
    <w:tmpl w:val="2076BD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7295F85"/>
    <w:multiLevelType w:val="hybridMultilevel"/>
    <w:tmpl w:val="13ECC400"/>
    <w:lvl w:ilvl="0" w:tplc="68E0CAF0">
      <w:start w:val="1"/>
      <w:numFmt w:val="decimal"/>
      <w:lvlText w:val="%1."/>
      <w:lvlJc w:val="left"/>
      <w:pPr>
        <w:ind w:left="720" w:hanging="360"/>
      </w:pPr>
      <w:rPr>
        <w:rFonts w:ascii="Arial" w:hAnsi="Arial" w:hint="default"/>
        <w:color w:val="00000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06052638">
    <w:abstractNumId w:val="1"/>
  </w:num>
  <w:num w:numId="2" w16cid:durableId="83112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K3MDEzNzI1tzCwNDBU0lEKTi0uzszPAykwNq4FAGcUjCstAAAA"/>
  </w:docVars>
  <w:rsids>
    <w:rsidRoot w:val="00225A1F"/>
    <w:rsid w:val="00002D3A"/>
    <w:rsid w:val="00003331"/>
    <w:rsid w:val="00003B72"/>
    <w:rsid w:val="00005EA2"/>
    <w:rsid w:val="00007493"/>
    <w:rsid w:val="000171FB"/>
    <w:rsid w:val="000221CD"/>
    <w:rsid w:val="00026910"/>
    <w:rsid w:val="00030EC2"/>
    <w:rsid w:val="000326C6"/>
    <w:rsid w:val="000361ED"/>
    <w:rsid w:val="00041042"/>
    <w:rsid w:val="00054ECA"/>
    <w:rsid w:val="00064B98"/>
    <w:rsid w:val="00070654"/>
    <w:rsid w:val="000743C9"/>
    <w:rsid w:val="000768B3"/>
    <w:rsid w:val="00080489"/>
    <w:rsid w:val="00083D7A"/>
    <w:rsid w:val="00090F30"/>
    <w:rsid w:val="000916A9"/>
    <w:rsid w:val="00091758"/>
    <w:rsid w:val="000A13EA"/>
    <w:rsid w:val="000A6525"/>
    <w:rsid w:val="000B346B"/>
    <w:rsid w:val="000C2887"/>
    <w:rsid w:val="000C6E1B"/>
    <w:rsid w:val="000E1E5A"/>
    <w:rsid w:val="000E47E0"/>
    <w:rsid w:val="000F66AB"/>
    <w:rsid w:val="00101654"/>
    <w:rsid w:val="00107C21"/>
    <w:rsid w:val="001128A2"/>
    <w:rsid w:val="00113BAA"/>
    <w:rsid w:val="00121446"/>
    <w:rsid w:val="00122B28"/>
    <w:rsid w:val="00125036"/>
    <w:rsid w:val="001356FD"/>
    <w:rsid w:val="00135DCC"/>
    <w:rsid w:val="0014174B"/>
    <w:rsid w:val="00144804"/>
    <w:rsid w:val="00150483"/>
    <w:rsid w:val="00157C99"/>
    <w:rsid w:val="00160322"/>
    <w:rsid w:val="0016092C"/>
    <w:rsid w:val="00167D47"/>
    <w:rsid w:val="001732EB"/>
    <w:rsid w:val="00175F06"/>
    <w:rsid w:val="00184D38"/>
    <w:rsid w:val="00192435"/>
    <w:rsid w:val="001A1A36"/>
    <w:rsid w:val="001A4D43"/>
    <w:rsid w:val="001B3C21"/>
    <w:rsid w:val="001B3D13"/>
    <w:rsid w:val="001B49A4"/>
    <w:rsid w:val="001B5F6A"/>
    <w:rsid w:val="001B70FF"/>
    <w:rsid w:val="001C17D4"/>
    <w:rsid w:val="001D5D94"/>
    <w:rsid w:val="001D7961"/>
    <w:rsid w:val="001E488B"/>
    <w:rsid w:val="001F4011"/>
    <w:rsid w:val="002132C7"/>
    <w:rsid w:val="00225A1F"/>
    <w:rsid w:val="00227DE7"/>
    <w:rsid w:val="00230087"/>
    <w:rsid w:val="0023022F"/>
    <w:rsid w:val="00250E58"/>
    <w:rsid w:val="0025411B"/>
    <w:rsid w:val="0027712F"/>
    <w:rsid w:val="00286E12"/>
    <w:rsid w:val="002879CC"/>
    <w:rsid w:val="002931D1"/>
    <w:rsid w:val="00297353"/>
    <w:rsid w:val="002B077D"/>
    <w:rsid w:val="002B485C"/>
    <w:rsid w:val="002B6312"/>
    <w:rsid w:val="002E291B"/>
    <w:rsid w:val="002E314E"/>
    <w:rsid w:val="002E5955"/>
    <w:rsid w:val="003009D0"/>
    <w:rsid w:val="003016E5"/>
    <w:rsid w:val="00302AB2"/>
    <w:rsid w:val="00313A05"/>
    <w:rsid w:val="00320421"/>
    <w:rsid w:val="00320682"/>
    <w:rsid w:val="00330D0C"/>
    <w:rsid w:val="003460F1"/>
    <w:rsid w:val="00351048"/>
    <w:rsid w:val="003556E1"/>
    <w:rsid w:val="00356574"/>
    <w:rsid w:val="00362F64"/>
    <w:rsid w:val="0036656D"/>
    <w:rsid w:val="003704E9"/>
    <w:rsid w:val="00376CD5"/>
    <w:rsid w:val="00385042"/>
    <w:rsid w:val="003A3179"/>
    <w:rsid w:val="003A5C3A"/>
    <w:rsid w:val="003B1825"/>
    <w:rsid w:val="003B3B36"/>
    <w:rsid w:val="003C4002"/>
    <w:rsid w:val="003D2427"/>
    <w:rsid w:val="003D55F8"/>
    <w:rsid w:val="003F35A8"/>
    <w:rsid w:val="0040196B"/>
    <w:rsid w:val="004022A8"/>
    <w:rsid w:val="00432517"/>
    <w:rsid w:val="0043535F"/>
    <w:rsid w:val="00447258"/>
    <w:rsid w:val="004577E8"/>
    <w:rsid w:val="00473743"/>
    <w:rsid w:val="0048322E"/>
    <w:rsid w:val="0048516D"/>
    <w:rsid w:val="004861A0"/>
    <w:rsid w:val="00490D64"/>
    <w:rsid w:val="004A205E"/>
    <w:rsid w:val="004A2957"/>
    <w:rsid w:val="004A2F48"/>
    <w:rsid w:val="004B6726"/>
    <w:rsid w:val="004D7BC2"/>
    <w:rsid w:val="004E009D"/>
    <w:rsid w:val="004E6E7C"/>
    <w:rsid w:val="004F009E"/>
    <w:rsid w:val="004F3E0A"/>
    <w:rsid w:val="004F7341"/>
    <w:rsid w:val="00502047"/>
    <w:rsid w:val="005104C2"/>
    <w:rsid w:val="00515F88"/>
    <w:rsid w:val="0052549A"/>
    <w:rsid w:val="00532C56"/>
    <w:rsid w:val="00535111"/>
    <w:rsid w:val="00535554"/>
    <w:rsid w:val="00536418"/>
    <w:rsid w:val="00542141"/>
    <w:rsid w:val="00545992"/>
    <w:rsid w:val="00557B63"/>
    <w:rsid w:val="00564E01"/>
    <w:rsid w:val="00570FF6"/>
    <w:rsid w:val="0058492E"/>
    <w:rsid w:val="0058574C"/>
    <w:rsid w:val="005951BB"/>
    <w:rsid w:val="005A2BAD"/>
    <w:rsid w:val="005A77AC"/>
    <w:rsid w:val="005A7F6C"/>
    <w:rsid w:val="005B4653"/>
    <w:rsid w:val="005C0AEC"/>
    <w:rsid w:val="005C65CE"/>
    <w:rsid w:val="005C6666"/>
    <w:rsid w:val="005F3985"/>
    <w:rsid w:val="005F5E03"/>
    <w:rsid w:val="00600B4B"/>
    <w:rsid w:val="00607E63"/>
    <w:rsid w:val="00610253"/>
    <w:rsid w:val="00613486"/>
    <w:rsid w:val="00622475"/>
    <w:rsid w:val="00624023"/>
    <w:rsid w:val="00637D2D"/>
    <w:rsid w:val="006435FF"/>
    <w:rsid w:val="0065050F"/>
    <w:rsid w:val="006506DD"/>
    <w:rsid w:val="00655F61"/>
    <w:rsid w:val="00667AE2"/>
    <w:rsid w:val="00674284"/>
    <w:rsid w:val="00675CAA"/>
    <w:rsid w:val="006832DF"/>
    <w:rsid w:val="006869C8"/>
    <w:rsid w:val="0069411B"/>
    <w:rsid w:val="00695060"/>
    <w:rsid w:val="00697B88"/>
    <w:rsid w:val="006A2569"/>
    <w:rsid w:val="006A4432"/>
    <w:rsid w:val="006A5A35"/>
    <w:rsid w:val="006A5DE4"/>
    <w:rsid w:val="006A67B7"/>
    <w:rsid w:val="006B3632"/>
    <w:rsid w:val="006B5F09"/>
    <w:rsid w:val="006C1DAF"/>
    <w:rsid w:val="006C65D8"/>
    <w:rsid w:val="006D366F"/>
    <w:rsid w:val="006D61B2"/>
    <w:rsid w:val="006E215E"/>
    <w:rsid w:val="006E40AC"/>
    <w:rsid w:val="006F101C"/>
    <w:rsid w:val="00704EC9"/>
    <w:rsid w:val="00705BAD"/>
    <w:rsid w:val="00712C71"/>
    <w:rsid w:val="0071308F"/>
    <w:rsid w:val="0072088F"/>
    <w:rsid w:val="00722FA7"/>
    <w:rsid w:val="00734D9B"/>
    <w:rsid w:val="00740A01"/>
    <w:rsid w:val="00741DF5"/>
    <w:rsid w:val="007457CE"/>
    <w:rsid w:val="0075536D"/>
    <w:rsid w:val="00757EBA"/>
    <w:rsid w:val="007628DB"/>
    <w:rsid w:val="00781754"/>
    <w:rsid w:val="00787143"/>
    <w:rsid w:val="00792938"/>
    <w:rsid w:val="00792A3F"/>
    <w:rsid w:val="007B0C6A"/>
    <w:rsid w:val="007B7901"/>
    <w:rsid w:val="007C24C6"/>
    <w:rsid w:val="007D4470"/>
    <w:rsid w:val="007E02A0"/>
    <w:rsid w:val="007E77DA"/>
    <w:rsid w:val="007F12C3"/>
    <w:rsid w:val="00807013"/>
    <w:rsid w:val="00812EE7"/>
    <w:rsid w:val="0082509F"/>
    <w:rsid w:val="008364F5"/>
    <w:rsid w:val="00841846"/>
    <w:rsid w:val="008420F1"/>
    <w:rsid w:val="008466DE"/>
    <w:rsid w:val="00855519"/>
    <w:rsid w:val="00866EBA"/>
    <w:rsid w:val="0088441E"/>
    <w:rsid w:val="008A01BE"/>
    <w:rsid w:val="008A4E5C"/>
    <w:rsid w:val="008B1CFF"/>
    <w:rsid w:val="008B59C9"/>
    <w:rsid w:val="008D24BE"/>
    <w:rsid w:val="008E172F"/>
    <w:rsid w:val="008F5F91"/>
    <w:rsid w:val="00905738"/>
    <w:rsid w:val="00912979"/>
    <w:rsid w:val="009248A3"/>
    <w:rsid w:val="009277B5"/>
    <w:rsid w:val="00952573"/>
    <w:rsid w:val="00954E86"/>
    <w:rsid w:val="00955CF1"/>
    <w:rsid w:val="00956593"/>
    <w:rsid w:val="0096263D"/>
    <w:rsid w:val="00971C0D"/>
    <w:rsid w:val="0097594E"/>
    <w:rsid w:val="00985452"/>
    <w:rsid w:val="00987D98"/>
    <w:rsid w:val="00995D70"/>
    <w:rsid w:val="009972B5"/>
    <w:rsid w:val="009A2AE3"/>
    <w:rsid w:val="009A6E66"/>
    <w:rsid w:val="009B26EF"/>
    <w:rsid w:val="009C0A12"/>
    <w:rsid w:val="009D154A"/>
    <w:rsid w:val="009F515E"/>
    <w:rsid w:val="009F68B6"/>
    <w:rsid w:val="00A21867"/>
    <w:rsid w:val="00A21FA3"/>
    <w:rsid w:val="00A23E03"/>
    <w:rsid w:val="00A33AFD"/>
    <w:rsid w:val="00A5476B"/>
    <w:rsid w:val="00A60824"/>
    <w:rsid w:val="00A608B0"/>
    <w:rsid w:val="00A61ECF"/>
    <w:rsid w:val="00A62DFA"/>
    <w:rsid w:val="00A734BB"/>
    <w:rsid w:val="00A76CED"/>
    <w:rsid w:val="00A837F9"/>
    <w:rsid w:val="00A84323"/>
    <w:rsid w:val="00A85AEE"/>
    <w:rsid w:val="00A95F4F"/>
    <w:rsid w:val="00AA688A"/>
    <w:rsid w:val="00AB0C91"/>
    <w:rsid w:val="00AB5D87"/>
    <w:rsid w:val="00AC399C"/>
    <w:rsid w:val="00AC4716"/>
    <w:rsid w:val="00AD6C70"/>
    <w:rsid w:val="00AE0630"/>
    <w:rsid w:val="00AE3D2B"/>
    <w:rsid w:val="00AE4B0D"/>
    <w:rsid w:val="00B023CB"/>
    <w:rsid w:val="00B02D62"/>
    <w:rsid w:val="00B06403"/>
    <w:rsid w:val="00B073D8"/>
    <w:rsid w:val="00B15CE1"/>
    <w:rsid w:val="00B21E77"/>
    <w:rsid w:val="00B2329D"/>
    <w:rsid w:val="00B25EF3"/>
    <w:rsid w:val="00B35D34"/>
    <w:rsid w:val="00B43737"/>
    <w:rsid w:val="00B47C6A"/>
    <w:rsid w:val="00B51FEE"/>
    <w:rsid w:val="00B56E3F"/>
    <w:rsid w:val="00B704DB"/>
    <w:rsid w:val="00B77925"/>
    <w:rsid w:val="00B8252E"/>
    <w:rsid w:val="00B82BB1"/>
    <w:rsid w:val="00B833C8"/>
    <w:rsid w:val="00B93C9F"/>
    <w:rsid w:val="00B94BA6"/>
    <w:rsid w:val="00BA4A17"/>
    <w:rsid w:val="00BA5711"/>
    <w:rsid w:val="00BB39B3"/>
    <w:rsid w:val="00BD0727"/>
    <w:rsid w:val="00BD2EFD"/>
    <w:rsid w:val="00BD31C3"/>
    <w:rsid w:val="00BD6A94"/>
    <w:rsid w:val="00BE4652"/>
    <w:rsid w:val="00BF4A9E"/>
    <w:rsid w:val="00C20786"/>
    <w:rsid w:val="00C20CCB"/>
    <w:rsid w:val="00C2165D"/>
    <w:rsid w:val="00C31301"/>
    <w:rsid w:val="00C32F05"/>
    <w:rsid w:val="00C51AE7"/>
    <w:rsid w:val="00C530BF"/>
    <w:rsid w:val="00C746EE"/>
    <w:rsid w:val="00C8038A"/>
    <w:rsid w:val="00C9437B"/>
    <w:rsid w:val="00C9633E"/>
    <w:rsid w:val="00CA7B54"/>
    <w:rsid w:val="00CB2361"/>
    <w:rsid w:val="00CB47A3"/>
    <w:rsid w:val="00CC238B"/>
    <w:rsid w:val="00CC3978"/>
    <w:rsid w:val="00CD218C"/>
    <w:rsid w:val="00CE60C3"/>
    <w:rsid w:val="00CF1B9A"/>
    <w:rsid w:val="00D00895"/>
    <w:rsid w:val="00D07885"/>
    <w:rsid w:val="00D10E1F"/>
    <w:rsid w:val="00D13D02"/>
    <w:rsid w:val="00D27934"/>
    <w:rsid w:val="00D27BD0"/>
    <w:rsid w:val="00D31FE4"/>
    <w:rsid w:val="00D36A64"/>
    <w:rsid w:val="00D4120A"/>
    <w:rsid w:val="00D54AA5"/>
    <w:rsid w:val="00D6674B"/>
    <w:rsid w:val="00D66F85"/>
    <w:rsid w:val="00D70138"/>
    <w:rsid w:val="00D7131A"/>
    <w:rsid w:val="00D741B0"/>
    <w:rsid w:val="00D75DB7"/>
    <w:rsid w:val="00D81D83"/>
    <w:rsid w:val="00D85183"/>
    <w:rsid w:val="00D93E04"/>
    <w:rsid w:val="00DA12E1"/>
    <w:rsid w:val="00DA1F08"/>
    <w:rsid w:val="00DB4FD3"/>
    <w:rsid w:val="00DB56D7"/>
    <w:rsid w:val="00DC2250"/>
    <w:rsid w:val="00DD0ECB"/>
    <w:rsid w:val="00DE5F4E"/>
    <w:rsid w:val="00DE767B"/>
    <w:rsid w:val="00DF0699"/>
    <w:rsid w:val="00DF0793"/>
    <w:rsid w:val="00E061DB"/>
    <w:rsid w:val="00E06F90"/>
    <w:rsid w:val="00E11C9E"/>
    <w:rsid w:val="00E239B2"/>
    <w:rsid w:val="00E26038"/>
    <w:rsid w:val="00E3205F"/>
    <w:rsid w:val="00E330F3"/>
    <w:rsid w:val="00E40A14"/>
    <w:rsid w:val="00E45F73"/>
    <w:rsid w:val="00E473BD"/>
    <w:rsid w:val="00E524BE"/>
    <w:rsid w:val="00E53AD8"/>
    <w:rsid w:val="00E54A33"/>
    <w:rsid w:val="00E559C7"/>
    <w:rsid w:val="00E67CF7"/>
    <w:rsid w:val="00E70C7E"/>
    <w:rsid w:val="00E71678"/>
    <w:rsid w:val="00E73E62"/>
    <w:rsid w:val="00E7451C"/>
    <w:rsid w:val="00E75CAD"/>
    <w:rsid w:val="00E86315"/>
    <w:rsid w:val="00E93EB7"/>
    <w:rsid w:val="00EA4731"/>
    <w:rsid w:val="00EA5300"/>
    <w:rsid w:val="00EB0E42"/>
    <w:rsid w:val="00EC446D"/>
    <w:rsid w:val="00EC5237"/>
    <w:rsid w:val="00ED4261"/>
    <w:rsid w:val="00ED7722"/>
    <w:rsid w:val="00EE2B9F"/>
    <w:rsid w:val="00EF0D0E"/>
    <w:rsid w:val="00EF6835"/>
    <w:rsid w:val="00EF7184"/>
    <w:rsid w:val="00F043F8"/>
    <w:rsid w:val="00F146D8"/>
    <w:rsid w:val="00F33FF1"/>
    <w:rsid w:val="00F37A5D"/>
    <w:rsid w:val="00F40FD4"/>
    <w:rsid w:val="00F43525"/>
    <w:rsid w:val="00F45D9C"/>
    <w:rsid w:val="00F67039"/>
    <w:rsid w:val="00F7160A"/>
    <w:rsid w:val="00F8175B"/>
    <w:rsid w:val="00F87BC3"/>
    <w:rsid w:val="00F9279A"/>
    <w:rsid w:val="00FA54D8"/>
    <w:rsid w:val="00FB3AD7"/>
    <w:rsid w:val="00FB4DE4"/>
    <w:rsid w:val="00FB55A4"/>
    <w:rsid w:val="00FD3AB7"/>
    <w:rsid w:val="00FD7AAD"/>
    <w:rsid w:val="00FE0E96"/>
    <w:rsid w:val="00FE590E"/>
    <w:rsid w:val="00FE6CEC"/>
    <w:rsid w:val="00FF21C7"/>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342950"/>
  <w15:chartTrackingRefBased/>
  <w15:docId w15:val="{0AF1B61A-9D9E-4413-AE90-F62237D0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3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snewroman1">
    <w:name w:val="times new roman 1"/>
    <w:basedOn w:val="NoSpacing"/>
    <w:link w:val="timesnewroman1Char"/>
    <w:qFormat/>
    <w:rsid w:val="0048322E"/>
    <w:rPr>
      <w:rFonts w:ascii="Times New Roman" w:eastAsia="Calibri" w:hAnsi="Times New Roman" w:cs="Times New Roman"/>
      <w:sz w:val="24"/>
      <w:lang w:val="en-US"/>
    </w:rPr>
  </w:style>
  <w:style w:type="character" w:customStyle="1" w:styleId="timesnewroman1Char">
    <w:name w:val="times new roman 1 Char"/>
    <w:basedOn w:val="DefaultParagraphFont"/>
    <w:link w:val="timesnewroman1"/>
    <w:rsid w:val="0048322E"/>
    <w:rPr>
      <w:rFonts w:ascii="Times New Roman" w:eastAsia="Calibri" w:hAnsi="Times New Roman" w:cs="Times New Roman"/>
      <w:sz w:val="24"/>
      <w:lang w:val="en-US"/>
    </w:rPr>
  </w:style>
  <w:style w:type="paragraph" w:styleId="NoSpacing">
    <w:name w:val="No Spacing"/>
    <w:qFormat/>
    <w:rsid w:val="0048322E"/>
    <w:pPr>
      <w:spacing w:after="0" w:line="240" w:lineRule="auto"/>
    </w:pPr>
  </w:style>
  <w:style w:type="character" w:styleId="CommentReference">
    <w:name w:val="annotation reference"/>
    <w:basedOn w:val="DefaultParagraphFont"/>
    <w:uiPriority w:val="99"/>
    <w:semiHidden/>
    <w:unhideWhenUsed/>
    <w:rsid w:val="000C6E1B"/>
    <w:rPr>
      <w:sz w:val="16"/>
      <w:szCs w:val="16"/>
    </w:rPr>
  </w:style>
  <w:style w:type="paragraph" w:styleId="CommentText">
    <w:name w:val="annotation text"/>
    <w:basedOn w:val="Normal"/>
    <w:link w:val="CommentTextChar"/>
    <w:uiPriority w:val="99"/>
    <w:semiHidden/>
    <w:unhideWhenUsed/>
    <w:rsid w:val="000C6E1B"/>
    <w:pPr>
      <w:spacing w:line="240" w:lineRule="auto"/>
    </w:pPr>
    <w:rPr>
      <w:sz w:val="20"/>
      <w:szCs w:val="20"/>
    </w:rPr>
  </w:style>
  <w:style w:type="character" w:customStyle="1" w:styleId="CommentTextChar">
    <w:name w:val="Comment Text Char"/>
    <w:basedOn w:val="DefaultParagraphFont"/>
    <w:link w:val="CommentText"/>
    <w:uiPriority w:val="99"/>
    <w:semiHidden/>
    <w:rsid w:val="000C6E1B"/>
    <w:rPr>
      <w:sz w:val="20"/>
      <w:szCs w:val="20"/>
    </w:rPr>
  </w:style>
  <w:style w:type="paragraph" w:styleId="CommentSubject">
    <w:name w:val="annotation subject"/>
    <w:basedOn w:val="CommentText"/>
    <w:next w:val="CommentText"/>
    <w:link w:val="CommentSubjectChar"/>
    <w:uiPriority w:val="99"/>
    <w:semiHidden/>
    <w:unhideWhenUsed/>
    <w:rsid w:val="000C6E1B"/>
    <w:rPr>
      <w:b/>
      <w:bCs/>
    </w:rPr>
  </w:style>
  <w:style w:type="character" w:customStyle="1" w:styleId="CommentSubjectChar">
    <w:name w:val="Comment Subject Char"/>
    <w:basedOn w:val="CommentTextChar"/>
    <w:link w:val="CommentSubject"/>
    <w:uiPriority w:val="99"/>
    <w:semiHidden/>
    <w:rsid w:val="000C6E1B"/>
    <w:rPr>
      <w:b/>
      <w:bCs/>
      <w:sz w:val="20"/>
      <w:szCs w:val="20"/>
    </w:rPr>
  </w:style>
  <w:style w:type="paragraph" w:styleId="BalloonText">
    <w:name w:val="Balloon Text"/>
    <w:basedOn w:val="Normal"/>
    <w:link w:val="BalloonTextChar"/>
    <w:uiPriority w:val="99"/>
    <w:semiHidden/>
    <w:unhideWhenUsed/>
    <w:rsid w:val="000C6E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E1B"/>
    <w:rPr>
      <w:rFonts w:ascii="Segoe UI" w:hAnsi="Segoe UI" w:cs="Segoe UI"/>
      <w:sz w:val="18"/>
      <w:szCs w:val="18"/>
    </w:rPr>
  </w:style>
  <w:style w:type="character" w:styleId="Emphasis">
    <w:name w:val="Emphasis"/>
    <w:basedOn w:val="DefaultParagraphFont"/>
    <w:uiPriority w:val="20"/>
    <w:qFormat/>
    <w:rsid w:val="006869C8"/>
    <w:rPr>
      <w:i/>
      <w:iCs/>
    </w:rPr>
  </w:style>
  <w:style w:type="paragraph" w:customStyle="1" w:styleId="Paragraph">
    <w:name w:val="Paragraph"/>
    <w:basedOn w:val="Normal"/>
    <w:link w:val="ParagraphChar"/>
    <w:autoRedefine/>
    <w:qFormat/>
    <w:rsid w:val="00A5476B"/>
    <w:pPr>
      <w:spacing w:before="100" w:beforeAutospacing="1" w:after="100" w:line="240" w:lineRule="auto"/>
      <w:jc w:val="both"/>
    </w:pPr>
    <w:rPr>
      <w:rFonts w:ascii="Arial" w:hAnsi="Arial" w:cs="Arial"/>
      <w:b/>
      <w:sz w:val="20"/>
      <w:szCs w:val="20"/>
      <w:lang w:eastAsia="x-none"/>
    </w:rPr>
  </w:style>
  <w:style w:type="character" w:customStyle="1" w:styleId="ParagraphChar">
    <w:name w:val="Paragraph Char"/>
    <w:link w:val="Paragraph"/>
    <w:rsid w:val="00A5476B"/>
    <w:rPr>
      <w:rFonts w:ascii="Arial" w:hAnsi="Arial" w:cs="Arial"/>
      <w:b/>
      <w:sz w:val="20"/>
      <w:szCs w:val="20"/>
      <w:lang w:eastAsia="x-none"/>
    </w:rPr>
  </w:style>
  <w:style w:type="paragraph" w:styleId="Header">
    <w:name w:val="header"/>
    <w:basedOn w:val="Normal"/>
    <w:link w:val="HeaderChar"/>
    <w:uiPriority w:val="99"/>
    <w:unhideWhenUsed/>
    <w:rsid w:val="00AE3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D2B"/>
  </w:style>
  <w:style w:type="paragraph" w:styleId="Footer">
    <w:name w:val="footer"/>
    <w:basedOn w:val="Normal"/>
    <w:link w:val="FooterChar"/>
    <w:uiPriority w:val="99"/>
    <w:unhideWhenUsed/>
    <w:rsid w:val="00AE3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D2B"/>
  </w:style>
  <w:style w:type="table" w:styleId="LightShading">
    <w:name w:val="Light Shading"/>
    <w:basedOn w:val="TableNormal"/>
    <w:uiPriority w:val="60"/>
    <w:rsid w:val="00AE3D2B"/>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ED426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53AD8"/>
  </w:style>
  <w:style w:type="character" w:styleId="Strong">
    <w:name w:val="Strong"/>
    <w:basedOn w:val="DefaultParagraphFont"/>
    <w:uiPriority w:val="22"/>
    <w:qFormat/>
    <w:rsid w:val="00985452"/>
    <w:rPr>
      <w:b/>
      <w:bCs/>
    </w:rPr>
  </w:style>
  <w:style w:type="paragraph" w:styleId="Bibliography">
    <w:name w:val="Bibliography"/>
    <w:basedOn w:val="Normal"/>
    <w:next w:val="Normal"/>
    <w:uiPriority w:val="37"/>
    <w:unhideWhenUsed/>
    <w:rsid w:val="00B94BA6"/>
    <w:pPr>
      <w:spacing w:after="0" w:line="480" w:lineRule="auto"/>
      <w:ind w:left="720" w:hanging="720"/>
    </w:pPr>
  </w:style>
  <w:style w:type="table" w:styleId="TableGridLight">
    <w:name w:val="Grid Table Light"/>
    <w:basedOn w:val="TableNormal"/>
    <w:uiPriority w:val="40"/>
    <w:rsid w:val="0075536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0E47E0"/>
    <w:pPr>
      <w:spacing w:after="0" w:line="240" w:lineRule="auto"/>
      <w:ind w:left="720"/>
      <w:contextualSpacing/>
    </w:pPr>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BD0727"/>
    <w:rPr>
      <w:color w:val="0563C1" w:themeColor="hyperlink"/>
      <w:u w:val="single"/>
    </w:rPr>
  </w:style>
  <w:style w:type="character" w:styleId="UnresolvedMention">
    <w:name w:val="Unresolved Mention"/>
    <w:basedOn w:val="DefaultParagraphFont"/>
    <w:uiPriority w:val="99"/>
    <w:semiHidden/>
    <w:unhideWhenUsed/>
    <w:rsid w:val="00BD0727"/>
    <w:rPr>
      <w:color w:val="605E5C"/>
      <w:shd w:val="clear" w:color="auto" w:fill="E1DFDD"/>
    </w:rPr>
  </w:style>
  <w:style w:type="paragraph" w:customStyle="1" w:styleId="AbstHead">
    <w:name w:val="Abst Head"/>
    <w:basedOn w:val="Normal"/>
    <w:rsid w:val="0036656D"/>
    <w:pPr>
      <w:keepNext/>
      <w:spacing w:after="240" w:line="240" w:lineRule="auto"/>
    </w:pPr>
    <w:rPr>
      <w:rFonts w:ascii="Helvetica" w:eastAsia="Times New Roman" w:hAnsi="Helvetica" w:cs="Times New Roman"/>
      <w:b/>
      <w:caps/>
      <w:szCs w:val="20"/>
      <w:lang w:val="en-US"/>
    </w:rPr>
  </w:style>
  <w:style w:type="character" w:styleId="LineNumber">
    <w:name w:val="line number"/>
    <w:basedOn w:val="DefaultParagraphFont"/>
    <w:uiPriority w:val="99"/>
    <w:semiHidden/>
    <w:unhideWhenUsed/>
    <w:rsid w:val="00B56E3F"/>
  </w:style>
  <w:style w:type="paragraph" w:customStyle="1" w:styleId="ReferHead">
    <w:name w:val="Refer Head"/>
    <w:basedOn w:val="Normal"/>
    <w:rsid w:val="00385042"/>
    <w:pPr>
      <w:keepNext/>
      <w:spacing w:after="240" w:line="240" w:lineRule="auto"/>
    </w:pPr>
    <w:rPr>
      <w:rFonts w:ascii="Helvetica" w:eastAsia="Times New Roman" w:hAnsi="Helvetica" w:cs="Times New Roman"/>
      <w:b/>
      <w:caps/>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985565">
      <w:bodyDiv w:val="1"/>
      <w:marLeft w:val="0"/>
      <w:marRight w:val="0"/>
      <w:marTop w:val="0"/>
      <w:marBottom w:val="0"/>
      <w:divBdr>
        <w:top w:val="none" w:sz="0" w:space="0" w:color="auto"/>
        <w:left w:val="none" w:sz="0" w:space="0" w:color="auto"/>
        <w:bottom w:val="none" w:sz="0" w:space="0" w:color="auto"/>
        <w:right w:val="none" w:sz="0" w:space="0" w:color="auto"/>
      </w:divBdr>
    </w:div>
    <w:div w:id="620261297">
      <w:bodyDiv w:val="1"/>
      <w:marLeft w:val="0"/>
      <w:marRight w:val="0"/>
      <w:marTop w:val="0"/>
      <w:marBottom w:val="0"/>
      <w:divBdr>
        <w:top w:val="none" w:sz="0" w:space="0" w:color="auto"/>
        <w:left w:val="none" w:sz="0" w:space="0" w:color="auto"/>
        <w:bottom w:val="none" w:sz="0" w:space="0" w:color="auto"/>
        <w:right w:val="none" w:sz="0" w:space="0" w:color="auto"/>
      </w:divBdr>
    </w:div>
    <w:div w:id="99530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image" Target="media/image6.emf"/><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6344890-23BD-4605-A037-8FD1A85E287B}">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212</TotalTime>
  <Pages>11</Pages>
  <Words>17125</Words>
  <Characters>97613</Characters>
  <Application>Microsoft Office Word</Application>
  <DocSecurity>0</DocSecurity>
  <Lines>813</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Editor-22</cp:lastModifiedBy>
  <cp:revision>62</cp:revision>
  <dcterms:created xsi:type="dcterms:W3CDTF">2025-02-04T10:40:00Z</dcterms:created>
  <dcterms:modified xsi:type="dcterms:W3CDTF">2025-02-24T11:12:00Z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zotero-version="7.0.11"&gt;&lt;session id="UbSiRcVh"/&gt;&lt;style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GrammarlyDocumentId">
    <vt:lpwstr>e1c4bd4b0082091e665c2d6459743360ae527a02cedbcf691714c3bc3a22b404</vt:lpwstr>
  </property>
</Properties>
</file>