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73F0C6" w14:textId="55A482C3" w:rsidR="00F272A5" w:rsidRDefault="00F272A5" w:rsidP="00291DAB">
      <w:pPr>
        <w:pStyle w:val="IEEEAuthorName"/>
        <w:rPr>
          <w:b/>
          <w:sz w:val="40"/>
          <w:lang w:val="en-US"/>
        </w:rPr>
      </w:pPr>
      <w:r w:rsidRPr="00F272A5">
        <w:rPr>
          <w:rFonts w:ascii="Arial" w:hAnsi="Arial" w:cs="Arial"/>
          <w:bCs/>
          <w:i/>
          <w:iCs/>
          <w:kern w:val="28"/>
          <w:sz w:val="36"/>
          <w:szCs w:val="22"/>
          <w:u w:val="single"/>
          <w:lang w:val="en-US" w:eastAsia="en-US"/>
        </w:rPr>
        <w:t>Original Research Article</w:t>
      </w:r>
    </w:p>
    <w:p w14:paraId="0FE85DEB" w14:textId="4D65622B" w:rsidR="005E4187" w:rsidRPr="00291DAB" w:rsidRDefault="008D0F6F" w:rsidP="00291DAB">
      <w:pPr>
        <w:pStyle w:val="IEEEAuthorName"/>
        <w:rPr>
          <w:b/>
          <w:sz w:val="40"/>
          <w:lang w:val="en-US"/>
        </w:rPr>
      </w:pPr>
      <w:r w:rsidRPr="00291DAB">
        <w:rPr>
          <w:b/>
          <w:sz w:val="40"/>
          <w:lang w:val="en-US"/>
        </w:rPr>
        <w:t>“</w:t>
      </w:r>
      <w:r w:rsidR="00291DAB" w:rsidRPr="00291DAB">
        <w:rPr>
          <w:b/>
          <w:sz w:val="40"/>
          <w:lang w:val="en-AU"/>
        </w:rPr>
        <w:t>Spatiotemporal Analysis of Land Use and Land Cover Changes in Bengaluru M</w:t>
      </w:r>
      <w:r w:rsidR="00913959">
        <w:rPr>
          <w:b/>
          <w:sz w:val="40"/>
          <w:lang w:val="en-AU"/>
        </w:rPr>
        <w:t>etropolitan Region (1990–2023) u</w:t>
      </w:r>
      <w:r w:rsidR="00291DAB" w:rsidRPr="00291DAB">
        <w:rPr>
          <w:b/>
          <w:sz w:val="40"/>
          <w:lang w:val="en-AU"/>
        </w:rPr>
        <w:t>sing GIS and Remote Sensing</w:t>
      </w:r>
      <w:r w:rsidRPr="00291DAB">
        <w:rPr>
          <w:b/>
          <w:sz w:val="40"/>
          <w:lang w:val="en-US"/>
        </w:rPr>
        <w:t>”</w:t>
      </w:r>
    </w:p>
    <w:p w14:paraId="6067ACE0" w14:textId="77777777" w:rsidR="008D0F6F" w:rsidRPr="005E3524" w:rsidRDefault="008D0F6F" w:rsidP="008D0F6F">
      <w:pPr>
        <w:rPr>
          <w:lang w:val="en-US" w:eastAsia="en-GB"/>
        </w:rPr>
      </w:pPr>
    </w:p>
    <w:p w14:paraId="38443EF7" w14:textId="77777777" w:rsidR="00323E4B" w:rsidRDefault="00323E4B" w:rsidP="00F760CA">
      <w:pPr>
        <w:pStyle w:val="NormalWeb"/>
        <w:spacing w:before="0" w:beforeAutospacing="0" w:after="0" w:afterAutospacing="0"/>
        <w:jc w:val="center"/>
      </w:pPr>
    </w:p>
    <w:p w14:paraId="4828BD31" w14:textId="77777777" w:rsidR="00004E38" w:rsidRDefault="00004E38" w:rsidP="00F760CA">
      <w:pPr>
        <w:pStyle w:val="NormalWeb"/>
        <w:spacing w:before="0" w:beforeAutospacing="0" w:after="0" w:afterAutospacing="0"/>
        <w:jc w:val="center"/>
      </w:pPr>
    </w:p>
    <w:p w14:paraId="2CF39206" w14:textId="77777777" w:rsidR="00004E38" w:rsidRDefault="00004E38" w:rsidP="00F760CA">
      <w:pPr>
        <w:pStyle w:val="NormalWeb"/>
        <w:spacing w:before="0" w:beforeAutospacing="0" w:after="0" w:afterAutospacing="0"/>
        <w:jc w:val="center"/>
      </w:pPr>
    </w:p>
    <w:p w14:paraId="6B9063D5" w14:textId="77777777" w:rsidR="003F48BC" w:rsidRPr="003D38D1" w:rsidRDefault="003F48BC" w:rsidP="003F48BC">
      <w:pPr>
        <w:rPr>
          <w:i/>
          <w:iCs/>
          <w:sz w:val="16"/>
          <w:szCs w:val="16"/>
          <w:lang w:val="en-GB" w:eastAsia="en-GB"/>
        </w:rPr>
      </w:pPr>
    </w:p>
    <w:p w14:paraId="1D52CD74" w14:textId="77777777" w:rsidR="008D0F6F" w:rsidRPr="005E3524" w:rsidRDefault="008D0F6F" w:rsidP="00E27B83">
      <w:pPr>
        <w:pStyle w:val="IEEEAuthorEmail"/>
      </w:pPr>
    </w:p>
    <w:p w14:paraId="0CA0A459" w14:textId="77777777" w:rsidR="003D38D1" w:rsidRPr="00E27B83" w:rsidRDefault="0026565E" w:rsidP="00E27B83">
      <w:pPr>
        <w:pStyle w:val="IEEEAbtract"/>
        <w:ind w:firstLine="0"/>
        <w:rPr>
          <w:rStyle w:val="IEEEAbstractHeadingChar"/>
          <w:b/>
          <w:i w:val="0"/>
          <w:iCs/>
          <w:sz w:val="24"/>
          <w:szCs w:val="20"/>
        </w:rPr>
      </w:pPr>
      <w:r w:rsidRPr="00E27B83">
        <w:rPr>
          <w:rStyle w:val="IEEEAbstractHeadingChar"/>
          <w:b/>
          <w:i w:val="0"/>
          <w:iCs/>
          <w:sz w:val="24"/>
          <w:szCs w:val="20"/>
        </w:rPr>
        <w:t>ABSTRACT</w:t>
      </w:r>
    </w:p>
    <w:p w14:paraId="09CDAF92" w14:textId="77777777" w:rsidR="00D536F4" w:rsidRDefault="00D536F4" w:rsidP="00D536F4">
      <w:pPr>
        <w:pStyle w:val="IEEEAbtract"/>
        <w:ind w:firstLine="0"/>
        <w:rPr>
          <w:sz w:val="20"/>
          <w:szCs w:val="20"/>
        </w:rPr>
      </w:pPr>
    </w:p>
    <w:p w14:paraId="32D52139" w14:textId="77777777" w:rsidR="0026565E" w:rsidRPr="0026565E" w:rsidRDefault="0026565E" w:rsidP="0026565E">
      <w:pPr>
        <w:spacing w:before="120" w:after="120" w:line="276" w:lineRule="auto"/>
        <w:ind w:firstLine="720"/>
        <w:jc w:val="both"/>
        <w:rPr>
          <w:i/>
          <w:szCs w:val="20"/>
          <w:lang w:val="en-GB" w:eastAsia="en-GB"/>
        </w:rPr>
      </w:pPr>
      <w:r w:rsidRPr="0026565E">
        <w:rPr>
          <w:i/>
          <w:szCs w:val="20"/>
          <w:lang w:val="en-GB" w:eastAsia="en-GB"/>
        </w:rPr>
        <w:t xml:space="preserve">Bengaluru Metropolitan Region (BMR) has undergone dramatic land use and land cover (LULC) changes from 1990 to 2023 amid rapid urbanization. This study </w:t>
      </w:r>
      <w:proofErr w:type="spellStart"/>
      <w:r w:rsidRPr="0026565E">
        <w:rPr>
          <w:i/>
          <w:szCs w:val="20"/>
          <w:lang w:val="en-GB" w:eastAsia="en-GB"/>
        </w:rPr>
        <w:t>analyzes</w:t>
      </w:r>
      <w:proofErr w:type="spellEnd"/>
      <w:r w:rsidRPr="0026565E">
        <w:rPr>
          <w:i/>
          <w:szCs w:val="20"/>
          <w:lang w:val="en-GB" w:eastAsia="en-GB"/>
        </w:rPr>
        <w:t xml:space="preserve"> the spatiotemporal transformations in BMR’s LULC over the past three decades using geospatial techniques, and evaluates the implications for sustainable urban planning. Multi-date satellite imagery (including LANDSAT and IRS </w:t>
      </w:r>
      <w:proofErr w:type="spellStart"/>
      <w:r w:rsidRPr="0026565E">
        <w:rPr>
          <w:i/>
          <w:szCs w:val="20"/>
          <w:lang w:val="en-GB" w:eastAsia="en-GB"/>
        </w:rPr>
        <w:t>ResourceSat</w:t>
      </w:r>
      <w:proofErr w:type="spellEnd"/>
      <w:r w:rsidRPr="0026565E">
        <w:rPr>
          <w:i/>
          <w:szCs w:val="20"/>
          <w:lang w:val="en-GB" w:eastAsia="en-GB"/>
        </w:rPr>
        <w:t xml:space="preserve"> data) was processed in ArcGIS to classify major LULC categories and quantify changes. The findings reveal an explosive </w:t>
      </w:r>
      <w:r w:rsidR="004E4DD5">
        <w:rPr>
          <w:i/>
          <w:szCs w:val="20"/>
          <w:lang w:val="en-GB" w:eastAsia="en-GB"/>
        </w:rPr>
        <w:t xml:space="preserve">growth of urban built-up area </w:t>
      </w:r>
      <w:r w:rsidRPr="0026565E">
        <w:rPr>
          <w:i/>
          <w:szCs w:val="20"/>
          <w:lang w:val="en-GB" w:eastAsia="en-GB"/>
        </w:rPr>
        <w:t xml:space="preserve">expanding </w:t>
      </w:r>
      <w:r w:rsidR="004E4DD5">
        <w:rPr>
          <w:i/>
          <w:szCs w:val="20"/>
          <w:lang w:val="en-GB" w:eastAsia="en-GB"/>
        </w:rPr>
        <w:t xml:space="preserve">roughly seven-fold since 1990 </w:t>
      </w:r>
      <w:r w:rsidRPr="0026565E">
        <w:rPr>
          <w:i/>
          <w:szCs w:val="20"/>
          <w:lang w:val="en-GB" w:eastAsia="en-GB"/>
        </w:rPr>
        <w:t xml:space="preserve">largely at the expense of agricultural land and open spaces. Vegetation cover and water bodies have significantly diminished, with over 200 lakes lost to development, reflecting unplanned urban sprawl. </w:t>
      </w:r>
    </w:p>
    <w:p w14:paraId="35684F7D" w14:textId="77777777" w:rsidR="0026565E" w:rsidRPr="0026565E" w:rsidRDefault="0026565E" w:rsidP="0026565E">
      <w:pPr>
        <w:spacing w:before="120" w:after="120" w:line="276" w:lineRule="auto"/>
        <w:ind w:firstLine="720"/>
        <w:jc w:val="both"/>
        <w:rPr>
          <w:i/>
          <w:szCs w:val="20"/>
          <w:lang w:val="en-GB" w:eastAsia="en-GB"/>
        </w:rPr>
      </w:pPr>
      <w:r w:rsidRPr="0026565E">
        <w:rPr>
          <w:i/>
          <w:szCs w:val="20"/>
          <w:lang w:val="en-GB" w:eastAsia="en-GB"/>
        </w:rPr>
        <w:t xml:space="preserve">The spatial analysis shows that urban expansion has been concentrated in and around Bengaluru city (the core), extending along key corridors into peripheral districts. These LULC shifts have critical consequences: loss of green cover, increased impervious surfaces, and stresses on water resources and infrastructure. The study’s outcomes underscore the need for balanced urban growth strategies in BMR. It recommends strengthening regional planning institutions, enforcing land use regulations, protecting ecological assets, and promoting polycentric development to achieve more sustainable and </w:t>
      </w:r>
      <w:proofErr w:type="spellStart"/>
      <w:r w:rsidRPr="0026565E">
        <w:rPr>
          <w:i/>
          <w:szCs w:val="20"/>
          <w:lang w:val="en-GB" w:eastAsia="en-GB"/>
        </w:rPr>
        <w:t>livable</w:t>
      </w:r>
      <w:proofErr w:type="spellEnd"/>
      <w:r w:rsidRPr="0026565E">
        <w:rPr>
          <w:i/>
          <w:szCs w:val="20"/>
          <w:lang w:val="en-GB" w:eastAsia="en-GB"/>
        </w:rPr>
        <w:t xml:space="preserve"> urbanization. The insights are expected to aid policymakers, planners, and researchers in understanding urban landscape dynamics and formulating informed land use policies.</w:t>
      </w:r>
    </w:p>
    <w:p w14:paraId="7DBE48B2" w14:textId="77777777" w:rsidR="007E2A1B" w:rsidRPr="0026565E" w:rsidRDefault="007E2A1B" w:rsidP="00A01A13">
      <w:pPr>
        <w:spacing w:before="120" w:after="120"/>
        <w:rPr>
          <w:szCs w:val="20"/>
          <w:lang w:eastAsia="en-GB"/>
        </w:rPr>
      </w:pPr>
      <w:r w:rsidRPr="0026565E">
        <w:rPr>
          <w:b/>
          <w:szCs w:val="20"/>
          <w:lang w:eastAsia="en-GB"/>
        </w:rPr>
        <w:t>Keyword</w:t>
      </w:r>
      <w:r w:rsidR="0026565E" w:rsidRPr="0026565E">
        <w:rPr>
          <w:b/>
          <w:szCs w:val="20"/>
          <w:lang w:eastAsia="en-GB"/>
        </w:rPr>
        <w:t xml:space="preserve">: </w:t>
      </w:r>
      <w:r w:rsidR="0026565E" w:rsidRPr="0026565E">
        <w:rPr>
          <w:szCs w:val="20"/>
          <w:lang w:eastAsia="en-GB"/>
        </w:rPr>
        <w:t>Land Use Land Cover (LULC), Urbanization, Bengaluru Metropolitan Region</w:t>
      </w:r>
      <w:r w:rsidR="00D067A0">
        <w:rPr>
          <w:szCs w:val="20"/>
          <w:lang w:eastAsia="en-GB"/>
        </w:rPr>
        <w:t xml:space="preserve"> (BMR)</w:t>
      </w:r>
      <w:r w:rsidR="0026565E" w:rsidRPr="0026565E">
        <w:rPr>
          <w:szCs w:val="20"/>
          <w:lang w:eastAsia="en-GB"/>
        </w:rPr>
        <w:t>, Remote sensing, GIS, S</w:t>
      </w:r>
      <w:r w:rsidR="00D067A0">
        <w:rPr>
          <w:szCs w:val="20"/>
          <w:lang w:eastAsia="en-GB"/>
        </w:rPr>
        <w:t>ustainable P</w:t>
      </w:r>
      <w:r w:rsidR="0026565E" w:rsidRPr="0026565E">
        <w:rPr>
          <w:szCs w:val="20"/>
          <w:lang w:eastAsia="en-GB"/>
        </w:rPr>
        <w:t>lanning</w:t>
      </w:r>
      <w:r w:rsidR="00D067A0">
        <w:rPr>
          <w:szCs w:val="20"/>
          <w:lang w:eastAsia="en-GB"/>
        </w:rPr>
        <w:t>.</w:t>
      </w:r>
    </w:p>
    <w:p w14:paraId="07F7D026" w14:textId="77777777" w:rsidR="00CF2D95" w:rsidRPr="0026565E" w:rsidRDefault="00CF2D95" w:rsidP="007E2A1B">
      <w:pPr>
        <w:spacing w:before="120" w:after="120"/>
        <w:ind w:firstLine="216"/>
        <w:rPr>
          <w:szCs w:val="20"/>
          <w:lang w:eastAsia="en-GB"/>
        </w:rPr>
      </w:pPr>
    </w:p>
    <w:p w14:paraId="48F90278" w14:textId="77777777" w:rsidR="0026565E" w:rsidRDefault="0026565E" w:rsidP="00FD2C6C">
      <w:pPr>
        <w:pStyle w:val="IEEEParagraph"/>
        <w:jc w:val="center"/>
        <w:rPr>
          <w:b/>
          <w:bCs/>
          <w:sz w:val="24"/>
        </w:rPr>
      </w:pPr>
    </w:p>
    <w:p w14:paraId="13E08612" w14:textId="77777777" w:rsidR="0026565E" w:rsidRDefault="0026565E" w:rsidP="00FD2C6C">
      <w:pPr>
        <w:pStyle w:val="IEEEParagraph"/>
        <w:jc w:val="center"/>
        <w:rPr>
          <w:b/>
          <w:bCs/>
          <w:sz w:val="24"/>
        </w:rPr>
      </w:pPr>
    </w:p>
    <w:p w14:paraId="2784172A" w14:textId="77777777" w:rsidR="0026565E" w:rsidRDefault="0026565E" w:rsidP="00FD2C6C">
      <w:pPr>
        <w:pStyle w:val="IEEEParagraph"/>
        <w:jc w:val="center"/>
        <w:rPr>
          <w:b/>
          <w:bCs/>
          <w:sz w:val="24"/>
        </w:rPr>
      </w:pPr>
    </w:p>
    <w:p w14:paraId="117969B2" w14:textId="77777777" w:rsidR="0026565E" w:rsidRDefault="0026565E" w:rsidP="00FD2C6C">
      <w:pPr>
        <w:pStyle w:val="IEEEParagraph"/>
        <w:jc w:val="center"/>
        <w:rPr>
          <w:b/>
          <w:bCs/>
          <w:sz w:val="24"/>
        </w:rPr>
      </w:pPr>
    </w:p>
    <w:p w14:paraId="79D8976B" w14:textId="77777777" w:rsidR="001C6E7C" w:rsidRDefault="001C6E7C" w:rsidP="00FB5A8B">
      <w:pPr>
        <w:pStyle w:val="IEEEParagraph"/>
        <w:ind w:firstLine="0"/>
        <w:jc w:val="left"/>
        <w:rPr>
          <w:b/>
          <w:bCs/>
          <w:sz w:val="24"/>
        </w:rPr>
      </w:pPr>
      <w:r w:rsidRPr="0026565E">
        <w:rPr>
          <w:b/>
          <w:bCs/>
          <w:sz w:val="24"/>
        </w:rPr>
        <w:t>I. INTRODUCTION</w:t>
      </w:r>
    </w:p>
    <w:p w14:paraId="0535E833" w14:textId="77777777" w:rsidR="0026565E" w:rsidRDefault="0026565E" w:rsidP="00FD2C6C">
      <w:pPr>
        <w:pStyle w:val="IEEEParagraph"/>
        <w:jc w:val="center"/>
        <w:rPr>
          <w:b/>
          <w:bCs/>
          <w:sz w:val="24"/>
        </w:rPr>
      </w:pPr>
    </w:p>
    <w:p w14:paraId="0019979E" w14:textId="77777777" w:rsidR="0026565E" w:rsidRDefault="0026565E" w:rsidP="00D067A0">
      <w:pPr>
        <w:pStyle w:val="NormalWeb"/>
        <w:spacing w:before="0" w:beforeAutospacing="0" w:after="120" w:afterAutospacing="0" w:line="276" w:lineRule="auto"/>
        <w:ind w:firstLine="216"/>
        <w:jc w:val="both"/>
      </w:pPr>
      <w:r>
        <w:t xml:space="preserve">Urbanization is one of the most significant global transformations of the 21st century. The United Nations (UN) projects that by 2050, nearly 68% of the world's population will reside in urban areas, with much of this growth occurring in developing regions like Asia and Africa </w:t>
      </w:r>
      <w:r>
        <w:lastRenderedPageBreak/>
        <w:t>(UN DESA, 2018). In India, urbanization has been particularly rapid, with the urban population increasing from 27.8% in 2001 to 31.2% in 2011 and expected to reach 40% by 2036 (Census of India, 2011; World Bank, 2024). As cities expand, managing land use and environmental sustainability becomes a critical challenge (UN-Habitat, 2017). Urban expansion alters land use and land cover (LULC) by converting natural ecosystems into built environments, often leading to loss of vegetation, fragmentation of water bodies, and increased impervious surfaces (Ramachandra &amp; Aithal, 2016). These changes significantly impact hydrology, biodiversity, microclimates, and overall environmental sustainability (</w:t>
      </w:r>
      <w:proofErr w:type="spellStart"/>
      <w:r>
        <w:t>Dehingia</w:t>
      </w:r>
      <w:proofErr w:type="spellEnd"/>
      <w:r>
        <w:t xml:space="preserve"> et al., 2022). Therefore, monitoring and </w:t>
      </w:r>
      <w:proofErr w:type="spellStart"/>
      <w:r>
        <w:t>analyzing</w:t>
      </w:r>
      <w:proofErr w:type="spellEnd"/>
      <w:r>
        <w:t xml:space="preserve"> these changes is crucial for urban planning, environmental management, and sustainable development (Li et al., 2020). The United Nations' Sustainable Development Goal (SDG) 11 emphasizes sustainable cities, highlighting the need for evidence-based planning and resilient urban policies (UN, 2015).</w:t>
      </w:r>
    </w:p>
    <w:p w14:paraId="70DA2684" w14:textId="77777777" w:rsidR="0026565E" w:rsidRDefault="0026565E" w:rsidP="00D067A0">
      <w:pPr>
        <w:pStyle w:val="NormalWeb"/>
        <w:spacing w:before="0" w:beforeAutospacing="0" w:after="120" w:afterAutospacing="0" w:line="276" w:lineRule="auto"/>
        <w:ind w:firstLine="720"/>
        <w:jc w:val="both"/>
      </w:pPr>
      <w:r>
        <w:t>India’s metropolitan regions have experienced unregulated urban sprawl, traffic congestion, resource depletion, and environmental degradation due to rapid expansion (NITI Aayog, 2021). Despite regulatory frameworks like the 74th Constitutional Amendment (1992) and the establishment of Metropolitan Planning Committees (MPCs), urban governance remains fragmented, with overlapping jurisdictions among municipal corporations, development authorities, and parastatal agencies (World Bank, 2013). A major challenge is the absence of updated master plans, with reports indicating that 52% of statutory towns and 76% of census towns lack a structured development plan (</w:t>
      </w:r>
      <w:proofErr w:type="spellStart"/>
      <w:r>
        <w:t>Janaagraha</w:t>
      </w:r>
      <w:proofErr w:type="spellEnd"/>
      <w:r>
        <w:t>, 2021). The lack of effective implementation exacerbates informal urban growth, making it difficult to regulate land use effectively (Sundaresan, 2019).</w:t>
      </w:r>
    </w:p>
    <w:p w14:paraId="7C0496E7" w14:textId="77777777" w:rsidR="0026565E" w:rsidRDefault="0026565E" w:rsidP="00D067A0">
      <w:pPr>
        <w:pStyle w:val="NormalWeb"/>
        <w:spacing w:before="0" w:beforeAutospacing="0" w:after="120" w:afterAutospacing="0" w:line="276" w:lineRule="auto"/>
        <w:ind w:firstLine="720"/>
        <w:jc w:val="both"/>
      </w:pPr>
      <w:r>
        <w:t xml:space="preserve">Bengaluru, known as the Silicon Valley of India, exemplifies urban transformation, growing from a compact city to a sprawling metropolitan region (Sudhira et al., 2004). The Bengaluru Metropolitan Region (BMR) spans 8,005 km² and includes Bangalore Urban, Bangalore Rural, and </w:t>
      </w:r>
      <w:proofErr w:type="spellStart"/>
      <w:r>
        <w:t>Ramanagara</w:t>
      </w:r>
      <w:proofErr w:type="spellEnd"/>
      <w:r>
        <w:t xml:space="preserve"> districts (BMRDA, 2017). Between 1990 and 2023, Bengaluru’s built-up area expanded sevenfold, largely at the expense of agricultural land and open spaces (Ramachandra et al., 2023). Several studies have raised concerns over diminishing green cover, shrinking lakes, and loss of agricultural land, impacting climate resilience and resource sustainability (</w:t>
      </w:r>
      <w:proofErr w:type="spellStart"/>
      <w:r>
        <w:t>Hollyhead</w:t>
      </w:r>
      <w:proofErr w:type="spellEnd"/>
      <w:r>
        <w:t xml:space="preserve"> et al., 2022). Advancements in Geographic Information Systems (GIS) and remote sensing have enabled large-scale LULC change analysis, offering precise temporal and spatial data for planning interventions (Li et al., 2020). Several Indian metropolitan planning agencies, including BMRDA and NIUA, now emphasize GIS-based land monitoring for improved urban governance (NIUA, 2022). By integrating satellite imagery from LANDSAT, Sentinel-2A, and IRS </w:t>
      </w:r>
      <w:proofErr w:type="spellStart"/>
      <w:r>
        <w:t>ResourceSat</w:t>
      </w:r>
      <w:proofErr w:type="spellEnd"/>
      <w:r>
        <w:t>, this study provides a comprehensive spatiotemporal analysis of BMR’s LULC changes from 1990 to 2023, evaluating its implications for sustainable urbanization.</w:t>
      </w:r>
    </w:p>
    <w:p w14:paraId="571E1A9F" w14:textId="77777777" w:rsidR="0026565E" w:rsidRDefault="0026565E" w:rsidP="00D067A0">
      <w:pPr>
        <w:pStyle w:val="NormalWeb"/>
        <w:spacing w:before="0" w:beforeAutospacing="0" w:after="120" w:afterAutospacing="0" w:line="276" w:lineRule="auto"/>
        <w:ind w:firstLine="720"/>
        <w:jc w:val="both"/>
      </w:pPr>
      <w:r>
        <w:t xml:space="preserve">This study aims to </w:t>
      </w:r>
      <w:proofErr w:type="spellStart"/>
      <w:r>
        <w:t>analyze</w:t>
      </w:r>
      <w:proofErr w:type="spellEnd"/>
      <w:r>
        <w:t xml:space="preserve"> LULC transformations in BMR from 1990 to 2023 using GIS and remote sensing, identify the drivers of urban expansion and their spatial distribution, assess the environmental and planning implications of LULC changes, and propose policy recommendations for sustainable urban management in BMR. The subsequent sections present a literature review on urbanization trends and GIS applications, fo</w:t>
      </w:r>
      <w:r w:rsidR="004E4DD5">
        <w:t>llowed by methodology, findings and discussions</w:t>
      </w:r>
      <w:r>
        <w:t xml:space="preserve"> for better land use planning in metropolitan regions.</w:t>
      </w:r>
    </w:p>
    <w:p w14:paraId="38F02599" w14:textId="77777777" w:rsidR="008E5996" w:rsidRPr="0026565E" w:rsidRDefault="00635C40" w:rsidP="00D067A0">
      <w:pPr>
        <w:pStyle w:val="IEEEHeading1"/>
        <w:numPr>
          <w:ilvl w:val="0"/>
          <w:numId w:val="0"/>
        </w:numPr>
        <w:jc w:val="left"/>
        <w:rPr>
          <w:b/>
          <w:bCs/>
          <w:sz w:val="24"/>
        </w:rPr>
      </w:pPr>
      <w:r w:rsidRPr="0026565E">
        <w:rPr>
          <w:b/>
          <w:bCs/>
          <w:sz w:val="24"/>
        </w:rPr>
        <w:lastRenderedPageBreak/>
        <w:t xml:space="preserve">II. </w:t>
      </w:r>
      <w:r w:rsidR="00D6716E" w:rsidRPr="0026565E">
        <w:rPr>
          <w:b/>
          <w:bCs/>
          <w:sz w:val="24"/>
        </w:rPr>
        <w:t>LITERATURE REVIEW</w:t>
      </w:r>
    </w:p>
    <w:p w14:paraId="6FDF1E45" w14:textId="77777777" w:rsidR="00D067A0" w:rsidRPr="00D067A0" w:rsidRDefault="00D067A0" w:rsidP="00D067A0">
      <w:pPr>
        <w:spacing w:after="120" w:line="276" w:lineRule="auto"/>
        <w:ind w:firstLine="720"/>
        <w:jc w:val="both"/>
        <w:rPr>
          <w:rFonts w:eastAsia="Times New Roman"/>
          <w:lang w:val="en-IN" w:eastAsia="en-IN"/>
        </w:rPr>
      </w:pPr>
      <w:r w:rsidRPr="00D067A0">
        <w:rPr>
          <w:rFonts w:eastAsia="Times New Roman"/>
          <w:lang w:val="en-IN" w:eastAsia="en-IN"/>
        </w:rPr>
        <w:t xml:space="preserve">Urbanization trends and their management have been widely studied at global, national, and local levels. The United Nations (UN) reports that the global urban population rose from 30% in 1950 to 55% in 2018 and is projected to reach 68% by 2050 (UN DESA, 2018). The </w:t>
      </w:r>
      <w:r w:rsidRPr="00D067A0">
        <w:rPr>
          <w:rFonts w:eastAsia="Times New Roman"/>
          <w:i/>
          <w:iCs/>
          <w:lang w:val="en-IN" w:eastAsia="en-IN"/>
        </w:rPr>
        <w:t>World Cities Report 2022</w:t>
      </w:r>
      <w:r w:rsidRPr="00D067A0">
        <w:rPr>
          <w:rFonts w:eastAsia="Times New Roman"/>
          <w:lang w:val="en-IN" w:eastAsia="en-IN"/>
        </w:rPr>
        <w:t xml:space="preserve"> highlights that urbanization is an irreversible trend shaping human settlements worldwide but warns of growing environmental concerns, including declining green spaces and rising resource consumption (UN-Habitat, 2022). Developing countries, particularly in Asia and Africa, face the dual challenge of providing adequate infrastructure and mitigating environmental impacts of rapid urban expansion. The </w:t>
      </w:r>
      <w:r w:rsidRPr="00D067A0">
        <w:rPr>
          <w:rFonts w:eastAsia="Times New Roman"/>
          <w:i/>
          <w:iCs/>
          <w:lang w:val="en-IN" w:eastAsia="en-IN"/>
        </w:rPr>
        <w:t>New Urban Agenda</w:t>
      </w:r>
      <w:r w:rsidRPr="00D067A0">
        <w:rPr>
          <w:rFonts w:eastAsia="Times New Roman"/>
          <w:lang w:val="en-IN" w:eastAsia="en-IN"/>
        </w:rPr>
        <w:t xml:space="preserve"> (2016) underscores the importance of sustainable urban planning, integrated land use management, and inclusive development to address these challenges (UN-Habitat, 2017).</w:t>
      </w:r>
    </w:p>
    <w:p w14:paraId="5D99260A" w14:textId="77777777" w:rsidR="00D067A0" w:rsidRPr="00D067A0" w:rsidRDefault="00D067A0" w:rsidP="00D067A0">
      <w:pPr>
        <w:spacing w:after="120" w:line="276" w:lineRule="auto"/>
        <w:ind w:firstLine="720"/>
        <w:jc w:val="both"/>
        <w:rPr>
          <w:rFonts w:eastAsia="Times New Roman"/>
          <w:lang w:val="en-IN" w:eastAsia="en-IN"/>
        </w:rPr>
      </w:pPr>
      <w:r w:rsidRPr="00D067A0">
        <w:rPr>
          <w:rFonts w:eastAsia="Times New Roman"/>
          <w:lang w:val="en-IN" w:eastAsia="en-IN"/>
        </w:rPr>
        <w:t>A key concern in the literature is the impact of land use and land cover (LULC) changes due to urbanization. Unregulated urban growth often results in the conversion of agricultural fields, forests, and wetlands into built environments, leading to increased impervious surfaces, higher surface runoff, and exacerbation of the urban heat island effect (Ramachandra &amp; Aithal, 2016). Studies across continents have documented how LULC changes contribute to local climate shifts and biodiversity loss (</w:t>
      </w:r>
      <w:proofErr w:type="spellStart"/>
      <w:r w:rsidRPr="00D067A0">
        <w:rPr>
          <w:rFonts w:eastAsia="Times New Roman"/>
          <w:lang w:val="en-IN" w:eastAsia="en-IN"/>
        </w:rPr>
        <w:t>Dehingia</w:t>
      </w:r>
      <w:proofErr w:type="spellEnd"/>
      <w:r w:rsidRPr="00D067A0">
        <w:rPr>
          <w:rFonts w:eastAsia="Times New Roman"/>
          <w:lang w:val="en-IN" w:eastAsia="en-IN"/>
        </w:rPr>
        <w:t xml:space="preserve"> et al., 2022). In India, unplanned urbanization has intensified environmental degradation, with significant loss of green cover and water bodies in metropolitan regions like Bengaluru (</w:t>
      </w:r>
      <w:proofErr w:type="spellStart"/>
      <w:r w:rsidRPr="00D067A0">
        <w:rPr>
          <w:rFonts w:eastAsia="Times New Roman"/>
          <w:lang w:val="en-IN" w:eastAsia="en-IN"/>
        </w:rPr>
        <w:t>Hollyhead</w:t>
      </w:r>
      <w:proofErr w:type="spellEnd"/>
      <w:r w:rsidRPr="00D067A0">
        <w:rPr>
          <w:rFonts w:eastAsia="Times New Roman"/>
          <w:lang w:val="en-IN" w:eastAsia="en-IN"/>
        </w:rPr>
        <w:t xml:space="preserve"> et al., 2022). As cities expand, LULC monitoring is becoming essential for climate resilience, resource management, and sustainable planning (Li et al., 2020). Remote sensing and GIS technologies have proven invaluable in tracking urban expansion, allowing for accurate spatiotemporal analysis (Ramachandra et al., 2023). The use of machine learning techniques, such as Random Forest classification, has further enhanced the accuracy of LULC mapping and change detection (Li et al., 2020).</w:t>
      </w:r>
    </w:p>
    <w:p w14:paraId="575539E7" w14:textId="77777777" w:rsidR="00D067A0" w:rsidRDefault="00D067A0" w:rsidP="00D067A0">
      <w:pPr>
        <w:spacing w:after="120" w:line="276" w:lineRule="auto"/>
        <w:ind w:firstLine="720"/>
        <w:jc w:val="both"/>
        <w:rPr>
          <w:rFonts w:eastAsia="Times New Roman"/>
          <w:lang w:val="en-IN" w:eastAsia="en-IN"/>
        </w:rPr>
      </w:pPr>
      <w:r w:rsidRPr="00D067A0">
        <w:rPr>
          <w:rFonts w:eastAsia="Times New Roman"/>
          <w:lang w:val="en-IN" w:eastAsia="en-IN"/>
        </w:rPr>
        <w:t xml:space="preserve">India’s urbanization has been rapid and regionally concentrated, with the urban population increasing from 27.8% in 2001 to 31.2% in 2011 and projected to reach 40% by 2030 (World Bank, 2024). Large metropolitan areas have driven much of this growth; in 2010, India had 42 cities with over a million residents, a number expected to reach 68 by 2030 (NITI Aayog, 2021). Bengaluru exemplifies this trend, emerging as a megacity with a population exceeding 10 million. The </w:t>
      </w:r>
      <w:r w:rsidRPr="00D067A0">
        <w:rPr>
          <w:rFonts w:eastAsia="Times New Roman"/>
          <w:i/>
          <w:iCs/>
          <w:lang w:val="en-IN" w:eastAsia="en-IN"/>
        </w:rPr>
        <w:t>McKinsey Global Institute Report (2010)</w:t>
      </w:r>
      <w:r w:rsidRPr="00D067A0">
        <w:rPr>
          <w:rFonts w:eastAsia="Times New Roman"/>
          <w:lang w:val="en-IN" w:eastAsia="en-IN"/>
        </w:rPr>
        <w:t xml:space="preserve"> highlighted that India’s cities are under-planned relative to their size and require substantial infrastructure investment to sustain economic growth. Similarly, the </w:t>
      </w:r>
      <w:r w:rsidRPr="00D067A0">
        <w:rPr>
          <w:rFonts w:eastAsia="Times New Roman"/>
          <w:i/>
          <w:iCs/>
          <w:lang w:val="en-IN" w:eastAsia="en-IN"/>
        </w:rPr>
        <w:t>World Bank’s South Asia Urbanization Report</w:t>
      </w:r>
      <w:r w:rsidRPr="00D067A0">
        <w:rPr>
          <w:rFonts w:eastAsia="Times New Roman"/>
          <w:lang w:val="en-IN" w:eastAsia="en-IN"/>
        </w:rPr>
        <w:t xml:space="preserve"> (Ellis &amp; Roberts, 2016) noted that Indian cities suffer from high population densities but low </w:t>
      </w:r>
      <w:proofErr w:type="spellStart"/>
      <w:r w:rsidRPr="00D067A0">
        <w:rPr>
          <w:rFonts w:eastAsia="Times New Roman"/>
          <w:lang w:val="en-IN" w:eastAsia="en-IN"/>
        </w:rPr>
        <w:t>livability</w:t>
      </w:r>
      <w:proofErr w:type="spellEnd"/>
      <w:r w:rsidRPr="00D067A0">
        <w:rPr>
          <w:rFonts w:eastAsia="Times New Roman"/>
          <w:lang w:val="en-IN" w:eastAsia="en-IN"/>
        </w:rPr>
        <w:t xml:space="preserve"> due to inadequate governance and weak urban management frameworks.</w:t>
      </w:r>
    </w:p>
    <w:p w14:paraId="7B9B3ED0" w14:textId="77777777" w:rsidR="00B07B3D" w:rsidRPr="00D067A0" w:rsidRDefault="00B07B3D" w:rsidP="00D067A0">
      <w:pPr>
        <w:spacing w:after="120" w:line="276" w:lineRule="auto"/>
        <w:ind w:firstLine="720"/>
        <w:jc w:val="both"/>
        <w:rPr>
          <w:rFonts w:eastAsia="Times New Roman"/>
          <w:lang w:val="en-IN" w:eastAsia="en-IN"/>
        </w:rPr>
      </w:pPr>
    </w:p>
    <w:p w14:paraId="0DC5A0FC" w14:textId="77777777" w:rsidR="00D067A0" w:rsidRPr="00D067A0" w:rsidRDefault="00D067A0" w:rsidP="00D067A0">
      <w:pPr>
        <w:spacing w:after="120" w:line="276" w:lineRule="auto"/>
        <w:ind w:firstLine="720"/>
        <w:jc w:val="both"/>
        <w:rPr>
          <w:rFonts w:eastAsia="Times New Roman"/>
          <w:lang w:val="en-IN" w:eastAsia="en-IN"/>
        </w:rPr>
      </w:pPr>
      <w:r w:rsidRPr="00D067A0">
        <w:rPr>
          <w:rFonts w:eastAsia="Times New Roman"/>
          <w:lang w:val="en-IN" w:eastAsia="en-IN"/>
        </w:rPr>
        <w:t>Urban governance in India has evolved, yet significant challenges remain. The 74th Constitutional Amendment (1992) sought to decentralize planning authority to local governments and establish Metropolitan Planning Committees (MPCs) in larger urban regions. However, many states have not fully empowered local bodies, leading to fragmented governance structures (NITI Aayog, 2021). In cities li</w:t>
      </w:r>
      <w:r w:rsidR="004E4DD5">
        <w:rPr>
          <w:rFonts w:eastAsia="Times New Roman"/>
          <w:lang w:val="en-IN" w:eastAsia="en-IN"/>
        </w:rPr>
        <w:t xml:space="preserve">ke Bengaluru, multiple agencies </w:t>
      </w:r>
      <w:r w:rsidRPr="00D067A0">
        <w:rPr>
          <w:rFonts w:eastAsia="Times New Roman"/>
          <w:lang w:val="en-IN" w:eastAsia="en-IN"/>
        </w:rPr>
        <w:t xml:space="preserve">including the </w:t>
      </w:r>
      <w:proofErr w:type="spellStart"/>
      <w:r w:rsidRPr="00D067A0">
        <w:rPr>
          <w:rFonts w:eastAsia="Times New Roman"/>
          <w:lang w:val="en-IN" w:eastAsia="en-IN"/>
        </w:rPr>
        <w:t>Bruhat</w:t>
      </w:r>
      <w:proofErr w:type="spellEnd"/>
      <w:r w:rsidRPr="00D067A0">
        <w:rPr>
          <w:rFonts w:eastAsia="Times New Roman"/>
          <w:lang w:val="en-IN" w:eastAsia="en-IN"/>
        </w:rPr>
        <w:t xml:space="preserve"> Bengaluru </w:t>
      </w:r>
      <w:proofErr w:type="spellStart"/>
      <w:r w:rsidRPr="00D067A0">
        <w:rPr>
          <w:rFonts w:eastAsia="Times New Roman"/>
          <w:lang w:val="en-IN" w:eastAsia="en-IN"/>
        </w:rPr>
        <w:t>Mahanagara</w:t>
      </w:r>
      <w:proofErr w:type="spellEnd"/>
      <w:r w:rsidRPr="00D067A0">
        <w:rPr>
          <w:rFonts w:eastAsia="Times New Roman"/>
          <w:lang w:val="en-IN" w:eastAsia="en-IN"/>
        </w:rPr>
        <w:t xml:space="preserve"> </w:t>
      </w:r>
      <w:proofErr w:type="spellStart"/>
      <w:r w:rsidRPr="00D067A0">
        <w:rPr>
          <w:rFonts w:eastAsia="Times New Roman"/>
          <w:lang w:val="en-IN" w:eastAsia="en-IN"/>
        </w:rPr>
        <w:t>Palike</w:t>
      </w:r>
      <w:proofErr w:type="spellEnd"/>
      <w:r w:rsidRPr="00D067A0">
        <w:rPr>
          <w:rFonts w:eastAsia="Times New Roman"/>
          <w:lang w:val="en-IN" w:eastAsia="en-IN"/>
        </w:rPr>
        <w:t xml:space="preserve"> (BBMP), Bangalore Development Authority (BDA), and Bangalore Metropolitan Regio</w:t>
      </w:r>
      <w:r w:rsidR="004E4DD5">
        <w:rPr>
          <w:rFonts w:eastAsia="Times New Roman"/>
          <w:lang w:val="en-IN" w:eastAsia="en-IN"/>
        </w:rPr>
        <w:t xml:space="preserve">n Development Authority (BMRDA) </w:t>
      </w:r>
      <w:r w:rsidRPr="00D067A0">
        <w:rPr>
          <w:rFonts w:eastAsia="Times New Roman"/>
          <w:lang w:val="en-IN" w:eastAsia="en-IN"/>
        </w:rPr>
        <w:t xml:space="preserve">operate with overlapping mandates, complicating land use management. Additionally, a severe </w:t>
      </w:r>
      <w:r w:rsidRPr="00D067A0">
        <w:rPr>
          <w:rFonts w:eastAsia="Times New Roman"/>
          <w:lang w:val="en-IN" w:eastAsia="en-IN"/>
        </w:rPr>
        <w:lastRenderedPageBreak/>
        <w:t>shortage of urban planners further weakens governance; studies by the National Institute of Urban Affairs (NIUA) indicate that many Indian cities lack even one professional planner per 100,000 residents (NIUA, 2022).</w:t>
      </w:r>
    </w:p>
    <w:p w14:paraId="71BD9AEB" w14:textId="77777777" w:rsidR="00D067A0" w:rsidRPr="00D067A0" w:rsidRDefault="00D067A0" w:rsidP="00D067A0">
      <w:pPr>
        <w:spacing w:after="120" w:line="276" w:lineRule="auto"/>
        <w:ind w:firstLine="720"/>
        <w:jc w:val="both"/>
        <w:rPr>
          <w:rFonts w:eastAsia="Times New Roman"/>
          <w:lang w:val="en-IN" w:eastAsia="en-IN"/>
        </w:rPr>
      </w:pPr>
      <w:r w:rsidRPr="00D067A0">
        <w:rPr>
          <w:rFonts w:eastAsia="Times New Roman"/>
          <w:lang w:val="en-IN" w:eastAsia="en-IN"/>
        </w:rPr>
        <w:t>Regulatory frameworks for urban planning in India have been inadequate in enforcing planned development. Town planning acts, such as the Karnataka Town and Country Planning Act (1961), provide guidelines for zoning and land use regulation, but enforcement has been weak. Sundaresan (2017) documented widespread violations in Bengaluru, where unauthorized land use conversions, encroachments on ecologically sensitive zones, and illegal constructions occur frequently, often facilitated through informal networks. Such "planning by exception" has resulted in environmental crises, including frequent urban flooding due to the disappearance of natural drainage channels and wetlands (Ramachandra et al., 2016). A 2021 NITI Aayog report found that 65% of India’s 7,933 urban settlements lack a statutory master plan, and even where plans exist, their implementation remains inconsistent (NITI Aayog, 2021).</w:t>
      </w:r>
    </w:p>
    <w:p w14:paraId="11ED0C21" w14:textId="77777777" w:rsidR="00D067A0" w:rsidRPr="00D067A0" w:rsidRDefault="00D067A0" w:rsidP="00D067A0">
      <w:pPr>
        <w:spacing w:after="120" w:line="276" w:lineRule="auto"/>
        <w:ind w:firstLine="720"/>
        <w:jc w:val="both"/>
        <w:rPr>
          <w:rFonts w:eastAsia="Times New Roman"/>
          <w:lang w:val="en-IN" w:eastAsia="en-IN"/>
        </w:rPr>
      </w:pPr>
      <w:r w:rsidRPr="00D067A0">
        <w:rPr>
          <w:rFonts w:eastAsia="Times New Roman"/>
          <w:lang w:val="en-IN" w:eastAsia="en-IN"/>
        </w:rPr>
        <w:t xml:space="preserve">Several initiatives have been launched to improve urban planning and infrastructure provisioning. The </w:t>
      </w:r>
      <w:r w:rsidRPr="00D067A0">
        <w:rPr>
          <w:rFonts w:eastAsia="Times New Roman"/>
          <w:i/>
          <w:iCs/>
          <w:lang w:val="en-IN" w:eastAsia="en-IN"/>
        </w:rPr>
        <w:t>Smart Cities Mission (2015)</w:t>
      </w:r>
      <w:r w:rsidRPr="00D067A0">
        <w:rPr>
          <w:rFonts w:eastAsia="Times New Roman"/>
          <w:lang w:val="en-IN" w:eastAsia="en-IN"/>
        </w:rPr>
        <w:t xml:space="preserve"> and the </w:t>
      </w:r>
      <w:r w:rsidRPr="00D067A0">
        <w:rPr>
          <w:rFonts w:eastAsia="Times New Roman"/>
          <w:i/>
          <w:iCs/>
          <w:lang w:val="en-IN" w:eastAsia="en-IN"/>
        </w:rPr>
        <w:t>Atal Mission for Rejuvenation and Urban Transformation (AMRUT)</w:t>
      </w:r>
      <w:r w:rsidRPr="00D067A0">
        <w:rPr>
          <w:rFonts w:eastAsia="Times New Roman"/>
          <w:lang w:val="en-IN" w:eastAsia="en-IN"/>
        </w:rPr>
        <w:t xml:space="preserve"> aim to develop systematic urban management tools, including GIS-based master plans (Ministry of Housing and Urban Affairs, 2021). However, implementation challenges persist, and cities like Bengaluru continue to struggle with unchecked urban expansion. The </w:t>
      </w:r>
      <w:r w:rsidRPr="00D067A0">
        <w:rPr>
          <w:rFonts w:eastAsia="Times New Roman"/>
          <w:i/>
          <w:iCs/>
          <w:lang w:val="en-IN" w:eastAsia="en-IN"/>
        </w:rPr>
        <w:t>Annual Survey of India’s City-Systems (ASICS)</w:t>
      </w:r>
      <w:r w:rsidRPr="00D067A0">
        <w:rPr>
          <w:rFonts w:eastAsia="Times New Roman"/>
          <w:lang w:val="en-IN" w:eastAsia="en-IN"/>
        </w:rPr>
        <w:t xml:space="preserve"> by </w:t>
      </w:r>
      <w:proofErr w:type="spellStart"/>
      <w:r w:rsidRPr="00D067A0">
        <w:rPr>
          <w:rFonts w:eastAsia="Times New Roman"/>
          <w:lang w:val="en-IN" w:eastAsia="en-IN"/>
        </w:rPr>
        <w:t>Janaagraha</w:t>
      </w:r>
      <w:proofErr w:type="spellEnd"/>
      <w:r w:rsidRPr="00D067A0">
        <w:rPr>
          <w:rFonts w:eastAsia="Times New Roman"/>
          <w:lang w:val="en-IN" w:eastAsia="en-IN"/>
        </w:rPr>
        <w:t xml:space="preserve"> frequently ranks Bengaluru low in planning adequacy, highlighting governance deficits. Recognizing these issues, the Revised Master Plan 2031 for Bengaluru and the Revised Structure Plan 2031 for BMR propose a polycentric growth model to decongest the core city and create planned urban clusters (BMRDA, 2017). If successfully implemented, these measures could help contain sprawl, preserve ecological zones, and support balanced regional development.</w:t>
      </w:r>
    </w:p>
    <w:p w14:paraId="4DF7110C" w14:textId="77777777" w:rsidR="00D067A0" w:rsidRPr="00D067A0" w:rsidRDefault="00D067A0" w:rsidP="00D067A0">
      <w:pPr>
        <w:spacing w:after="120" w:line="276" w:lineRule="auto"/>
        <w:ind w:firstLine="720"/>
        <w:jc w:val="both"/>
        <w:rPr>
          <w:rFonts w:eastAsia="Times New Roman"/>
          <w:lang w:val="en-IN" w:eastAsia="en-IN"/>
        </w:rPr>
      </w:pPr>
      <w:r w:rsidRPr="00D067A0">
        <w:rPr>
          <w:rFonts w:eastAsia="Times New Roman"/>
          <w:lang w:val="en-IN" w:eastAsia="en-IN"/>
        </w:rPr>
        <w:t xml:space="preserve">GIS and remote sensing studies provide critical insights into Bengaluru’s urban expansion and its implications for sustainability. Sudhira, Ramachandra, and Jagadish (2004) quantified the city’s sprawl patterns, showing how growth has followed major transport corridors. Ramachandra et al. (2012, 2014) linked Bengaluru’s LULC changes with declining ecosystem services, emphasizing the loss of green spaces and water bodies. More recently, Ramachandra, Bharath, and Aithal (2017) used predictive </w:t>
      </w:r>
      <w:proofErr w:type="spellStart"/>
      <w:r w:rsidRPr="00D067A0">
        <w:rPr>
          <w:rFonts w:eastAsia="Times New Roman"/>
          <w:lang w:val="en-IN" w:eastAsia="en-IN"/>
        </w:rPr>
        <w:t>modeling</w:t>
      </w:r>
      <w:proofErr w:type="spellEnd"/>
      <w:r w:rsidRPr="00D067A0">
        <w:rPr>
          <w:rFonts w:eastAsia="Times New Roman"/>
          <w:lang w:val="en-IN" w:eastAsia="en-IN"/>
        </w:rPr>
        <w:t xml:space="preserve"> to project the city's future expansion, warning that without corrective measures, Bengaluru could become “</w:t>
      </w:r>
      <w:proofErr w:type="spellStart"/>
      <w:r w:rsidRPr="00D067A0">
        <w:rPr>
          <w:rFonts w:eastAsia="Times New Roman"/>
          <w:lang w:val="en-IN" w:eastAsia="en-IN"/>
        </w:rPr>
        <w:t>unlivable</w:t>
      </w:r>
      <w:proofErr w:type="spellEnd"/>
      <w:r w:rsidRPr="00D067A0">
        <w:rPr>
          <w:rFonts w:eastAsia="Times New Roman"/>
          <w:lang w:val="en-IN" w:eastAsia="en-IN"/>
        </w:rPr>
        <w:t xml:space="preserve">” due to unsustainable urban trajectories. </w:t>
      </w:r>
    </w:p>
    <w:p w14:paraId="1A55E901" w14:textId="77777777" w:rsidR="00B07B3D" w:rsidRDefault="00B07B3D" w:rsidP="00D067A0">
      <w:pPr>
        <w:spacing w:after="120" w:line="276" w:lineRule="auto"/>
        <w:ind w:firstLine="426"/>
        <w:jc w:val="both"/>
        <w:rPr>
          <w:rFonts w:eastAsia="Times New Roman"/>
          <w:lang w:val="en-IN" w:eastAsia="en-IN"/>
        </w:rPr>
      </w:pPr>
    </w:p>
    <w:p w14:paraId="6CD89790" w14:textId="77777777" w:rsidR="00D067A0" w:rsidRDefault="00D067A0" w:rsidP="00D067A0">
      <w:pPr>
        <w:spacing w:after="120" w:line="276" w:lineRule="auto"/>
        <w:ind w:firstLine="426"/>
        <w:jc w:val="both"/>
        <w:rPr>
          <w:rFonts w:eastAsia="Times New Roman"/>
          <w:lang w:val="en-IN" w:eastAsia="en-IN"/>
        </w:rPr>
      </w:pPr>
      <w:r w:rsidRPr="00D067A0">
        <w:rPr>
          <w:rFonts w:eastAsia="Times New Roman"/>
          <w:lang w:val="en-IN" w:eastAsia="en-IN"/>
        </w:rPr>
        <w:t xml:space="preserve">Overall, the literature underscores the need for integrated urban planning, improved governance, and proactive land use management in fast-growing metropolitan regions. Without intervention, LULC changes in cities like Bengaluru will continue to erode environmental resilience, reduce </w:t>
      </w:r>
      <w:proofErr w:type="spellStart"/>
      <w:r w:rsidRPr="00D067A0">
        <w:rPr>
          <w:rFonts w:eastAsia="Times New Roman"/>
          <w:lang w:val="en-IN" w:eastAsia="en-IN"/>
        </w:rPr>
        <w:t>livability</w:t>
      </w:r>
      <w:proofErr w:type="spellEnd"/>
      <w:r w:rsidRPr="00D067A0">
        <w:rPr>
          <w:rFonts w:eastAsia="Times New Roman"/>
          <w:lang w:val="en-IN" w:eastAsia="en-IN"/>
        </w:rPr>
        <w:t>, and strain urban infrastructure. This study builds upon previous research by using updated 2020s satellite imagery and GIS techniques to provide a comprehensive analysis of Bengaluru’s urban expansion, offering policy recommendations for sustainable metropolitan planning.</w:t>
      </w:r>
    </w:p>
    <w:p w14:paraId="4C3B6519" w14:textId="77777777" w:rsidR="00D067A0" w:rsidRPr="00D067A0" w:rsidRDefault="00D067A0" w:rsidP="00D067A0">
      <w:pPr>
        <w:spacing w:before="100" w:beforeAutospacing="1" w:after="100" w:afterAutospacing="1"/>
        <w:jc w:val="both"/>
        <w:rPr>
          <w:rFonts w:eastAsia="Times New Roman"/>
          <w:b/>
          <w:bCs/>
          <w:lang w:eastAsia="en-IN"/>
        </w:rPr>
      </w:pPr>
      <w:r w:rsidRPr="00D067A0">
        <w:rPr>
          <w:rFonts w:eastAsia="Times New Roman"/>
          <w:b/>
          <w:bCs/>
          <w:lang w:eastAsia="en-IN"/>
        </w:rPr>
        <w:lastRenderedPageBreak/>
        <w:t>I</w:t>
      </w:r>
      <w:r>
        <w:rPr>
          <w:rFonts w:eastAsia="Times New Roman"/>
          <w:b/>
          <w:bCs/>
          <w:lang w:eastAsia="en-IN"/>
        </w:rPr>
        <w:t>I</w:t>
      </w:r>
      <w:r w:rsidRPr="00D067A0">
        <w:rPr>
          <w:rFonts w:eastAsia="Times New Roman"/>
          <w:b/>
          <w:bCs/>
          <w:lang w:eastAsia="en-IN"/>
        </w:rPr>
        <w:t xml:space="preserve">I. </w:t>
      </w:r>
      <w:r>
        <w:rPr>
          <w:rFonts w:eastAsia="Times New Roman"/>
          <w:b/>
          <w:bCs/>
          <w:lang w:eastAsia="en-IN"/>
        </w:rPr>
        <w:t>METHODOLOGY</w:t>
      </w:r>
    </w:p>
    <w:p w14:paraId="1DA25E9B" w14:textId="77777777" w:rsidR="008E4ED9" w:rsidRPr="008E4ED9" w:rsidRDefault="008E4ED9" w:rsidP="001F758F">
      <w:pPr>
        <w:spacing w:after="120" w:line="276" w:lineRule="auto"/>
        <w:ind w:firstLine="720"/>
        <w:jc w:val="both"/>
        <w:rPr>
          <w:rFonts w:eastAsia="Times New Roman"/>
          <w:lang w:val="en-IN" w:eastAsia="en-IN"/>
        </w:rPr>
      </w:pPr>
      <w:r w:rsidRPr="008E4ED9">
        <w:rPr>
          <w:rFonts w:eastAsia="Times New Roman"/>
          <w:lang w:val="en-IN" w:eastAsia="en-IN"/>
        </w:rPr>
        <w:t xml:space="preserve">This study employs a </w:t>
      </w:r>
      <w:r w:rsidRPr="008E4ED9">
        <w:rPr>
          <w:rFonts w:eastAsia="Times New Roman"/>
          <w:bCs/>
          <w:lang w:val="en-IN" w:eastAsia="en-IN"/>
        </w:rPr>
        <w:t>remote sensing and GIS-based approach</w:t>
      </w:r>
      <w:r w:rsidRPr="008E4ED9">
        <w:rPr>
          <w:rFonts w:eastAsia="Times New Roman"/>
          <w:lang w:val="en-IN" w:eastAsia="en-IN"/>
        </w:rPr>
        <w:t xml:space="preserve"> to </w:t>
      </w:r>
      <w:proofErr w:type="spellStart"/>
      <w:r w:rsidRPr="008E4ED9">
        <w:rPr>
          <w:rFonts w:eastAsia="Times New Roman"/>
          <w:lang w:val="en-IN" w:eastAsia="en-IN"/>
        </w:rPr>
        <w:t>analyze</w:t>
      </w:r>
      <w:proofErr w:type="spellEnd"/>
      <w:r w:rsidRPr="008E4ED9">
        <w:rPr>
          <w:rFonts w:eastAsia="Times New Roman"/>
          <w:lang w:val="en-IN" w:eastAsia="en-IN"/>
        </w:rPr>
        <w:t xml:space="preserve"> land use and land cover (LULC) changes in the Bengaluru Metropolitan Region (BMR) from 1990 to 2023. The methodology consists of four key components: </w:t>
      </w:r>
      <w:r w:rsidRPr="008E4ED9">
        <w:rPr>
          <w:rFonts w:eastAsia="Times New Roman"/>
          <w:bCs/>
          <w:lang w:val="en-IN" w:eastAsia="en-IN"/>
        </w:rPr>
        <w:t>data acquisition, image classification, change detection, and spatial analysis</w:t>
      </w:r>
      <w:r w:rsidRPr="008E4ED9">
        <w:rPr>
          <w:rFonts w:eastAsia="Times New Roman"/>
          <w:lang w:val="en-IN" w:eastAsia="en-IN"/>
        </w:rPr>
        <w:t xml:space="preserve">, structured to meet the study’s objectives. These objectives include (1) preparing LULC maps for BMR at five time points (1990, 2000, 2010, 2020, and 2023), (2) quantifying LULC changes over time, particularly urban expansion and loss of agricultural or vegetated areas, (3) </w:t>
      </w:r>
      <w:proofErr w:type="spellStart"/>
      <w:r w:rsidRPr="008E4ED9">
        <w:rPr>
          <w:rFonts w:eastAsia="Times New Roman"/>
          <w:lang w:val="en-IN" w:eastAsia="en-IN"/>
        </w:rPr>
        <w:t>analyzing</w:t>
      </w:r>
      <w:proofErr w:type="spellEnd"/>
      <w:r w:rsidRPr="008E4ED9">
        <w:rPr>
          <w:rFonts w:eastAsia="Times New Roman"/>
          <w:lang w:val="en-IN" w:eastAsia="en-IN"/>
        </w:rPr>
        <w:t xml:space="preserve"> spatial patterns of urban growth, and (4) deriving planning insights relevant to sustainable urbanization.</w:t>
      </w:r>
    </w:p>
    <w:p w14:paraId="791410B6" w14:textId="77777777" w:rsidR="008E4ED9" w:rsidRPr="008E4ED9" w:rsidRDefault="008E4ED9" w:rsidP="001F758F">
      <w:pPr>
        <w:spacing w:after="120" w:line="276" w:lineRule="auto"/>
        <w:ind w:firstLine="720"/>
        <w:jc w:val="both"/>
        <w:rPr>
          <w:rFonts w:eastAsia="Times New Roman"/>
          <w:lang w:val="en-IN" w:eastAsia="en-IN"/>
        </w:rPr>
      </w:pPr>
      <w:r w:rsidRPr="008E4ED9">
        <w:rPr>
          <w:rFonts w:eastAsia="Times New Roman"/>
          <w:lang w:val="en-IN" w:eastAsia="en-IN"/>
        </w:rPr>
        <w:t xml:space="preserve">For </w:t>
      </w:r>
      <w:r w:rsidRPr="008E4ED9">
        <w:rPr>
          <w:rFonts w:eastAsia="Times New Roman"/>
          <w:bCs/>
          <w:lang w:val="en-IN" w:eastAsia="en-IN"/>
        </w:rPr>
        <w:t>data acquisition</w:t>
      </w:r>
      <w:r w:rsidRPr="008E4ED9">
        <w:rPr>
          <w:rFonts w:eastAsia="Times New Roman"/>
          <w:lang w:val="en-IN" w:eastAsia="en-IN"/>
        </w:rPr>
        <w:t xml:space="preserve">, multi-temporal satellite imagery was sourced primarily from the </w:t>
      </w:r>
      <w:r w:rsidRPr="008E4ED9">
        <w:rPr>
          <w:rFonts w:eastAsia="Times New Roman"/>
          <w:bCs/>
          <w:lang w:val="en-IN" w:eastAsia="en-IN"/>
        </w:rPr>
        <w:t>United States Geological Survey (USGS)</w:t>
      </w:r>
      <w:r w:rsidRPr="008E4ED9">
        <w:rPr>
          <w:rFonts w:eastAsia="Times New Roman"/>
          <w:lang w:val="en-IN" w:eastAsia="en-IN"/>
        </w:rPr>
        <w:t xml:space="preserve"> and </w:t>
      </w:r>
      <w:r w:rsidRPr="008E4ED9">
        <w:rPr>
          <w:rFonts w:eastAsia="Times New Roman"/>
          <w:bCs/>
          <w:lang w:val="en-IN" w:eastAsia="en-IN"/>
        </w:rPr>
        <w:t xml:space="preserve">Indian Space Research Organisation’s (ISRO) </w:t>
      </w:r>
      <w:proofErr w:type="spellStart"/>
      <w:r w:rsidRPr="008E4ED9">
        <w:rPr>
          <w:rFonts w:eastAsia="Times New Roman"/>
          <w:bCs/>
          <w:lang w:val="en-IN" w:eastAsia="en-IN"/>
        </w:rPr>
        <w:t>Resourcesat</w:t>
      </w:r>
      <w:proofErr w:type="spellEnd"/>
      <w:r w:rsidRPr="008E4ED9">
        <w:rPr>
          <w:rFonts w:eastAsia="Times New Roman"/>
          <w:lang w:val="en-IN" w:eastAsia="en-IN"/>
        </w:rPr>
        <w:t xml:space="preserve">. The datasets used include </w:t>
      </w:r>
      <w:r w:rsidRPr="008E4ED9">
        <w:rPr>
          <w:rFonts w:eastAsia="Times New Roman"/>
          <w:bCs/>
          <w:lang w:val="en-IN" w:eastAsia="en-IN"/>
        </w:rPr>
        <w:t>Landsat-5 TM (30 m resolution) for 1990, Landsat-7 ETM+ (30 m) for 2000, IRS-P6 LISS-III (23.5 m) for 2010, and Landsat-8 OLI (30 m) for 2020, with Sentinel-2A (10 m) data cross-verified for 2020–2023</w:t>
      </w:r>
      <w:r w:rsidRPr="008E4ED9">
        <w:rPr>
          <w:rFonts w:eastAsia="Times New Roman"/>
          <w:lang w:val="en-IN" w:eastAsia="en-IN"/>
        </w:rPr>
        <w:t xml:space="preserve">. These images were selected to maintain consistency in spatial resolution and were acquired during </w:t>
      </w:r>
      <w:r w:rsidRPr="008E4ED9">
        <w:rPr>
          <w:rFonts w:eastAsia="Times New Roman"/>
          <w:bCs/>
          <w:lang w:val="en-IN" w:eastAsia="en-IN"/>
        </w:rPr>
        <w:t>dry season months</w:t>
      </w:r>
      <w:r w:rsidRPr="008E4ED9">
        <w:rPr>
          <w:rFonts w:eastAsia="Times New Roman"/>
          <w:lang w:val="en-IN" w:eastAsia="en-IN"/>
        </w:rPr>
        <w:t xml:space="preserve"> to minimize cloud cover and ensure uniformity in land cover classification. Ancillary datasets, including </w:t>
      </w:r>
      <w:r w:rsidRPr="008E4ED9">
        <w:rPr>
          <w:rFonts w:eastAsia="Times New Roman"/>
          <w:bCs/>
          <w:lang w:val="en-IN" w:eastAsia="en-IN"/>
        </w:rPr>
        <w:t>topographic maps from the Survey of India</w:t>
      </w:r>
      <w:r w:rsidRPr="008E4ED9">
        <w:rPr>
          <w:rFonts w:eastAsia="Times New Roman"/>
          <w:lang w:val="en-IN" w:eastAsia="en-IN"/>
        </w:rPr>
        <w:t xml:space="preserve"> for geo-referencing and </w:t>
      </w:r>
      <w:r w:rsidRPr="008E4ED9">
        <w:rPr>
          <w:rFonts w:eastAsia="Times New Roman"/>
          <w:bCs/>
          <w:lang w:val="en-IN" w:eastAsia="en-IN"/>
        </w:rPr>
        <w:t>OpenStreetMap and Diva-GIS data</w:t>
      </w:r>
      <w:r w:rsidRPr="008E4ED9">
        <w:rPr>
          <w:rFonts w:eastAsia="Times New Roman"/>
          <w:lang w:val="en-IN" w:eastAsia="en-IN"/>
        </w:rPr>
        <w:t xml:space="preserve"> for road network verification, were incorporated to enhance spatial accuracy. Additionally, </w:t>
      </w:r>
      <w:r w:rsidRPr="008E4ED9">
        <w:rPr>
          <w:rFonts w:eastAsia="Times New Roman"/>
          <w:bCs/>
          <w:lang w:val="en-IN" w:eastAsia="en-IN"/>
        </w:rPr>
        <w:t>population figures</w:t>
      </w:r>
      <w:r w:rsidRPr="008E4ED9">
        <w:rPr>
          <w:rFonts w:eastAsia="Times New Roman"/>
          <w:lang w:val="en-IN" w:eastAsia="en-IN"/>
        </w:rPr>
        <w:t xml:space="preserve"> were extracted from </w:t>
      </w:r>
      <w:r w:rsidRPr="008E4ED9">
        <w:rPr>
          <w:rFonts w:eastAsia="Times New Roman"/>
          <w:bCs/>
          <w:lang w:val="en-IN" w:eastAsia="en-IN"/>
        </w:rPr>
        <w:t>census records and gridded population datasets</w:t>
      </w:r>
      <w:r w:rsidRPr="008E4ED9">
        <w:rPr>
          <w:rFonts w:eastAsia="Times New Roman"/>
          <w:lang w:val="en-IN" w:eastAsia="en-IN"/>
        </w:rPr>
        <w:t xml:space="preserve"> to correlate urban growth with land cover changes.</w:t>
      </w:r>
    </w:p>
    <w:p w14:paraId="11D1FCFF" w14:textId="77777777" w:rsidR="008E4ED9" w:rsidRDefault="008E4ED9" w:rsidP="001F758F">
      <w:pPr>
        <w:spacing w:after="120" w:line="276" w:lineRule="auto"/>
        <w:ind w:firstLine="720"/>
        <w:jc w:val="both"/>
        <w:rPr>
          <w:rFonts w:eastAsia="Times New Roman"/>
          <w:lang w:val="en-IN" w:eastAsia="en-IN"/>
        </w:rPr>
      </w:pPr>
      <w:r w:rsidRPr="008E4ED9">
        <w:rPr>
          <w:rFonts w:eastAsia="Times New Roman"/>
          <w:lang w:val="en-IN" w:eastAsia="en-IN"/>
        </w:rPr>
        <w:t xml:space="preserve">For </w:t>
      </w:r>
      <w:r w:rsidRPr="008E4ED9">
        <w:rPr>
          <w:rFonts w:eastAsia="Times New Roman"/>
          <w:bCs/>
          <w:lang w:val="en-IN" w:eastAsia="en-IN"/>
        </w:rPr>
        <w:t>image classification</w:t>
      </w:r>
      <w:r w:rsidRPr="008E4ED9">
        <w:rPr>
          <w:rFonts w:eastAsia="Times New Roman"/>
          <w:lang w:val="en-IN" w:eastAsia="en-IN"/>
        </w:rPr>
        <w:t xml:space="preserve">, a </w:t>
      </w:r>
      <w:r w:rsidRPr="008E4ED9">
        <w:rPr>
          <w:rFonts w:eastAsia="Times New Roman"/>
          <w:bCs/>
          <w:lang w:val="en-IN" w:eastAsia="en-IN"/>
        </w:rPr>
        <w:t>supervised classification approach</w:t>
      </w:r>
      <w:r w:rsidRPr="008E4ED9">
        <w:rPr>
          <w:rFonts w:eastAsia="Times New Roman"/>
          <w:lang w:val="en-IN" w:eastAsia="en-IN"/>
        </w:rPr>
        <w:t xml:space="preserve"> was applied to categorize the landscape into five major land cover types: </w:t>
      </w:r>
      <w:r w:rsidRPr="008E4ED9">
        <w:rPr>
          <w:rFonts w:eastAsia="Times New Roman"/>
          <w:bCs/>
          <w:lang w:val="en-IN" w:eastAsia="en-IN"/>
        </w:rPr>
        <w:t>Built-up, Agricultural land, Vegetation, Water bodies, and Wetlands</w:t>
      </w:r>
      <w:r w:rsidRPr="008E4ED9">
        <w:rPr>
          <w:rFonts w:eastAsia="Times New Roman"/>
          <w:lang w:val="en-IN" w:eastAsia="en-IN"/>
        </w:rPr>
        <w:t>. Classification accuracy was assessed through cross-validation techniques, and necessary refinements were made to correct misclassifications. The LULC change detection process identified significant shifts between land use categories, highlighting urban expansion trends over the three decades.</w:t>
      </w:r>
    </w:p>
    <w:p w14:paraId="3FE38540" w14:textId="77777777" w:rsidR="008E4ED9" w:rsidRPr="008E4ED9" w:rsidRDefault="008E4ED9" w:rsidP="001F758F">
      <w:pPr>
        <w:spacing w:after="120" w:line="276" w:lineRule="auto"/>
        <w:ind w:firstLine="720"/>
        <w:jc w:val="both"/>
        <w:rPr>
          <w:rFonts w:eastAsia="Times New Roman"/>
          <w:lang w:val="en-IN" w:eastAsia="en-IN"/>
        </w:rPr>
      </w:pPr>
      <w:r w:rsidRPr="008E4ED9">
        <w:rPr>
          <w:rFonts w:eastAsia="Times New Roman"/>
          <w:lang w:val="en-IN" w:eastAsia="en-IN"/>
        </w:rPr>
        <w:t xml:space="preserve">To interpret urbanization patterns, </w:t>
      </w:r>
      <w:r w:rsidRPr="008E4ED9">
        <w:rPr>
          <w:rFonts w:eastAsia="Times New Roman"/>
          <w:bCs/>
          <w:lang w:val="en-IN" w:eastAsia="en-IN"/>
        </w:rPr>
        <w:t>spatial analysis techniques</w:t>
      </w:r>
      <w:r w:rsidRPr="008E4ED9">
        <w:rPr>
          <w:rFonts w:eastAsia="Times New Roman"/>
          <w:lang w:val="en-IN" w:eastAsia="en-IN"/>
        </w:rPr>
        <w:t xml:space="preserve"> were applied. The study also incorporated </w:t>
      </w:r>
      <w:r w:rsidRPr="008E4ED9">
        <w:rPr>
          <w:rFonts w:eastAsia="Times New Roman"/>
          <w:bCs/>
          <w:lang w:val="en-IN" w:eastAsia="en-IN"/>
        </w:rPr>
        <w:t>administrative boundaries (taluks and planning zones)</w:t>
      </w:r>
      <w:r w:rsidRPr="008E4ED9">
        <w:rPr>
          <w:rFonts w:eastAsia="Times New Roman"/>
          <w:lang w:val="en-IN" w:eastAsia="en-IN"/>
        </w:rPr>
        <w:t xml:space="preserve"> to assess the regional implications of LULC changes.</w:t>
      </w:r>
    </w:p>
    <w:p w14:paraId="167BAE16" w14:textId="77777777" w:rsidR="008E4ED9" w:rsidRDefault="008E4ED9" w:rsidP="001F758F">
      <w:pPr>
        <w:spacing w:after="120" w:line="276" w:lineRule="auto"/>
        <w:ind w:firstLine="720"/>
        <w:jc w:val="both"/>
        <w:rPr>
          <w:rFonts w:eastAsia="Times New Roman"/>
          <w:lang w:val="en-IN" w:eastAsia="en-IN"/>
        </w:rPr>
      </w:pPr>
      <w:r w:rsidRPr="008E4ED9">
        <w:rPr>
          <w:rFonts w:eastAsia="Times New Roman"/>
          <w:lang w:val="en-IN" w:eastAsia="en-IN"/>
        </w:rPr>
        <w:t xml:space="preserve">The methodology follows standard urban and regional planning practices and aligns with previous studies on </w:t>
      </w:r>
      <w:r w:rsidRPr="008E4ED9">
        <w:rPr>
          <w:rFonts w:eastAsia="Times New Roman"/>
          <w:bCs/>
          <w:lang w:val="en-IN" w:eastAsia="en-IN"/>
        </w:rPr>
        <w:t>urbanization and land use transformation in metropolitan regions</w:t>
      </w:r>
      <w:r w:rsidRPr="008E4ED9">
        <w:rPr>
          <w:rFonts w:eastAsia="Times New Roman"/>
          <w:lang w:val="en-IN" w:eastAsia="en-IN"/>
        </w:rPr>
        <w:t xml:space="preserve">. By integrating </w:t>
      </w:r>
      <w:r w:rsidRPr="008E4ED9">
        <w:rPr>
          <w:rFonts w:eastAsia="Times New Roman"/>
          <w:bCs/>
          <w:lang w:val="en-IN" w:eastAsia="en-IN"/>
        </w:rPr>
        <w:t>satellite imagery, spatial analysis, and policy context</w:t>
      </w:r>
      <w:r w:rsidRPr="008E4ED9">
        <w:rPr>
          <w:rFonts w:eastAsia="Times New Roman"/>
          <w:lang w:val="en-IN" w:eastAsia="en-IN"/>
        </w:rPr>
        <w:t xml:space="preserve">, this study provides valuable insights into how </w:t>
      </w:r>
      <w:r w:rsidRPr="008E4ED9">
        <w:rPr>
          <w:rFonts w:eastAsia="Times New Roman"/>
          <w:bCs/>
          <w:lang w:val="en-IN" w:eastAsia="en-IN"/>
        </w:rPr>
        <w:t>land dynamics in BMR</w:t>
      </w:r>
      <w:r w:rsidRPr="008E4ED9">
        <w:rPr>
          <w:rFonts w:eastAsia="Times New Roman"/>
          <w:lang w:val="en-IN" w:eastAsia="en-IN"/>
        </w:rPr>
        <w:t xml:space="preserve"> have evolved over time, informing future planning strategies.</w:t>
      </w:r>
    </w:p>
    <w:p w14:paraId="21D2408F" w14:textId="77777777" w:rsidR="00C0641F" w:rsidRDefault="00C0641F" w:rsidP="00C0641F">
      <w:pPr>
        <w:spacing w:before="100" w:beforeAutospacing="1" w:after="100" w:afterAutospacing="1"/>
        <w:jc w:val="both"/>
        <w:rPr>
          <w:rFonts w:eastAsia="Times New Roman"/>
          <w:b/>
          <w:bCs/>
          <w:lang w:eastAsia="en-IN"/>
        </w:rPr>
      </w:pPr>
      <w:r w:rsidRPr="00C0641F">
        <w:rPr>
          <w:rFonts w:eastAsia="Times New Roman"/>
          <w:b/>
          <w:bCs/>
          <w:lang w:eastAsia="en-IN"/>
        </w:rPr>
        <w:t>I</w:t>
      </w:r>
      <w:r>
        <w:rPr>
          <w:rFonts w:eastAsia="Times New Roman"/>
          <w:b/>
          <w:bCs/>
          <w:lang w:eastAsia="en-IN"/>
        </w:rPr>
        <w:t>V</w:t>
      </w:r>
      <w:r w:rsidRPr="00C0641F">
        <w:rPr>
          <w:rFonts w:eastAsia="Times New Roman"/>
          <w:b/>
          <w:bCs/>
          <w:lang w:eastAsia="en-IN"/>
        </w:rPr>
        <w:t xml:space="preserve">. </w:t>
      </w:r>
      <w:r w:rsidR="004E4DD5">
        <w:rPr>
          <w:rFonts w:eastAsia="Times New Roman"/>
          <w:b/>
          <w:bCs/>
          <w:lang w:eastAsia="en-IN"/>
        </w:rPr>
        <w:t>GROWTH DYNAMICS</w:t>
      </w:r>
      <w:r w:rsidR="00847FAC">
        <w:rPr>
          <w:rFonts w:eastAsia="Times New Roman"/>
          <w:b/>
          <w:bCs/>
          <w:lang w:eastAsia="en-IN"/>
        </w:rPr>
        <w:t xml:space="preserve"> </w:t>
      </w:r>
      <w:r>
        <w:rPr>
          <w:rFonts w:eastAsia="Times New Roman"/>
          <w:b/>
          <w:bCs/>
          <w:lang w:eastAsia="en-IN"/>
        </w:rPr>
        <w:t>OF B</w:t>
      </w:r>
      <w:r w:rsidR="001F7132">
        <w:rPr>
          <w:rFonts w:eastAsia="Times New Roman"/>
          <w:b/>
          <w:bCs/>
          <w:lang w:eastAsia="en-IN"/>
        </w:rPr>
        <w:t xml:space="preserve">ENGALURU </w:t>
      </w:r>
      <w:r>
        <w:rPr>
          <w:rFonts w:eastAsia="Times New Roman"/>
          <w:b/>
          <w:bCs/>
          <w:lang w:eastAsia="en-IN"/>
        </w:rPr>
        <w:t>M</w:t>
      </w:r>
      <w:r w:rsidR="001F7132">
        <w:rPr>
          <w:rFonts w:eastAsia="Times New Roman"/>
          <w:b/>
          <w:bCs/>
          <w:lang w:eastAsia="en-IN"/>
        </w:rPr>
        <w:t xml:space="preserve">ETROPOLITAN </w:t>
      </w:r>
      <w:r>
        <w:rPr>
          <w:rFonts w:eastAsia="Times New Roman"/>
          <w:b/>
          <w:bCs/>
          <w:lang w:eastAsia="en-IN"/>
        </w:rPr>
        <w:t>R</w:t>
      </w:r>
      <w:r w:rsidR="001F7132">
        <w:rPr>
          <w:rFonts w:eastAsia="Times New Roman"/>
          <w:b/>
          <w:bCs/>
          <w:lang w:eastAsia="en-IN"/>
        </w:rPr>
        <w:t>EGION (BMR)</w:t>
      </w:r>
    </w:p>
    <w:p w14:paraId="1A037B21" w14:textId="77777777" w:rsidR="001F7132" w:rsidRDefault="001F7132" w:rsidP="00C0641F">
      <w:pPr>
        <w:spacing w:before="100" w:beforeAutospacing="1" w:after="100" w:afterAutospacing="1"/>
        <w:jc w:val="both"/>
        <w:rPr>
          <w:rFonts w:eastAsia="Times New Roman"/>
          <w:b/>
          <w:bCs/>
          <w:lang w:eastAsia="en-IN"/>
        </w:rPr>
      </w:pPr>
      <w:r>
        <w:rPr>
          <w:rFonts w:eastAsia="Times New Roman"/>
          <w:b/>
          <w:bCs/>
          <w:lang w:eastAsia="en-IN"/>
        </w:rPr>
        <w:t xml:space="preserve">4.1 </w:t>
      </w:r>
      <w:r w:rsidR="00847FAC">
        <w:rPr>
          <w:rFonts w:eastAsia="Times New Roman"/>
          <w:b/>
          <w:bCs/>
          <w:lang w:eastAsia="en-IN"/>
        </w:rPr>
        <w:t xml:space="preserve">Location and Regional Setting </w:t>
      </w:r>
    </w:p>
    <w:p w14:paraId="129757EA" w14:textId="77777777" w:rsidR="00C0641F" w:rsidRDefault="00C0641F" w:rsidP="001F7132">
      <w:pPr>
        <w:spacing w:after="120" w:line="276" w:lineRule="auto"/>
        <w:ind w:firstLine="288"/>
        <w:jc w:val="both"/>
        <w:rPr>
          <w:rFonts w:eastAsia="Times New Roman"/>
          <w:lang w:val="en-IN" w:eastAsia="en-IN"/>
        </w:rPr>
      </w:pPr>
      <w:r w:rsidRPr="00C0641F">
        <w:rPr>
          <w:rFonts w:eastAsia="Times New Roman"/>
          <w:lang w:val="en-IN" w:eastAsia="en-IN"/>
        </w:rPr>
        <w:t xml:space="preserve">The </w:t>
      </w:r>
      <w:r w:rsidRPr="00C0641F">
        <w:rPr>
          <w:rFonts w:eastAsia="Times New Roman"/>
          <w:bCs/>
          <w:lang w:val="en-IN" w:eastAsia="en-IN"/>
        </w:rPr>
        <w:t>Bengaluru Metropolitan Region (BMR)</w:t>
      </w:r>
      <w:r w:rsidRPr="00C0641F">
        <w:rPr>
          <w:rFonts w:eastAsia="Times New Roman"/>
          <w:lang w:val="en-IN" w:eastAsia="en-IN"/>
        </w:rPr>
        <w:t xml:space="preserve"> is a statutory planning region in Karnataka, India, encompassing </w:t>
      </w:r>
      <w:r w:rsidRPr="00C0641F">
        <w:rPr>
          <w:rFonts w:eastAsia="Times New Roman"/>
          <w:bCs/>
          <w:lang w:val="en-IN" w:eastAsia="en-IN"/>
        </w:rPr>
        <w:t>Bengaluru city and its surrounding peri-urban and rural areas</w:t>
      </w:r>
      <w:r w:rsidRPr="00C0641F">
        <w:rPr>
          <w:rFonts w:eastAsia="Times New Roman"/>
          <w:lang w:val="en-IN" w:eastAsia="en-IN"/>
        </w:rPr>
        <w:t xml:space="preserve">. Covering </w:t>
      </w:r>
      <w:r w:rsidRPr="00C0641F">
        <w:rPr>
          <w:rFonts w:eastAsia="Times New Roman"/>
          <w:bCs/>
          <w:lang w:val="en-IN" w:eastAsia="en-IN"/>
        </w:rPr>
        <w:t>8,005 km²</w:t>
      </w:r>
      <w:r w:rsidRPr="00C0641F">
        <w:rPr>
          <w:rFonts w:eastAsia="Times New Roman"/>
          <w:lang w:val="en-IN" w:eastAsia="en-IN"/>
        </w:rPr>
        <w:t xml:space="preserve">, it is among the largest metropolitan regions in India (BMRDA, 2017). </w:t>
      </w:r>
      <w:r w:rsidRPr="00C0641F">
        <w:rPr>
          <w:rFonts w:eastAsia="Times New Roman"/>
          <w:lang w:val="en-IN" w:eastAsia="en-IN"/>
        </w:rPr>
        <w:lastRenderedPageBreak/>
        <w:t xml:space="preserve">Administratively, BMR includes </w:t>
      </w:r>
      <w:r w:rsidRPr="00C0641F">
        <w:rPr>
          <w:rFonts w:eastAsia="Times New Roman"/>
          <w:bCs/>
          <w:lang w:val="en-IN" w:eastAsia="en-IN"/>
        </w:rPr>
        <w:t xml:space="preserve">Bangalore Urban, Bangalore Rural, and </w:t>
      </w:r>
      <w:proofErr w:type="spellStart"/>
      <w:r w:rsidRPr="00C0641F">
        <w:rPr>
          <w:rFonts w:eastAsia="Times New Roman"/>
          <w:bCs/>
          <w:lang w:val="en-IN" w:eastAsia="en-IN"/>
        </w:rPr>
        <w:t>Ramanagara</w:t>
      </w:r>
      <w:proofErr w:type="spellEnd"/>
      <w:r w:rsidRPr="00C0641F">
        <w:rPr>
          <w:rFonts w:eastAsia="Times New Roman"/>
          <w:bCs/>
          <w:lang w:val="en-IN" w:eastAsia="en-IN"/>
        </w:rPr>
        <w:t xml:space="preserve"> districts</w:t>
      </w:r>
      <w:r w:rsidRPr="00C0641F">
        <w:rPr>
          <w:rFonts w:eastAsia="Times New Roman"/>
          <w:lang w:val="en-IN" w:eastAsia="en-IN"/>
        </w:rPr>
        <w:t xml:space="preserve">, with </w:t>
      </w:r>
      <w:proofErr w:type="spellStart"/>
      <w:r w:rsidRPr="00C0641F">
        <w:rPr>
          <w:rFonts w:eastAsia="Times New Roman"/>
          <w:bCs/>
          <w:lang w:val="en-IN" w:eastAsia="en-IN"/>
        </w:rPr>
        <w:t>Bruhat</w:t>
      </w:r>
      <w:proofErr w:type="spellEnd"/>
      <w:r w:rsidRPr="00C0641F">
        <w:rPr>
          <w:rFonts w:eastAsia="Times New Roman"/>
          <w:bCs/>
          <w:lang w:val="en-IN" w:eastAsia="en-IN"/>
        </w:rPr>
        <w:t xml:space="preserve"> Bengaluru </w:t>
      </w:r>
      <w:proofErr w:type="spellStart"/>
      <w:r w:rsidRPr="00C0641F">
        <w:rPr>
          <w:rFonts w:eastAsia="Times New Roman"/>
          <w:bCs/>
          <w:lang w:val="en-IN" w:eastAsia="en-IN"/>
        </w:rPr>
        <w:t>Mahanagara</w:t>
      </w:r>
      <w:proofErr w:type="spellEnd"/>
      <w:r w:rsidRPr="00C0641F">
        <w:rPr>
          <w:rFonts w:eastAsia="Times New Roman"/>
          <w:bCs/>
          <w:lang w:val="en-IN" w:eastAsia="en-IN"/>
        </w:rPr>
        <w:t xml:space="preserve"> </w:t>
      </w:r>
      <w:proofErr w:type="spellStart"/>
      <w:r w:rsidRPr="00C0641F">
        <w:rPr>
          <w:rFonts w:eastAsia="Times New Roman"/>
          <w:bCs/>
          <w:lang w:val="en-IN" w:eastAsia="en-IN"/>
        </w:rPr>
        <w:t>Palike</w:t>
      </w:r>
      <w:proofErr w:type="spellEnd"/>
      <w:r w:rsidRPr="00C0641F">
        <w:rPr>
          <w:rFonts w:eastAsia="Times New Roman"/>
          <w:bCs/>
          <w:lang w:val="en-IN" w:eastAsia="en-IN"/>
        </w:rPr>
        <w:t xml:space="preserve"> (BBMP)</w:t>
      </w:r>
      <w:r w:rsidRPr="00C0641F">
        <w:rPr>
          <w:rFonts w:eastAsia="Times New Roman"/>
          <w:lang w:val="en-IN" w:eastAsia="en-IN"/>
        </w:rPr>
        <w:t xml:space="preserve"> forming the urban core. BBMP’s jurisdiction spans approximately </w:t>
      </w:r>
      <w:r w:rsidRPr="00C0641F">
        <w:rPr>
          <w:rFonts w:eastAsia="Times New Roman"/>
          <w:bCs/>
          <w:lang w:val="en-IN" w:eastAsia="en-IN"/>
        </w:rPr>
        <w:t>800 km²</w:t>
      </w:r>
      <w:r w:rsidRPr="00C0641F">
        <w:rPr>
          <w:rFonts w:eastAsia="Times New Roman"/>
          <w:lang w:val="en-IN" w:eastAsia="en-IN"/>
        </w:rPr>
        <w:t xml:space="preserve">, while the rest of BMR comprises </w:t>
      </w:r>
      <w:r w:rsidRPr="00C0641F">
        <w:rPr>
          <w:rFonts w:eastAsia="Times New Roman"/>
          <w:bCs/>
          <w:lang w:val="en-IN" w:eastAsia="en-IN"/>
        </w:rPr>
        <w:t xml:space="preserve">towns (Yelahanka, </w:t>
      </w:r>
      <w:proofErr w:type="spellStart"/>
      <w:r w:rsidRPr="00C0641F">
        <w:rPr>
          <w:rFonts w:eastAsia="Times New Roman"/>
          <w:bCs/>
          <w:lang w:val="en-IN" w:eastAsia="en-IN"/>
        </w:rPr>
        <w:t>Hosakote</w:t>
      </w:r>
      <w:proofErr w:type="spellEnd"/>
      <w:r w:rsidRPr="00C0641F">
        <w:rPr>
          <w:rFonts w:eastAsia="Times New Roman"/>
          <w:bCs/>
          <w:lang w:val="en-IN" w:eastAsia="en-IN"/>
        </w:rPr>
        <w:t xml:space="preserve">, </w:t>
      </w:r>
      <w:proofErr w:type="spellStart"/>
      <w:r w:rsidRPr="00C0641F">
        <w:rPr>
          <w:rFonts w:eastAsia="Times New Roman"/>
          <w:bCs/>
          <w:lang w:val="en-IN" w:eastAsia="en-IN"/>
        </w:rPr>
        <w:t>Ramanagara</w:t>
      </w:r>
      <w:proofErr w:type="spellEnd"/>
      <w:r w:rsidRPr="00C0641F">
        <w:rPr>
          <w:rFonts w:eastAsia="Times New Roman"/>
          <w:bCs/>
          <w:lang w:val="en-IN" w:eastAsia="en-IN"/>
        </w:rPr>
        <w:t xml:space="preserve">, </w:t>
      </w:r>
      <w:proofErr w:type="spellStart"/>
      <w:r w:rsidRPr="00C0641F">
        <w:rPr>
          <w:rFonts w:eastAsia="Times New Roman"/>
          <w:bCs/>
          <w:lang w:val="en-IN" w:eastAsia="en-IN"/>
        </w:rPr>
        <w:t>Kanakapura</w:t>
      </w:r>
      <w:proofErr w:type="spellEnd"/>
      <w:r w:rsidRPr="00C0641F">
        <w:rPr>
          <w:rFonts w:eastAsia="Times New Roman"/>
          <w:bCs/>
          <w:lang w:val="en-IN" w:eastAsia="en-IN"/>
        </w:rPr>
        <w:t>) and rural settlements</w:t>
      </w:r>
      <w:r w:rsidRPr="00C0641F">
        <w:rPr>
          <w:rFonts w:eastAsia="Times New Roman"/>
          <w:lang w:val="en-IN" w:eastAsia="en-IN"/>
        </w:rPr>
        <w:t xml:space="preserve"> governed by local municipal councils or panchayats. The region’s geography is characterized by the </w:t>
      </w:r>
      <w:r w:rsidRPr="00C0641F">
        <w:rPr>
          <w:rFonts w:eastAsia="Times New Roman"/>
          <w:bCs/>
          <w:lang w:val="en-IN" w:eastAsia="en-IN"/>
        </w:rPr>
        <w:t>Deccan Plateau’s undulating terrain</w:t>
      </w:r>
      <w:r w:rsidRPr="00C0641F">
        <w:rPr>
          <w:rFonts w:eastAsia="Times New Roman"/>
          <w:lang w:val="en-IN" w:eastAsia="en-IN"/>
        </w:rPr>
        <w:t xml:space="preserve"> (~900 m elevation), </w:t>
      </w:r>
      <w:r w:rsidRPr="00C0641F">
        <w:rPr>
          <w:rFonts w:eastAsia="Times New Roman"/>
          <w:bCs/>
          <w:lang w:val="en-IN" w:eastAsia="en-IN"/>
        </w:rPr>
        <w:t>no major rivers</w:t>
      </w:r>
      <w:r w:rsidRPr="00C0641F">
        <w:rPr>
          <w:rFonts w:eastAsia="Times New Roman"/>
          <w:lang w:val="en-IN" w:eastAsia="en-IN"/>
        </w:rPr>
        <w:t xml:space="preserve">, and a network of </w:t>
      </w:r>
      <w:r w:rsidRPr="00C0641F">
        <w:rPr>
          <w:rFonts w:eastAsia="Times New Roman"/>
          <w:bCs/>
          <w:lang w:val="en-IN" w:eastAsia="en-IN"/>
        </w:rPr>
        <w:t>historical man-made lakes</w:t>
      </w:r>
      <w:r w:rsidRPr="00C0641F">
        <w:rPr>
          <w:rFonts w:eastAsia="Times New Roman"/>
          <w:lang w:val="en-IN" w:eastAsia="en-IN"/>
        </w:rPr>
        <w:t xml:space="preserve"> that played a crucial role in irrigation and water supply.</w:t>
      </w:r>
      <w:r w:rsidR="001F7132">
        <w:rPr>
          <w:rFonts w:eastAsia="Times New Roman"/>
          <w:lang w:val="en-IN" w:eastAsia="en-IN"/>
        </w:rPr>
        <w:t xml:space="preserve"> (Figure 1)</w:t>
      </w:r>
    </w:p>
    <w:p w14:paraId="531464F4" w14:textId="77777777" w:rsidR="00C0641F" w:rsidRDefault="00847FAC" w:rsidP="001F7132">
      <w:pPr>
        <w:spacing w:after="120" w:line="276" w:lineRule="auto"/>
        <w:ind w:firstLine="288"/>
        <w:jc w:val="both"/>
        <w:rPr>
          <w:rFonts w:eastAsia="Times New Roman"/>
          <w:lang w:val="en-IN" w:eastAsia="en-IN"/>
        </w:rPr>
      </w:pPr>
      <w:r>
        <w:rPr>
          <w:rFonts w:eastAsia="Times New Roman"/>
          <w:noProof/>
          <w:lang w:val="en-IN" w:eastAsia="en-IN"/>
        </w:rPr>
        <w:drawing>
          <wp:anchor distT="0" distB="0" distL="114300" distR="114300" simplePos="0" relativeHeight="251658240" behindDoc="1" locked="0" layoutInCell="1" allowOverlap="1" wp14:anchorId="5F3430BC" wp14:editId="703E7DED">
            <wp:simplePos x="0" y="0"/>
            <wp:positionH relativeFrom="column">
              <wp:posOffset>975360</wp:posOffset>
            </wp:positionH>
            <wp:positionV relativeFrom="paragraph">
              <wp:posOffset>160020</wp:posOffset>
            </wp:positionV>
            <wp:extent cx="4335780" cy="3599180"/>
            <wp:effectExtent l="19050" t="19050" r="26670" b="20320"/>
            <wp:wrapTight wrapText="bothSides">
              <wp:wrapPolygon edited="0">
                <wp:start x="-95" y="-114"/>
                <wp:lineTo x="-95" y="21608"/>
                <wp:lineTo x="21638" y="21608"/>
                <wp:lineTo x="21638" y="-114"/>
                <wp:lineTo x="-95" y="-114"/>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_Location &amp; Regional Setting_001.png"/>
                    <pic:cNvPicPr/>
                  </pic:nvPicPr>
                  <pic:blipFill rotWithShape="1">
                    <a:blip r:embed="rId7" cstate="print">
                      <a:extLst>
                        <a:ext uri="{28A0092B-C50C-407E-A947-70E740481C1C}">
                          <a14:useLocalDpi xmlns:a14="http://schemas.microsoft.com/office/drawing/2010/main" val="0"/>
                        </a:ext>
                      </a:extLst>
                    </a:blip>
                    <a:srcRect l="3856" t="35968" r="4011" b="10690"/>
                    <a:stretch/>
                  </pic:blipFill>
                  <pic:spPr bwMode="auto">
                    <a:xfrm>
                      <a:off x="0" y="0"/>
                      <a:ext cx="4335780" cy="35991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71C047" w14:textId="77777777" w:rsidR="00C0641F" w:rsidRDefault="00C0641F" w:rsidP="001F7132">
      <w:pPr>
        <w:spacing w:after="120" w:line="276" w:lineRule="auto"/>
        <w:ind w:firstLine="288"/>
        <w:jc w:val="both"/>
        <w:rPr>
          <w:rFonts w:eastAsia="Times New Roman"/>
          <w:lang w:val="en-IN" w:eastAsia="en-IN"/>
        </w:rPr>
      </w:pPr>
    </w:p>
    <w:p w14:paraId="36EA4341" w14:textId="77777777" w:rsidR="00C0641F" w:rsidRDefault="00C0641F" w:rsidP="001F7132">
      <w:pPr>
        <w:spacing w:after="120" w:line="276" w:lineRule="auto"/>
        <w:ind w:firstLine="288"/>
        <w:jc w:val="both"/>
        <w:rPr>
          <w:rFonts w:eastAsia="Times New Roman"/>
          <w:lang w:val="en-IN" w:eastAsia="en-IN"/>
        </w:rPr>
      </w:pPr>
    </w:p>
    <w:p w14:paraId="5422D7D3" w14:textId="77777777" w:rsidR="00C0641F" w:rsidRDefault="00C0641F" w:rsidP="001F7132">
      <w:pPr>
        <w:spacing w:after="120" w:line="276" w:lineRule="auto"/>
        <w:ind w:firstLine="288"/>
        <w:jc w:val="both"/>
        <w:rPr>
          <w:rFonts w:eastAsia="Times New Roman"/>
          <w:lang w:val="en-IN" w:eastAsia="en-IN"/>
        </w:rPr>
      </w:pPr>
    </w:p>
    <w:p w14:paraId="57BE90DE" w14:textId="77777777" w:rsidR="00C0641F" w:rsidRDefault="00C0641F" w:rsidP="001F7132">
      <w:pPr>
        <w:spacing w:after="120" w:line="276" w:lineRule="auto"/>
        <w:ind w:firstLine="288"/>
        <w:jc w:val="both"/>
        <w:rPr>
          <w:rFonts w:eastAsia="Times New Roman"/>
          <w:lang w:val="en-IN" w:eastAsia="en-IN"/>
        </w:rPr>
      </w:pPr>
    </w:p>
    <w:p w14:paraId="44C87EF9" w14:textId="77777777" w:rsidR="00C0641F" w:rsidRDefault="00C0641F" w:rsidP="001F7132">
      <w:pPr>
        <w:spacing w:after="120" w:line="276" w:lineRule="auto"/>
        <w:ind w:firstLine="288"/>
        <w:jc w:val="both"/>
        <w:rPr>
          <w:rFonts w:eastAsia="Times New Roman"/>
          <w:lang w:val="en-IN" w:eastAsia="en-IN"/>
        </w:rPr>
      </w:pPr>
    </w:p>
    <w:p w14:paraId="5ABBE6A1" w14:textId="77777777" w:rsidR="00C0641F" w:rsidRDefault="00C0641F" w:rsidP="001F7132">
      <w:pPr>
        <w:spacing w:after="120" w:line="276" w:lineRule="auto"/>
        <w:ind w:firstLine="288"/>
        <w:jc w:val="both"/>
        <w:rPr>
          <w:rFonts w:eastAsia="Times New Roman"/>
          <w:lang w:val="en-IN" w:eastAsia="en-IN"/>
        </w:rPr>
      </w:pPr>
    </w:p>
    <w:p w14:paraId="758B95F6" w14:textId="77777777" w:rsidR="00C0641F" w:rsidRDefault="00C0641F" w:rsidP="001F7132">
      <w:pPr>
        <w:spacing w:after="120" w:line="276" w:lineRule="auto"/>
        <w:ind w:firstLine="288"/>
        <w:jc w:val="both"/>
        <w:rPr>
          <w:rFonts w:eastAsia="Times New Roman"/>
          <w:lang w:val="en-IN" w:eastAsia="en-IN"/>
        </w:rPr>
      </w:pPr>
    </w:p>
    <w:p w14:paraId="0704F8A7" w14:textId="77777777" w:rsidR="00C0641F" w:rsidRDefault="00C0641F" w:rsidP="001F7132">
      <w:pPr>
        <w:spacing w:after="120" w:line="276" w:lineRule="auto"/>
        <w:ind w:firstLine="288"/>
        <w:jc w:val="both"/>
        <w:rPr>
          <w:rFonts w:eastAsia="Times New Roman"/>
          <w:lang w:val="en-IN" w:eastAsia="en-IN"/>
        </w:rPr>
      </w:pPr>
    </w:p>
    <w:p w14:paraId="64C3E2ED" w14:textId="77777777" w:rsidR="00C0641F" w:rsidRDefault="00C0641F" w:rsidP="001F7132">
      <w:pPr>
        <w:spacing w:after="120" w:line="276" w:lineRule="auto"/>
        <w:ind w:firstLine="288"/>
        <w:jc w:val="both"/>
        <w:rPr>
          <w:rFonts w:eastAsia="Times New Roman"/>
          <w:lang w:val="en-IN" w:eastAsia="en-IN"/>
        </w:rPr>
      </w:pPr>
    </w:p>
    <w:p w14:paraId="49E58A25" w14:textId="77777777" w:rsidR="00C0641F" w:rsidRDefault="00C0641F" w:rsidP="001F7132">
      <w:pPr>
        <w:spacing w:after="120" w:line="276" w:lineRule="auto"/>
        <w:ind w:firstLine="288"/>
        <w:jc w:val="both"/>
        <w:rPr>
          <w:rFonts w:eastAsia="Times New Roman"/>
          <w:lang w:val="en-IN" w:eastAsia="en-IN"/>
        </w:rPr>
      </w:pPr>
    </w:p>
    <w:p w14:paraId="05F18470" w14:textId="77777777" w:rsidR="00C0641F" w:rsidRDefault="00C0641F" w:rsidP="001F7132">
      <w:pPr>
        <w:spacing w:after="120" w:line="276" w:lineRule="auto"/>
        <w:ind w:firstLine="288"/>
        <w:jc w:val="both"/>
        <w:rPr>
          <w:rFonts w:eastAsia="Times New Roman"/>
          <w:lang w:val="en-IN" w:eastAsia="en-IN"/>
        </w:rPr>
      </w:pPr>
    </w:p>
    <w:p w14:paraId="1D726BBF" w14:textId="77777777" w:rsidR="00C0641F" w:rsidRDefault="00C0641F" w:rsidP="001F7132">
      <w:pPr>
        <w:spacing w:after="120" w:line="276" w:lineRule="auto"/>
        <w:ind w:firstLine="288"/>
        <w:jc w:val="both"/>
        <w:rPr>
          <w:rFonts w:eastAsia="Times New Roman"/>
          <w:lang w:val="en-IN" w:eastAsia="en-IN"/>
        </w:rPr>
      </w:pPr>
    </w:p>
    <w:p w14:paraId="499C348F" w14:textId="77777777" w:rsidR="00C0641F" w:rsidRDefault="00C0641F" w:rsidP="001F7132">
      <w:pPr>
        <w:spacing w:after="120" w:line="276" w:lineRule="auto"/>
        <w:ind w:firstLine="288"/>
        <w:jc w:val="both"/>
        <w:rPr>
          <w:rFonts w:eastAsia="Times New Roman"/>
          <w:lang w:val="en-IN" w:eastAsia="en-IN"/>
        </w:rPr>
      </w:pPr>
    </w:p>
    <w:p w14:paraId="0899384E" w14:textId="77777777" w:rsidR="009F62B8" w:rsidRPr="009F62B8" w:rsidRDefault="009F62B8" w:rsidP="009F62B8">
      <w:pPr>
        <w:spacing w:line="276" w:lineRule="auto"/>
        <w:ind w:firstLine="289"/>
        <w:jc w:val="center"/>
        <w:rPr>
          <w:rFonts w:eastAsia="Times New Roman"/>
          <w:b/>
          <w:lang w:val="en-IN" w:eastAsia="en-IN"/>
        </w:rPr>
      </w:pPr>
      <w:r w:rsidRPr="009F62B8">
        <w:rPr>
          <w:rFonts w:eastAsia="Times New Roman"/>
          <w:b/>
          <w:lang w:val="en-IN" w:eastAsia="en-IN"/>
        </w:rPr>
        <w:t>Figure 1: Location and Regional Setting of BMR</w:t>
      </w:r>
    </w:p>
    <w:p w14:paraId="7911C074" w14:textId="77777777" w:rsidR="005D12DE" w:rsidRDefault="009F62B8" w:rsidP="004E4DD5">
      <w:pPr>
        <w:spacing w:line="276" w:lineRule="auto"/>
        <w:ind w:firstLine="289"/>
        <w:jc w:val="center"/>
        <w:rPr>
          <w:rFonts w:eastAsia="Times New Roman"/>
          <w:lang w:val="en-IN" w:eastAsia="en-IN"/>
        </w:rPr>
      </w:pPr>
      <w:r>
        <w:rPr>
          <w:rFonts w:eastAsia="Times New Roman"/>
          <w:lang w:val="en-IN" w:eastAsia="en-IN"/>
        </w:rPr>
        <w:t>(Source: BMR Revised Structure Plan, 2016)</w:t>
      </w:r>
    </w:p>
    <w:p w14:paraId="39112438" w14:textId="77777777" w:rsidR="004E4DD5" w:rsidRDefault="004E4DD5" w:rsidP="004E4DD5">
      <w:pPr>
        <w:spacing w:line="276" w:lineRule="auto"/>
        <w:ind w:firstLine="289"/>
        <w:jc w:val="center"/>
        <w:rPr>
          <w:rFonts w:eastAsia="Times New Roman"/>
          <w:lang w:val="en-IN" w:eastAsia="en-IN"/>
        </w:rPr>
      </w:pPr>
    </w:p>
    <w:p w14:paraId="61A73868" w14:textId="77777777" w:rsidR="00C0641F" w:rsidRPr="00C0641F" w:rsidRDefault="001F7132" w:rsidP="001F7132">
      <w:pPr>
        <w:spacing w:after="120" w:line="276" w:lineRule="auto"/>
        <w:jc w:val="both"/>
        <w:rPr>
          <w:rFonts w:eastAsia="Times New Roman"/>
          <w:b/>
          <w:bCs/>
          <w:lang w:val="en-IN" w:eastAsia="en-IN"/>
        </w:rPr>
      </w:pPr>
      <w:r>
        <w:rPr>
          <w:rFonts w:eastAsia="Times New Roman"/>
          <w:b/>
          <w:bCs/>
          <w:lang w:val="en-IN" w:eastAsia="en-IN"/>
        </w:rPr>
        <w:t xml:space="preserve">4.2 </w:t>
      </w:r>
      <w:r w:rsidR="00C0641F" w:rsidRPr="00C0641F">
        <w:rPr>
          <w:rFonts w:eastAsia="Times New Roman"/>
          <w:b/>
          <w:bCs/>
          <w:lang w:val="en-IN" w:eastAsia="en-IN"/>
        </w:rPr>
        <w:t>Demographic Trends</w:t>
      </w:r>
    </w:p>
    <w:p w14:paraId="672BD33B" w14:textId="77777777" w:rsidR="004E4DD5" w:rsidRDefault="00C0641F" w:rsidP="004E4DD5">
      <w:pPr>
        <w:spacing w:after="120" w:line="276" w:lineRule="auto"/>
        <w:ind w:firstLine="720"/>
        <w:jc w:val="both"/>
        <w:rPr>
          <w:rFonts w:eastAsia="Times New Roman"/>
          <w:lang w:val="en-IN" w:eastAsia="en-IN"/>
        </w:rPr>
      </w:pPr>
      <w:r w:rsidRPr="00C0641F">
        <w:rPr>
          <w:rFonts w:eastAsia="Times New Roman"/>
          <w:lang w:val="en-IN" w:eastAsia="en-IN"/>
        </w:rPr>
        <w:t xml:space="preserve">BMR has witnessed </w:t>
      </w:r>
      <w:r w:rsidRPr="00C0641F">
        <w:rPr>
          <w:rFonts w:eastAsia="Times New Roman"/>
          <w:bCs/>
          <w:lang w:val="en-IN" w:eastAsia="en-IN"/>
        </w:rPr>
        <w:t>rapid population growth</w:t>
      </w:r>
      <w:r w:rsidRPr="00C0641F">
        <w:rPr>
          <w:rFonts w:eastAsia="Times New Roman"/>
          <w:lang w:val="en-IN" w:eastAsia="en-IN"/>
        </w:rPr>
        <w:t xml:space="preserve">, primarily driven by </w:t>
      </w:r>
      <w:r w:rsidRPr="00C0641F">
        <w:rPr>
          <w:rFonts w:eastAsia="Times New Roman"/>
          <w:bCs/>
          <w:lang w:val="en-IN" w:eastAsia="en-IN"/>
        </w:rPr>
        <w:t>Bengaluru’s economic expansion</w:t>
      </w:r>
      <w:r w:rsidRPr="00C0641F">
        <w:rPr>
          <w:rFonts w:eastAsia="Times New Roman"/>
          <w:lang w:val="en-IN" w:eastAsia="en-IN"/>
        </w:rPr>
        <w:t xml:space="preserve">. The population was approximately </w:t>
      </w:r>
      <w:r w:rsidRPr="00C0641F">
        <w:rPr>
          <w:rFonts w:eastAsia="Times New Roman"/>
          <w:bCs/>
          <w:lang w:val="en-IN" w:eastAsia="en-IN"/>
        </w:rPr>
        <w:t>6.5 million in 1991</w:t>
      </w:r>
      <w:r w:rsidRPr="00C0641F">
        <w:rPr>
          <w:rFonts w:eastAsia="Times New Roman"/>
          <w:lang w:val="en-IN" w:eastAsia="en-IN"/>
        </w:rPr>
        <w:t xml:space="preserve"> and rose to </w:t>
      </w:r>
      <w:r w:rsidRPr="00C0641F">
        <w:rPr>
          <w:rFonts w:eastAsia="Times New Roman"/>
          <w:bCs/>
          <w:lang w:val="en-IN" w:eastAsia="en-IN"/>
        </w:rPr>
        <w:t>8.42 million in 2001</w:t>
      </w:r>
      <w:r w:rsidRPr="00C0641F">
        <w:rPr>
          <w:rFonts w:eastAsia="Times New Roman"/>
          <w:lang w:val="en-IN" w:eastAsia="en-IN"/>
        </w:rPr>
        <w:t xml:space="preserve">, with the </w:t>
      </w:r>
      <w:r w:rsidRPr="00C0641F">
        <w:rPr>
          <w:rFonts w:eastAsia="Times New Roman"/>
          <w:bCs/>
          <w:lang w:val="en-IN" w:eastAsia="en-IN"/>
        </w:rPr>
        <w:t>urban core (BBMP) housing nearly 6 million residents</w:t>
      </w:r>
      <w:r w:rsidRPr="00C0641F">
        <w:rPr>
          <w:rFonts w:eastAsia="Times New Roman"/>
          <w:lang w:val="en-IN" w:eastAsia="en-IN"/>
        </w:rPr>
        <w:t xml:space="preserve"> (BMRDA, 2017). By the </w:t>
      </w:r>
      <w:r w:rsidRPr="00C0641F">
        <w:rPr>
          <w:rFonts w:eastAsia="Times New Roman"/>
          <w:bCs/>
          <w:lang w:val="en-IN" w:eastAsia="en-IN"/>
        </w:rPr>
        <w:t>2011 Census, BMR’s population reached 11.66 million</w:t>
      </w:r>
      <w:r w:rsidRPr="00C0641F">
        <w:rPr>
          <w:rFonts w:eastAsia="Times New Roman"/>
          <w:lang w:val="en-IN" w:eastAsia="en-IN"/>
        </w:rPr>
        <w:t xml:space="preserve">, reflecting a </w:t>
      </w:r>
      <w:r w:rsidRPr="00C0641F">
        <w:rPr>
          <w:rFonts w:eastAsia="Times New Roman"/>
          <w:bCs/>
          <w:lang w:val="en-IN" w:eastAsia="en-IN"/>
        </w:rPr>
        <w:t>38% decadal increase</w:t>
      </w:r>
      <w:r w:rsidRPr="00C0641F">
        <w:rPr>
          <w:rFonts w:eastAsia="Times New Roman"/>
          <w:lang w:val="en-IN" w:eastAsia="en-IN"/>
        </w:rPr>
        <w:t xml:space="preserve">. Bangalore Urban District alone accounted for </w:t>
      </w:r>
      <w:r w:rsidRPr="00C0641F">
        <w:rPr>
          <w:rFonts w:eastAsia="Times New Roman"/>
          <w:bCs/>
          <w:lang w:val="en-IN" w:eastAsia="en-IN"/>
        </w:rPr>
        <w:t>9.59 million people</w:t>
      </w:r>
      <w:r w:rsidRPr="00C0641F">
        <w:rPr>
          <w:rFonts w:eastAsia="Times New Roman"/>
          <w:lang w:val="en-IN" w:eastAsia="en-IN"/>
        </w:rPr>
        <w:t xml:space="preserve"> in 2011, making up </w:t>
      </w:r>
      <w:r w:rsidRPr="00C0641F">
        <w:rPr>
          <w:rFonts w:eastAsia="Times New Roman"/>
          <w:bCs/>
          <w:lang w:val="en-IN" w:eastAsia="en-IN"/>
        </w:rPr>
        <w:t>20% of Karnataka’s total population</w:t>
      </w:r>
      <w:r w:rsidRPr="00C0641F">
        <w:rPr>
          <w:rFonts w:eastAsia="Times New Roman"/>
          <w:lang w:val="en-IN" w:eastAsia="en-IN"/>
        </w:rPr>
        <w:t xml:space="preserve"> while occupying less than </w:t>
      </w:r>
      <w:r w:rsidRPr="00C0641F">
        <w:rPr>
          <w:rFonts w:eastAsia="Times New Roman"/>
          <w:bCs/>
          <w:lang w:val="en-IN" w:eastAsia="en-IN"/>
        </w:rPr>
        <w:t>5% of its area</w:t>
      </w:r>
      <w:r w:rsidRPr="00C0641F">
        <w:rPr>
          <w:rFonts w:eastAsia="Times New Roman"/>
          <w:lang w:val="en-IN" w:eastAsia="en-IN"/>
        </w:rPr>
        <w:t xml:space="preserve">. </w:t>
      </w:r>
    </w:p>
    <w:p w14:paraId="17537C64" w14:textId="77777777" w:rsidR="00C0641F" w:rsidRPr="00C0641F" w:rsidRDefault="00C0641F" w:rsidP="004E4DD5">
      <w:pPr>
        <w:spacing w:after="120" w:line="276" w:lineRule="auto"/>
        <w:ind w:firstLine="720"/>
        <w:jc w:val="both"/>
        <w:rPr>
          <w:rFonts w:eastAsia="Times New Roman"/>
          <w:lang w:val="en-IN" w:eastAsia="en-IN"/>
        </w:rPr>
      </w:pPr>
      <w:r w:rsidRPr="00C0641F">
        <w:rPr>
          <w:rFonts w:eastAsia="Times New Roman"/>
          <w:lang w:val="en-IN" w:eastAsia="en-IN"/>
        </w:rPr>
        <w:t xml:space="preserve">Urbanization has been highly concentrated in </w:t>
      </w:r>
      <w:r w:rsidRPr="00C0641F">
        <w:rPr>
          <w:rFonts w:eastAsia="Times New Roman"/>
          <w:bCs/>
          <w:lang w:val="en-IN" w:eastAsia="en-IN"/>
        </w:rPr>
        <w:t>BBMP</w:t>
      </w:r>
      <w:r w:rsidRPr="00C0641F">
        <w:rPr>
          <w:rFonts w:eastAsia="Times New Roman"/>
          <w:lang w:val="en-IN" w:eastAsia="en-IN"/>
        </w:rPr>
        <w:t xml:space="preserve">, which housed </w:t>
      </w:r>
      <w:r w:rsidRPr="00C0641F">
        <w:rPr>
          <w:rFonts w:eastAsia="Times New Roman"/>
          <w:bCs/>
          <w:lang w:val="en-IN" w:eastAsia="en-IN"/>
        </w:rPr>
        <w:t>77% of BMR’s population by 2011</w:t>
      </w:r>
      <w:r w:rsidRPr="00C0641F">
        <w:rPr>
          <w:rFonts w:eastAsia="Times New Roman"/>
          <w:lang w:val="en-IN" w:eastAsia="en-IN"/>
        </w:rPr>
        <w:t xml:space="preserve">, growing from </w:t>
      </w:r>
      <w:r w:rsidRPr="00C0641F">
        <w:rPr>
          <w:rFonts w:eastAsia="Times New Roman"/>
          <w:bCs/>
          <w:lang w:val="en-IN" w:eastAsia="en-IN"/>
        </w:rPr>
        <w:t>48% in 1991 to 73% in 2001</w:t>
      </w:r>
      <w:r w:rsidRPr="00C0641F">
        <w:rPr>
          <w:rFonts w:eastAsia="Times New Roman"/>
          <w:lang w:val="en-IN" w:eastAsia="en-IN"/>
        </w:rPr>
        <w:t xml:space="preserve">. This demographic trend indicates a strong </w:t>
      </w:r>
      <w:r w:rsidRPr="00C0641F">
        <w:rPr>
          <w:rFonts w:eastAsia="Times New Roman"/>
          <w:bCs/>
          <w:lang w:val="en-IN" w:eastAsia="en-IN"/>
        </w:rPr>
        <w:t>regional imbalance</w:t>
      </w:r>
      <w:r w:rsidRPr="00C0641F">
        <w:rPr>
          <w:rFonts w:eastAsia="Times New Roman"/>
          <w:lang w:val="en-IN" w:eastAsia="en-IN"/>
        </w:rPr>
        <w:t xml:space="preserve">, where Bengaluru city continues to </w:t>
      </w:r>
      <w:r w:rsidRPr="00C0641F">
        <w:rPr>
          <w:rFonts w:eastAsia="Times New Roman"/>
          <w:bCs/>
          <w:lang w:val="en-IN" w:eastAsia="en-IN"/>
        </w:rPr>
        <w:t>dominate population and economic activities</w:t>
      </w:r>
      <w:r w:rsidRPr="00C0641F">
        <w:rPr>
          <w:rFonts w:eastAsia="Times New Roman"/>
          <w:lang w:val="en-IN" w:eastAsia="en-IN"/>
        </w:rPr>
        <w:t xml:space="preserve"> while surrounding areas lag in development.</w:t>
      </w:r>
    </w:p>
    <w:p w14:paraId="78D7C8C3" w14:textId="77777777" w:rsidR="00C0641F" w:rsidRPr="00C0641F" w:rsidRDefault="001F7132" w:rsidP="001F7132">
      <w:pPr>
        <w:spacing w:after="120" w:line="276" w:lineRule="auto"/>
        <w:jc w:val="both"/>
        <w:rPr>
          <w:rFonts w:eastAsia="Times New Roman"/>
          <w:b/>
          <w:bCs/>
          <w:lang w:val="en-IN" w:eastAsia="en-IN"/>
        </w:rPr>
      </w:pPr>
      <w:r>
        <w:rPr>
          <w:rFonts w:eastAsia="Times New Roman"/>
          <w:b/>
          <w:bCs/>
          <w:lang w:val="en-IN" w:eastAsia="en-IN"/>
        </w:rPr>
        <w:t xml:space="preserve">4.3 </w:t>
      </w:r>
      <w:r w:rsidR="00C0641F" w:rsidRPr="00C0641F">
        <w:rPr>
          <w:rFonts w:eastAsia="Times New Roman"/>
          <w:b/>
          <w:bCs/>
          <w:lang w:val="en-IN" w:eastAsia="en-IN"/>
        </w:rPr>
        <w:t>Migration and Urban Expansion</w:t>
      </w:r>
    </w:p>
    <w:p w14:paraId="093DE923" w14:textId="77777777" w:rsidR="00C0641F" w:rsidRPr="00C0641F" w:rsidRDefault="00C0641F" w:rsidP="001F7132">
      <w:pPr>
        <w:spacing w:after="120" w:line="276" w:lineRule="auto"/>
        <w:ind w:firstLine="720"/>
        <w:jc w:val="both"/>
        <w:rPr>
          <w:rFonts w:eastAsia="Times New Roman"/>
          <w:lang w:val="en-IN" w:eastAsia="en-IN"/>
        </w:rPr>
      </w:pPr>
      <w:r w:rsidRPr="00C0641F">
        <w:rPr>
          <w:rFonts w:eastAsia="Times New Roman"/>
          <w:lang w:val="en-IN" w:eastAsia="en-IN"/>
        </w:rPr>
        <w:lastRenderedPageBreak/>
        <w:t xml:space="preserve">Bengaluru’s </w:t>
      </w:r>
      <w:r w:rsidRPr="00C0641F">
        <w:rPr>
          <w:rFonts w:eastAsia="Times New Roman"/>
          <w:bCs/>
          <w:lang w:val="en-IN" w:eastAsia="en-IN"/>
        </w:rPr>
        <w:t>rise as India’s IT and biotechnology hub since the 1990s</w:t>
      </w:r>
      <w:r w:rsidRPr="00C0641F">
        <w:rPr>
          <w:rFonts w:eastAsia="Times New Roman"/>
          <w:lang w:val="en-IN" w:eastAsia="en-IN"/>
        </w:rPr>
        <w:t xml:space="preserve"> has attracted migrants from across the country. The city’s population grew by </w:t>
      </w:r>
      <w:r w:rsidRPr="00C0641F">
        <w:rPr>
          <w:rFonts w:eastAsia="Times New Roman"/>
          <w:bCs/>
          <w:lang w:val="en-IN" w:eastAsia="en-IN"/>
        </w:rPr>
        <w:t>47% in the 1990s</w:t>
      </w:r>
      <w:r w:rsidRPr="00C0641F">
        <w:rPr>
          <w:rFonts w:eastAsia="Times New Roman"/>
          <w:lang w:val="en-IN" w:eastAsia="en-IN"/>
        </w:rPr>
        <w:t xml:space="preserve"> and </w:t>
      </w:r>
      <w:r w:rsidRPr="00C0641F">
        <w:rPr>
          <w:rFonts w:eastAsia="Times New Roman"/>
          <w:bCs/>
          <w:lang w:val="en-IN" w:eastAsia="en-IN"/>
        </w:rPr>
        <w:t>35% in the 2000s</w:t>
      </w:r>
      <w:r w:rsidRPr="00C0641F">
        <w:rPr>
          <w:rFonts w:eastAsia="Times New Roman"/>
          <w:lang w:val="en-IN" w:eastAsia="en-IN"/>
        </w:rPr>
        <w:t xml:space="preserve">, significantly higher than national urbanization rates (BMRDA, 2017). Migration has transformed once </w:t>
      </w:r>
      <w:r w:rsidRPr="00C0641F">
        <w:rPr>
          <w:rFonts w:eastAsia="Times New Roman"/>
          <w:bCs/>
          <w:lang w:val="en-IN" w:eastAsia="en-IN"/>
        </w:rPr>
        <w:t>semi-rural areas into urban townships</w:t>
      </w:r>
      <w:r w:rsidRPr="00C0641F">
        <w:rPr>
          <w:rFonts w:eastAsia="Times New Roman"/>
          <w:lang w:val="en-IN" w:eastAsia="en-IN"/>
        </w:rPr>
        <w:t xml:space="preserve">; for instance, </w:t>
      </w:r>
      <w:r w:rsidRPr="00C0641F">
        <w:rPr>
          <w:rFonts w:eastAsia="Times New Roman"/>
          <w:bCs/>
          <w:lang w:val="en-IN" w:eastAsia="en-IN"/>
        </w:rPr>
        <w:t>Electronics City and Whitefield</w:t>
      </w:r>
      <w:r w:rsidR="001F7132">
        <w:rPr>
          <w:rFonts w:eastAsia="Times New Roman"/>
          <w:lang w:val="en-IN" w:eastAsia="en-IN"/>
        </w:rPr>
        <w:t xml:space="preserve"> formerly agricultural areas </w:t>
      </w:r>
      <w:r w:rsidRPr="00C0641F">
        <w:rPr>
          <w:rFonts w:eastAsia="Times New Roman"/>
          <w:lang w:val="en-IN" w:eastAsia="en-IN"/>
        </w:rPr>
        <w:t xml:space="preserve">are now </w:t>
      </w:r>
      <w:r w:rsidRPr="00C0641F">
        <w:rPr>
          <w:rFonts w:eastAsia="Times New Roman"/>
          <w:bCs/>
          <w:lang w:val="en-IN" w:eastAsia="en-IN"/>
        </w:rPr>
        <w:t>key IT corridors</w:t>
      </w:r>
      <w:r w:rsidRPr="00C0641F">
        <w:rPr>
          <w:rFonts w:eastAsia="Times New Roman"/>
          <w:lang w:val="en-IN" w:eastAsia="en-IN"/>
        </w:rPr>
        <w:t xml:space="preserve">. Census data indicates a </w:t>
      </w:r>
      <w:r w:rsidRPr="00C0641F">
        <w:rPr>
          <w:rFonts w:eastAsia="Times New Roman"/>
          <w:bCs/>
          <w:lang w:val="en-IN" w:eastAsia="en-IN"/>
        </w:rPr>
        <w:t>young workforce, high literacy rates (&gt;85%), and a service-industry-driven economy</w:t>
      </w:r>
      <w:r w:rsidRPr="00C0641F">
        <w:rPr>
          <w:rFonts w:eastAsia="Times New Roman"/>
          <w:lang w:val="en-IN" w:eastAsia="en-IN"/>
        </w:rPr>
        <w:t xml:space="preserve">. The expansion of Bengaluru’s employment base has led to </w:t>
      </w:r>
      <w:r w:rsidRPr="00C0641F">
        <w:rPr>
          <w:rFonts w:eastAsia="Times New Roman"/>
          <w:bCs/>
          <w:lang w:val="en-IN" w:eastAsia="en-IN"/>
        </w:rPr>
        <w:t>peri-urbanization</w:t>
      </w:r>
      <w:r w:rsidRPr="00C0641F">
        <w:rPr>
          <w:rFonts w:eastAsia="Times New Roman"/>
          <w:lang w:val="en-IN" w:eastAsia="en-IN"/>
        </w:rPr>
        <w:t xml:space="preserve">, with villages in BMR experiencing </w:t>
      </w:r>
      <w:r w:rsidRPr="00C0641F">
        <w:rPr>
          <w:rFonts w:eastAsia="Times New Roman"/>
          <w:bCs/>
          <w:lang w:val="en-IN" w:eastAsia="en-IN"/>
        </w:rPr>
        <w:t>conversion into residential, commercial, and industrial hubs</w:t>
      </w:r>
      <w:r w:rsidRPr="00C0641F">
        <w:rPr>
          <w:rFonts w:eastAsia="Times New Roman"/>
          <w:lang w:val="en-IN" w:eastAsia="en-IN"/>
        </w:rPr>
        <w:t xml:space="preserve">. However, </w:t>
      </w:r>
      <w:r w:rsidRPr="00C0641F">
        <w:rPr>
          <w:rFonts w:eastAsia="Times New Roman"/>
          <w:bCs/>
          <w:lang w:val="en-IN" w:eastAsia="en-IN"/>
        </w:rPr>
        <w:t>rural areas are shrinking</w:t>
      </w:r>
      <w:r w:rsidRPr="00C0641F">
        <w:rPr>
          <w:rFonts w:eastAsia="Times New Roman"/>
          <w:lang w:val="en-IN" w:eastAsia="en-IN"/>
        </w:rPr>
        <w:t xml:space="preserve"> in population share due to decreasing agricultural viability and rising land values.</w:t>
      </w:r>
    </w:p>
    <w:p w14:paraId="2725A6C7" w14:textId="77777777" w:rsidR="00C0641F" w:rsidRPr="00C0641F" w:rsidRDefault="001F7132" w:rsidP="001F7132">
      <w:pPr>
        <w:spacing w:after="120" w:line="276" w:lineRule="auto"/>
        <w:jc w:val="both"/>
        <w:rPr>
          <w:rFonts w:eastAsia="Times New Roman"/>
          <w:b/>
          <w:bCs/>
          <w:lang w:val="en-IN" w:eastAsia="en-IN"/>
        </w:rPr>
      </w:pPr>
      <w:r>
        <w:rPr>
          <w:rFonts w:eastAsia="Times New Roman"/>
          <w:b/>
          <w:bCs/>
          <w:lang w:val="en-IN" w:eastAsia="en-IN"/>
        </w:rPr>
        <w:t xml:space="preserve">4.4 </w:t>
      </w:r>
      <w:r w:rsidR="00C0641F" w:rsidRPr="00C0641F">
        <w:rPr>
          <w:rFonts w:eastAsia="Times New Roman"/>
          <w:b/>
          <w:bCs/>
          <w:lang w:val="en-IN" w:eastAsia="en-IN"/>
        </w:rPr>
        <w:t>Economic Structure and Regional Disparities</w:t>
      </w:r>
    </w:p>
    <w:p w14:paraId="6A7BE992" w14:textId="77777777" w:rsidR="00C0641F" w:rsidRPr="00C0641F" w:rsidRDefault="00C0641F" w:rsidP="004E4DD5">
      <w:pPr>
        <w:spacing w:after="120" w:line="276" w:lineRule="auto"/>
        <w:ind w:firstLine="720"/>
        <w:jc w:val="both"/>
        <w:rPr>
          <w:rFonts w:eastAsia="Times New Roman"/>
          <w:lang w:val="en-IN" w:eastAsia="en-IN"/>
        </w:rPr>
      </w:pPr>
      <w:r w:rsidRPr="00C0641F">
        <w:rPr>
          <w:rFonts w:eastAsia="Times New Roman"/>
          <w:lang w:val="en-IN" w:eastAsia="en-IN"/>
        </w:rPr>
        <w:t xml:space="preserve">Bengaluru city is the </w:t>
      </w:r>
      <w:r w:rsidRPr="00C0641F">
        <w:rPr>
          <w:rFonts w:eastAsia="Times New Roman"/>
          <w:bCs/>
          <w:lang w:val="en-IN" w:eastAsia="en-IN"/>
        </w:rPr>
        <w:t>economic nucleus of BMR</w:t>
      </w:r>
      <w:r w:rsidRPr="00C0641F">
        <w:rPr>
          <w:rFonts w:eastAsia="Times New Roman"/>
          <w:lang w:val="en-IN" w:eastAsia="en-IN"/>
        </w:rPr>
        <w:t xml:space="preserve">, hosting </w:t>
      </w:r>
      <w:r w:rsidRPr="00C0641F">
        <w:rPr>
          <w:rFonts w:eastAsia="Times New Roman"/>
          <w:bCs/>
          <w:lang w:val="en-IN" w:eastAsia="en-IN"/>
        </w:rPr>
        <w:t>major IT clusters, research institutions, and multinational corporations</w:t>
      </w:r>
      <w:r w:rsidRPr="00C0641F">
        <w:rPr>
          <w:rFonts w:eastAsia="Times New Roman"/>
          <w:lang w:val="en-IN" w:eastAsia="en-IN"/>
        </w:rPr>
        <w:t xml:space="preserve">. The </w:t>
      </w:r>
      <w:r w:rsidRPr="00C0641F">
        <w:rPr>
          <w:rFonts w:eastAsia="Times New Roman"/>
          <w:bCs/>
          <w:lang w:val="en-IN" w:eastAsia="en-IN"/>
        </w:rPr>
        <w:t>tech industry</w:t>
      </w:r>
      <w:r w:rsidRPr="00C0641F">
        <w:rPr>
          <w:rFonts w:eastAsia="Times New Roman"/>
          <w:lang w:val="en-IN" w:eastAsia="en-IN"/>
        </w:rPr>
        <w:t xml:space="preserve"> in the </w:t>
      </w:r>
      <w:r w:rsidRPr="00C0641F">
        <w:rPr>
          <w:rFonts w:eastAsia="Times New Roman"/>
          <w:bCs/>
          <w:lang w:val="en-IN" w:eastAsia="en-IN"/>
        </w:rPr>
        <w:t>southeastern (Whitefield, Marathahalli) and northern (Hebbal, Devanahalli) corridors</w:t>
      </w:r>
      <w:r w:rsidRPr="00C0641F">
        <w:rPr>
          <w:rFonts w:eastAsia="Times New Roman"/>
          <w:lang w:val="en-IN" w:eastAsia="en-IN"/>
        </w:rPr>
        <w:t xml:space="preserve"> has </w:t>
      </w:r>
      <w:proofErr w:type="spellStart"/>
      <w:r w:rsidRPr="00C0641F">
        <w:rPr>
          <w:rFonts w:eastAsia="Times New Roman"/>
          <w:lang w:val="en-IN" w:eastAsia="en-IN"/>
        </w:rPr>
        <w:t>fueled</w:t>
      </w:r>
      <w:proofErr w:type="spellEnd"/>
      <w:r w:rsidRPr="00C0641F">
        <w:rPr>
          <w:rFonts w:eastAsia="Times New Roman"/>
          <w:lang w:val="en-IN" w:eastAsia="en-IN"/>
        </w:rPr>
        <w:t xml:space="preserve"> high per capita income growth. However, economic benefits have been </w:t>
      </w:r>
      <w:r w:rsidRPr="00C0641F">
        <w:rPr>
          <w:rFonts w:eastAsia="Times New Roman"/>
          <w:bCs/>
          <w:lang w:val="en-IN" w:eastAsia="en-IN"/>
        </w:rPr>
        <w:t>unevenly distributed</w:t>
      </w:r>
      <w:r w:rsidRPr="00C0641F">
        <w:rPr>
          <w:rFonts w:eastAsia="Times New Roman"/>
          <w:lang w:val="en-IN" w:eastAsia="en-IN"/>
        </w:rPr>
        <w:t xml:space="preserve">. Peripheral regions remain </w:t>
      </w:r>
      <w:r w:rsidRPr="00C0641F">
        <w:rPr>
          <w:rFonts w:eastAsia="Times New Roman"/>
          <w:bCs/>
          <w:lang w:val="en-IN" w:eastAsia="en-IN"/>
        </w:rPr>
        <w:t>largely agrarian</w:t>
      </w:r>
      <w:r w:rsidRPr="00C0641F">
        <w:rPr>
          <w:rFonts w:eastAsia="Times New Roman"/>
          <w:lang w:val="en-IN" w:eastAsia="en-IN"/>
        </w:rPr>
        <w:t xml:space="preserve">, with </w:t>
      </w:r>
      <w:r w:rsidRPr="00C0641F">
        <w:rPr>
          <w:rFonts w:eastAsia="Times New Roman"/>
          <w:bCs/>
          <w:lang w:val="en-IN" w:eastAsia="en-IN"/>
        </w:rPr>
        <w:t>sericulture, horticulture, and small-scale industries</w:t>
      </w:r>
      <w:r w:rsidRPr="00C0641F">
        <w:rPr>
          <w:rFonts w:eastAsia="Times New Roman"/>
          <w:lang w:val="en-IN" w:eastAsia="en-IN"/>
        </w:rPr>
        <w:t xml:space="preserve"> dominating (e.g., </w:t>
      </w:r>
      <w:proofErr w:type="spellStart"/>
      <w:r w:rsidRPr="00C0641F">
        <w:rPr>
          <w:rFonts w:eastAsia="Times New Roman"/>
          <w:bCs/>
          <w:lang w:val="en-IN" w:eastAsia="en-IN"/>
        </w:rPr>
        <w:t>Ramanagara’s</w:t>
      </w:r>
      <w:proofErr w:type="spellEnd"/>
      <w:r w:rsidRPr="00C0641F">
        <w:rPr>
          <w:rFonts w:eastAsia="Times New Roman"/>
          <w:bCs/>
          <w:lang w:val="en-IN" w:eastAsia="en-IN"/>
        </w:rPr>
        <w:t xml:space="preserve"> silk market, </w:t>
      </w:r>
      <w:proofErr w:type="spellStart"/>
      <w:r w:rsidRPr="00C0641F">
        <w:rPr>
          <w:rFonts w:eastAsia="Times New Roman"/>
          <w:bCs/>
          <w:lang w:val="en-IN" w:eastAsia="en-IN"/>
        </w:rPr>
        <w:t>Kanakapura’s</w:t>
      </w:r>
      <w:proofErr w:type="spellEnd"/>
      <w:r w:rsidRPr="00C0641F">
        <w:rPr>
          <w:rFonts w:eastAsia="Times New Roman"/>
          <w:bCs/>
          <w:lang w:val="en-IN" w:eastAsia="en-IN"/>
        </w:rPr>
        <w:t xml:space="preserve"> granite quarries</w:t>
      </w:r>
      <w:r w:rsidRPr="00C0641F">
        <w:rPr>
          <w:rFonts w:eastAsia="Times New Roman"/>
          <w:lang w:val="en-IN" w:eastAsia="en-IN"/>
        </w:rPr>
        <w:t xml:space="preserve">). The </w:t>
      </w:r>
      <w:r w:rsidRPr="00C0641F">
        <w:rPr>
          <w:rFonts w:eastAsia="Times New Roman"/>
          <w:bCs/>
          <w:lang w:val="en-IN" w:eastAsia="en-IN"/>
        </w:rPr>
        <w:t>infrastructure divide</w:t>
      </w:r>
      <w:r w:rsidRPr="00C0641F">
        <w:rPr>
          <w:rFonts w:eastAsia="Times New Roman"/>
          <w:lang w:val="en-IN" w:eastAsia="en-IN"/>
        </w:rPr>
        <w:t xml:space="preserve"> is stark: while Bengaluru has an extensive (but congested) road network, </w:t>
      </w:r>
      <w:r w:rsidRPr="00C0641F">
        <w:rPr>
          <w:rFonts w:eastAsia="Times New Roman"/>
          <w:bCs/>
          <w:lang w:val="en-IN" w:eastAsia="en-IN"/>
        </w:rPr>
        <w:t>peripheral areas lack reliable public transport, consistent water supply, and quality education and healthcare facilities</w:t>
      </w:r>
      <w:r w:rsidRPr="00C0641F">
        <w:rPr>
          <w:rFonts w:eastAsia="Times New Roman"/>
          <w:lang w:val="en-IN" w:eastAsia="en-IN"/>
        </w:rPr>
        <w:t xml:space="preserve">. The </w:t>
      </w:r>
      <w:r w:rsidRPr="00C0641F">
        <w:rPr>
          <w:rFonts w:eastAsia="Times New Roman"/>
          <w:bCs/>
          <w:lang w:val="en-IN" w:eastAsia="en-IN"/>
        </w:rPr>
        <w:t>BMR Structure Plan 2031</w:t>
      </w:r>
      <w:r w:rsidRPr="00C0641F">
        <w:rPr>
          <w:rFonts w:eastAsia="Times New Roman"/>
          <w:lang w:val="en-IN" w:eastAsia="en-IN"/>
        </w:rPr>
        <w:t xml:space="preserve"> acknowledges this </w:t>
      </w:r>
      <w:r w:rsidRPr="00C0641F">
        <w:rPr>
          <w:rFonts w:eastAsia="Times New Roman"/>
          <w:bCs/>
          <w:lang w:val="en-IN" w:eastAsia="en-IN"/>
        </w:rPr>
        <w:t>core-periphery disparity</w:t>
      </w:r>
      <w:r w:rsidRPr="00C0641F">
        <w:rPr>
          <w:rFonts w:eastAsia="Times New Roman"/>
          <w:lang w:val="en-IN" w:eastAsia="en-IN"/>
        </w:rPr>
        <w:t xml:space="preserve"> and warns of </w:t>
      </w:r>
      <w:r w:rsidRPr="00C0641F">
        <w:rPr>
          <w:rFonts w:eastAsia="Times New Roman"/>
          <w:bCs/>
          <w:lang w:val="en-IN" w:eastAsia="en-IN"/>
        </w:rPr>
        <w:t>over-centralization risks</w:t>
      </w:r>
      <w:r w:rsidRPr="00C0641F">
        <w:rPr>
          <w:rFonts w:eastAsia="Times New Roman"/>
          <w:lang w:val="en-IN" w:eastAsia="en-IN"/>
        </w:rPr>
        <w:t xml:space="preserve"> (BMRDA, 2017).</w:t>
      </w:r>
    </w:p>
    <w:p w14:paraId="2EBC789B" w14:textId="77777777" w:rsidR="00C0641F" w:rsidRPr="00C0641F" w:rsidRDefault="001F7132" w:rsidP="001F7132">
      <w:pPr>
        <w:spacing w:after="120" w:line="276" w:lineRule="auto"/>
        <w:jc w:val="both"/>
        <w:rPr>
          <w:rFonts w:eastAsia="Times New Roman"/>
          <w:b/>
          <w:bCs/>
          <w:lang w:val="en-IN" w:eastAsia="en-IN"/>
        </w:rPr>
      </w:pPr>
      <w:r>
        <w:rPr>
          <w:rFonts w:eastAsia="Times New Roman"/>
          <w:b/>
          <w:bCs/>
          <w:lang w:val="en-IN" w:eastAsia="en-IN"/>
        </w:rPr>
        <w:t xml:space="preserve">4.5 </w:t>
      </w:r>
      <w:r w:rsidR="00C0641F" w:rsidRPr="00C0641F">
        <w:rPr>
          <w:rFonts w:eastAsia="Times New Roman"/>
          <w:b/>
          <w:bCs/>
          <w:lang w:val="en-IN" w:eastAsia="en-IN"/>
        </w:rPr>
        <w:t>Land Use and Urban Growth Patterns</w:t>
      </w:r>
    </w:p>
    <w:p w14:paraId="0F6BA1BC" w14:textId="77777777" w:rsidR="00C0641F" w:rsidRDefault="00C0641F" w:rsidP="004E4DD5">
      <w:pPr>
        <w:spacing w:after="120" w:line="276" w:lineRule="auto"/>
        <w:ind w:firstLine="720"/>
        <w:jc w:val="both"/>
        <w:rPr>
          <w:rFonts w:eastAsia="Times New Roman"/>
          <w:lang w:val="en-IN" w:eastAsia="en-IN"/>
        </w:rPr>
      </w:pPr>
      <w:r w:rsidRPr="00C0641F">
        <w:rPr>
          <w:rFonts w:eastAsia="Times New Roman"/>
          <w:lang w:val="en-IN" w:eastAsia="en-IN"/>
        </w:rPr>
        <w:t xml:space="preserve">Historically, BMR was </w:t>
      </w:r>
      <w:r w:rsidRPr="00C0641F">
        <w:rPr>
          <w:rFonts w:eastAsia="Times New Roman"/>
          <w:bCs/>
          <w:lang w:val="en-IN" w:eastAsia="en-IN"/>
        </w:rPr>
        <w:t>predominantly agricultural</w:t>
      </w:r>
      <w:r w:rsidRPr="00C0641F">
        <w:rPr>
          <w:rFonts w:eastAsia="Times New Roman"/>
          <w:lang w:val="en-IN" w:eastAsia="en-IN"/>
        </w:rPr>
        <w:t xml:space="preserve">, with built-up areas confined to </w:t>
      </w:r>
      <w:r w:rsidRPr="00C0641F">
        <w:rPr>
          <w:rFonts w:eastAsia="Times New Roman"/>
          <w:bCs/>
          <w:lang w:val="en-IN" w:eastAsia="en-IN"/>
        </w:rPr>
        <w:t>Bengaluru’s core</w:t>
      </w:r>
      <w:r w:rsidRPr="00C0641F">
        <w:rPr>
          <w:rFonts w:eastAsia="Times New Roman"/>
          <w:lang w:val="en-IN" w:eastAsia="en-IN"/>
        </w:rPr>
        <w:t xml:space="preserve">. In </w:t>
      </w:r>
      <w:r w:rsidRPr="00C0641F">
        <w:rPr>
          <w:rFonts w:eastAsia="Times New Roman"/>
          <w:bCs/>
          <w:lang w:val="en-IN" w:eastAsia="en-IN"/>
        </w:rPr>
        <w:t>2001, only ~800 km² was urban/built-up</w:t>
      </w:r>
      <w:r w:rsidRPr="00C0641F">
        <w:rPr>
          <w:rFonts w:eastAsia="Times New Roman"/>
          <w:lang w:val="en-IN" w:eastAsia="en-IN"/>
        </w:rPr>
        <w:t xml:space="preserve">, while </w:t>
      </w:r>
      <w:r w:rsidRPr="00C0641F">
        <w:rPr>
          <w:rFonts w:eastAsia="Times New Roman"/>
          <w:bCs/>
          <w:lang w:val="en-IN" w:eastAsia="en-IN"/>
        </w:rPr>
        <w:t>rural land covered over 7,000 km²</w:t>
      </w:r>
      <w:r w:rsidRPr="00C0641F">
        <w:rPr>
          <w:rFonts w:eastAsia="Times New Roman"/>
          <w:lang w:val="en-IN" w:eastAsia="en-IN"/>
        </w:rPr>
        <w:t xml:space="preserve"> (BMRDA, 2017). However, rapid </w:t>
      </w:r>
      <w:r w:rsidRPr="00C0641F">
        <w:rPr>
          <w:rFonts w:eastAsia="Times New Roman"/>
          <w:bCs/>
          <w:lang w:val="en-IN" w:eastAsia="en-IN"/>
        </w:rPr>
        <w:t>urban expansion</w:t>
      </w:r>
      <w:r w:rsidRPr="00C0641F">
        <w:rPr>
          <w:rFonts w:eastAsia="Times New Roman"/>
          <w:lang w:val="en-IN" w:eastAsia="en-IN"/>
        </w:rPr>
        <w:t xml:space="preserve"> has reshaped the landscape. By </w:t>
      </w:r>
      <w:r w:rsidRPr="00C0641F">
        <w:rPr>
          <w:rFonts w:eastAsia="Times New Roman"/>
          <w:bCs/>
          <w:lang w:val="en-IN" w:eastAsia="en-IN"/>
        </w:rPr>
        <w:t xml:space="preserve">2020, extensive farmland in Bengaluru Rural and </w:t>
      </w:r>
      <w:proofErr w:type="spellStart"/>
      <w:r w:rsidRPr="00C0641F">
        <w:rPr>
          <w:rFonts w:eastAsia="Times New Roman"/>
          <w:bCs/>
          <w:lang w:val="en-IN" w:eastAsia="en-IN"/>
        </w:rPr>
        <w:t>Ramanagara</w:t>
      </w:r>
      <w:proofErr w:type="spellEnd"/>
      <w:r w:rsidRPr="00C0641F">
        <w:rPr>
          <w:rFonts w:eastAsia="Times New Roman"/>
          <w:bCs/>
          <w:lang w:val="en-IN" w:eastAsia="en-IN"/>
        </w:rPr>
        <w:t xml:space="preserve"> had urbanized</w:t>
      </w:r>
      <w:r w:rsidRPr="00C0641F">
        <w:rPr>
          <w:rFonts w:eastAsia="Times New Roman"/>
          <w:lang w:val="en-IN" w:eastAsia="en-IN"/>
        </w:rPr>
        <w:t xml:space="preserve">, particularly along </w:t>
      </w:r>
      <w:r w:rsidRPr="00C0641F">
        <w:rPr>
          <w:rFonts w:eastAsia="Times New Roman"/>
          <w:bCs/>
          <w:lang w:val="en-IN" w:eastAsia="en-IN"/>
        </w:rPr>
        <w:t>major highways</w:t>
      </w:r>
      <w:r w:rsidRPr="00C0641F">
        <w:rPr>
          <w:rFonts w:eastAsia="Times New Roman"/>
          <w:lang w:val="en-IN" w:eastAsia="en-IN"/>
        </w:rPr>
        <w:t xml:space="preserve"> (Tumkur Road NH4, Mysore Road NH275, Old Madras Road NH75, and Bellary Road NH7). The </w:t>
      </w:r>
      <w:r w:rsidRPr="00C0641F">
        <w:rPr>
          <w:rFonts w:eastAsia="Times New Roman"/>
          <w:bCs/>
          <w:lang w:val="en-IN" w:eastAsia="en-IN"/>
        </w:rPr>
        <w:t>BMR Structure Plan</w:t>
      </w:r>
      <w:r w:rsidRPr="00C0641F">
        <w:rPr>
          <w:rFonts w:eastAsia="Times New Roman"/>
          <w:lang w:val="en-IN" w:eastAsia="en-IN"/>
        </w:rPr>
        <w:t xml:space="preserve"> outlines </w:t>
      </w:r>
      <w:r w:rsidRPr="00C0641F">
        <w:rPr>
          <w:rFonts w:eastAsia="Times New Roman"/>
          <w:bCs/>
          <w:lang w:val="en-IN" w:eastAsia="en-IN"/>
        </w:rPr>
        <w:t>planned growth corridors and new townships</w:t>
      </w:r>
      <w:r w:rsidRPr="00C0641F">
        <w:rPr>
          <w:rFonts w:eastAsia="Times New Roman"/>
          <w:lang w:val="en-IN" w:eastAsia="en-IN"/>
        </w:rPr>
        <w:t xml:space="preserve"> to manage expansion, while </w:t>
      </w:r>
      <w:r w:rsidRPr="00C0641F">
        <w:rPr>
          <w:rFonts w:eastAsia="Times New Roman"/>
          <w:bCs/>
          <w:lang w:val="en-IN" w:eastAsia="en-IN"/>
        </w:rPr>
        <w:t>green belts</w:t>
      </w:r>
      <w:r w:rsidRPr="00C0641F">
        <w:rPr>
          <w:rFonts w:eastAsia="Times New Roman"/>
          <w:lang w:val="en-IN" w:eastAsia="en-IN"/>
        </w:rPr>
        <w:t xml:space="preserve"> are designated to </w:t>
      </w:r>
      <w:r w:rsidRPr="00C0641F">
        <w:rPr>
          <w:rFonts w:eastAsia="Times New Roman"/>
          <w:bCs/>
          <w:lang w:val="en-IN" w:eastAsia="en-IN"/>
        </w:rPr>
        <w:t>contain sprawl</w:t>
      </w:r>
      <w:r w:rsidRPr="00C0641F">
        <w:rPr>
          <w:rFonts w:eastAsia="Times New Roman"/>
          <w:lang w:val="en-IN" w:eastAsia="en-IN"/>
        </w:rPr>
        <w:t>, though enforcement remains weak.</w:t>
      </w:r>
    </w:p>
    <w:p w14:paraId="2F287174" w14:textId="77777777" w:rsidR="004E4DD5" w:rsidRDefault="004E4DD5" w:rsidP="001F7132">
      <w:pPr>
        <w:spacing w:after="120" w:line="276" w:lineRule="auto"/>
        <w:ind w:firstLine="720"/>
        <w:jc w:val="both"/>
        <w:rPr>
          <w:rFonts w:eastAsia="Times New Roman"/>
          <w:lang w:val="en-IN" w:eastAsia="en-IN"/>
        </w:rPr>
      </w:pPr>
    </w:p>
    <w:p w14:paraId="3D9545E8" w14:textId="77777777" w:rsidR="004E4DD5" w:rsidRDefault="004E4DD5" w:rsidP="001F7132">
      <w:pPr>
        <w:spacing w:after="120" w:line="276" w:lineRule="auto"/>
        <w:ind w:firstLine="720"/>
        <w:jc w:val="both"/>
        <w:rPr>
          <w:rFonts w:eastAsia="Times New Roman"/>
          <w:lang w:val="en-IN" w:eastAsia="en-IN"/>
        </w:rPr>
      </w:pPr>
    </w:p>
    <w:p w14:paraId="22A7BC29" w14:textId="77777777" w:rsidR="004E4DD5" w:rsidRDefault="004E4DD5" w:rsidP="001F7132">
      <w:pPr>
        <w:spacing w:after="120" w:line="276" w:lineRule="auto"/>
        <w:ind w:firstLine="720"/>
        <w:jc w:val="both"/>
        <w:rPr>
          <w:rFonts w:eastAsia="Times New Roman"/>
          <w:lang w:val="en-IN" w:eastAsia="en-IN"/>
        </w:rPr>
      </w:pPr>
    </w:p>
    <w:p w14:paraId="17EA336F" w14:textId="77777777" w:rsidR="004E4DD5" w:rsidRDefault="004E4DD5" w:rsidP="001F7132">
      <w:pPr>
        <w:spacing w:after="120" w:line="276" w:lineRule="auto"/>
        <w:ind w:firstLine="720"/>
        <w:jc w:val="both"/>
        <w:rPr>
          <w:rFonts w:eastAsia="Times New Roman"/>
          <w:lang w:val="en-IN" w:eastAsia="en-IN"/>
        </w:rPr>
      </w:pPr>
    </w:p>
    <w:p w14:paraId="0EC3E831" w14:textId="77777777" w:rsidR="004E4DD5" w:rsidRDefault="004E4DD5" w:rsidP="001F7132">
      <w:pPr>
        <w:spacing w:after="120" w:line="276" w:lineRule="auto"/>
        <w:ind w:firstLine="720"/>
        <w:jc w:val="both"/>
        <w:rPr>
          <w:rFonts w:eastAsia="Times New Roman"/>
          <w:lang w:val="en-IN" w:eastAsia="en-IN"/>
        </w:rPr>
      </w:pPr>
    </w:p>
    <w:p w14:paraId="0CAF627E" w14:textId="77777777" w:rsidR="004E4DD5" w:rsidRPr="00C0641F" w:rsidRDefault="004E4DD5" w:rsidP="001F7132">
      <w:pPr>
        <w:spacing w:after="120" w:line="276" w:lineRule="auto"/>
        <w:ind w:firstLine="720"/>
        <w:jc w:val="both"/>
        <w:rPr>
          <w:rFonts w:eastAsia="Times New Roman"/>
          <w:lang w:val="en-IN" w:eastAsia="en-IN"/>
        </w:rPr>
      </w:pPr>
    </w:p>
    <w:p w14:paraId="3F622236" w14:textId="77777777" w:rsidR="00C0641F" w:rsidRPr="00C0641F" w:rsidRDefault="001F7132" w:rsidP="001F7132">
      <w:pPr>
        <w:spacing w:after="120" w:line="276" w:lineRule="auto"/>
        <w:jc w:val="both"/>
        <w:rPr>
          <w:rFonts w:eastAsia="Times New Roman"/>
          <w:b/>
          <w:bCs/>
          <w:lang w:val="en-IN" w:eastAsia="en-IN"/>
        </w:rPr>
      </w:pPr>
      <w:r>
        <w:rPr>
          <w:rFonts w:eastAsia="Times New Roman"/>
          <w:b/>
          <w:bCs/>
          <w:lang w:val="en-IN" w:eastAsia="en-IN"/>
        </w:rPr>
        <w:t xml:space="preserve">4.6 </w:t>
      </w:r>
      <w:r w:rsidR="00C0641F" w:rsidRPr="00C0641F">
        <w:rPr>
          <w:rFonts w:eastAsia="Times New Roman"/>
          <w:b/>
          <w:bCs/>
          <w:lang w:val="en-IN" w:eastAsia="en-IN"/>
        </w:rPr>
        <w:t>Environmental and Planning Challenges</w:t>
      </w:r>
    </w:p>
    <w:p w14:paraId="32C7526D" w14:textId="77777777" w:rsidR="00C0641F" w:rsidRPr="00C0641F" w:rsidRDefault="00C0641F" w:rsidP="004E4DD5">
      <w:pPr>
        <w:spacing w:after="120" w:line="276" w:lineRule="auto"/>
        <w:ind w:firstLine="720"/>
        <w:jc w:val="both"/>
        <w:rPr>
          <w:rFonts w:eastAsia="Times New Roman"/>
          <w:lang w:val="en-IN" w:eastAsia="en-IN"/>
        </w:rPr>
      </w:pPr>
      <w:r w:rsidRPr="00C0641F">
        <w:rPr>
          <w:rFonts w:eastAsia="Times New Roman"/>
          <w:lang w:val="en-IN" w:eastAsia="en-IN"/>
        </w:rPr>
        <w:t xml:space="preserve">BMR’s </w:t>
      </w:r>
      <w:r w:rsidRPr="00C0641F">
        <w:rPr>
          <w:rFonts w:eastAsia="Times New Roman"/>
          <w:bCs/>
          <w:lang w:val="en-IN" w:eastAsia="en-IN"/>
        </w:rPr>
        <w:t>environmental assets include forested areas like Bannerghatta National Park and interconnected lake systems</w:t>
      </w:r>
      <w:r w:rsidRPr="00C0641F">
        <w:rPr>
          <w:rFonts w:eastAsia="Times New Roman"/>
          <w:lang w:val="en-IN" w:eastAsia="en-IN"/>
        </w:rPr>
        <w:t xml:space="preserve">. However, Bengaluru has lost </w:t>
      </w:r>
      <w:r w:rsidRPr="00C0641F">
        <w:rPr>
          <w:rFonts w:eastAsia="Times New Roman"/>
          <w:bCs/>
          <w:lang w:val="en-IN" w:eastAsia="en-IN"/>
        </w:rPr>
        <w:t>over 80% of its lakes since the 1960s</w:t>
      </w:r>
      <w:r w:rsidRPr="00C0641F">
        <w:rPr>
          <w:rFonts w:eastAsia="Times New Roman"/>
          <w:lang w:val="en-IN" w:eastAsia="en-IN"/>
        </w:rPr>
        <w:t xml:space="preserve">, with severe implications for </w:t>
      </w:r>
      <w:r w:rsidRPr="00C0641F">
        <w:rPr>
          <w:rFonts w:eastAsia="Times New Roman"/>
          <w:bCs/>
          <w:lang w:val="en-IN" w:eastAsia="en-IN"/>
        </w:rPr>
        <w:t>groundwater recharge, flooding, and ecosystem stability</w:t>
      </w:r>
      <w:r w:rsidRPr="00C0641F">
        <w:rPr>
          <w:rFonts w:eastAsia="Times New Roman"/>
          <w:lang w:val="en-IN" w:eastAsia="en-IN"/>
        </w:rPr>
        <w:t xml:space="preserve"> (Ramachandra et al., 2016). Encroachments and pollution have drastically reduced the number </w:t>
      </w:r>
      <w:r w:rsidRPr="00C0641F">
        <w:rPr>
          <w:rFonts w:eastAsia="Times New Roman"/>
          <w:lang w:val="en-IN" w:eastAsia="en-IN"/>
        </w:rPr>
        <w:lastRenderedPageBreak/>
        <w:t xml:space="preserve">of </w:t>
      </w:r>
      <w:r w:rsidRPr="00C0641F">
        <w:rPr>
          <w:rFonts w:eastAsia="Times New Roman"/>
          <w:bCs/>
          <w:lang w:val="en-IN" w:eastAsia="en-IN"/>
        </w:rPr>
        <w:t>healthy lakes</w:t>
      </w:r>
      <w:r w:rsidRPr="00C0641F">
        <w:rPr>
          <w:rFonts w:eastAsia="Times New Roman"/>
          <w:lang w:val="en-IN" w:eastAsia="en-IN"/>
        </w:rPr>
        <w:t xml:space="preserve">, threatening BMR’s </w:t>
      </w:r>
      <w:r w:rsidRPr="00C0641F">
        <w:rPr>
          <w:rFonts w:eastAsia="Times New Roman"/>
          <w:bCs/>
          <w:lang w:val="en-IN" w:eastAsia="en-IN"/>
        </w:rPr>
        <w:t>water security</w:t>
      </w:r>
      <w:r w:rsidRPr="00C0641F">
        <w:rPr>
          <w:rFonts w:eastAsia="Times New Roman"/>
          <w:lang w:val="en-IN" w:eastAsia="en-IN"/>
        </w:rPr>
        <w:t xml:space="preserve">. Governance remains fragmented; BMR falls under the </w:t>
      </w:r>
      <w:r w:rsidRPr="00C0641F">
        <w:rPr>
          <w:rFonts w:eastAsia="Times New Roman"/>
          <w:bCs/>
          <w:lang w:val="en-IN" w:eastAsia="en-IN"/>
        </w:rPr>
        <w:t>Bangalore Metropolitan Region Development Authority (BMRDA)</w:t>
      </w:r>
      <w:r w:rsidRPr="00C0641F">
        <w:rPr>
          <w:rFonts w:eastAsia="Times New Roman"/>
          <w:lang w:val="en-IN" w:eastAsia="en-IN"/>
        </w:rPr>
        <w:t xml:space="preserve">, but planning responsibilities are shared across </w:t>
      </w:r>
      <w:r w:rsidRPr="00C0641F">
        <w:rPr>
          <w:rFonts w:eastAsia="Times New Roman"/>
          <w:bCs/>
          <w:lang w:val="en-IN" w:eastAsia="en-IN"/>
        </w:rPr>
        <w:t>multiple agencies (BBMP, BDA, BMRDA, urban local bodies)</w:t>
      </w:r>
      <w:r w:rsidRPr="00C0641F">
        <w:rPr>
          <w:rFonts w:eastAsia="Times New Roman"/>
          <w:lang w:val="en-IN" w:eastAsia="en-IN"/>
        </w:rPr>
        <w:t xml:space="preserve">, often leading to </w:t>
      </w:r>
      <w:r w:rsidRPr="00C0641F">
        <w:rPr>
          <w:rFonts w:eastAsia="Times New Roman"/>
          <w:bCs/>
          <w:lang w:val="en-IN" w:eastAsia="en-IN"/>
        </w:rPr>
        <w:t>uncoordinated development</w:t>
      </w:r>
      <w:r w:rsidRPr="00C0641F">
        <w:rPr>
          <w:rFonts w:eastAsia="Times New Roman"/>
          <w:lang w:val="en-IN" w:eastAsia="en-IN"/>
        </w:rPr>
        <w:t>.</w:t>
      </w:r>
    </w:p>
    <w:p w14:paraId="23B1ED27" w14:textId="77777777" w:rsidR="00C0641F" w:rsidRPr="00C0641F" w:rsidRDefault="00C0641F" w:rsidP="004E4DD5">
      <w:pPr>
        <w:spacing w:after="120" w:line="276" w:lineRule="auto"/>
        <w:ind w:firstLine="720"/>
        <w:jc w:val="both"/>
        <w:rPr>
          <w:rFonts w:eastAsia="Times New Roman"/>
          <w:lang w:val="en-IN" w:eastAsia="en-IN"/>
        </w:rPr>
      </w:pPr>
      <w:r w:rsidRPr="00C0641F">
        <w:rPr>
          <w:rFonts w:eastAsia="Times New Roman"/>
          <w:lang w:val="en-IN" w:eastAsia="en-IN"/>
        </w:rPr>
        <w:t xml:space="preserve">BMR is undergoing </w:t>
      </w:r>
      <w:r w:rsidRPr="00C0641F">
        <w:rPr>
          <w:rFonts w:eastAsia="Times New Roman"/>
          <w:bCs/>
          <w:lang w:val="en-IN" w:eastAsia="en-IN"/>
        </w:rPr>
        <w:t>intense urban transformation</w:t>
      </w:r>
      <w:r w:rsidRPr="00C0641F">
        <w:rPr>
          <w:rFonts w:eastAsia="Times New Roman"/>
          <w:lang w:val="en-IN" w:eastAsia="en-IN"/>
        </w:rPr>
        <w:t xml:space="preserve">, largely shaped by </w:t>
      </w:r>
      <w:r w:rsidRPr="00C0641F">
        <w:rPr>
          <w:rFonts w:eastAsia="Times New Roman"/>
          <w:bCs/>
          <w:lang w:val="en-IN" w:eastAsia="en-IN"/>
        </w:rPr>
        <w:t>Bengaluru’s economic pull</w:t>
      </w:r>
      <w:r w:rsidRPr="00C0641F">
        <w:rPr>
          <w:rFonts w:eastAsia="Times New Roman"/>
          <w:lang w:val="en-IN" w:eastAsia="en-IN"/>
        </w:rPr>
        <w:t xml:space="preserve">. The </w:t>
      </w:r>
      <w:r w:rsidRPr="00C0641F">
        <w:rPr>
          <w:rFonts w:eastAsia="Times New Roman"/>
          <w:bCs/>
          <w:lang w:val="en-IN" w:eastAsia="en-IN"/>
        </w:rPr>
        <w:t>concentration of population and economic activities in the core</w:t>
      </w:r>
      <w:r w:rsidRPr="00C0641F">
        <w:rPr>
          <w:rFonts w:eastAsia="Times New Roman"/>
          <w:lang w:val="en-IN" w:eastAsia="en-IN"/>
        </w:rPr>
        <w:t xml:space="preserve"> has resulted in </w:t>
      </w:r>
      <w:r w:rsidRPr="00C0641F">
        <w:rPr>
          <w:rFonts w:eastAsia="Times New Roman"/>
          <w:bCs/>
          <w:lang w:val="en-IN" w:eastAsia="en-IN"/>
        </w:rPr>
        <w:t>land use changes, rural-to-urban transitions, and environmental concerns</w:t>
      </w:r>
      <w:r w:rsidRPr="00C0641F">
        <w:rPr>
          <w:rFonts w:eastAsia="Times New Roman"/>
          <w:lang w:val="en-IN" w:eastAsia="en-IN"/>
        </w:rPr>
        <w:t xml:space="preserve">. The </w:t>
      </w:r>
      <w:r w:rsidRPr="00C0641F">
        <w:rPr>
          <w:rFonts w:eastAsia="Times New Roman"/>
          <w:bCs/>
          <w:lang w:val="en-IN" w:eastAsia="en-IN"/>
        </w:rPr>
        <w:t>imbalance between Bengaluru’s growth and the underdevelopment of surrounding regions</w:t>
      </w:r>
      <w:r w:rsidRPr="00C0641F">
        <w:rPr>
          <w:rFonts w:eastAsia="Times New Roman"/>
          <w:lang w:val="en-IN" w:eastAsia="en-IN"/>
        </w:rPr>
        <w:t xml:space="preserve"> poses significant planning challenges. This study captures these trends through </w:t>
      </w:r>
      <w:r w:rsidRPr="00C0641F">
        <w:rPr>
          <w:rFonts w:eastAsia="Times New Roman"/>
          <w:bCs/>
          <w:lang w:val="en-IN" w:eastAsia="en-IN"/>
        </w:rPr>
        <w:t>LULC analysis, highlighting how land use dynamics have evolved in response to demographic and economic shifts</w:t>
      </w:r>
      <w:r w:rsidRPr="00C0641F">
        <w:rPr>
          <w:rFonts w:eastAsia="Times New Roman"/>
          <w:lang w:val="en-IN" w:eastAsia="en-IN"/>
        </w:rPr>
        <w:t xml:space="preserve">. The findings offer insights for </w:t>
      </w:r>
      <w:r w:rsidRPr="00C0641F">
        <w:rPr>
          <w:rFonts w:eastAsia="Times New Roman"/>
          <w:bCs/>
          <w:lang w:val="en-IN" w:eastAsia="en-IN"/>
        </w:rPr>
        <w:t>future urban planning strategies</w:t>
      </w:r>
      <w:r w:rsidRPr="00C0641F">
        <w:rPr>
          <w:rFonts w:eastAsia="Times New Roman"/>
          <w:lang w:val="en-IN" w:eastAsia="en-IN"/>
        </w:rPr>
        <w:t xml:space="preserve">, emphasizing the need for </w:t>
      </w:r>
      <w:r w:rsidRPr="00C0641F">
        <w:rPr>
          <w:rFonts w:eastAsia="Times New Roman"/>
          <w:bCs/>
          <w:lang w:val="en-IN" w:eastAsia="en-IN"/>
        </w:rPr>
        <w:t>balanced regional growth, environmental sustainability, and improved metropolitan governance</w:t>
      </w:r>
      <w:r w:rsidRPr="00C0641F">
        <w:rPr>
          <w:rFonts w:eastAsia="Times New Roman"/>
          <w:lang w:val="en-IN" w:eastAsia="en-IN"/>
        </w:rPr>
        <w:t>.</w:t>
      </w:r>
    </w:p>
    <w:p w14:paraId="7BE3A491" w14:textId="77777777" w:rsidR="001F7132" w:rsidRDefault="001F7132" w:rsidP="001F7132">
      <w:pPr>
        <w:spacing w:before="100" w:beforeAutospacing="1" w:after="100" w:afterAutospacing="1"/>
        <w:jc w:val="both"/>
        <w:rPr>
          <w:rFonts w:eastAsia="Times New Roman"/>
          <w:b/>
          <w:bCs/>
          <w:lang w:eastAsia="en-IN"/>
        </w:rPr>
      </w:pPr>
      <w:r w:rsidRPr="001F7132">
        <w:rPr>
          <w:rFonts w:eastAsia="Times New Roman"/>
          <w:b/>
          <w:bCs/>
          <w:lang w:eastAsia="en-IN"/>
        </w:rPr>
        <w:t xml:space="preserve">V. </w:t>
      </w:r>
      <w:r>
        <w:rPr>
          <w:rFonts w:eastAsia="Times New Roman"/>
          <w:b/>
          <w:bCs/>
          <w:lang w:eastAsia="en-IN"/>
        </w:rPr>
        <w:t>RESULTS AND DISCUSSIONS</w:t>
      </w:r>
    </w:p>
    <w:p w14:paraId="672D3FBE" w14:textId="77777777" w:rsidR="004A254E" w:rsidRPr="004A254E" w:rsidRDefault="004A254E" w:rsidP="004E4DD5">
      <w:pPr>
        <w:spacing w:before="100" w:beforeAutospacing="1" w:after="100" w:afterAutospacing="1" w:line="276" w:lineRule="auto"/>
        <w:ind w:firstLine="720"/>
        <w:jc w:val="both"/>
        <w:rPr>
          <w:rFonts w:eastAsia="Times New Roman"/>
          <w:bCs/>
          <w:lang w:val="en-IN" w:eastAsia="en-IN"/>
        </w:rPr>
      </w:pPr>
      <w:r w:rsidRPr="004A254E">
        <w:rPr>
          <w:rFonts w:eastAsia="Times New Roman"/>
          <w:bCs/>
          <w:lang w:val="en-IN" w:eastAsia="en-IN"/>
        </w:rPr>
        <w:t>The land use and land cover (LULC) analysis of Bengaluru Metropolitan Region (BMR) from 1990 to 2023 reveals profound transformations driven by urban expansion, economic growth, and demographic pressures. The findings indicate a substantial increase in built-up areas, a reduction in agricultural and vegetated lands, and fragmentation of water bodies and wetlands. These shifts reflect broader urbanization trends observed in other rapidly developing metropolitan regions in India and globally (Ramachandra &amp; Aithal, 2016).</w:t>
      </w:r>
    </w:p>
    <w:p w14:paraId="4DF3399C" w14:textId="77777777" w:rsidR="004A254E" w:rsidRDefault="004A254E" w:rsidP="004A254E">
      <w:pPr>
        <w:spacing w:before="100" w:beforeAutospacing="1" w:after="100" w:afterAutospacing="1"/>
        <w:jc w:val="both"/>
        <w:rPr>
          <w:rFonts w:eastAsia="Times New Roman"/>
          <w:b/>
          <w:bCs/>
          <w:lang w:val="en-IN" w:eastAsia="en-IN"/>
        </w:rPr>
      </w:pPr>
      <w:r w:rsidRPr="004A254E">
        <w:rPr>
          <w:rFonts w:eastAsia="Times New Roman"/>
          <w:b/>
          <w:bCs/>
          <w:lang w:val="en-IN" w:eastAsia="en-IN"/>
        </w:rPr>
        <w:t>5.1 Land Use Changes from 1990 to 2000</w:t>
      </w:r>
    </w:p>
    <w:p w14:paraId="06F5EA7F" w14:textId="77777777" w:rsidR="001F758F" w:rsidRDefault="001F758F" w:rsidP="004E4DD5">
      <w:pPr>
        <w:spacing w:after="120" w:line="276" w:lineRule="auto"/>
        <w:ind w:firstLine="720"/>
        <w:jc w:val="both"/>
        <w:rPr>
          <w:rFonts w:eastAsia="Times New Roman"/>
          <w:bCs/>
          <w:lang w:eastAsia="en-IN"/>
        </w:rPr>
      </w:pPr>
      <w:r w:rsidRPr="001F758F">
        <w:rPr>
          <w:rFonts w:eastAsia="Times New Roman"/>
          <w:bCs/>
          <w:lang w:eastAsia="en-IN"/>
        </w:rPr>
        <w:t>The LULC maps for 1990 and 2000</w:t>
      </w:r>
      <w:r w:rsidR="00964828">
        <w:rPr>
          <w:rFonts w:eastAsia="Times New Roman"/>
          <w:bCs/>
          <w:lang w:eastAsia="en-IN"/>
        </w:rPr>
        <w:t xml:space="preserve"> given in figure 2</w:t>
      </w:r>
      <w:r w:rsidRPr="001F758F">
        <w:rPr>
          <w:rFonts w:eastAsia="Times New Roman"/>
          <w:bCs/>
          <w:lang w:eastAsia="en-IN"/>
        </w:rPr>
        <w:t xml:space="preserve"> illustrate the initial stages of Bengaluru’s metropolitan expansion. In 1990, built-up land was concentrated primarily within the municipal limits, with smaller urban pockets in towns like Yelahanka and </w:t>
      </w:r>
      <w:proofErr w:type="spellStart"/>
      <w:r w:rsidRPr="001F758F">
        <w:rPr>
          <w:rFonts w:eastAsia="Times New Roman"/>
          <w:bCs/>
          <w:lang w:eastAsia="en-IN"/>
        </w:rPr>
        <w:t>Hosakote</w:t>
      </w:r>
      <w:proofErr w:type="spellEnd"/>
      <w:r w:rsidRPr="001F758F">
        <w:rPr>
          <w:rFonts w:eastAsia="Times New Roman"/>
          <w:bCs/>
          <w:lang w:eastAsia="en-IN"/>
        </w:rPr>
        <w:t xml:space="preserve">. The surrounding region was dominated by agriculture, tree cover, and numerous water bodies. By 2000, urban expansion had become more pronounced along major highways, particularly towards Whitefield in the east and along Hosur Road in the south. The built-up area increased from approximately 280 km² in 1990 to 659 km² in 2000, more than doubling within a decade (BMRDA, 2017). </w:t>
      </w:r>
    </w:p>
    <w:p w14:paraId="2331AEEE" w14:textId="77777777" w:rsidR="001F758F" w:rsidRDefault="001F758F" w:rsidP="004E4DD5">
      <w:pPr>
        <w:spacing w:after="120" w:line="276" w:lineRule="auto"/>
        <w:ind w:firstLine="720"/>
        <w:jc w:val="both"/>
        <w:rPr>
          <w:rFonts w:eastAsia="Times New Roman"/>
          <w:bCs/>
          <w:lang w:eastAsia="en-IN"/>
        </w:rPr>
      </w:pPr>
      <w:r w:rsidRPr="001F758F">
        <w:rPr>
          <w:rFonts w:eastAsia="Times New Roman"/>
          <w:bCs/>
          <w:lang w:eastAsia="en-IN"/>
        </w:rPr>
        <w:t>This period saw early signs of unplanned growth, including fragmented suburban developments beyond the contiguous city. The Bangalore Development Authority’s 1995 Comprehensive Development Plan had designated some areas for planned expansion, particularly along the Outer Ring Road, which subsequently developed as expected. However, unplanned peripheral growth also began emerging, setting the stage for future urban sprawl</w:t>
      </w:r>
      <w:r w:rsidR="00DC6B27">
        <w:rPr>
          <w:rFonts w:eastAsia="Times New Roman"/>
          <w:bCs/>
          <w:lang w:eastAsia="en-IN"/>
        </w:rPr>
        <w:t>.</w:t>
      </w:r>
    </w:p>
    <w:p w14:paraId="44109B0E" w14:textId="77777777" w:rsidR="00964828" w:rsidRDefault="004E4DD5" w:rsidP="004E4DD5">
      <w:pPr>
        <w:spacing w:line="276" w:lineRule="auto"/>
        <w:jc w:val="center"/>
        <w:rPr>
          <w:rFonts w:eastAsia="Times New Roman"/>
          <w:b/>
          <w:bCs/>
          <w:lang w:val="en-IN" w:eastAsia="en-IN"/>
        </w:rPr>
      </w:pPr>
      <w:r>
        <w:rPr>
          <w:rFonts w:eastAsia="Times New Roman"/>
          <w:bCs/>
          <w:noProof/>
          <w:lang w:val="en-IN" w:eastAsia="en-IN"/>
        </w:rPr>
        <w:lastRenderedPageBreak/>
        <w:drawing>
          <wp:anchor distT="0" distB="0" distL="114300" distR="114300" simplePos="0" relativeHeight="251659264" behindDoc="1" locked="0" layoutInCell="1" allowOverlap="1" wp14:anchorId="2871E0F0" wp14:editId="33CF2A22">
            <wp:simplePos x="0" y="0"/>
            <wp:positionH relativeFrom="column">
              <wp:posOffset>-1078865</wp:posOffset>
            </wp:positionH>
            <wp:positionV relativeFrom="paragraph">
              <wp:posOffset>1265555</wp:posOffset>
            </wp:positionV>
            <wp:extent cx="8290560" cy="5759450"/>
            <wp:effectExtent l="8255" t="0" r="4445" b="4445"/>
            <wp:wrapTight wrapText="bothSides">
              <wp:wrapPolygon edited="0">
                <wp:start x="21578" y="-31"/>
                <wp:lineTo x="38" y="-31"/>
                <wp:lineTo x="38" y="21545"/>
                <wp:lineTo x="21578" y="21545"/>
                <wp:lineTo x="21578" y="-31"/>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ULC_1990_2000.jpg"/>
                    <pic:cNvPicPr/>
                  </pic:nvPicPr>
                  <pic:blipFill rotWithShape="1">
                    <a:blip r:embed="rId8" cstate="print">
                      <a:extLst>
                        <a:ext uri="{28A0092B-C50C-407E-A947-70E740481C1C}">
                          <a14:useLocalDpi xmlns:a14="http://schemas.microsoft.com/office/drawing/2010/main" val="0"/>
                        </a:ext>
                      </a:extLst>
                    </a:blip>
                    <a:srcRect l="1326" t="3431" r="1793" b="1373"/>
                    <a:stretch/>
                  </pic:blipFill>
                  <pic:spPr bwMode="auto">
                    <a:xfrm rot="16200000">
                      <a:off x="0" y="0"/>
                      <a:ext cx="8290560" cy="5759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2F8B">
        <w:rPr>
          <w:rFonts w:eastAsia="Times New Roman"/>
          <w:b/>
          <w:bCs/>
          <w:lang w:val="en-IN" w:eastAsia="en-IN"/>
        </w:rPr>
        <w:t xml:space="preserve">Figure 2: </w:t>
      </w:r>
      <w:r w:rsidR="00571DA6">
        <w:rPr>
          <w:rFonts w:eastAsia="Times New Roman"/>
          <w:b/>
          <w:bCs/>
          <w:lang w:val="en-IN" w:eastAsia="en-IN"/>
        </w:rPr>
        <w:t>Comparative</w:t>
      </w:r>
      <w:r w:rsidR="000A2F8B">
        <w:rPr>
          <w:rFonts w:eastAsia="Times New Roman"/>
          <w:b/>
          <w:bCs/>
          <w:lang w:val="en-IN" w:eastAsia="en-IN"/>
        </w:rPr>
        <w:t xml:space="preserve"> Analysis of LULC of BMR </w:t>
      </w:r>
      <w:r w:rsidR="00571DA6">
        <w:rPr>
          <w:rFonts w:eastAsia="Times New Roman"/>
          <w:b/>
          <w:bCs/>
          <w:lang w:val="en-IN" w:eastAsia="en-IN"/>
        </w:rPr>
        <w:t>(</w:t>
      </w:r>
      <w:r w:rsidR="000A2F8B">
        <w:rPr>
          <w:rFonts w:eastAsia="Times New Roman"/>
          <w:b/>
          <w:bCs/>
          <w:lang w:val="en-IN" w:eastAsia="en-IN"/>
        </w:rPr>
        <w:t>1990-2000</w:t>
      </w:r>
      <w:r w:rsidR="00571DA6">
        <w:rPr>
          <w:rFonts w:eastAsia="Times New Roman"/>
          <w:b/>
          <w:bCs/>
          <w:lang w:val="en-IN" w:eastAsia="en-IN"/>
        </w:rPr>
        <w:t>)</w:t>
      </w:r>
    </w:p>
    <w:p w14:paraId="4C194393" w14:textId="77777777" w:rsidR="00964828" w:rsidRPr="00571DA6" w:rsidRDefault="00571DA6" w:rsidP="004E4DD5">
      <w:pPr>
        <w:jc w:val="center"/>
        <w:rPr>
          <w:rFonts w:eastAsia="Times New Roman"/>
          <w:bCs/>
          <w:lang w:val="en-IN" w:eastAsia="en-IN"/>
        </w:rPr>
      </w:pPr>
      <w:r w:rsidRPr="00571DA6">
        <w:rPr>
          <w:rFonts w:eastAsia="Times New Roman"/>
          <w:bCs/>
          <w:lang w:val="en-IN" w:eastAsia="en-IN"/>
        </w:rPr>
        <w:t>(Source: Author using GIS)</w:t>
      </w:r>
    </w:p>
    <w:p w14:paraId="00422FEE" w14:textId="77777777" w:rsidR="004A254E" w:rsidRPr="004A254E" w:rsidRDefault="004A254E" w:rsidP="004A254E">
      <w:pPr>
        <w:spacing w:before="100" w:beforeAutospacing="1" w:after="100" w:afterAutospacing="1"/>
        <w:jc w:val="both"/>
        <w:rPr>
          <w:rFonts w:eastAsia="Times New Roman"/>
          <w:b/>
          <w:bCs/>
          <w:lang w:val="en-IN" w:eastAsia="en-IN"/>
        </w:rPr>
      </w:pPr>
      <w:r w:rsidRPr="004A254E">
        <w:rPr>
          <w:rFonts w:eastAsia="Times New Roman"/>
          <w:b/>
          <w:bCs/>
          <w:lang w:val="en-IN" w:eastAsia="en-IN"/>
        </w:rPr>
        <w:lastRenderedPageBreak/>
        <w:t>5.2 Accelerated Urbanization from 2000 to 2020</w:t>
      </w:r>
    </w:p>
    <w:p w14:paraId="0635628E" w14:textId="77777777" w:rsidR="00964828" w:rsidRPr="004A254E" w:rsidRDefault="004A254E" w:rsidP="008A70F6">
      <w:pPr>
        <w:spacing w:after="120" w:line="276" w:lineRule="auto"/>
        <w:ind w:firstLine="720"/>
        <w:jc w:val="both"/>
        <w:rPr>
          <w:rFonts w:eastAsia="Times New Roman"/>
          <w:bCs/>
          <w:lang w:val="en-IN" w:eastAsia="en-IN"/>
        </w:rPr>
      </w:pPr>
      <w:r w:rsidRPr="004A254E">
        <w:rPr>
          <w:rFonts w:eastAsia="Times New Roman"/>
          <w:bCs/>
          <w:lang w:val="en-IN" w:eastAsia="en-IN"/>
        </w:rPr>
        <w:t xml:space="preserve">The 2000s and 2010s marked a dramatic shift in BMR’s urban footprint, characterized by intensified land conversion and rapid suburbanization. Between 2000 and 2010, the built-up area expanded from 659 km² to 874 km², with major growth corridors emerging in Whitefield, Electronics City, and Devanahalli. The </w:t>
      </w:r>
      <w:proofErr w:type="spellStart"/>
      <w:r w:rsidRPr="004A254E">
        <w:rPr>
          <w:rFonts w:eastAsia="Times New Roman"/>
          <w:bCs/>
          <w:lang w:val="en-IN" w:eastAsia="en-IN"/>
        </w:rPr>
        <w:t>Kempegowda</w:t>
      </w:r>
      <w:proofErr w:type="spellEnd"/>
      <w:r w:rsidRPr="004A254E">
        <w:rPr>
          <w:rFonts w:eastAsia="Times New Roman"/>
          <w:bCs/>
          <w:lang w:val="en-IN" w:eastAsia="en-IN"/>
        </w:rPr>
        <w:t xml:space="preserve"> International Airport, operational since 2008, further accelerated urbanization along Bellary Road, prompting real estate development in previously rural areas. This period witnessed large-scale conversion of agricultural land into residential and commercial layouts, particularly within a 20–30 km radius of the city </w:t>
      </w:r>
      <w:proofErr w:type="spellStart"/>
      <w:r w:rsidRPr="004A254E">
        <w:rPr>
          <w:rFonts w:eastAsia="Times New Roman"/>
          <w:bCs/>
          <w:lang w:val="en-IN" w:eastAsia="en-IN"/>
        </w:rPr>
        <w:t>center</w:t>
      </w:r>
      <w:proofErr w:type="spellEnd"/>
      <w:r w:rsidRPr="004A254E">
        <w:rPr>
          <w:rFonts w:eastAsia="Times New Roman"/>
          <w:bCs/>
          <w:lang w:val="en-IN" w:eastAsia="en-IN"/>
        </w:rPr>
        <w:t>.</w:t>
      </w:r>
      <w:r w:rsidR="009E405F">
        <w:rPr>
          <w:rFonts w:eastAsia="Times New Roman"/>
          <w:bCs/>
          <w:lang w:val="en-IN" w:eastAsia="en-IN"/>
        </w:rPr>
        <w:t xml:space="preserve"> </w:t>
      </w:r>
    </w:p>
    <w:p w14:paraId="491291B1" w14:textId="77777777" w:rsidR="004A254E" w:rsidRDefault="004A254E" w:rsidP="0061467B">
      <w:pPr>
        <w:spacing w:after="120" w:line="276" w:lineRule="auto"/>
        <w:ind w:firstLine="720"/>
        <w:jc w:val="both"/>
        <w:rPr>
          <w:rFonts w:eastAsia="Times New Roman"/>
          <w:bCs/>
          <w:lang w:val="en-IN" w:eastAsia="en-IN"/>
        </w:rPr>
      </w:pPr>
      <w:r w:rsidRPr="004A254E">
        <w:rPr>
          <w:rFonts w:eastAsia="Times New Roman"/>
          <w:bCs/>
          <w:lang w:val="en-IN" w:eastAsia="en-IN"/>
        </w:rPr>
        <w:t>Between 2010 and 2020,</w:t>
      </w:r>
      <w:r w:rsidR="0061467B" w:rsidRPr="0061467B">
        <w:rPr>
          <w:rFonts w:eastAsia="Times New Roman"/>
          <w:bCs/>
          <w:lang w:val="en-IN" w:eastAsia="en-IN"/>
        </w:rPr>
        <w:t xml:space="preserve"> (Figure 3)</w:t>
      </w:r>
      <w:r w:rsidRPr="004A254E">
        <w:rPr>
          <w:rFonts w:eastAsia="Times New Roman"/>
          <w:bCs/>
          <w:lang w:val="en-IN" w:eastAsia="en-IN"/>
        </w:rPr>
        <w:t xml:space="preserve"> urban expansion intensified significantly, with built-up land nearly doubling in a single decade</w:t>
      </w:r>
      <w:r w:rsidR="00571DA6">
        <w:rPr>
          <w:rFonts w:eastAsia="Times New Roman"/>
          <w:bCs/>
          <w:lang w:val="en-IN" w:eastAsia="en-IN"/>
        </w:rPr>
        <w:t xml:space="preserve"> </w:t>
      </w:r>
      <w:r w:rsidRPr="004A254E">
        <w:rPr>
          <w:rFonts w:eastAsia="Times New Roman"/>
          <w:bCs/>
          <w:lang w:val="en-IN" w:eastAsia="en-IN"/>
        </w:rPr>
        <w:t xml:space="preserve">from 874 km² in 2010 to 1,773 km² by 2020 (BMRDA, 2020). The urban fabric expanded well beyond BBMP limits, incorporating towns such as </w:t>
      </w:r>
      <w:proofErr w:type="spellStart"/>
      <w:r w:rsidRPr="004A254E">
        <w:rPr>
          <w:rFonts w:eastAsia="Times New Roman"/>
          <w:bCs/>
          <w:lang w:val="en-IN" w:eastAsia="en-IN"/>
        </w:rPr>
        <w:t>Nelamangala</w:t>
      </w:r>
      <w:proofErr w:type="spellEnd"/>
      <w:r w:rsidRPr="004A254E">
        <w:rPr>
          <w:rFonts w:eastAsia="Times New Roman"/>
          <w:bCs/>
          <w:lang w:val="en-IN" w:eastAsia="en-IN"/>
        </w:rPr>
        <w:t xml:space="preserve"> (northwest), </w:t>
      </w:r>
      <w:proofErr w:type="spellStart"/>
      <w:r w:rsidRPr="004A254E">
        <w:rPr>
          <w:rFonts w:eastAsia="Times New Roman"/>
          <w:bCs/>
          <w:lang w:val="en-IN" w:eastAsia="en-IN"/>
        </w:rPr>
        <w:t>Doddaballapur</w:t>
      </w:r>
      <w:proofErr w:type="spellEnd"/>
      <w:r w:rsidRPr="004A254E">
        <w:rPr>
          <w:rFonts w:eastAsia="Times New Roman"/>
          <w:bCs/>
          <w:lang w:val="en-IN" w:eastAsia="en-IN"/>
        </w:rPr>
        <w:t xml:space="preserve"> (north), Hoskote (east), and Bidadi (southwest). Development followed a star-shaped growth pattern, radiating outward from Bengaluru along major transport corridors (Ramachandra &amp; Bharath, 2017). The fragmentation of green spaces became more evident, with once-contiguous forested areas and plantations reduced to isolated patches.</w:t>
      </w:r>
      <w:r w:rsidR="0061467B">
        <w:rPr>
          <w:rFonts w:eastAsia="Times New Roman"/>
          <w:bCs/>
          <w:lang w:val="en-IN" w:eastAsia="en-IN"/>
        </w:rPr>
        <w:t xml:space="preserve"> </w:t>
      </w:r>
    </w:p>
    <w:p w14:paraId="686C0CAD" w14:textId="77777777" w:rsidR="009E405F" w:rsidRPr="009E405F" w:rsidRDefault="009E405F" w:rsidP="008A70F6">
      <w:pPr>
        <w:spacing w:before="100" w:beforeAutospacing="1" w:after="100" w:afterAutospacing="1"/>
        <w:jc w:val="both"/>
        <w:rPr>
          <w:rFonts w:eastAsia="Times New Roman"/>
          <w:b/>
          <w:bCs/>
          <w:lang w:val="en-IN" w:eastAsia="en-IN"/>
        </w:rPr>
      </w:pPr>
      <w:r>
        <w:rPr>
          <w:rFonts w:eastAsia="Times New Roman"/>
          <w:b/>
          <w:bCs/>
          <w:lang w:val="en-IN" w:eastAsia="en-IN"/>
        </w:rPr>
        <w:t xml:space="preserve">5.3 </w:t>
      </w:r>
      <w:r w:rsidRPr="009E405F">
        <w:rPr>
          <w:rFonts w:eastAsia="Times New Roman"/>
          <w:b/>
          <w:bCs/>
          <w:lang w:val="en-IN" w:eastAsia="en-IN"/>
        </w:rPr>
        <w:t>Land Use and Land Cover Analysis of Bengaluru Metropolitan Region (2023)</w:t>
      </w:r>
    </w:p>
    <w:p w14:paraId="142F2696" w14:textId="77777777" w:rsidR="009E405F" w:rsidRPr="009E405F" w:rsidRDefault="009E405F" w:rsidP="008A70F6">
      <w:pPr>
        <w:spacing w:after="120" w:line="276" w:lineRule="auto"/>
        <w:ind w:firstLine="720"/>
        <w:jc w:val="both"/>
        <w:rPr>
          <w:rFonts w:eastAsia="Times New Roman"/>
          <w:bCs/>
          <w:lang w:val="en-IN" w:eastAsia="en-IN"/>
        </w:rPr>
      </w:pPr>
      <w:r w:rsidRPr="009E405F">
        <w:rPr>
          <w:rFonts w:eastAsia="Times New Roman"/>
          <w:bCs/>
          <w:lang w:val="en-IN" w:eastAsia="en-IN"/>
        </w:rPr>
        <w:t>The land use and land cover (LULC) analysis for 2023</w:t>
      </w:r>
      <w:r>
        <w:rPr>
          <w:rFonts w:eastAsia="Times New Roman"/>
          <w:bCs/>
          <w:lang w:val="en-IN" w:eastAsia="en-IN"/>
        </w:rPr>
        <w:t xml:space="preserve"> given in Figure 4, </w:t>
      </w:r>
      <w:r w:rsidRPr="009E405F">
        <w:rPr>
          <w:rFonts w:eastAsia="Times New Roman"/>
          <w:bCs/>
          <w:lang w:val="en-IN" w:eastAsia="en-IN"/>
        </w:rPr>
        <w:t>highlights the ongoing transformation of the Bengaluru Metropolitan Region (BMR), characterized by rapid urban expansion and significant shifts in land categories. According to the data, built-up land covers approximately 202,521 hectares, accounting for a substantial increase from previous decades. This expansion has primarily occurred at the expense of agricultural land and rangelands, with cropland occupying 337,640 hectares and rangelands covering 162,033 hectares. The tree cover, at 79,505 hectares, has experienced further fragmentation, while water bodies (17,913 hectares) continue to decline due to encroachments and urban sprawl.</w:t>
      </w:r>
    </w:p>
    <w:p w14:paraId="6FE804E2" w14:textId="77777777" w:rsidR="009E405F" w:rsidRPr="009E405F" w:rsidRDefault="009E405F" w:rsidP="008A70F6">
      <w:pPr>
        <w:spacing w:after="120" w:line="276" w:lineRule="auto"/>
        <w:ind w:firstLine="720"/>
        <w:jc w:val="both"/>
        <w:rPr>
          <w:rFonts w:eastAsia="Times New Roman"/>
          <w:bCs/>
          <w:lang w:val="en-IN" w:eastAsia="en-IN"/>
        </w:rPr>
      </w:pPr>
      <w:r w:rsidRPr="009E405F">
        <w:rPr>
          <w:rFonts w:eastAsia="Times New Roman"/>
          <w:bCs/>
          <w:lang w:val="en-IN" w:eastAsia="en-IN"/>
        </w:rPr>
        <w:t xml:space="preserve">The spatial pattern of urban growth in 2023 indicates intensification in core areas and outward expansion along major corridors. Peripheral towns such as Hoskote, </w:t>
      </w:r>
      <w:proofErr w:type="spellStart"/>
      <w:r w:rsidRPr="009E405F">
        <w:rPr>
          <w:rFonts w:eastAsia="Times New Roman"/>
          <w:bCs/>
          <w:lang w:val="en-IN" w:eastAsia="en-IN"/>
        </w:rPr>
        <w:t>Doddaballapur</w:t>
      </w:r>
      <w:proofErr w:type="spellEnd"/>
      <w:r w:rsidRPr="009E405F">
        <w:rPr>
          <w:rFonts w:eastAsia="Times New Roman"/>
          <w:bCs/>
          <w:lang w:val="en-IN" w:eastAsia="en-IN"/>
        </w:rPr>
        <w:t>, and Bidadi have undergone increased urbanization, reflecting Bengaluru’s expanding metropolitan footprint. The persistent conversion of agricultural land into urban land suggests a decline in farming activities, with many plots transitioning into residential, commercial, and industrial uses. Additionally, flooded vegetation has shrunk to 1,423 hectares, indicating further depletion of wetlands, which may have implications for groundwater recharge and urban flooding.</w:t>
      </w:r>
    </w:p>
    <w:p w14:paraId="33103B60" w14:textId="77777777" w:rsidR="009E405F" w:rsidRPr="009E405F" w:rsidRDefault="009E405F" w:rsidP="008A70F6">
      <w:pPr>
        <w:spacing w:after="120" w:line="276" w:lineRule="auto"/>
        <w:ind w:firstLine="720"/>
        <w:jc w:val="both"/>
        <w:rPr>
          <w:rFonts w:eastAsia="Times New Roman"/>
          <w:bCs/>
          <w:lang w:val="en-IN" w:eastAsia="en-IN"/>
        </w:rPr>
      </w:pPr>
      <w:r w:rsidRPr="009E405F">
        <w:rPr>
          <w:rFonts w:eastAsia="Times New Roman"/>
          <w:bCs/>
          <w:lang w:val="en-IN" w:eastAsia="en-IN"/>
        </w:rPr>
        <w:t>These findings underscore the need for sustainable urban planning and stronger land-use regulations to mitigate uncontrolled urban sprawl while ensuring the preservation of ecological assets in BMR.</w:t>
      </w:r>
    </w:p>
    <w:p w14:paraId="10C2B3A9" w14:textId="77777777" w:rsidR="00D8449C" w:rsidRDefault="00D8449C" w:rsidP="008A70F6">
      <w:pPr>
        <w:spacing w:after="120" w:line="276" w:lineRule="auto"/>
        <w:ind w:firstLine="720"/>
        <w:jc w:val="both"/>
        <w:rPr>
          <w:rFonts w:eastAsia="Times New Roman"/>
          <w:bCs/>
          <w:lang w:val="en-IN" w:eastAsia="en-IN"/>
        </w:rPr>
      </w:pPr>
    </w:p>
    <w:p w14:paraId="18730F72" w14:textId="77777777" w:rsidR="00D8449C" w:rsidRDefault="00D8449C" w:rsidP="008A70F6">
      <w:pPr>
        <w:spacing w:after="120" w:line="276" w:lineRule="auto"/>
        <w:ind w:firstLine="720"/>
        <w:jc w:val="both"/>
        <w:rPr>
          <w:rFonts w:eastAsia="Times New Roman"/>
          <w:bCs/>
          <w:lang w:val="en-IN" w:eastAsia="en-IN"/>
        </w:rPr>
      </w:pPr>
    </w:p>
    <w:p w14:paraId="112452F9" w14:textId="77777777" w:rsidR="00161835" w:rsidRPr="00161835" w:rsidRDefault="00161835" w:rsidP="00161835">
      <w:pPr>
        <w:ind w:firstLine="720"/>
        <w:jc w:val="center"/>
        <w:rPr>
          <w:rFonts w:eastAsia="Times New Roman"/>
          <w:b/>
          <w:bCs/>
          <w:lang w:val="en-IN" w:eastAsia="en-IN"/>
        </w:rPr>
      </w:pPr>
      <w:r w:rsidRPr="00161835">
        <w:rPr>
          <w:rFonts w:eastAsia="Times New Roman"/>
          <w:b/>
          <w:bCs/>
          <w:noProof/>
          <w:lang w:val="en-IN" w:eastAsia="en-IN"/>
        </w:rPr>
        <w:lastRenderedPageBreak/>
        <w:drawing>
          <wp:anchor distT="0" distB="0" distL="114300" distR="114300" simplePos="0" relativeHeight="251660288" behindDoc="1" locked="0" layoutInCell="1" allowOverlap="1" wp14:anchorId="2D90371D" wp14:editId="109F286F">
            <wp:simplePos x="0" y="0"/>
            <wp:positionH relativeFrom="column">
              <wp:posOffset>-1205230</wp:posOffset>
            </wp:positionH>
            <wp:positionV relativeFrom="paragraph">
              <wp:posOffset>1259840</wp:posOffset>
            </wp:positionV>
            <wp:extent cx="8279130" cy="5759450"/>
            <wp:effectExtent l="2540" t="0" r="0" b="0"/>
            <wp:wrapTight wrapText="bothSides">
              <wp:wrapPolygon edited="0">
                <wp:start x="21593" y="-10"/>
                <wp:lineTo x="73" y="-10"/>
                <wp:lineTo x="73" y="21495"/>
                <wp:lineTo x="21593" y="21495"/>
                <wp:lineTo x="21593" y="-1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ULC_2010_2020.jpg"/>
                    <pic:cNvPicPr/>
                  </pic:nvPicPr>
                  <pic:blipFill rotWithShape="1">
                    <a:blip r:embed="rId9" cstate="print">
                      <a:extLst>
                        <a:ext uri="{28A0092B-C50C-407E-A947-70E740481C1C}">
                          <a14:useLocalDpi xmlns:a14="http://schemas.microsoft.com/office/drawing/2010/main" val="0"/>
                        </a:ext>
                      </a:extLst>
                    </a:blip>
                    <a:srcRect l="1196" t="3949" r="2682" b="1473"/>
                    <a:stretch/>
                  </pic:blipFill>
                  <pic:spPr bwMode="auto">
                    <a:xfrm rot="16200000">
                      <a:off x="0" y="0"/>
                      <a:ext cx="8279130" cy="5759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b/>
          <w:bCs/>
          <w:lang w:val="en-IN" w:eastAsia="en-IN"/>
        </w:rPr>
        <w:t>Figure 3</w:t>
      </w:r>
      <w:r w:rsidRPr="00161835">
        <w:rPr>
          <w:rFonts w:eastAsia="Times New Roman"/>
          <w:b/>
          <w:bCs/>
          <w:lang w:val="en-IN" w:eastAsia="en-IN"/>
        </w:rPr>
        <w:t>: Comparati</w:t>
      </w:r>
      <w:r w:rsidR="009E405F">
        <w:rPr>
          <w:rFonts w:eastAsia="Times New Roman"/>
          <w:b/>
          <w:bCs/>
          <w:lang w:val="en-IN" w:eastAsia="en-IN"/>
        </w:rPr>
        <w:t>ve Analysis of LULC of BMR (2010-202</w:t>
      </w:r>
      <w:r w:rsidRPr="00161835">
        <w:rPr>
          <w:rFonts w:eastAsia="Times New Roman"/>
          <w:b/>
          <w:bCs/>
          <w:lang w:val="en-IN" w:eastAsia="en-IN"/>
        </w:rPr>
        <w:t>0)</w:t>
      </w:r>
    </w:p>
    <w:p w14:paraId="398FC3AB" w14:textId="77777777" w:rsidR="00D8449C" w:rsidRDefault="00161835" w:rsidP="00161835">
      <w:pPr>
        <w:ind w:firstLine="720"/>
        <w:jc w:val="center"/>
        <w:rPr>
          <w:rFonts w:eastAsia="Times New Roman"/>
          <w:bCs/>
          <w:lang w:val="en-IN" w:eastAsia="en-IN"/>
        </w:rPr>
      </w:pPr>
      <w:r w:rsidRPr="00161835">
        <w:rPr>
          <w:rFonts w:eastAsia="Times New Roman"/>
          <w:bCs/>
          <w:lang w:val="en-IN" w:eastAsia="en-IN"/>
        </w:rPr>
        <w:t>(Source: Author using GIS)</w:t>
      </w:r>
    </w:p>
    <w:p w14:paraId="5B524D36" w14:textId="77777777" w:rsidR="009E405F" w:rsidRDefault="009E405F" w:rsidP="009E405F">
      <w:pPr>
        <w:ind w:firstLine="720"/>
        <w:jc w:val="center"/>
        <w:rPr>
          <w:rFonts w:eastAsia="Times New Roman"/>
          <w:bCs/>
          <w:lang w:val="en-IN" w:eastAsia="en-IN"/>
        </w:rPr>
      </w:pPr>
    </w:p>
    <w:p w14:paraId="7F690580" w14:textId="77777777" w:rsidR="009E405F" w:rsidRPr="009E405F" w:rsidRDefault="009E405F" w:rsidP="009E405F">
      <w:pPr>
        <w:ind w:firstLine="720"/>
        <w:jc w:val="center"/>
        <w:rPr>
          <w:rFonts w:eastAsia="Times New Roman"/>
          <w:b/>
          <w:bCs/>
          <w:lang w:val="en-IN" w:eastAsia="en-IN"/>
        </w:rPr>
      </w:pPr>
      <w:r w:rsidRPr="009E405F">
        <w:rPr>
          <w:rFonts w:eastAsia="Times New Roman"/>
          <w:b/>
          <w:bCs/>
          <w:noProof/>
          <w:lang w:val="en-IN" w:eastAsia="en-IN"/>
        </w:rPr>
        <w:lastRenderedPageBreak/>
        <w:drawing>
          <wp:anchor distT="0" distB="0" distL="114300" distR="114300" simplePos="0" relativeHeight="251661312" behindDoc="1" locked="0" layoutInCell="1" allowOverlap="1" wp14:anchorId="44DED615" wp14:editId="33C7C077">
            <wp:simplePos x="0" y="0"/>
            <wp:positionH relativeFrom="column">
              <wp:posOffset>312420</wp:posOffset>
            </wp:positionH>
            <wp:positionV relativeFrom="paragraph">
              <wp:posOffset>578</wp:posOffset>
            </wp:positionV>
            <wp:extent cx="5760000" cy="8251240"/>
            <wp:effectExtent l="0" t="0" r="0" b="0"/>
            <wp:wrapTight wrapText="bothSides">
              <wp:wrapPolygon edited="0">
                <wp:start x="0" y="0"/>
                <wp:lineTo x="0" y="21543"/>
                <wp:lineTo x="21505" y="21543"/>
                <wp:lineTo x="2150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ULC_2024.jpg"/>
                    <pic:cNvPicPr/>
                  </pic:nvPicPr>
                  <pic:blipFill rotWithShape="1">
                    <a:blip r:embed="rId10" cstate="print">
                      <a:extLst>
                        <a:ext uri="{28A0092B-C50C-407E-A947-70E740481C1C}">
                          <a14:useLocalDpi xmlns:a14="http://schemas.microsoft.com/office/drawing/2010/main" val="0"/>
                        </a:ext>
                      </a:extLst>
                    </a:blip>
                    <a:srcRect l="1861" t="846" r="1618" b="1386"/>
                    <a:stretch/>
                  </pic:blipFill>
                  <pic:spPr bwMode="auto">
                    <a:xfrm>
                      <a:off x="0" y="0"/>
                      <a:ext cx="5760000" cy="8251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b/>
          <w:bCs/>
          <w:lang w:val="en-IN" w:eastAsia="en-IN"/>
        </w:rPr>
        <w:t>Figure 4: LULC Map of BMR-2023</w:t>
      </w:r>
    </w:p>
    <w:p w14:paraId="7B050D7C" w14:textId="77777777" w:rsidR="00D8449C" w:rsidRDefault="009E405F" w:rsidP="009E405F">
      <w:pPr>
        <w:ind w:firstLine="720"/>
        <w:jc w:val="center"/>
        <w:rPr>
          <w:rFonts w:eastAsia="Times New Roman"/>
          <w:bCs/>
          <w:lang w:val="en-IN" w:eastAsia="en-IN"/>
        </w:rPr>
      </w:pPr>
      <w:r w:rsidRPr="009E405F">
        <w:rPr>
          <w:rFonts w:eastAsia="Times New Roman"/>
          <w:bCs/>
          <w:lang w:val="en-IN" w:eastAsia="en-IN"/>
        </w:rPr>
        <w:t>(Source: Author using GIS)</w:t>
      </w:r>
    </w:p>
    <w:p w14:paraId="0BE35658" w14:textId="77777777" w:rsidR="00D8449C" w:rsidRDefault="00D8449C" w:rsidP="001F758F">
      <w:pPr>
        <w:spacing w:before="100" w:beforeAutospacing="1" w:after="100" w:afterAutospacing="1"/>
        <w:ind w:firstLine="720"/>
        <w:jc w:val="both"/>
        <w:rPr>
          <w:rFonts w:eastAsia="Times New Roman"/>
          <w:bCs/>
          <w:lang w:val="en-IN" w:eastAsia="en-IN"/>
        </w:rPr>
      </w:pPr>
    </w:p>
    <w:p w14:paraId="2B743108" w14:textId="77777777" w:rsidR="004A254E" w:rsidRPr="004A254E" w:rsidRDefault="00E00491" w:rsidP="004A254E">
      <w:pPr>
        <w:spacing w:before="100" w:beforeAutospacing="1" w:after="100" w:afterAutospacing="1"/>
        <w:jc w:val="both"/>
        <w:rPr>
          <w:rFonts w:eastAsia="Times New Roman"/>
          <w:b/>
          <w:bCs/>
          <w:lang w:val="en-IN" w:eastAsia="en-IN"/>
        </w:rPr>
      </w:pPr>
      <w:r>
        <w:rPr>
          <w:rFonts w:eastAsia="Times New Roman"/>
          <w:b/>
          <w:bCs/>
          <w:lang w:val="en-IN" w:eastAsia="en-IN"/>
        </w:rPr>
        <w:lastRenderedPageBreak/>
        <w:t>5.4</w:t>
      </w:r>
      <w:r w:rsidR="004A254E" w:rsidRPr="004A254E">
        <w:rPr>
          <w:rFonts w:eastAsia="Times New Roman"/>
          <w:b/>
          <w:bCs/>
          <w:lang w:val="en-IN" w:eastAsia="en-IN"/>
        </w:rPr>
        <w:t xml:space="preserve"> Transformation of Land Cover Classes</w:t>
      </w:r>
    </w:p>
    <w:p w14:paraId="2389C930" w14:textId="77777777" w:rsidR="004A254E" w:rsidRDefault="004A254E" w:rsidP="0061467B">
      <w:pPr>
        <w:spacing w:before="100" w:beforeAutospacing="1" w:after="100" w:afterAutospacing="1"/>
        <w:ind w:firstLine="720"/>
        <w:jc w:val="both"/>
        <w:rPr>
          <w:rFonts w:eastAsia="Times New Roman"/>
          <w:bCs/>
          <w:lang w:val="en-IN" w:eastAsia="en-IN"/>
        </w:rPr>
      </w:pPr>
      <w:r w:rsidRPr="004A254E">
        <w:rPr>
          <w:rFonts w:eastAsia="Times New Roman"/>
          <w:bCs/>
          <w:lang w:val="en-IN" w:eastAsia="en-IN"/>
        </w:rPr>
        <w:t xml:space="preserve">The land use statistics over time </w:t>
      </w:r>
      <w:r w:rsidR="0077630E">
        <w:rPr>
          <w:rFonts w:eastAsia="Times New Roman"/>
          <w:bCs/>
          <w:lang w:val="en-IN" w:eastAsia="en-IN"/>
        </w:rPr>
        <w:t>given</w:t>
      </w:r>
      <w:r w:rsidR="00571DA6">
        <w:rPr>
          <w:rFonts w:eastAsia="Times New Roman"/>
          <w:bCs/>
          <w:lang w:val="en-IN" w:eastAsia="en-IN"/>
        </w:rPr>
        <w:t xml:space="preserve"> in Table 1 </w:t>
      </w:r>
      <w:r w:rsidRPr="004A254E">
        <w:rPr>
          <w:rFonts w:eastAsia="Times New Roman"/>
          <w:bCs/>
          <w:lang w:val="en-IN" w:eastAsia="en-IN"/>
        </w:rPr>
        <w:t>highlight major shifts in the regional landscape:</w:t>
      </w:r>
    </w:p>
    <w:p w14:paraId="77F802A3" w14:textId="77777777" w:rsidR="00DB0CCA" w:rsidRPr="00D05D7E" w:rsidRDefault="00DB0CCA" w:rsidP="00DB0CCA">
      <w:pPr>
        <w:spacing w:before="100" w:beforeAutospacing="1" w:after="100" w:afterAutospacing="1"/>
        <w:jc w:val="center"/>
        <w:rPr>
          <w:rFonts w:eastAsia="Times New Roman"/>
          <w:b/>
          <w:bCs/>
          <w:lang w:val="en-IN" w:eastAsia="en-IN"/>
        </w:rPr>
      </w:pPr>
      <w:r w:rsidRPr="00D05D7E">
        <w:rPr>
          <w:rFonts w:eastAsia="Times New Roman"/>
          <w:b/>
          <w:bCs/>
          <w:lang w:val="en-IN" w:eastAsia="en-IN"/>
        </w:rPr>
        <w:t xml:space="preserve">Table 1: </w:t>
      </w:r>
      <w:r>
        <w:rPr>
          <w:rFonts w:eastAsia="Times New Roman"/>
          <w:b/>
          <w:bCs/>
          <w:lang w:val="en-IN" w:eastAsia="en-IN"/>
        </w:rPr>
        <w:t xml:space="preserve">Analysis of </w:t>
      </w:r>
      <w:r w:rsidRPr="00D05D7E">
        <w:rPr>
          <w:rFonts w:eastAsia="Times New Roman"/>
          <w:b/>
          <w:bCs/>
          <w:lang w:val="en-IN" w:eastAsia="en-IN"/>
        </w:rPr>
        <w:t xml:space="preserve">Land Use Land Cover </w:t>
      </w:r>
      <w:r>
        <w:rPr>
          <w:rFonts w:eastAsia="Times New Roman"/>
          <w:b/>
          <w:bCs/>
          <w:lang w:val="en-IN" w:eastAsia="en-IN"/>
        </w:rPr>
        <w:t xml:space="preserve">Changes </w:t>
      </w:r>
      <w:r w:rsidRPr="00D05D7E">
        <w:rPr>
          <w:rFonts w:eastAsia="Times New Roman"/>
          <w:b/>
          <w:bCs/>
          <w:lang w:val="en-IN" w:eastAsia="en-IN"/>
        </w:rPr>
        <w:t>of BMR (1990-2023)</w:t>
      </w:r>
    </w:p>
    <w:tbl>
      <w:tblPr>
        <w:tblStyle w:val="TableGrid"/>
        <w:tblW w:w="0" w:type="auto"/>
        <w:jc w:val="center"/>
        <w:tblLook w:val="04A0" w:firstRow="1" w:lastRow="0" w:firstColumn="1" w:lastColumn="0" w:noHBand="0" w:noVBand="1"/>
      </w:tblPr>
      <w:tblGrid>
        <w:gridCol w:w="483"/>
        <w:gridCol w:w="2521"/>
        <w:gridCol w:w="1056"/>
        <w:gridCol w:w="1056"/>
        <w:gridCol w:w="1125"/>
        <w:gridCol w:w="984"/>
        <w:gridCol w:w="992"/>
      </w:tblGrid>
      <w:tr w:rsidR="00B011F0" w:rsidRPr="00D05D7E" w14:paraId="02D3AB39" w14:textId="77777777" w:rsidTr="00B07B3D">
        <w:trPr>
          <w:trHeight w:val="287"/>
          <w:jc w:val="center"/>
        </w:trPr>
        <w:tc>
          <w:tcPr>
            <w:tcW w:w="483" w:type="dxa"/>
            <w:noWrap/>
            <w:vAlign w:val="center"/>
            <w:hideMark/>
          </w:tcPr>
          <w:p w14:paraId="008A1D02" w14:textId="77777777" w:rsidR="00B011F0" w:rsidRPr="00D05D7E" w:rsidRDefault="00B011F0" w:rsidP="00B011F0">
            <w:pPr>
              <w:spacing w:before="100" w:beforeAutospacing="1" w:after="100" w:afterAutospacing="1" w:line="360" w:lineRule="auto"/>
              <w:jc w:val="center"/>
              <w:rPr>
                <w:rFonts w:eastAsia="Times New Roman"/>
                <w:b/>
                <w:bCs/>
                <w:lang w:val="en-IN" w:eastAsia="en-IN"/>
              </w:rPr>
            </w:pPr>
            <w:r w:rsidRPr="00D05D7E">
              <w:rPr>
                <w:rFonts w:eastAsia="Times New Roman"/>
                <w:b/>
                <w:bCs/>
                <w:lang w:eastAsia="en-IN"/>
              </w:rPr>
              <w:t>ID</w:t>
            </w:r>
          </w:p>
        </w:tc>
        <w:tc>
          <w:tcPr>
            <w:tcW w:w="2521" w:type="dxa"/>
            <w:noWrap/>
            <w:vAlign w:val="center"/>
            <w:hideMark/>
          </w:tcPr>
          <w:p w14:paraId="4D877785" w14:textId="77777777" w:rsidR="00B011F0" w:rsidRPr="00D05D7E" w:rsidRDefault="00B011F0" w:rsidP="00B011F0">
            <w:pPr>
              <w:spacing w:before="100" w:beforeAutospacing="1" w:after="100" w:afterAutospacing="1" w:line="360" w:lineRule="auto"/>
              <w:jc w:val="center"/>
              <w:rPr>
                <w:rFonts w:eastAsia="Times New Roman"/>
                <w:b/>
                <w:bCs/>
                <w:lang w:eastAsia="en-IN"/>
              </w:rPr>
            </w:pPr>
            <w:r>
              <w:rPr>
                <w:rFonts w:eastAsia="Times New Roman"/>
                <w:b/>
                <w:bCs/>
                <w:lang w:eastAsia="en-IN"/>
              </w:rPr>
              <w:t>LULC Category/Year</w:t>
            </w:r>
          </w:p>
        </w:tc>
        <w:tc>
          <w:tcPr>
            <w:tcW w:w="1056" w:type="dxa"/>
            <w:vAlign w:val="center"/>
          </w:tcPr>
          <w:p w14:paraId="61010015" w14:textId="77777777" w:rsidR="00B011F0" w:rsidRPr="00D05D7E" w:rsidRDefault="00B011F0" w:rsidP="00B011F0">
            <w:pPr>
              <w:spacing w:before="100" w:beforeAutospacing="1" w:after="100" w:afterAutospacing="1" w:line="360" w:lineRule="auto"/>
              <w:jc w:val="center"/>
              <w:rPr>
                <w:rFonts w:eastAsia="Times New Roman"/>
                <w:b/>
                <w:bCs/>
                <w:lang w:eastAsia="en-IN"/>
              </w:rPr>
            </w:pPr>
            <w:r w:rsidRPr="00D05D7E">
              <w:rPr>
                <w:rFonts w:eastAsia="Times New Roman"/>
                <w:b/>
                <w:bCs/>
                <w:lang w:eastAsia="en-IN"/>
              </w:rPr>
              <w:t>1990</w:t>
            </w:r>
          </w:p>
        </w:tc>
        <w:tc>
          <w:tcPr>
            <w:tcW w:w="1056" w:type="dxa"/>
            <w:noWrap/>
            <w:vAlign w:val="center"/>
          </w:tcPr>
          <w:p w14:paraId="7E6D17F7" w14:textId="77777777" w:rsidR="00B011F0" w:rsidRPr="00D05D7E" w:rsidRDefault="00B011F0" w:rsidP="00B011F0">
            <w:pPr>
              <w:spacing w:before="100" w:beforeAutospacing="1" w:after="100" w:afterAutospacing="1" w:line="360" w:lineRule="auto"/>
              <w:jc w:val="center"/>
              <w:rPr>
                <w:rFonts w:eastAsia="Times New Roman"/>
                <w:b/>
                <w:bCs/>
                <w:lang w:eastAsia="en-IN"/>
              </w:rPr>
            </w:pPr>
            <w:r w:rsidRPr="00D05D7E">
              <w:rPr>
                <w:rFonts w:eastAsia="Times New Roman"/>
                <w:b/>
                <w:bCs/>
                <w:lang w:eastAsia="en-IN"/>
              </w:rPr>
              <w:t>2000</w:t>
            </w:r>
          </w:p>
        </w:tc>
        <w:tc>
          <w:tcPr>
            <w:tcW w:w="1125" w:type="dxa"/>
            <w:noWrap/>
            <w:vAlign w:val="center"/>
          </w:tcPr>
          <w:p w14:paraId="3A3D65FA" w14:textId="77777777" w:rsidR="00B011F0" w:rsidRPr="00D05D7E" w:rsidRDefault="00B011F0" w:rsidP="00B011F0">
            <w:pPr>
              <w:spacing w:before="100" w:beforeAutospacing="1" w:after="100" w:afterAutospacing="1" w:line="360" w:lineRule="auto"/>
              <w:jc w:val="center"/>
              <w:rPr>
                <w:rFonts w:eastAsia="Times New Roman"/>
                <w:b/>
                <w:bCs/>
                <w:lang w:eastAsia="en-IN"/>
              </w:rPr>
            </w:pPr>
            <w:r w:rsidRPr="00D05D7E">
              <w:rPr>
                <w:rFonts w:eastAsia="Times New Roman"/>
                <w:b/>
                <w:bCs/>
                <w:lang w:eastAsia="en-IN"/>
              </w:rPr>
              <w:t>2010</w:t>
            </w:r>
          </w:p>
        </w:tc>
        <w:tc>
          <w:tcPr>
            <w:tcW w:w="984" w:type="dxa"/>
            <w:noWrap/>
            <w:vAlign w:val="center"/>
          </w:tcPr>
          <w:p w14:paraId="607DFC6A" w14:textId="77777777" w:rsidR="00B011F0" w:rsidRPr="00D05D7E" w:rsidRDefault="00B011F0" w:rsidP="00B011F0">
            <w:pPr>
              <w:spacing w:before="100" w:beforeAutospacing="1" w:after="100" w:afterAutospacing="1" w:line="360" w:lineRule="auto"/>
              <w:jc w:val="center"/>
              <w:rPr>
                <w:rFonts w:eastAsia="Times New Roman"/>
                <w:b/>
                <w:bCs/>
                <w:lang w:eastAsia="en-IN"/>
              </w:rPr>
            </w:pPr>
            <w:r w:rsidRPr="00D05D7E">
              <w:rPr>
                <w:rFonts w:eastAsia="Times New Roman"/>
                <w:b/>
                <w:bCs/>
                <w:lang w:eastAsia="en-IN"/>
              </w:rPr>
              <w:t>2020</w:t>
            </w:r>
          </w:p>
        </w:tc>
        <w:tc>
          <w:tcPr>
            <w:tcW w:w="992" w:type="dxa"/>
            <w:noWrap/>
            <w:vAlign w:val="center"/>
          </w:tcPr>
          <w:p w14:paraId="5C494B1E" w14:textId="77777777" w:rsidR="00B011F0" w:rsidRPr="00D05D7E" w:rsidRDefault="00B011F0" w:rsidP="00B011F0">
            <w:pPr>
              <w:spacing w:before="100" w:beforeAutospacing="1" w:after="100" w:afterAutospacing="1" w:line="360" w:lineRule="auto"/>
              <w:jc w:val="center"/>
              <w:rPr>
                <w:rFonts w:eastAsia="Times New Roman"/>
                <w:b/>
                <w:bCs/>
                <w:lang w:eastAsia="en-IN"/>
              </w:rPr>
            </w:pPr>
            <w:r w:rsidRPr="00D05D7E">
              <w:rPr>
                <w:rFonts w:eastAsia="Times New Roman"/>
                <w:b/>
                <w:bCs/>
                <w:lang w:eastAsia="en-IN"/>
              </w:rPr>
              <w:t>2023</w:t>
            </w:r>
          </w:p>
        </w:tc>
      </w:tr>
      <w:tr w:rsidR="00B011F0" w:rsidRPr="00D05D7E" w14:paraId="786DEA67" w14:textId="77777777" w:rsidTr="00B07B3D">
        <w:trPr>
          <w:trHeight w:val="287"/>
          <w:jc w:val="center"/>
        </w:trPr>
        <w:tc>
          <w:tcPr>
            <w:tcW w:w="483" w:type="dxa"/>
            <w:noWrap/>
            <w:vAlign w:val="center"/>
            <w:hideMark/>
          </w:tcPr>
          <w:p w14:paraId="0D5C5DB6" w14:textId="77777777" w:rsidR="00B011F0" w:rsidRPr="00D05D7E" w:rsidRDefault="00B011F0" w:rsidP="00B011F0">
            <w:pPr>
              <w:spacing w:before="100" w:beforeAutospacing="1" w:after="100" w:afterAutospacing="1" w:line="360" w:lineRule="auto"/>
              <w:jc w:val="center"/>
              <w:rPr>
                <w:rFonts w:eastAsia="Times New Roman"/>
                <w:bCs/>
                <w:lang w:eastAsia="en-IN"/>
              </w:rPr>
            </w:pPr>
            <w:r w:rsidRPr="00D05D7E">
              <w:rPr>
                <w:rFonts w:eastAsia="Times New Roman"/>
                <w:bCs/>
                <w:lang w:eastAsia="en-IN"/>
              </w:rPr>
              <w:t>1</w:t>
            </w:r>
          </w:p>
        </w:tc>
        <w:tc>
          <w:tcPr>
            <w:tcW w:w="2521" w:type="dxa"/>
            <w:noWrap/>
            <w:vAlign w:val="center"/>
            <w:hideMark/>
          </w:tcPr>
          <w:p w14:paraId="2B83C4D8" w14:textId="77777777" w:rsidR="00B011F0" w:rsidRPr="00D05D7E" w:rsidRDefault="00B011F0" w:rsidP="00B011F0">
            <w:pPr>
              <w:spacing w:before="100" w:beforeAutospacing="1" w:after="100" w:afterAutospacing="1" w:line="360" w:lineRule="auto"/>
              <w:jc w:val="center"/>
              <w:rPr>
                <w:rFonts w:eastAsia="Times New Roman"/>
                <w:b/>
                <w:bCs/>
                <w:lang w:eastAsia="en-IN"/>
              </w:rPr>
            </w:pPr>
            <w:r w:rsidRPr="00D05D7E">
              <w:rPr>
                <w:rFonts w:eastAsia="Times New Roman"/>
                <w:b/>
                <w:bCs/>
                <w:lang w:eastAsia="en-IN"/>
              </w:rPr>
              <w:t>Water Bodies</w:t>
            </w:r>
          </w:p>
        </w:tc>
        <w:tc>
          <w:tcPr>
            <w:tcW w:w="1056" w:type="dxa"/>
            <w:vAlign w:val="center"/>
          </w:tcPr>
          <w:p w14:paraId="79236603" w14:textId="77777777" w:rsidR="00B011F0" w:rsidRPr="00D05D7E" w:rsidRDefault="00B011F0" w:rsidP="00B011F0">
            <w:pPr>
              <w:spacing w:before="100" w:beforeAutospacing="1" w:after="100" w:afterAutospacing="1" w:line="360" w:lineRule="auto"/>
              <w:jc w:val="center"/>
              <w:rPr>
                <w:rFonts w:eastAsia="Times New Roman"/>
                <w:bCs/>
                <w:lang w:eastAsia="en-IN"/>
              </w:rPr>
            </w:pPr>
            <w:r w:rsidRPr="00D05D7E">
              <w:rPr>
                <w:rFonts w:eastAsia="Times New Roman"/>
                <w:bCs/>
                <w:lang w:eastAsia="en-IN"/>
              </w:rPr>
              <w:t>2269</w:t>
            </w:r>
          </w:p>
        </w:tc>
        <w:tc>
          <w:tcPr>
            <w:tcW w:w="1056" w:type="dxa"/>
            <w:noWrap/>
            <w:vAlign w:val="center"/>
          </w:tcPr>
          <w:p w14:paraId="5E0D6F3C" w14:textId="77777777" w:rsidR="00B011F0" w:rsidRPr="00D05D7E" w:rsidRDefault="00B011F0" w:rsidP="00B011F0">
            <w:pPr>
              <w:spacing w:before="100" w:beforeAutospacing="1" w:after="100" w:afterAutospacing="1" w:line="360" w:lineRule="auto"/>
              <w:jc w:val="center"/>
              <w:rPr>
                <w:rFonts w:eastAsia="Times New Roman"/>
                <w:bCs/>
                <w:lang w:eastAsia="en-IN"/>
              </w:rPr>
            </w:pPr>
            <w:r w:rsidRPr="00D05D7E">
              <w:rPr>
                <w:rFonts w:eastAsia="Times New Roman"/>
                <w:bCs/>
                <w:lang w:eastAsia="en-IN"/>
              </w:rPr>
              <w:t>9119</w:t>
            </w:r>
          </w:p>
        </w:tc>
        <w:tc>
          <w:tcPr>
            <w:tcW w:w="1125" w:type="dxa"/>
            <w:noWrap/>
            <w:vAlign w:val="center"/>
          </w:tcPr>
          <w:p w14:paraId="44712B3C" w14:textId="77777777" w:rsidR="00B011F0" w:rsidRPr="00D05D7E" w:rsidRDefault="00B011F0" w:rsidP="00B011F0">
            <w:pPr>
              <w:spacing w:before="100" w:beforeAutospacing="1" w:after="100" w:afterAutospacing="1" w:line="360" w:lineRule="auto"/>
              <w:jc w:val="center"/>
              <w:rPr>
                <w:rFonts w:eastAsia="Times New Roman"/>
                <w:bCs/>
                <w:lang w:eastAsia="en-IN"/>
              </w:rPr>
            </w:pPr>
            <w:r w:rsidRPr="00D05D7E">
              <w:rPr>
                <w:rFonts w:eastAsia="Times New Roman"/>
                <w:bCs/>
                <w:lang w:eastAsia="en-IN"/>
              </w:rPr>
              <w:t>5232</w:t>
            </w:r>
          </w:p>
        </w:tc>
        <w:tc>
          <w:tcPr>
            <w:tcW w:w="984" w:type="dxa"/>
            <w:noWrap/>
            <w:vAlign w:val="center"/>
          </w:tcPr>
          <w:p w14:paraId="44947FDA" w14:textId="77777777" w:rsidR="00B011F0" w:rsidRPr="00D05D7E" w:rsidRDefault="00B011F0" w:rsidP="00B011F0">
            <w:pPr>
              <w:spacing w:before="100" w:beforeAutospacing="1" w:after="100" w:afterAutospacing="1" w:line="360" w:lineRule="auto"/>
              <w:jc w:val="center"/>
              <w:rPr>
                <w:rFonts w:eastAsia="Times New Roman"/>
                <w:bCs/>
                <w:lang w:eastAsia="en-IN"/>
              </w:rPr>
            </w:pPr>
            <w:r w:rsidRPr="00D05D7E">
              <w:rPr>
                <w:rFonts w:eastAsia="Times New Roman"/>
                <w:bCs/>
                <w:lang w:eastAsia="en-IN"/>
              </w:rPr>
              <w:t>9034</w:t>
            </w:r>
          </w:p>
        </w:tc>
        <w:tc>
          <w:tcPr>
            <w:tcW w:w="992" w:type="dxa"/>
            <w:noWrap/>
            <w:vAlign w:val="center"/>
          </w:tcPr>
          <w:p w14:paraId="0FF9ACFC" w14:textId="77777777" w:rsidR="00B011F0" w:rsidRPr="00D05D7E" w:rsidRDefault="00B011F0" w:rsidP="00B011F0">
            <w:pPr>
              <w:spacing w:before="100" w:beforeAutospacing="1" w:after="100" w:afterAutospacing="1" w:line="360" w:lineRule="auto"/>
              <w:jc w:val="center"/>
              <w:rPr>
                <w:rFonts w:eastAsia="Times New Roman"/>
                <w:bCs/>
                <w:lang w:eastAsia="en-IN"/>
              </w:rPr>
            </w:pPr>
            <w:r w:rsidRPr="00D05D7E">
              <w:rPr>
                <w:rFonts w:eastAsia="Times New Roman"/>
                <w:bCs/>
                <w:lang w:eastAsia="en-IN"/>
              </w:rPr>
              <w:t>17913</w:t>
            </w:r>
          </w:p>
        </w:tc>
      </w:tr>
      <w:tr w:rsidR="00B011F0" w:rsidRPr="00D05D7E" w14:paraId="3DEEDF57" w14:textId="77777777" w:rsidTr="00B07B3D">
        <w:trPr>
          <w:trHeight w:val="287"/>
          <w:jc w:val="center"/>
        </w:trPr>
        <w:tc>
          <w:tcPr>
            <w:tcW w:w="483" w:type="dxa"/>
            <w:noWrap/>
            <w:vAlign w:val="center"/>
            <w:hideMark/>
          </w:tcPr>
          <w:p w14:paraId="2BC66DBA" w14:textId="77777777" w:rsidR="00B011F0" w:rsidRPr="00D05D7E" w:rsidRDefault="00B011F0" w:rsidP="00B011F0">
            <w:pPr>
              <w:spacing w:before="100" w:beforeAutospacing="1" w:after="100" w:afterAutospacing="1" w:line="360" w:lineRule="auto"/>
              <w:jc w:val="center"/>
              <w:rPr>
                <w:rFonts w:eastAsia="Times New Roman"/>
                <w:bCs/>
                <w:lang w:eastAsia="en-IN"/>
              </w:rPr>
            </w:pPr>
            <w:r w:rsidRPr="00D05D7E">
              <w:rPr>
                <w:rFonts w:eastAsia="Times New Roman"/>
                <w:bCs/>
                <w:lang w:eastAsia="en-IN"/>
              </w:rPr>
              <w:t>2</w:t>
            </w:r>
          </w:p>
        </w:tc>
        <w:tc>
          <w:tcPr>
            <w:tcW w:w="2521" w:type="dxa"/>
            <w:noWrap/>
            <w:vAlign w:val="center"/>
            <w:hideMark/>
          </w:tcPr>
          <w:p w14:paraId="766C393B" w14:textId="77777777" w:rsidR="00B011F0" w:rsidRPr="00D05D7E" w:rsidRDefault="00B011F0" w:rsidP="00B011F0">
            <w:pPr>
              <w:spacing w:before="100" w:beforeAutospacing="1" w:after="100" w:afterAutospacing="1" w:line="360" w:lineRule="auto"/>
              <w:jc w:val="center"/>
              <w:rPr>
                <w:rFonts w:eastAsia="Times New Roman"/>
                <w:b/>
                <w:bCs/>
                <w:lang w:eastAsia="en-IN"/>
              </w:rPr>
            </w:pPr>
            <w:r w:rsidRPr="00D05D7E">
              <w:rPr>
                <w:rFonts w:eastAsia="Times New Roman"/>
                <w:b/>
                <w:bCs/>
                <w:lang w:eastAsia="en-IN"/>
              </w:rPr>
              <w:t>Trees</w:t>
            </w:r>
          </w:p>
        </w:tc>
        <w:tc>
          <w:tcPr>
            <w:tcW w:w="1056" w:type="dxa"/>
            <w:vAlign w:val="center"/>
          </w:tcPr>
          <w:p w14:paraId="30DC8345" w14:textId="77777777" w:rsidR="00B011F0" w:rsidRPr="00D05D7E" w:rsidRDefault="00B011F0" w:rsidP="00B011F0">
            <w:pPr>
              <w:spacing w:before="100" w:beforeAutospacing="1" w:after="100" w:afterAutospacing="1" w:line="360" w:lineRule="auto"/>
              <w:jc w:val="center"/>
              <w:rPr>
                <w:rFonts w:eastAsia="Times New Roman"/>
                <w:bCs/>
                <w:lang w:eastAsia="en-IN"/>
              </w:rPr>
            </w:pPr>
            <w:r w:rsidRPr="00D05D7E">
              <w:rPr>
                <w:rFonts w:eastAsia="Times New Roman"/>
                <w:bCs/>
                <w:lang w:eastAsia="en-IN"/>
              </w:rPr>
              <w:t>63977</w:t>
            </w:r>
          </w:p>
        </w:tc>
        <w:tc>
          <w:tcPr>
            <w:tcW w:w="1056" w:type="dxa"/>
            <w:noWrap/>
            <w:vAlign w:val="center"/>
          </w:tcPr>
          <w:p w14:paraId="16A4CB35" w14:textId="77777777" w:rsidR="00B011F0" w:rsidRPr="00D05D7E" w:rsidRDefault="00B011F0" w:rsidP="00B011F0">
            <w:pPr>
              <w:spacing w:before="100" w:beforeAutospacing="1" w:after="100" w:afterAutospacing="1" w:line="360" w:lineRule="auto"/>
              <w:jc w:val="center"/>
              <w:rPr>
                <w:rFonts w:eastAsia="Times New Roman"/>
                <w:bCs/>
                <w:lang w:eastAsia="en-IN"/>
              </w:rPr>
            </w:pPr>
            <w:r w:rsidRPr="00D05D7E">
              <w:rPr>
                <w:rFonts w:eastAsia="Times New Roman"/>
                <w:bCs/>
                <w:lang w:eastAsia="en-IN"/>
              </w:rPr>
              <w:t>121720</w:t>
            </w:r>
          </w:p>
        </w:tc>
        <w:tc>
          <w:tcPr>
            <w:tcW w:w="1125" w:type="dxa"/>
            <w:noWrap/>
            <w:vAlign w:val="center"/>
          </w:tcPr>
          <w:p w14:paraId="4B145B43" w14:textId="77777777" w:rsidR="00B011F0" w:rsidRPr="00D05D7E" w:rsidRDefault="00B011F0" w:rsidP="00B011F0">
            <w:pPr>
              <w:spacing w:before="100" w:beforeAutospacing="1" w:after="100" w:afterAutospacing="1" w:line="360" w:lineRule="auto"/>
              <w:jc w:val="center"/>
              <w:rPr>
                <w:rFonts w:eastAsia="Times New Roman"/>
                <w:bCs/>
                <w:lang w:eastAsia="en-IN"/>
              </w:rPr>
            </w:pPr>
            <w:r w:rsidRPr="00D05D7E">
              <w:rPr>
                <w:rFonts w:eastAsia="Times New Roman"/>
                <w:bCs/>
                <w:lang w:eastAsia="en-IN"/>
              </w:rPr>
              <w:t>95698</w:t>
            </w:r>
          </w:p>
        </w:tc>
        <w:tc>
          <w:tcPr>
            <w:tcW w:w="984" w:type="dxa"/>
            <w:noWrap/>
            <w:vAlign w:val="center"/>
          </w:tcPr>
          <w:p w14:paraId="66FDFD38" w14:textId="77777777" w:rsidR="00B011F0" w:rsidRPr="00D05D7E" w:rsidRDefault="00B011F0" w:rsidP="00B011F0">
            <w:pPr>
              <w:spacing w:before="100" w:beforeAutospacing="1" w:after="100" w:afterAutospacing="1" w:line="360" w:lineRule="auto"/>
              <w:jc w:val="center"/>
              <w:rPr>
                <w:rFonts w:eastAsia="Times New Roman"/>
                <w:bCs/>
                <w:lang w:eastAsia="en-IN"/>
              </w:rPr>
            </w:pPr>
            <w:r w:rsidRPr="00D05D7E">
              <w:rPr>
                <w:rFonts w:eastAsia="Times New Roman"/>
                <w:bCs/>
                <w:lang w:eastAsia="en-IN"/>
              </w:rPr>
              <w:t>49988</w:t>
            </w:r>
          </w:p>
        </w:tc>
        <w:tc>
          <w:tcPr>
            <w:tcW w:w="992" w:type="dxa"/>
            <w:noWrap/>
            <w:vAlign w:val="center"/>
          </w:tcPr>
          <w:p w14:paraId="38E82C0E" w14:textId="77777777" w:rsidR="00B011F0" w:rsidRPr="00D05D7E" w:rsidRDefault="00B011F0" w:rsidP="00B011F0">
            <w:pPr>
              <w:spacing w:before="100" w:beforeAutospacing="1" w:after="100" w:afterAutospacing="1" w:line="360" w:lineRule="auto"/>
              <w:jc w:val="center"/>
              <w:rPr>
                <w:rFonts w:eastAsia="Times New Roman"/>
                <w:bCs/>
                <w:lang w:eastAsia="en-IN"/>
              </w:rPr>
            </w:pPr>
            <w:r w:rsidRPr="00D05D7E">
              <w:rPr>
                <w:rFonts w:eastAsia="Times New Roman"/>
                <w:bCs/>
                <w:lang w:eastAsia="en-IN"/>
              </w:rPr>
              <w:t>79505</w:t>
            </w:r>
          </w:p>
        </w:tc>
      </w:tr>
      <w:tr w:rsidR="00B011F0" w:rsidRPr="00D05D7E" w14:paraId="4F5E1D4F" w14:textId="77777777" w:rsidTr="00B07B3D">
        <w:trPr>
          <w:trHeight w:val="287"/>
          <w:jc w:val="center"/>
        </w:trPr>
        <w:tc>
          <w:tcPr>
            <w:tcW w:w="483" w:type="dxa"/>
            <w:noWrap/>
            <w:vAlign w:val="center"/>
            <w:hideMark/>
          </w:tcPr>
          <w:p w14:paraId="0FFAE6AC" w14:textId="77777777" w:rsidR="00B011F0" w:rsidRPr="00D05D7E" w:rsidRDefault="00B011F0" w:rsidP="00B011F0">
            <w:pPr>
              <w:spacing w:before="100" w:beforeAutospacing="1" w:after="100" w:afterAutospacing="1" w:line="360" w:lineRule="auto"/>
              <w:jc w:val="center"/>
              <w:rPr>
                <w:rFonts w:eastAsia="Times New Roman"/>
                <w:bCs/>
                <w:lang w:eastAsia="en-IN"/>
              </w:rPr>
            </w:pPr>
            <w:r w:rsidRPr="00D05D7E">
              <w:rPr>
                <w:rFonts w:eastAsia="Times New Roman"/>
                <w:bCs/>
                <w:lang w:eastAsia="en-IN"/>
              </w:rPr>
              <w:t>3</w:t>
            </w:r>
          </w:p>
        </w:tc>
        <w:tc>
          <w:tcPr>
            <w:tcW w:w="2521" w:type="dxa"/>
            <w:noWrap/>
            <w:vAlign w:val="center"/>
            <w:hideMark/>
          </w:tcPr>
          <w:p w14:paraId="277014B3" w14:textId="77777777" w:rsidR="00B011F0" w:rsidRPr="00D05D7E" w:rsidRDefault="00B011F0" w:rsidP="00B011F0">
            <w:pPr>
              <w:spacing w:before="100" w:beforeAutospacing="1" w:after="100" w:afterAutospacing="1" w:line="360" w:lineRule="auto"/>
              <w:jc w:val="center"/>
              <w:rPr>
                <w:rFonts w:eastAsia="Times New Roman"/>
                <w:b/>
                <w:bCs/>
                <w:lang w:eastAsia="en-IN"/>
              </w:rPr>
            </w:pPr>
            <w:r w:rsidRPr="00D05D7E">
              <w:rPr>
                <w:rFonts w:eastAsia="Times New Roman"/>
                <w:b/>
                <w:bCs/>
                <w:lang w:eastAsia="en-IN"/>
              </w:rPr>
              <w:t>Flooded Vegetation</w:t>
            </w:r>
          </w:p>
        </w:tc>
        <w:tc>
          <w:tcPr>
            <w:tcW w:w="1056" w:type="dxa"/>
            <w:vAlign w:val="center"/>
          </w:tcPr>
          <w:p w14:paraId="11D6E40F" w14:textId="77777777" w:rsidR="00B011F0" w:rsidRPr="00D05D7E" w:rsidRDefault="00B011F0" w:rsidP="00B011F0">
            <w:pPr>
              <w:spacing w:before="100" w:beforeAutospacing="1" w:after="100" w:afterAutospacing="1" w:line="360" w:lineRule="auto"/>
              <w:jc w:val="center"/>
              <w:rPr>
                <w:rFonts w:eastAsia="Times New Roman"/>
                <w:bCs/>
                <w:lang w:eastAsia="en-IN"/>
              </w:rPr>
            </w:pPr>
            <w:r w:rsidRPr="00D05D7E">
              <w:rPr>
                <w:rFonts w:eastAsia="Times New Roman"/>
                <w:bCs/>
                <w:lang w:eastAsia="en-IN"/>
              </w:rPr>
              <w:t>290756</w:t>
            </w:r>
          </w:p>
        </w:tc>
        <w:tc>
          <w:tcPr>
            <w:tcW w:w="1056" w:type="dxa"/>
            <w:noWrap/>
            <w:vAlign w:val="center"/>
          </w:tcPr>
          <w:p w14:paraId="7BF7BC6F" w14:textId="77777777" w:rsidR="00B011F0" w:rsidRPr="00D05D7E" w:rsidRDefault="00B011F0" w:rsidP="00B011F0">
            <w:pPr>
              <w:spacing w:before="100" w:beforeAutospacing="1" w:after="100" w:afterAutospacing="1" w:line="360" w:lineRule="auto"/>
              <w:jc w:val="center"/>
              <w:rPr>
                <w:rFonts w:eastAsia="Times New Roman"/>
                <w:bCs/>
                <w:lang w:eastAsia="en-IN"/>
              </w:rPr>
            </w:pPr>
            <w:r w:rsidRPr="00D05D7E">
              <w:rPr>
                <w:rFonts w:eastAsia="Times New Roman"/>
                <w:bCs/>
                <w:lang w:eastAsia="en-IN"/>
              </w:rPr>
              <w:t>71969</w:t>
            </w:r>
          </w:p>
        </w:tc>
        <w:tc>
          <w:tcPr>
            <w:tcW w:w="1125" w:type="dxa"/>
            <w:noWrap/>
            <w:vAlign w:val="center"/>
          </w:tcPr>
          <w:p w14:paraId="6A04D5DF" w14:textId="77777777" w:rsidR="00B011F0" w:rsidRPr="00D05D7E" w:rsidRDefault="00B011F0" w:rsidP="00B011F0">
            <w:pPr>
              <w:spacing w:before="100" w:beforeAutospacing="1" w:after="100" w:afterAutospacing="1" w:line="360" w:lineRule="auto"/>
              <w:jc w:val="center"/>
              <w:rPr>
                <w:rFonts w:eastAsia="Times New Roman"/>
                <w:bCs/>
                <w:lang w:eastAsia="en-IN"/>
              </w:rPr>
            </w:pPr>
            <w:r w:rsidRPr="00D05D7E">
              <w:rPr>
                <w:rFonts w:eastAsia="Times New Roman"/>
                <w:bCs/>
                <w:lang w:eastAsia="en-IN"/>
              </w:rPr>
              <w:t>4057</w:t>
            </w:r>
          </w:p>
        </w:tc>
        <w:tc>
          <w:tcPr>
            <w:tcW w:w="984" w:type="dxa"/>
            <w:noWrap/>
            <w:vAlign w:val="center"/>
          </w:tcPr>
          <w:p w14:paraId="568DCD69" w14:textId="77777777" w:rsidR="00B011F0" w:rsidRPr="00D05D7E" w:rsidRDefault="00B011F0" w:rsidP="00B011F0">
            <w:pPr>
              <w:spacing w:before="100" w:beforeAutospacing="1" w:after="100" w:afterAutospacing="1" w:line="360" w:lineRule="auto"/>
              <w:jc w:val="center"/>
              <w:rPr>
                <w:rFonts w:eastAsia="Times New Roman"/>
                <w:bCs/>
                <w:lang w:eastAsia="en-IN"/>
              </w:rPr>
            </w:pPr>
            <w:r w:rsidRPr="00D05D7E">
              <w:rPr>
                <w:rFonts w:eastAsia="Times New Roman"/>
                <w:bCs/>
                <w:lang w:eastAsia="en-IN"/>
              </w:rPr>
              <w:t>295</w:t>
            </w:r>
          </w:p>
        </w:tc>
        <w:tc>
          <w:tcPr>
            <w:tcW w:w="992" w:type="dxa"/>
            <w:noWrap/>
            <w:vAlign w:val="center"/>
          </w:tcPr>
          <w:p w14:paraId="190E2996" w14:textId="77777777" w:rsidR="00B011F0" w:rsidRPr="00D05D7E" w:rsidRDefault="00B011F0" w:rsidP="00B011F0">
            <w:pPr>
              <w:spacing w:before="100" w:beforeAutospacing="1" w:after="100" w:afterAutospacing="1" w:line="360" w:lineRule="auto"/>
              <w:jc w:val="center"/>
              <w:rPr>
                <w:rFonts w:eastAsia="Times New Roman"/>
                <w:bCs/>
                <w:lang w:eastAsia="en-IN"/>
              </w:rPr>
            </w:pPr>
            <w:r w:rsidRPr="00D05D7E">
              <w:rPr>
                <w:rFonts w:eastAsia="Times New Roman"/>
                <w:bCs/>
                <w:lang w:eastAsia="en-IN"/>
              </w:rPr>
              <w:t>1423</w:t>
            </w:r>
          </w:p>
        </w:tc>
      </w:tr>
      <w:tr w:rsidR="00B011F0" w:rsidRPr="00D05D7E" w14:paraId="6C148C96" w14:textId="77777777" w:rsidTr="00B07B3D">
        <w:trPr>
          <w:trHeight w:val="287"/>
          <w:jc w:val="center"/>
        </w:trPr>
        <w:tc>
          <w:tcPr>
            <w:tcW w:w="483" w:type="dxa"/>
            <w:noWrap/>
            <w:vAlign w:val="center"/>
            <w:hideMark/>
          </w:tcPr>
          <w:p w14:paraId="689733EB" w14:textId="77777777" w:rsidR="00B011F0" w:rsidRPr="00D05D7E" w:rsidRDefault="00B011F0" w:rsidP="00B011F0">
            <w:pPr>
              <w:spacing w:before="100" w:beforeAutospacing="1" w:after="100" w:afterAutospacing="1" w:line="360" w:lineRule="auto"/>
              <w:jc w:val="center"/>
              <w:rPr>
                <w:rFonts w:eastAsia="Times New Roman"/>
                <w:bCs/>
                <w:lang w:eastAsia="en-IN"/>
              </w:rPr>
            </w:pPr>
            <w:r w:rsidRPr="00D05D7E">
              <w:rPr>
                <w:rFonts w:eastAsia="Times New Roman"/>
                <w:bCs/>
                <w:lang w:eastAsia="en-IN"/>
              </w:rPr>
              <w:t>4</w:t>
            </w:r>
          </w:p>
        </w:tc>
        <w:tc>
          <w:tcPr>
            <w:tcW w:w="2521" w:type="dxa"/>
            <w:noWrap/>
            <w:vAlign w:val="center"/>
            <w:hideMark/>
          </w:tcPr>
          <w:p w14:paraId="0BAF9E82" w14:textId="77777777" w:rsidR="00B011F0" w:rsidRPr="00D05D7E" w:rsidRDefault="00B011F0" w:rsidP="00B011F0">
            <w:pPr>
              <w:spacing w:before="100" w:beforeAutospacing="1" w:after="100" w:afterAutospacing="1" w:line="360" w:lineRule="auto"/>
              <w:jc w:val="center"/>
              <w:rPr>
                <w:rFonts w:eastAsia="Times New Roman"/>
                <w:b/>
                <w:bCs/>
                <w:lang w:eastAsia="en-IN"/>
              </w:rPr>
            </w:pPr>
            <w:r w:rsidRPr="00D05D7E">
              <w:rPr>
                <w:rFonts w:eastAsia="Times New Roman"/>
                <w:b/>
                <w:bCs/>
                <w:lang w:eastAsia="en-IN"/>
              </w:rPr>
              <w:t>Crops</w:t>
            </w:r>
          </w:p>
        </w:tc>
        <w:tc>
          <w:tcPr>
            <w:tcW w:w="1056" w:type="dxa"/>
            <w:vAlign w:val="center"/>
          </w:tcPr>
          <w:p w14:paraId="6B60966C" w14:textId="77777777" w:rsidR="00B011F0" w:rsidRPr="00D05D7E" w:rsidRDefault="00B011F0" w:rsidP="00B011F0">
            <w:pPr>
              <w:spacing w:before="100" w:beforeAutospacing="1" w:after="100" w:afterAutospacing="1" w:line="360" w:lineRule="auto"/>
              <w:jc w:val="center"/>
              <w:rPr>
                <w:rFonts w:eastAsia="Times New Roman"/>
                <w:bCs/>
                <w:lang w:eastAsia="en-IN"/>
              </w:rPr>
            </w:pPr>
            <w:r w:rsidRPr="00D05D7E">
              <w:rPr>
                <w:rFonts w:eastAsia="Times New Roman"/>
                <w:bCs/>
                <w:lang w:eastAsia="en-IN"/>
              </w:rPr>
              <w:t>53284</w:t>
            </w:r>
          </w:p>
        </w:tc>
        <w:tc>
          <w:tcPr>
            <w:tcW w:w="1056" w:type="dxa"/>
            <w:noWrap/>
            <w:vAlign w:val="center"/>
          </w:tcPr>
          <w:p w14:paraId="7377AC16" w14:textId="77777777" w:rsidR="00B011F0" w:rsidRPr="00D05D7E" w:rsidRDefault="00B011F0" w:rsidP="00B011F0">
            <w:pPr>
              <w:spacing w:before="100" w:beforeAutospacing="1" w:after="100" w:afterAutospacing="1" w:line="360" w:lineRule="auto"/>
              <w:jc w:val="center"/>
              <w:rPr>
                <w:rFonts w:eastAsia="Times New Roman"/>
                <w:bCs/>
                <w:lang w:eastAsia="en-IN"/>
              </w:rPr>
            </w:pPr>
            <w:r w:rsidRPr="00D05D7E">
              <w:rPr>
                <w:rFonts w:eastAsia="Times New Roman"/>
                <w:bCs/>
                <w:lang w:eastAsia="en-IN"/>
              </w:rPr>
              <w:t>399351</w:t>
            </w:r>
          </w:p>
        </w:tc>
        <w:tc>
          <w:tcPr>
            <w:tcW w:w="1125" w:type="dxa"/>
            <w:noWrap/>
            <w:vAlign w:val="center"/>
          </w:tcPr>
          <w:p w14:paraId="5111B5C3" w14:textId="77777777" w:rsidR="00B011F0" w:rsidRPr="00D05D7E" w:rsidRDefault="00B011F0" w:rsidP="00B011F0">
            <w:pPr>
              <w:spacing w:before="100" w:beforeAutospacing="1" w:after="100" w:afterAutospacing="1" w:line="360" w:lineRule="auto"/>
              <w:jc w:val="center"/>
              <w:rPr>
                <w:rFonts w:eastAsia="Times New Roman"/>
                <w:bCs/>
                <w:lang w:eastAsia="en-IN"/>
              </w:rPr>
            </w:pPr>
            <w:r w:rsidRPr="00D05D7E">
              <w:rPr>
                <w:rFonts w:eastAsia="Times New Roman"/>
                <w:bCs/>
                <w:lang w:eastAsia="en-IN"/>
              </w:rPr>
              <w:t>88600</w:t>
            </w:r>
          </w:p>
        </w:tc>
        <w:tc>
          <w:tcPr>
            <w:tcW w:w="984" w:type="dxa"/>
            <w:noWrap/>
            <w:vAlign w:val="center"/>
          </w:tcPr>
          <w:p w14:paraId="2F76D7BA" w14:textId="77777777" w:rsidR="00B011F0" w:rsidRPr="00D05D7E" w:rsidRDefault="00B011F0" w:rsidP="00B011F0">
            <w:pPr>
              <w:spacing w:before="100" w:beforeAutospacing="1" w:after="100" w:afterAutospacing="1" w:line="360" w:lineRule="auto"/>
              <w:jc w:val="center"/>
              <w:rPr>
                <w:rFonts w:eastAsia="Times New Roman"/>
                <w:bCs/>
                <w:lang w:eastAsia="en-IN"/>
              </w:rPr>
            </w:pPr>
            <w:r w:rsidRPr="00D05D7E">
              <w:rPr>
                <w:rFonts w:eastAsia="Times New Roman"/>
                <w:bCs/>
                <w:lang w:eastAsia="en-IN"/>
              </w:rPr>
              <w:t>322700</w:t>
            </w:r>
          </w:p>
        </w:tc>
        <w:tc>
          <w:tcPr>
            <w:tcW w:w="992" w:type="dxa"/>
            <w:noWrap/>
            <w:vAlign w:val="center"/>
          </w:tcPr>
          <w:p w14:paraId="7D3EC4E5" w14:textId="77777777" w:rsidR="00B011F0" w:rsidRPr="00D05D7E" w:rsidRDefault="00B011F0" w:rsidP="00B011F0">
            <w:pPr>
              <w:spacing w:before="100" w:beforeAutospacing="1" w:after="100" w:afterAutospacing="1" w:line="360" w:lineRule="auto"/>
              <w:jc w:val="center"/>
              <w:rPr>
                <w:rFonts w:eastAsia="Times New Roman"/>
                <w:bCs/>
                <w:lang w:eastAsia="en-IN"/>
              </w:rPr>
            </w:pPr>
            <w:r w:rsidRPr="00D05D7E">
              <w:rPr>
                <w:rFonts w:eastAsia="Times New Roman"/>
                <w:bCs/>
                <w:lang w:eastAsia="en-IN"/>
              </w:rPr>
              <w:t>337640</w:t>
            </w:r>
          </w:p>
        </w:tc>
      </w:tr>
      <w:tr w:rsidR="00B011F0" w:rsidRPr="00D05D7E" w14:paraId="03FDBD86" w14:textId="77777777" w:rsidTr="00B07B3D">
        <w:trPr>
          <w:trHeight w:val="287"/>
          <w:jc w:val="center"/>
        </w:trPr>
        <w:tc>
          <w:tcPr>
            <w:tcW w:w="483" w:type="dxa"/>
            <w:noWrap/>
            <w:vAlign w:val="center"/>
            <w:hideMark/>
          </w:tcPr>
          <w:p w14:paraId="6B623905" w14:textId="77777777" w:rsidR="00B011F0" w:rsidRPr="00D05D7E" w:rsidRDefault="00B011F0" w:rsidP="00B011F0">
            <w:pPr>
              <w:spacing w:before="100" w:beforeAutospacing="1" w:after="100" w:afterAutospacing="1" w:line="360" w:lineRule="auto"/>
              <w:jc w:val="center"/>
              <w:rPr>
                <w:rFonts w:eastAsia="Times New Roman"/>
                <w:bCs/>
                <w:lang w:eastAsia="en-IN"/>
              </w:rPr>
            </w:pPr>
            <w:r w:rsidRPr="00D05D7E">
              <w:rPr>
                <w:rFonts w:eastAsia="Times New Roman"/>
                <w:bCs/>
                <w:lang w:eastAsia="en-IN"/>
              </w:rPr>
              <w:t>5</w:t>
            </w:r>
          </w:p>
        </w:tc>
        <w:tc>
          <w:tcPr>
            <w:tcW w:w="2521" w:type="dxa"/>
            <w:noWrap/>
            <w:vAlign w:val="center"/>
            <w:hideMark/>
          </w:tcPr>
          <w:p w14:paraId="32326FA0" w14:textId="77777777" w:rsidR="00B011F0" w:rsidRPr="00D05D7E" w:rsidRDefault="00B011F0" w:rsidP="00B011F0">
            <w:pPr>
              <w:spacing w:before="100" w:beforeAutospacing="1" w:after="100" w:afterAutospacing="1" w:line="360" w:lineRule="auto"/>
              <w:jc w:val="center"/>
              <w:rPr>
                <w:rFonts w:eastAsia="Times New Roman"/>
                <w:b/>
                <w:bCs/>
                <w:lang w:eastAsia="en-IN"/>
              </w:rPr>
            </w:pPr>
            <w:r w:rsidRPr="00D05D7E">
              <w:rPr>
                <w:rFonts w:eastAsia="Times New Roman"/>
                <w:b/>
                <w:bCs/>
                <w:lang w:eastAsia="en-IN"/>
              </w:rPr>
              <w:t>Built Area</w:t>
            </w:r>
          </w:p>
        </w:tc>
        <w:tc>
          <w:tcPr>
            <w:tcW w:w="1056" w:type="dxa"/>
            <w:vAlign w:val="center"/>
          </w:tcPr>
          <w:p w14:paraId="53F11BE0" w14:textId="77777777" w:rsidR="00B011F0" w:rsidRPr="00D05D7E" w:rsidRDefault="00B011F0" w:rsidP="00B011F0">
            <w:pPr>
              <w:spacing w:before="100" w:beforeAutospacing="1" w:after="100" w:afterAutospacing="1" w:line="360" w:lineRule="auto"/>
              <w:jc w:val="center"/>
              <w:rPr>
                <w:rFonts w:eastAsia="Times New Roman"/>
                <w:bCs/>
                <w:lang w:eastAsia="en-IN"/>
              </w:rPr>
            </w:pPr>
            <w:r w:rsidRPr="00D05D7E">
              <w:rPr>
                <w:rFonts w:eastAsia="Times New Roman"/>
                <w:bCs/>
                <w:lang w:eastAsia="en-IN"/>
              </w:rPr>
              <w:t>28009</w:t>
            </w:r>
          </w:p>
        </w:tc>
        <w:tc>
          <w:tcPr>
            <w:tcW w:w="1056" w:type="dxa"/>
            <w:noWrap/>
            <w:vAlign w:val="center"/>
          </w:tcPr>
          <w:p w14:paraId="63C7368A" w14:textId="77777777" w:rsidR="00B011F0" w:rsidRPr="00D05D7E" w:rsidRDefault="00B011F0" w:rsidP="00B011F0">
            <w:pPr>
              <w:spacing w:before="100" w:beforeAutospacing="1" w:after="100" w:afterAutospacing="1" w:line="360" w:lineRule="auto"/>
              <w:jc w:val="center"/>
              <w:rPr>
                <w:rFonts w:eastAsia="Times New Roman"/>
                <w:bCs/>
                <w:lang w:eastAsia="en-IN"/>
              </w:rPr>
            </w:pPr>
            <w:r w:rsidRPr="00D05D7E">
              <w:rPr>
                <w:rFonts w:eastAsia="Times New Roman"/>
                <w:bCs/>
                <w:lang w:eastAsia="en-IN"/>
              </w:rPr>
              <w:t>65868</w:t>
            </w:r>
          </w:p>
        </w:tc>
        <w:tc>
          <w:tcPr>
            <w:tcW w:w="1125" w:type="dxa"/>
            <w:noWrap/>
            <w:vAlign w:val="center"/>
          </w:tcPr>
          <w:p w14:paraId="6C8447FD" w14:textId="77777777" w:rsidR="00B011F0" w:rsidRPr="00D05D7E" w:rsidRDefault="00B011F0" w:rsidP="00B011F0">
            <w:pPr>
              <w:spacing w:before="100" w:beforeAutospacing="1" w:after="100" w:afterAutospacing="1" w:line="360" w:lineRule="auto"/>
              <w:jc w:val="center"/>
              <w:rPr>
                <w:rFonts w:eastAsia="Times New Roman"/>
                <w:bCs/>
                <w:lang w:eastAsia="en-IN"/>
              </w:rPr>
            </w:pPr>
            <w:r w:rsidRPr="00D05D7E">
              <w:rPr>
                <w:rFonts w:eastAsia="Times New Roman"/>
                <w:bCs/>
                <w:lang w:eastAsia="en-IN"/>
              </w:rPr>
              <w:t>87424</w:t>
            </w:r>
          </w:p>
        </w:tc>
        <w:tc>
          <w:tcPr>
            <w:tcW w:w="984" w:type="dxa"/>
            <w:noWrap/>
            <w:vAlign w:val="center"/>
          </w:tcPr>
          <w:p w14:paraId="29CA986B" w14:textId="77777777" w:rsidR="00B011F0" w:rsidRPr="00D05D7E" w:rsidRDefault="00B011F0" w:rsidP="00B011F0">
            <w:pPr>
              <w:spacing w:before="100" w:beforeAutospacing="1" w:after="100" w:afterAutospacing="1" w:line="360" w:lineRule="auto"/>
              <w:jc w:val="center"/>
              <w:rPr>
                <w:rFonts w:eastAsia="Times New Roman"/>
                <w:bCs/>
                <w:lang w:eastAsia="en-IN"/>
              </w:rPr>
            </w:pPr>
            <w:r w:rsidRPr="00D05D7E">
              <w:rPr>
                <w:rFonts w:eastAsia="Times New Roman"/>
                <w:bCs/>
                <w:lang w:eastAsia="en-IN"/>
              </w:rPr>
              <w:t>177277</w:t>
            </w:r>
          </w:p>
        </w:tc>
        <w:tc>
          <w:tcPr>
            <w:tcW w:w="992" w:type="dxa"/>
            <w:noWrap/>
            <w:vAlign w:val="center"/>
          </w:tcPr>
          <w:p w14:paraId="5C45FCBD" w14:textId="77777777" w:rsidR="00B011F0" w:rsidRPr="00D05D7E" w:rsidRDefault="00B011F0" w:rsidP="00B011F0">
            <w:pPr>
              <w:spacing w:before="100" w:beforeAutospacing="1" w:after="100" w:afterAutospacing="1" w:line="360" w:lineRule="auto"/>
              <w:jc w:val="center"/>
              <w:rPr>
                <w:rFonts w:eastAsia="Times New Roman"/>
                <w:bCs/>
                <w:lang w:eastAsia="en-IN"/>
              </w:rPr>
            </w:pPr>
            <w:r w:rsidRPr="00D05D7E">
              <w:rPr>
                <w:rFonts w:eastAsia="Times New Roman"/>
                <w:bCs/>
                <w:lang w:eastAsia="en-IN"/>
              </w:rPr>
              <w:t>202521</w:t>
            </w:r>
          </w:p>
        </w:tc>
      </w:tr>
      <w:tr w:rsidR="00B011F0" w:rsidRPr="00D05D7E" w14:paraId="0917F162" w14:textId="77777777" w:rsidTr="00B07B3D">
        <w:trPr>
          <w:trHeight w:val="287"/>
          <w:jc w:val="center"/>
        </w:trPr>
        <w:tc>
          <w:tcPr>
            <w:tcW w:w="483" w:type="dxa"/>
            <w:noWrap/>
            <w:vAlign w:val="center"/>
            <w:hideMark/>
          </w:tcPr>
          <w:p w14:paraId="385C6F82" w14:textId="77777777" w:rsidR="00B011F0" w:rsidRPr="00D05D7E" w:rsidRDefault="00B011F0" w:rsidP="00B011F0">
            <w:pPr>
              <w:spacing w:before="100" w:beforeAutospacing="1" w:after="100" w:afterAutospacing="1" w:line="360" w:lineRule="auto"/>
              <w:jc w:val="center"/>
              <w:rPr>
                <w:rFonts w:eastAsia="Times New Roman"/>
                <w:bCs/>
                <w:lang w:eastAsia="en-IN"/>
              </w:rPr>
            </w:pPr>
            <w:r w:rsidRPr="00D05D7E">
              <w:rPr>
                <w:rFonts w:eastAsia="Times New Roman"/>
                <w:bCs/>
                <w:lang w:eastAsia="en-IN"/>
              </w:rPr>
              <w:t>6</w:t>
            </w:r>
          </w:p>
        </w:tc>
        <w:tc>
          <w:tcPr>
            <w:tcW w:w="2521" w:type="dxa"/>
            <w:noWrap/>
            <w:vAlign w:val="center"/>
            <w:hideMark/>
          </w:tcPr>
          <w:p w14:paraId="4D2EA00C" w14:textId="77777777" w:rsidR="00B011F0" w:rsidRPr="00D05D7E" w:rsidRDefault="00B011F0" w:rsidP="00B011F0">
            <w:pPr>
              <w:spacing w:before="100" w:beforeAutospacing="1" w:after="100" w:afterAutospacing="1" w:line="360" w:lineRule="auto"/>
              <w:jc w:val="center"/>
              <w:rPr>
                <w:rFonts w:eastAsia="Times New Roman"/>
                <w:b/>
                <w:bCs/>
                <w:lang w:eastAsia="en-IN"/>
              </w:rPr>
            </w:pPr>
            <w:r w:rsidRPr="00D05D7E">
              <w:rPr>
                <w:rFonts w:eastAsia="Times New Roman"/>
                <w:b/>
                <w:bCs/>
                <w:lang w:eastAsia="en-IN"/>
              </w:rPr>
              <w:t>Bare Ground</w:t>
            </w:r>
          </w:p>
        </w:tc>
        <w:tc>
          <w:tcPr>
            <w:tcW w:w="1056" w:type="dxa"/>
            <w:vAlign w:val="center"/>
          </w:tcPr>
          <w:p w14:paraId="10BED3B0" w14:textId="77777777" w:rsidR="00B011F0" w:rsidRPr="00D05D7E" w:rsidRDefault="00B011F0" w:rsidP="00B011F0">
            <w:pPr>
              <w:spacing w:before="100" w:beforeAutospacing="1" w:after="100" w:afterAutospacing="1" w:line="360" w:lineRule="auto"/>
              <w:jc w:val="center"/>
              <w:rPr>
                <w:rFonts w:eastAsia="Times New Roman"/>
                <w:bCs/>
                <w:lang w:eastAsia="en-IN"/>
              </w:rPr>
            </w:pPr>
            <w:r w:rsidRPr="00D05D7E">
              <w:rPr>
                <w:rFonts w:eastAsia="Times New Roman"/>
                <w:bCs/>
                <w:lang w:eastAsia="en-IN"/>
              </w:rPr>
              <w:t>212109</w:t>
            </w:r>
          </w:p>
        </w:tc>
        <w:tc>
          <w:tcPr>
            <w:tcW w:w="1056" w:type="dxa"/>
            <w:noWrap/>
            <w:vAlign w:val="center"/>
          </w:tcPr>
          <w:p w14:paraId="03CBCCED" w14:textId="77777777" w:rsidR="00B011F0" w:rsidRPr="00D05D7E" w:rsidRDefault="00B011F0" w:rsidP="00B011F0">
            <w:pPr>
              <w:spacing w:before="100" w:beforeAutospacing="1" w:after="100" w:afterAutospacing="1" w:line="360" w:lineRule="auto"/>
              <w:jc w:val="center"/>
              <w:rPr>
                <w:rFonts w:eastAsia="Times New Roman"/>
                <w:bCs/>
                <w:lang w:eastAsia="en-IN"/>
              </w:rPr>
            </w:pPr>
            <w:r w:rsidRPr="00D05D7E">
              <w:rPr>
                <w:rFonts w:eastAsia="Times New Roman"/>
                <w:bCs/>
                <w:lang w:eastAsia="en-IN"/>
              </w:rPr>
              <w:t>27951</w:t>
            </w:r>
          </w:p>
        </w:tc>
        <w:tc>
          <w:tcPr>
            <w:tcW w:w="1125" w:type="dxa"/>
            <w:noWrap/>
            <w:vAlign w:val="center"/>
          </w:tcPr>
          <w:p w14:paraId="3C81463D" w14:textId="77777777" w:rsidR="00B011F0" w:rsidRPr="00D05D7E" w:rsidRDefault="00B011F0" w:rsidP="00B011F0">
            <w:pPr>
              <w:spacing w:before="100" w:beforeAutospacing="1" w:after="100" w:afterAutospacing="1" w:line="360" w:lineRule="auto"/>
              <w:jc w:val="center"/>
              <w:rPr>
                <w:rFonts w:eastAsia="Times New Roman"/>
                <w:bCs/>
                <w:lang w:eastAsia="en-IN"/>
              </w:rPr>
            </w:pPr>
            <w:r w:rsidRPr="00D05D7E">
              <w:rPr>
                <w:rFonts w:eastAsia="Times New Roman"/>
                <w:bCs/>
                <w:lang w:eastAsia="en-IN"/>
              </w:rPr>
              <w:t>211566</w:t>
            </w:r>
          </w:p>
        </w:tc>
        <w:tc>
          <w:tcPr>
            <w:tcW w:w="984" w:type="dxa"/>
            <w:noWrap/>
            <w:vAlign w:val="center"/>
          </w:tcPr>
          <w:p w14:paraId="46705718" w14:textId="77777777" w:rsidR="00B011F0" w:rsidRPr="00D05D7E" w:rsidRDefault="00B011F0" w:rsidP="00B011F0">
            <w:pPr>
              <w:spacing w:before="100" w:beforeAutospacing="1" w:after="100" w:afterAutospacing="1" w:line="360" w:lineRule="auto"/>
              <w:jc w:val="center"/>
              <w:rPr>
                <w:rFonts w:eastAsia="Times New Roman"/>
                <w:bCs/>
                <w:lang w:eastAsia="en-IN"/>
              </w:rPr>
            </w:pPr>
            <w:r w:rsidRPr="00D05D7E">
              <w:rPr>
                <w:rFonts w:eastAsia="Times New Roman"/>
                <w:bCs/>
                <w:lang w:eastAsia="en-IN"/>
              </w:rPr>
              <w:t>719</w:t>
            </w:r>
          </w:p>
        </w:tc>
        <w:tc>
          <w:tcPr>
            <w:tcW w:w="992" w:type="dxa"/>
            <w:noWrap/>
            <w:vAlign w:val="center"/>
          </w:tcPr>
          <w:p w14:paraId="5ECA11C1" w14:textId="77777777" w:rsidR="00B011F0" w:rsidRPr="00D05D7E" w:rsidRDefault="00B011F0" w:rsidP="00B011F0">
            <w:pPr>
              <w:spacing w:before="100" w:beforeAutospacing="1" w:after="100" w:afterAutospacing="1" w:line="360" w:lineRule="auto"/>
              <w:jc w:val="center"/>
              <w:rPr>
                <w:rFonts w:eastAsia="Times New Roman"/>
                <w:bCs/>
                <w:lang w:eastAsia="en-IN"/>
              </w:rPr>
            </w:pPr>
            <w:r w:rsidRPr="00D05D7E">
              <w:rPr>
                <w:rFonts w:eastAsia="Times New Roman"/>
                <w:bCs/>
                <w:lang w:eastAsia="en-IN"/>
              </w:rPr>
              <w:t>488</w:t>
            </w:r>
          </w:p>
        </w:tc>
      </w:tr>
      <w:tr w:rsidR="00B011F0" w:rsidRPr="00D05D7E" w14:paraId="5E4D961F" w14:textId="77777777" w:rsidTr="00B07B3D">
        <w:trPr>
          <w:trHeight w:val="298"/>
          <w:jc w:val="center"/>
        </w:trPr>
        <w:tc>
          <w:tcPr>
            <w:tcW w:w="483" w:type="dxa"/>
            <w:noWrap/>
            <w:vAlign w:val="center"/>
            <w:hideMark/>
          </w:tcPr>
          <w:p w14:paraId="7693EF06" w14:textId="77777777" w:rsidR="00B011F0" w:rsidRPr="00D05D7E" w:rsidRDefault="00B011F0" w:rsidP="00B011F0">
            <w:pPr>
              <w:spacing w:before="100" w:beforeAutospacing="1" w:after="100" w:afterAutospacing="1" w:line="360" w:lineRule="auto"/>
              <w:jc w:val="center"/>
              <w:rPr>
                <w:rFonts w:eastAsia="Times New Roman"/>
                <w:bCs/>
                <w:lang w:eastAsia="en-IN"/>
              </w:rPr>
            </w:pPr>
            <w:r w:rsidRPr="00D05D7E">
              <w:rPr>
                <w:rFonts w:eastAsia="Times New Roman"/>
                <w:bCs/>
                <w:lang w:eastAsia="en-IN"/>
              </w:rPr>
              <w:t>7</w:t>
            </w:r>
          </w:p>
        </w:tc>
        <w:tc>
          <w:tcPr>
            <w:tcW w:w="2521" w:type="dxa"/>
            <w:noWrap/>
            <w:vAlign w:val="center"/>
            <w:hideMark/>
          </w:tcPr>
          <w:p w14:paraId="2445C2C0" w14:textId="77777777" w:rsidR="00B011F0" w:rsidRPr="00D05D7E" w:rsidRDefault="00B011F0" w:rsidP="00B011F0">
            <w:pPr>
              <w:spacing w:before="100" w:beforeAutospacing="1" w:after="100" w:afterAutospacing="1" w:line="360" w:lineRule="auto"/>
              <w:jc w:val="center"/>
              <w:rPr>
                <w:rFonts w:eastAsia="Times New Roman"/>
                <w:b/>
                <w:bCs/>
                <w:lang w:eastAsia="en-IN"/>
              </w:rPr>
            </w:pPr>
            <w:r w:rsidRPr="00D05D7E">
              <w:rPr>
                <w:rFonts w:eastAsia="Times New Roman"/>
                <w:b/>
                <w:bCs/>
                <w:lang w:eastAsia="en-IN"/>
              </w:rPr>
              <w:t>Range Land</w:t>
            </w:r>
          </w:p>
        </w:tc>
        <w:tc>
          <w:tcPr>
            <w:tcW w:w="1056" w:type="dxa"/>
            <w:vAlign w:val="center"/>
          </w:tcPr>
          <w:p w14:paraId="234D061C" w14:textId="77777777" w:rsidR="00B011F0" w:rsidRPr="00D05D7E" w:rsidRDefault="00B011F0" w:rsidP="00B011F0">
            <w:pPr>
              <w:spacing w:before="100" w:beforeAutospacing="1" w:after="100" w:afterAutospacing="1" w:line="360" w:lineRule="auto"/>
              <w:jc w:val="center"/>
              <w:rPr>
                <w:rFonts w:eastAsia="Times New Roman"/>
                <w:bCs/>
                <w:lang w:eastAsia="en-IN"/>
              </w:rPr>
            </w:pPr>
            <w:r w:rsidRPr="00D05D7E">
              <w:rPr>
                <w:rFonts w:eastAsia="Times New Roman"/>
                <w:bCs/>
                <w:lang w:eastAsia="en-IN"/>
              </w:rPr>
              <w:t>151118</w:t>
            </w:r>
          </w:p>
        </w:tc>
        <w:tc>
          <w:tcPr>
            <w:tcW w:w="1056" w:type="dxa"/>
            <w:noWrap/>
            <w:vAlign w:val="center"/>
          </w:tcPr>
          <w:p w14:paraId="5CF02927" w14:textId="77777777" w:rsidR="00B011F0" w:rsidRPr="00D05D7E" w:rsidRDefault="00B011F0" w:rsidP="00B011F0">
            <w:pPr>
              <w:spacing w:before="100" w:beforeAutospacing="1" w:after="100" w:afterAutospacing="1" w:line="360" w:lineRule="auto"/>
              <w:jc w:val="center"/>
              <w:rPr>
                <w:rFonts w:eastAsia="Times New Roman"/>
                <w:bCs/>
                <w:lang w:eastAsia="en-IN"/>
              </w:rPr>
            </w:pPr>
            <w:r w:rsidRPr="00D05D7E">
              <w:rPr>
                <w:rFonts w:eastAsia="Times New Roman"/>
                <w:bCs/>
                <w:lang w:eastAsia="en-IN"/>
              </w:rPr>
              <w:t>105544</w:t>
            </w:r>
          </w:p>
        </w:tc>
        <w:tc>
          <w:tcPr>
            <w:tcW w:w="1125" w:type="dxa"/>
            <w:noWrap/>
            <w:vAlign w:val="center"/>
          </w:tcPr>
          <w:p w14:paraId="046793DD" w14:textId="77777777" w:rsidR="00B011F0" w:rsidRPr="00D05D7E" w:rsidRDefault="00B011F0" w:rsidP="00B011F0">
            <w:pPr>
              <w:spacing w:before="100" w:beforeAutospacing="1" w:after="100" w:afterAutospacing="1" w:line="360" w:lineRule="auto"/>
              <w:jc w:val="center"/>
              <w:rPr>
                <w:rFonts w:eastAsia="Times New Roman"/>
                <w:bCs/>
                <w:lang w:eastAsia="en-IN"/>
              </w:rPr>
            </w:pPr>
            <w:r w:rsidRPr="00D05D7E">
              <w:rPr>
                <w:rFonts w:eastAsia="Times New Roman"/>
                <w:bCs/>
                <w:lang w:eastAsia="en-IN"/>
              </w:rPr>
              <w:t>308947</w:t>
            </w:r>
          </w:p>
        </w:tc>
        <w:tc>
          <w:tcPr>
            <w:tcW w:w="984" w:type="dxa"/>
            <w:noWrap/>
            <w:vAlign w:val="center"/>
          </w:tcPr>
          <w:p w14:paraId="14A03ED5" w14:textId="77777777" w:rsidR="00B011F0" w:rsidRPr="00D05D7E" w:rsidRDefault="00B011F0" w:rsidP="00B011F0">
            <w:pPr>
              <w:spacing w:before="100" w:beforeAutospacing="1" w:after="100" w:afterAutospacing="1" w:line="360" w:lineRule="auto"/>
              <w:jc w:val="center"/>
              <w:rPr>
                <w:rFonts w:eastAsia="Times New Roman"/>
                <w:bCs/>
                <w:lang w:eastAsia="en-IN"/>
              </w:rPr>
            </w:pPr>
            <w:r w:rsidRPr="00D05D7E">
              <w:rPr>
                <w:rFonts w:eastAsia="Times New Roman"/>
                <w:bCs/>
                <w:lang w:eastAsia="en-IN"/>
              </w:rPr>
              <w:t>241510</w:t>
            </w:r>
          </w:p>
        </w:tc>
        <w:tc>
          <w:tcPr>
            <w:tcW w:w="992" w:type="dxa"/>
            <w:noWrap/>
            <w:vAlign w:val="center"/>
          </w:tcPr>
          <w:p w14:paraId="62973809" w14:textId="77777777" w:rsidR="00B011F0" w:rsidRPr="00D05D7E" w:rsidRDefault="00B011F0" w:rsidP="00B011F0">
            <w:pPr>
              <w:spacing w:before="100" w:beforeAutospacing="1" w:after="100" w:afterAutospacing="1" w:line="360" w:lineRule="auto"/>
              <w:jc w:val="center"/>
              <w:rPr>
                <w:rFonts w:eastAsia="Times New Roman"/>
                <w:bCs/>
                <w:lang w:eastAsia="en-IN"/>
              </w:rPr>
            </w:pPr>
            <w:r w:rsidRPr="00D05D7E">
              <w:rPr>
                <w:rFonts w:eastAsia="Times New Roman"/>
                <w:bCs/>
                <w:lang w:eastAsia="en-IN"/>
              </w:rPr>
              <w:t>162033</w:t>
            </w:r>
          </w:p>
        </w:tc>
      </w:tr>
      <w:tr w:rsidR="00B011F0" w:rsidRPr="00D05D7E" w14:paraId="6842D550" w14:textId="77777777" w:rsidTr="00B07B3D">
        <w:trPr>
          <w:trHeight w:val="298"/>
          <w:jc w:val="center"/>
        </w:trPr>
        <w:tc>
          <w:tcPr>
            <w:tcW w:w="483" w:type="dxa"/>
            <w:noWrap/>
            <w:vAlign w:val="center"/>
            <w:hideMark/>
          </w:tcPr>
          <w:p w14:paraId="61850FD5" w14:textId="77777777" w:rsidR="00B011F0" w:rsidRPr="00D05D7E" w:rsidRDefault="00B011F0" w:rsidP="00B011F0">
            <w:pPr>
              <w:spacing w:before="100" w:beforeAutospacing="1" w:after="100" w:afterAutospacing="1" w:line="360" w:lineRule="auto"/>
              <w:jc w:val="center"/>
              <w:rPr>
                <w:rFonts w:eastAsia="Times New Roman"/>
                <w:bCs/>
                <w:lang w:eastAsia="en-IN"/>
              </w:rPr>
            </w:pPr>
          </w:p>
        </w:tc>
        <w:tc>
          <w:tcPr>
            <w:tcW w:w="2521" w:type="dxa"/>
            <w:noWrap/>
            <w:vAlign w:val="center"/>
            <w:hideMark/>
          </w:tcPr>
          <w:p w14:paraId="48BD3FC9" w14:textId="77777777" w:rsidR="00B011F0" w:rsidRPr="00D05D7E" w:rsidRDefault="00B011F0" w:rsidP="00B011F0">
            <w:pPr>
              <w:spacing w:before="100" w:beforeAutospacing="1" w:after="100" w:afterAutospacing="1" w:line="360" w:lineRule="auto"/>
              <w:jc w:val="center"/>
              <w:rPr>
                <w:rFonts w:eastAsia="Times New Roman"/>
                <w:b/>
                <w:bCs/>
                <w:lang w:eastAsia="en-IN"/>
              </w:rPr>
            </w:pPr>
            <w:r w:rsidRPr="00D05D7E">
              <w:rPr>
                <w:rFonts w:eastAsia="Times New Roman"/>
                <w:b/>
                <w:bCs/>
                <w:lang w:eastAsia="en-IN"/>
              </w:rPr>
              <w:t>Total</w:t>
            </w:r>
            <w:r>
              <w:rPr>
                <w:rFonts w:eastAsia="Times New Roman"/>
                <w:b/>
                <w:bCs/>
                <w:lang w:eastAsia="en-IN"/>
              </w:rPr>
              <w:t xml:space="preserve"> Area in Ha</w:t>
            </w:r>
          </w:p>
        </w:tc>
        <w:tc>
          <w:tcPr>
            <w:tcW w:w="1056" w:type="dxa"/>
            <w:vAlign w:val="center"/>
          </w:tcPr>
          <w:p w14:paraId="1F44E0F5" w14:textId="77777777" w:rsidR="00B011F0" w:rsidRPr="00D05D7E" w:rsidRDefault="00B011F0" w:rsidP="00B011F0">
            <w:pPr>
              <w:spacing w:before="100" w:beforeAutospacing="1" w:after="100" w:afterAutospacing="1" w:line="360" w:lineRule="auto"/>
              <w:jc w:val="center"/>
              <w:rPr>
                <w:rFonts w:eastAsia="Times New Roman"/>
                <w:b/>
                <w:bCs/>
                <w:lang w:eastAsia="en-IN"/>
              </w:rPr>
            </w:pPr>
            <w:r w:rsidRPr="00D05D7E">
              <w:rPr>
                <w:rFonts w:eastAsia="Times New Roman"/>
                <w:b/>
                <w:bCs/>
                <w:lang w:eastAsia="en-IN"/>
              </w:rPr>
              <w:t>80152</w:t>
            </w:r>
            <w:r>
              <w:rPr>
                <w:rFonts w:eastAsia="Times New Roman"/>
                <w:b/>
                <w:bCs/>
                <w:lang w:eastAsia="en-IN"/>
              </w:rPr>
              <w:t>2</w:t>
            </w:r>
          </w:p>
        </w:tc>
        <w:tc>
          <w:tcPr>
            <w:tcW w:w="1056" w:type="dxa"/>
            <w:noWrap/>
            <w:vAlign w:val="center"/>
          </w:tcPr>
          <w:p w14:paraId="3076CFCD" w14:textId="77777777" w:rsidR="00B011F0" w:rsidRPr="00D05D7E" w:rsidRDefault="00B011F0" w:rsidP="00B011F0">
            <w:pPr>
              <w:spacing w:before="100" w:beforeAutospacing="1" w:after="100" w:afterAutospacing="1" w:line="360" w:lineRule="auto"/>
              <w:jc w:val="center"/>
              <w:rPr>
                <w:rFonts w:eastAsia="Times New Roman"/>
                <w:b/>
                <w:bCs/>
                <w:lang w:eastAsia="en-IN"/>
              </w:rPr>
            </w:pPr>
            <w:r w:rsidRPr="00D05D7E">
              <w:rPr>
                <w:rFonts w:eastAsia="Times New Roman"/>
                <w:b/>
                <w:bCs/>
                <w:lang w:eastAsia="en-IN"/>
              </w:rPr>
              <w:t>801522</w:t>
            </w:r>
          </w:p>
        </w:tc>
        <w:tc>
          <w:tcPr>
            <w:tcW w:w="1125" w:type="dxa"/>
            <w:noWrap/>
            <w:vAlign w:val="center"/>
          </w:tcPr>
          <w:p w14:paraId="590EB92C" w14:textId="77777777" w:rsidR="00B011F0" w:rsidRPr="00D05D7E" w:rsidRDefault="00B011F0" w:rsidP="00B011F0">
            <w:pPr>
              <w:spacing w:before="100" w:beforeAutospacing="1" w:after="100" w:afterAutospacing="1" w:line="360" w:lineRule="auto"/>
              <w:jc w:val="center"/>
              <w:rPr>
                <w:rFonts w:eastAsia="Times New Roman"/>
                <w:b/>
                <w:bCs/>
                <w:lang w:eastAsia="en-IN"/>
              </w:rPr>
            </w:pPr>
            <w:r w:rsidRPr="00D05D7E">
              <w:rPr>
                <w:rFonts w:eastAsia="Times New Roman"/>
                <w:b/>
                <w:bCs/>
                <w:lang w:eastAsia="en-IN"/>
              </w:rPr>
              <w:t>80152</w:t>
            </w:r>
            <w:r>
              <w:rPr>
                <w:rFonts w:eastAsia="Times New Roman"/>
                <w:b/>
                <w:bCs/>
                <w:lang w:eastAsia="en-IN"/>
              </w:rPr>
              <w:t>2</w:t>
            </w:r>
          </w:p>
        </w:tc>
        <w:tc>
          <w:tcPr>
            <w:tcW w:w="984" w:type="dxa"/>
            <w:noWrap/>
            <w:vAlign w:val="center"/>
          </w:tcPr>
          <w:p w14:paraId="24E2B4B0" w14:textId="77777777" w:rsidR="00B011F0" w:rsidRPr="00D05D7E" w:rsidRDefault="00B011F0" w:rsidP="00B011F0">
            <w:pPr>
              <w:spacing w:before="100" w:beforeAutospacing="1" w:after="100" w:afterAutospacing="1" w:line="360" w:lineRule="auto"/>
              <w:jc w:val="center"/>
              <w:rPr>
                <w:rFonts w:eastAsia="Times New Roman"/>
                <w:b/>
                <w:bCs/>
                <w:lang w:eastAsia="en-IN"/>
              </w:rPr>
            </w:pPr>
            <w:r w:rsidRPr="00D05D7E">
              <w:rPr>
                <w:rFonts w:eastAsia="Times New Roman"/>
                <w:b/>
                <w:bCs/>
                <w:lang w:eastAsia="en-IN"/>
              </w:rPr>
              <w:t>801522</w:t>
            </w:r>
          </w:p>
        </w:tc>
        <w:tc>
          <w:tcPr>
            <w:tcW w:w="992" w:type="dxa"/>
            <w:noWrap/>
            <w:vAlign w:val="center"/>
          </w:tcPr>
          <w:p w14:paraId="283A8667" w14:textId="77777777" w:rsidR="00B011F0" w:rsidRPr="00D05D7E" w:rsidRDefault="00B011F0" w:rsidP="00B011F0">
            <w:pPr>
              <w:spacing w:before="100" w:beforeAutospacing="1" w:after="100" w:afterAutospacing="1" w:line="360" w:lineRule="auto"/>
              <w:jc w:val="center"/>
              <w:rPr>
                <w:rFonts w:eastAsia="Times New Roman"/>
                <w:b/>
                <w:bCs/>
                <w:lang w:eastAsia="en-IN"/>
              </w:rPr>
            </w:pPr>
            <w:r w:rsidRPr="00D05D7E">
              <w:rPr>
                <w:rFonts w:eastAsia="Times New Roman"/>
                <w:b/>
                <w:bCs/>
                <w:lang w:eastAsia="en-IN"/>
              </w:rPr>
              <w:t>801522</w:t>
            </w:r>
          </w:p>
        </w:tc>
      </w:tr>
      <w:tr w:rsidR="00B011F0" w:rsidRPr="00D05D7E" w14:paraId="44990939" w14:textId="77777777" w:rsidTr="00B07B3D">
        <w:trPr>
          <w:trHeight w:val="298"/>
          <w:jc w:val="center"/>
        </w:trPr>
        <w:tc>
          <w:tcPr>
            <w:tcW w:w="8217" w:type="dxa"/>
            <w:gridSpan w:val="7"/>
            <w:noWrap/>
            <w:vAlign w:val="center"/>
          </w:tcPr>
          <w:p w14:paraId="66FE4B3B" w14:textId="77777777" w:rsidR="00B011F0" w:rsidRPr="00D05D7E" w:rsidRDefault="00B011F0" w:rsidP="00B011F0">
            <w:pPr>
              <w:jc w:val="center"/>
              <w:rPr>
                <w:rFonts w:eastAsia="Times New Roman"/>
                <w:b/>
                <w:bCs/>
                <w:lang w:eastAsia="en-IN"/>
              </w:rPr>
            </w:pPr>
            <w:r w:rsidRPr="00B011F0">
              <w:rPr>
                <w:rFonts w:eastAsia="Times New Roman"/>
                <w:b/>
                <w:bCs/>
                <w:sz w:val="22"/>
                <w:lang w:eastAsia="en-IN"/>
              </w:rPr>
              <w:t>Note: All Values Represented in Hectares (Ha) (Source: Author using GIS Data)</w:t>
            </w:r>
          </w:p>
        </w:tc>
      </w:tr>
    </w:tbl>
    <w:p w14:paraId="3E03B409" w14:textId="77777777" w:rsidR="00B011F0" w:rsidRPr="00B011F0" w:rsidRDefault="00B011F0" w:rsidP="00B011F0">
      <w:pPr>
        <w:spacing w:after="120" w:line="276" w:lineRule="auto"/>
        <w:rPr>
          <w:bCs/>
          <w:lang w:val="en-IN" w:eastAsia="en-IN"/>
        </w:rPr>
      </w:pPr>
    </w:p>
    <w:p w14:paraId="2F1E9F6D" w14:textId="77777777" w:rsidR="004A254E" w:rsidRPr="00D8449C" w:rsidRDefault="004A254E" w:rsidP="0061467B">
      <w:pPr>
        <w:pStyle w:val="ListParagraph"/>
        <w:numPr>
          <w:ilvl w:val="0"/>
          <w:numId w:val="31"/>
        </w:numPr>
        <w:spacing w:after="120" w:line="276" w:lineRule="auto"/>
        <w:ind w:left="357" w:hanging="357"/>
        <w:rPr>
          <w:bCs/>
          <w:sz w:val="24"/>
          <w:lang w:val="en-IN" w:eastAsia="en-IN"/>
        </w:rPr>
      </w:pPr>
      <w:r w:rsidRPr="00D8449C">
        <w:rPr>
          <w:b/>
          <w:bCs/>
          <w:sz w:val="24"/>
          <w:lang w:val="en-IN" w:eastAsia="en-IN"/>
        </w:rPr>
        <w:t>Built-up land</w:t>
      </w:r>
      <w:r w:rsidRPr="00D8449C">
        <w:rPr>
          <w:bCs/>
          <w:sz w:val="24"/>
          <w:lang w:val="en-IN" w:eastAsia="en-IN"/>
        </w:rPr>
        <w:t xml:space="preserve"> increased from ~280 km² (1990) to 659 km² (2000), 874 km² (2010), 1,773 km² (2020), and ~2,025 km² (2023)</w:t>
      </w:r>
      <w:r w:rsidR="00964828" w:rsidRPr="00D8449C">
        <w:rPr>
          <w:bCs/>
          <w:sz w:val="24"/>
          <w:lang w:val="en-IN" w:eastAsia="en-IN"/>
        </w:rPr>
        <w:t xml:space="preserve"> </w:t>
      </w:r>
      <w:r w:rsidRPr="00D8449C">
        <w:rPr>
          <w:bCs/>
          <w:sz w:val="24"/>
          <w:lang w:val="en-IN" w:eastAsia="en-IN"/>
        </w:rPr>
        <w:t>a 620% increase since 1990. The most intense growth occurred between 2010 and 2020, reflecting a construction boom and expansion of city limits (BMRDA, 2020).</w:t>
      </w:r>
    </w:p>
    <w:p w14:paraId="44D6F07D" w14:textId="77777777" w:rsidR="004A254E" w:rsidRPr="00D8449C" w:rsidRDefault="004A254E" w:rsidP="0061467B">
      <w:pPr>
        <w:pStyle w:val="ListParagraph"/>
        <w:numPr>
          <w:ilvl w:val="0"/>
          <w:numId w:val="31"/>
        </w:numPr>
        <w:spacing w:after="120" w:line="276" w:lineRule="auto"/>
        <w:ind w:left="357" w:hanging="357"/>
        <w:rPr>
          <w:bCs/>
          <w:sz w:val="24"/>
          <w:lang w:val="en-IN" w:eastAsia="en-IN"/>
        </w:rPr>
      </w:pPr>
      <w:r w:rsidRPr="00D8449C">
        <w:rPr>
          <w:b/>
          <w:bCs/>
          <w:sz w:val="24"/>
          <w:lang w:val="en-IN" w:eastAsia="en-IN"/>
        </w:rPr>
        <w:t>Agricultural land</w:t>
      </w:r>
      <w:r w:rsidRPr="00D8449C">
        <w:rPr>
          <w:bCs/>
          <w:sz w:val="24"/>
          <w:lang w:val="en-IN" w:eastAsia="en-IN"/>
        </w:rPr>
        <w:t xml:space="preserve"> decreased from ~3,430 km² in 1990 to ~3,230 km² in 2020, reflecting urban encroachment into farmland. The classification for 2010 suggests an anomaly, with a recorded drop to ~920 km², possibly due to confusion with flooded vegetation categories in satellite imagery. However, the overall decline is consistent with field observations, as many peripheral villages were absorbed into the urban fabric.</w:t>
      </w:r>
    </w:p>
    <w:p w14:paraId="04D4C7BA" w14:textId="77777777" w:rsidR="004A254E" w:rsidRPr="00D8449C" w:rsidRDefault="004A254E" w:rsidP="0061467B">
      <w:pPr>
        <w:pStyle w:val="ListParagraph"/>
        <w:numPr>
          <w:ilvl w:val="0"/>
          <w:numId w:val="31"/>
        </w:numPr>
        <w:spacing w:after="120" w:line="276" w:lineRule="auto"/>
        <w:ind w:left="357" w:hanging="357"/>
        <w:rPr>
          <w:bCs/>
          <w:sz w:val="24"/>
          <w:lang w:val="en-IN" w:eastAsia="en-IN"/>
        </w:rPr>
      </w:pPr>
      <w:r w:rsidRPr="00D8449C">
        <w:rPr>
          <w:b/>
          <w:bCs/>
          <w:sz w:val="24"/>
          <w:lang w:val="en-IN" w:eastAsia="en-IN"/>
        </w:rPr>
        <w:t>Vegetation cover</w:t>
      </w:r>
      <w:r w:rsidRPr="00D8449C">
        <w:rPr>
          <w:bCs/>
          <w:sz w:val="24"/>
          <w:lang w:val="en-IN" w:eastAsia="en-IN"/>
        </w:rPr>
        <w:t xml:space="preserve"> (forests and plantations) declined from ~640 km² in 1990 to ~420 km² in 2023. While total green space remains significant in the outlying rural parts of BMR, dense tree cover within Bangalore Urban District has seen substantial reductions (Ramachandra et al., 2014).</w:t>
      </w:r>
    </w:p>
    <w:p w14:paraId="71FED5A7" w14:textId="77777777" w:rsidR="00571DA6" w:rsidRDefault="004A254E" w:rsidP="0061467B">
      <w:pPr>
        <w:pStyle w:val="ListParagraph"/>
        <w:numPr>
          <w:ilvl w:val="0"/>
          <w:numId w:val="31"/>
        </w:numPr>
        <w:spacing w:after="120" w:line="276" w:lineRule="auto"/>
        <w:ind w:left="357" w:hanging="357"/>
        <w:rPr>
          <w:bCs/>
          <w:sz w:val="24"/>
          <w:lang w:val="en-IN" w:eastAsia="en-IN"/>
        </w:rPr>
      </w:pPr>
      <w:r w:rsidRPr="00D8449C">
        <w:rPr>
          <w:b/>
          <w:bCs/>
          <w:sz w:val="24"/>
          <w:lang w:val="en-IN" w:eastAsia="en-IN"/>
        </w:rPr>
        <w:t>Water bodies</w:t>
      </w:r>
      <w:r w:rsidRPr="00D8449C">
        <w:rPr>
          <w:bCs/>
          <w:sz w:val="24"/>
          <w:lang w:val="en-IN" w:eastAsia="en-IN"/>
        </w:rPr>
        <w:t xml:space="preserve"> saw both reductions in area and shifts due to restoration projects. In 1990, lakes and reservoirs covered ~22.7 km², dropping to 9.1 km² in 2000 and 9.0 km² in 2020. By 2023, water body area increased slightly (~17.9 km²), likely due to lake rejuvenation initiatives (Bangalore - </w:t>
      </w:r>
      <w:proofErr w:type="spellStart"/>
      <w:r w:rsidRPr="00D8449C">
        <w:rPr>
          <w:bCs/>
          <w:sz w:val="24"/>
          <w:lang w:val="en-IN" w:eastAsia="en-IN"/>
        </w:rPr>
        <w:t>Unlivable</w:t>
      </w:r>
      <w:proofErr w:type="spellEnd"/>
      <w:r w:rsidRPr="00D8449C">
        <w:rPr>
          <w:bCs/>
          <w:sz w:val="24"/>
          <w:lang w:val="en-IN" w:eastAsia="en-IN"/>
        </w:rPr>
        <w:t xml:space="preserve"> City, 2016). However, numerous lakes and wetlands have been lost to encroachment and pollution, impacting groundwater recharge and contributing to flood risks (Times of India, 2020).</w:t>
      </w:r>
    </w:p>
    <w:p w14:paraId="58575284" w14:textId="77777777" w:rsidR="00D8449C" w:rsidRDefault="00D8449C" w:rsidP="0061467B">
      <w:pPr>
        <w:spacing w:after="120" w:line="276" w:lineRule="auto"/>
        <w:rPr>
          <w:bCs/>
          <w:lang w:val="en-IN" w:eastAsia="en-IN"/>
        </w:rPr>
      </w:pPr>
    </w:p>
    <w:p w14:paraId="29056CB1" w14:textId="77777777" w:rsidR="00B07B3D" w:rsidRDefault="00B07B3D" w:rsidP="0061467B">
      <w:pPr>
        <w:spacing w:after="120" w:line="276" w:lineRule="auto"/>
        <w:rPr>
          <w:bCs/>
          <w:lang w:val="en-IN" w:eastAsia="en-IN"/>
        </w:rPr>
      </w:pPr>
    </w:p>
    <w:p w14:paraId="50279ADE" w14:textId="77777777" w:rsidR="00D8449C" w:rsidRPr="004A254E" w:rsidRDefault="00E00491" w:rsidP="0077630E">
      <w:pPr>
        <w:spacing w:before="100" w:beforeAutospacing="1" w:after="100" w:afterAutospacing="1"/>
        <w:jc w:val="both"/>
        <w:rPr>
          <w:rFonts w:eastAsia="Times New Roman"/>
          <w:b/>
          <w:bCs/>
          <w:lang w:val="en-IN" w:eastAsia="en-IN"/>
        </w:rPr>
      </w:pPr>
      <w:r>
        <w:rPr>
          <w:rFonts w:eastAsia="Times New Roman"/>
          <w:b/>
          <w:bCs/>
          <w:lang w:val="en-IN" w:eastAsia="en-IN"/>
        </w:rPr>
        <w:lastRenderedPageBreak/>
        <w:t>5.5</w:t>
      </w:r>
      <w:r w:rsidR="0077630E" w:rsidRPr="004A254E">
        <w:rPr>
          <w:rFonts w:eastAsia="Times New Roman"/>
          <w:b/>
          <w:bCs/>
          <w:lang w:val="en-IN" w:eastAsia="en-IN"/>
        </w:rPr>
        <w:t xml:space="preserve"> Implications of LULC Changes</w:t>
      </w:r>
    </w:p>
    <w:p w14:paraId="1A6D04F3" w14:textId="77777777" w:rsidR="0077630E" w:rsidRDefault="0077630E" w:rsidP="0061467B">
      <w:pPr>
        <w:spacing w:after="120" w:line="276" w:lineRule="auto"/>
        <w:ind w:firstLine="720"/>
        <w:jc w:val="both"/>
        <w:rPr>
          <w:rFonts w:eastAsia="Times New Roman"/>
          <w:bCs/>
          <w:lang w:val="en-IN" w:eastAsia="en-IN"/>
        </w:rPr>
      </w:pPr>
      <w:r w:rsidRPr="004A254E">
        <w:rPr>
          <w:rFonts w:eastAsia="Times New Roman"/>
          <w:bCs/>
          <w:lang w:val="en-IN" w:eastAsia="en-IN"/>
        </w:rPr>
        <w:t>The results indicate a metropolitan region undergoing rapid spatial transformation, where urban land expansion has progressively replaced rural and ecological landscapes. The outward spread of Bengaluru has followed a concentric expansion model, with higher density urbanization in core areas and lower-density sprawl towards the periphery. A key concern is the loss of critical environmental assets, particularly lakes and green belts, which play a vital role in climate resilience and flood mitigation (Ramachandra &amp; Aithal, 2016).</w:t>
      </w:r>
      <w:r>
        <w:rPr>
          <w:rFonts w:eastAsia="Times New Roman"/>
          <w:bCs/>
          <w:lang w:val="en-IN" w:eastAsia="en-IN"/>
        </w:rPr>
        <w:t xml:space="preserve"> </w:t>
      </w:r>
      <w:r w:rsidRPr="004A254E">
        <w:rPr>
          <w:rFonts w:eastAsia="Times New Roman"/>
          <w:bCs/>
          <w:lang w:val="en-IN" w:eastAsia="en-IN"/>
        </w:rPr>
        <w:t>The fragmentation of peri-urban agricultural zones raises concerns regarding food security, biodiversity loss, and unsustainable land speculation. Many agricultural lands near Bengaluru have been converted into residential layouts or left fallow, waiting for future development approvals. Such trends indicate unregulated land markets, where speculative real estate investments shape urban expansion rather than structured planning.</w:t>
      </w:r>
    </w:p>
    <w:p w14:paraId="6363B0FF" w14:textId="77777777" w:rsidR="00FD30EE" w:rsidRPr="001F7132" w:rsidRDefault="00FD30EE" w:rsidP="001F7132">
      <w:pPr>
        <w:spacing w:before="100" w:beforeAutospacing="1" w:after="100" w:afterAutospacing="1"/>
        <w:jc w:val="both"/>
        <w:rPr>
          <w:rFonts w:eastAsia="Times New Roman"/>
          <w:b/>
          <w:bCs/>
          <w:lang w:eastAsia="en-IN"/>
        </w:rPr>
      </w:pPr>
      <w:r>
        <w:rPr>
          <w:rFonts w:eastAsia="Times New Roman"/>
          <w:b/>
          <w:bCs/>
          <w:lang w:eastAsia="en-IN"/>
        </w:rPr>
        <w:t>VI. CONCLUSION</w:t>
      </w:r>
    </w:p>
    <w:p w14:paraId="028A14DC" w14:textId="77777777" w:rsidR="00DB0CCA" w:rsidRPr="000B7E54" w:rsidRDefault="000B7E54" w:rsidP="0061467B">
      <w:pPr>
        <w:spacing w:after="120" w:line="276" w:lineRule="auto"/>
        <w:ind w:firstLine="720"/>
        <w:jc w:val="both"/>
        <w:rPr>
          <w:rFonts w:eastAsia="Times New Roman"/>
          <w:lang w:val="en-IN" w:eastAsia="en-IN"/>
        </w:rPr>
      </w:pPr>
      <w:r w:rsidRPr="000B7E54">
        <w:rPr>
          <w:rFonts w:eastAsia="Times New Roman"/>
          <w:lang w:val="en-IN" w:eastAsia="en-IN"/>
        </w:rPr>
        <w:t xml:space="preserve">This study of land use and land cover (LULC) changes in the </w:t>
      </w:r>
      <w:r w:rsidRPr="000B7E54">
        <w:rPr>
          <w:rFonts w:eastAsia="Times New Roman"/>
          <w:bCs/>
          <w:lang w:val="en-IN" w:eastAsia="en-IN"/>
        </w:rPr>
        <w:t>Bengaluru Metropolitan Region (BMR) from 1990 to 2023</w:t>
      </w:r>
      <w:r w:rsidRPr="000B7E54">
        <w:rPr>
          <w:rFonts w:eastAsia="Times New Roman"/>
          <w:lang w:val="en-IN" w:eastAsia="en-IN"/>
        </w:rPr>
        <w:t xml:space="preserve"> provides critical insights into the patterns and impacts of urbanization in one of India’s fastest-growing metros. The findings reveal a </w:t>
      </w:r>
      <w:r w:rsidRPr="000B7E54">
        <w:rPr>
          <w:rFonts w:eastAsia="Times New Roman"/>
          <w:bCs/>
          <w:lang w:val="en-IN" w:eastAsia="en-IN"/>
        </w:rPr>
        <w:t>significant expansion of built-up areas</w:t>
      </w:r>
      <w:r w:rsidRPr="000B7E54">
        <w:rPr>
          <w:rFonts w:eastAsia="Times New Roman"/>
          <w:lang w:val="en-IN" w:eastAsia="en-IN"/>
        </w:rPr>
        <w:t xml:space="preserve">, which has encroached upon </w:t>
      </w:r>
      <w:r w:rsidRPr="000B7E54">
        <w:rPr>
          <w:rFonts w:eastAsia="Times New Roman"/>
          <w:bCs/>
          <w:lang w:val="en-IN" w:eastAsia="en-IN"/>
        </w:rPr>
        <w:t>agricultural land, green spaces, and water bodies</w:t>
      </w:r>
      <w:r w:rsidRPr="000B7E54">
        <w:rPr>
          <w:rFonts w:eastAsia="Times New Roman"/>
          <w:lang w:val="en-IN" w:eastAsia="en-IN"/>
        </w:rPr>
        <w:t xml:space="preserve">, altering the region’s environmental and spatial structure. The </w:t>
      </w:r>
      <w:r w:rsidRPr="000B7E54">
        <w:rPr>
          <w:rFonts w:eastAsia="Times New Roman"/>
          <w:bCs/>
          <w:lang w:val="en-IN" w:eastAsia="en-IN"/>
        </w:rPr>
        <w:t>rapid urban growth</w:t>
      </w:r>
      <w:r w:rsidRPr="000B7E54">
        <w:rPr>
          <w:rFonts w:eastAsia="Times New Roman"/>
          <w:lang w:val="en-IN" w:eastAsia="en-IN"/>
        </w:rPr>
        <w:t xml:space="preserve"> has been driven by </w:t>
      </w:r>
      <w:r w:rsidRPr="000B7E54">
        <w:rPr>
          <w:rFonts w:eastAsia="Times New Roman"/>
          <w:bCs/>
          <w:lang w:val="en-IN" w:eastAsia="en-IN"/>
        </w:rPr>
        <w:t>Bengaluru’s economic opportunities</w:t>
      </w:r>
      <w:r w:rsidRPr="000B7E54">
        <w:rPr>
          <w:rFonts w:eastAsia="Times New Roman"/>
          <w:lang w:val="en-IN" w:eastAsia="en-IN"/>
        </w:rPr>
        <w:t xml:space="preserve">, attracting migration and resulting in the </w:t>
      </w:r>
      <w:r w:rsidRPr="000B7E54">
        <w:rPr>
          <w:rFonts w:eastAsia="Times New Roman"/>
          <w:bCs/>
          <w:lang w:val="en-IN" w:eastAsia="en-IN"/>
        </w:rPr>
        <w:t>continuous outward sprawl of the metropolitan footprint</w:t>
      </w:r>
      <w:r w:rsidRPr="000B7E54">
        <w:rPr>
          <w:rFonts w:eastAsia="Times New Roman"/>
          <w:lang w:val="en-IN" w:eastAsia="en-IN"/>
        </w:rPr>
        <w:t xml:space="preserve">. However, this unregulated expansion has led to the </w:t>
      </w:r>
      <w:r w:rsidRPr="000B7E54">
        <w:rPr>
          <w:rFonts w:eastAsia="Times New Roman"/>
          <w:bCs/>
          <w:lang w:val="en-IN" w:eastAsia="en-IN"/>
        </w:rPr>
        <w:t>decline of open spaces, loss of lakes, and fragmentation of peri-urban ecosystems</w:t>
      </w:r>
      <w:r w:rsidRPr="000B7E54">
        <w:rPr>
          <w:rFonts w:eastAsia="Times New Roman"/>
          <w:lang w:val="en-IN" w:eastAsia="en-IN"/>
        </w:rPr>
        <w:t xml:space="preserve">, underscoring the </w:t>
      </w:r>
      <w:r w:rsidRPr="000B7E54">
        <w:rPr>
          <w:rFonts w:eastAsia="Times New Roman"/>
          <w:bCs/>
          <w:lang w:val="en-IN" w:eastAsia="en-IN"/>
        </w:rPr>
        <w:t>environmental costs of unmanaged urbanization</w:t>
      </w:r>
      <w:r w:rsidRPr="000B7E54">
        <w:rPr>
          <w:rFonts w:eastAsia="Times New Roman"/>
          <w:lang w:val="en-IN" w:eastAsia="en-IN"/>
        </w:rPr>
        <w:t xml:space="preserve">. These trends mirror global urbanization challenges but also highlight specific local concerns, particularly </w:t>
      </w:r>
      <w:r w:rsidRPr="000B7E54">
        <w:rPr>
          <w:rFonts w:eastAsia="Times New Roman"/>
          <w:bCs/>
          <w:lang w:val="en-IN" w:eastAsia="en-IN"/>
        </w:rPr>
        <w:t>Bengaluru’s dominant role in regional growth</w:t>
      </w:r>
      <w:r w:rsidRPr="000B7E54">
        <w:rPr>
          <w:rFonts w:eastAsia="Times New Roman"/>
          <w:lang w:val="en-IN" w:eastAsia="en-IN"/>
        </w:rPr>
        <w:t xml:space="preserve"> and the widening </w:t>
      </w:r>
      <w:r w:rsidRPr="000B7E54">
        <w:rPr>
          <w:rFonts w:eastAsia="Times New Roman"/>
          <w:bCs/>
          <w:lang w:val="en-IN" w:eastAsia="en-IN"/>
        </w:rPr>
        <w:t>gap between planning policies and actual development patterns</w:t>
      </w:r>
      <w:r w:rsidRPr="000B7E54">
        <w:rPr>
          <w:rFonts w:eastAsia="Times New Roman"/>
          <w:lang w:val="en-IN" w:eastAsia="en-IN"/>
        </w:rPr>
        <w:t>.</w:t>
      </w:r>
    </w:p>
    <w:p w14:paraId="064EF6D2" w14:textId="77777777" w:rsidR="000B7E54" w:rsidRDefault="000B7E54" w:rsidP="0061467B">
      <w:pPr>
        <w:spacing w:after="120" w:line="276" w:lineRule="auto"/>
        <w:ind w:firstLine="720"/>
        <w:jc w:val="both"/>
        <w:rPr>
          <w:rFonts w:eastAsia="Times New Roman"/>
          <w:lang w:val="en-IN" w:eastAsia="en-IN"/>
        </w:rPr>
      </w:pPr>
      <w:r w:rsidRPr="000B7E54">
        <w:rPr>
          <w:rFonts w:eastAsia="Times New Roman"/>
          <w:lang w:val="en-IN" w:eastAsia="en-IN"/>
        </w:rPr>
        <w:t xml:space="preserve">One of the key takeaways from this study is the </w:t>
      </w:r>
      <w:r w:rsidRPr="000B7E54">
        <w:rPr>
          <w:rFonts w:eastAsia="Times New Roman"/>
          <w:bCs/>
          <w:lang w:val="en-IN" w:eastAsia="en-IN"/>
        </w:rPr>
        <w:t>imbalance in regional development</w:t>
      </w:r>
      <w:r w:rsidRPr="000B7E54">
        <w:rPr>
          <w:rFonts w:eastAsia="Times New Roman"/>
          <w:lang w:val="en-IN" w:eastAsia="en-IN"/>
        </w:rPr>
        <w:t xml:space="preserve">. The concentration of </w:t>
      </w:r>
      <w:r w:rsidRPr="000B7E54">
        <w:rPr>
          <w:rFonts w:eastAsia="Times New Roman"/>
          <w:bCs/>
          <w:lang w:val="en-IN" w:eastAsia="en-IN"/>
        </w:rPr>
        <w:t>economic activity and infrastructure in the core city</w:t>
      </w:r>
      <w:r w:rsidRPr="000B7E54">
        <w:rPr>
          <w:rFonts w:eastAsia="Times New Roman"/>
          <w:lang w:val="en-IN" w:eastAsia="en-IN"/>
        </w:rPr>
        <w:t xml:space="preserve"> has resulted in </w:t>
      </w:r>
      <w:r w:rsidRPr="000B7E54">
        <w:rPr>
          <w:rFonts w:eastAsia="Times New Roman"/>
          <w:bCs/>
          <w:lang w:val="en-IN" w:eastAsia="en-IN"/>
        </w:rPr>
        <w:t>overburdening of Bengaluru</w:t>
      </w:r>
      <w:r w:rsidRPr="000B7E54">
        <w:rPr>
          <w:rFonts w:eastAsia="Times New Roman"/>
          <w:lang w:val="en-IN" w:eastAsia="en-IN"/>
        </w:rPr>
        <w:t xml:space="preserve">, while surrounding towns and rural areas remain </w:t>
      </w:r>
      <w:r w:rsidRPr="000B7E54">
        <w:rPr>
          <w:rFonts w:eastAsia="Times New Roman"/>
          <w:bCs/>
          <w:lang w:val="en-IN" w:eastAsia="en-IN"/>
        </w:rPr>
        <w:t>underdeveloped</w:t>
      </w:r>
      <w:r w:rsidRPr="000B7E54">
        <w:rPr>
          <w:rFonts w:eastAsia="Times New Roman"/>
          <w:lang w:val="en-IN" w:eastAsia="en-IN"/>
        </w:rPr>
        <w:t xml:space="preserve">. The LULC analysis indicates that </w:t>
      </w:r>
      <w:r w:rsidRPr="000B7E54">
        <w:rPr>
          <w:rFonts w:eastAsia="Times New Roman"/>
          <w:bCs/>
          <w:lang w:val="en-IN" w:eastAsia="en-IN"/>
        </w:rPr>
        <w:t xml:space="preserve">instead of fostering strong secondary urban </w:t>
      </w:r>
      <w:proofErr w:type="spellStart"/>
      <w:r w:rsidRPr="000B7E54">
        <w:rPr>
          <w:rFonts w:eastAsia="Times New Roman"/>
          <w:bCs/>
          <w:lang w:val="en-IN" w:eastAsia="en-IN"/>
        </w:rPr>
        <w:t>centers</w:t>
      </w:r>
      <w:proofErr w:type="spellEnd"/>
      <w:r w:rsidRPr="000B7E54">
        <w:rPr>
          <w:rFonts w:eastAsia="Times New Roman"/>
          <w:lang w:val="en-IN" w:eastAsia="en-IN"/>
        </w:rPr>
        <w:t xml:space="preserve">, the region has experienced </w:t>
      </w:r>
      <w:r w:rsidRPr="000B7E54">
        <w:rPr>
          <w:rFonts w:eastAsia="Times New Roman"/>
          <w:bCs/>
          <w:lang w:val="en-IN" w:eastAsia="en-IN"/>
        </w:rPr>
        <w:t>low-density sprawl</w:t>
      </w:r>
      <w:r w:rsidRPr="000B7E54">
        <w:rPr>
          <w:rFonts w:eastAsia="Times New Roman"/>
          <w:lang w:val="en-IN" w:eastAsia="en-IN"/>
        </w:rPr>
        <w:t xml:space="preserve">, leading to </w:t>
      </w:r>
      <w:r w:rsidRPr="000B7E54">
        <w:rPr>
          <w:rFonts w:eastAsia="Times New Roman"/>
          <w:bCs/>
          <w:lang w:val="en-IN" w:eastAsia="en-IN"/>
        </w:rPr>
        <w:t>long commutes, increased congestion, and inefficient infrastructure use</w:t>
      </w:r>
      <w:r w:rsidRPr="000B7E54">
        <w:rPr>
          <w:rFonts w:eastAsia="Times New Roman"/>
          <w:lang w:val="en-IN" w:eastAsia="en-IN"/>
        </w:rPr>
        <w:t xml:space="preserve">. This unstructured growth </w:t>
      </w:r>
      <w:r w:rsidRPr="000B7E54">
        <w:rPr>
          <w:rFonts w:eastAsia="Times New Roman"/>
          <w:bCs/>
          <w:lang w:val="en-IN" w:eastAsia="en-IN"/>
        </w:rPr>
        <w:t>contradicts sustainable urban planning principles</w:t>
      </w:r>
      <w:r w:rsidRPr="000B7E54">
        <w:rPr>
          <w:rFonts w:eastAsia="Times New Roman"/>
          <w:lang w:val="en-IN" w:eastAsia="en-IN"/>
        </w:rPr>
        <w:t xml:space="preserve">, which advocate for </w:t>
      </w:r>
      <w:r w:rsidRPr="000B7E54">
        <w:rPr>
          <w:rFonts w:eastAsia="Times New Roman"/>
          <w:bCs/>
          <w:lang w:val="en-IN" w:eastAsia="en-IN"/>
        </w:rPr>
        <w:t>polycentric development and balanced regional expansion</w:t>
      </w:r>
      <w:r w:rsidRPr="000B7E54">
        <w:rPr>
          <w:rFonts w:eastAsia="Times New Roman"/>
          <w:lang w:val="en-IN" w:eastAsia="en-IN"/>
        </w:rPr>
        <w:t xml:space="preserve">. The </w:t>
      </w:r>
      <w:r w:rsidRPr="000B7E54">
        <w:rPr>
          <w:rFonts w:eastAsia="Times New Roman"/>
          <w:bCs/>
          <w:lang w:val="en-IN" w:eastAsia="en-IN"/>
        </w:rPr>
        <w:t>Revised Structure Plan 2031 for BMR</w:t>
      </w:r>
      <w:r w:rsidRPr="000B7E54">
        <w:rPr>
          <w:rFonts w:eastAsia="Times New Roman"/>
          <w:lang w:val="en-IN" w:eastAsia="en-IN"/>
        </w:rPr>
        <w:t xml:space="preserve"> acknowledges these issues and proposes </w:t>
      </w:r>
      <w:r w:rsidRPr="000B7E54">
        <w:rPr>
          <w:rFonts w:eastAsia="Times New Roman"/>
          <w:bCs/>
          <w:lang w:val="en-IN" w:eastAsia="en-IN"/>
        </w:rPr>
        <w:t>decentralized growth nodes</w:t>
      </w:r>
      <w:r w:rsidRPr="000B7E54">
        <w:rPr>
          <w:rFonts w:eastAsia="Times New Roman"/>
          <w:lang w:val="en-IN" w:eastAsia="en-IN"/>
        </w:rPr>
        <w:t xml:space="preserve">, but implementation has been slow. This study reinforces that </w:t>
      </w:r>
      <w:r w:rsidRPr="000B7E54">
        <w:rPr>
          <w:rFonts w:eastAsia="Times New Roman"/>
          <w:bCs/>
          <w:lang w:val="en-IN" w:eastAsia="en-IN"/>
        </w:rPr>
        <w:t>a well-planned, diversified growth strategy is essential</w:t>
      </w:r>
      <w:r w:rsidRPr="000B7E54">
        <w:rPr>
          <w:rFonts w:eastAsia="Times New Roman"/>
          <w:lang w:val="en-IN" w:eastAsia="en-IN"/>
        </w:rPr>
        <w:t xml:space="preserve"> to prevent the </w:t>
      </w:r>
      <w:r w:rsidRPr="000B7E54">
        <w:rPr>
          <w:rFonts w:eastAsia="Times New Roman"/>
          <w:bCs/>
          <w:lang w:val="en-IN" w:eastAsia="en-IN"/>
        </w:rPr>
        <w:t xml:space="preserve">further deterioration of urban </w:t>
      </w:r>
      <w:proofErr w:type="spellStart"/>
      <w:r w:rsidRPr="000B7E54">
        <w:rPr>
          <w:rFonts w:eastAsia="Times New Roman"/>
          <w:bCs/>
          <w:lang w:val="en-IN" w:eastAsia="en-IN"/>
        </w:rPr>
        <w:t>livability</w:t>
      </w:r>
      <w:proofErr w:type="spellEnd"/>
      <w:r w:rsidRPr="000B7E54">
        <w:rPr>
          <w:rFonts w:eastAsia="Times New Roman"/>
          <w:bCs/>
          <w:lang w:val="en-IN" w:eastAsia="en-IN"/>
        </w:rPr>
        <w:t xml:space="preserve"> and environmental sustainability</w:t>
      </w:r>
      <w:r w:rsidRPr="000B7E54">
        <w:rPr>
          <w:rFonts w:eastAsia="Times New Roman"/>
          <w:lang w:val="en-IN" w:eastAsia="en-IN"/>
        </w:rPr>
        <w:t xml:space="preserve">. Without </w:t>
      </w:r>
      <w:r w:rsidRPr="000B7E54">
        <w:rPr>
          <w:rFonts w:eastAsia="Times New Roman"/>
          <w:bCs/>
          <w:lang w:val="en-IN" w:eastAsia="en-IN"/>
        </w:rPr>
        <w:t>proactive policy interventions</w:t>
      </w:r>
      <w:r w:rsidRPr="000B7E54">
        <w:rPr>
          <w:rFonts w:eastAsia="Times New Roman"/>
          <w:lang w:val="en-IN" w:eastAsia="en-IN"/>
        </w:rPr>
        <w:t xml:space="preserve">, BMR risks facing worsening </w:t>
      </w:r>
      <w:r w:rsidRPr="000B7E54">
        <w:rPr>
          <w:rFonts w:eastAsia="Times New Roman"/>
          <w:bCs/>
          <w:lang w:val="en-IN" w:eastAsia="en-IN"/>
        </w:rPr>
        <w:t>traffic congestion, air pollution, water shortages, and climate vulnerabilities</w:t>
      </w:r>
      <w:r w:rsidRPr="000B7E54">
        <w:rPr>
          <w:rFonts w:eastAsia="Times New Roman"/>
          <w:lang w:val="en-IN" w:eastAsia="en-IN"/>
        </w:rPr>
        <w:t xml:space="preserve"> in the coming decades.</w:t>
      </w:r>
    </w:p>
    <w:p w14:paraId="1E5F80EE" w14:textId="77777777" w:rsidR="0061467B" w:rsidRDefault="0061467B" w:rsidP="0061467B">
      <w:pPr>
        <w:spacing w:after="120" w:line="276" w:lineRule="auto"/>
        <w:ind w:firstLine="720"/>
        <w:jc w:val="both"/>
        <w:rPr>
          <w:rFonts w:eastAsia="Times New Roman"/>
          <w:lang w:val="en-IN" w:eastAsia="en-IN"/>
        </w:rPr>
      </w:pPr>
    </w:p>
    <w:p w14:paraId="50E1DC21" w14:textId="77777777" w:rsidR="0061467B" w:rsidRPr="000B7E54" w:rsidRDefault="0061467B" w:rsidP="0061467B">
      <w:pPr>
        <w:spacing w:after="120" w:line="276" w:lineRule="auto"/>
        <w:ind w:firstLine="720"/>
        <w:jc w:val="both"/>
        <w:rPr>
          <w:rFonts w:eastAsia="Times New Roman"/>
          <w:lang w:val="en-IN" w:eastAsia="en-IN"/>
        </w:rPr>
      </w:pPr>
    </w:p>
    <w:p w14:paraId="03C6B8FE" w14:textId="77777777" w:rsidR="000B7E54" w:rsidRPr="000B7E54" w:rsidRDefault="000B7E54" w:rsidP="0061467B">
      <w:pPr>
        <w:spacing w:after="120" w:line="276" w:lineRule="auto"/>
        <w:ind w:firstLine="720"/>
        <w:jc w:val="both"/>
        <w:rPr>
          <w:rFonts w:eastAsia="Times New Roman"/>
          <w:lang w:val="en-IN" w:eastAsia="en-IN"/>
        </w:rPr>
      </w:pPr>
      <w:r w:rsidRPr="000B7E54">
        <w:rPr>
          <w:rFonts w:eastAsia="Times New Roman"/>
          <w:lang w:val="en-IN" w:eastAsia="en-IN"/>
        </w:rPr>
        <w:lastRenderedPageBreak/>
        <w:t xml:space="preserve">Another major insight is the </w:t>
      </w:r>
      <w:r w:rsidRPr="000B7E54">
        <w:rPr>
          <w:rFonts w:eastAsia="Times New Roman"/>
          <w:bCs/>
          <w:lang w:val="en-IN" w:eastAsia="en-IN"/>
        </w:rPr>
        <w:t>value of remote sensing and GIS in urban planning</w:t>
      </w:r>
      <w:r w:rsidRPr="000B7E54">
        <w:rPr>
          <w:rFonts w:eastAsia="Times New Roman"/>
          <w:lang w:val="en-IN" w:eastAsia="en-IN"/>
        </w:rPr>
        <w:t xml:space="preserve">. The ability to </w:t>
      </w:r>
      <w:r w:rsidRPr="000B7E54">
        <w:rPr>
          <w:rFonts w:eastAsia="Times New Roman"/>
          <w:bCs/>
          <w:lang w:val="en-IN" w:eastAsia="en-IN"/>
        </w:rPr>
        <w:t xml:space="preserve">map, quantify, and </w:t>
      </w:r>
      <w:proofErr w:type="spellStart"/>
      <w:r w:rsidRPr="000B7E54">
        <w:rPr>
          <w:rFonts w:eastAsia="Times New Roman"/>
          <w:bCs/>
          <w:lang w:val="en-IN" w:eastAsia="en-IN"/>
        </w:rPr>
        <w:t>analyze</w:t>
      </w:r>
      <w:proofErr w:type="spellEnd"/>
      <w:r w:rsidRPr="000B7E54">
        <w:rPr>
          <w:rFonts w:eastAsia="Times New Roman"/>
          <w:bCs/>
          <w:lang w:val="en-IN" w:eastAsia="en-IN"/>
        </w:rPr>
        <w:t xml:space="preserve"> LULC changes</w:t>
      </w:r>
      <w:r w:rsidRPr="000B7E54">
        <w:rPr>
          <w:rFonts w:eastAsia="Times New Roman"/>
          <w:lang w:val="en-IN" w:eastAsia="en-IN"/>
        </w:rPr>
        <w:t xml:space="preserve"> over time provides </w:t>
      </w:r>
      <w:r w:rsidRPr="000B7E54">
        <w:rPr>
          <w:rFonts w:eastAsia="Times New Roman"/>
          <w:bCs/>
          <w:lang w:val="en-IN" w:eastAsia="en-IN"/>
        </w:rPr>
        <w:t>concrete evidence for policymakers</w:t>
      </w:r>
      <w:r>
        <w:rPr>
          <w:rFonts w:eastAsia="Times New Roman"/>
          <w:lang w:val="en-IN" w:eastAsia="en-IN"/>
        </w:rPr>
        <w:t xml:space="preserve">. The study’s findings </w:t>
      </w:r>
      <w:r w:rsidRPr="000B7E54">
        <w:rPr>
          <w:rFonts w:eastAsia="Times New Roman"/>
          <w:lang w:val="en-IN" w:eastAsia="en-IN"/>
        </w:rPr>
        <w:t xml:space="preserve">such as the </w:t>
      </w:r>
      <w:r w:rsidRPr="000B7E54">
        <w:rPr>
          <w:rFonts w:eastAsia="Times New Roman"/>
          <w:bCs/>
          <w:lang w:val="en-IN" w:eastAsia="en-IN"/>
        </w:rPr>
        <w:t>sevenfold increase in built-up land since 1990</w:t>
      </w:r>
      <w:r w:rsidRPr="000B7E54">
        <w:rPr>
          <w:rFonts w:eastAsia="Times New Roman"/>
          <w:lang w:val="en-IN" w:eastAsia="en-IN"/>
        </w:rPr>
        <w:t xml:space="preserve"> and the </w:t>
      </w:r>
      <w:r w:rsidRPr="000B7E54">
        <w:rPr>
          <w:rFonts w:eastAsia="Times New Roman"/>
          <w:bCs/>
          <w:lang w:val="en-IN" w:eastAsia="en-IN"/>
        </w:rPr>
        <w:t>loss of over 200 km² of agricultural land</w:t>
      </w:r>
      <w:r>
        <w:rPr>
          <w:rFonts w:eastAsia="Times New Roman"/>
          <w:lang w:val="en-IN" w:eastAsia="en-IN"/>
        </w:rPr>
        <w:t xml:space="preserve"> </w:t>
      </w:r>
      <w:r w:rsidRPr="000B7E54">
        <w:rPr>
          <w:rFonts w:eastAsia="Times New Roman"/>
          <w:lang w:val="en-IN" w:eastAsia="en-IN"/>
        </w:rPr>
        <w:t xml:space="preserve">highlight the </w:t>
      </w:r>
      <w:r w:rsidRPr="000B7E54">
        <w:rPr>
          <w:rFonts w:eastAsia="Times New Roman"/>
          <w:bCs/>
          <w:lang w:val="en-IN" w:eastAsia="en-IN"/>
        </w:rPr>
        <w:t>urgent need for stronger land conservation policies</w:t>
      </w:r>
      <w:r w:rsidRPr="000B7E54">
        <w:rPr>
          <w:rFonts w:eastAsia="Times New Roman"/>
          <w:lang w:val="en-IN" w:eastAsia="en-IN"/>
        </w:rPr>
        <w:t xml:space="preserve">. Regular </w:t>
      </w:r>
      <w:r w:rsidRPr="000B7E54">
        <w:rPr>
          <w:rFonts w:eastAsia="Times New Roman"/>
          <w:bCs/>
          <w:lang w:val="en-IN" w:eastAsia="en-IN"/>
        </w:rPr>
        <w:t>spatiotemporal monitoring of urban expansion</w:t>
      </w:r>
      <w:r w:rsidRPr="000B7E54">
        <w:rPr>
          <w:rFonts w:eastAsia="Times New Roman"/>
          <w:lang w:val="en-IN" w:eastAsia="en-IN"/>
        </w:rPr>
        <w:t xml:space="preserve"> should be institutionalized, ideally at </w:t>
      </w:r>
      <w:r w:rsidRPr="000B7E54">
        <w:rPr>
          <w:rFonts w:eastAsia="Times New Roman"/>
          <w:bCs/>
          <w:lang w:val="en-IN" w:eastAsia="en-IN"/>
        </w:rPr>
        <w:t>five-year intervals</w:t>
      </w:r>
      <w:r w:rsidRPr="000B7E54">
        <w:rPr>
          <w:rFonts w:eastAsia="Times New Roman"/>
          <w:lang w:val="en-IN" w:eastAsia="en-IN"/>
        </w:rPr>
        <w:t xml:space="preserve">, to </w:t>
      </w:r>
      <w:r w:rsidRPr="000B7E54">
        <w:rPr>
          <w:rFonts w:eastAsia="Times New Roman"/>
          <w:bCs/>
          <w:lang w:val="en-IN" w:eastAsia="en-IN"/>
        </w:rPr>
        <w:t>track the effectiveness of planning measures</w:t>
      </w:r>
      <w:r w:rsidRPr="000B7E54">
        <w:rPr>
          <w:rFonts w:eastAsia="Times New Roman"/>
          <w:lang w:val="en-IN" w:eastAsia="en-IN"/>
        </w:rPr>
        <w:t xml:space="preserve">. The lack of such monitoring in the past contributed to </w:t>
      </w:r>
      <w:r w:rsidRPr="000B7E54">
        <w:rPr>
          <w:rFonts w:eastAsia="Times New Roman"/>
          <w:bCs/>
          <w:lang w:val="en-IN" w:eastAsia="en-IN"/>
        </w:rPr>
        <w:t>unchecked lake encroachments, layout sprawl, and loss of public spaces</w:t>
      </w:r>
      <w:r w:rsidRPr="000B7E54">
        <w:rPr>
          <w:rFonts w:eastAsia="Times New Roman"/>
          <w:lang w:val="en-IN" w:eastAsia="en-IN"/>
        </w:rPr>
        <w:t xml:space="preserve">. If such </w:t>
      </w:r>
      <w:r w:rsidRPr="000B7E54">
        <w:rPr>
          <w:rFonts w:eastAsia="Times New Roman"/>
          <w:bCs/>
          <w:lang w:val="en-IN" w:eastAsia="en-IN"/>
        </w:rPr>
        <w:t>systematic geospatial analysis</w:t>
      </w:r>
      <w:r w:rsidRPr="000B7E54">
        <w:rPr>
          <w:rFonts w:eastAsia="Times New Roman"/>
          <w:lang w:val="en-IN" w:eastAsia="en-IN"/>
        </w:rPr>
        <w:t xml:space="preserve"> had been integrated into planning, </w:t>
      </w:r>
      <w:r w:rsidRPr="000B7E54">
        <w:rPr>
          <w:rFonts w:eastAsia="Times New Roman"/>
          <w:bCs/>
          <w:lang w:val="en-IN" w:eastAsia="en-IN"/>
        </w:rPr>
        <w:t>corrective actions</w:t>
      </w:r>
      <w:r w:rsidRPr="000B7E54">
        <w:rPr>
          <w:rFonts w:eastAsia="Times New Roman"/>
          <w:lang w:val="en-IN" w:eastAsia="en-IN"/>
        </w:rPr>
        <w:t xml:space="preserve"> could have been taken much earlier. The increasing adoption of </w:t>
      </w:r>
      <w:r w:rsidRPr="000B7E54">
        <w:rPr>
          <w:rFonts w:eastAsia="Times New Roman"/>
          <w:bCs/>
          <w:lang w:val="en-IN" w:eastAsia="en-IN"/>
        </w:rPr>
        <w:t>GIS-based master plans</w:t>
      </w:r>
      <w:r w:rsidRPr="000B7E54">
        <w:rPr>
          <w:rFonts w:eastAsia="Times New Roman"/>
          <w:lang w:val="en-IN" w:eastAsia="en-IN"/>
        </w:rPr>
        <w:t xml:space="preserve"> under programs like </w:t>
      </w:r>
      <w:r w:rsidRPr="000B7E54">
        <w:rPr>
          <w:rFonts w:eastAsia="Times New Roman"/>
          <w:bCs/>
          <w:lang w:val="en-IN" w:eastAsia="en-IN"/>
        </w:rPr>
        <w:t>AMRUT</w:t>
      </w:r>
      <w:r w:rsidRPr="000B7E54">
        <w:rPr>
          <w:rFonts w:eastAsia="Times New Roman"/>
          <w:lang w:val="en-IN" w:eastAsia="en-IN"/>
        </w:rPr>
        <w:t xml:space="preserve"> provides an opportunity to enhance </w:t>
      </w:r>
      <w:r w:rsidRPr="000B7E54">
        <w:rPr>
          <w:rFonts w:eastAsia="Times New Roman"/>
          <w:bCs/>
          <w:lang w:val="en-IN" w:eastAsia="en-IN"/>
        </w:rPr>
        <w:t>data-driven decision-making in urban management</w:t>
      </w:r>
      <w:r w:rsidRPr="000B7E54">
        <w:rPr>
          <w:rFonts w:eastAsia="Times New Roman"/>
          <w:lang w:val="en-IN" w:eastAsia="en-IN"/>
        </w:rPr>
        <w:t>.</w:t>
      </w:r>
    </w:p>
    <w:p w14:paraId="79B39FB8" w14:textId="77777777" w:rsidR="000B7E54" w:rsidRPr="000B7E54" w:rsidRDefault="000B7E54" w:rsidP="0061467B">
      <w:pPr>
        <w:spacing w:after="120" w:line="276" w:lineRule="auto"/>
        <w:ind w:firstLine="720"/>
        <w:jc w:val="both"/>
        <w:rPr>
          <w:rFonts w:eastAsia="Times New Roman"/>
          <w:lang w:val="en-IN" w:eastAsia="en-IN"/>
        </w:rPr>
      </w:pPr>
      <w:r w:rsidRPr="000B7E54">
        <w:rPr>
          <w:rFonts w:eastAsia="Times New Roman"/>
          <w:lang w:val="en-IN" w:eastAsia="en-IN"/>
        </w:rPr>
        <w:t xml:space="preserve">The findings of this study have </w:t>
      </w:r>
      <w:r w:rsidRPr="000B7E54">
        <w:rPr>
          <w:rFonts w:eastAsia="Times New Roman"/>
          <w:bCs/>
          <w:lang w:val="en-IN" w:eastAsia="en-IN"/>
        </w:rPr>
        <w:t>broader implications beyond Bengaluru</w:t>
      </w:r>
      <w:r w:rsidRPr="000B7E54">
        <w:rPr>
          <w:rFonts w:eastAsia="Times New Roman"/>
          <w:lang w:val="en-IN" w:eastAsia="en-IN"/>
        </w:rPr>
        <w:t xml:space="preserve">. Many metropolitan regions in </w:t>
      </w:r>
      <w:r w:rsidRPr="000B7E54">
        <w:rPr>
          <w:rFonts w:eastAsia="Times New Roman"/>
          <w:bCs/>
          <w:lang w:val="en-IN" w:eastAsia="en-IN"/>
        </w:rPr>
        <w:t>India (Delhi NCR, Mumbai MMR, Chennai CMA) and other developing countries</w:t>
      </w:r>
      <w:r w:rsidRPr="000B7E54">
        <w:rPr>
          <w:rFonts w:eastAsia="Times New Roman"/>
          <w:lang w:val="en-IN" w:eastAsia="en-IN"/>
        </w:rPr>
        <w:t xml:space="preserve"> face similar </w:t>
      </w:r>
      <w:r w:rsidRPr="000B7E54">
        <w:rPr>
          <w:rFonts w:eastAsia="Times New Roman"/>
          <w:bCs/>
          <w:lang w:val="en-IN" w:eastAsia="en-IN"/>
        </w:rPr>
        <w:t>challenges of rapid expansion and sprawl</w:t>
      </w:r>
      <w:r w:rsidRPr="000B7E54">
        <w:rPr>
          <w:rFonts w:eastAsia="Times New Roman"/>
          <w:lang w:val="en-IN" w:eastAsia="en-IN"/>
        </w:rPr>
        <w:t xml:space="preserve">. The </w:t>
      </w:r>
      <w:r w:rsidRPr="000B7E54">
        <w:rPr>
          <w:rFonts w:eastAsia="Times New Roman"/>
          <w:bCs/>
          <w:lang w:val="en-IN" w:eastAsia="en-IN"/>
        </w:rPr>
        <w:t>lessons from BMR are clear</w:t>
      </w:r>
      <w:r w:rsidRPr="000B7E54">
        <w:rPr>
          <w:rFonts w:eastAsia="Times New Roman"/>
          <w:lang w:val="en-IN" w:eastAsia="en-IN"/>
        </w:rPr>
        <w:t xml:space="preserve">: </w:t>
      </w:r>
      <w:r w:rsidRPr="000B7E54">
        <w:rPr>
          <w:rFonts w:eastAsia="Times New Roman"/>
          <w:bCs/>
          <w:lang w:val="en-IN" w:eastAsia="en-IN"/>
        </w:rPr>
        <w:t>uncontrolled urbanization leads to inefficient land use and environmental degradation</w:t>
      </w:r>
      <w:r w:rsidRPr="000B7E54">
        <w:rPr>
          <w:rFonts w:eastAsia="Times New Roman"/>
          <w:lang w:val="en-IN" w:eastAsia="en-IN"/>
        </w:rPr>
        <w:t xml:space="preserve">, but </w:t>
      </w:r>
      <w:r w:rsidRPr="000B7E54">
        <w:rPr>
          <w:rFonts w:eastAsia="Times New Roman"/>
          <w:bCs/>
          <w:lang w:val="en-IN" w:eastAsia="en-IN"/>
        </w:rPr>
        <w:t>strategic, evidence-based planning</w:t>
      </w:r>
      <w:r w:rsidRPr="000B7E54">
        <w:rPr>
          <w:rFonts w:eastAsia="Times New Roman"/>
          <w:lang w:val="en-IN" w:eastAsia="en-IN"/>
        </w:rPr>
        <w:t xml:space="preserve"> can help mitigate these issues. The study aligns with </w:t>
      </w:r>
      <w:r w:rsidRPr="000B7E54">
        <w:rPr>
          <w:rFonts w:eastAsia="Times New Roman"/>
          <w:bCs/>
          <w:lang w:val="en-IN" w:eastAsia="en-IN"/>
        </w:rPr>
        <w:t>Sustainable Development Goal 11 (SDG 11)</w:t>
      </w:r>
      <w:r w:rsidRPr="000B7E54">
        <w:rPr>
          <w:rFonts w:eastAsia="Times New Roman"/>
          <w:lang w:val="en-IN" w:eastAsia="en-IN"/>
        </w:rPr>
        <w:t xml:space="preserve">, which advocates for </w:t>
      </w:r>
      <w:r w:rsidRPr="000B7E54">
        <w:rPr>
          <w:rFonts w:eastAsia="Times New Roman"/>
          <w:bCs/>
          <w:lang w:val="en-IN" w:eastAsia="en-IN"/>
        </w:rPr>
        <w:t>inclusive, safe, resilient, and sustainable cities</w:t>
      </w:r>
      <w:r w:rsidRPr="000B7E54">
        <w:rPr>
          <w:rFonts w:eastAsia="Times New Roman"/>
          <w:lang w:val="en-IN" w:eastAsia="en-IN"/>
        </w:rPr>
        <w:t xml:space="preserve">. For Bengaluru, achieving these goals will require </w:t>
      </w:r>
      <w:r w:rsidRPr="000B7E54">
        <w:rPr>
          <w:rFonts w:eastAsia="Times New Roman"/>
          <w:bCs/>
          <w:lang w:val="en-IN" w:eastAsia="en-IN"/>
        </w:rPr>
        <w:t>curbing unmanaged sprawl, strengthening regional planning, investing in public transport, and preserving critical natural assets like lakes and green belts</w:t>
      </w:r>
      <w:r w:rsidRPr="000B7E54">
        <w:rPr>
          <w:rFonts w:eastAsia="Times New Roman"/>
          <w:lang w:val="en-IN" w:eastAsia="en-IN"/>
        </w:rPr>
        <w:t>.</w:t>
      </w:r>
    </w:p>
    <w:p w14:paraId="7B033F90" w14:textId="77777777" w:rsidR="000B7E54" w:rsidRDefault="000B7E54" w:rsidP="0061467B">
      <w:pPr>
        <w:spacing w:after="120" w:line="276" w:lineRule="auto"/>
        <w:ind w:firstLine="720"/>
        <w:jc w:val="both"/>
        <w:rPr>
          <w:rFonts w:eastAsia="Times New Roman"/>
          <w:lang w:val="en-IN" w:eastAsia="en-IN"/>
        </w:rPr>
      </w:pPr>
      <w:r w:rsidRPr="000B7E54">
        <w:rPr>
          <w:rFonts w:eastAsia="Times New Roman"/>
          <w:lang w:val="en-IN" w:eastAsia="en-IN"/>
        </w:rPr>
        <w:t xml:space="preserve">In conclusion, </w:t>
      </w:r>
      <w:r w:rsidRPr="000B7E54">
        <w:rPr>
          <w:rFonts w:eastAsia="Times New Roman"/>
          <w:bCs/>
          <w:lang w:val="en-IN" w:eastAsia="en-IN"/>
        </w:rPr>
        <w:t>BMR’s urban evolution over the past three decades reflects the complex duality of urbanization</w:t>
      </w:r>
      <w:r w:rsidR="00291DAB">
        <w:rPr>
          <w:rFonts w:eastAsia="Times New Roman"/>
          <w:lang w:val="en-IN" w:eastAsia="en-IN"/>
        </w:rPr>
        <w:t xml:space="preserve"> </w:t>
      </w:r>
      <w:r w:rsidRPr="000B7E54">
        <w:rPr>
          <w:rFonts w:eastAsia="Times New Roman"/>
          <w:lang w:val="en-IN" w:eastAsia="en-IN"/>
        </w:rPr>
        <w:t xml:space="preserve">it has </w:t>
      </w:r>
      <w:r w:rsidRPr="000B7E54">
        <w:rPr>
          <w:rFonts w:eastAsia="Times New Roman"/>
          <w:bCs/>
          <w:lang w:val="en-IN" w:eastAsia="en-IN"/>
        </w:rPr>
        <w:t>driven economic progress but also created major spatial and environmental challenges</w:t>
      </w:r>
      <w:r w:rsidRPr="000B7E54">
        <w:rPr>
          <w:rFonts w:eastAsia="Times New Roman"/>
          <w:lang w:val="en-IN" w:eastAsia="en-IN"/>
        </w:rPr>
        <w:t xml:space="preserve">. This study’s </w:t>
      </w:r>
      <w:r w:rsidRPr="000B7E54">
        <w:rPr>
          <w:rFonts w:eastAsia="Times New Roman"/>
          <w:bCs/>
          <w:lang w:val="en-IN" w:eastAsia="en-IN"/>
        </w:rPr>
        <w:t>detailed LULC analysis provides an empirical foundation</w:t>
      </w:r>
      <w:r w:rsidRPr="000B7E54">
        <w:rPr>
          <w:rFonts w:eastAsia="Times New Roman"/>
          <w:lang w:val="en-IN" w:eastAsia="en-IN"/>
        </w:rPr>
        <w:t xml:space="preserve"> for addressing these issues and guiding </w:t>
      </w:r>
      <w:r w:rsidRPr="000B7E54">
        <w:rPr>
          <w:rFonts w:eastAsia="Times New Roman"/>
          <w:bCs/>
          <w:lang w:val="en-IN" w:eastAsia="en-IN"/>
        </w:rPr>
        <w:t>future planning strategies</w:t>
      </w:r>
      <w:r w:rsidRPr="000B7E54">
        <w:rPr>
          <w:rFonts w:eastAsia="Times New Roman"/>
          <w:lang w:val="en-IN" w:eastAsia="en-IN"/>
        </w:rPr>
        <w:t xml:space="preserve">. Implementing the </w:t>
      </w:r>
      <w:r w:rsidRPr="000B7E54">
        <w:rPr>
          <w:rFonts w:eastAsia="Times New Roman"/>
          <w:bCs/>
          <w:lang w:val="en-IN" w:eastAsia="en-IN"/>
        </w:rPr>
        <w:t>recommendations outlined</w:t>
      </w:r>
      <w:r w:rsidRPr="000B7E54">
        <w:rPr>
          <w:rFonts w:eastAsia="Times New Roman"/>
          <w:lang w:val="en-IN" w:eastAsia="en-IN"/>
        </w:rPr>
        <w:t xml:space="preserve"> in this study can help steer BMR toward </w:t>
      </w:r>
      <w:r w:rsidRPr="000B7E54">
        <w:rPr>
          <w:rFonts w:eastAsia="Times New Roman"/>
          <w:bCs/>
          <w:lang w:val="en-IN" w:eastAsia="en-IN"/>
        </w:rPr>
        <w:t>a more sustainable urban trajectory</w:t>
      </w:r>
      <w:r w:rsidRPr="000B7E54">
        <w:rPr>
          <w:rFonts w:eastAsia="Times New Roman"/>
          <w:lang w:val="en-IN" w:eastAsia="en-IN"/>
        </w:rPr>
        <w:t xml:space="preserve">. Future research should focus on </w:t>
      </w:r>
      <w:r w:rsidRPr="000B7E54">
        <w:rPr>
          <w:rFonts w:eastAsia="Times New Roman"/>
          <w:bCs/>
          <w:lang w:val="en-IN" w:eastAsia="en-IN"/>
        </w:rPr>
        <w:t xml:space="preserve">predictive </w:t>
      </w:r>
      <w:proofErr w:type="spellStart"/>
      <w:r w:rsidRPr="000B7E54">
        <w:rPr>
          <w:rFonts w:eastAsia="Times New Roman"/>
          <w:bCs/>
          <w:lang w:val="en-IN" w:eastAsia="en-IN"/>
        </w:rPr>
        <w:t>modeling</w:t>
      </w:r>
      <w:proofErr w:type="spellEnd"/>
      <w:r w:rsidRPr="000B7E54">
        <w:rPr>
          <w:rFonts w:eastAsia="Times New Roman"/>
          <w:bCs/>
          <w:lang w:val="en-IN" w:eastAsia="en-IN"/>
        </w:rPr>
        <w:t xml:space="preserve"> of land use trends for 2035 and beyond</w:t>
      </w:r>
      <w:r w:rsidRPr="000B7E54">
        <w:rPr>
          <w:rFonts w:eastAsia="Times New Roman"/>
          <w:lang w:val="en-IN" w:eastAsia="en-IN"/>
        </w:rPr>
        <w:t xml:space="preserve">, along with </w:t>
      </w:r>
      <w:r w:rsidRPr="000B7E54">
        <w:rPr>
          <w:rFonts w:eastAsia="Times New Roman"/>
          <w:bCs/>
          <w:lang w:val="en-IN" w:eastAsia="en-IN"/>
        </w:rPr>
        <w:t>examining socio-economic drivers like land markets, migration patterns, and policy effectiveness</w:t>
      </w:r>
      <w:r w:rsidRPr="000B7E54">
        <w:rPr>
          <w:rFonts w:eastAsia="Times New Roman"/>
          <w:lang w:val="en-IN" w:eastAsia="en-IN"/>
        </w:rPr>
        <w:t xml:space="preserve">. Ultimately, managing Bengaluru’s expansion is not just about regulating land use—it is about ensuring the </w:t>
      </w:r>
      <w:r w:rsidRPr="000B7E54">
        <w:rPr>
          <w:rFonts w:eastAsia="Times New Roman"/>
          <w:bCs/>
          <w:lang w:val="en-IN" w:eastAsia="en-IN"/>
        </w:rPr>
        <w:t xml:space="preserve">region remains </w:t>
      </w:r>
      <w:proofErr w:type="spellStart"/>
      <w:r w:rsidRPr="000B7E54">
        <w:rPr>
          <w:rFonts w:eastAsia="Times New Roman"/>
          <w:bCs/>
          <w:lang w:val="en-IN" w:eastAsia="en-IN"/>
        </w:rPr>
        <w:t>livable</w:t>
      </w:r>
      <w:proofErr w:type="spellEnd"/>
      <w:r w:rsidRPr="000B7E54">
        <w:rPr>
          <w:rFonts w:eastAsia="Times New Roman"/>
          <w:bCs/>
          <w:lang w:val="en-IN" w:eastAsia="en-IN"/>
        </w:rPr>
        <w:t>, economically dynamic, and ecologically resilient for future generations</w:t>
      </w:r>
      <w:r w:rsidRPr="000B7E54">
        <w:rPr>
          <w:rFonts w:eastAsia="Times New Roman"/>
          <w:lang w:val="en-IN" w:eastAsia="en-IN"/>
        </w:rPr>
        <w:t xml:space="preserve">. By </w:t>
      </w:r>
      <w:r w:rsidRPr="000B7E54">
        <w:rPr>
          <w:rFonts w:eastAsia="Times New Roman"/>
          <w:bCs/>
          <w:lang w:val="en-IN" w:eastAsia="en-IN"/>
        </w:rPr>
        <w:t>learning from past trends and adopting adaptive, data-driven planning</w:t>
      </w:r>
      <w:r w:rsidRPr="000B7E54">
        <w:rPr>
          <w:rFonts w:eastAsia="Times New Roman"/>
          <w:lang w:val="en-IN" w:eastAsia="en-IN"/>
        </w:rPr>
        <w:t xml:space="preserve">, BMR has the potential to become a </w:t>
      </w:r>
      <w:r w:rsidRPr="000B7E54">
        <w:rPr>
          <w:rFonts w:eastAsia="Times New Roman"/>
          <w:bCs/>
          <w:lang w:val="en-IN" w:eastAsia="en-IN"/>
        </w:rPr>
        <w:t>model for sustainable urbanization in the developing world</w:t>
      </w:r>
      <w:r w:rsidRPr="000B7E54">
        <w:rPr>
          <w:rFonts w:eastAsia="Times New Roman"/>
          <w:lang w:val="en-IN" w:eastAsia="en-IN"/>
        </w:rPr>
        <w:t>.</w:t>
      </w:r>
    </w:p>
    <w:p w14:paraId="46AA82E7" w14:textId="6C20D08C" w:rsidR="00D536F4" w:rsidRPr="0061467B" w:rsidRDefault="0061467B" w:rsidP="0061467B">
      <w:pPr>
        <w:pStyle w:val="IEEEParagraph"/>
        <w:tabs>
          <w:tab w:val="left" w:pos="3524"/>
        </w:tabs>
        <w:ind w:hanging="5391"/>
        <w:rPr>
          <w:b/>
          <w:sz w:val="24"/>
          <w:szCs w:val="22"/>
          <w:lang w:val="en-US"/>
        </w:rPr>
      </w:pPr>
      <w:r>
        <w:rPr>
          <w:lang w:val="en-US"/>
        </w:rPr>
        <w:tab/>
      </w:r>
      <w:r w:rsidR="004C663E">
        <w:rPr>
          <w:b/>
          <w:sz w:val="24"/>
          <w:szCs w:val="22"/>
          <w:lang w:val="en-US"/>
        </w:rPr>
        <w:t xml:space="preserve">References </w:t>
      </w:r>
    </w:p>
    <w:p w14:paraId="166CC10C" w14:textId="77777777" w:rsidR="001E1E80" w:rsidRPr="0061467B" w:rsidRDefault="001E1E80" w:rsidP="0061467B">
      <w:pPr>
        <w:pStyle w:val="IEEEParagraph"/>
        <w:ind w:firstLine="0"/>
        <w:rPr>
          <w:b/>
          <w:sz w:val="22"/>
          <w:szCs w:val="22"/>
          <w:lang w:val="en-US"/>
        </w:rPr>
      </w:pPr>
    </w:p>
    <w:p w14:paraId="653696C4" w14:textId="77777777" w:rsidR="001E1E80" w:rsidRPr="0061467B" w:rsidRDefault="001E1E80" w:rsidP="0061467B">
      <w:pPr>
        <w:pStyle w:val="ListParagraph"/>
        <w:numPr>
          <w:ilvl w:val="0"/>
          <w:numId w:val="28"/>
        </w:numPr>
        <w:ind w:left="357" w:hanging="357"/>
        <w:rPr>
          <w:rFonts w:eastAsiaTheme="minorHAnsi"/>
          <w:lang w:val="en-IN"/>
        </w:rPr>
      </w:pPr>
      <w:r w:rsidRPr="0061467B">
        <w:rPr>
          <w:rFonts w:eastAsiaTheme="minorHAnsi"/>
          <w:lang w:val="en-IN"/>
        </w:rPr>
        <w:t xml:space="preserve">Bangalore Metropolitan Region Development Authority (BMRDA). (2017). </w:t>
      </w:r>
      <w:r w:rsidRPr="0061467B">
        <w:rPr>
          <w:rFonts w:eastAsiaTheme="minorHAnsi"/>
          <w:i/>
          <w:iCs/>
          <w:lang w:val="en-IN"/>
        </w:rPr>
        <w:t>Revised Structure Plan – 2031: Bangalore Metropolitan Region (Final Report)</w:t>
      </w:r>
      <w:r w:rsidRPr="0061467B">
        <w:rPr>
          <w:rFonts w:eastAsiaTheme="minorHAnsi"/>
          <w:lang w:val="en-IN"/>
        </w:rPr>
        <w:t>. Bangalore: BMRDA.</w:t>
      </w:r>
    </w:p>
    <w:p w14:paraId="7A42B9E3" w14:textId="77777777" w:rsidR="001E1E80" w:rsidRPr="0061467B" w:rsidRDefault="001E1E80" w:rsidP="0061467B">
      <w:pPr>
        <w:pStyle w:val="ListParagraph"/>
        <w:numPr>
          <w:ilvl w:val="0"/>
          <w:numId w:val="28"/>
        </w:numPr>
        <w:ind w:left="357" w:hanging="357"/>
        <w:rPr>
          <w:rFonts w:eastAsiaTheme="minorHAnsi"/>
          <w:lang w:val="en-IN"/>
        </w:rPr>
      </w:pPr>
      <w:r w:rsidRPr="0061467B">
        <w:rPr>
          <w:rFonts w:eastAsiaTheme="minorHAnsi"/>
          <w:lang w:val="en-IN"/>
        </w:rPr>
        <w:t xml:space="preserve">Census of India. (2011). </w:t>
      </w:r>
      <w:r w:rsidRPr="0061467B">
        <w:rPr>
          <w:rFonts w:eastAsiaTheme="minorHAnsi"/>
          <w:i/>
          <w:iCs/>
          <w:lang w:val="en-IN"/>
        </w:rPr>
        <w:t>Provisional Population Totals, Census 2011 – Karnataka (Series 30)</w:t>
      </w:r>
      <w:r w:rsidRPr="0061467B">
        <w:rPr>
          <w:rFonts w:eastAsiaTheme="minorHAnsi"/>
          <w:lang w:val="en-IN"/>
        </w:rPr>
        <w:t>. Office of the Registrar General &amp; Census Commissioner, India.</w:t>
      </w:r>
    </w:p>
    <w:p w14:paraId="6CE22DC0" w14:textId="77777777" w:rsidR="001E1E80" w:rsidRPr="0061467B" w:rsidRDefault="001E1E80" w:rsidP="0061467B">
      <w:pPr>
        <w:pStyle w:val="ListParagraph"/>
        <w:numPr>
          <w:ilvl w:val="0"/>
          <w:numId w:val="28"/>
        </w:numPr>
        <w:ind w:left="357" w:hanging="357"/>
        <w:rPr>
          <w:rFonts w:eastAsiaTheme="minorHAnsi"/>
          <w:lang w:val="en-IN"/>
        </w:rPr>
      </w:pPr>
      <w:proofErr w:type="spellStart"/>
      <w:r w:rsidRPr="0061467B">
        <w:rPr>
          <w:rFonts w:eastAsiaTheme="minorHAnsi"/>
          <w:lang w:val="en-IN"/>
        </w:rPr>
        <w:t>Dehingia</w:t>
      </w:r>
      <w:proofErr w:type="spellEnd"/>
      <w:r w:rsidRPr="0061467B">
        <w:rPr>
          <w:rFonts w:eastAsiaTheme="minorHAnsi"/>
          <w:lang w:val="en-IN"/>
        </w:rPr>
        <w:t xml:space="preserve">, H., Das, R. R., Rahaman, S. A., Surendra, P., &amp; </w:t>
      </w:r>
      <w:proofErr w:type="spellStart"/>
      <w:r w:rsidRPr="0061467B">
        <w:rPr>
          <w:rFonts w:eastAsiaTheme="minorHAnsi"/>
          <w:lang w:val="en-IN"/>
        </w:rPr>
        <w:t>Hanjagi</w:t>
      </w:r>
      <w:proofErr w:type="spellEnd"/>
      <w:r w:rsidRPr="0061467B">
        <w:rPr>
          <w:rFonts w:eastAsiaTheme="minorHAnsi"/>
          <w:lang w:val="en-IN"/>
        </w:rPr>
        <w:t xml:space="preserve">, A. D. (2022). Decadal transformation of land use-land cover and future spatial expansion in Bangalore Metropolitan Region, India: Open-source geospatial machine learning approach. </w:t>
      </w:r>
      <w:r w:rsidRPr="0061467B">
        <w:rPr>
          <w:rFonts w:eastAsiaTheme="minorHAnsi"/>
          <w:i/>
          <w:iCs/>
          <w:lang w:val="en-IN"/>
        </w:rPr>
        <w:t>International Archives of the Photogrammetry, Remote Sensing and Spatial Information Sciences</w:t>
      </w:r>
      <w:r w:rsidRPr="0061467B">
        <w:rPr>
          <w:rFonts w:eastAsiaTheme="minorHAnsi"/>
          <w:lang w:val="en-IN"/>
        </w:rPr>
        <w:t>, XLIII-B3-2022, 589–596.</w:t>
      </w:r>
    </w:p>
    <w:p w14:paraId="3C021B5B" w14:textId="77777777" w:rsidR="0061467B" w:rsidRPr="0061467B" w:rsidRDefault="001E1E80" w:rsidP="0061467B">
      <w:pPr>
        <w:pStyle w:val="ListParagraph"/>
        <w:numPr>
          <w:ilvl w:val="0"/>
          <w:numId w:val="28"/>
        </w:numPr>
        <w:ind w:left="357" w:hanging="357"/>
        <w:rPr>
          <w:rFonts w:eastAsiaTheme="minorHAnsi"/>
          <w:lang w:val="en-IN"/>
        </w:rPr>
      </w:pPr>
      <w:r w:rsidRPr="0061467B">
        <w:rPr>
          <w:rFonts w:eastAsiaTheme="minorHAnsi"/>
          <w:lang w:val="en-IN"/>
        </w:rPr>
        <w:t xml:space="preserve">Government of India. (2015). </w:t>
      </w:r>
      <w:r w:rsidRPr="0061467B">
        <w:rPr>
          <w:rFonts w:eastAsiaTheme="minorHAnsi"/>
          <w:i/>
          <w:iCs/>
          <w:lang w:val="en-IN"/>
        </w:rPr>
        <w:t>Smart Cities Mission: A step towards Smart India</w:t>
      </w:r>
      <w:r w:rsidRPr="0061467B">
        <w:rPr>
          <w:rFonts w:eastAsiaTheme="minorHAnsi"/>
          <w:lang w:val="en-IN"/>
        </w:rPr>
        <w:t xml:space="preserve"> (</w:t>
      </w:r>
      <w:hyperlink r:id="rId11" w:anchor=":~:text=of%20GDP%20%28Census%202011%29,the%20quality%20of%20life%20and" w:history="1">
        <w:r w:rsidRPr="0061467B">
          <w:rPr>
            <w:rFonts w:eastAsiaTheme="minorHAnsi"/>
            <w:color w:val="0563C1" w:themeColor="hyperlink"/>
            <w:u w:val="single"/>
            <w:lang w:val="en-IN"/>
          </w:rPr>
          <w:t>Smart Cities Mission: A step towards Smart India| National Portal of India</w:t>
        </w:r>
      </w:hyperlink>
      <w:r w:rsidRPr="0061467B">
        <w:rPr>
          <w:rFonts w:eastAsiaTheme="minorHAnsi"/>
          <w:lang w:val="en-IN"/>
        </w:rPr>
        <w:t xml:space="preserve">). Ministry of Housing and Urban Affairs, New Delhi. Retrieved from </w:t>
      </w:r>
      <w:hyperlink r:id="rId12" w:history="1">
        <w:r w:rsidRPr="0061467B">
          <w:rPr>
            <w:rFonts w:eastAsiaTheme="minorHAnsi"/>
            <w:color w:val="0563C1" w:themeColor="hyperlink"/>
            <w:u w:val="single"/>
            <w:lang w:val="en-IN"/>
          </w:rPr>
          <w:t>https://www.india.gov.in/spotlight/smart-cities-mission-step-towards-smart-india</w:t>
        </w:r>
      </w:hyperlink>
    </w:p>
    <w:p w14:paraId="37E04E99" w14:textId="77777777" w:rsidR="001E1E80" w:rsidRPr="0061467B" w:rsidRDefault="001E1E80" w:rsidP="0061467B">
      <w:pPr>
        <w:pStyle w:val="ListParagraph"/>
        <w:numPr>
          <w:ilvl w:val="0"/>
          <w:numId w:val="28"/>
        </w:numPr>
        <w:ind w:left="357" w:hanging="357"/>
        <w:rPr>
          <w:rFonts w:eastAsiaTheme="minorHAnsi"/>
          <w:lang w:val="en-IN"/>
        </w:rPr>
      </w:pPr>
      <w:proofErr w:type="spellStart"/>
      <w:r w:rsidRPr="0061467B">
        <w:rPr>
          <w:rFonts w:eastAsiaTheme="minorHAnsi"/>
          <w:lang w:val="en-IN"/>
        </w:rPr>
        <w:lastRenderedPageBreak/>
        <w:t>Janaagraha</w:t>
      </w:r>
      <w:proofErr w:type="spellEnd"/>
      <w:r w:rsidRPr="0061467B">
        <w:rPr>
          <w:rFonts w:eastAsiaTheme="minorHAnsi"/>
          <w:lang w:val="en-IN"/>
        </w:rPr>
        <w:t xml:space="preserve"> Centre for Citizenship and Democracy. (2021). </w:t>
      </w:r>
      <w:r w:rsidRPr="0061467B">
        <w:rPr>
          <w:rFonts w:eastAsiaTheme="minorHAnsi"/>
          <w:i/>
          <w:iCs/>
          <w:lang w:val="en-IN"/>
        </w:rPr>
        <w:t>Annual Survey of India’s City-Systems 2020</w:t>
      </w:r>
      <w:r w:rsidRPr="0061467B">
        <w:rPr>
          <w:rFonts w:eastAsiaTheme="minorHAnsi"/>
          <w:lang w:val="en-IN"/>
        </w:rPr>
        <w:t xml:space="preserve">. Bangalore: </w:t>
      </w:r>
      <w:proofErr w:type="spellStart"/>
      <w:r w:rsidRPr="0061467B">
        <w:rPr>
          <w:rFonts w:eastAsiaTheme="minorHAnsi"/>
          <w:lang w:val="en-IN"/>
        </w:rPr>
        <w:t>Janaagraha</w:t>
      </w:r>
      <w:proofErr w:type="spellEnd"/>
      <w:r w:rsidRPr="0061467B">
        <w:rPr>
          <w:rFonts w:eastAsiaTheme="minorHAnsi"/>
          <w:lang w:val="en-IN"/>
        </w:rPr>
        <w:t>.</w:t>
      </w:r>
    </w:p>
    <w:p w14:paraId="33340392" w14:textId="77777777" w:rsidR="001E1E80" w:rsidRPr="0061467B" w:rsidRDefault="001E1E80" w:rsidP="0061467B">
      <w:pPr>
        <w:pStyle w:val="ListParagraph"/>
        <w:numPr>
          <w:ilvl w:val="0"/>
          <w:numId w:val="28"/>
        </w:numPr>
        <w:ind w:left="357" w:hanging="357"/>
        <w:rPr>
          <w:rFonts w:eastAsiaTheme="minorHAnsi"/>
          <w:lang w:val="en-IN"/>
        </w:rPr>
      </w:pPr>
      <w:r w:rsidRPr="0061467B">
        <w:rPr>
          <w:rFonts w:eastAsiaTheme="minorHAnsi"/>
          <w:lang w:val="en-IN"/>
        </w:rPr>
        <w:t xml:space="preserve">McKinsey Global Institute. (2010). </w:t>
      </w:r>
      <w:r w:rsidRPr="0061467B">
        <w:rPr>
          <w:rFonts w:eastAsiaTheme="minorHAnsi"/>
          <w:i/>
          <w:iCs/>
          <w:lang w:val="en-IN"/>
        </w:rPr>
        <w:t>India’s urban awakening: Building inclusive cities, sustaining economic growth</w:t>
      </w:r>
      <w:r w:rsidRPr="0061467B">
        <w:rPr>
          <w:rFonts w:eastAsiaTheme="minorHAnsi"/>
          <w:lang w:val="en-IN"/>
        </w:rPr>
        <w:t>. McKinsey &amp; Company (</w:t>
      </w:r>
      <w:hyperlink r:id="rId13" w:anchor=":~:text=,%28UN%20DESA%2C%202014" w:history="1">
        <w:r w:rsidRPr="0061467B">
          <w:rPr>
            <w:rFonts w:eastAsiaTheme="minorHAnsi"/>
            <w:color w:val="0563C1" w:themeColor="hyperlink"/>
            <w:u w:val="single"/>
            <w:lang w:val="en-IN"/>
          </w:rPr>
          <w:t>Urban Resilience - Urbanisation</w:t>
        </w:r>
      </w:hyperlink>
      <w:r w:rsidRPr="0061467B">
        <w:rPr>
          <w:rFonts w:eastAsiaTheme="minorHAnsi"/>
          <w:lang w:val="en-IN"/>
        </w:rPr>
        <w:t>).</w:t>
      </w:r>
    </w:p>
    <w:p w14:paraId="6D79D685" w14:textId="77777777" w:rsidR="001E1E80" w:rsidRPr="0061467B" w:rsidRDefault="001E1E80" w:rsidP="0061467B">
      <w:pPr>
        <w:pStyle w:val="ListParagraph"/>
        <w:numPr>
          <w:ilvl w:val="0"/>
          <w:numId w:val="28"/>
        </w:numPr>
        <w:ind w:left="357" w:hanging="357"/>
        <w:rPr>
          <w:rFonts w:eastAsiaTheme="minorHAnsi"/>
          <w:lang w:val="en-IN"/>
        </w:rPr>
      </w:pPr>
      <w:r w:rsidRPr="0061467B">
        <w:rPr>
          <w:rFonts w:eastAsiaTheme="minorHAnsi"/>
          <w:lang w:val="en-IN"/>
        </w:rPr>
        <w:t xml:space="preserve">National Institute of Urban Affairs (NIUA). (2022). </w:t>
      </w:r>
      <w:r w:rsidRPr="0061467B">
        <w:rPr>
          <w:rFonts w:eastAsiaTheme="minorHAnsi"/>
          <w:i/>
          <w:iCs/>
          <w:lang w:val="en-IN"/>
        </w:rPr>
        <w:t>About NIUA – Shaping India’s Urban Future</w:t>
      </w:r>
      <w:r w:rsidRPr="0061467B">
        <w:rPr>
          <w:rFonts w:eastAsiaTheme="minorHAnsi"/>
          <w:lang w:val="en-IN"/>
        </w:rPr>
        <w:t xml:space="preserve"> (</w:t>
      </w:r>
      <w:hyperlink r:id="rId14" w:anchor=":~:text=The%20National%20Institute%20of%20Urban,since%20its%20establishment%20in%201976" w:history="1">
        <w:r w:rsidRPr="0061467B">
          <w:rPr>
            <w:rFonts w:eastAsiaTheme="minorHAnsi"/>
            <w:color w:val="0563C1" w:themeColor="hyperlink"/>
            <w:u w:val="single"/>
            <w:lang w:val="en-IN"/>
          </w:rPr>
          <w:t>Welcome to NIUA | NIUA</w:t>
        </w:r>
      </w:hyperlink>
      <w:r w:rsidRPr="0061467B">
        <w:rPr>
          <w:rFonts w:eastAsiaTheme="minorHAnsi"/>
          <w:lang w:val="en-IN"/>
        </w:rPr>
        <w:t xml:space="preserve">). New Delhi: NIUA. Retrieved from </w:t>
      </w:r>
      <w:hyperlink r:id="rId15" w:history="1">
        <w:r w:rsidRPr="0061467B">
          <w:rPr>
            <w:rFonts w:eastAsiaTheme="minorHAnsi"/>
            <w:color w:val="0563C1" w:themeColor="hyperlink"/>
            <w:u w:val="single"/>
            <w:lang w:val="en-IN"/>
          </w:rPr>
          <w:t>https://niua.in</w:t>
        </w:r>
      </w:hyperlink>
    </w:p>
    <w:p w14:paraId="7627AE64" w14:textId="77777777" w:rsidR="001E1E80" w:rsidRPr="0061467B" w:rsidRDefault="001E1E80" w:rsidP="0061467B">
      <w:pPr>
        <w:pStyle w:val="ListParagraph"/>
        <w:numPr>
          <w:ilvl w:val="0"/>
          <w:numId w:val="28"/>
        </w:numPr>
        <w:ind w:left="357" w:hanging="357"/>
        <w:rPr>
          <w:rFonts w:eastAsiaTheme="minorHAnsi"/>
          <w:lang w:val="en-IN"/>
        </w:rPr>
      </w:pPr>
      <w:r w:rsidRPr="0061467B">
        <w:rPr>
          <w:rFonts w:eastAsiaTheme="minorHAnsi"/>
          <w:lang w:val="en-IN"/>
        </w:rPr>
        <w:t xml:space="preserve">NITI Aayog. (2021). </w:t>
      </w:r>
      <w:r w:rsidRPr="0061467B">
        <w:rPr>
          <w:rFonts w:eastAsiaTheme="minorHAnsi"/>
          <w:i/>
          <w:iCs/>
          <w:lang w:val="en-IN"/>
        </w:rPr>
        <w:t>Reforms in Urban Planning Capacity in India</w:t>
      </w:r>
      <w:r w:rsidRPr="0061467B">
        <w:rPr>
          <w:rFonts w:eastAsiaTheme="minorHAnsi"/>
          <w:lang w:val="en-IN"/>
        </w:rPr>
        <w:t xml:space="preserve"> (Report of the Advisory Committee). New Delhi: NITI Aayog (</w:t>
      </w:r>
      <w:hyperlink r:id="rId16" w:anchor=":~:text=,Key%20observations%20and%20recommendations%20include" w:history="1">
        <w:r w:rsidRPr="0061467B">
          <w:rPr>
            <w:rFonts w:eastAsiaTheme="minorHAnsi"/>
            <w:color w:val="0563C1" w:themeColor="hyperlink"/>
            <w:u w:val="single"/>
            <w:lang w:val="en-IN"/>
          </w:rPr>
          <w:t>Committee Reports</w:t>
        </w:r>
      </w:hyperlink>
      <w:r w:rsidRPr="0061467B">
        <w:rPr>
          <w:rFonts w:eastAsiaTheme="minorHAnsi"/>
          <w:lang w:val="en-IN"/>
        </w:rPr>
        <w:t>) ().</w:t>
      </w:r>
    </w:p>
    <w:p w14:paraId="6B5A18C1" w14:textId="77777777" w:rsidR="001E1E80" w:rsidRPr="0061467B" w:rsidRDefault="001E1E80" w:rsidP="0061467B">
      <w:pPr>
        <w:pStyle w:val="ListParagraph"/>
        <w:numPr>
          <w:ilvl w:val="0"/>
          <w:numId w:val="28"/>
        </w:numPr>
        <w:ind w:left="357" w:hanging="357"/>
        <w:rPr>
          <w:rFonts w:eastAsiaTheme="minorHAnsi"/>
          <w:lang w:val="en-IN"/>
        </w:rPr>
      </w:pPr>
      <w:r w:rsidRPr="0061467B">
        <w:rPr>
          <w:rFonts w:eastAsiaTheme="minorHAnsi"/>
          <w:lang w:val="en-IN"/>
        </w:rPr>
        <w:t xml:space="preserve">Ramachandra, T. V., &amp; Aithal, B. H. (2016). Bengaluru’s reality: towards </w:t>
      </w:r>
      <w:proofErr w:type="spellStart"/>
      <w:r w:rsidRPr="0061467B">
        <w:rPr>
          <w:rFonts w:eastAsiaTheme="minorHAnsi"/>
          <w:lang w:val="en-IN"/>
        </w:rPr>
        <w:t>unlivable</w:t>
      </w:r>
      <w:proofErr w:type="spellEnd"/>
      <w:r w:rsidRPr="0061467B">
        <w:rPr>
          <w:rFonts w:eastAsiaTheme="minorHAnsi"/>
          <w:lang w:val="en-IN"/>
        </w:rPr>
        <w:t xml:space="preserve"> status with unplanned urban trajectory. </w:t>
      </w:r>
      <w:r w:rsidRPr="0061467B">
        <w:rPr>
          <w:rFonts w:eastAsiaTheme="minorHAnsi"/>
          <w:i/>
          <w:iCs/>
          <w:lang w:val="en-IN"/>
        </w:rPr>
        <w:t>Current Science, 110</w:t>
      </w:r>
      <w:r w:rsidRPr="0061467B">
        <w:rPr>
          <w:rFonts w:eastAsiaTheme="minorHAnsi"/>
          <w:lang w:val="en-IN"/>
        </w:rPr>
        <w:t>(12), 2207–2208 (</w:t>
      </w:r>
      <w:hyperlink r:id="rId17" w:anchor=":~:text=Urbanization%20and%20loss%20of%20natural,the%20natural%20resources%2C%20such%20as" w:history="1">
        <w:r w:rsidRPr="0061467B">
          <w:rPr>
            <w:rFonts w:eastAsiaTheme="minorHAnsi"/>
            <w:color w:val="0563C1" w:themeColor="hyperlink"/>
            <w:u w:val="single"/>
            <w:lang w:val="en-IN"/>
          </w:rPr>
          <w:t xml:space="preserve">Bangalore - </w:t>
        </w:r>
        <w:proofErr w:type="spellStart"/>
        <w:r w:rsidRPr="0061467B">
          <w:rPr>
            <w:rFonts w:eastAsiaTheme="minorHAnsi"/>
            <w:color w:val="0563C1" w:themeColor="hyperlink"/>
            <w:u w:val="single"/>
            <w:lang w:val="en-IN"/>
          </w:rPr>
          <w:t>Unlivable</w:t>
        </w:r>
        <w:proofErr w:type="spellEnd"/>
        <w:r w:rsidRPr="0061467B">
          <w:rPr>
            <w:rFonts w:eastAsiaTheme="minorHAnsi"/>
            <w:color w:val="0563C1" w:themeColor="hyperlink"/>
            <w:u w:val="single"/>
            <w:lang w:val="en-IN"/>
          </w:rPr>
          <w:t xml:space="preserve"> city (Editorial in Current Science) by T.V. Ramachandra and Bharath H. Aithal | Centre for Ecological Sciences | IISc</w:t>
        </w:r>
      </w:hyperlink>
      <w:r w:rsidRPr="0061467B">
        <w:rPr>
          <w:rFonts w:eastAsiaTheme="minorHAnsi"/>
          <w:lang w:val="en-IN"/>
        </w:rPr>
        <w:t>).</w:t>
      </w:r>
    </w:p>
    <w:p w14:paraId="7A7489A3" w14:textId="77777777" w:rsidR="001E1E80" w:rsidRPr="0061467B" w:rsidRDefault="001E1E80" w:rsidP="0061467B">
      <w:pPr>
        <w:pStyle w:val="ListParagraph"/>
        <w:numPr>
          <w:ilvl w:val="0"/>
          <w:numId w:val="28"/>
        </w:numPr>
        <w:ind w:left="357" w:hanging="357"/>
        <w:rPr>
          <w:rFonts w:eastAsiaTheme="minorHAnsi"/>
          <w:lang w:val="en-IN"/>
        </w:rPr>
      </w:pPr>
      <w:r w:rsidRPr="0061467B">
        <w:rPr>
          <w:rFonts w:eastAsiaTheme="minorHAnsi"/>
          <w:lang w:val="en-IN"/>
        </w:rPr>
        <w:t xml:space="preserve">Ramachandra, T. V., Mondal, T., </w:t>
      </w:r>
      <w:proofErr w:type="spellStart"/>
      <w:r w:rsidRPr="0061467B">
        <w:rPr>
          <w:rFonts w:eastAsiaTheme="minorHAnsi"/>
          <w:lang w:val="en-IN"/>
        </w:rPr>
        <w:t>Setturu</w:t>
      </w:r>
      <w:proofErr w:type="spellEnd"/>
      <w:r w:rsidRPr="0061467B">
        <w:rPr>
          <w:rFonts w:eastAsiaTheme="minorHAnsi"/>
          <w:lang w:val="en-IN"/>
        </w:rPr>
        <w:t xml:space="preserve">, B., &amp; Aithal, B. H. (2023). Environmental consequences in the neighbourhood of rapid unplanned urbanisation in Bangalore City. </w:t>
      </w:r>
      <w:r w:rsidRPr="0061467B">
        <w:rPr>
          <w:rFonts w:eastAsiaTheme="minorHAnsi"/>
          <w:i/>
          <w:iCs/>
          <w:lang w:val="en-IN"/>
        </w:rPr>
        <w:t>Advances in Environmental and Engineering Research, 4</w:t>
      </w:r>
      <w:r w:rsidRPr="0061467B">
        <w:rPr>
          <w:rFonts w:eastAsiaTheme="minorHAnsi"/>
          <w:lang w:val="en-IN"/>
        </w:rPr>
        <w:t>(4), 052 (</w:t>
      </w:r>
      <w:hyperlink r:id="rId18" w:anchor=":~:text=6%2C%20Table%202%29,urban%20areas" w:history="1">
        <w:r w:rsidRPr="0061467B">
          <w:rPr>
            <w:rFonts w:eastAsiaTheme="minorHAnsi"/>
            <w:color w:val="0563C1" w:themeColor="hyperlink"/>
            <w:u w:val="single"/>
            <w:lang w:val="en-IN"/>
          </w:rPr>
          <w:t>Advances in Environmental and Engineering Research | Environmental Consequences in the Neighbourhood of Rapid Unplanned Urbanisation in Bangalore City</w:t>
        </w:r>
      </w:hyperlink>
      <w:r w:rsidRPr="0061467B">
        <w:rPr>
          <w:rFonts w:eastAsiaTheme="minorHAnsi"/>
          <w:lang w:val="en-IN"/>
        </w:rPr>
        <w:t xml:space="preserve">). </w:t>
      </w:r>
      <w:hyperlink r:id="rId19" w:history="1">
        <w:r w:rsidRPr="0061467B">
          <w:rPr>
            <w:rFonts w:eastAsiaTheme="minorHAnsi"/>
            <w:color w:val="0563C1" w:themeColor="hyperlink"/>
            <w:u w:val="single"/>
            <w:lang w:val="en-IN"/>
          </w:rPr>
          <w:t>https://doi.org/10.21926/aeer.2304052</w:t>
        </w:r>
      </w:hyperlink>
    </w:p>
    <w:p w14:paraId="63D13736" w14:textId="77777777" w:rsidR="001E1E80" w:rsidRPr="0061467B" w:rsidRDefault="001E1E80" w:rsidP="0061467B">
      <w:pPr>
        <w:pStyle w:val="ListParagraph"/>
        <w:numPr>
          <w:ilvl w:val="0"/>
          <w:numId w:val="28"/>
        </w:numPr>
        <w:ind w:left="357" w:hanging="357"/>
        <w:rPr>
          <w:rFonts w:eastAsiaTheme="minorHAnsi"/>
          <w:lang w:val="en-IN"/>
        </w:rPr>
      </w:pPr>
      <w:r w:rsidRPr="0061467B">
        <w:rPr>
          <w:rFonts w:eastAsiaTheme="minorHAnsi"/>
          <w:lang w:val="en-IN"/>
        </w:rPr>
        <w:t xml:space="preserve">Sudhira, H. S., Ramachandra, T. V., &amp; Jagadish, K. S. (2004). Urban sprawl: metrics, dynamics and </w:t>
      </w:r>
      <w:proofErr w:type="spellStart"/>
      <w:r w:rsidRPr="0061467B">
        <w:rPr>
          <w:rFonts w:eastAsiaTheme="minorHAnsi"/>
          <w:lang w:val="en-IN"/>
        </w:rPr>
        <w:t>modeling</w:t>
      </w:r>
      <w:proofErr w:type="spellEnd"/>
      <w:r w:rsidRPr="0061467B">
        <w:rPr>
          <w:rFonts w:eastAsiaTheme="minorHAnsi"/>
          <w:lang w:val="en-IN"/>
        </w:rPr>
        <w:t xml:space="preserve"> using GIS. </w:t>
      </w:r>
      <w:r w:rsidRPr="0061467B">
        <w:rPr>
          <w:rFonts w:eastAsiaTheme="minorHAnsi"/>
          <w:i/>
          <w:iCs/>
          <w:lang w:val="en-IN"/>
        </w:rPr>
        <w:t>International Journal of Applied Earth Observation and Geoinformation, 5</w:t>
      </w:r>
      <w:r w:rsidRPr="0061467B">
        <w:rPr>
          <w:rFonts w:eastAsiaTheme="minorHAnsi"/>
          <w:lang w:val="en-IN"/>
        </w:rPr>
        <w:t>(1), 29–39.</w:t>
      </w:r>
    </w:p>
    <w:p w14:paraId="6C3FFC57" w14:textId="77777777" w:rsidR="001E1E80" w:rsidRPr="0061467B" w:rsidRDefault="001E1E80" w:rsidP="0061467B">
      <w:pPr>
        <w:pStyle w:val="ListParagraph"/>
        <w:numPr>
          <w:ilvl w:val="0"/>
          <w:numId w:val="28"/>
        </w:numPr>
        <w:ind w:left="357" w:hanging="357"/>
        <w:rPr>
          <w:rFonts w:eastAsiaTheme="minorHAnsi"/>
          <w:lang w:val="en-IN"/>
        </w:rPr>
      </w:pPr>
      <w:r w:rsidRPr="0061467B">
        <w:rPr>
          <w:rFonts w:eastAsiaTheme="minorHAnsi"/>
          <w:lang w:val="en-IN"/>
        </w:rPr>
        <w:t xml:space="preserve">Sundaresan, J. (2019). Urban planning in vernacular governance: Land use planning and violations in Bangalore, India. </w:t>
      </w:r>
      <w:r w:rsidRPr="0061467B">
        <w:rPr>
          <w:rFonts w:eastAsiaTheme="minorHAnsi"/>
          <w:i/>
          <w:iCs/>
          <w:lang w:val="en-IN"/>
        </w:rPr>
        <w:t>Progress in Planning, 127</w:t>
      </w:r>
      <w:r w:rsidRPr="0061467B">
        <w:rPr>
          <w:rFonts w:eastAsiaTheme="minorHAnsi"/>
          <w:lang w:val="en-IN"/>
        </w:rPr>
        <w:t>, 1–23 () ().</w:t>
      </w:r>
    </w:p>
    <w:p w14:paraId="6DC07AC2" w14:textId="77777777" w:rsidR="001E1E80" w:rsidRPr="0061467B" w:rsidRDefault="001E1E80" w:rsidP="0061467B">
      <w:pPr>
        <w:pStyle w:val="ListParagraph"/>
        <w:numPr>
          <w:ilvl w:val="0"/>
          <w:numId w:val="28"/>
        </w:numPr>
        <w:ind w:left="357" w:hanging="357"/>
        <w:rPr>
          <w:rFonts w:eastAsiaTheme="minorHAnsi"/>
          <w:lang w:val="en-IN"/>
        </w:rPr>
      </w:pPr>
      <w:r w:rsidRPr="0061467B">
        <w:rPr>
          <w:rFonts w:eastAsiaTheme="minorHAnsi"/>
          <w:lang w:val="en-IN"/>
        </w:rPr>
        <w:t xml:space="preserve">United Nations, Department of Economic and Social Affairs (UN DESA). (2018). </w:t>
      </w:r>
      <w:r w:rsidRPr="0061467B">
        <w:rPr>
          <w:rFonts w:eastAsiaTheme="minorHAnsi"/>
          <w:i/>
          <w:iCs/>
          <w:lang w:val="en-IN"/>
        </w:rPr>
        <w:t>68% of the world population projected to live in urban areas by 2050, says UN</w:t>
      </w:r>
      <w:r w:rsidRPr="0061467B">
        <w:rPr>
          <w:rFonts w:eastAsiaTheme="minorHAnsi"/>
          <w:lang w:val="en-IN"/>
        </w:rPr>
        <w:t xml:space="preserve"> (</w:t>
      </w:r>
      <w:hyperlink r:id="rId20" w:anchor=":~:text=%2A%20Currently%2C%2055,22%20million%29%20and%20Sao" w:history="1">
        <w:r w:rsidRPr="0061467B">
          <w:rPr>
            <w:rFonts w:eastAsiaTheme="minorHAnsi"/>
            <w:color w:val="0563C1" w:themeColor="hyperlink"/>
            <w:u w:val="single"/>
            <w:lang w:val="en-IN"/>
          </w:rPr>
          <w:t>UN: 68% of the global population will live in cities by 2050 | Smart Cities Dive</w:t>
        </w:r>
      </w:hyperlink>
      <w:r w:rsidRPr="0061467B">
        <w:rPr>
          <w:rFonts w:eastAsiaTheme="minorHAnsi"/>
          <w:lang w:val="en-IN"/>
        </w:rPr>
        <w:t>). (World Urbanization Prospects: 2018 Revision – Press Release). New York: United Nations.</w:t>
      </w:r>
    </w:p>
    <w:p w14:paraId="0C3246B6" w14:textId="77777777" w:rsidR="001E1E80" w:rsidRPr="0061467B" w:rsidRDefault="001E1E80" w:rsidP="0061467B">
      <w:pPr>
        <w:pStyle w:val="ListParagraph"/>
        <w:numPr>
          <w:ilvl w:val="0"/>
          <w:numId w:val="28"/>
        </w:numPr>
        <w:ind w:left="357" w:hanging="357"/>
        <w:rPr>
          <w:rFonts w:eastAsiaTheme="minorHAnsi"/>
          <w:lang w:val="en-IN"/>
        </w:rPr>
      </w:pPr>
      <w:r w:rsidRPr="0061467B">
        <w:rPr>
          <w:rFonts w:eastAsiaTheme="minorHAnsi"/>
          <w:lang w:val="en-IN"/>
        </w:rPr>
        <w:t xml:space="preserve">United Nations, General Assembly. (2015). </w:t>
      </w:r>
      <w:r w:rsidRPr="0061467B">
        <w:rPr>
          <w:rFonts w:eastAsiaTheme="minorHAnsi"/>
          <w:i/>
          <w:iCs/>
          <w:lang w:val="en-IN"/>
        </w:rPr>
        <w:t>Transforming our world: the 2030 Agenda for Sustainable Development</w:t>
      </w:r>
      <w:r w:rsidRPr="0061467B">
        <w:rPr>
          <w:rFonts w:eastAsiaTheme="minorHAnsi"/>
          <w:lang w:val="en-IN"/>
        </w:rPr>
        <w:t xml:space="preserve"> (A/RES/70/1) (</w:t>
      </w:r>
      <w:hyperlink r:id="rId21" w:anchor=":~:text=11" w:history="1">
        <w:r w:rsidRPr="0061467B">
          <w:rPr>
            <w:rFonts w:eastAsiaTheme="minorHAnsi"/>
            <w:color w:val="0563C1" w:themeColor="hyperlink"/>
            <w:u w:val="single"/>
            <w:lang w:val="en-IN"/>
          </w:rPr>
          <w:t>Goal 11 | Department of Economic and Social Affairs</w:t>
        </w:r>
      </w:hyperlink>
      <w:r w:rsidRPr="0061467B">
        <w:rPr>
          <w:rFonts w:eastAsiaTheme="minorHAnsi"/>
          <w:lang w:val="en-IN"/>
        </w:rPr>
        <w:t>). New York: United Nations.</w:t>
      </w:r>
    </w:p>
    <w:p w14:paraId="7FCF6CAF" w14:textId="77777777" w:rsidR="001E1E80" w:rsidRPr="0061467B" w:rsidRDefault="001E1E80" w:rsidP="0061467B">
      <w:pPr>
        <w:pStyle w:val="ListParagraph"/>
        <w:numPr>
          <w:ilvl w:val="0"/>
          <w:numId w:val="28"/>
        </w:numPr>
        <w:ind w:left="357" w:hanging="357"/>
        <w:rPr>
          <w:rFonts w:eastAsiaTheme="minorHAnsi"/>
          <w:lang w:val="en-IN"/>
        </w:rPr>
      </w:pPr>
      <w:r w:rsidRPr="0061467B">
        <w:rPr>
          <w:rFonts w:eastAsiaTheme="minorHAnsi"/>
          <w:lang w:val="en-IN"/>
        </w:rPr>
        <w:t xml:space="preserve">UN-Habitat. (2017). </w:t>
      </w:r>
      <w:r w:rsidRPr="0061467B">
        <w:rPr>
          <w:rFonts w:eastAsiaTheme="minorHAnsi"/>
          <w:i/>
          <w:iCs/>
          <w:lang w:val="en-IN"/>
        </w:rPr>
        <w:t>New Urban Agenda</w:t>
      </w:r>
      <w:r w:rsidRPr="0061467B">
        <w:rPr>
          <w:rFonts w:eastAsiaTheme="minorHAnsi"/>
          <w:lang w:val="en-IN"/>
        </w:rPr>
        <w:t>. Quito: United Nations Conference on Housing and Sustainable Urban Development.</w:t>
      </w:r>
    </w:p>
    <w:p w14:paraId="53897B18" w14:textId="77777777" w:rsidR="001E1E80" w:rsidRPr="0061467B" w:rsidRDefault="001E1E80" w:rsidP="0061467B">
      <w:pPr>
        <w:pStyle w:val="ListParagraph"/>
        <w:numPr>
          <w:ilvl w:val="0"/>
          <w:numId w:val="28"/>
        </w:numPr>
        <w:ind w:left="357" w:hanging="357"/>
        <w:rPr>
          <w:rFonts w:eastAsiaTheme="minorHAnsi"/>
          <w:lang w:val="en-IN"/>
        </w:rPr>
      </w:pPr>
      <w:r w:rsidRPr="0061467B">
        <w:rPr>
          <w:rFonts w:eastAsiaTheme="minorHAnsi"/>
          <w:lang w:val="en-IN"/>
        </w:rPr>
        <w:t xml:space="preserve">UN-Habitat. (2022). </w:t>
      </w:r>
      <w:r w:rsidRPr="0061467B">
        <w:rPr>
          <w:rFonts w:eastAsiaTheme="minorHAnsi"/>
          <w:i/>
          <w:iCs/>
          <w:lang w:val="en-IN"/>
        </w:rPr>
        <w:t>World Cities Report 2022: Envisaging the Future of Cities</w:t>
      </w:r>
      <w:r w:rsidRPr="0061467B">
        <w:rPr>
          <w:rFonts w:eastAsiaTheme="minorHAnsi"/>
          <w:lang w:val="en-IN"/>
        </w:rPr>
        <w:t>. Nairobi: United Nations Human Settlements Programme (</w:t>
      </w:r>
      <w:hyperlink r:id="rId22" w:anchor=":~:text=%5BPDF%5D%20UN,of%20urbanization%20are%20uneven%2C" w:history="1">
        <w:r w:rsidRPr="0061467B">
          <w:rPr>
            <w:rFonts w:eastAsiaTheme="minorHAnsi"/>
            <w:color w:val="0563C1" w:themeColor="hyperlink"/>
            <w:u w:val="single"/>
            <w:lang w:val="en-IN"/>
          </w:rPr>
          <w:t>[PDF] UN-Habitat Launches its World Cities Report 2022</w:t>
        </w:r>
      </w:hyperlink>
      <w:r w:rsidRPr="0061467B">
        <w:rPr>
          <w:rFonts w:eastAsiaTheme="minorHAnsi"/>
          <w:lang w:val="en-IN"/>
        </w:rPr>
        <w:t>) (</w:t>
      </w:r>
      <w:hyperlink r:id="rId23" w:anchor=":~:text=World%20Cities%20Report%202024%20,its%20implications%20for%20climate" w:history="1">
        <w:r w:rsidRPr="0061467B">
          <w:rPr>
            <w:rFonts w:eastAsiaTheme="minorHAnsi"/>
            <w:color w:val="0563C1" w:themeColor="hyperlink"/>
            <w:u w:val="single"/>
            <w:lang w:val="en-IN"/>
          </w:rPr>
          <w:t>World Cities Report 2024 - UN-Habitat</w:t>
        </w:r>
      </w:hyperlink>
      <w:r w:rsidRPr="0061467B">
        <w:rPr>
          <w:rFonts w:eastAsiaTheme="minorHAnsi"/>
          <w:lang w:val="en-IN"/>
        </w:rPr>
        <w:t>).</w:t>
      </w:r>
    </w:p>
    <w:p w14:paraId="5C443BEE" w14:textId="77777777" w:rsidR="001E1E80" w:rsidRPr="0061467B" w:rsidRDefault="001E1E80" w:rsidP="0061467B">
      <w:pPr>
        <w:pStyle w:val="ListParagraph"/>
        <w:numPr>
          <w:ilvl w:val="0"/>
          <w:numId w:val="28"/>
        </w:numPr>
        <w:ind w:left="357" w:hanging="357"/>
        <w:rPr>
          <w:rFonts w:eastAsiaTheme="minorHAnsi"/>
          <w:lang w:val="en-IN"/>
        </w:rPr>
      </w:pPr>
      <w:r w:rsidRPr="0061467B">
        <w:rPr>
          <w:rFonts w:eastAsiaTheme="minorHAnsi"/>
          <w:lang w:val="en-IN"/>
        </w:rPr>
        <w:t xml:space="preserve">World Bank. (2013). </w:t>
      </w:r>
      <w:r w:rsidRPr="0061467B">
        <w:rPr>
          <w:rFonts w:eastAsiaTheme="minorHAnsi"/>
          <w:i/>
          <w:iCs/>
          <w:lang w:val="en-IN"/>
        </w:rPr>
        <w:t>Urbanization beyond municipal boundaries: Nurturing metropolitan economies and connecting peri-urban areas in India</w:t>
      </w:r>
      <w:r w:rsidRPr="0061467B">
        <w:rPr>
          <w:rFonts w:eastAsiaTheme="minorHAnsi"/>
          <w:lang w:val="en-IN"/>
        </w:rPr>
        <w:t>. Washington, DC: World Bank.</w:t>
      </w:r>
    </w:p>
    <w:p w14:paraId="40BC0F19" w14:textId="77777777" w:rsidR="001E1E80" w:rsidRPr="0061467B" w:rsidRDefault="001E1E80" w:rsidP="0061467B">
      <w:pPr>
        <w:pStyle w:val="ListParagraph"/>
        <w:numPr>
          <w:ilvl w:val="0"/>
          <w:numId w:val="28"/>
        </w:numPr>
        <w:ind w:left="357" w:hanging="357"/>
        <w:rPr>
          <w:rFonts w:eastAsiaTheme="minorHAnsi"/>
          <w:lang w:val="en-IN"/>
        </w:rPr>
      </w:pPr>
      <w:r w:rsidRPr="0061467B">
        <w:rPr>
          <w:rFonts w:eastAsiaTheme="minorHAnsi"/>
          <w:lang w:val="en-IN"/>
        </w:rPr>
        <w:t xml:space="preserve">World Bank. (2016). </w:t>
      </w:r>
      <w:r w:rsidRPr="0061467B">
        <w:rPr>
          <w:rFonts w:eastAsiaTheme="minorHAnsi"/>
          <w:i/>
          <w:iCs/>
          <w:lang w:val="en-IN"/>
        </w:rPr>
        <w:t xml:space="preserve">Leveraging Urbanization in South Asia: Managing Spatial Transformation for Prosperity and </w:t>
      </w:r>
      <w:proofErr w:type="spellStart"/>
      <w:r w:rsidRPr="0061467B">
        <w:rPr>
          <w:rFonts w:eastAsiaTheme="minorHAnsi"/>
          <w:i/>
          <w:iCs/>
          <w:lang w:val="en-IN"/>
        </w:rPr>
        <w:t>Livability</w:t>
      </w:r>
      <w:proofErr w:type="spellEnd"/>
      <w:r w:rsidRPr="0061467B">
        <w:rPr>
          <w:rFonts w:eastAsiaTheme="minorHAnsi"/>
          <w:lang w:val="en-IN"/>
        </w:rPr>
        <w:t xml:space="preserve"> (by Ellis, P. &amp; Roberts, M.). Washington, DC: World Bank.</w:t>
      </w:r>
    </w:p>
    <w:p w14:paraId="099C12AB" w14:textId="77777777" w:rsidR="001E1E80" w:rsidRPr="0061467B" w:rsidRDefault="001E1E80" w:rsidP="0061467B">
      <w:pPr>
        <w:pStyle w:val="ListParagraph"/>
        <w:numPr>
          <w:ilvl w:val="0"/>
          <w:numId w:val="28"/>
        </w:numPr>
        <w:ind w:left="357" w:hanging="357"/>
        <w:rPr>
          <w:rFonts w:eastAsiaTheme="minorHAnsi"/>
          <w:lang w:val="en-IN"/>
        </w:rPr>
      </w:pPr>
      <w:r w:rsidRPr="0061467B">
        <w:rPr>
          <w:rFonts w:eastAsiaTheme="minorHAnsi"/>
          <w:lang w:val="en-IN"/>
        </w:rPr>
        <w:t xml:space="preserve">World Bank. (2024). </w:t>
      </w:r>
      <w:proofErr w:type="spellStart"/>
      <w:r w:rsidRPr="0061467B">
        <w:rPr>
          <w:rFonts w:eastAsiaTheme="minorHAnsi"/>
          <w:lang w:val="en-IN"/>
        </w:rPr>
        <w:t>Kouamé</w:t>
      </w:r>
      <w:proofErr w:type="spellEnd"/>
      <w:r w:rsidRPr="0061467B">
        <w:rPr>
          <w:rFonts w:eastAsiaTheme="minorHAnsi"/>
          <w:lang w:val="en-IN"/>
        </w:rPr>
        <w:t xml:space="preserve">, A. T. </w:t>
      </w:r>
      <w:r w:rsidRPr="0061467B">
        <w:rPr>
          <w:rFonts w:eastAsiaTheme="minorHAnsi"/>
          <w:i/>
          <w:iCs/>
          <w:lang w:val="en-IN"/>
        </w:rPr>
        <w:t>Gearing up for India’s rapid urban transformation</w:t>
      </w:r>
      <w:r w:rsidRPr="0061467B">
        <w:rPr>
          <w:rFonts w:eastAsiaTheme="minorHAnsi"/>
          <w:lang w:val="en-IN"/>
        </w:rPr>
        <w:t xml:space="preserve"> (</w:t>
      </w:r>
      <w:hyperlink r:id="rId24" w:anchor=":~:text=India%20is%20urbanizing%20rapidly,th%7D%20year%20of%20independence" w:history="1">
        <w:r w:rsidRPr="0061467B">
          <w:rPr>
            <w:rFonts w:eastAsiaTheme="minorHAnsi"/>
            <w:color w:val="0563C1" w:themeColor="hyperlink"/>
            <w:u w:val="single"/>
            <w:lang w:val="en-IN"/>
          </w:rPr>
          <w:t xml:space="preserve">Gearing up for India’s Rapid Urban Transformation </w:t>
        </w:r>
      </w:hyperlink>
      <w:r w:rsidRPr="0061467B">
        <w:rPr>
          <w:rFonts w:eastAsiaTheme="minorHAnsi"/>
          <w:lang w:val="en-IN"/>
        </w:rPr>
        <w:t xml:space="preserve">). Retrieved January 30, 2024, from World Bank News &amp; Opinion: </w:t>
      </w:r>
      <w:hyperlink r:id="rId25" w:history="1">
        <w:r w:rsidRPr="0061467B">
          <w:rPr>
            <w:rFonts w:eastAsiaTheme="minorHAnsi"/>
            <w:color w:val="0563C1" w:themeColor="hyperlink"/>
            <w:u w:val="single"/>
            <w:lang w:val="en-IN"/>
          </w:rPr>
          <w:t>https://www.worldbank.org/en/news/opinion/2024/01/30/gearing-up-for-india-s-rapid-urban-transformation</w:t>
        </w:r>
      </w:hyperlink>
    </w:p>
    <w:p w14:paraId="4384E2C4" w14:textId="77777777" w:rsidR="001E1E80" w:rsidRPr="0061467B" w:rsidRDefault="001E1E80" w:rsidP="0061467B">
      <w:pPr>
        <w:pStyle w:val="ListParagraph"/>
        <w:numPr>
          <w:ilvl w:val="0"/>
          <w:numId w:val="28"/>
        </w:numPr>
        <w:ind w:left="357" w:hanging="357"/>
        <w:rPr>
          <w:rFonts w:eastAsiaTheme="minorHAnsi"/>
          <w:lang w:val="en-IN"/>
        </w:rPr>
      </w:pPr>
      <w:r w:rsidRPr="0061467B">
        <w:rPr>
          <w:rFonts w:eastAsiaTheme="minorHAnsi"/>
          <w:i/>
          <w:iCs/>
          <w:lang w:val="en-IN"/>
        </w:rPr>
        <w:t>Times of India</w:t>
      </w:r>
      <w:r w:rsidRPr="0061467B">
        <w:rPr>
          <w:rFonts w:eastAsiaTheme="minorHAnsi"/>
          <w:lang w:val="en-IN"/>
        </w:rPr>
        <w:t xml:space="preserve">. (2024, March 6). </w:t>
      </w:r>
      <w:r w:rsidRPr="0061467B">
        <w:rPr>
          <w:rFonts w:eastAsiaTheme="minorHAnsi"/>
          <w:i/>
          <w:iCs/>
          <w:lang w:val="en-IN"/>
        </w:rPr>
        <w:t>Why Bengaluru is facing acute water shortage</w:t>
      </w:r>
      <w:r w:rsidRPr="0061467B">
        <w:rPr>
          <w:rFonts w:eastAsiaTheme="minorHAnsi"/>
          <w:lang w:val="en-IN"/>
        </w:rPr>
        <w:t xml:space="preserve"> (</w:t>
      </w:r>
      <w:hyperlink r:id="rId26" w:anchor=":~:text=,poor%20monsoons%20have%20rendered%20these" w:history="1">
        <w:r w:rsidRPr="0061467B">
          <w:rPr>
            <w:rFonts w:eastAsiaTheme="minorHAnsi"/>
            <w:color w:val="0563C1" w:themeColor="hyperlink"/>
            <w:u w:val="single"/>
            <w:lang w:val="en-IN"/>
          </w:rPr>
          <w:t>6. Why Bengaluru is facing acute water shortage - Times of India</w:t>
        </w:r>
      </w:hyperlink>
      <w:r w:rsidRPr="0061467B">
        <w:rPr>
          <w:rFonts w:eastAsiaTheme="minorHAnsi"/>
          <w:lang w:val="en-IN"/>
        </w:rPr>
        <w:t xml:space="preserve">). Times News Network. Retrieved from </w:t>
      </w:r>
      <w:hyperlink r:id="rId27" w:history="1">
        <w:r w:rsidRPr="0061467B">
          <w:rPr>
            <w:rFonts w:eastAsiaTheme="minorHAnsi"/>
            <w:color w:val="0563C1" w:themeColor="hyperlink"/>
            <w:u w:val="single"/>
            <w:lang w:val="en-IN"/>
          </w:rPr>
          <w:t>https://timesofindia.indiatimes.com</w:t>
        </w:r>
      </w:hyperlink>
    </w:p>
    <w:p w14:paraId="5BFC5F54" w14:textId="77777777" w:rsidR="001E1E80" w:rsidRDefault="001E1E80" w:rsidP="004E48CD">
      <w:pPr>
        <w:pStyle w:val="IEEEParagraph"/>
        <w:jc w:val="center"/>
        <w:rPr>
          <w:lang w:val="en-US"/>
        </w:rPr>
      </w:pPr>
    </w:p>
    <w:p w14:paraId="7BE20975" w14:textId="77777777" w:rsidR="001E1E80" w:rsidRDefault="001E1E80" w:rsidP="004E48CD">
      <w:pPr>
        <w:pStyle w:val="IEEEParagraph"/>
        <w:jc w:val="center"/>
        <w:rPr>
          <w:lang w:val="en-US"/>
        </w:rPr>
      </w:pPr>
    </w:p>
    <w:p w14:paraId="2991B595" w14:textId="77777777" w:rsidR="001E1E80" w:rsidRDefault="001E1E80" w:rsidP="004E48CD">
      <w:pPr>
        <w:pStyle w:val="IEEEParagraph"/>
        <w:jc w:val="center"/>
        <w:rPr>
          <w:lang w:val="en-US"/>
        </w:rPr>
      </w:pPr>
    </w:p>
    <w:p w14:paraId="55EFD425" w14:textId="77777777" w:rsidR="001E1E80" w:rsidRDefault="001E1E80" w:rsidP="004E48CD">
      <w:pPr>
        <w:pStyle w:val="IEEEParagraph"/>
        <w:jc w:val="center"/>
        <w:rPr>
          <w:lang w:val="en-US"/>
        </w:rPr>
      </w:pPr>
    </w:p>
    <w:p w14:paraId="6CAA6010" w14:textId="77777777" w:rsidR="00D60B22" w:rsidRPr="005E3524" w:rsidRDefault="004E48CD" w:rsidP="004E48CD">
      <w:pPr>
        <w:pStyle w:val="IEEEParagraph"/>
        <w:jc w:val="center"/>
        <w:rPr>
          <w:lang w:val="en-US"/>
        </w:rPr>
      </w:pPr>
      <w:r w:rsidRPr="005E3524">
        <w:rPr>
          <w:lang w:val="en-US"/>
        </w:rPr>
        <w:t>**************</w:t>
      </w:r>
    </w:p>
    <w:sectPr w:rsidR="00D60B22" w:rsidRPr="005E3524" w:rsidSect="00FB5A8B">
      <w:headerReference w:type="even" r:id="rId28"/>
      <w:headerReference w:type="default" r:id="rId29"/>
      <w:footerReference w:type="even" r:id="rId30"/>
      <w:footerReference w:type="default" r:id="rId31"/>
      <w:headerReference w:type="first" r:id="rId32"/>
      <w:footerReference w:type="first" r:id="rId33"/>
      <w:type w:val="continuous"/>
      <w:pgSz w:w="11906" w:h="16838" w:code="9"/>
      <w:pgMar w:top="1361" w:right="1440" w:bottom="1361" w:left="1440" w:header="720" w:footer="720" w:gutter="0"/>
      <w:cols w:space="23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68B83C" w14:textId="77777777" w:rsidR="007C4F39" w:rsidRDefault="007C4F39" w:rsidP="00B64C40">
      <w:r>
        <w:separator/>
      </w:r>
    </w:p>
  </w:endnote>
  <w:endnote w:type="continuationSeparator" w:id="0">
    <w:p w14:paraId="7BE71639" w14:textId="77777777" w:rsidR="007C4F39" w:rsidRDefault="007C4F39" w:rsidP="00B64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8988B" w14:textId="77777777" w:rsidR="00004E38" w:rsidRDefault="00004E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3945390"/>
      <w:docPartObj>
        <w:docPartGallery w:val="Page Numbers (Bottom of Page)"/>
        <w:docPartUnique/>
      </w:docPartObj>
    </w:sdtPr>
    <w:sdtEndPr>
      <w:rPr>
        <w:noProof/>
      </w:rPr>
    </w:sdtEndPr>
    <w:sdtContent>
      <w:p w14:paraId="26F35FE9" w14:textId="77777777" w:rsidR="00B64C40" w:rsidRDefault="00B64C40">
        <w:pPr>
          <w:pStyle w:val="Footer"/>
          <w:jc w:val="center"/>
        </w:pPr>
        <w:r>
          <w:fldChar w:fldCharType="begin"/>
        </w:r>
        <w:r>
          <w:instrText xml:space="preserve"> PAGE   \* MERGEFORMAT </w:instrText>
        </w:r>
        <w:r>
          <w:fldChar w:fldCharType="separate"/>
        </w:r>
        <w:r w:rsidR="00AD6688">
          <w:rPr>
            <w:noProof/>
          </w:rPr>
          <w:t>3</w:t>
        </w:r>
        <w:r>
          <w:rPr>
            <w:noProof/>
          </w:rPr>
          <w:fldChar w:fldCharType="end"/>
        </w:r>
      </w:p>
    </w:sdtContent>
  </w:sdt>
  <w:p w14:paraId="61B34216" w14:textId="77777777" w:rsidR="00B64C40" w:rsidRDefault="00B64C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297C3" w14:textId="77777777" w:rsidR="00004E38" w:rsidRDefault="00004E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8CFC10" w14:textId="77777777" w:rsidR="007C4F39" w:rsidRDefault="007C4F39" w:rsidP="00B64C40">
      <w:r>
        <w:separator/>
      </w:r>
    </w:p>
  </w:footnote>
  <w:footnote w:type="continuationSeparator" w:id="0">
    <w:p w14:paraId="7759AE49" w14:textId="77777777" w:rsidR="007C4F39" w:rsidRDefault="007C4F39" w:rsidP="00B64C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C84E0" w14:textId="36DD140C" w:rsidR="00004E38" w:rsidRDefault="00004E38">
    <w:pPr>
      <w:pStyle w:val="Header"/>
    </w:pPr>
    <w:r>
      <w:rPr>
        <w:noProof/>
      </w:rPr>
      <w:pict w14:anchorId="2FB466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64141"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0CB9D" w14:textId="36C44DF2" w:rsidR="00004E38" w:rsidRDefault="00004E38">
    <w:pPr>
      <w:pStyle w:val="Header"/>
    </w:pPr>
    <w:r>
      <w:rPr>
        <w:noProof/>
      </w:rPr>
      <w:pict w14:anchorId="3DBDD5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64142"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40DFC" w14:textId="3B31EB8B" w:rsidR="00004E38" w:rsidRDefault="00004E38">
    <w:pPr>
      <w:pStyle w:val="Header"/>
    </w:pPr>
    <w:r>
      <w:rPr>
        <w:noProof/>
      </w:rPr>
      <w:pict w14:anchorId="65D519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64140"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E2E4D"/>
    <w:multiLevelType w:val="multilevel"/>
    <w:tmpl w:val="F7E237E2"/>
    <w:lvl w:ilvl="0">
      <w:start w:val="1"/>
      <w:numFmt w:val="upperRoman"/>
      <w:pStyle w:val="IEEEHeading1"/>
      <w:lvlText w:val="%1."/>
      <w:lvlJc w:val="left"/>
      <w:pPr>
        <w:tabs>
          <w:tab w:val="num" w:pos="5817"/>
        </w:tabs>
        <w:ind w:left="5817" w:hanging="288"/>
      </w:pPr>
      <w:rPr>
        <w:rFonts w:ascii="Times New Roman" w:eastAsia="Arial Unicode MS" w:hAnsi="Times New Roman" w:cs="Times New Roman" w:hint="default"/>
        <w:b/>
        <w:bCs/>
        <w:i w:val="0"/>
        <w:iCs w:val="0"/>
        <w:caps/>
        <w:strike w:val="0"/>
        <w:dstrike w:val="0"/>
        <w:vanish w:val="0"/>
        <w:color w:val="000000"/>
        <w:spacing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bCs w:val="0"/>
        <w:i w:val="0"/>
        <w:iCs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519312E"/>
    <w:multiLevelType w:val="hybridMultilevel"/>
    <w:tmpl w:val="CB1686A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AE503AA"/>
    <w:multiLevelType w:val="hybridMultilevel"/>
    <w:tmpl w:val="CFB4DB8A"/>
    <w:lvl w:ilvl="0" w:tplc="1A0C9940">
      <w:start w:val="1"/>
      <w:numFmt w:val="decimal"/>
      <w:lvlText w:val="%1)"/>
      <w:lvlJc w:val="left"/>
      <w:pPr>
        <w:ind w:left="720" w:hanging="360"/>
      </w:pPr>
    </w:lvl>
    <w:lvl w:ilvl="1" w:tplc="D892E4CA" w:tentative="1">
      <w:start w:val="1"/>
      <w:numFmt w:val="lowerLetter"/>
      <w:lvlText w:val="%2."/>
      <w:lvlJc w:val="left"/>
      <w:pPr>
        <w:ind w:left="1440" w:hanging="360"/>
      </w:pPr>
    </w:lvl>
    <w:lvl w:ilvl="2" w:tplc="9670F41E" w:tentative="1">
      <w:start w:val="1"/>
      <w:numFmt w:val="lowerRoman"/>
      <w:lvlText w:val="%3."/>
      <w:lvlJc w:val="right"/>
      <w:pPr>
        <w:ind w:left="2160" w:hanging="180"/>
      </w:pPr>
    </w:lvl>
    <w:lvl w:ilvl="3" w:tplc="EDC41AC4" w:tentative="1">
      <w:start w:val="1"/>
      <w:numFmt w:val="decimal"/>
      <w:lvlText w:val="%4."/>
      <w:lvlJc w:val="left"/>
      <w:pPr>
        <w:ind w:left="2880" w:hanging="360"/>
      </w:pPr>
    </w:lvl>
    <w:lvl w:ilvl="4" w:tplc="25AA4266" w:tentative="1">
      <w:start w:val="1"/>
      <w:numFmt w:val="lowerLetter"/>
      <w:lvlText w:val="%5."/>
      <w:lvlJc w:val="left"/>
      <w:pPr>
        <w:ind w:left="3600" w:hanging="360"/>
      </w:pPr>
    </w:lvl>
    <w:lvl w:ilvl="5" w:tplc="AA4A7D0A" w:tentative="1">
      <w:start w:val="1"/>
      <w:numFmt w:val="lowerRoman"/>
      <w:lvlText w:val="%6."/>
      <w:lvlJc w:val="right"/>
      <w:pPr>
        <w:ind w:left="4320" w:hanging="180"/>
      </w:pPr>
    </w:lvl>
    <w:lvl w:ilvl="6" w:tplc="7350460C" w:tentative="1">
      <w:start w:val="1"/>
      <w:numFmt w:val="decimal"/>
      <w:lvlText w:val="%7."/>
      <w:lvlJc w:val="left"/>
      <w:pPr>
        <w:ind w:left="5040" w:hanging="360"/>
      </w:pPr>
    </w:lvl>
    <w:lvl w:ilvl="7" w:tplc="AC56D296" w:tentative="1">
      <w:start w:val="1"/>
      <w:numFmt w:val="lowerLetter"/>
      <w:lvlText w:val="%8."/>
      <w:lvlJc w:val="left"/>
      <w:pPr>
        <w:ind w:left="5760" w:hanging="360"/>
      </w:pPr>
    </w:lvl>
    <w:lvl w:ilvl="8" w:tplc="6A5E1300" w:tentative="1">
      <w:start w:val="1"/>
      <w:numFmt w:val="lowerRoman"/>
      <w:lvlText w:val="%9."/>
      <w:lvlJc w:val="right"/>
      <w:pPr>
        <w:ind w:left="6480" w:hanging="180"/>
      </w:pPr>
    </w:lvl>
  </w:abstractNum>
  <w:abstractNum w:abstractNumId="3" w15:restartNumberingAfterBreak="0">
    <w:nsid w:val="1BF71552"/>
    <w:multiLevelType w:val="hybridMultilevel"/>
    <w:tmpl w:val="32FAE696"/>
    <w:lvl w:ilvl="0" w:tplc="985451FC">
      <w:start w:val="1"/>
      <w:numFmt w:val="decimal"/>
      <w:lvlText w:val="%1."/>
      <w:lvlJc w:val="left"/>
      <w:pPr>
        <w:ind w:left="1417" w:hanging="360"/>
      </w:pPr>
    </w:lvl>
    <w:lvl w:ilvl="1" w:tplc="8252E6AA" w:tentative="1">
      <w:start w:val="1"/>
      <w:numFmt w:val="lowerLetter"/>
      <w:lvlText w:val="%2."/>
      <w:lvlJc w:val="left"/>
      <w:pPr>
        <w:ind w:left="2137" w:hanging="360"/>
      </w:pPr>
    </w:lvl>
    <w:lvl w:ilvl="2" w:tplc="A7BC7ADC" w:tentative="1">
      <w:start w:val="1"/>
      <w:numFmt w:val="lowerRoman"/>
      <w:lvlText w:val="%3."/>
      <w:lvlJc w:val="right"/>
      <w:pPr>
        <w:ind w:left="2857" w:hanging="180"/>
      </w:pPr>
    </w:lvl>
    <w:lvl w:ilvl="3" w:tplc="F0301798" w:tentative="1">
      <w:start w:val="1"/>
      <w:numFmt w:val="decimal"/>
      <w:lvlText w:val="%4."/>
      <w:lvlJc w:val="left"/>
      <w:pPr>
        <w:ind w:left="3577" w:hanging="360"/>
      </w:pPr>
    </w:lvl>
    <w:lvl w:ilvl="4" w:tplc="91469D56" w:tentative="1">
      <w:start w:val="1"/>
      <w:numFmt w:val="lowerLetter"/>
      <w:lvlText w:val="%5."/>
      <w:lvlJc w:val="left"/>
      <w:pPr>
        <w:ind w:left="4297" w:hanging="360"/>
      </w:pPr>
    </w:lvl>
    <w:lvl w:ilvl="5" w:tplc="94947450" w:tentative="1">
      <w:start w:val="1"/>
      <w:numFmt w:val="lowerRoman"/>
      <w:lvlText w:val="%6."/>
      <w:lvlJc w:val="right"/>
      <w:pPr>
        <w:ind w:left="5017" w:hanging="180"/>
      </w:pPr>
    </w:lvl>
    <w:lvl w:ilvl="6" w:tplc="9B688190" w:tentative="1">
      <w:start w:val="1"/>
      <w:numFmt w:val="decimal"/>
      <w:lvlText w:val="%7."/>
      <w:lvlJc w:val="left"/>
      <w:pPr>
        <w:ind w:left="5737" w:hanging="360"/>
      </w:pPr>
    </w:lvl>
    <w:lvl w:ilvl="7" w:tplc="F2E49A36" w:tentative="1">
      <w:start w:val="1"/>
      <w:numFmt w:val="lowerLetter"/>
      <w:lvlText w:val="%8."/>
      <w:lvlJc w:val="left"/>
      <w:pPr>
        <w:ind w:left="6457" w:hanging="360"/>
      </w:pPr>
    </w:lvl>
    <w:lvl w:ilvl="8" w:tplc="8B8E5386" w:tentative="1">
      <w:start w:val="1"/>
      <w:numFmt w:val="lowerRoman"/>
      <w:lvlText w:val="%9."/>
      <w:lvlJc w:val="right"/>
      <w:pPr>
        <w:ind w:left="7177" w:hanging="180"/>
      </w:pPr>
    </w:lvl>
  </w:abstractNum>
  <w:abstractNum w:abstractNumId="4" w15:restartNumberingAfterBreak="0">
    <w:nsid w:val="20C304DA"/>
    <w:multiLevelType w:val="hybridMultilevel"/>
    <w:tmpl w:val="8684FD6C"/>
    <w:lvl w:ilvl="0" w:tplc="9F54F28A">
      <w:start w:val="1"/>
      <w:numFmt w:val="decimal"/>
      <w:lvlText w:val="%1)"/>
      <w:lvlJc w:val="left"/>
      <w:pPr>
        <w:ind w:left="1152" w:hanging="360"/>
      </w:pPr>
    </w:lvl>
    <w:lvl w:ilvl="1" w:tplc="2968E188" w:tentative="1">
      <w:start w:val="1"/>
      <w:numFmt w:val="lowerLetter"/>
      <w:lvlText w:val="%2."/>
      <w:lvlJc w:val="left"/>
      <w:pPr>
        <w:ind w:left="1872" w:hanging="360"/>
      </w:pPr>
    </w:lvl>
    <w:lvl w:ilvl="2" w:tplc="99CE1F66" w:tentative="1">
      <w:start w:val="1"/>
      <w:numFmt w:val="lowerRoman"/>
      <w:lvlText w:val="%3."/>
      <w:lvlJc w:val="right"/>
      <w:pPr>
        <w:ind w:left="2592" w:hanging="180"/>
      </w:pPr>
    </w:lvl>
    <w:lvl w:ilvl="3" w:tplc="D6A2C600" w:tentative="1">
      <w:start w:val="1"/>
      <w:numFmt w:val="decimal"/>
      <w:lvlText w:val="%4."/>
      <w:lvlJc w:val="left"/>
      <w:pPr>
        <w:ind w:left="3312" w:hanging="360"/>
      </w:pPr>
    </w:lvl>
    <w:lvl w:ilvl="4" w:tplc="860028DA" w:tentative="1">
      <w:start w:val="1"/>
      <w:numFmt w:val="lowerLetter"/>
      <w:lvlText w:val="%5."/>
      <w:lvlJc w:val="left"/>
      <w:pPr>
        <w:ind w:left="4032" w:hanging="360"/>
      </w:pPr>
    </w:lvl>
    <w:lvl w:ilvl="5" w:tplc="ABF44412" w:tentative="1">
      <w:start w:val="1"/>
      <w:numFmt w:val="lowerRoman"/>
      <w:lvlText w:val="%6."/>
      <w:lvlJc w:val="right"/>
      <w:pPr>
        <w:ind w:left="4752" w:hanging="180"/>
      </w:pPr>
    </w:lvl>
    <w:lvl w:ilvl="6" w:tplc="B3902254" w:tentative="1">
      <w:start w:val="1"/>
      <w:numFmt w:val="decimal"/>
      <w:lvlText w:val="%7."/>
      <w:lvlJc w:val="left"/>
      <w:pPr>
        <w:ind w:left="5472" w:hanging="360"/>
      </w:pPr>
    </w:lvl>
    <w:lvl w:ilvl="7" w:tplc="4ADA1306" w:tentative="1">
      <w:start w:val="1"/>
      <w:numFmt w:val="lowerLetter"/>
      <w:lvlText w:val="%8."/>
      <w:lvlJc w:val="left"/>
      <w:pPr>
        <w:ind w:left="6192" w:hanging="360"/>
      </w:pPr>
    </w:lvl>
    <w:lvl w:ilvl="8" w:tplc="0F06C452" w:tentative="1">
      <w:start w:val="1"/>
      <w:numFmt w:val="lowerRoman"/>
      <w:lvlText w:val="%9."/>
      <w:lvlJc w:val="right"/>
      <w:pPr>
        <w:ind w:left="6912" w:hanging="180"/>
      </w:pPr>
    </w:lvl>
  </w:abstractNum>
  <w:abstractNum w:abstractNumId="5" w15:restartNumberingAfterBreak="0">
    <w:nsid w:val="21DC3791"/>
    <w:multiLevelType w:val="hybridMultilevel"/>
    <w:tmpl w:val="E524350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B855861"/>
    <w:multiLevelType w:val="multilevel"/>
    <w:tmpl w:val="802488F2"/>
    <w:lvl w:ilvl="0">
      <w:start w:val="1"/>
      <w:numFmt w:val="decimal"/>
      <w:pStyle w:val="IEEEReferenceItem"/>
      <w:lvlText w:val="[%1]"/>
      <w:lvlJc w:val="right"/>
      <w:pPr>
        <w:tabs>
          <w:tab w:val="num" w:pos="432"/>
        </w:tabs>
        <w:ind w:left="432" w:hanging="144"/>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7" w15:restartNumberingAfterBreak="0">
    <w:nsid w:val="328273D7"/>
    <w:multiLevelType w:val="multilevel"/>
    <w:tmpl w:val="9C8E938C"/>
    <w:numStyleLink w:val="IEEEBullet1"/>
  </w:abstractNum>
  <w:abstractNum w:abstractNumId="8" w15:restartNumberingAfterBreak="0">
    <w:nsid w:val="34637862"/>
    <w:multiLevelType w:val="multilevel"/>
    <w:tmpl w:val="A63268E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850F46"/>
    <w:multiLevelType w:val="hybridMultilevel"/>
    <w:tmpl w:val="3998FFC6"/>
    <w:lvl w:ilvl="0" w:tplc="6EE0162A">
      <w:start w:val="7"/>
      <w:numFmt w:val="decimal"/>
      <w:lvlText w:val="%1)"/>
      <w:lvlJc w:val="left"/>
      <w:pPr>
        <w:ind w:left="697" w:hanging="267"/>
      </w:pPr>
      <w:rPr>
        <w:rFonts w:hint="default"/>
        <w:b w:val="0"/>
      </w:rPr>
    </w:lvl>
    <w:lvl w:ilvl="1" w:tplc="9758B042" w:tentative="1">
      <w:start w:val="1"/>
      <w:numFmt w:val="lowerLetter"/>
      <w:lvlText w:val="%2."/>
      <w:lvlJc w:val="left"/>
      <w:pPr>
        <w:ind w:left="1218" w:hanging="360"/>
      </w:pPr>
    </w:lvl>
    <w:lvl w:ilvl="2" w:tplc="6E448C44" w:tentative="1">
      <w:start w:val="1"/>
      <w:numFmt w:val="lowerRoman"/>
      <w:lvlText w:val="%3."/>
      <w:lvlJc w:val="right"/>
      <w:pPr>
        <w:ind w:left="1938" w:hanging="180"/>
      </w:pPr>
    </w:lvl>
    <w:lvl w:ilvl="3" w:tplc="999674B4" w:tentative="1">
      <w:start w:val="1"/>
      <w:numFmt w:val="decimal"/>
      <w:lvlText w:val="%4."/>
      <w:lvlJc w:val="left"/>
      <w:pPr>
        <w:ind w:left="2658" w:hanging="360"/>
      </w:pPr>
    </w:lvl>
    <w:lvl w:ilvl="4" w:tplc="88F80446" w:tentative="1">
      <w:start w:val="1"/>
      <w:numFmt w:val="lowerLetter"/>
      <w:lvlText w:val="%5."/>
      <w:lvlJc w:val="left"/>
      <w:pPr>
        <w:ind w:left="3378" w:hanging="360"/>
      </w:pPr>
    </w:lvl>
    <w:lvl w:ilvl="5" w:tplc="2D2AFD6C" w:tentative="1">
      <w:start w:val="1"/>
      <w:numFmt w:val="lowerRoman"/>
      <w:lvlText w:val="%6."/>
      <w:lvlJc w:val="right"/>
      <w:pPr>
        <w:ind w:left="4098" w:hanging="180"/>
      </w:pPr>
    </w:lvl>
    <w:lvl w:ilvl="6" w:tplc="B84E3F14" w:tentative="1">
      <w:start w:val="1"/>
      <w:numFmt w:val="decimal"/>
      <w:lvlText w:val="%7."/>
      <w:lvlJc w:val="left"/>
      <w:pPr>
        <w:ind w:left="4818" w:hanging="360"/>
      </w:pPr>
    </w:lvl>
    <w:lvl w:ilvl="7" w:tplc="4D924416" w:tentative="1">
      <w:start w:val="1"/>
      <w:numFmt w:val="lowerLetter"/>
      <w:lvlText w:val="%8."/>
      <w:lvlJc w:val="left"/>
      <w:pPr>
        <w:ind w:left="5538" w:hanging="360"/>
      </w:pPr>
    </w:lvl>
    <w:lvl w:ilvl="8" w:tplc="5F9C5612" w:tentative="1">
      <w:start w:val="1"/>
      <w:numFmt w:val="lowerRoman"/>
      <w:lvlText w:val="%9."/>
      <w:lvlJc w:val="right"/>
      <w:pPr>
        <w:ind w:left="6258" w:hanging="180"/>
      </w:pPr>
    </w:lvl>
  </w:abstractNum>
  <w:abstractNum w:abstractNumId="10" w15:restartNumberingAfterBreak="0">
    <w:nsid w:val="404F5AA1"/>
    <w:multiLevelType w:val="hybridMultilevel"/>
    <w:tmpl w:val="179E74F6"/>
    <w:lvl w:ilvl="0" w:tplc="5C1C26A6">
      <w:start w:val="1"/>
      <w:numFmt w:val="decimal"/>
      <w:lvlText w:val="%1."/>
      <w:lvlJc w:val="left"/>
      <w:pPr>
        <w:ind w:left="936" w:hanging="360"/>
      </w:pPr>
    </w:lvl>
    <w:lvl w:ilvl="1" w:tplc="F08A5CC0" w:tentative="1">
      <w:start w:val="1"/>
      <w:numFmt w:val="lowerLetter"/>
      <w:lvlText w:val="%2."/>
      <w:lvlJc w:val="left"/>
      <w:pPr>
        <w:ind w:left="1656" w:hanging="360"/>
      </w:pPr>
    </w:lvl>
    <w:lvl w:ilvl="2" w:tplc="98A0BAE0" w:tentative="1">
      <w:start w:val="1"/>
      <w:numFmt w:val="lowerRoman"/>
      <w:lvlText w:val="%3."/>
      <w:lvlJc w:val="right"/>
      <w:pPr>
        <w:ind w:left="2376" w:hanging="180"/>
      </w:pPr>
    </w:lvl>
    <w:lvl w:ilvl="3" w:tplc="AF00035E" w:tentative="1">
      <w:start w:val="1"/>
      <w:numFmt w:val="decimal"/>
      <w:lvlText w:val="%4."/>
      <w:lvlJc w:val="left"/>
      <w:pPr>
        <w:ind w:left="3096" w:hanging="360"/>
      </w:pPr>
    </w:lvl>
    <w:lvl w:ilvl="4" w:tplc="7CAC3DBE" w:tentative="1">
      <w:start w:val="1"/>
      <w:numFmt w:val="lowerLetter"/>
      <w:lvlText w:val="%5."/>
      <w:lvlJc w:val="left"/>
      <w:pPr>
        <w:ind w:left="3816" w:hanging="360"/>
      </w:pPr>
    </w:lvl>
    <w:lvl w:ilvl="5" w:tplc="ED78B80A" w:tentative="1">
      <w:start w:val="1"/>
      <w:numFmt w:val="lowerRoman"/>
      <w:lvlText w:val="%6."/>
      <w:lvlJc w:val="right"/>
      <w:pPr>
        <w:ind w:left="4536" w:hanging="180"/>
      </w:pPr>
    </w:lvl>
    <w:lvl w:ilvl="6" w:tplc="F5FAF9B0" w:tentative="1">
      <w:start w:val="1"/>
      <w:numFmt w:val="decimal"/>
      <w:lvlText w:val="%7."/>
      <w:lvlJc w:val="left"/>
      <w:pPr>
        <w:ind w:left="5256" w:hanging="360"/>
      </w:pPr>
    </w:lvl>
    <w:lvl w:ilvl="7" w:tplc="6752214E" w:tentative="1">
      <w:start w:val="1"/>
      <w:numFmt w:val="lowerLetter"/>
      <w:lvlText w:val="%8."/>
      <w:lvlJc w:val="left"/>
      <w:pPr>
        <w:ind w:left="5976" w:hanging="360"/>
      </w:pPr>
    </w:lvl>
    <w:lvl w:ilvl="8" w:tplc="2AF69E12" w:tentative="1">
      <w:start w:val="1"/>
      <w:numFmt w:val="lowerRoman"/>
      <w:lvlText w:val="%9."/>
      <w:lvlJc w:val="right"/>
      <w:pPr>
        <w:ind w:left="6696" w:hanging="180"/>
      </w:pPr>
    </w:lvl>
  </w:abstractNum>
  <w:abstractNum w:abstractNumId="11" w15:restartNumberingAfterBreak="0">
    <w:nsid w:val="435A225D"/>
    <w:multiLevelType w:val="hybridMultilevel"/>
    <w:tmpl w:val="761A231E"/>
    <w:lvl w:ilvl="0" w:tplc="BE9031CE">
      <w:start w:val="1"/>
      <w:numFmt w:val="bullet"/>
      <w:lvlText w:val=""/>
      <w:lvlJc w:val="left"/>
      <w:pPr>
        <w:ind w:left="693" w:hanging="267"/>
      </w:pPr>
      <w:rPr>
        <w:rFonts w:ascii="Wingdings" w:hAnsi="Wingdings" w:hint="default"/>
        <w:b w:val="0"/>
        <w:bCs/>
        <w:i/>
        <w:spacing w:val="0"/>
        <w:w w:val="99"/>
      </w:rPr>
    </w:lvl>
    <w:lvl w:ilvl="1" w:tplc="246CA81A" w:tentative="1">
      <w:start w:val="1"/>
      <w:numFmt w:val="lowerLetter"/>
      <w:lvlText w:val="%2."/>
      <w:lvlJc w:val="left"/>
      <w:pPr>
        <w:ind w:left="1214" w:hanging="360"/>
      </w:pPr>
    </w:lvl>
    <w:lvl w:ilvl="2" w:tplc="5A724F98" w:tentative="1">
      <w:start w:val="1"/>
      <w:numFmt w:val="lowerRoman"/>
      <w:lvlText w:val="%3."/>
      <w:lvlJc w:val="right"/>
      <w:pPr>
        <w:ind w:left="1934" w:hanging="180"/>
      </w:pPr>
    </w:lvl>
    <w:lvl w:ilvl="3" w:tplc="C90C5428" w:tentative="1">
      <w:start w:val="1"/>
      <w:numFmt w:val="decimal"/>
      <w:lvlText w:val="%4."/>
      <w:lvlJc w:val="left"/>
      <w:pPr>
        <w:ind w:left="2654" w:hanging="360"/>
      </w:pPr>
    </w:lvl>
    <w:lvl w:ilvl="4" w:tplc="04604B58" w:tentative="1">
      <w:start w:val="1"/>
      <w:numFmt w:val="lowerLetter"/>
      <w:lvlText w:val="%5."/>
      <w:lvlJc w:val="left"/>
      <w:pPr>
        <w:ind w:left="3374" w:hanging="360"/>
      </w:pPr>
    </w:lvl>
    <w:lvl w:ilvl="5" w:tplc="BCDE2356" w:tentative="1">
      <w:start w:val="1"/>
      <w:numFmt w:val="lowerRoman"/>
      <w:lvlText w:val="%6."/>
      <w:lvlJc w:val="right"/>
      <w:pPr>
        <w:ind w:left="4094" w:hanging="180"/>
      </w:pPr>
    </w:lvl>
    <w:lvl w:ilvl="6" w:tplc="FF60CE72" w:tentative="1">
      <w:start w:val="1"/>
      <w:numFmt w:val="decimal"/>
      <w:lvlText w:val="%7."/>
      <w:lvlJc w:val="left"/>
      <w:pPr>
        <w:ind w:left="4814" w:hanging="360"/>
      </w:pPr>
    </w:lvl>
    <w:lvl w:ilvl="7" w:tplc="74124014" w:tentative="1">
      <w:start w:val="1"/>
      <w:numFmt w:val="lowerLetter"/>
      <w:lvlText w:val="%8."/>
      <w:lvlJc w:val="left"/>
      <w:pPr>
        <w:ind w:left="5534" w:hanging="360"/>
      </w:pPr>
    </w:lvl>
    <w:lvl w:ilvl="8" w:tplc="B7966896" w:tentative="1">
      <w:start w:val="1"/>
      <w:numFmt w:val="lowerRoman"/>
      <w:lvlText w:val="%9."/>
      <w:lvlJc w:val="right"/>
      <w:pPr>
        <w:ind w:left="6254" w:hanging="180"/>
      </w:pPr>
    </w:lvl>
  </w:abstractNum>
  <w:abstractNum w:abstractNumId="12" w15:restartNumberingAfterBreak="0">
    <w:nsid w:val="49982366"/>
    <w:multiLevelType w:val="hybridMultilevel"/>
    <w:tmpl w:val="6BBED50C"/>
    <w:lvl w:ilvl="0" w:tplc="CEC4DD54">
      <w:start w:val="1"/>
      <w:numFmt w:val="upperLetter"/>
      <w:lvlText w:val="%1."/>
      <w:lvlJc w:val="left"/>
      <w:pPr>
        <w:ind w:left="430" w:hanging="289"/>
      </w:pPr>
      <w:rPr>
        <w:rFonts w:ascii="Times New Roman" w:eastAsia="Times New Roman" w:hAnsi="Times New Roman" w:cs="Times New Roman" w:hint="default"/>
        <w:b w:val="0"/>
        <w:bCs/>
        <w:i/>
        <w:spacing w:val="-1"/>
        <w:w w:val="99"/>
        <w:sz w:val="20"/>
        <w:szCs w:val="20"/>
        <w:lang w:val="en-US" w:eastAsia="en-US" w:bidi="ar-SA"/>
      </w:rPr>
    </w:lvl>
    <w:lvl w:ilvl="1" w:tplc="8EEA1EE6">
      <w:start w:val="1"/>
      <w:numFmt w:val="decimal"/>
      <w:lvlText w:val="%2)"/>
      <w:lvlJc w:val="left"/>
      <w:pPr>
        <w:ind w:left="432" w:hanging="267"/>
      </w:pPr>
      <w:rPr>
        <w:rFonts w:hint="default"/>
        <w:i/>
        <w:spacing w:val="0"/>
        <w:w w:val="99"/>
        <w:lang w:val="en-US" w:eastAsia="en-US" w:bidi="ar-SA"/>
      </w:rPr>
    </w:lvl>
    <w:lvl w:ilvl="2" w:tplc="ACF6D758">
      <w:start w:val="1"/>
      <w:numFmt w:val="decimal"/>
      <w:lvlText w:val="%3)"/>
      <w:lvlJc w:val="left"/>
      <w:pPr>
        <w:ind w:left="693" w:hanging="267"/>
      </w:pPr>
      <w:rPr>
        <w:rFonts w:hint="default"/>
        <w:lang w:val="en-US" w:eastAsia="en-US" w:bidi="ar-SA"/>
      </w:rPr>
    </w:lvl>
    <w:lvl w:ilvl="3" w:tplc="FD80DFE0">
      <w:numFmt w:val="bullet"/>
      <w:lvlText w:val="•"/>
      <w:lvlJc w:val="left"/>
      <w:pPr>
        <w:ind w:left="1416" w:hanging="267"/>
      </w:pPr>
      <w:rPr>
        <w:rFonts w:hint="default"/>
        <w:lang w:val="en-US" w:eastAsia="en-US" w:bidi="ar-SA"/>
      </w:rPr>
    </w:lvl>
    <w:lvl w:ilvl="4" w:tplc="2BE67B8C">
      <w:numFmt w:val="bullet"/>
      <w:lvlText w:val="•"/>
      <w:lvlJc w:val="left"/>
      <w:pPr>
        <w:ind w:left="1912" w:hanging="267"/>
      </w:pPr>
      <w:rPr>
        <w:rFonts w:hint="default"/>
        <w:lang w:val="en-US" w:eastAsia="en-US" w:bidi="ar-SA"/>
      </w:rPr>
    </w:lvl>
    <w:lvl w:ilvl="5" w:tplc="24C04110">
      <w:numFmt w:val="bullet"/>
      <w:lvlText w:val="•"/>
      <w:lvlJc w:val="left"/>
      <w:pPr>
        <w:ind w:left="2409" w:hanging="267"/>
      </w:pPr>
      <w:rPr>
        <w:rFonts w:hint="default"/>
        <w:lang w:val="en-US" w:eastAsia="en-US" w:bidi="ar-SA"/>
      </w:rPr>
    </w:lvl>
    <w:lvl w:ilvl="6" w:tplc="71D6A474">
      <w:numFmt w:val="bullet"/>
      <w:lvlText w:val="•"/>
      <w:lvlJc w:val="left"/>
      <w:pPr>
        <w:ind w:left="2906" w:hanging="267"/>
      </w:pPr>
      <w:rPr>
        <w:rFonts w:hint="default"/>
        <w:lang w:val="en-US" w:eastAsia="en-US" w:bidi="ar-SA"/>
      </w:rPr>
    </w:lvl>
    <w:lvl w:ilvl="7" w:tplc="A69A08AA">
      <w:numFmt w:val="bullet"/>
      <w:lvlText w:val="•"/>
      <w:lvlJc w:val="left"/>
      <w:pPr>
        <w:ind w:left="3402" w:hanging="267"/>
      </w:pPr>
      <w:rPr>
        <w:rFonts w:hint="default"/>
        <w:lang w:val="en-US" w:eastAsia="en-US" w:bidi="ar-SA"/>
      </w:rPr>
    </w:lvl>
    <w:lvl w:ilvl="8" w:tplc="CAEEB4FA">
      <w:numFmt w:val="bullet"/>
      <w:lvlText w:val="•"/>
      <w:lvlJc w:val="left"/>
      <w:pPr>
        <w:ind w:left="3899" w:hanging="267"/>
      </w:pPr>
      <w:rPr>
        <w:rFonts w:hint="default"/>
        <w:lang w:val="en-US" w:eastAsia="en-US" w:bidi="ar-SA"/>
      </w:rPr>
    </w:lvl>
  </w:abstractNum>
  <w:abstractNum w:abstractNumId="13"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4EBD6B58"/>
    <w:multiLevelType w:val="hybridMultilevel"/>
    <w:tmpl w:val="CC08CF0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0232215"/>
    <w:multiLevelType w:val="multilevel"/>
    <w:tmpl w:val="3D5EA5B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83E1D46"/>
    <w:multiLevelType w:val="multilevel"/>
    <w:tmpl w:val="6380B6B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7" w15:restartNumberingAfterBreak="0">
    <w:nsid w:val="5B6E4B11"/>
    <w:multiLevelType w:val="hybridMultilevel"/>
    <w:tmpl w:val="CFD0D748"/>
    <w:lvl w:ilvl="0" w:tplc="1C600532">
      <w:start w:val="1"/>
      <w:numFmt w:val="decimal"/>
      <w:lvlText w:val="[%1]"/>
      <w:lvlJc w:val="left"/>
      <w:pPr>
        <w:ind w:left="1670" w:hanging="432"/>
      </w:pPr>
      <w:rPr>
        <w:rFonts w:ascii="Times New Roman" w:eastAsia="Times New Roman" w:hAnsi="Times New Roman" w:cs="Times New Roman" w:hint="default"/>
        <w:spacing w:val="-2"/>
        <w:w w:val="100"/>
        <w:sz w:val="16"/>
        <w:szCs w:val="16"/>
        <w:lang w:val="en-US" w:eastAsia="en-US" w:bidi="ar-SA"/>
      </w:rPr>
    </w:lvl>
    <w:lvl w:ilvl="1" w:tplc="972C0B2A">
      <w:numFmt w:val="bullet"/>
      <w:lvlText w:val="•"/>
      <w:lvlJc w:val="left"/>
      <w:pPr>
        <w:ind w:left="1958" w:hanging="432"/>
      </w:pPr>
      <w:rPr>
        <w:rFonts w:hint="default"/>
        <w:lang w:val="en-US" w:eastAsia="en-US" w:bidi="ar-SA"/>
      </w:rPr>
    </w:lvl>
    <w:lvl w:ilvl="2" w:tplc="BDBED8BE">
      <w:numFmt w:val="bullet"/>
      <w:lvlText w:val="•"/>
      <w:lvlJc w:val="left"/>
      <w:pPr>
        <w:ind w:left="2402" w:hanging="432"/>
      </w:pPr>
      <w:rPr>
        <w:rFonts w:hint="default"/>
        <w:lang w:val="en-US" w:eastAsia="en-US" w:bidi="ar-SA"/>
      </w:rPr>
    </w:lvl>
    <w:lvl w:ilvl="3" w:tplc="8CB8D628">
      <w:numFmt w:val="bullet"/>
      <w:lvlText w:val="•"/>
      <w:lvlJc w:val="left"/>
      <w:pPr>
        <w:ind w:left="2846" w:hanging="432"/>
      </w:pPr>
      <w:rPr>
        <w:rFonts w:hint="default"/>
        <w:lang w:val="en-US" w:eastAsia="en-US" w:bidi="ar-SA"/>
      </w:rPr>
    </w:lvl>
    <w:lvl w:ilvl="4" w:tplc="4BDA4B5C">
      <w:numFmt w:val="bullet"/>
      <w:lvlText w:val="•"/>
      <w:lvlJc w:val="left"/>
      <w:pPr>
        <w:ind w:left="3291" w:hanging="432"/>
      </w:pPr>
      <w:rPr>
        <w:rFonts w:hint="default"/>
        <w:lang w:val="en-US" w:eastAsia="en-US" w:bidi="ar-SA"/>
      </w:rPr>
    </w:lvl>
    <w:lvl w:ilvl="5" w:tplc="5D74994E">
      <w:numFmt w:val="bullet"/>
      <w:lvlText w:val="•"/>
      <w:lvlJc w:val="left"/>
      <w:pPr>
        <w:ind w:left="3735" w:hanging="432"/>
      </w:pPr>
      <w:rPr>
        <w:rFonts w:hint="default"/>
        <w:lang w:val="en-US" w:eastAsia="en-US" w:bidi="ar-SA"/>
      </w:rPr>
    </w:lvl>
    <w:lvl w:ilvl="6" w:tplc="DC309BF4">
      <w:numFmt w:val="bullet"/>
      <w:lvlText w:val="•"/>
      <w:lvlJc w:val="left"/>
      <w:pPr>
        <w:ind w:left="4179" w:hanging="432"/>
      </w:pPr>
      <w:rPr>
        <w:rFonts w:hint="default"/>
        <w:lang w:val="en-US" w:eastAsia="en-US" w:bidi="ar-SA"/>
      </w:rPr>
    </w:lvl>
    <w:lvl w:ilvl="7" w:tplc="6CA471AA">
      <w:numFmt w:val="bullet"/>
      <w:lvlText w:val="•"/>
      <w:lvlJc w:val="left"/>
      <w:pPr>
        <w:ind w:left="4623" w:hanging="432"/>
      </w:pPr>
      <w:rPr>
        <w:rFonts w:hint="default"/>
        <w:lang w:val="en-US" w:eastAsia="en-US" w:bidi="ar-SA"/>
      </w:rPr>
    </w:lvl>
    <w:lvl w:ilvl="8" w:tplc="2B28FDC6">
      <w:numFmt w:val="bullet"/>
      <w:lvlText w:val="•"/>
      <w:lvlJc w:val="left"/>
      <w:pPr>
        <w:ind w:left="5068" w:hanging="432"/>
      </w:pPr>
      <w:rPr>
        <w:rFonts w:hint="default"/>
        <w:lang w:val="en-US" w:eastAsia="en-US" w:bidi="ar-SA"/>
      </w:rPr>
    </w:lvl>
  </w:abstractNum>
  <w:abstractNum w:abstractNumId="18" w15:restartNumberingAfterBreak="0">
    <w:nsid w:val="678E0524"/>
    <w:multiLevelType w:val="hybridMultilevel"/>
    <w:tmpl w:val="B1B01A86"/>
    <w:lvl w:ilvl="0" w:tplc="AD72729E">
      <w:start w:val="1"/>
      <w:numFmt w:val="decimal"/>
      <w:lvlText w:val="%1)"/>
      <w:lvlJc w:val="left"/>
      <w:pPr>
        <w:ind w:left="432" w:hanging="267"/>
      </w:pPr>
      <w:rPr>
        <w:rFonts w:hint="default"/>
        <w:i/>
        <w:spacing w:val="0"/>
        <w:w w:val="99"/>
        <w:lang w:val="en-US" w:eastAsia="en-US" w:bidi="ar-SA"/>
      </w:rPr>
    </w:lvl>
    <w:lvl w:ilvl="1" w:tplc="7A628A66" w:tentative="1">
      <w:start w:val="1"/>
      <w:numFmt w:val="lowerLetter"/>
      <w:lvlText w:val="%2."/>
      <w:lvlJc w:val="left"/>
      <w:pPr>
        <w:ind w:left="1440" w:hanging="360"/>
      </w:pPr>
    </w:lvl>
    <w:lvl w:ilvl="2" w:tplc="DD549044" w:tentative="1">
      <w:start w:val="1"/>
      <w:numFmt w:val="lowerRoman"/>
      <w:lvlText w:val="%3."/>
      <w:lvlJc w:val="right"/>
      <w:pPr>
        <w:ind w:left="2160" w:hanging="180"/>
      </w:pPr>
    </w:lvl>
    <w:lvl w:ilvl="3" w:tplc="F8FECF6C" w:tentative="1">
      <w:start w:val="1"/>
      <w:numFmt w:val="decimal"/>
      <w:lvlText w:val="%4."/>
      <w:lvlJc w:val="left"/>
      <w:pPr>
        <w:ind w:left="2880" w:hanging="360"/>
      </w:pPr>
    </w:lvl>
    <w:lvl w:ilvl="4" w:tplc="19CAB0F8" w:tentative="1">
      <w:start w:val="1"/>
      <w:numFmt w:val="lowerLetter"/>
      <w:lvlText w:val="%5."/>
      <w:lvlJc w:val="left"/>
      <w:pPr>
        <w:ind w:left="3600" w:hanging="360"/>
      </w:pPr>
    </w:lvl>
    <w:lvl w:ilvl="5" w:tplc="A79E07EA" w:tentative="1">
      <w:start w:val="1"/>
      <w:numFmt w:val="lowerRoman"/>
      <w:lvlText w:val="%6."/>
      <w:lvlJc w:val="right"/>
      <w:pPr>
        <w:ind w:left="4320" w:hanging="180"/>
      </w:pPr>
    </w:lvl>
    <w:lvl w:ilvl="6" w:tplc="0B2E675A" w:tentative="1">
      <w:start w:val="1"/>
      <w:numFmt w:val="decimal"/>
      <w:lvlText w:val="%7."/>
      <w:lvlJc w:val="left"/>
      <w:pPr>
        <w:ind w:left="5040" w:hanging="360"/>
      </w:pPr>
    </w:lvl>
    <w:lvl w:ilvl="7" w:tplc="686C57F4" w:tentative="1">
      <w:start w:val="1"/>
      <w:numFmt w:val="lowerLetter"/>
      <w:lvlText w:val="%8."/>
      <w:lvlJc w:val="left"/>
      <w:pPr>
        <w:ind w:left="5760" w:hanging="360"/>
      </w:pPr>
    </w:lvl>
    <w:lvl w:ilvl="8" w:tplc="BD8E7C74" w:tentative="1">
      <w:start w:val="1"/>
      <w:numFmt w:val="lowerRoman"/>
      <w:lvlText w:val="%9."/>
      <w:lvlJc w:val="right"/>
      <w:pPr>
        <w:ind w:left="6480" w:hanging="180"/>
      </w:pPr>
    </w:lvl>
  </w:abstractNum>
  <w:abstractNum w:abstractNumId="19" w15:restartNumberingAfterBreak="0">
    <w:nsid w:val="68390FF2"/>
    <w:multiLevelType w:val="hybridMultilevel"/>
    <w:tmpl w:val="6BBED50C"/>
    <w:lvl w:ilvl="0" w:tplc="DAE89A0A">
      <w:start w:val="1"/>
      <w:numFmt w:val="upperLetter"/>
      <w:lvlText w:val="%1."/>
      <w:lvlJc w:val="left"/>
      <w:pPr>
        <w:ind w:left="430" w:hanging="289"/>
      </w:pPr>
      <w:rPr>
        <w:rFonts w:ascii="Times New Roman" w:eastAsia="Times New Roman" w:hAnsi="Times New Roman" w:cs="Times New Roman" w:hint="default"/>
        <w:b w:val="0"/>
        <w:bCs/>
        <w:i/>
        <w:spacing w:val="-1"/>
        <w:w w:val="99"/>
        <w:sz w:val="20"/>
        <w:szCs w:val="20"/>
        <w:lang w:val="en-US" w:eastAsia="en-US" w:bidi="ar-SA"/>
      </w:rPr>
    </w:lvl>
    <w:lvl w:ilvl="1" w:tplc="16EC9EA4">
      <w:start w:val="1"/>
      <w:numFmt w:val="decimal"/>
      <w:lvlText w:val="%2)"/>
      <w:lvlJc w:val="left"/>
      <w:pPr>
        <w:ind w:left="432" w:hanging="267"/>
      </w:pPr>
      <w:rPr>
        <w:rFonts w:hint="default"/>
        <w:i/>
        <w:spacing w:val="0"/>
        <w:w w:val="99"/>
        <w:lang w:val="en-US" w:eastAsia="en-US" w:bidi="ar-SA"/>
      </w:rPr>
    </w:lvl>
    <w:lvl w:ilvl="2" w:tplc="7948291A">
      <w:start w:val="1"/>
      <w:numFmt w:val="decimal"/>
      <w:lvlText w:val="%3)"/>
      <w:lvlJc w:val="left"/>
      <w:pPr>
        <w:ind w:left="693" w:hanging="267"/>
      </w:pPr>
      <w:rPr>
        <w:rFonts w:hint="default"/>
        <w:lang w:val="en-US" w:eastAsia="en-US" w:bidi="ar-SA"/>
      </w:rPr>
    </w:lvl>
    <w:lvl w:ilvl="3" w:tplc="2E2C97C4">
      <w:numFmt w:val="bullet"/>
      <w:lvlText w:val="•"/>
      <w:lvlJc w:val="left"/>
      <w:pPr>
        <w:ind w:left="1416" w:hanging="267"/>
      </w:pPr>
      <w:rPr>
        <w:rFonts w:hint="default"/>
        <w:lang w:val="en-US" w:eastAsia="en-US" w:bidi="ar-SA"/>
      </w:rPr>
    </w:lvl>
    <w:lvl w:ilvl="4" w:tplc="B2145098">
      <w:numFmt w:val="bullet"/>
      <w:lvlText w:val="•"/>
      <w:lvlJc w:val="left"/>
      <w:pPr>
        <w:ind w:left="1912" w:hanging="267"/>
      </w:pPr>
      <w:rPr>
        <w:rFonts w:hint="default"/>
        <w:lang w:val="en-US" w:eastAsia="en-US" w:bidi="ar-SA"/>
      </w:rPr>
    </w:lvl>
    <w:lvl w:ilvl="5" w:tplc="6666BDC6">
      <w:numFmt w:val="bullet"/>
      <w:lvlText w:val="•"/>
      <w:lvlJc w:val="left"/>
      <w:pPr>
        <w:ind w:left="2409" w:hanging="267"/>
      </w:pPr>
      <w:rPr>
        <w:rFonts w:hint="default"/>
        <w:lang w:val="en-US" w:eastAsia="en-US" w:bidi="ar-SA"/>
      </w:rPr>
    </w:lvl>
    <w:lvl w:ilvl="6" w:tplc="0F06ADF2">
      <w:numFmt w:val="bullet"/>
      <w:lvlText w:val="•"/>
      <w:lvlJc w:val="left"/>
      <w:pPr>
        <w:ind w:left="2906" w:hanging="267"/>
      </w:pPr>
      <w:rPr>
        <w:rFonts w:hint="default"/>
        <w:lang w:val="en-US" w:eastAsia="en-US" w:bidi="ar-SA"/>
      </w:rPr>
    </w:lvl>
    <w:lvl w:ilvl="7" w:tplc="9E5C9FEC">
      <w:numFmt w:val="bullet"/>
      <w:lvlText w:val="•"/>
      <w:lvlJc w:val="left"/>
      <w:pPr>
        <w:ind w:left="3402" w:hanging="267"/>
      </w:pPr>
      <w:rPr>
        <w:rFonts w:hint="default"/>
        <w:lang w:val="en-US" w:eastAsia="en-US" w:bidi="ar-SA"/>
      </w:rPr>
    </w:lvl>
    <w:lvl w:ilvl="8" w:tplc="BA9476AC">
      <w:numFmt w:val="bullet"/>
      <w:lvlText w:val="•"/>
      <w:lvlJc w:val="left"/>
      <w:pPr>
        <w:ind w:left="3899" w:hanging="267"/>
      </w:pPr>
      <w:rPr>
        <w:rFonts w:hint="default"/>
        <w:lang w:val="en-US" w:eastAsia="en-US" w:bidi="ar-SA"/>
      </w:rPr>
    </w:lvl>
  </w:abstractNum>
  <w:abstractNum w:abstractNumId="20" w15:restartNumberingAfterBreak="0">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21" w15:restartNumberingAfterBreak="0">
    <w:nsid w:val="6BFF563B"/>
    <w:multiLevelType w:val="hybridMultilevel"/>
    <w:tmpl w:val="CFD0D748"/>
    <w:lvl w:ilvl="0" w:tplc="0C3CDDF2">
      <w:start w:val="1"/>
      <w:numFmt w:val="decimal"/>
      <w:lvlText w:val="[%1]"/>
      <w:lvlJc w:val="left"/>
      <w:pPr>
        <w:ind w:left="450" w:hanging="432"/>
      </w:pPr>
      <w:rPr>
        <w:rFonts w:ascii="Times New Roman" w:eastAsia="Times New Roman" w:hAnsi="Times New Roman" w:cs="Times New Roman" w:hint="default"/>
        <w:spacing w:val="-2"/>
        <w:w w:val="100"/>
        <w:sz w:val="16"/>
        <w:szCs w:val="16"/>
        <w:lang w:val="en-US" w:eastAsia="en-US" w:bidi="ar-SA"/>
      </w:rPr>
    </w:lvl>
    <w:lvl w:ilvl="1" w:tplc="1E367650">
      <w:numFmt w:val="bullet"/>
      <w:lvlText w:val="•"/>
      <w:lvlJc w:val="left"/>
      <w:pPr>
        <w:ind w:left="738" w:hanging="432"/>
      </w:pPr>
      <w:rPr>
        <w:rFonts w:hint="default"/>
        <w:lang w:val="en-US" w:eastAsia="en-US" w:bidi="ar-SA"/>
      </w:rPr>
    </w:lvl>
    <w:lvl w:ilvl="2" w:tplc="6CFEB53C">
      <w:numFmt w:val="bullet"/>
      <w:lvlText w:val="•"/>
      <w:lvlJc w:val="left"/>
      <w:pPr>
        <w:ind w:left="1182" w:hanging="432"/>
      </w:pPr>
      <w:rPr>
        <w:rFonts w:hint="default"/>
        <w:lang w:val="en-US" w:eastAsia="en-US" w:bidi="ar-SA"/>
      </w:rPr>
    </w:lvl>
    <w:lvl w:ilvl="3" w:tplc="5464DBA4">
      <w:numFmt w:val="bullet"/>
      <w:lvlText w:val="•"/>
      <w:lvlJc w:val="left"/>
      <w:pPr>
        <w:ind w:left="1626" w:hanging="432"/>
      </w:pPr>
      <w:rPr>
        <w:rFonts w:hint="default"/>
        <w:lang w:val="en-US" w:eastAsia="en-US" w:bidi="ar-SA"/>
      </w:rPr>
    </w:lvl>
    <w:lvl w:ilvl="4" w:tplc="E3863A82">
      <w:numFmt w:val="bullet"/>
      <w:lvlText w:val="•"/>
      <w:lvlJc w:val="left"/>
      <w:pPr>
        <w:ind w:left="2071" w:hanging="432"/>
      </w:pPr>
      <w:rPr>
        <w:rFonts w:hint="default"/>
        <w:lang w:val="en-US" w:eastAsia="en-US" w:bidi="ar-SA"/>
      </w:rPr>
    </w:lvl>
    <w:lvl w:ilvl="5" w:tplc="1A50C012">
      <w:numFmt w:val="bullet"/>
      <w:lvlText w:val="•"/>
      <w:lvlJc w:val="left"/>
      <w:pPr>
        <w:ind w:left="2515" w:hanging="432"/>
      </w:pPr>
      <w:rPr>
        <w:rFonts w:hint="default"/>
        <w:lang w:val="en-US" w:eastAsia="en-US" w:bidi="ar-SA"/>
      </w:rPr>
    </w:lvl>
    <w:lvl w:ilvl="6" w:tplc="E424E7BA">
      <w:numFmt w:val="bullet"/>
      <w:lvlText w:val="•"/>
      <w:lvlJc w:val="left"/>
      <w:pPr>
        <w:ind w:left="2959" w:hanging="432"/>
      </w:pPr>
      <w:rPr>
        <w:rFonts w:hint="default"/>
        <w:lang w:val="en-US" w:eastAsia="en-US" w:bidi="ar-SA"/>
      </w:rPr>
    </w:lvl>
    <w:lvl w:ilvl="7" w:tplc="717E8BD6">
      <w:numFmt w:val="bullet"/>
      <w:lvlText w:val="•"/>
      <w:lvlJc w:val="left"/>
      <w:pPr>
        <w:ind w:left="3403" w:hanging="432"/>
      </w:pPr>
      <w:rPr>
        <w:rFonts w:hint="default"/>
        <w:lang w:val="en-US" w:eastAsia="en-US" w:bidi="ar-SA"/>
      </w:rPr>
    </w:lvl>
    <w:lvl w:ilvl="8" w:tplc="FC6EB24A">
      <w:numFmt w:val="bullet"/>
      <w:lvlText w:val="•"/>
      <w:lvlJc w:val="left"/>
      <w:pPr>
        <w:ind w:left="3848" w:hanging="432"/>
      </w:pPr>
      <w:rPr>
        <w:rFonts w:hint="default"/>
        <w:lang w:val="en-US" w:eastAsia="en-US" w:bidi="ar-SA"/>
      </w:rPr>
    </w:lvl>
  </w:abstractNum>
  <w:abstractNum w:abstractNumId="22" w15:restartNumberingAfterBreak="0">
    <w:nsid w:val="6E395A06"/>
    <w:multiLevelType w:val="hybridMultilevel"/>
    <w:tmpl w:val="845EA4EC"/>
    <w:lvl w:ilvl="0" w:tplc="626884FA">
      <w:start w:val="6"/>
      <w:numFmt w:val="decimal"/>
      <w:lvlText w:val="%1)"/>
      <w:lvlJc w:val="left"/>
      <w:pPr>
        <w:ind w:left="693" w:hanging="267"/>
      </w:pPr>
      <w:rPr>
        <w:rFonts w:hint="default"/>
        <w:b w:val="0"/>
      </w:rPr>
    </w:lvl>
    <w:lvl w:ilvl="1" w:tplc="FF6A3A40" w:tentative="1">
      <w:start w:val="1"/>
      <w:numFmt w:val="lowerLetter"/>
      <w:lvlText w:val="%2."/>
      <w:lvlJc w:val="left"/>
      <w:pPr>
        <w:ind w:left="1214" w:hanging="360"/>
      </w:pPr>
    </w:lvl>
    <w:lvl w:ilvl="2" w:tplc="0D6E9692" w:tentative="1">
      <w:start w:val="1"/>
      <w:numFmt w:val="lowerRoman"/>
      <w:lvlText w:val="%3."/>
      <w:lvlJc w:val="right"/>
      <w:pPr>
        <w:ind w:left="1934" w:hanging="180"/>
      </w:pPr>
    </w:lvl>
    <w:lvl w:ilvl="3" w:tplc="F23EE37C" w:tentative="1">
      <w:start w:val="1"/>
      <w:numFmt w:val="decimal"/>
      <w:lvlText w:val="%4."/>
      <w:lvlJc w:val="left"/>
      <w:pPr>
        <w:ind w:left="2654" w:hanging="360"/>
      </w:pPr>
    </w:lvl>
    <w:lvl w:ilvl="4" w:tplc="B1FC85E6" w:tentative="1">
      <w:start w:val="1"/>
      <w:numFmt w:val="lowerLetter"/>
      <w:lvlText w:val="%5."/>
      <w:lvlJc w:val="left"/>
      <w:pPr>
        <w:ind w:left="3374" w:hanging="360"/>
      </w:pPr>
    </w:lvl>
    <w:lvl w:ilvl="5" w:tplc="2A2E814C" w:tentative="1">
      <w:start w:val="1"/>
      <w:numFmt w:val="lowerRoman"/>
      <w:lvlText w:val="%6."/>
      <w:lvlJc w:val="right"/>
      <w:pPr>
        <w:ind w:left="4094" w:hanging="180"/>
      </w:pPr>
    </w:lvl>
    <w:lvl w:ilvl="6" w:tplc="E1E46EC2" w:tentative="1">
      <w:start w:val="1"/>
      <w:numFmt w:val="decimal"/>
      <w:lvlText w:val="%7."/>
      <w:lvlJc w:val="left"/>
      <w:pPr>
        <w:ind w:left="4814" w:hanging="360"/>
      </w:pPr>
    </w:lvl>
    <w:lvl w:ilvl="7" w:tplc="775462D4" w:tentative="1">
      <w:start w:val="1"/>
      <w:numFmt w:val="lowerLetter"/>
      <w:lvlText w:val="%8."/>
      <w:lvlJc w:val="left"/>
      <w:pPr>
        <w:ind w:left="5534" w:hanging="360"/>
      </w:pPr>
    </w:lvl>
    <w:lvl w:ilvl="8" w:tplc="B62E856E" w:tentative="1">
      <w:start w:val="1"/>
      <w:numFmt w:val="lowerRoman"/>
      <w:lvlText w:val="%9."/>
      <w:lvlJc w:val="right"/>
      <w:pPr>
        <w:ind w:left="6254" w:hanging="180"/>
      </w:pPr>
    </w:lvl>
  </w:abstractNum>
  <w:abstractNum w:abstractNumId="23" w15:restartNumberingAfterBreak="0">
    <w:nsid w:val="714073D4"/>
    <w:multiLevelType w:val="multilevel"/>
    <w:tmpl w:val="C1243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2131460"/>
    <w:multiLevelType w:val="hybridMultilevel"/>
    <w:tmpl w:val="CFB4DB8A"/>
    <w:lvl w:ilvl="0" w:tplc="C5EA5EA8">
      <w:start w:val="1"/>
      <w:numFmt w:val="decimal"/>
      <w:lvlText w:val="%1)"/>
      <w:lvlJc w:val="left"/>
      <w:pPr>
        <w:ind w:left="720" w:hanging="360"/>
      </w:pPr>
    </w:lvl>
    <w:lvl w:ilvl="1" w:tplc="EAC66672" w:tentative="1">
      <w:start w:val="1"/>
      <w:numFmt w:val="lowerLetter"/>
      <w:lvlText w:val="%2."/>
      <w:lvlJc w:val="left"/>
      <w:pPr>
        <w:ind w:left="1440" w:hanging="360"/>
      </w:pPr>
    </w:lvl>
    <w:lvl w:ilvl="2" w:tplc="8E6A2258" w:tentative="1">
      <w:start w:val="1"/>
      <w:numFmt w:val="lowerRoman"/>
      <w:lvlText w:val="%3."/>
      <w:lvlJc w:val="right"/>
      <w:pPr>
        <w:ind w:left="2160" w:hanging="180"/>
      </w:pPr>
    </w:lvl>
    <w:lvl w:ilvl="3" w:tplc="D6B22D7A" w:tentative="1">
      <w:start w:val="1"/>
      <w:numFmt w:val="decimal"/>
      <w:lvlText w:val="%4."/>
      <w:lvlJc w:val="left"/>
      <w:pPr>
        <w:ind w:left="2880" w:hanging="360"/>
      </w:pPr>
    </w:lvl>
    <w:lvl w:ilvl="4" w:tplc="0E460AEA" w:tentative="1">
      <w:start w:val="1"/>
      <w:numFmt w:val="lowerLetter"/>
      <w:lvlText w:val="%5."/>
      <w:lvlJc w:val="left"/>
      <w:pPr>
        <w:ind w:left="3600" w:hanging="360"/>
      </w:pPr>
    </w:lvl>
    <w:lvl w:ilvl="5" w:tplc="0A047C82" w:tentative="1">
      <w:start w:val="1"/>
      <w:numFmt w:val="lowerRoman"/>
      <w:lvlText w:val="%6."/>
      <w:lvlJc w:val="right"/>
      <w:pPr>
        <w:ind w:left="4320" w:hanging="180"/>
      </w:pPr>
    </w:lvl>
    <w:lvl w:ilvl="6" w:tplc="F4E0D652" w:tentative="1">
      <w:start w:val="1"/>
      <w:numFmt w:val="decimal"/>
      <w:lvlText w:val="%7."/>
      <w:lvlJc w:val="left"/>
      <w:pPr>
        <w:ind w:left="5040" w:hanging="360"/>
      </w:pPr>
    </w:lvl>
    <w:lvl w:ilvl="7" w:tplc="A7F4C93C" w:tentative="1">
      <w:start w:val="1"/>
      <w:numFmt w:val="lowerLetter"/>
      <w:lvlText w:val="%8."/>
      <w:lvlJc w:val="left"/>
      <w:pPr>
        <w:ind w:left="5760" w:hanging="360"/>
      </w:pPr>
    </w:lvl>
    <w:lvl w:ilvl="8" w:tplc="881AEFAC" w:tentative="1">
      <w:start w:val="1"/>
      <w:numFmt w:val="lowerRoman"/>
      <w:lvlText w:val="%9."/>
      <w:lvlJc w:val="right"/>
      <w:pPr>
        <w:ind w:left="6480" w:hanging="180"/>
      </w:pPr>
    </w:lvl>
  </w:abstractNum>
  <w:abstractNum w:abstractNumId="25" w15:restartNumberingAfterBreak="0">
    <w:nsid w:val="73060252"/>
    <w:multiLevelType w:val="hybridMultilevel"/>
    <w:tmpl w:val="B5680922"/>
    <w:lvl w:ilvl="0" w:tplc="AF4A5076">
      <w:start w:val="5"/>
      <w:numFmt w:val="decimal"/>
      <w:lvlText w:val="%1)"/>
      <w:lvlJc w:val="left"/>
      <w:pPr>
        <w:ind w:left="693" w:hanging="267"/>
      </w:pPr>
      <w:rPr>
        <w:rFonts w:hint="default"/>
        <w:b w:val="0"/>
        <w:bCs/>
        <w:i/>
        <w:spacing w:val="0"/>
        <w:w w:val="99"/>
      </w:rPr>
    </w:lvl>
    <w:lvl w:ilvl="1" w:tplc="447E1266" w:tentative="1">
      <w:start w:val="1"/>
      <w:numFmt w:val="lowerLetter"/>
      <w:lvlText w:val="%2."/>
      <w:lvlJc w:val="left"/>
      <w:pPr>
        <w:ind w:left="1214" w:hanging="360"/>
      </w:pPr>
    </w:lvl>
    <w:lvl w:ilvl="2" w:tplc="557E12A4" w:tentative="1">
      <w:start w:val="1"/>
      <w:numFmt w:val="lowerRoman"/>
      <w:lvlText w:val="%3."/>
      <w:lvlJc w:val="right"/>
      <w:pPr>
        <w:ind w:left="1934" w:hanging="180"/>
      </w:pPr>
    </w:lvl>
    <w:lvl w:ilvl="3" w:tplc="9D2AF400" w:tentative="1">
      <w:start w:val="1"/>
      <w:numFmt w:val="decimal"/>
      <w:lvlText w:val="%4."/>
      <w:lvlJc w:val="left"/>
      <w:pPr>
        <w:ind w:left="2654" w:hanging="360"/>
      </w:pPr>
    </w:lvl>
    <w:lvl w:ilvl="4" w:tplc="6BD087BA" w:tentative="1">
      <w:start w:val="1"/>
      <w:numFmt w:val="lowerLetter"/>
      <w:lvlText w:val="%5."/>
      <w:lvlJc w:val="left"/>
      <w:pPr>
        <w:ind w:left="3374" w:hanging="360"/>
      </w:pPr>
    </w:lvl>
    <w:lvl w:ilvl="5" w:tplc="4ECA1838" w:tentative="1">
      <w:start w:val="1"/>
      <w:numFmt w:val="lowerRoman"/>
      <w:lvlText w:val="%6."/>
      <w:lvlJc w:val="right"/>
      <w:pPr>
        <w:ind w:left="4094" w:hanging="180"/>
      </w:pPr>
    </w:lvl>
    <w:lvl w:ilvl="6" w:tplc="59D49F86" w:tentative="1">
      <w:start w:val="1"/>
      <w:numFmt w:val="decimal"/>
      <w:lvlText w:val="%7."/>
      <w:lvlJc w:val="left"/>
      <w:pPr>
        <w:ind w:left="4814" w:hanging="360"/>
      </w:pPr>
    </w:lvl>
    <w:lvl w:ilvl="7" w:tplc="64EC3EFE" w:tentative="1">
      <w:start w:val="1"/>
      <w:numFmt w:val="lowerLetter"/>
      <w:lvlText w:val="%8."/>
      <w:lvlJc w:val="left"/>
      <w:pPr>
        <w:ind w:left="5534" w:hanging="360"/>
      </w:pPr>
    </w:lvl>
    <w:lvl w:ilvl="8" w:tplc="1B0AC8F8" w:tentative="1">
      <w:start w:val="1"/>
      <w:numFmt w:val="lowerRoman"/>
      <w:lvlText w:val="%9."/>
      <w:lvlJc w:val="right"/>
      <w:pPr>
        <w:ind w:left="6254" w:hanging="180"/>
      </w:pPr>
    </w:lvl>
  </w:abstractNum>
  <w:abstractNum w:abstractNumId="26" w15:restartNumberingAfterBreak="0">
    <w:nsid w:val="752B3BAE"/>
    <w:multiLevelType w:val="hybridMultilevel"/>
    <w:tmpl w:val="7D84CC48"/>
    <w:lvl w:ilvl="0" w:tplc="74461016">
      <w:start w:val="1"/>
      <w:numFmt w:val="decimal"/>
      <w:lvlText w:val="%1)"/>
      <w:lvlJc w:val="left"/>
      <w:pPr>
        <w:ind w:left="1118" w:hanging="267"/>
      </w:pPr>
      <w:rPr>
        <w:rFonts w:hint="default"/>
        <w:i/>
        <w:spacing w:val="0"/>
        <w:w w:val="99"/>
        <w:lang w:val="en-US" w:eastAsia="en-US" w:bidi="ar-SA"/>
      </w:rPr>
    </w:lvl>
    <w:lvl w:ilvl="1" w:tplc="95BE255A" w:tentative="1">
      <w:start w:val="1"/>
      <w:numFmt w:val="lowerLetter"/>
      <w:lvlText w:val="%2."/>
      <w:lvlJc w:val="left"/>
      <w:pPr>
        <w:ind w:left="2126" w:hanging="360"/>
      </w:pPr>
    </w:lvl>
    <w:lvl w:ilvl="2" w:tplc="4490DDC0" w:tentative="1">
      <w:start w:val="1"/>
      <w:numFmt w:val="lowerRoman"/>
      <w:lvlText w:val="%3."/>
      <w:lvlJc w:val="right"/>
      <w:pPr>
        <w:ind w:left="2846" w:hanging="180"/>
      </w:pPr>
    </w:lvl>
    <w:lvl w:ilvl="3" w:tplc="B95CB4B6" w:tentative="1">
      <w:start w:val="1"/>
      <w:numFmt w:val="decimal"/>
      <w:lvlText w:val="%4."/>
      <w:lvlJc w:val="left"/>
      <w:pPr>
        <w:ind w:left="3566" w:hanging="360"/>
      </w:pPr>
    </w:lvl>
    <w:lvl w:ilvl="4" w:tplc="59EE94F8" w:tentative="1">
      <w:start w:val="1"/>
      <w:numFmt w:val="lowerLetter"/>
      <w:lvlText w:val="%5."/>
      <w:lvlJc w:val="left"/>
      <w:pPr>
        <w:ind w:left="4286" w:hanging="360"/>
      </w:pPr>
    </w:lvl>
    <w:lvl w:ilvl="5" w:tplc="88BC03A8" w:tentative="1">
      <w:start w:val="1"/>
      <w:numFmt w:val="lowerRoman"/>
      <w:lvlText w:val="%6."/>
      <w:lvlJc w:val="right"/>
      <w:pPr>
        <w:ind w:left="5006" w:hanging="180"/>
      </w:pPr>
    </w:lvl>
    <w:lvl w:ilvl="6" w:tplc="963624D2" w:tentative="1">
      <w:start w:val="1"/>
      <w:numFmt w:val="decimal"/>
      <w:lvlText w:val="%7."/>
      <w:lvlJc w:val="left"/>
      <w:pPr>
        <w:ind w:left="5726" w:hanging="360"/>
      </w:pPr>
    </w:lvl>
    <w:lvl w:ilvl="7" w:tplc="0F965C54" w:tentative="1">
      <w:start w:val="1"/>
      <w:numFmt w:val="lowerLetter"/>
      <w:lvlText w:val="%8."/>
      <w:lvlJc w:val="left"/>
      <w:pPr>
        <w:ind w:left="6446" w:hanging="360"/>
      </w:pPr>
    </w:lvl>
    <w:lvl w:ilvl="8" w:tplc="7436A8E4" w:tentative="1">
      <w:start w:val="1"/>
      <w:numFmt w:val="lowerRoman"/>
      <w:lvlText w:val="%9."/>
      <w:lvlJc w:val="right"/>
      <w:pPr>
        <w:ind w:left="7166" w:hanging="180"/>
      </w:pPr>
    </w:lvl>
  </w:abstractNum>
  <w:num w:numId="1" w16cid:durableId="1101149926">
    <w:abstractNumId w:val="15"/>
  </w:num>
  <w:num w:numId="2" w16cid:durableId="1926918201">
    <w:abstractNumId w:val="20"/>
  </w:num>
  <w:num w:numId="3" w16cid:durableId="1283918593">
    <w:abstractNumId w:val="15"/>
  </w:num>
  <w:num w:numId="4" w16cid:durableId="135137285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53058660">
    <w:abstractNumId w:val="13"/>
  </w:num>
  <w:num w:numId="6" w16cid:durableId="1697388803">
    <w:abstractNumId w:val="7"/>
  </w:num>
  <w:num w:numId="7" w16cid:durableId="80833230">
    <w:abstractNumId w:val="0"/>
  </w:num>
  <w:num w:numId="8" w16cid:durableId="320811815">
    <w:abstractNumId w:val="6"/>
  </w:num>
  <w:num w:numId="9" w16cid:durableId="161929468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35578015">
    <w:abstractNumId w:val="16"/>
  </w:num>
  <w:num w:numId="11" w16cid:durableId="148172949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33814180">
    <w:abstractNumId w:val="12"/>
  </w:num>
  <w:num w:numId="13" w16cid:durableId="352922066">
    <w:abstractNumId w:val="18"/>
  </w:num>
  <w:num w:numId="14" w16cid:durableId="525563574">
    <w:abstractNumId w:val="26"/>
  </w:num>
  <w:num w:numId="15" w16cid:durableId="1710104096">
    <w:abstractNumId w:val="4"/>
  </w:num>
  <w:num w:numId="16" w16cid:durableId="1822193081">
    <w:abstractNumId w:val="25"/>
  </w:num>
  <w:num w:numId="17" w16cid:durableId="232666822">
    <w:abstractNumId w:val="22"/>
  </w:num>
  <w:num w:numId="18" w16cid:durableId="360740344">
    <w:abstractNumId w:val="9"/>
  </w:num>
  <w:num w:numId="19" w16cid:durableId="17341613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00994889">
    <w:abstractNumId w:val="17"/>
  </w:num>
  <w:num w:numId="21" w16cid:durableId="687758663">
    <w:abstractNumId w:val="21"/>
  </w:num>
  <w:num w:numId="22" w16cid:durableId="1035927848">
    <w:abstractNumId w:val="3"/>
  </w:num>
  <w:num w:numId="23" w16cid:durableId="138808130">
    <w:abstractNumId w:val="10"/>
  </w:num>
  <w:num w:numId="24" w16cid:durableId="1211308881">
    <w:abstractNumId w:val="2"/>
  </w:num>
  <w:num w:numId="25" w16cid:durableId="1526401192">
    <w:abstractNumId w:val="24"/>
  </w:num>
  <w:num w:numId="26" w16cid:durableId="690302681">
    <w:abstractNumId w:val="11"/>
  </w:num>
  <w:num w:numId="27" w16cid:durableId="423310028">
    <w:abstractNumId w:val="19"/>
  </w:num>
  <w:num w:numId="28" w16cid:durableId="1870490761">
    <w:abstractNumId w:val="5"/>
  </w:num>
  <w:num w:numId="29" w16cid:durableId="1075517726">
    <w:abstractNumId w:val="23"/>
  </w:num>
  <w:num w:numId="30" w16cid:durableId="1334642646">
    <w:abstractNumId w:val="8"/>
  </w:num>
  <w:num w:numId="31" w16cid:durableId="687490708">
    <w:abstractNumId w:val="14"/>
  </w:num>
  <w:num w:numId="32" w16cid:durableId="14449566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FBB"/>
    <w:rsid w:val="000002E1"/>
    <w:rsid w:val="000005FC"/>
    <w:rsid w:val="00001DFE"/>
    <w:rsid w:val="00004E38"/>
    <w:rsid w:val="00017719"/>
    <w:rsid w:val="000279F8"/>
    <w:rsid w:val="00027F1D"/>
    <w:rsid w:val="0003296C"/>
    <w:rsid w:val="000357CA"/>
    <w:rsid w:val="0005324E"/>
    <w:rsid w:val="00054421"/>
    <w:rsid w:val="00062E46"/>
    <w:rsid w:val="000674ED"/>
    <w:rsid w:val="000745E1"/>
    <w:rsid w:val="00074AC8"/>
    <w:rsid w:val="00075DD7"/>
    <w:rsid w:val="00081408"/>
    <w:rsid w:val="00081EBE"/>
    <w:rsid w:val="00086EDC"/>
    <w:rsid w:val="000A2F8B"/>
    <w:rsid w:val="000B1598"/>
    <w:rsid w:val="000B36A3"/>
    <w:rsid w:val="000B5668"/>
    <w:rsid w:val="000B7E54"/>
    <w:rsid w:val="000C013C"/>
    <w:rsid w:val="000C22A6"/>
    <w:rsid w:val="000C7AEE"/>
    <w:rsid w:val="000E3F84"/>
    <w:rsid w:val="000F77E5"/>
    <w:rsid w:val="001016A1"/>
    <w:rsid w:val="001056DF"/>
    <w:rsid w:val="00106428"/>
    <w:rsid w:val="00114025"/>
    <w:rsid w:val="001160D2"/>
    <w:rsid w:val="00120C25"/>
    <w:rsid w:val="001348A5"/>
    <w:rsid w:val="00151B8E"/>
    <w:rsid w:val="00156B17"/>
    <w:rsid w:val="001602D7"/>
    <w:rsid w:val="00161835"/>
    <w:rsid w:val="0018203E"/>
    <w:rsid w:val="001928FB"/>
    <w:rsid w:val="00192A6D"/>
    <w:rsid w:val="00192BC7"/>
    <w:rsid w:val="001937B1"/>
    <w:rsid w:val="001A2508"/>
    <w:rsid w:val="001A50EA"/>
    <w:rsid w:val="001B039B"/>
    <w:rsid w:val="001B4E92"/>
    <w:rsid w:val="001C6E7C"/>
    <w:rsid w:val="001E1E80"/>
    <w:rsid w:val="001F16CD"/>
    <w:rsid w:val="001F47D2"/>
    <w:rsid w:val="001F7132"/>
    <w:rsid w:val="001F758F"/>
    <w:rsid w:val="00215FAB"/>
    <w:rsid w:val="00221B9A"/>
    <w:rsid w:val="0022285A"/>
    <w:rsid w:val="00224C61"/>
    <w:rsid w:val="00226C88"/>
    <w:rsid w:val="00234A75"/>
    <w:rsid w:val="002360A1"/>
    <w:rsid w:val="002528AC"/>
    <w:rsid w:val="0026565E"/>
    <w:rsid w:val="0027227B"/>
    <w:rsid w:val="00273AC7"/>
    <w:rsid w:val="00273BF8"/>
    <w:rsid w:val="00273D2C"/>
    <w:rsid w:val="00285ECD"/>
    <w:rsid w:val="00290C58"/>
    <w:rsid w:val="00290E1B"/>
    <w:rsid w:val="00291B17"/>
    <w:rsid w:val="00291DAB"/>
    <w:rsid w:val="002A0168"/>
    <w:rsid w:val="002A6742"/>
    <w:rsid w:val="002C1A7F"/>
    <w:rsid w:val="002C4239"/>
    <w:rsid w:val="002C559D"/>
    <w:rsid w:val="002D2D42"/>
    <w:rsid w:val="002D38A3"/>
    <w:rsid w:val="002D6671"/>
    <w:rsid w:val="002F4E2A"/>
    <w:rsid w:val="002F72D0"/>
    <w:rsid w:val="003003AB"/>
    <w:rsid w:val="003100F7"/>
    <w:rsid w:val="00311C49"/>
    <w:rsid w:val="0032119E"/>
    <w:rsid w:val="00321304"/>
    <w:rsid w:val="00323634"/>
    <w:rsid w:val="00323E4B"/>
    <w:rsid w:val="00331543"/>
    <w:rsid w:val="00331F84"/>
    <w:rsid w:val="003820EE"/>
    <w:rsid w:val="00382BF5"/>
    <w:rsid w:val="003950A4"/>
    <w:rsid w:val="003D3863"/>
    <w:rsid w:val="003D38D1"/>
    <w:rsid w:val="003E3577"/>
    <w:rsid w:val="003F3A61"/>
    <w:rsid w:val="003F48BC"/>
    <w:rsid w:val="00410A5D"/>
    <w:rsid w:val="00414909"/>
    <w:rsid w:val="00425A6A"/>
    <w:rsid w:val="004267D5"/>
    <w:rsid w:val="00426FBB"/>
    <w:rsid w:val="00427F8D"/>
    <w:rsid w:val="00450E21"/>
    <w:rsid w:val="004568B4"/>
    <w:rsid w:val="0047429A"/>
    <w:rsid w:val="0048374C"/>
    <w:rsid w:val="0048771D"/>
    <w:rsid w:val="004A254E"/>
    <w:rsid w:val="004A6605"/>
    <w:rsid w:val="004B5ADD"/>
    <w:rsid w:val="004C45FA"/>
    <w:rsid w:val="004C663E"/>
    <w:rsid w:val="004D21B3"/>
    <w:rsid w:val="004D3745"/>
    <w:rsid w:val="004E1BD8"/>
    <w:rsid w:val="004E452A"/>
    <w:rsid w:val="004E48CD"/>
    <w:rsid w:val="004E4DD5"/>
    <w:rsid w:val="004E78E3"/>
    <w:rsid w:val="005004BF"/>
    <w:rsid w:val="00502E89"/>
    <w:rsid w:val="00510E95"/>
    <w:rsid w:val="00511656"/>
    <w:rsid w:val="00520685"/>
    <w:rsid w:val="00525FD2"/>
    <w:rsid w:val="00527D56"/>
    <w:rsid w:val="0053221F"/>
    <w:rsid w:val="00536FAE"/>
    <w:rsid w:val="00542C85"/>
    <w:rsid w:val="00553510"/>
    <w:rsid w:val="00554186"/>
    <w:rsid w:val="00571DA6"/>
    <w:rsid w:val="00585769"/>
    <w:rsid w:val="00591130"/>
    <w:rsid w:val="005A3F28"/>
    <w:rsid w:val="005A40BE"/>
    <w:rsid w:val="005B13E2"/>
    <w:rsid w:val="005B47D7"/>
    <w:rsid w:val="005B7A07"/>
    <w:rsid w:val="005C5526"/>
    <w:rsid w:val="005C62C6"/>
    <w:rsid w:val="005D12DE"/>
    <w:rsid w:val="005D7B9E"/>
    <w:rsid w:val="005E1602"/>
    <w:rsid w:val="005E3524"/>
    <w:rsid w:val="005E4187"/>
    <w:rsid w:val="005E491D"/>
    <w:rsid w:val="005E68FF"/>
    <w:rsid w:val="005F0834"/>
    <w:rsid w:val="005F6DC3"/>
    <w:rsid w:val="00601A8E"/>
    <w:rsid w:val="0060485B"/>
    <w:rsid w:val="0061467B"/>
    <w:rsid w:val="00616CE4"/>
    <w:rsid w:val="00616D2D"/>
    <w:rsid w:val="0062033E"/>
    <w:rsid w:val="00624482"/>
    <w:rsid w:val="006254E2"/>
    <w:rsid w:val="00634CBC"/>
    <w:rsid w:val="00635C40"/>
    <w:rsid w:val="0064307E"/>
    <w:rsid w:val="0064799C"/>
    <w:rsid w:val="00654156"/>
    <w:rsid w:val="0067314D"/>
    <w:rsid w:val="00690558"/>
    <w:rsid w:val="006B1EBD"/>
    <w:rsid w:val="006B47CA"/>
    <w:rsid w:val="006C7AAA"/>
    <w:rsid w:val="006D067B"/>
    <w:rsid w:val="006D1C2A"/>
    <w:rsid w:val="006D264F"/>
    <w:rsid w:val="006E2A8D"/>
    <w:rsid w:val="006E7574"/>
    <w:rsid w:val="006E7C5D"/>
    <w:rsid w:val="00703430"/>
    <w:rsid w:val="007069BE"/>
    <w:rsid w:val="00717D2A"/>
    <w:rsid w:val="007420B2"/>
    <w:rsid w:val="00745C86"/>
    <w:rsid w:val="00754FC5"/>
    <w:rsid w:val="0075698B"/>
    <w:rsid w:val="0076204C"/>
    <w:rsid w:val="00762D1B"/>
    <w:rsid w:val="00764603"/>
    <w:rsid w:val="0076604D"/>
    <w:rsid w:val="0077630E"/>
    <w:rsid w:val="00790909"/>
    <w:rsid w:val="007B5A07"/>
    <w:rsid w:val="007C4F39"/>
    <w:rsid w:val="007D3E71"/>
    <w:rsid w:val="007E2A1B"/>
    <w:rsid w:val="007E5571"/>
    <w:rsid w:val="007E5D6A"/>
    <w:rsid w:val="007E645D"/>
    <w:rsid w:val="007F75CA"/>
    <w:rsid w:val="00807640"/>
    <w:rsid w:val="00821E08"/>
    <w:rsid w:val="00831261"/>
    <w:rsid w:val="00832C6C"/>
    <w:rsid w:val="00834EFD"/>
    <w:rsid w:val="00843C58"/>
    <w:rsid w:val="00844B24"/>
    <w:rsid w:val="0084515F"/>
    <w:rsid w:val="00847FAC"/>
    <w:rsid w:val="0085092D"/>
    <w:rsid w:val="00877C7D"/>
    <w:rsid w:val="00877D4C"/>
    <w:rsid w:val="0089763B"/>
    <w:rsid w:val="008A70F6"/>
    <w:rsid w:val="008B5734"/>
    <w:rsid w:val="008B6AE3"/>
    <w:rsid w:val="008D01BF"/>
    <w:rsid w:val="008D0F6F"/>
    <w:rsid w:val="008D1045"/>
    <w:rsid w:val="008E4ED9"/>
    <w:rsid w:val="008E5996"/>
    <w:rsid w:val="009008D4"/>
    <w:rsid w:val="00901AE1"/>
    <w:rsid w:val="00913959"/>
    <w:rsid w:val="00915492"/>
    <w:rsid w:val="009205B4"/>
    <w:rsid w:val="00921405"/>
    <w:rsid w:val="00933818"/>
    <w:rsid w:val="00942497"/>
    <w:rsid w:val="0094723E"/>
    <w:rsid w:val="00955B59"/>
    <w:rsid w:val="00964828"/>
    <w:rsid w:val="00966182"/>
    <w:rsid w:val="00972202"/>
    <w:rsid w:val="009770A3"/>
    <w:rsid w:val="00992262"/>
    <w:rsid w:val="009926BC"/>
    <w:rsid w:val="009A4319"/>
    <w:rsid w:val="009A6C3F"/>
    <w:rsid w:val="009B27C3"/>
    <w:rsid w:val="009B73F2"/>
    <w:rsid w:val="009C12BD"/>
    <w:rsid w:val="009C50FE"/>
    <w:rsid w:val="009D3F64"/>
    <w:rsid w:val="009D5BE5"/>
    <w:rsid w:val="009E405F"/>
    <w:rsid w:val="009E4111"/>
    <w:rsid w:val="009F07D9"/>
    <w:rsid w:val="009F62B8"/>
    <w:rsid w:val="00A01A13"/>
    <w:rsid w:val="00A027AA"/>
    <w:rsid w:val="00A03E75"/>
    <w:rsid w:val="00A32FAF"/>
    <w:rsid w:val="00A44864"/>
    <w:rsid w:val="00A45FCE"/>
    <w:rsid w:val="00A625A9"/>
    <w:rsid w:val="00A73DFC"/>
    <w:rsid w:val="00A75671"/>
    <w:rsid w:val="00A765D4"/>
    <w:rsid w:val="00A773CC"/>
    <w:rsid w:val="00A9318B"/>
    <w:rsid w:val="00A94AC1"/>
    <w:rsid w:val="00AA1878"/>
    <w:rsid w:val="00AA5ABC"/>
    <w:rsid w:val="00AB18B7"/>
    <w:rsid w:val="00AB783A"/>
    <w:rsid w:val="00AD335D"/>
    <w:rsid w:val="00AD494A"/>
    <w:rsid w:val="00AD6688"/>
    <w:rsid w:val="00AE417A"/>
    <w:rsid w:val="00AF792B"/>
    <w:rsid w:val="00B011F0"/>
    <w:rsid w:val="00B07B3D"/>
    <w:rsid w:val="00B11A3C"/>
    <w:rsid w:val="00B15359"/>
    <w:rsid w:val="00B16780"/>
    <w:rsid w:val="00B21ED4"/>
    <w:rsid w:val="00B22ECB"/>
    <w:rsid w:val="00B271C0"/>
    <w:rsid w:val="00B30DFB"/>
    <w:rsid w:val="00B35B2C"/>
    <w:rsid w:val="00B35B78"/>
    <w:rsid w:val="00B55D5E"/>
    <w:rsid w:val="00B64255"/>
    <w:rsid w:val="00B64C40"/>
    <w:rsid w:val="00B7318C"/>
    <w:rsid w:val="00B7323D"/>
    <w:rsid w:val="00B9204D"/>
    <w:rsid w:val="00B94516"/>
    <w:rsid w:val="00BA54E0"/>
    <w:rsid w:val="00BB2855"/>
    <w:rsid w:val="00BB4D47"/>
    <w:rsid w:val="00BD19C1"/>
    <w:rsid w:val="00BD25B8"/>
    <w:rsid w:val="00BF6100"/>
    <w:rsid w:val="00C012E1"/>
    <w:rsid w:val="00C0641F"/>
    <w:rsid w:val="00C06BB4"/>
    <w:rsid w:val="00C10D20"/>
    <w:rsid w:val="00C12E0C"/>
    <w:rsid w:val="00C17A29"/>
    <w:rsid w:val="00C21916"/>
    <w:rsid w:val="00C22F9A"/>
    <w:rsid w:val="00C361C5"/>
    <w:rsid w:val="00C457CA"/>
    <w:rsid w:val="00C52125"/>
    <w:rsid w:val="00C52F98"/>
    <w:rsid w:val="00C57FB7"/>
    <w:rsid w:val="00C65F3F"/>
    <w:rsid w:val="00C72414"/>
    <w:rsid w:val="00C8667B"/>
    <w:rsid w:val="00C90766"/>
    <w:rsid w:val="00C941E3"/>
    <w:rsid w:val="00CA388D"/>
    <w:rsid w:val="00CA4CE3"/>
    <w:rsid w:val="00CB6928"/>
    <w:rsid w:val="00CD4F3F"/>
    <w:rsid w:val="00CD6FCB"/>
    <w:rsid w:val="00CE4A6A"/>
    <w:rsid w:val="00CF2D95"/>
    <w:rsid w:val="00CF7642"/>
    <w:rsid w:val="00D00654"/>
    <w:rsid w:val="00D01E44"/>
    <w:rsid w:val="00D05D7E"/>
    <w:rsid w:val="00D067A0"/>
    <w:rsid w:val="00D163AB"/>
    <w:rsid w:val="00D2572E"/>
    <w:rsid w:val="00D311F8"/>
    <w:rsid w:val="00D36B52"/>
    <w:rsid w:val="00D377C8"/>
    <w:rsid w:val="00D41274"/>
    <w:rsid w:val="00D43351"/>
    <w:rsid w:val="00D43BF3"/>
    <w:rsid w:val="00D536F4"/>
    <w:rsid w:val="00D60B22"/>
    <w:rsid w:val="00D6716E"/>
    <w:rsid w:val="00D767BB"/>
    <w:rsid w:val="00D8449C"/>
    <w:rsid w:val="00D939B0"/>
    <w:rsid w:val="00DB0CCA"/>
    <w:rsid w:val="00DB16E0"/>
    <w:rsid w:val="00DB2DF9"/>
    <w:rsid w:val="00DB3A62"/>
    <w:rsid w:val="00DB7E63"/>
    <w:rsid w:val="00DC2055"/>
    <w:rsid w:val="00DC2AE2"/>
    <w:rsid w:val="00DC6B27"/>
    <w:rsid w:val="00DC796C"/>
    <w:rsid w:val="00DD71E8"/>
    <w:rsid w:val="00DD7F83"/>
    <w:rsid w:val="00DE13BC"/>
    <w:rsid w:val="00DF4674"/>
    <w:rsid w:val="00DF58BA"/>
    <w:rsid w:val="00E00491"/>
    <w:rsid w:val="00E0641E"/>
    <w:rsid w:val="00E06664"/>
    <w:rsid w:val="00E06C27"/>
    <w:rsid w:val="00E074E2"/>
    <w:rsid w:val="00E27B83"/>
    <w:rsid w:val="00E304BC"/>
    <w:rsid w:val="00E32853"/>
    <w:rsid w:val="00E4017B"/>
    <w:rsid w:val="00E401F8"/>
    <w:rsid w:val="00E42AB0"/>
    <w:rsid w:val="00E43628"/>
    <w:rsid w:val="00E46425"/>
    <w:rsid w:val="00E47D0E"/>
    <w:rsid w:val="00E65018"/>
    <w:rsid w:val="00E75019"/>
    <w:rsid w:val="00E8667E"/>
    <w:rsid w:val="00E94339"/>
    <w:rsid w:val="00E97563"/>
    <w:rsid w:val="00EB0B63"/>
    <w:rsid w:val="00EB130D"/>
    <w:rsid w:val="00EC265C"/>
    <w:rsid w:val="00EC72F8"/>
    <w:rsid w:val="00ED61CB"/>
    <w:rsid w:val="00F04AB3"/>
    <w:rsid w:val="00F06A72"/>
    <w:rsid w:val="00F114B5"/>
    <w:rsid w:val="00F12E79"/>
    <w:rsid w:val="00F136F0"/>
    <w:rsid w:val="00F140FB"/>
    <w:rsid w:val="00F20BBB"/>
    <w:rsid w:val="00F272A5"/>
    <w:rsid w:val="00F43BD8"/>
    <w:rsid w:val="00F562F3"/>
    <w:rsid w:val="00F74B89"/>
    <w:rsid w:val="00F75133"/>
    <w:rsid w:val="00F760CA"/>
    <w:rsid w:val="00F854B4"/>
    <w:rsid w:val="00F86D4D"/>
    <w:rsid w:val="00FA3899"/>
    <w:rsid w:val="00FA4909"/>
    <w:rsid w:val="00FA4A19"/>
    <w:rsid w:val="00FA6751"/>
    <w:rsid w:val="00FB1048"/>
    <w:rsid w:val="00FB5A8B"/>
    <w:rsid w:val="00FB62C4"/>
    <w:rsid w:val="00FB6394"/>
    <w:rsid w:val="00FB7701"/>
    <w:rsid w:val="00FD1AC5"/>
    <w:rsid w:val="00FD1FF4"/>
    <w:rsid w:val="00FD2C6C"/>
    <w:rsid w:val="00FD30EE"/>
    <w:rsid w:val="00FD5CF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B7FC5D"/>
  <w15:chartTrackingRefBased/>
  <w15:docId w15:val="{5B6AD0F4-4052-4C4A-9DA6-A75960EFE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C7AEE"/>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AA1878"/>
    <w:pPr>
      <w:adjustRightInd w:val="0"/>
      <w:snapToGrid w:val="0"/>
      <w:ind w:firstLine="216"/>
      <w:jc w:val="both"/>
    </w:pPr>
    <w:rPr>
      <w:b/>
      <w:sz w:val="18"/>
      <w:lang w:val="en-GB" w:eastAsia="en-GB"/>
    </w:rPr>
  </w:style>
  <w:style w:type="character" w:customStyle="1" w:styleId="IEEEAbtractChar">
    <w:name w:val="IEEE Abtract Char"/>
    <w:link w:val="IEEEAbtract"/>
    <w:rsid w:val="00AA1878"/>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rPr>
      <w:sz w:val="20"/>
    </w:r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uiPriority w:val="59"/>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rFonts w:eastAsia="SimSun"/>
      <w:i/>
      <w:szCs w:val="24"/>
      <w:lang w:val="en-AU" w:eastAsia="zh-CN" w:bidi="ar-SA"/>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0C7AEE"/>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styleId="FollowedHyperlink">
    <w:name w:val="FollowedHyperlink"/>
    <w:rsid w:val="001B4E92"/>
    <w:rPr>
      <w:color w:val="800080"/>
      <w:u w:val="single"/>
    </w:rPr>
  </w:style>
  <w:style w:type="paragraph" w:styleId="BalloonText">
    <w:name w:val="Balloon Text"/>
    <w:basedOn w:val="Normal"/>
    <w:link w:val="BalloonTextChar"/>
    <w:rsid w:val="00717D2A"/>
    <w:rPr>
      <w:rFonts w:ascii="Tahoma" w:hAnsi="Tahoma" w:cs="Tahoma"/>
      <w:sz w:val="16"/>
      <w:szCs w:val="16"/>
    </w:rPr>
  </w:style>
  <w:style w:type="character" w:customStyle="1" w:styleId="BalloonTextChar">
    <w:name w:val="Balloon Text Char"/>
    <w:link w:val="BalloonText"/>
    <w:rsid w:val="00717D2A"/>
    <w:rPr>
      <w:rFonts w:ascii="Tahoma" w:hAnsi="Tahoma" w:cs="Tahoma"/>
      <w:sz w:val="16"/>
      <w:szCs w:val="16"/>
      <w:lang w:val="en-AU" w:eastAsia="zh-CN"/>
    </w:rPr>
  </w:style>
  <w:style w:type="table" w:customStyle="1" w:styleId="Calendar2">
    <w:name w:val="Calendar 2"/>
    <w:basedOn w:val="TableNormal"/>
    <w:uiPriority w:val="99"/>
    <w:qFormat/>
    <w:rsid w:val="00616D2D"/>
    <w:pPr>
      <w:jc w:val="center"/>
    </w:pPr>
    <w:rPr>
      <w:rFonts w:ascii="Calibri" w:eastAsia="Times New Roman" w:hAnsi="Calibri"/>
      <w:sz w:val="28"/>
      <w:szCs w:val="28"/>
      <w:lang w:val="en-US" w:eastAsia="en-US"/>
    </w:rPr>
    <w:tblPr>
      <w:tblBorders>
        <w:insideV w:val="single" w:sz="4" w:space="0" w:color="9CC2E5"/>
      </w:tblBorders>
    </w:tblPr>
    <w:tblStylePr w:type="firstRow">
      <w:rPr>
        <w:rFonts w:ascii="Times New Roman" w:hAnsi="Times New Roman"/>
        <w:b w:val="0"/>
        <w:i w:val="0"/>
        <w:caps/>
        <w:smallCaps w:val="0"/>
        <w:color w:val="5B9BD5"/>
        <w:spacing w:val="20"/>
        <w:sz w:val="32"/>
      </w:rPr>
      <w:tblPr/>
      <w:tcPr>
        <w:tcBorders>
          <w:top w:val="nil"/>
          <w:left w:val="nil"/>
          <w:bottom w:val="nil"/>
          <w:right w:val="nil"/>
          <w:insideH w:val="nil"/>
          <w:insideV w:val="nil"/>
          <w:tl2br w:val="nil"/>
          <w:tr2bl w:val="nil"/>
        </w:tcBorders>
      </w:tcPr>
    </w:tblStylePr>
  </w:style>
  <w:style w:type="paragraph" w:customStyle="1" w:styleId="Default">
    <w:name w:val="Default"/>
    <w:rsid w:val="00C90766"/>
    <w:pPr>
      <w:autoSpaceDE w:val="0"/>
      <w:autoSpaceDN w:val="0"/>
      <w:adjustRightInd w:val="0"/>
    </w:pPr>
    <w:rPr>
      <w:rFonts w:eastAsia="Calibri"/>
      <w:color w:val="000000"/>
      <w:sz w:val="24"/>
      <w:szCs w:val="24"/>
      <w:lang w:val="en-GB" w:eastAsia="en-US"/>
    </w:rPr>
  </w:style>
  <w:style w:type="paragraph" w:styleId="ListParagraph">
    <w:name w:val="List Paragraph"/>
    <w:basedOn w:val="Normal"/>
    <w:uiPriority w:val="34"/>
    <w:qFormat/>
    <w:rsid w:val="00E75019"/>
    <w:pPr>
      <w:widowControl w:val="0"/>
      <w:autoSpaceDE w:val="0"/>
      <w:autoSpaceDN w:val="0"/>
      <w:ind w:left="623" w:hanging="217"/>
      <w:jc w:val="both"/>
    </w:pPr>
    <w:rPr>
      <w:rFonts w:eastAsia="Times New Roman"/>
      <w:sz w:val="22"/>
      <w:szCs w:val="22"/>
      <w:lang w:val="en-US" w:eastAsia="en-US"/>
    </w:rPr>
  </w:style>
  <w:style w:type="character" w:styleId="Hyperlink">
    <w:name w:val="Hyperlink"/>
    <w:rsid w:val="008D0F6F"/>
    <w:rPr>
      <w:color w:val="0563C1"/>
      <w:u w:val="single"/>
    </w:rPr>
  </w:style>
  <w:style w:type="character" w:customStyle="1" w:styleId="UnresolvedMention1">
    <w:name w:val="Unresolved Mention1"/>
    <w:uiPriority w:val="99"/>
    <w:semiHidden/>
    <w:unhideWhenUsed/>
    <w:rsid w:val="008D0F6F"/>
    <w:rPr>
      <w:color w:val="605E5C"/>
      <w:shd w:val="clear" w:color="auto" w:fill="E1DFDD"/>
    </w:rPr>
  </w:style>
  <w:style w:type="paragraph" w:styleId="NormalWeb">
    <w:name w:val="Normal (Web)"/>
    <w:basedOn w:val="Normal"/>
    <w:uiPriority w:val="99"/>
    <w:unhideWhenUsed/>
    <w:rsid w:val="0026565E"/>
    <w:pPr>
      <w:spacing w:before="100" w:beforeAutospacing="1" w:after="100" w:afterAutospacing="1"/>
    </w:pPr>
    <w:rPr>
      <w:rFonts w:eastAsia="Times New Roman"/>
      <w:lang w:val="en-IN" w:eastAsia="en-IN"/>
    </w:rPr>
  </w:style>
  <w:style w:type="paragraph" w:styleId="Header">
    <w:name w:val="header"/>
    <w:basedOn w:val="Normal"/>
    <w:link w:val="HeaderChar"/>
    <w:rsid w:val="00B64C40"/>
    <w:pPr>
      <w:tabs>
        <w:tab w:val="center" w:pos="4513"/>
        <w:tab w:val="right" w:pos="9026"/>
      </w:tabs>
    </w:pPr>
  </w:style>
  <w:style w:type="character" w:customStyle="1" w:styleId="HeaderChar">
    <w:name w:val="Header Char"/>
    <w:basedOn w:val="DefaultParagraphFont"/>
    <w:link w:val="Header"/>
    <w:rsid w:val="00B64C40"/>
    <w:rPr>
      <w:sz w:val="24"/>
      <w:szCs w:val="24"/>
      <w:lang w:val="en-AU" w:eastAsia="zh-CN"/>
    </w:rPr>
  </w:style>
  <w:style w:type="paragraph" w:styleId="Footer">
    <w:name w:val="footer"/>
    <w:basedOn w:val="Normal"/>
    <w:link w:val="FooterChar"/>
    <w:uiPriority w:val="99"/>
    <w:rsid w:val="00B64C40"/>
    <w:pPr>
      <w:tabs>
        <w:tab w:val="center" w:pos="4513"/>
        <w:tab w:val="right" w:pos="9026"/>
      </w:tabs>
    </w:pPr>
  </w:style>
  <w:style w:type="character" w:customStyle="1" w:styleId="FooterChar">
    <w:name w:val="Footer Char"/>
    <w:basedOn w:val="DefaultParagraphFont"/>
    <w:link w:val="Footer"/>
    <w:uiPriority w:val="99"/>
    <w:rsid w:val="00B64C40"/>
    <w:rPr>
      <w:sz w:val="24"/>
      <w:szCs w:val="24"/>
      <w:lang w:val="en-AU" w:eastAsia="zh-CN"/>
    </w:rPr>
  </w:style>
  <w:style w:type="character" w:styleId="Strong">
    <w:name w:val="Strong"/>
    <w:basedOn w:val="DefaultParagraphFont"/>
    <w:uiPriority w:val="22"/>
    <w:qFormat/>
    <w:rsid w:val="0091395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531332">
      <w:bodyDiv w:val="1"/>
      <w:marLeft w:val="0"/>
      <w:marRight w:val="0"/>
      <w:marTop w:val="0"/>
      <w:marBottom w:val="0"/>
      <w:divBdr>
        <w:top w:val="none" w:sz="0" w:space="0" w:color="auto"/>
        <w:left w:val="none" w:sz="0" w:space="0" w:color="auto"/>
        <w:bottom w:val="none" w:sz="0" w:space="0" w:color="auto"/>
        <w:right w:val="none" w:sz="0" w:space="0" w:color="auto"/>
      </w:divBdr>
    </w:div>
    <w:div w:id="310252510">
      <w:bodyDiv w:val="1"/>
      <w:marLeft w:val="0"/>
      <w:marRight w:val="0"/>
      <w:marTop w:val="0"/>
      <w:marBottom w:val="0"/>
      <w:divBdr>
        <w:top w:val="none" w:sz="0" w:space="0" w:color="auto"/>
        <w:left w:val="none" w:sz="0" w:space="0" w:color="auto"/>
        <w:bottom w:val="none" w:sz="0" w:space="0" w:color="auto"/>
        <w:right w:val="none" w:sz="0" w:space="0" w:color="auto"/>
      </w:divBdr>
      <w:divsChild>
        <w:div w:id="138039900">
          <w:marLeft w:val="0"/>
          <w:marRight w:val="0"/>
          <w:marTop w:val="0"/>
          <w:marBottom w:val="0"/>
          <w:divBdr>
            <w:top w:val="none" w:sz="0" w:space="0" w:color="auto"/>
            <w:left w:val="none" w:sz="0" w:space="0" w:color="auto"/>
            <w:bottom w:val="none" w:sz="0" w:space="0" w:color="auto"/>
            <w:right w:val="none" w:sz="0" w:space="0" w:color="auto"/>
          </w:divBdr>
          <w:divsChild>
            <w:div w:id="1722897951">
              <w:marLeft w:val="0"/>
              <w:marRight w:val="0"/>
              <w:marTop w:val="0"/>
              <w:marBottom w:val="0"/>
              <w:divBdr>
                <w:top w:val="none" w:sz="0" w:space="0" w:color="auto"/>
                <w:left w:val="none" w:sz="0" w:space="0" w:color="auto"/>
                <w:bottom w:val="none" w:sz="0" w:space="0" w:color="auto"/>
                <w:right w:val="none" w:sz="0" w:space="0" w:color="auto"/>
              </w:divBdr>
              <w:divsChild>
                <w:div w:id="1978219543">
                  <w:marLeft w:val="0"/>
                  <w:marRight w:val="0"/>
                  <w:marTop w:val="0"/>
                  <w:marBottom w:val="0"/>
                  <w:divBdr>
                    <w:top w:val="none" w:sz="0" w:space="0" w:color="auto"/>
                    <w:left w:val="none" w:sz="0" w:space="0" w:color="auto"/>
                    <w:bottom w:val="none" w:sz="0" w:space="0" w:color="auto"/>
                    <w:right w:val="none" w:sz="0" w:space="0" w:color="auto"/>
                  </w:divBdr>
                  <w:divsChild>
                    <w:div w:id="94254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158823">
          <w:marLeft w:val="0"/>
          <w:marRight w:val="0"/>
          <w:marTop w:val="0"/>
          <w:marBottom w:val="0"/>
          <w:divBdr>
            <w:top w:val="none" w:sz="0" w:space="0" w:color="auto"/>
            <w:left w:val="none" w:sz="0" w:space="0" w:color="auto"/>
            <w:bottom w:val="none" w:sz="0" w:space="0" w:color="auto"/>
            <w:right w:val="none" w:sz="0" w:space="0" w:color="auto"/>
          </w:divBdr>
          <w:divsChild>
            <w:div w:id="23556426">
              <w:marLeft w:val="0"/>
              <w:marRight w:val="0"/>
              <w:marTop w:val="0"/>
              <w:marBottom w:val="0"/>
              <w:divBdr>
                <w:top w:val="none" w:sz="0" w:space="0" w:color="auto"/>
                <w:left w:val="none" w:sz="0" w:space="0" w:color="auto"/>
                <w:bottom w:val="none" w:sz="0" w:space="0" w:color="auto"/>
                <w:right w:val="none" w:sz="0" w:space="0" w:color="auto"/>
              </w:divBdr>
              <w:divsChild>
                <w:div w:id="2099667958">
                  <w:marLeft w:val="0"/>
                  <w:marRight w:val="0"/>
                  <w:marTop w:val="0"/>
                  <w:marBottom w:val="0"/>
                  <w:divBdr>
                    <w:top w:val="none" w:sz="0" w:space="0" w:color="auto"/>
                    <w:left w:val="none" w:sz="0" w:space="0" w:color="auto"/>
                    <w:bottom w:val="none" w:sz="0" w:space="0" w:color="auto"/>
                    <w:right w:val="none" w:sz="0" w:space="0" w:color="auto"/>
                  </w:divBdr>
                  <w:divsChild>
                    <w:div w:id="73223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259963">
      <w:bodyDiv w:val="1"/>
      <w:marLeft w:val="0"/>
      <w:marRight w:val="0"/>
      <w:marTop w:val="0"/>
      <w:marBottom w:val="0"/>
      <w:divBdr>
        <w:top w:val="none" w:sz="0" w:space="0" w:color="auto"/>
        <w:left w:val="none" w:sz="0" w:space="0" w:color="auto"/>
        <w:bottom w:val="none" w:sz="0" w:space="0" w:color="auto"/>
        <w:right w:val="none" w:sz="0" w:space="0" w:color="auto"/>
      </w:divBdr>
      <w:divsChild>
        <w:div w:id="709568789">
          <w:marLeft w:val="0"/>
          <w:marRight w:val="0"/>
          <w:marTop w:val="0"/>
          <w:marBottom w:val="0"/>
          <w:divBdr>
            <w:top w:val="none" w:sz="0" w:space="0" w:color="auto"/>
            <w:left w:val="none" w:sz="0" w:space="0" w:color="auto"/>
            <w:bottom w:val="none" w:sz="0" w:space="0" w:color="auto"/>
            <w:right w:val="none" w:sz="0" w:space="0" w:color="auto"/>
          </w:divBdr>
          <w:divsChild>
            <w:div w:id="401870977">
              <w:marLeft w:val="0"/>
              <w:marRight w:val="0"/>
              <w:marTop w:val="0"/>
              <w:marBottom w:val="0"/>
              <w:divBdr>
                <w:top w:val="none" w:sz="0" w:space="0" w:color="auto"/>
                <w:left w:val="none" w:sz="0" w:space="0" w:color="auto"/>
                <w:bottom w:val="none" w:sz="0" w:space="0" w:color="auto"/>
                <w:right w:val="none" w:sz="0" w:space="0" w:color="auto"/>
              </w:divBdr>
              <w:divsChild>
                <w:div w:id="1361976419">
                  <w:marLeft w:val="0"/>
                  <w:marRight w:val="0"/>
                  <w:marTop w:val="0"/>
                  <w:marBottom w:val="0"/>
                  <w:divBdr>
                    <w:top w:val="none" w:sz="0" w:space="0" w:color="auto"/>
                    <w:left w:val="none" w:sz="0" w:space="0" w:color="auto"/>
                    <w:bottom w:val="none" w:sz="0" w:space="0" w:color="auto"/>
                    <w:right w:val="none" w:sz="0" w:space="0" w:color="auto"/>
                  </w:divBdr>
                  <w:divsChild>
                    <w:div w:id="7573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283489">
          <w:marLeft w:val="0"/>
          <w:marRight w:val="0"/>
          <w:marTop w:val="0"/>
          <w:marBottom w:val="0"/>
          <w:divBdr>
            <w:top w:val="none" w:sz="0" w:space="0" w:color="auto"/>
            <w:left w:val="none" w:sz="0" w:space="0" w:color="auto"/>
            <w:bottom w:val="none" w:sz="0" w:space="0" w:color="auto"/>
            <w:right w:val="none" w:sz="0" w:space="0" w:color="auto"/>
          </w:divBdr>
          <w:divsChild>
            <w:div w:id="1209301991">
              <w:marLeft w:val="0"/>
              <w:marRight w:val="0"/>
              <w:marTop w:val="0"/>
              <w:marBottom w:val="0"/>
              <w:divBdr>
                <w:top w:val="none" w:sz="0" w:space="0" w:color="auto"/>
                <w:left w:val="none" w:sz="0" w:space="0" w:color="auto"/>
                <w:bottom w:val="none" w:sz="0" w:space="0" w:color="auto"/>
                <w:right w:val="none" w:sz="0" w:space="0" w:color="auto"/>
              </w:divBdr>
              <w:divsChild>
                <w:div w:id="1079983640">
                  <w:marLeft w:val="0"/>
                  <w:marRight w:val="0"/>
                  <w:marTop w:val="0"/>
                  <w:marBottom w:val="0"/>
                  <w:divBdr>
                    <w:top w:val="none" w:sz="0" w:space="0" w:color="auto"/>
                    <w:left w:val="none" w:sz="0" w:space="0" w:color="auto"/>
                    <w:bottom w:val="none" w:sz="0" w:space="0" w:color="auto"/>
                    <w:right w:val="none" w:sz="0" w:space="0" w:color="auto"/>
                  </w:divBdr>
                  <w:divsChild>
                    <w:div w:id="28254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841088">
      <w:bodyDiv w:val="1"/>
      <w:marLeft w:val="0"/>
      <w:marRight w:val="0"/>
      <w:marTop w:val="0"/>
      <w:marBottom w:val="0"/>
      <w:divBdr>
        <w:top w:val="none" w:sz="0" w:space="0" w:color="auto"/>
        <w:left w:val="none" w:sz="0" w:space="0" w:color="auto"/>
        <w:bottom w:val="none" w:sz="0" w:space="0" w:color="auto"/>
        <w:right w:val="none" w:sz="0" w:space="0" w:color="auto"/>
      </w:divBdr>
    </w:div>
    <w:div w:id="657732291">
      <w:bodyDiv w:val="1"/>
      <w:marLeft w:val="0"/>
      <w:marRight w:val="0"/>
      <w:marTop w:val="0"/>
      <w:marBottom w:val="0"/>
      <w:divBdr>
        <w:top w:val="none" w:sz="0" w:space="0" w:color="auto"/>
        <w:left w:val="none" w:sz="0" w:space="0" w:color="auto"/>
        <w:bottom w:val="none" w:sz="0" w:space="0" w:color="auto"/>
        <w:right w:val="none" w:sz="0" w:space="0" w:color="auto"/>
      </w:divBdr>
    </w:div>
    <w:div w:id="816535453">
      <w:bodyDiv w:val="1"/>
      <w:marLeft w:val="0"/>
      <w:marRight w:val="0"/>
      <w:marTop w:val="0"/>
      <w:marBottom w:val="0"/>
      <w:divBdr>
        <w:top w:val="none" w:sz="0" w:space="0" w:color="auto"/>
        <w:left w:val="none" w:sz="0" w:space="0" w:color="auto"/>
        <w:bottom w:val="none" w:sz="0" w:space="0" w:color="auto"/>
        <w:right w:val="none" w:sz="0" w:space="0" w:color="auto"/>
      </w:divBdr>
    </w:div>
    <w:div w:id="873078330">
      <w:bodyDiv w:val="1"/>
      <w:marLeft w:val="0"/>
      <w:marRight w:val="0"/>
      <w:marTop w:val="0"/>
      <w:marBottom w:val="0"/>
      <w:divBdr>
        <w:top w:val="none" w:sz="0" w:space="0" w:color="auto"/>
        <w:left w:val="none" w:sz="0" w:space="0" w:color="auto"/>
        <w:bottom w:val="none" w:sz="0" w:space="0" w:color="auto"/>
        <w:right w:val="none" w:sz="0" w:space="0" w:color="auto"/>
      </w:divBdr>
    </w:div>
    <w:div w:id="929046360">
      <w:bodyDiv w:val="1"/>
      <w:marLeft w:val="0"/>
      <w:marRight w:val="0"/>
      <w:marTop w:val="0"/>
      <w:marBottom w:val="0"/>
      <w:divBdr>
        <w:top w:val="none" w:sz="0" w:space="0" w:color="auto"/>
        <w:left w:val="none" w:sz="0" w:space="0" w:color="auto"/>
        <w:bottom w:val="none" w:sz="0" w:space="0" w:color="auto"/>
        <w:right w:val="none" w:sz="0" w:space="0" w:color="auto"/>
      </w:divBdr>
    </w:div>
    <w:div w:id="1091857731">
      <w:bodyDiv w:val="1"/>
      <w:marLeft w:val="0"/>
      <w:marRight w:val="0"/>
      <w:marTop w:val="0"/>
      <w:marBottom w:val="0"/>
      <w:divBdr>
        <w:top w:val="none" w:sz="0" w:space="0" w:color="auto"/>
        <w:left w:val="none" w:sz="0" w:space="0" w:color="auto"/>
        <w:bottom w:val="none" w:sz="0" w:space="0" w:color="auto"/>
        <w:right w:val="none" w:sz="0" w:space="0" w:color="auto"/>
      </w:divBdr>
    </w:div>
    <w:div w:id="1566986130">
      <w:bodyDiv w:val="1"/>
      <w:marLeft w:val="0"/>
      <w:marRight w:val="0"/>
      <w:marTop w:val="0"/>
      <w:marBottom w:val="0"/>
      <w:divBdr>
        <w:top w:val="none" w:sz="0" w:space="0" w:color="auto"/>
        <w:left w:val="none" w:sz="0" w:space="0" w:color="auto"/>
        <w:bottom w:val="none" w:sz="0" w:space="0" w:color="auto"/>
        <w:right w:val="none" w:sz="0" w:space="0" w:color="auto"/>
      </w:divBdr>
    </w:div>
    <w:div w:id="1661155493">
      <w:bodyDiv w:val="1"/>
      <w:marLeft w:val="0"/>
      <w:marRight w:val="0"/>
      <w:marTop w:val="0"/>
      <w:marBottom w:val="0"/>
      <w:divBdr>
        <w:top w:val="none" w:sz="0" w:space="0" w:color="auto"/>
        <w:left w:val="none" w:sz="0" w:space="0" w:color="auto"/>
        <w:bottom w:val="none" w:sz="0" w:space="0" w:color="auto"/>
        <w:right w:val="none" w:sz="0" w:space="0" w:color="auto"/>
      </w:divBdr>
    </w:div>
    <w:div w:id="1793014657">
      <w:bodyDiv w:val="1"/>
      <w:marLeft w:val="0"/>
      <w:marRight w:val="0"/>
      <w:marTop w:val="0"/>
      <w:marBottom w:val="0"/>
      <w:divBdr>
        <w:top w:val="none" w:sz="0" w:space="0" w:color="auto"/>
        <w:left w:val="none" w:sz="0" w:space="0" w:color="auto"/>
        <w:bottom w:val="none" w:sz="0" w:space="0" w:color="auto"/>
        <w:right w:val="none" w:sz="0" w:space="0" w:color="auto"/>
      </w:divBdr>
    </w:div>
    <w:div w:id="1797983799">
      <w:bodyDiv w:val="1"/>
      <w:marLeft w:val="0"/>
      <w:marRight w:val="0"/>
      <w:marTop w:val="0"/>
      <w:marBottom w:val="0"/>
      <w:divBdr>
        <w:top w:val="none" w:sz="0" w:space="0" w:color="auto"/>
        <w:left w:val="none" w:sz="0" w:space="0" w:color="auto"/>
        <w:bottom w:val="none" w:sz="0" w:space="0" w:color="auto"/>
        <w:right w:val="none" w:sz="0" w:space="0" w:color="auto"/>
      </w:divBdr>
    </w:div>
    <w:div w:id="2145929923">
      <w:bodyDiv w:val="1"/>
      <w:marLeft w:val="0"/>
      <w:marRight w:val="0"/>
      <w:marTop w:val="0"/>
      <w:marBottom w:val="0"/>
      <w:divBdr>
        <w:top w:val="none" w:sz="0" w:space="0" w:color="auto"/>
        <w:left w:val="none" w:sz="0" w:space="0" w:color="auto"/>
        <w:bottom w:val="none" w:sz="0" w:space="0" w:color="auto"/>
        <w:right w:val="none" w:sz="0" w:space="0" w:color="auto"/>
      </w:divBdr>
      <w:divsChild>
        <w:div w:id="287973380">
          <w:marLeft w:val="0"/>
          <w:marRight w:val="0"/>
          <w:marTop w:val="0"/>
          <w:marBottom w:val="0"/>
          <w:divBdr>
            <w:top w:val="none" w:sz="0" w:space="0" w:color="auto"/>
            <w:left w:val="none" w:sz="0" w:space="0" w:color="auto"/>
            <w:bottom w:val="none" w:sz="0" w:space="0" w:color="auto"/>
            <w:right w:val="none" w:sz="0" w:space="0" w:color="auto"/>
          </w:divBdr>
          <w:divsChild>
            <w:div w:id="22177399">
              <w:marLeft w:val="0"/>
              <w:marRight w:val="0"/>
              <w:marTop w:val="0"/>
              <w:marBottom w:val="0"/>
              <w:divBdr>
                <w:top w:val="none" w:sz="0" w:space="0" w:color="auto"/>
                <w:left w:val="none" w:sz="0" w:space="0" w:color="auto"/>
                <w:bottom w:val="none" w:sz="0" w:space="0" w:color="auto"/>
                <w:right w:val="none" w:sz="0" w:space="0" w:color="auto"/>
              </w:divBdr>
              <w:divsChild>
                <w:div w:id="1585072120">
                  <w:marLeft w:val="0"/>
                  <w:marRight w:val="0"/>
                  <w:marTop w:val="0"/>
                  <w:marBottom w:val="0"/>
                  <w:divBdr>
                    <w:top w:val="none" w:sz="0" w:space="0" w:color="auto"/>
                    <w:left w:val="none" w:sz="0" w:space="0" w:color="auto"/>
                    <w:bottom w:val="none" w:sz="0" w:space="0" w:color="auto"/>
                    <w:right w:val="none" w:sz="0" w:space="0" w:color="auto"/>
                  </w:divBdr>
                  <w:divsChild>
                    <w:div w:id="18398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778">
          <w:marLeft w:val="0"/>
          <w:marRight w:val="0"/>
          <w:marTop w:val="0"/>
          <w:marBottom w:val="0"/>
          <w:divBdr>
            <w:top w:val="none" w:sz="0" w:space="0" w:color="auto"/>
            <w:left w:val="none" w:sz="0" w:space="0" w:color="auto"/>
            <w:bottom w:val="none" w:sz="0" w:space="0" w:color="auto"/>
            <w:right w:val="none" w:sz="0" w:space="0" w:color="auto"/>
          </w:divBdr>
          <w:divsChild>
            <w:div w:id="1733500283">
              <w:marLeft w:val="0"/>
              <w:marRight w:val="0"/>
              <w:marTop w:val="0"/>
              <w:marBottom w:val="0"/>
              <w:divBdr>
                <w:top w:val="none" w:sz="0" w:space="0" w:color="auto"/>
                <w:left w:val="none" w:sz="0" w:space="0" w:color="auto"/>
                <w:bottom w:val="none" w:sz="0" w:space="0" w:color="auto"/>
                <w:right w:val="none" w:sz="0" w:space="0" w:color="auto"/>
              </w:divBdr>
              <w:divsChild>
                <w:div w:id="1894383675">
                  <w:marLeft w:val="0"/>
                  <w:marRight w:val="0"/>
                  <w:marTop w:val="0"/>
                  <w:marBottom w:val="0"/>
                  <w:divBdr>
                    <w:top w:val="none" w:sz="0" w:space="0" w:color="auto"/>
                    <w:left w:val="none" w:sz="0" w:space="0" w:color="auto"/>
                    <w:bottom w:val="none" w:sz="0" w:space="0" w:color="auto"/>
                    <w:right w:val="none" w:sz="0" w:space="0" w:color="auto"/>
                  </w:divBdr>
                  <w:divsChild>
                    <w:div w:id="125652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teriin.org/resilient-cities/urbanisation.php" TargetMode="External"/><Relationship Id="rId18" Type="http://schemas.openxmlformats.org/officeDocument/2006/relationships/hyperlink" Target="https://www.lidsen.com/journals/aeer/aeer-04-04-052" TargetMode="External"/><Relationship Id="rId26" Type="http://schemas.openxmlformats.org/officeDocument/2006/relationships/hyperlink" Target="https://timesofindia.indiatimes.com/t10-march-7-2024/6-why-bengaluru-is-facing-acute-water-shortage/articleshow/108276358.cms" TargetMode="External"/><Relationship Id="rId3" Type="http://schemas.openxmlformats.org/officeDocument/2006/relationships/settings" Target="settings.xml"/><Relationship Id="rId21" Type="http://schemas.openxmlformats.org/officeDocument/2006/relationships/hyperlink" Target="https://sdgs.un.org/goals/goal11"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india.gov.in/spotlight/smart-cities-mission-step-towards-smart-india" TargetMode="External"/><Relationship Id="rId17" Type="http://schemas.openxmlformats.org/officeDocument/2006/relationships/hyperlink" Target="https://ces.iisc.ac.in/?q=node/411" TargetMode="External"/><Relationship Id="rId25" Type="http://schemas.openxmlformats.org/officeDocument/2006/relationships/hyperlink" Target="https://www.worldbank.org/en/news/opinion/2024/01/30/gearing-up-for-india-s-rapid-urban-transformation"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prsindia.org/policy/report-summaries/reforms-in-urban-planning-capacity-in-india" TargetMode="External"/><Relationship Id="rId20" Type="http://schemas.openxmlformats.org/officeDocument/2006/relationships/hyperlink" Target="https://www.smartcitiesdive.com/news/global-population-cities-united-nations-2050/523843/"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dia.gov.in/spotlight/smart-cities-mission-step-towards-smart-india" TargetMode="External"/><Relationship Id="rId24" Type="http://schemas.openxmlformats.org/officeDocument/2006/relationships/hyperlink" Target="https://www.worldbank.org/en/news/opinion/2024/01/30/gearing-up-for-india-s-rapid-urban-transformation"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niua.in/" TargetMode="External"/><Relationship Id="rId23" Type="http://schemas.openxmlformats.org/officeDocument/2006/relationships/hyperlink" Target="https://unhabitat.org/wcr/" TargetMode="External"/><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yperlink" Target="https://doi.org/10.21926/aeer.2304052"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niua.in/" TargetMode="External"/><Relationship Id="rId22" Type="http://schemas.openxmlformats.org/officeDocument/2006/relationships/hyperlink" Target="https://unhabitat.org/sites/default/files/2022/07/wcr_pr_-_english_press_release_29_06_2022.pdf" TargetMode="External"/><Relationship Id="rId27" Type="http://schemas.openxmlformats.org/officeDocument/2006/relationships/hyperlink" Target="https://timesofindia.indiatimes.com/" TargetMode="External"/><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16</Pages>
  <Words>6110</Words>
  <Characters>34832</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IEEE Paper Word Template in A4 Page Size (V3)</vt:lpstr>
    </vt:vector>
  </TitlesOfParts>
  <Company/>
  <LinksUpToDate>false</LinksUpToDate>
  <CharactersWithSpaces>40861</CharactersWithSpaces>
  <SharedDoc>false</SharedDoc>
  <HLinks>
    <vt:vector size="12" baseType="variant">
      <vt:variant>
        <vt:i4>6946889</vt:i4>
      </vt:variant>
      <vt:variant>
        <vt:i4>3</vt:i4>
      </vt:variant>
      <vt:variant>
        <vt:i4>0</vt:i4>
      </vt:variant>
      <vt:variant>
        <vt:i4>5</vt:i4>
      </vt:variant>
      <vt:variant>
        <vt:lpwstr>mailto:vivekchillalb@gmail.com</vt:lpwstr>
      </vt:variant>
      <vt:variant>
        <vt:lpwstr/>
      </vt:variant>
      <vt:variant>
        <vt:i4>7995478</vt:i4>
      </vt:variant>
      <vt:variant>
        <vt:i4>0</vt:i4>
      </vt:variant>
      <vt:variant>
        <vt:i4>0</vt:i4>
      </vt:variant>
      <vt:variant>
        <vt:i4>5</vt:i4>
      </vt:variant>
      <vt:variant>
        <vt:lpwstr>mailto:gouthamsmkonikar@gmail.com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Word Template in A4 Page Size (V3)</dc:title>
  <dc:subject/>
  <dc:creator>IJET</dc:creator>
  <cp:keywords/>
  <dc:description/>
  <cp:lastModifiedBy>Editor-22</cp:lastModifiedBy>
  <cp:revision>79</cp:revision>
  <cp:lastPrinted>2025-03-04T04:22:00Z</cp:lastPrinted>
  <dcterms:created xsi:type="dcterms:W3CDTF">2025-03-03T14:56:00Z</dcterms:created>
  <dcterms:modified xsi:type="dcterms:W3CDTF">2025-03-05T09:04:00Z</dcterms:modified>
</cp:coreProperties>
</file>