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C4573" w14:textId="3DA65A30" w:rsidR="00B13747" w:rsidRPr="00B13747" w:rsidRDefault="00B13747" w:rsidP="00060B93">
      <w:pPr>
        <w:rPr>
          <w:rFonts w:ascii="Times New Roman" w:hAnsi="Times New Roman" w:cs="Times New Roman"/>
          <w:b/>
          <w:bCs/>
          <w:i/>
          <w:iCs/>
          <w:sz w:val="32"/>
          <w:szCs w:val="32"/>
          <w:u w:val="single"/>
        </w:rPr>
      </w:pPr>
      <w:r w:rsidRPr="00B13747">
        <w:rPr>
          <w:rFonts w:ascii="Times New Roman" w:hAnsi="Times New Roman" w:cs="Times New Roman"/>
          <w:b/>
          <w:bCs/>
          <w:i/>
          <w:iCs/>
          <w:sz w:val="32"/>
          <w:szCs w:val="32"/>
          <w:u w:val="single"/>
        </w:rPr>
        <w:t>Original Research Article</w:t>
      </w:r>
    </w:p>
    <w:p w14:paraId="1CF8F316" w14:textId="14448B9A" w:rsidR="00060B93" w:rsidRPr="00513181" w:rsidRDefault="00DF7FDB" w:rsidP="00060B93">
      <w:pPr>
        <w:rPr>
          <w:rFonts w:ascii="Times New Roman" w:hAnsi="Times New Roman" w:cs="Times New Roman"/>
          <w:b/>
          <w:bCs/>
        </w:rPr>
      </w:pPr>
      <w:r w:rsidRPr="00513181">
        <w:rPr>
          <w:rFonts w:ascii="Times New Roman" w:hAnsi="Times New Roman" w:cs="Times New Roman"/>
          <w:b/>
          <w:bCs/>
        </w:rPr>
        <w:t xml:space="preserve">Eco-Friendly Investors </w:t>
      </w:r>
      <w:r w:rsidR="00276E12" w:rsidRPr="00513181">
        <w:rPr>
          <w:rFonts w:ascii="Times New Roman" w:hAnsi="Times New Roman" w:cs="Times New Roman"/>
          <w:b/>
          <w:bCs/>
        </w:rPr>
        <w:t>and Sustainable</w:t>
      </w:r>
      <w:r w:rsidRPr="00513181">
        <w:rPr>
          <w:rFonts w:ascii="Times New Roman" w:hAnsi="Times New Roman" w:cs="Times New Roman"/>
          <w:b/>
          <w:bCs/>
        </w:rPr>
        <w:t xml:space="preserve"> </w:t>
      </w:r>
      <w:r w:rsidR="00483A2B" w:rsidRPr="00513181">
        <w:rPr>
          <w:rFonts w:ascii="Times New Roman" w:hAnsi="Times New Roman" w:cs="Times New Roman"/>
          <w:b/>
          <w:bCs/>
        </w:rPr>
        <w:t xml:space="preserve">Corporate </w:t>
      </w:r>
      <w:r w:rsidRPr="00513181">
        <w:rPr>
          <w:rFonts w:ascii="Times New Roman" w:hAnsi="Times New Roman" w:cs="Times New Roman"/>
          <w:b/>
          <w:bCs/>
        </w:rPr>
        <w:t xml:space="preserve">Performance: </w:t>
      </w:r>
      <w:r w:rsidR="00060B93" w:rsidRPr="00513181">
        <w:rPr>
          <w:rFonts w:ascii="Times New Roman" w:hAnsi="Times New Roman" w:cs="Times New Roman"/>
          <w:b/>
          <w:bCs/>
        </w:rPr>
        <w:t>Insights from Japanese Data</w:t>
      </w:r>
    </w:p>
    <w:p w14:paraId="218D3B6D" w14:textId="77777777" w:rsidR="009F1478" w:rsidRPr="00513181" w:rsidRDefault="009F1478" w:rsidP="009E6E4F">
      <w:pPr>
        <w:spacing w:after="0"/>
        <w:ind w:left="720"/>
        <w:rPr>
          <w:rFonts w:ascii="Times New Roman" w:hAnsi="Times New Roman" w:cs="Times New Roman"/>
          <w:b/>
          <w:bCs/>
        </w:rPr>
      </w:pPr>
      <w:bookmarkStart w:id="0" w:name="_GoBack"/>
      <w:bookmarkEnd w:id="0"/>
    </w:p>
    <w:p w14:paraId="45840168" w14:textId="77777777" w:rsidR="009E6E4F" w:rsidRPr="00513181" w:rsidRDefault="009E6E4F" w:rsidP="00DF7FDB">
      <w:pPr>
        <w:rPr>
          <w:rFonts w:ascii="Times New Roman" w:hAnsi="Times New Roman" w:cs="Times New Roman"/>
          <w:b/>
          <w:bCs/>
        </w:rPr>
      </w:pPr>
    </w:p>
    <w:p w14:paraId="623E15E8" w14:textId="420DD4AA" w:rsidR="00DF7FDB" w:rsidRPr="00513181" w:rsidRDefault="00DF7FDB" w:rsidP="00DF7FDB">
      <w:pPr>
        <w:rPr>
          <w:rFonts w:ascii="Times New Roman" w:hAnsi="Times New Roman" w:cs="Times New Roman"/>
          <w:b/>
          <w:bCs/>
        </w:rPr>
      </w:pPr>
      <w:r w:rsidRPr="00513181">
        <w:rPr>
          <w:rFonts w:ascii="Times New Roman" w:hAnsi="Times New Roman" w:cs="Times New Roman"/>
          <w:b/>
          <w:bCs/>
        </w:rPr>
        <w:t>Abstract</w:t>
      </w:r>
    </w:p>
    <w:p w14:paraId="1DD68042" w14:textId="778402EE" w:rsidR="00060B93" w:rsidRPr="00513181" w:rsidRDefault="00A041A6" w:rsidP="00060B93">
      <w:pPr>
        <w:jc w:val="both"/>
        <w:rPr>
          <w:rFonts w:ascii="Times New Roman" w:hAnsi="Times New Roman" w:cs="Times New Roman"/>
        </w:rPr>
      </w:pPr>
      <w:r w:rsidRPr="00513181">
        <w:rPr>
          <w:rFonts w:ascii="Times New Roman" w:hAnsi="Times New Roman" w:cs="Times New Roman"/>
        </w:rPr>
        <w:t>This investigation explores how eco</w:t>
      </w:r>
      <w:r w:rsidR="00CF52E6" w:rsidRPr="00513181">
        <w:rPr>
          <w:rFonts w:ascii="Times New Roman" w:hAnsi="Times New Roman" w:cs="Times New Roman"/>
        </w:rPr>
        <w:t>-friendly</w:t>
      </w:r>
      <w:r w:rsidRPr="00513181">
        <w:rPr>
          <w:rFonts w:ascii="Times New Roman" w:hAnsi="Times New Roman" w:cs="Times New Roman"/>
        </w:rPr>
        <w:t xml:space="preserve"> investors influence the sustainable performance of corporations. </w:t>
      </w:r>
      <w:r w:rsidR="00577F41" w:rsidRPr="00513181">
        <w:rPr>
          <w:rFonts w:ascii="Times New Roman" w:hAnsi="Times New Roman" w:cs="Times New Roman"/>
        </w:rPr>
        <w:t>Further</w:t>
      </w:r>
      <w:r w:rsidRPr="00513181">
        <w:rPr>
          <w:rFonts w:ascii="Times New Roman" w:hAnsi="Times New Roman" w:cs="Times New Roman"/>
        </w:rPr>
        <w:t xml:space="preserve"> analysis </w:t>
      </w:r>
      <w:r w:rsidR="00577F41" w:rsidRPr="00513181">
        <w:rPr>
          <w:rFonts w:ascii="Times New Roman" w:hAnsi="Times New Roman" w:cs="Times New Roman"/>
        </w:rPr>
        <w:t>explores</w:t>
      </w:r>
      <w:r w:rsidRPr="00513181">
        <w:rPr>
          <w:rFonts w:ascii="Times New Roman" w:hAnsi="Times New Roman" w:cs="Times New Roman"/>
        </w:rPr>
        <w:t xml:space="preserve"> the impact of </w:t>
      </w:r>
      <w:r w:rsidR="00C3582A" w:rsidRPr="00513181">
        <w:rPr>
          <w:rFonts w:ascii="Times New Roman" w:hAnsi="Times New Roman" w:cs="Times New Roman"/>
        </w:rPr>
        <w:t xml:space="preserve">eco-friendly </w:t>
      </w:r>
      <w:r w:rsidRPr="00513181">
        <w:rPr>
          <w:rFonts w:ascii="Times New Roman" w:hAnsi="Times New Roman" w:cs="Times New Roman"/>
        </w:rPr>
        <w:t xml:space="preserve">investors on corporate sustainable performance, drawing on data from publicly traded companies in Japan from 2010 to 2023. The results suggest that </w:t>
      </w:r>
      <w:r w:rsidR="00C3582A" w:rsidRPr="00513181">
        <w:rPr>
          <w:rFonts w:ascii="Times New Roman" w:hAnsi="Times New Roman" w:cs="Times New Roman"/>
        </w:rPr>
        <w:t xml:space="preserve">eco-friendly </w:t>
      </w:r>
      <w:r w:rsidRPr="00513181">
        <w:rPr>
          <w:rFonts w:ascii="Times New Roman" w:hAnsi="Times New Roman" w:cs="Times New Roman"/>
        </w:rPr>
        <w:t xml:space="preserve">investors have the potential to improve corporate sustainability by tackling internal funding </w:t>
      </w:r>
      <w:r w:rsidR="00FB557E" w:rsidRPr="00513181">
        <w:rPr>
          <w:rFonts w:ascii="Times New Roman" w:hAnsi="Times New Roman" w:cs="Times New Roman"/>
        </w:rPr>
        <w:t>restrictions</w:t>
      </w:r>
      <w:r w:rsidRPr="00513181">
        <w:rPr>
          <w:rFonts w:ascii="Times New Roman" w:hAnsi="Times New Roman" w:cs="Times New Roman"/>
        </w:rPr>
        <w:t xml:space="preserve"> and responding to external public </w:t>
      </w:r>
      <w:r w:rsidR="00FB557E" w:rsidRPr="00513181">
        <w:rPr>
          <w:rFonts w:ascii="Times New Roman" w:hAnsi="Times New Roman" w:cs="Times New Roman"/>
        </w:rPr>
        <w:t>ecology fears</w:t>
      </w:r>
      <w:r w:rsidRPr="00513181">
        <w:rPr>
          <w:rFonts w:ascii="Times New Roman" w:hAnsi="Times New Roman" w:cs="Times New Roman"/>
        </w:rPr>
        <w:t xml:space="preserve">. Moreover, the beneficial impact of </w:t>
      </w:r>
      <w:r w:rsidR="00CF52E6" w:rsidRPr="00513181">
        <w:rPr>
          <w:rFonts w:ascii="Times New Roman" w:hAnsi="Times New Roman" w:cs="Times New Roman"/>
        </w:rPr>
        <w:t>eco-friendly</w:t>
      </w:r>
      <w:r w:rsidRPr="00513181">
        <w:rPr>
          <w:rFonts w:ascii="Times New Roman" w:hAnsi="Times New Roman" w:cs="Times New Roman"/>
        </w:rPr>
        <w:t xml:space="preserve"> investors on the sustainability performance of non-state enterprises, especially in competitive sectors in northern Japan, is notably significant</w:t>
      </w:r>
      <w:r w:rsidR="00232842" w:rsidRPr="00513181">
        <w:rPr>
          <w:rFonts w:ascii="Times New Roman" w:hAnsi="Times New Roman" w:cs="Times New Roman"/>
        </w:rPr>
        <w:t xml:space="preserve">. </w:t>
      </w:r>
    </w:p>
    <w:p w14:paraId="52B2513C" w14:textId="63D55B1A" w:rsidR="0015504D" w:rsidRPr="00513181" w:rsidRDefault="00060B93" w:rsidP="00060B93">
      <w:pPr>
        <w:jc w:val="both"/>
        <w:rPr>
          <w:rFonts w:ascii="Times New Roman" w:hAnsi="Times New Roman" w:cs="Times New Roman"/>
        </w:rPr>
      </w:pPr>
      <w:r w:rsidRPr="00513181">
        <w:rPr>
          <w:rFonts w:ascii="Times New Roman" w:hAnsi="Times New Roman" w:cs="Times New Roman"/>
          <w:b/>
          <w:bCs/>
        </w:rPr>
        <w:t>Keywords</w:t>
      </w:r>
      <w:r w:rsidR="00DF7FDB" w:rsidRPr="00513181">
        <w:rPr>
          <w:rFonts w:ascii="Times New Roman" w:hAnsi="Times New Roman" w:cs="Times New Roman"/>
          <w:b/>
          <w:bCs/>
        </w:rPr>
        <w:t>:</w:t>
      </w:r>
      <w:r w:rsidR="00DF7FDB" w:rsidRPr="00513181">
        <w:rPr>
          <w:rFonts w:ascii="Times New Roman" w:hAnsi="Times New Roman" w:cs="Times New Roman"/>
        </w:rPr>
        <w:t xml:space="preserve"> </w:t>
      </w:r>
      <w:r w:rsidR="00483A2B" w:rsidRPr="00513181">
        <w:rPr>
          <w:rFonts w:ascii="Times New Roman" w:hAnsi="Times New Roman" w:cs="Times New Roman"/>
        </w:rPr>
        <w:t>Sustainable c</w:t>
      </w:r>
      <w:r w:rsidR="00CF52E6" w:rsidRPr="00513181">
        <w:rPr>
          <w:rFonts w:ascii="Times New Roman" w:hAnsi="Times New Roman" w:cs="Times New Roman"/>
        </w:rPr>
        <w:t xml:space="preserve">orporate performance, </w:t>
      </w:r>
      <w:r w:rsidR="00DF7FDB" w:rsidRPr="00513181">
        <w:rPr>
          <w:rFonts w:ascii="Times New Roman" w:hAnsi="Times New Roman" w:cs="Times New Roman"/>
        </w:rPr>
        <w:t xml:space="preserve">Eco-friendly investors, </w:t>
      </w:r>
      <w:r w:rsidR="00CF52E6" w:rsidRPr="00513181">
        <w:rPr>
          <w:rFonts w:ascii="Times New Roman" w:hAnsi="Times New Roman" w:cs="Times New Roman"/>
        </w:rPr>
        <w:t xml:space="preserve">External public ecology fears, </w:t>
      </w:r>
      <w:r w:rsidR="00DF7FDB" w:rsidRPr="00513181">
        <w:rPr>
          <w:rFonts w:ascii="Times New Roman" w:hAnsi="Times New Roman" w:cs="Times New Roman"/>
        </w:rPr>
        <w:t xml:space="preserve">Internal </w:t>
      </w:r>
      <w:r w:rsidR="003F12A3" w:rsidRPr="00513181">
        <w:rPr>
          <w:rFonts w:ascii="Times New Roman" w:hAnsi="Times New Roman" w:cs="Times New Roman"/>
        </w:rPr>
        <w:t>funding</w:t>
      </w:r>
      <w:r w:rsidR="00DF7FDB" w:rsidRPr="00513181">
        <w:rPr>
          <w:rFonts w:ascii="Times New Roman" w:hAnsi="Times New Roman" w:cs="Times New Roman"/>
        </w:rPr>
        <w:t xml:space="preserve"> </w:t>
      </w:r>
      <w:r w:rsidR="00E80BC0" w:rsidRPr="00513181">
        <w:rPr>
          <w:rFonts w:ascii="Times New Roman" w:hAnsi="Times New Roman" w:cs="Times New Roman"/>
        </w:rPr>
        <w:t>restrictions</w:t>
      </w:r>
      <w:r w:rsidR="00DF7FDB" w:rsidRPr="00513181">
        <w:rPr>
          <w:rFonts w:ascii="Times New Roman" w:hAnsi="Times New Roman" w:cs="Times New Roman"/>
        </w:rPr>
        <w:t>.</w:t>
      </w:r>
    </w:p>
    <w:p w14:paraId="18C78F29" w14:textId="77777777" w:rsidR="00E71C61" w:rsidRPr="00513181" w:rsidRDefault="00DF7FDB" w:rsidP="00DF7FDB">
      <w:pPr>
        <w:jc w:val="both"/>
        <w:rPr>
          <w:rFonts w:ascii="Times New Roman" w:hAnsi="Times New Roman" w:cs="Times New Roman"/>
          <w:b/>
          <w:bCs/>
        </w:rPr>
      </w:pPr>
      <w:r w:rsidRPr="00513181">
        <w:rPr>
          <w:rFonts w:ascii="Times New Roman" w:hAnsi="Times New Roman" w:cs="Times New Roman"/>
          <w:b/>
          <w:bCs/>
        </w:rPr>
        <w:t xml:space="preserve">1. Introduction </w:t>
      </w:r>
    </w:p>
    <w:p w14:paraId="50E64F75" w14:textId="374664C4" w:rsidR="00C72C7B" w:rsidRPr="00513181" w:rsidRDefault="003F12A3" w:rsidP="00C72C7B">
      <w:pPr>
        <w:jc w:val="both"/>
        <w:rPr>
          <w:rFonts w:ascii="Times New Roman" w:hAnsi="Times New Roman" w:cs="Times New Roman"/>
        </w:rPr>
      </w:pPr>
      <w:r w:rsidRPr="00513181">
        <w:rPr>
          <w:rFonts w:ascii="Times New Roman" w:hAnsi="Times New Roman" w:cs="Times New Roman"/>
        </w:rPr>
        <w:t xml:space="preserve">Environmental issues and global climate change are too urgent and significant for investors, regulators, and politicians to overlook. Japan’s national government has committed to achieving </w:t>
      </w:r>
      <w:r w:rsidR="00B209FD" w:rsidRPr="00513181">
        <w:rPr>
          <w:rFonts w:ascii="Times New Roman" w:hAnsi="Times New Roman" w:cs="Times New Roman"/>
        </w:rPr>
        <w:t>net zero carbon emissions</w:t>
      </w:r>
      <w:r w:rsidRPr="00513181">
        <w:rPr>
          <w:rFonts w:ascii="Times New Roman" w:hAnsi="Times New Roman" w:cs="Times New Roman"/>
        </w:rPr>
        <w:t xml:space="preserve"> by 2050. </w:t>
      </w:r>
      <w:r w:rsidR="00483A2B" w:rsidRPr="00513181">
        <w:rPr>
          <w:rFonts w:ascii="Times New Roman" w:hAnsi="Times New Roman" w:cs="Times New Roman"/>
        </w:rPr>
        <w:t>Such</w:t>
      </w:r>
      <w:r w:rsidRPr="00513181">
        <w:rPr>
          <w:rFonts w:ascii="Times New Roman" w:hAnsi="Times New Roman" w:cs="Times New Roman"/>
        </w:rPr>
        <w:t xml:space="preserve"> </w:t>
      </w:r>
      <w:r w:rsidR="00483A2B" w:rsidRPr="00513181">
        <w:rPr>
          <w:rFonts w:ascii="Times New Roman" w:hAnsi="Times New Roman" w:cs="Times New Roman"/>
        </w:rPr>
        <w:t xml:space="preserve">a </w:t>
      </w:r>
      <w:r w:rsidRPr="00513181">
        <w:rPr>
          <w:rFonts w:ascii="Times New Roman" w:hAnsi="Times New Roman" w:cs="Times New Roman"/>
        </w:rPr>
        <w:t xml:space="preserve">strategic move is essential for Japan's </w:t>
      </w:r>
      <w:r w:rsidR="009F0D3F" w:rsidRPr="00513181">
        <w:rPr>
          <w:rFonts w:ascii="Times New Roman" w:hAnsi="Times New Roman" w:cs="Times New Roman"/>
        </w:rPr>
        <w:t xml:space="preserve">sustainable development and </w:t>
      </w:r>
      <w:r w:rsidRPr="00513181">
        <w:rPr>
          <w:rFonts w:ascii="Times New Roman" w:hAnsi="Times New Roman" w:cs="Times New Roman"/>
        </w:rPr>
        <w:t xml:space="preserve">economic transformation. As key players in Japan’s shift toward an eco-friendly investor economy, enterprises represent both the demand for market financing and the </w:t>
      </w:r>
      <w:r w:rsidR="00192963" w:rsidRPr="00513181">
        <w:rPr>
          <w:rFonts w:ascii="Times New Roman" w:hAnsi="Times New Roman" w:cs="Times New Roman"/>
        </w:rPr>
        <w:t xml:space="preserve">basis for </w:t>
      </w:r>
      <w:r w:rsidR="00483A2B" w:rsidRPr="00513181">
        <w:rPr>
          <w:rFonts w:ascii="Times New Roman" w:hAnsi="Times New Roman" w:cs="Times New Roman"/>
        </w:rPr>
        <w:t>sustainable</w:t>
      </w:r>
      <w:r w:rsidRPr="00513181">
        <w:rPr>
          <w:rFonts w:ascii="Times New Roman" w:hAnsi="Times New Roman" w:cs="Times New Roman"/>
        </w:rPr>
        <w:t xml:space="preserve"> </w:t>
      </w:r>
      <w:r w:rsidR="00483A2B" w:rsidRPr="00513181">
        <w:rPr>
          <w:rFonts w:ascii="Times New Roman" w:hAnsi="Times New Roman" w:cs="Times New Roman"/>
        </w:rPr>
        <w:t>economic</w:t>
      </w:r>
      <w:r w:rsidRPr="00513181">
        <w:rPr>
          <w:rFonts w:ascii="Times New Roman" w:hAnsi="Times New Roman" w:cs="Times New Roman"/>
        </w:rPr>
        <w:t xml:space="preserve"> </w:t>
      </w:r>
      <w:r w:rsidR="00483A2B" w:rsidRPr="00513181">
        <w:rPr>
          <w:rFonts w:ascii="Times New Roman" w:hAnsi="Times New Roman" w:cs="Times New Roman"/>
        </w:rPr>
        <w:t>progress</w:t>
      </w:r>
      <w:r w:rsidRPr="00513181">
        <w:rPr>
          <w:rFonts w:ascii="Times New Roman" w:hAnsi="Times New Roman" w:cs="Times New Roman"/>
        </w:rPr>
        <w:t xml:space="preserve">. In recent years, eco-friendly investors and sustainable </w:t>
      </w:r>
      <w:r w:rsidR="00483A2B" w:rsidRPr="00513181">
        <w:rPr>
          <w:rFonts w:ascii="Times New Roman" w:hAnsi="Times New Roman" w:cs="Times New Roman"/>
        </w:rPr>
        <w:t>corporate</w:t>
      </w:r>
      <w:r w:rsidRPr="00513181">
        <w:rPr>
          <w:rFonts w:ascii="Times New Roman" w:hAnsi="Times New Roman" w:cs="Times New Roman"/>
        </w:rPr>
        <w:t xml:space="preserve"> </w:t>
      </w:r>
      <w:r w:rsidR="00483A2B" w:rsidRPr="00513181">
        <w:rPr>
          <w:rFonts w:ascii="Times New Roman" w:hAnsi="Times New Roman" w:cs="Times New Roman"/>
        </w:rPr>
        <w:t>performance</w:t>
      </w:r>
      <w:r w:rsidRPr="00513181">
        <w:rPr>
          <w:rFonts w:ascii="Times New Roman" w:hAnsi="Times New Roman" w:cs="Times New Roman"/>
        </w:rPr>
        <w:t xml:space="preserve"> have embraced the Environmental, Social, and Governance (ESG) rating system as a global standard</w:t>
      </w:r>
      <w:r w:rsidR="0012777A" w:rsidRPr="00513181">
        <w:rPr>
          <w:rFonts w:ascii="Times New Roman" w:hAnsi="Times New Roman" w:cs="Times New Roman"/>
        </w:rPr>
        <w:t xml:space="preserve"> (Li et al., 2025; Islam et al., 2025)</w:t>
      </w:r>
      <w:r w:rsidRPr="00513181">
        <w:rPr>
          <w:rFonts w:ascii="Times New Roman" w:hAnsi="Times New Roman" w:cs="Times New Roman"/>
        </w:rPr>
        <w:t xml:space="preserve">. </w:t>
      </w:r>
      <w:r w:rsidR="00A041A6" w:rsidRPr="00513181">
        <w:rPr>
          <w:rFonts w:ascii="Times New Roman" w:hAnsi="Times New Roman" w:cs="Times New Roman"/>
        </w:rPr>
        <w:t>The existing research</w:t>
      </w:r>
      <w:r w:rsidRPr="00513181">
        <w:rPr>
          <w:rFonts w:ascii="Times New Roman" w:hAnsi="Times New Roman" w:cs="Times New Roman"/>
        </w:rPr>
        <w:t xml:space="preserve"> </w:t>
      </w:r>
      <w:r w:rsidR="00A041A6" w:rsidRPr="00513181">
        <w:rPr>
          <w:rFonts w:ascii="Times New Roman" w:hAnsi="Times New Roman" w:cs="Times New Roman"/>
        </w:rPr>
        <w:t>has</w:t>
      </w:r>
      <w:r w:rsidRPr="00513181">
        <w:rPr>
          <w:rFonts w:ascii="Times New Roman" w:hAnsi="Times New Roman" w:cs="Times New Roman"/>
        </w:rPr>
        <w:t xml:space="preserve"> shown that strong, sustainable performance is vital for the growth of an enterprise (Aslam et al., 2021; Miyamoto &amp; Nohara, 2023; Saito &amp; Tanizaki, 2024). </w:t>
      </w:r>
      <w:r w:rsidR="00681BDF" w:rsidRPr="00513181">
        <w:rPr>
          <w:rFonts w:ascii="Times New Roman" w:hAnsi="Times New Roman" w:cs="Times New Roman"/>
        </w:rPr>
        <w:t>Companies are therefore in need of the ways to improve their sustainable performance.</w:t>
      </w:r>
    </w:p>
    <w:p w14:paraId="75A2E4F7" w14:textId="661D1B9C" w:rsidR="00C72C7B" w:rsidRPr="00513181" w:rsidRDefault="003F12A3" w:rsidP="00C72C7B">
      <w:pPr>
        <w:jc w:val="both"/>
        <w:rPr>
          <w:rFonts w:ascii="Times New Roman" w:hAnsi="Times New Roman" w:cs="Times New Roman"/>
        </w:rPr>
      </w:pPr>
      <w:r w:rsidRPr="00513181">
        <w:rPr>
          <w:rFonts w:ascii="Times New Roman" w:hAnsi="Times New Roman" w:cs="Times New Roman"/>
        </w:rPr>
        <w:t xml:space="preserve">Government-led eco-friendly investor advocacy and the growing </w:t>
      </w:r>
      <w:r w:rsidR="00A041A6" w:rsidRPr="00513181">
        <w:rPr>
          <w:rFonts w:ascii="Times New Roman" w:hAnsi="Times New Roman" w:cs="Times New Roman"/>
        </w:rPr>
        <w:t>need</w:t>
      </w:r>
      <w:r w:rsidRPr="00513181">
        <w:rPr>
          <w:rFonts w:ascii="Times New Roman" w:hAnsi="Times New Roman" w:cs="Times New Roman"/>
        </w:rPr>
        <w:t xml:space="preserve"> for </w:t>
      </w:r>
      <w:r w:rsidR="00A041A6" w:rsidRPr="00513181">
        <w:rPr>
          <w:rFonts w:ascii="Times New Roman" w:hAnsi="Times New Roman" w:cs="Times New Roman"/>
        </w:rPr>
        <w:t>i</w:t>
      </w:r>
      <w:r w:rsidRPr="00513181">
        <w:rPr>
          <w:rFonts w:ascii="Times New Roman" w:hAnsi="Times New Roman" w:cs="Times New Roman"/>
        </w:rPr>
        <w:t>nvestment</w:t>
      </w:r>
      <w:r w:rsidR="00A041A6" w:rsidRPr="00513181">
        <w:rPr>
          <w:rFonts w:ascii="Times New Roman" w:hAnsi="Times New Roman" w:cs="Times New Roman"/>
        </w:rPr>
        <w:t xml:space="preserve"> in sustainability </w:t>
      </w:r>
      <w:r w:rsidRPr="00513181">
        <w:rPr>
          <w:rFonts w:ascii="Times New Roman" w:hAnsi="Times New Roman" w:cs="Times New Roman"/>
        </w:rPr>
        <w:t xml:space="preserve">have resulted in the emergence of a distinct </w:t>
      </w:r>
      <w:r w:rsidR="00A041A6" w:rsidRPr="00513181">
        <w:rPr>
          <w:rFonts w:ascii="Times New Roman" w:hAnsi="Times New Roman" w:cs="Times New Roman"/>
        </w:rPr>
        <w:t>group</w:t>
      </w:r>
      <w:r w:rsidRPr="00513181">
        <w:rPr>
          <w:rFonts w:ascii="Times New Roman" w:hAnsi="Times New Roman" w:cs="Times New Roman"/>
        </w:rPr>
        <w:t xml:space="preserve"> of </w:t>
      </w:r>
      <w:r w:rsidR="00A041A6" w:rsidRPr="00513181">
        <w:rPr>
          <w:rFonts w:ascii="Times New Roman" w:hAnsi="Times New Roman" w:cs="Times New Roman"/>
        </w:rPr>
        <w:t xml:space="preserve">institutional-level investors named </w:t>
      </w:r>
      <w:r w:rsidRPr="00513181">
        <w:rPr>
          <w:rFonts w:ascii="Times New Roman" w:hAnsi="Times New Roman" w:cs="Times New Roman"/>
        </w:rPr>
        <w:t xml:space="preserve">eco-friendly investors. These investors can be categorized into two groups: from a value perspective, those who seek risk-adjusted returns on eco-friendly investments and those who aim for </w:t>
      </w:r>
      <w:r w:rsidR="00A43001" w:rsidRPr="00513181">
        <w:rPr>
          <w:rFonts w:ascii="Times New Roman" w:hAnsi="Times New Roman" w:cs="Times New Roman"/>
        </w:rPr>
        <w:t xml:space="preserve">favorable effects on the environment and society </w:t>
      </w:r>
      <w:r w:rsidRPr="00513181">
        <w:rPr>
          <w:rFonts w:ascii="Times New Roman" w:hAnsi="Times New Roman" w:cs="Times New Roman"/>
        </w:rPr>
        <w:t xml:space="preserve">from their investments based on their values. </w:t>
      </w:r>
      <w:r w:rsidR="00681BDF" w:rsidRPr="00513181">
        <w:rPr>
          <w:rFonts w:ascii="Times New Roman" w:hAnsi="Times New Roman" w:cs="Times New Roman"/>
        </w:rPr>
        <w:t>Eco friendly investors will finance business largely that imbibe social responsibilities to gain more in terms of monetary in the course of making the business sustainable (</w:t>
      </w:r>
      <w:r w:rsidR="0012777A" w:rsidRPr="00513181">
        <w:rPr>
          <w:rFonts w:ascii="Times New Roman" w:hAnsi="Times New Roman" w:cs="Times New Roman"/>
        </w:rPr>
        <w:t xml:space="preserve">Li et al. 2024) </w:t>
      </w:r>
      <w:proofErr w:type="spellStart"/>
      <w:r w:rsidR="00681BDF" w:rsidRPr="00513181">
        <w:rPr>
          <w:rFonts w:ascii="Times New Roman" w:hAnsi="Times New Roman" w:cs="Times New Roman"/>
        </w:rPr>
        <w:t>Shirasu</w:t>
      </w:r>
      <w:proofErr w:type="spellEnd"/>
      <w:r w:rsidR="00681BDF" w:rsidRPr="00513181">
        <w:rPr>
          <w:rFonts w:ascii="Times New Roman" w:hAnsi="Times New Roman" w:cs="Times New Roman"/>
        </w:rPr>
        <w:t xml:space="preserve"> &amp; </w:t>
      </w:r>
      <w:proofErr w:type="spellStart"/>
      <w:r w:rsidR="00681BDF" w:rsidRPr="00513181">
        <w:rPr>
          <w:rFonts w:ascii="Times New Roman" w:hAnsi="Times New Roman" w:cs="Times New Roman"/>
        </w:rPr>
        <w:t>Kawakita</w:t>
      </w:r>
      <w:proofErr w:type="spellEnd"/>
      <w:r w:rsidR="00681BDF" w:rsidRPr="00513181">
        <w:rPr>
          <w:rFonts w:ascii="Times New Roman" w:hAnsi="Times New Roman" w:cs="Times New Roman"/>
        </w:rPr>
        <w:t xml:space="preserve">, 2021; </w:t>
      </w:r>
      <w:proofErr w:type="spellStart"/>
      <w:r w:rsidR="00681BDF" w:rsidRPr="00513181">
        <w:rPr>
          <w:rFonts w:ascii="Times New Roman" w:hAnsi="Times New Roman" w:cs="Times New Roman"/>
        </w:rPr>
        <w:t>Tamaruya</w:t>
      </w:r>
      <w:proofErr w:type="spellEnd"/>
      <w:r w:rsidR="00681BDF" w:rsidRPr="00513181">
        <w:rPr>
          <w:rFonts w:ascii="Times New Roman" w:hAnsi="Times New Roman" w:cs="Times New Roman"/>
        </w:rPr>
        <w:t xml:space="preserve"> &amp; </w:t>
      </w:r>
      <w:proofErr w:type="spellStart"/>
      <w:r w:rsidR="00681BDF" w:rsidRPr="00513181">
        <w:rPr>
          <w:rFonts w:ascii="Times New Roman" w:hAnsi="Times New Roman" w:cs="Times New Roman"/>
        </w:rPr>
        <w:t>Yukioka</w:t>
      </w:r>
      <w:proofErr w:type="spellEnd"/>
      <w:r w:rsidR="00681BDF" w:rsidRPr="00513181">
        <w:rPr>
          <w:rFonts w:ascii="Times New Roman" w:hAnsi="Times New Roman" w:cs="Times New Roman"/>
        </w:rPr>
        <w:t xml:space="preserve">, 2024). This is because, as cited by Tsujimoto (2019) and Vuong (2022), eco-friendly investors are the ones who oversee and regulate the corporate activities </w:t>
      </w:r>
      <w:r w:rsidR="00681BDF" w:rsidRPr="00513181">
        <w:rPr>
          <w:rFonts w:ascii="Times New Roman" w:hAnsi="Times New Roman" w:cs="Times New Roman"/>
        </w:rPr>
        <w:lastRenderedPageBreak/>
        <w:t>of these. Fire and restoration activities that benefit both the financial purse and ecological conservation</w:t>
      </w:r>
      <w:r w:rsidRPr="00513181">
        <w:rPr>
          <w:rFonts w:ascii="Times New Roman" w:hAnsi="Times New Roman" w:cs="Times New Roman"/>
        </w:rPr>
        <w:t>. Thus, the involvement of eco-friendly investors elicits varied responses from enterprises.</w:t>
      </w:r>
    </w:p>
    <w:p w14:paraId="2393C2BF" w14:textId="207D97D0" w:rsidR="00C72C7B" w:rsidRPr="00513181" w:rsidRDefault="003F12A3" w:rsidP="00C72C7B">
      <w:pPr>
        <w:jc w:val="both"/>
        <w:rPr>
          <w:rFonts w:ascii="Times New Roman" w:hAnsi="Times New Roman" w:cs="Times New Roman"/>
        </w:rPr>
      </w:pPr>
      <w:r w:rsidRPr="00513181">
        <w:rPr>
          <w:rFonts w:ascii="Times New Roman" w:hAnsi="Times New Roman" w:cs="Times New Roman"/>
        </w:rPr>
        <w:t>Previous research has focused on the effects of individual investors (</w:t>
      </w:r>
      <w:proofErr w:type="spellStart"/>
      <w:r w:rsidRPr="00513181">
        <w:rPr>
          <w:rFonts w:ascii="Times New Roman" w:hAnsi="Times New Roman" w:cs="Times New Roman"/>
        </w:rPr>
        <w:t>Taghizadeh-Hesary</w:t>
      </w:r>
      <w:proofErr w:type="spellEnd"/>
      <w:r w:rsidRPr="00513181">
        <w:rPr>
          <w:rFonts w:ascii="Times New Roman" w:hAnsi="Times New Roman" w:cs="Times New Roman"/>
        </w:rPr>
        <w:t xml:space="preserve"> et al., 2022; Mhlanga &amp; Dzingirai, 2024; Okimoto &amp; Takaoka, 2024) and institutional investors (Yoshino &amp; </w:t>
      </w:r>
      <w:proofErr w:type="spellStart"/>
      <w:r w:rsidRPr="00513181">
        <w:rPr>
          <w:rFonts w:ascii="Times New Roman" w:hAnsi="Times New Roman" w:cs="Times New Roman"/>
        </w:rPr>
        <w:t>Yuyama</w:t>
      </w:r>
      <w:proofErr w:type="spellEnd"/>
      <w:r w:rsidRPr="00513181">
        <w:rPr>
          <w:rFonts w:ascii="Times New Roman" w:hAnsi="Times New Roman" w:cs="Times New Roman"/>
        </w:rPr>
        <w:t xml:space="preserve">, 2021; Liu &amp; Nah, 2021; Ali, 2024) on corporate sustainable performance. </w:t>
      </w:r>
      <w:r w:rsidR="00A43001" w:rsidRPr="00513181">
        <w:rPr>
          <w:rFonts w:ascii="Times New Roman" w:hAnsi="Times New Roman" w:cs="Times New Roman"/>
        </w:rPr>
        <w:t>Nonetheless, regarding sustainability in Japan's goals</w:t>
      </w:r>
      <w:r w:rsidRPr="00513181">
        <w:rPr>
          <w:rFonts w:ascii="Times New Roman" w:hAnsi="Times New Roman" w:cs="Times New Roman"/>
        </w:rPr>
        <w:t xml:space="preserve">, two critical questions remain: What if eco-friendly investors existed? What impacts corporate sustainable performance in an age of eco−friendly investors’ </w:t>
      </w:r>
      <w:r w:rsidR="00A43001" w:rsidRPr="00513181">
        <w:rPr>
          <w:rFonts w:ascii="Times New Roman" w:hAnsi="Times New Roman" w:cs="Times New Roman"/>
        </w:rPr>
        <w:t>involvement</w:t>
      </w:r>
      <w:r w:rsidRPr="00513181">
        <w:rPr>
          <w:rFonts w:ascii="Times New Roman" w:hAnsi="Times New Roman" w:cs="Times New Roman"/>
        </w:rPr>
        <w:t>?</w:t>
      </w:r>
    </w:p>
    <w:p w14:paraId="61490D0C" w14:textId="1DA43ED2" w:rsidR="00C72C7B" w:rsidRPr="00513181" w:rsidRDefault="003F12A3" w:rsidP="00C72C7B">
      <w:pPr>
        <w:jc w:val="both"/>
        <w:rPr>
          <w:rFonts w:ascii="Times New Roman" w:hAnsi="Times New Roman" w:cs="Times New Roman"/>
        </w:rPr>
      </w:pPr>
      <w:r w:rsidRPr="00513181">
        <w:rPr>
          <w:rFonts w:ascii="Times New Roman" w:hAnsi="Times New Roman" w:cs="Times New Roman"/>
        </w:rPr>
        <w:t>To assess the impact of eco-friendly investors entering the market on corporate sustainable performance, we examine publicly listed companies in Japan from 20</w:t>
      </w:r>
      <w:r w:rsidR="00F5139F" w:rsidRPr="00513181">
        <w:rPr>
          <w:rFonts w:ascii="Times New Roman" w:hAnsi="Times New Roman" w:cs="Times New Roman"/>
        </w:rPr>
        <w:t>10</w:t>
      </w:r>
      <w:r w:rsidRPr="00513181">
        <w:rPr>
          <w:rFonts w:ascii="Times New Roman" w:hAnsi="Times New Roman" w:cs="Times New Roman"/>
        </w:rPr>
        <w:t xml:space="preserve"> to 202</w:t>
      </w:r>
      <w:r w:rsidR="00F5139F" w:rsidRPr="00513181">
        <w:rPr>
          <w:rFonts w:ascii="Times New Roman" w:hAnsi="Times New Roman" w:cs="Times New Roman"/>
        </w:rPr>
        <w:t>3</w:t>
      </w:r>
      <w:r w:rsidRPr="00513181">
        <w:rPr>
          <w:rFonts w:ascii="Times New Roman" w:hAnsi="Times New Roman" w:cs="Times New Roman"/>
        </w:rPr>
        <w:t xml:space="preserve">. Additionally, this study explores how </w:t>
      </w:r>
      <w:r w:rsidR="00F5139F" w:rsidRPr="00513181">
        <w:rPr>
          <w:rFonts w:ascii="Times New Roman" w:hAnsi="Times New Roman" w:cs="Times New Roman"/>
        </w:rPr>
        <w:t xml:space="preserve">eco-friendly investors' involvement in corporate sustainable performance </w:t>
      </w:r>
      <w:r w:rsidRPr="00513181">
        <w:rPr>
          <w:rFonts w:ascii="Times New Roman" w:hAnsi="Times New Roman" w:cs="Times New Roman"/>
        </w:rPr>
        <w:t xml:space="preserve">addresses financing constraints related to external and internal </w:t>
      </w:r>
      <w:r w:rsidR="00EB639C" w:rsidRPr="00513181">
        <w:rPr>
          <w:rFonts w:ascii="Times New Roman" w:hAnsi="Times New Roman" w:cs="Times New Roman"/>
        </w:rPr>
        <w:t>public ecology fears</w:t>
      </w:r>
      <w:r w:rsidRPr="00513181">
        <w:rPr>
          <w:rFonts w:ascii="Times New Roman" w:hAnsi="Times New Roman" w:cs="Times New Roman"/>
        </w:rPr>
        <w:t xml:space="preserve">. </w:t>
      </w:r>
      <w:r w:rsidR="00F5139F" w:rsidRPr="00513181">
        <w:rPr>
          <w:rFonts w:ascii="Times New Roman" w:hAnsi="Times New Roman" w:cs="Times New Roman"/>
        </w:rPr>
        <w:t xml:space="preserve">A series of </w:t>
      </w:r>
      <w:r w:rsidR="001347D7" w:rsidRPr="00513181">
        <w:rPr>
          <w:rFonts w:ascii="Times New Roman" w:hAnsi="Times New Roman" w:cs="Times New Roman"/>
        </w:rPr>
        <w:t>h</w:t>
      </w:r>
      <w:r w:rsidR="00F5139F" w:rsidRPr="00513181">
        <w:rPr>
          <w:rFonts w:ascii="Times New Roman" w:hAnsi="Times New Roman" w:cs="Times New Roman"/>
        </w:rPr>
        <w:t xml:space="preserve">eterogeneity </w:t>
      </w:r>
      <w:r w:rsidR="001347D7" w:rsidRPr="00513181">
        <w:rPr>
          <w:rFonts w:ascii="Times New Roman" w:hAnsi="Times New Roman" w:cs="Times New Roman"/>
        </w:rPr>
        <w:t>analyses</w:t>
      </w:r>
      <w:r w:rsidR="00F5139F" w:rsidRPr="00513181">
        <w:rPr>
          <w:rFonts w:ascii="Times New Roman" w:hAnsi="Times New Roman" w:cs="Times New Roman"/>
        </w:rPr>
        <w:t>, robustness checks, and endogeneity tests</w:t>
      </w:r>
      <w:r w:rsidR="00F77796" w:rsidRPr="00513181">
        <w:rPr>
          <w:rFonts w:ascii="Times New Roman" w:hAnsi="Times New Roman" w:cs="Times New Roman"/>
        </w:rPr>
        <w:t xml:space="preserve"> are performed</w:t>
      </w:r>
      <w:r w:rsidR="00F5139F" w:rsidRPr="00513181">
        <w:rPr>
          <w:rFonts w:ascii="Times New Roman" w:hAnsi="Times New Roman" w:cs="Times New Roman"/>
        </w:rPr>
        <w:t xml:space="preserve"> </w:t>
      </w:r>
      <w:r w:rsidR="00F77796" w:rsidRPr="00513181">
        <w:rPr>
          <w:rFonts w:ascii="Times New Roman" w:hAnsi="Times New Roman" w:cs="Times New Roman"/>
        </w:rPr>
        <w:t xml:space="preserve">to </w:t>
      </w:r>
      <w:r w:rsidR="00F5139F" w:rsidRPr="00513181">
        <w:rPr>
          <w:rFonts w:ascii="Times New Roman" w:hAnsi="Times New Roman" w:cs="Times New Roman"/>
        </w:rPr>
        <w:t xml:space="preserve">ensure the </w:t>
      </w:r>
      <w:r w:rsidR="00F77796" w:rsidRPr="00513181">
        <w:rPr>
          <w:rFonts w:ascii="Times New Roman" w:hAnsi="Times New Roman" w:cs="Times New Roman"/>
        </w:rPr>
        <w:t xml:space="preserve">precision and </w:t>
      </w:r>
      <w:r w:rsidR="00F5139F" w:rsidRPr="00513181">
        <w:rPr>
          <w:rFonts w:ascii="Times New Roman" w:hAnsi="Times New Roman" w:cs="Times New Roman"/>
        </w:rPr>
        <w:t xml:space="preserve">reliability of the </w:t>
      </w:r>
      <w:r w:rsidR="00D037AA" w:rsidRPr="00513181">
        <w:rPr>
          <w:rFonts w:ascii="Times New Roman" w:hAnsi="Times New Roman" w:cs="Times New Roman"/>
        </w:rPr>
        <w:t>findings</w:t>
      </w:r>
      <w:r w:rsidRPr="00513181">
        <w:rPr>
          <w:rFonts w:ascii="Times New Roman" w:hAnsi="Times New Roman" w:cs="Times New Roman"/>
        </w:rPr>
        <w:t>.</w:t>
      </w:r>
    </w:p>
    <w:p w14:paraId="1EA1B991" w14:textId="5B7B232C" w:rsidR="006662B5" w:rsidRPr="00513181" w:rsidRDefault="004A47BF" w:rsidP="00B03CFC">
      <w:pPr>
        <w:jc w:val="both"/>
        <w:rPr>
          <w:rFonts w:ascii="Times New Roman" w:hAnsi="Times New Roman" w:cs="Times New Roman"/>
        </w:rPr>
      </w:pPr>
      <w:r w:rsidRPr="00513181">
        <w:rPr>
          <w:rFonts w:ascii="Times New Roman" w:hAnsi="Times New Roman" w:cs="Times New Roman"/>
        </w:rPr>
        <w:t>This study contribut</w:t>
      </w:r>
      <w:r w:rsidR="00742FC4" w:rsidRPr="00513181">
        <w:rPr>
          <w:rFonts w:ascii="Times New Roman" w:hAnsi="Times New Roman" w:cs="Times New Roman"/>
        </w:rPr>
        <w:t>es</w:t>
      </w:r>
      <w:r w:rsidRPr="00513181">
        <w:rPr>
          <w:rFonts w:ascii="Times New Roman" w:hAnsi="Times New Roman" w:cs="Times New Roman"/>
        </w:rPr>
        <w:t xml:space="preserve"> </w:t>
      </w:r>
      <w:r w:rsidR="00742FC4" w:rsidRPr="00513181">
        <w:rPr>
          <w:rFonts w:ascii="Times New Roman" w:hAnsi="Times New Roman" w:cs="Times New Roman"/>
        </w:rPr>
        <w:t>to earlier research in several ways</w:t>
      </w:r>
      <w:r w:rsidRPr="00513181">
        <w:rPr>
          <w:rFonts w:ascii="Times New Roman" w:hAnsi="Times New Roman" w:cs="Times New Roman"/>
        </w:rPr>
        <w:t xml:space="preserve">, primarily focusing on the economic implications of corporate sustainable performance while providing limited insight into the factors that actively motivate businesses to improve their sustainability initiatives. </w:t>
      </w:r>
      <w:r w:rsidR="003F12A3" w:rsidRPr="00513181">
        <w:rPr>
          <w:rFonts w:ascii="Times New Roman" w:hAnsi="Times New Roman" w:cs="Times New Roman"/>
        </w:rPr>
        <w:t xml:space="preserve">Firstly, from the perspective of eco-friendly investors, it represents the first comprehensive research on the </w:t>
      </w:r>
      <w:r w:rsidRPr="00513181">
        <w:rPr>
          <w:rFonts w:ascii="Times New Roman" w:hAnsi="Times New Roman" w:cs="Times New Roman"/>
        </w:rPr>
        <w:t>impact of these investors on corporate sustainability performance</w:t>
      </w:r>
      <w:r w:rsidR="003F12A3" w:rsidRPr="00513181">
        <w:rPr>
          <w:rFonts w:ascii="Times New Roman" w:hAnsi="Times New Roman" w:cs="Times New Roman"/>
        </w:rPr>
        <w:t xml:space="preserve">, demonstrating that their participation can enhance corporate sustainability. Next, the study tests the mechanisms of eco-friendly investment and examines the dual perspective of internal and external factors. It indicates that eco-friendly investors can alleviate internal </w:t>
      </w:r>
      <w:r w:rsidRPr="00513181">
        <w:rPr>
          <w:rFonts w:ascii="Times New Roman" w:hAnsi="Times New Roman" w:cs="Times New Roman"/>
        </w:rPr>
        <w:t>funding</w:t>
      </w:r>
      <w:r w:rsidR="003F12A3" w:rsidRPr="00513181">
        <w:rPr>
          <w:rFonts w:ascii="Times New Roman" w:hAnsi="Times New Roman" w:cs="Times New Roman"/>
        </w:rPr>
        <w:t xml:space="preserve"> constraints and amplify </w:t>
      </w:r>
      <w:r w:rsidRPr="00513181">
        <w:rPr>
          <w:rFonts w:ascii="Times New Roman" w:hAnsi="Times New Roman" w:cs="Times New Roman"/>
        </w:rPr>
        <w:t>external public ecology fears</w:t>
      </w:r>
      <w:r w:rsidR="003F12A3" w:rsidRPr="00513181">
        <w:rPr>
          <w:rFonts w:ascii="Times New Roman" w:hAnsi="Times New Roman" w:cs="Times New Roman"/>
        </w:rPr>
        <w:t xml:space="preserve">, both of which contribute to improved corporate sustainable performance. </w:t>
      </w:r>
      <w:r w:rsidRPr="00513181">
        <w:rPr>
          <w:rFonts w:ascii="Times New Roman" w:hAnsi="Times New Roman" w:cs="Times New Roman"/>
        </w:rPr>
        <w:t>Furthermore, eco-friendl</w:t>
      </w:r>
      <w:r w:rsidR="0085497D" w:rsidRPr="00513181">
        <w:rPr>
          <w:rFonts w:ascii="Times New Roman" w:hAnsi="Times New Roman" w:cs="Times New Roman"/>
        </w:rPr>
        <w:t>y</w:t>
      </w:r>
      <w:r w:rsidRPr="00513181">
        <w:rPr>
          <w:rFonts w:ascii="Times New Roman" w:hAnsi="Times New Roman" w:cs="Times New Roman"/>
        </w:rPr>
        <w:t xml:space="preserve"> investors enhance sustainable performance for non-state-owned companies, especially those in fiercely competitive sectors</w:t>
      </w:r>
      <w:r w:rsidR="0085497D" w:rsidRPr="00513181">
        <w:rPr>
          <w:rFonts w:ascii="Times New Roman" w:hAnsi="Times New Roman" w:cs="Times New Roman"/>
        </w:rPr>
        <w:t xml:space="preserve"> and</w:t>
      </w:r>
      <w:r w:rsidRPr="00513181">
        <w:rPr>
          <w:rFonts w:ascii="Times New Roman" w:hAnsi="Times New Roman" w:cs="Times New Roman"/>
        </w:rPr>
        <w:t xml:space="preserve"> firms in Japan's Northern region.</w:t>
      </w:r>
      <w:r w:rsidR="00C66730" w:rsidRPr="00513181">
        <w:rPr>
          <w:rFonts w:ascii="Times New Roman" w:hAnsi="Times New Roman" w:cs="Times New Roman"/>
        </w:rPr>
        <w:t xml:space="preserve"> </w:t>
      </w:r>
    </w:p>
    <w:p w14:paraId="53E33DEB" w14:textId="72029919" w:rsidR="006A29E5" w:rsidRPr="00513181" w:rsidRDefault="00D11033" w:rsidP="00DF7FDB">
      <w:pPr>
        <w:jc w:val="both"/>
        <w:rPr>
          <w:rFonts w:ascii="Times New Roman" w:hAnsi="Times New Roman" w:cs="Times New Roman"/>
          <w:b/>
          <w:bCs/>
        </w:rPr>
      </w:pPr>
      <w:r w:rsidRPr="00513181">
        <w:rPr>
          <w:rFonts w:ascii="Times New Roman" w:hAnsi="Times New Roman" w:cs="Times New Roman"/>
          <w:b/>
          <w:bCs/>
        </w:rPr>
        <w:t xml:space="preserve">2. </w:t>
      </w:r>
      <w:r w:rsidR="008D5D7D" w:rsidRPr="00513181">
        <w:rPr>
          <w:rFonts w:ascii="Times New Roman" w:hAnsi="Times New Roman" w:cs="Times New Roman"/>
          <w:b/>
          <w:bCs/>
        </w:rPr>
        <w:t>Review of literature and theoretical assumptions</w:t>
      </w:r>
      <w:r w:rsidRPr="00513181">
        <w:rPr>
          <w:rFonts w:ascii="Times New Roman" w:hAnsi="Times New Roman" w:cs="Times New Roman"/>
          <w:b/>
          <w:bCs/>
        </w:rPr>
        <w:t xml:space="preserve"> </w:t>
      </w:r>
    </w:p>
    <w:p w14:paraId="50F6A106" w14:textId="08028340" w:rsidR="00B03CFC" w:rsidRPr="00513181" w:rsidRDefault="00D11033" w:rsidP="00DF7FDB">
      <w:pPr>
        <w:jc w:val="both"/>
        <w:rPr>
          <w:rFonts w:ascii="Times New Roman" w:hAnsi="Times New Roman" w:cs="Times New Roman"/>
          <w:i/>
          <w:iCs/>
        </w:rPr>
      </w:pPr>
      <w:r w:rsidRPr="00513181">
        <w:rPr>
          <w:rFonts w:ascii="Times New Roman" w:hAnsi="Times New Roman" w:cs="Times New Roman"/>
          <w:i/>
          <w:iCs/>
        </w:rPr>
        <w:t xml:space="preserve">2.1. </w:t>
      </w:r>
      <w:r w:rsidR="006A29E5" w:rsidRPr="00513181">
        <w:rPr>
          <w:rFonts w:ascii="Times New Roman" w:hAnsi="Times New Roman" w:cs="Times New Roman"/>
          <w:i/>
          <w:iCs/>
        </w:rPr>
        <w:t xml:space="preserve">Eco-friendly </w:t>
      </w:r>
      <w:r w:rsidRPr="00513181">
        <w:rPr>
          <w:rFonts w:ascii="Times New Roman" w:hAnsi="Times New Roman" w:cs="Times New Roman"/>
          <w:i/>
          <w:iCs/>
        </w:rPr>
        <w:t>investors and</w:t>
      </w:r>
      <w:r w:rsidR="006A29E5" w:rsidRPr="00513181">
        <w:rPr>
          <w:rFonts w:ascii="Times New Roman" w:hAnsi="Times New Roman" w:cs="Times New Roman"/>
          <w:i/>
          <w:iCs/>
        </w:rPr>
        <w:t xml:space="preserve"> sustainable </w:t>
      </w:r>
      <w:r w:rsidR="00D037AA" w:rsidRPr="00513181">
        <w:rPr>
          <w:rFonts w:ascii="Times New Roman" w:hAnsi="Times New Roman" w:cs="Times New Roman"/>
          <w:i/>
          <w:iCs/>
        </w:rPr>
        <w:t xml:space="preserve">corporate </w:t>
      </w:r>
      <w:r w:rsidR="006A29E5" w:rsidRPr="00513181">
        <w:rPr>
          <w:rFonts w:ascii="Times New Roman" w:hAnsi="Times New Roman" w:cs="Times New Roman"/>
          <w:i/>
          <w:iCs/>
        </w:rPr>
        <w:t xml:space="preserve">performance. </w:t>
      </w:r>
    </w:p>
    <w:p w14:paraId="3788AE43" w14:textId="7DA1EFBA" w:rsidR="006A29E5" w:rsidRPr="00513181" w:rsidRDefault="00B13EAA" w:rsidP="00DF7FDB">
      <w:pPr>
        <w:jc w:val="both"/>
        <w:rPr>
          <w:rFonts w:ascii="Times New Roman" w:hAnsi="Times New Roman" w:cs="Times New Roman"/>
        </w:rPr>
      </w:pPr>
      <w:r w:rsidRPr="00513181">
        <w:rPr>
          <w:rFonts w:ascii="Times New Roman" w:hAnsi="Times New Roman" w:cs="Times New Roman"/>
        </w:rPr>
        <w:t xml:space="preserve">The elements that affect sustainable </w:t>
      </w:r>
      <w:r w:rsidR="00D037AA" w:rsidRPr="00513181">
        <w:rPr>
          <w:rFonts w:ascii="Times New Roman" w:hAnsi="Times New Roman" w:cs="Times New Roman"/>
        </w:rPr>
        <w:t xml:space="preserve">corporate </w:t>
      </w:r>
      <w:r w:rsidRPr="00513181">
        <w:rPr>
          <w:rFonts w:ascii="Times New Roman" w:hAnsi="Times New Roman" w:cs="Times New Roman"/>
        </w:rPr>
        <w:t xml:space="preserve">performance have garnered considerable attention from academics, with a substantial portion of the studies concentrating on investors. Previous studies suggest that significant market players, such as trading activities (Ali, 2024), sentiments (Dhasmana et al., 2023), and </w:t>
      </w:r>
      <w:r w:rsidR="00576885" w:rsidRPr="00513181">
        <w:rPr>
          <w:rFonts w:ascii="Times New Roman" w:hAnsi="Times New Roman" w:cs="Times New Roman"/>
        </w:rPr>
        <w:t>interest</w:t>
      </w:r>
      <w:r w:rsidRPr="00513181">
        <w:rPr>
          <w:rFonts w:ascii="Times New Roman" w:hAnsi="Times New Roman" w:cs="Times New Roman"/>
        </w:rPr>
        <w:t xml:space="preserve"> (Sahar et al., 2022) of investors, have an </w:t>
      </w:r>
      <w:r w:rsidR="002A5F24" w:rsidRPr="00513181">
        <w:rPr>
          <w:rFonts w:ascii="Times New Roman" w:hAnsi="Times New Roman" w:cs="Times New Roman"/>
        </w:rPr>
        <w:t>effect</w:t>
      </w:r>
      <w:r w:rsidRPr="00513181">
        <w:rPr>
          <w:rFonts w:ascii="Times New Roman" w:hAnsi="Times New Roman" w:cs="Times New Roman"/>
        </w:rPr>
        <w:t xml:space="preserve"> on </w:t>
      </w:r>
      <w:r w:rsidR="00472BB7" w:rsidRPr="00513181">
        <w:rPr>
          <w:rFonts w:ascii="Times New Roman" w:hAnsi="Times New Roman" w:cs="Times New Roman"/>
        </w:rPr>
        <w:t>sustainable corporate performance</w:t>
      </w:r>
      <w:r w:rsidRPr="00513181">
        <w:rPr>
          <w:rFonts w:ascii="Times New Roman" w:hAnsi="Times New Roman" w:cs="Times New Roman"/>
        </w:rPr>
        <w:t xml:space="preserve">. In the realm of institutional investors, various studies have examined their sustainable performance concerning ownership (Kuang, 2022) and site visits (Miyamoto &amp; Nohara, 2023). The results suggest that institutional investors </w:t>
      </w:r>
      <w:r w:rsidR="0033152C" w:rsidRPr="00513181">
        <w:rPr>
          <w:rFonts w:ascii="Times New Roman" w:hAnsi="Times New Roman" w:cs="Times New Roman"/>
        </w:rPr>
        <w:t>substantially influence corporate sustainable performance more</w:t>
      </w:r>
      <w:r w:rsidRPr="00513181">
        <w:rPr>
          <w:rFonts w:ascii="Times New Roman" w:hAnsi="Times New Roman" w:cs="Times New Roman"/>
        </w:rPr>
        <w:t xml:space="preserve"> </w:t>
      </w:r>
      <w:r w:rsidR="0033152C" w:rsidRPr="00513181">
        <w:rPr>
          <w:rFonts w:ascii="Times New Roman" w:hAnsi="Times New Roman" w:cs="Times New Roman"/>
        </w:rPr>
        <w:t>than</w:t>
      </w:r>
      <w:r w:rsidRPr="00513181">
        <w:rPr>
          <w:rFonts w:ascii="Times New Roman" w:hAnsi="Times New Roman" w:cs="Times New Roman"/>
        </w:rPr>
        <w:t xml:space="preserve"> individual investors (Saito &amp; Tanizaki, 2024). </w:t>
      </w:r>
      <w:r w:rsidR="005F248C" w:rsidRPr="00513181">
        <w:rPr>
          <w:rFonts w:ascii="Times New Roman" w:hAnsi="Times New Roman" w:cs="Times New Roman"/>
        </w:rPr>
        <w:t xml:space="preserve">However, </w:t>
      </w:r>
      <w:r w:rsidR="00E144C0" w:rsidRPr="00513181">
        <w:rPr>
          <w:rFonts w:ascii="Times New Roman" w:hAnsi="Times New Roman" w:cs="Times New Roman"/>
        </w:rPr>
        <w:t>there is a notable deficiency in the existing literature concerning</w:t>
      </w:r>
      <w:r w:rsidR="005F248C" w:rsidRPr="00513181">
        <w:rPr>
          <w:rFonts w:ascii="Times New Roman" w:hAnsi="Times New Roman" w:cs="Times New Roman"/>
        </w:rPr>
        <w:t xml:space="preserve"> how eco-friendly </w:t>
      </w:r>
      <w:r w:rsidR="005F248C" w:rsidRPr="00513181">
        <w:rPr>
          <w:rFonts w:ascii="Times New Roman" w:hAnsi="Times New Roman" w:cs="Times New Roman"/>
        </w:rPr>
        <w:lastRenderedPageBreak/>
        <w:t>investors impact the sustainable performance of corporations</w:t>
      </w:r>
      <w:r w:rsidRPr="00513181">
        <w:rPr>
          <w:rFonts w:ascii="Times New Roman" w:hAnsi="Times New Roman" w:cs="Times New Roman"/>
        </w:rPr>
        <w:t xml:space="preserve">. The participation of eco-friendly investors in environmentally sustainable and socially responsible initiatives generates encouraging signals within the market. Moreover, environmentally conscious investors act as a mechanism of oversight; their involvement subtly encourages companies to synchronize their practices with beneficial environmental and social results. Eco-friendly investors exert </w:t>
      </w:r>
      <w:r w:rsidR="004F573C" w:rsidRPr="00513181">
        <w:rPr>
          <w:rFonts w:ascii="Times New Roman" w:hAnsi="Times New Roman" w:cs="Times New Roman"/>
        </w:rPr>
        <w:t xml:space="preserve">highly </w:t>
      </w:r>
      <w:r w:rsidRPr="00513181">
        <w:rPr>
          <w:rFonts w:ascii="Times New Roman" w:hAnsi="Times New Roman" w:cs="Times New Roman"/>
        </w:rPr>
        <w:t xml:space="preserve">substantial impact on sustainable </w:t>
      </w:r>
      <w:r w:rsidR="004F573C" w:rsidRPr="00513181">
        <w:rPr>
          <w:rFonts w:ascii="Times New Roman" w:hAnsi="Times New Roman" w:cs="Times New Roman"/>
        </w:rPr>
        <w:t xml:space="preserve">corporate </w:t>
      </w:r>
      <w:r w:rsidRPr="00513181">
        <w:rPr>
          <w:rFonts w:ascii="Times New Roman" w:hAnsi="Times New Roman" w:cs="Times New Roman"/>
        </w:rPr>
        <w:t xml:space="preserve">performance than other institutional investors, thereby holding the potential to foster advancements in this domain. Following this analysis, the first hypothesis is put forward as </w:t>
      </w:r>
      <w:r w:rsidR="005F248C" w:rsidRPr="00513181">
        <w:rPr>
          <w:rFonts w:ascii="Times New Roman" w:hAnsi="Times New Roman" w:cs="Times New Roman"/>
        </w:rPr>
        <w:t>below</w:t>
      </w:r>
      <w:r w:rsidR="00D11033" w:rsidRPr="00513181">
        <w:rPr>
          <w:rFonts w:ascii="Times New Roman" w:hAnsi="Times New Roman" w:cs="Times New Roman"/>
        </w:rPr>
        <w:t xml:space="preserve">: </w:t>
      </w:r>
    </w:p>
    <w:p w14:paraId="28E717B8" w14:textId="4C3696FD" w:rsidR="006A29E5" w:rsidRPr="00513181" w:rsidRDefault="00D11033" w:rsidP="00DF7FDB">
      <w:pPr>
        <w:jc w:val="both"/>
        <w:rPr>
          <w:rFonts w:ascii="Times New Roman" w:hAnsi="Times New Roman" w:cs="Times New Roman"/>
        </w:rPr>
      </w:pPr>
      <w:r w:rsidRPr="00513181">
        <w:rPr>
          <w:rFonts w:ascii="Times New Roman" w:hAnsi="Times New Roman" w:cs="Times New Roman"/>
          <w:b/>
          <w:bCs/>
        </w:rPr>
        <w:t>H1</w:t>
      </w:r>
      <w:r w:rsidRPr="00513181">
        <w:rPr>
          <w:rFonts w:ascii="Times New Roman" w:hAnsi="Times New Roman" w:cs="Times New Roman"/>
        </w:rPr>
        <w:t xml:space="preserve">. The </w:t>
      </w:r>
      <w:r w:rsidR="00844966" w:rsidRPr="00513181">
        <w:rPr>
          <w:rFonts w:ascii="Times New Roman" w:hAnsi="Times New Roman" w:cs="Times New Roman"/>
        </w:rPr>
        <w:t>involvement</w:t>
      </w:r>
      <w:r w:rsidRPr="00513181">
        <w:rPr>
          <w:rFonts w:ascii="Times New Roman" w:hAnsi="Times New Roman" w:cs="Times New Roman"/>
        </w:rPr>
        <w:t xml:space="preserve"> of </w:t>
      </w:r>
      <w:r w:rsidR="006A29E5" w:rsidRPr="00513181">
        <w:rPr>
          <w:rFonts w:ascii="Times New Roman" w:hAnsi="Times New Roman" w:cs="Times New Roman"/>
        </w:rPr>
        <w:t>eco-friendly</w:t>
      </w:r>
      <w:r w:rsidR="006265C0" w:rsidRPr="00513181">
        <w:rPr>
          <w:rFonts w:ascii="Times New Roman" w:hAnsi="Times New Roman" w:cs="Times New Roman"/>
        </w:rPr>
        <w:t xml:space="preserve"> </w:t>
      </w:r>
      <w:r w:rsidRPr="00513181">
        <w:rPr>
          <w:rFonts w:ascii="Times New Roman" w:hAnsi="Times New Roman" w:cs="Times New Roman"/>
        </w:rPr>
        <w:t xml:space="preserve">investors will </w:t>
      </w:r>
      <w:r w:rsidR="005F248C" w:rsidRPr="00513181">
        <w:rPr>
          <w:rFonts w:ascii="Times New Roman" w:hAnsi="Times New Roman" w:cs="Times New Roman"/>
        </w:rPr>
        <w:t>improve</w:t>
      </w:r>
      <w:r w:rsidRPr="00513181">
        <w:rPr>
          <w:rFonts w:ascii="Times New Roman" w:hAnsi="Times New Roman" w:cs="Times New Roman"/>
        </w:rPr>
        <w:t xml:space="preserve"> </w:t>
      </w:r>
      <w:r w:rsidR="00DA02AF" w:rsidRPr="00513181">
        <w:rPr>
          <w:rFonts w:ascii="Times New Roman" w:hAnsi="Times New Roman" w:cs="Times New Roman"/>
        </w:rPr>
        <w:t>corporate sustainable performance</w:t>
      </w:r>
      <w:r w:rsidRPr="00513181">
        <w:rPr>
          <w:rFonts w:ascii="Times New Roman" w:hAnsi="Times New Roman" w:cs="Times New Roman"/>
        </w:rPr>
        <w:t xml:space="preserve">. </w:t>
      </w:r>
    </w:p>
    <w:p w14:paraId="3DE218AB" w14:textId="31D4EF15" w:rsidR="008A253A" w:rsidRPr="00513181" w:rsidRDefault="00D11033" w:rsidP="00DF7FDB">
      <w:pPr>
        <w:jc w:val="both"/>
        <w:rPr>
          <w:rFonts w:ascii="Times New Roman" w:hAnsi="Times New Roman" w:cs="Times New Roman"/>
          <w:i/>
          <w:iCs/>
        </w:rPr>
      </w:pPr>
      <w:r w:rsidRPr="00513181">
        <w:rPr>
          <w:rFonts w:ascii="Times New Roman" w:hAnsi="Times New Roman" w:cs="Times New Roman"/>
          <w:i/>
          <w:iCs/>
        </w:rPr>
        <w:t>2.2.</w:t>
      </w:r>
      <w:r w:rsidR="008A253A" w:rsidRPr="00513181">
        <w:rPr>
          <w:rFonts w:ascii="Times New Roman" w:hAnsi="Times New Roman" w:cs="Times New Roman"/>
          <w:i/>
          <w:iCs/>
        </w:rPr>
        <w:t xml:space="preserve"> </w:t>
      </w:r>
      <w:r w:rsidR="004C20ED" w:rsidRPr="00513181">
        <w:rPr>
          <w:rFonts w:ascii="Times New Roman" w:hAnsi="Times New Roman" w:cs="Times New Roman"/>
          <w:b/>
          <w:bCs/>
          <w:i/>
          <w:iCs/>
        </w:rPr>
        <w:t xml:space="preserve">Framework </w:t>
      </w:r>
      <w:r w:rsidR="00844966" w:rsidRPr="00513181">
        <w:rPr>
          <w:rFonts w:ascii="Times New Roman" w:hAnsi="Times New Roman" w:cs="Times New Roman"/>
          <w:b/>
          <w:bCs/>
          <w:i/>
          <w:iCs/>
        </w:rPr>
        <w:t>Enabling</w:t>
      </w:r>
      <w:r w:rsidR="004C20ED" w:rsidRPr="00513181">
        <w:rPr>
          <w:rFonts w:ascii="Times New Roman" w:hAnsi="Times New Roman" w:cs="Times New Roman"/>
          <w:b/>
          <w:bCs/>
          <w:i/>
          <w:iCs/>
        </w:rPr>
        <w:t xml:space="preserve"> eco-friendly </w:t>
      </w:r>
      <w:r w:rsidR="00844966" w:rsidRPr="00513181">
        <w:rPr>
          <w:rFonts w:ascii="Times New Roman" w:hAnsi="Times New Roman" w:cs="Times New Roman"/>
          <w:b/>
          <w:bCs/>
          <w:i/>
          <w:iCs/>
        </w:rPr>
        <w:t>Investors</w:t>
      </w:r>
      <w:r w:rsidR="004C20ED" w:rsidRPr="00513181">
        <w:rPr>
          <w:rFonts w:ascii="Times New Roman" w:hAnsi="Times New Roman" w:cs="Times New Roman"/>
          <w:b/>
          <w:bCs/>
          <w:i/>
          <w:iCs/>
        </w:rPr>
        <w:t xml:space="preserve"> to </w:t>
      </w:r>
      <w:r w:rsidR="00844966" w:rsidRPr="00513181">
        <w:rPr>
          <w:rFonts w:ascii="Times New Roman" w:hAnsi="Times New Roman" w:cs="Times New Roman"/>
          <w:b/>
          <w:bCs/>
          <w:i/>
          <w:iCs/>
        </w:rPr>
        <w:t>Influence Corporate Sustainable Performance</w:t>
      </w:r>
      <w:r w:rsidR="004C20ED" w:rsidRPr="00513181">
        <w:rPr>
          <w:rFonts w:ascii="Times New Roman" w:hAnsi="Times New Roman" w:cs="Times New Roman"/>
          <w:b/>
          <w:bCs/>
          <w:i/>
          <w:iCs/>
        </w:rPr>
        <w:t xml:space="preserve"> </w:t>
      </w:r>
      <w:r w:rsidR="008A253A" w:rsidRPr="00513181">
        <w:rPr>
          <w:rFonts w:ascii="Times New Roman" w:hAnsi="Times New Roman" w:cs="Times New Roman"/>
        </w:rPr>
        <w:t xml:space="preserve"> </w:t>
      </w:r>
      <w:r w:rsidR="008A253A" w:rsidRPr="00513181">
        <w:rPr>
          <w:rFonts w:ascii="Times New Roman" w:hAnsi="Times New Roman" w:cs="Times New Roman"/>
        </w:rPr>
        <w:br/>
        <w:t xml:space="preserve">According to an internal viewpoint, funding limitations have consistently posed a considerable challenge for organizations in their manufacturing and operational activities (Tsujimoto, 2019). When organizations with reduced financing expenses foster a more conducive investment landscape, their propensity to participate in non-monetary sustainable investment initiatives rises. Furthermore, the involvement of </w:t>
      </w:r>
      <w:r w:rsidR="0039002F" w:rsidRPr="00513181">
        <w:rPr>
          <w:rFonts w:ascii="Times New Roman" w:hAnsi="Times New Roman" w:cs="Times New Roman"/>
        </w:rPr>
        <w:t>eco-friendly</w:t>
      </w:r>
      <w:r w:rsidR="008A253A" w:rsidRPr="00513181">
        <w:rPr>
          <w:rFonts w:ascii="Times New Roman" w:hAnsi="Times New Roman" w:cs="Times New Roman"/>
        </w:rPr>
        <w:t xml:space="preserve"> investors with non-financial priorities contributes capital to companies. They allocate resources to initiatives that yield beneficial environmental and social outcomes, even if it requires forgoing certain immediate gains. This trend leads to a more favorable financing atmosphere for businesses</w:t>
      </w:r>
      <w:r w:rsidR="000904ED" w:rsidRPr="00513181">
        <w:rPr>
          <w:rFonts w:ascii="Times New Roman" w:hAnsi="Times New Roman" w:cs="Times New Roman"/>
        </w:rPr>
        <w:t xml:space="preserve"> (</w:t>
      </w:r>
      <w:r w:rsidR="00F220A3" w:rsidRPr="00513181">
        <w:rPr>
          <w:rFonts w:ascii="Times New Roman" w:hAnsi="Times New Roman" w:cs="Times New Roman"/>
        </w:rPr>
        <w:t xml:space="preserve">Pérez </w:t>
      </w:r>
      <w:proofErr w:type="spellStart"/>
      <w:r w:rsidR="00F220A3" w:rsidRPr="00513181">
        <w:rPr>
          <w:rFonts w:ascii="Times New Roman" w:hAnsi="Times New Roman" w:cs="Times New Roman"/>
        </w:rPr>
        <w:t>Estébanez</w:t>
      </w:r>
      <w:proofErr w:type="spellEnd"/>
      <w:r w:rsidR="00F220A3" w:rsidRPr="00513181">
        <w:rPr>
          <w:rFonts w:ascii="Times New Roman" w:hAnsi="Times New Roman" w:cs="Times New Roman"/>
        </w:rPr>
        <w:t xml:space="preserve"> &amp; </w:t>
      </w:r>
      <w:proofErr w:type="spellStart"/>
      <w:r w:rsidR="00F220A3" w:rsidRPr="00513181">
        <w:rPr>
          <w:rFonts w:ascii="Times New Roman" w:hAnsi="Times New Roman" w:cs="Times New Roman"/>
        </w:rPr>
        <w:t>Sevillano</w:t>
      </w:r>
      <w:proofErr w:type="spellEnd"/>
      <w:r w:rsidR="00F220A3" w:rsidRPr="00513181">
        <w:rPr>
          <w:rFonts w:ascii="Times New Roman" w:hAnsi="Times New Roman" w:cs="Times New Roman"/>
        </w:rPr>
        <w:t xml:space="preserve"> Martín, 2025</w:t>
      </w:r>
      <w:r w:rsidR="000904ED" w:rsidRPr="00513181">
        <w:rPr>
          <w:rFonts w:ascii="Times New Roman" w:hAnsi="Times New Roman" w:cs="Times New Roman"/>
        </w:rPr>
        <w:t>)</w:t>
      </w:r>
      <w:r w:rsidR="008A253A" w:rsidRPr="00513181">
        <w:rPr>
          <w:rFonts w:ascii="Times New Roman" w:hAnsi="Times New Roman" w:cs="Times New Roman"/>
        </w:rPr>
        <w:t>. Based on this analysis, the following proposition for Hypothesis 2 is put forward:</w:t>
      </w:r>
    </w:p>
    <w:p w14:paraId="78007695" w14:textId="6874E861" w:rsidR="00B651A8" w:rsidRPr="00513181" w:rsidRDefault="008A253A" w:rsidP="00DF7FDB">
      <w:pPr>
        <w:jc w:val="both"/>
        <w:rPr>
          <w:rFonts w:ascii="Times New Roman" w:hAnsi="Times New Roman" w:cs="Times New Roman"/>
        </w:rPr>
      </w:pPr>
      <w:r w:rsidRPr="00513181">
        <w:rPr>
          <w:rFonts w:ascii="Times New Roman" w:hAnsi="Times New Roman" w:cs="Times New Roman"/>
          <w:b/>
          <w:bCs/>
        </w:rPr>
        <w:t>H2</w:t>
      </w:r>
      <w:r w:rsidRPr="00513181">
        <w:rPr>
          <w:rFonts w:ascii="Times New Roman" w:hAnsi="Times New Roman" w:cs="Times New Roman"/>
        </w:rPr>
        <w:t xml:space="preserve">. The involvement of eco-friendly investors will reduce </w:t>
      </w:r>
      <w:r w:rsidR="00E833C4" w:rsidRPr="00513181">
        <w:rPr>
          <w:rFonts w:ascii="Times New Roman" w:hAnsi="Times New Roman" w:cs="Times New Roman"/>
        </w:rPr>
        <w:t>business financial constraints</w:t>
      </w:r>
      <w:r w:rsidRPr="00513181">
        <w:rPr>
          <w:rFonts w:ascii="Times New Roman" w:hAnsi="Times New Roman" w:cs="Times New Roman"/>
        </w:rPr>
        <w:t xml:space="preserve">, </w:t>
      </w:r>
      <w:r w:rsidR="0033152C" w:rsidRPr="00513181">
        <w:rPr>
          <w:rFonts w:ascii="Times New Roman" w:hAnsi="Times New Roman" w:cs="Times New Roman"/>
        </w:rPr>
        <w:t xml:space="preserve">relax </w:t>
      </w:r>
      <w:r w:rsidR="00E833C4" w:rsidRPr="00513181">
        <w:rPr>
          <w:rFonts w:ascii="Times New Roman" w:hAnsi="Times New Roman" w:cs="Times New Roman"/>
        </w:rPr>
        <w:t>funding</w:t>
      </w:r>
      <w:r w:rsidR="0033152C" w:rsidRPr="00513181">
        <w:rPr>
          <w:rFonts w:ascii="Times New Roman" w:hAnsi="Times New Roman" w:cs="Times New Roman"/>
        </w:rPr>
        <w:t xml:space="preserve"> </w:t>
      </w:r>
      <w:r w:rsidR="00E833C4" w:rsidRPr="00513181">
        <w:rPr>
          <w:rFonts w:ascii="Times New Roman" w:hAnsi="Times New Roman" w:cs="Times New Roman"/>
        </w:rPr>
        <w:t>burdens</w:t>
      </w:r>
      <w:r w:rsidR="0033152C" w:rsidRPr="00513181">
        <w:rPr>
          <w:rFonts w:ascii="Times New Roman" w:hAnsi="Times New Roman" w:cs="Times New Roman"/>
        </w:rPr>
        <w:t xml:space="preserve"> within </w:t>
      </w:r>
      <w:r w:rsidR="00E833C4" w:rsidRPr="00513181">
        <w:rPr>
          <w:rFonts w:ascii="Times New Roman" w:hAnsi="Times New Roman" w:cs="Times New Roman"/>
        </w:rPr>
        <w:t>firms</w:t>
      </w:r>
      <w:r w:rsidR="0033152C" w:rsidRPr="00513181">
        <w:rPr>
          <w:rFonts w:ascii="Times New Roman" w:hAnsi="Times New Roman" w:cs="Times New Roman"/>
        </w:rPr>
        <w:t>, and improve</w:t>
      </w:r>
      <w:r w:rsidRPr="00513181">
        <w:rPr>
          <w:rFonts w:ascii="Times New Roman" w:hAnsi="Times New Roman" w:cs="Times New Roman"/>
        </w:rPr>
        <w:t xml:space="preserve"> their sustainable performance</w:t>
      </w:r>
      <w:r w:rsidR="00D11033" w:rsidRPr="00513181">
        <w:rPr>
          <w:rFonts w:ascii="Times New Roman" w:hAnsi="Times New Roman" w:cs="Times New Roman"/>
        </w:rPr>
        <w:t xml:space="preserve">. </w:t>
      </w:r>
    </w:p>
    <w:p w14:paraId="64D72999" w14:textId="081F0454" w:rsidR="00224A35" w:rsidRPr="00513181" w:rsidRDefault="00BC55F7" w:rsidP="00DF7FDB">
      <w:pPr>
        <w:jc w:val="both"/>
        <w:rPr>
          <w:rFonts w:ascii="Times New Roman" w:hAnsi="Times New Roman" w:cs="Times New Roman"/>
        </w:rPr>
      </w:pPr>
      <w:r w:rsidRPr="00513181">
        <w:rPr>
          <w:rFonts w:ascii="Times New Roman" w:hAnsi="Times New Roman" w:cs="Times New Roman"/>
        </w:rPr>
        <w:t>According to</w:t>
      </w:r>
      <w:r w:rsidR="0033152C" w:rsidRPr="00513181">
        <w:rPr>
          <w:rFonts w:ascii="Times New Roman" w:hAnsi="Times New Roman" w:cs="Times New Roman"/>
        </w:rPr>
        <w:t xml:space="preserve"> </w:t>
      </w:r>
      <w:r w:rsidRPr="00513181">
        <w:rPr>
          <w:rFonts w:ascii="Times New Roman" w:hAnsi="Times New Roman" w:cs="Times New Roman"/>
        </w:rPr>
        <w:t xml:space="preserve">the </w:t>
      </w:r>
      <w:r w:rsidR="0033152C" w:rsidRPr="00513181">
        <w:rPr>
          <w:rFonts w:ascii="Times New Roman" w:hAnsi="Times New Roman" w:cs="Times New Roman"/>
        </w:rPr>
        <w:t xml:space="preserve">external viewpoint, public </w:t>
      </w:r>
      <w:r w:rsidRPr="00513181">
        <w:rPr>
          <w:rFonts w:ascii="Times New Roman" w:hAnsi="Times New Roman" w:cs="Times New Roman"/>
        </w:rPr>
        <w:t xml:space="preserve">ecological </w:t>
      </w:r>
      <w:r w:rsidR="0033152C" w:rsidRPr="00513181">
        <w:rPr>
          <w:rFonts w:ascii="Times New Roman" w:hAnsi="Times New Roman" w:cs="Times New Roman"/>
        </w:rPr>
        <w:t xml:space="preserve">concerns are </w:t>
      </w:r>
      <w:r w:rsidRPr="00513181">
        <w:rPr>
          <w:rFonts w:ascii="Times New Roman" w:hAnsi="Times New Roman" w:cs="Times New Roman"/>
        </w:rPr>
        <w:t>central</w:t>
      </w:r>
      <w:r w:rsidR="0033152C" w:rsidRPr="00513181">
        <w:rPr>
          <w:rFonts w:ascii="Times New Roman" w:hAnsi="Times New Roman" w:cs="Times New Roman"/>
        </w:rPr>
        <w:t xml:space="preserve"> </w:t>
      </w:r>
      <w:r w:rsidRPr="00513181">
        <w:rPr>
          <w:rFonts w:ascii="Times New Roman" w:hAnsi="Times New Roman" w:cs="Times New Roman"/>
        </w:rPr>
        <w:t>to</w:t>
      </w:r>
      <w:r w:rsidR="0033152C" w:rsidRPr="00513181">
        <w:rPr>
          <w:rFonts w:ascii="Times New Roman" w:hAnsi="Times New Roman" w:cs="Times New Roman"/>
        </w:rPr>
        <w:t xml:space="preserve"> managing reput</w:t>
      </w:r>
      <w:r w:rsidRPr="00513181">
        <w:rPr>
          <w:rFonts w:ascii="Times New Roman" w:hAnsi="Times New Roman" w:cs="Times New Roman"/>
        </w:rPr>
        <w:t>e</w:t>
      </w:r>
      <w:r w:rsidR="0033152C" w:rsidRPr="00513181">
        <w:rPr>
          <w:rFonts w:ascii="Times New Roman" w:hAnsi="Times New Roman" w:cs="Times New Roman"/>
        </w:rPr>
        <w:t xml:space="preserve"> and acting as independent regulators of </w:t>
      </w:r>
      <w:r w:rsidRPr="00513181">
        <w:rPr>
          <w:rFonts w:ascii="Times New Roman" w:hAnsi="Times New Roman" w:cs="Times New Roman"/>
        </w:rPr>
        <w:t>businesses</w:t>
      </w:r>
      <w:r w:rsidR="0033152C" w:rsidRPr="00513181">
        <w:rPr>
          <w:rFonts w:ascii="Times New Roman" w:hAnsi="Times New Roman" w:cs="Times New Roman"/>
        </w:rPr>
        <w:t xml:space="preserve"> (</w:t>
      </w:r>
      <w:proofErr w:type="spellStart"/>
      <w:r w:rsidR="0033152C" w:rsidRPr="00513181">
        <w:rPr>
          <w:rFonts w:ascii="Times New Roman" w:hAnsi="Times New Roman" w:cs="Times New Roman"/>
        </w:rPr>
        <w:t>Taghizadeh-Hesary</w:t>
      </w:r>
      <w:proofErr w:type="spellEnd"/>
      <w:r w:rsidR="0033152C" w:rsidRPr="00513181">
        <w:rPr>
          <w:rFonts w:ascii="Times New Roman" w:hAnsi="Times New Roman" w:cs="Times New Roman"/>
        </w:rPr>
        <w:t xml:space="preserve"> et al., 2022). </w:t>
      </w:r>
      <w:r w:rsidRPr="00513181">
        <w:rPr>
          <w:rFonts w:ascii="Times New Roman" w:hAnsi="Times New Roman" w:cs="Times New Roman"/>
        </w:rPr>
        <w:t xml:space="preserve">Generally, </w:t>
      </w:r>
      <w:r w:rsidR="0033152C" w:rsidRPr="00513181">
        <w:rPr>
          <w:rFonts w:ascii="Times New Roman" w:hAnsi="Times New Roman" w:cs="Times New Roman"/>
        </w:rPr>
        <w:t xml:space="preserve">Investors from institutions focusing on long-term sustainability, particularly those with eco-friendly preferences, </w:t>
      </w:r>
      <w:r w:rsidRPr="00513181">
        <w:rPr>
          <w:rFonts w:ascii="Times New Roman" w:hAnsi="Times New Roman" w:cs="Times New Roman"/>
        </w:rPr>
        <w:t>function as signals</w:t>
      </w:r>
      <w:r w:rsidR="0033152C" w:rsidRPr="00513181">
        <w:rPr>
          <w:rFonts w:ascii="Times New Roman" w:hAnsi="Times New Roman" w:cs="Times New Roman"/>
        </w:rPr>
        <w:t xml:space="preserve"> </w:t>
      </w:r>
      <w:r w:rsidRPr="00513181">
        <w:rPr>
          <w:rFonts w:ascii="Times New Roman" w:hAnsi="Times New Roman" w:cs="Times New Roman"/>
        </w:rPr>
        <w:t>and guidelines to</w:t>
      </w:r>
      <w:r w:rsidR="0033152C" w:rsidRPr="00513181">
        <w:rPr>
          <w:rFonts w:ascii="Times New Roman" w:hAnsi="Times New Roman" w:cs="Times New Roman"/>
        </w:rPr>
        <w:t xml:space="preserve"> the public. The entry of eco-conscious investors into a market sends a positive signal, drawing greater public </w:t>
      </w:r>
      <w:r w:rsidRPr="00513181">
        <w:rPr>
          <w:rFonts w:ascii="Times New Roman" w:hAnsi="Times New Roman" w:cs="Times New Roman"/>
        </w:rPr>
        <w:t>interest</w:t>
      </w:r>
      <w:r w:rsidR="0033152C" w:rsidRPr="00513181">
        <w:rPr>
          <w:rFonts w:ascii="Times New Roman" w:hAnsi="Times New Roman" w:cs="Times New Roman"/>
        </w:rPr>
        <w:t xml:space="preserve"> to environment </w:t>
      </w:r>
      <w:r w:rsidRPr="00513181">
        <w:rPr>
          <w:rFonts w:ascii="Times New Roman" w:hAnsi="Times New Roman" w:cs="Times New Roman"/>
        </w:rPr>
        <w:t xml:space="preserve">related </w:t>
      </w:r>
      <w:r w:rsidR="0033152C" w:rsidRPr="00513181">
        <w:rPr>
          <w:rFonts w:ascii="Times New Roman" w:hAnsi="Times New Roman" w:cs="Times New Roman"/>
        </w:rPr>
        <w:t xml:space="preserve">issues. </w:t>
      </w:r>
      <w:r w:rsidRPr="00513181">
        <w:rPr>
          <w:rFonts w:ascii="Times New Roman" w:hAnsi="Times New Roman" w:cs="Times New Roman"/>
        </w:rPr>
        <w:t>This increased public awareness</w:t>
      </w:r>
      <w:r w:rsidR="0033152C" w:rsidRPr="00513181">
        <w:rPr>
          <w:rFonts w:ascii="Times New Roman" w:hAnsi="Times New Roman" w:cs="Times New Roman"/>
        </w:rPr>
        <w:t xml:space="preserve"> of environmental matters creates external pressures on businesses, </w:t>
      </w:r>
      <w:r w:rsidRPr="00513181">
        <w:rPr>
          <w:rFonts w:ascii="Times New Roman" w:hAnsi="Times New Roman" w:cs="Times New Roman"/>
        </w:rPr>
        <w:t>leading to “money votes” in financial markets, in which investors prefer companies that demonstrate better sustainability performance</w:t>
      </w:r>
      <w:r w:rsidR="000904ED" w:rsidRPr="00513181">
        <w:rPr>
          <w:rFonts w:ascii="Times New Roman" w:hAnsi="Times New Roman" w:cs="Times New Roman"/>
        </w:rPr>
        <w:t xml:space="preserve"> (Edmans, Gosling, &amp; Jenter, 2024)</w:t>
      </w:r>
      <w:r w:rsidR="0033152C" w:rsidRPr="00513181">
        <w:rPr>
          <w:rFonts w:ascii="Times New Roman" w:hAnsi="Times New Roman" w:cs="Times New Roman"/>
        </w:rPr>
        <w:t xml:space="preserve">. </w:t>
      </w:r>
      <w:r w:rsidRPr="00513181">
        <w:rPr>
          <w:rFonts w:ascii="Times New Roman" w:hAnsi="Times New Roman" w:cs="Times New Roman"/>
        </w:rPr>
        <w:t>Based on this discussion, the following is recommended for Hypothesis 3</w:t>
      </w:r>
      <w:r w:rsidR="00224A35" w:rsidRPr="00513181">
        <w:rPr>
          <w:rFonts w:ascii="Times New Roman" w:hAnsi="Times New Roman" w:cs="Times New Roman"/>
        </w:rPr>
        <w:t>:</w:t>
      </w:r>
    </w:p>
    <w:p w14:paraId="4F15764C" w14:textId="162CD2A9" w:rsidR="00D11033" w:rsidRPr="00513181" w:rsidRDefault="0033152C" w:rsidP="00DF7FDB">
      <w:pPr>
        <w:jc w:val="both"/>
        <w:rPr>
          <w:rFonts w:ascii="Times New Roman" w:hAnsi="Times New Roman" w:cs="Times New Roman"/>
        </w:rPr>
      </w:pPr>
      <w:r w:rsidRPr="00513181">
        <w:rPr>
          <w:rFonts w:ascii="Times New Roman" w:hAnsi="Times New Roman" w:cs="Times New Roman"/>
          <w:b/>
          <w:bCs/>
        </w:rPr>
        <w:t>H3</w:t>
      </w:r>
      <w:r w:rsidRPr="00513181">
        <w:rPr>
          <w:rFonts w:ascii="Times New Roman" w:hAnsi="Times New Roman" w:cs="Times New Roman"/>
        </w:rPr>
        <w:t xml:space="preserve">: </w:t>
      </w:r>
      <w:r w:rsidR="003F04F4" w:rsidRPr="00513181">
        <w:rPr>
          <w:rFonts w:ascii="Times New Roman" w:hAnsi="Times New Roman" w:cs="Times New Roman"/>
        </w:rPr>
        <w:t>Involving</w:t>
      </w:r>
      <w:r w:rsidR="00224A35" w:rsidRPr="00513181">
        <w:rPr>
          <w:rFonts w:ascii="Times New Roman" w:hAnsi="Times New Roman" w:cs="Times New Roman"/>
        </w:rPr>
        <w:t xml:space="preserve"> eco-friendly investors will heighten public </w:t>
      </w:r>
      <w:r w:rsidR="002F324E" w:rsidRPr="00513181">
        <w:rPr>
          <w:rFonts w:ascii="Times New Roman" w:hAnsi="Times New Roman" w:cs="Times New Roman"/>
        </w:rPr>
        <w:t xml:space="preserve">ecological </w:t>
      </w:r>
      <w:r w:rsidR="00224A35" w:rsidRPr="00513181">
        <w:rPr>
          <w:rFonts w:ascii="Times New Roman" w:hAnsi="Times New Roman" w:cs="Times New Roman"/>
        </w:rPr>
        <w:t xml:space="preserve">awareness, </w:t>
      </w:r>
      <w:r w:rsidR="006D11E4" w:rsidRPr="00513181">
        <w:rPr>
          <w:rFonts w:ascii="Times New Roman" w:hAnsi="Times New Roman" w:cs="Times New Roman"/>
        </w:rPr>
        <w:t xml:space="preserve">serve as an external oversight mechanism for the </w:t>
      </w:r>
      <w:r w:rsidR="002F324E" w:rsidRPr="00513181">
        <w:rPr>
          <w:rFonts w:ascii="Times New Roman" w:hAnsi="Times New Roman" w:cs="Times New Roman"/>
        </w:rPr>
        <w:t>companies</w:t>
      </w:r>
      <w:r w:rsidR="006D11E4" w:rsidRPr="00513181">
        <w:rPr>
          <w:rFonts w:ascii="Times New Roman" w:hAnsi="Times New Roman" w:cs="Times New Roman"/>
        </w:rPr>
        <w:t>, and enhance</w:t>
      </w:r>
      <w:r w:rsidR="00224A35" w:rsidRPr="00513181">
        <w:rPr>
          <w:rFonts w:ascii="Times New Roman" w:hAnsi="Times New Roman" w:cs="Times New Roman"/>
        </w:rPr>
        <w:t xml:space="preserve"> corporate sustainab</w:t>
      </w:r>
      <w:r w:rsidR="006D11E4" w:rsidRPr="00513181">
        <w:rPr>
          <w:rFonts w:ascii="Times New Roman" w:hAnsi="Times New Roman" w:cs="Times New Roman"/>
        </w:rPr>
        <w:t>le</w:t>
      </w:r>
      <w:r w:rsidR="00224A35" w:rsidRPr="00513181">
        <w:rPr>
          <w:rFonts w:ascii="Times New Roman" w:hAnsi="Times New Roman" w:cs="Times New Roman"/>
        </w:rPr>
        <w:t xml:space="preserve"> performance</w:t>
      </w:r>
      <w:r w:rsidR="00AB7762" w:rsidRPr="00513181">
        <w:rPr>
          <w:rFonts w:ascii="Times New Roman" w:hAnsi="Times New Roman" w:cs="Times New Roman"/>
        </w:rPr>
        <w:t>.</w:t>
      </w:r>
    </w:p>
    <w:p w14:paraId="01A609D1" w14:textId="5280348F" w:rsidR="00654C0B" w:rsidRPr="00513181" w:rsidRDefault="00654C0B" w:rsidP="00DF7FDB">
      <w:pPr>
        <w:jc w:val="both"/>
        <w:rPr>
          <w:rFonts w:ascii="Times New Roman" w:hAnsi="Times New Roman" w:cs="Times New Roman"/>
          <w:b/>
          <w:bCs/>
        </w:rPr>
      </w:pPr>
      <w:r w:rsidRPr="00513181">
        <w:rPr>
          <w:rFonts w:ascii="Times New Roman" w:hAnsi="Times New Roman" w:cs="Times New Roman"/>
          <w:b/>
          <w:bCs/>
        </w:rPr>
        <w:t>3</w:t>
      </w:r>
      <w:r w:rsidR="00205BAC" w:rsidRPr="00513181">
        <w:rPr>
          <w:rFonts w:ascii="Times New Roman" w:hAnsi="Times New Roman" w:cs="Times New Roman"/>
          <w:b/>
          <w:bCs/>
        </w:rPr>
        <w:t xml:space="preserve">. Research Framework </w:t>
      </w:r>
      <w:r w:rsidRPr="00513181">
        <w:rPr>
          <w:rFonts w:ascii="Times New Roman" w:hAnsi="Times New Roman" w:cs="Times New Roman"/>
          <w:b/>
          <w:bCs/>
        </w:rPr>
        <w:t xml:space="preserve"> </w:t>
      </w:r>
    </w:p>
    <w:p w14:paraId="7A932EF5" w14:textId="4F649E4F" w:rsidR="00AB7762"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3.1. </w:t>
      </w:r>
      <w:r w:rsidR="00205BAC" w:rsidRPr="00513181">
        <w:rPr>
          <w:rFonts w:ascii="Times New Roman" w:hAnsi="Times New Roman" w:cs="Times New Roman"/>
          <w:i/>
          <w:iCs/>
        </w:rPr>
        <w:t>Sampling methods and data collection</w:t>
      </w:r>
    </w:p>
    <w:p w14:paraId="6D92B39A" w14:textId="0F63C75F" w:rsidR="00654C0B" w:rsidRPr="00513181" w:rsidRDefault="00A8311C" w:rsidP="00DF7FDB">
      <w:pPr>
        <w:jc w:val="both"/>
        <w:rPr>
          <w:rFonts w:ascii="Times New Roman" w:hAnsi="Times New Roman" w:cs="Times New Roman"/>
        </w:rPr>
      </w:pPr>
      <w:r w:rsidRPr="00513181">
        <w:rPr>
          <w:rFonts w:ascii="Times New Roman" w:hAnsi="Times New Roman" w:cs="Times New Roman"/>
        </w:rPr>
        <w:lastRenderedPageBreak/>
        <w:t xml:space="preserve">Japanese companies listed on the A-share market between 2010 and 2023 were used as the primary sample for this analysis. The following procedures were used for the sample: (1) financial listed firms were excluded; (2) the ST and *The ST designation companies' data were omitted; and (3) the sample containing incomplete or inconsistent financial data was eliminated. All continuous variables underwent </w:t>
      </w:r>
      <w:proofErr w:type="spellStart"/>
      <w:r w:rsidRPr="00513181">
        <w:rPr>
          <w:rFonts w:ascii="Times New Roman" w:hAnsi="Times New Roman" w:cs="Times New Roman"/>
        </w:rPr>
        <w:t>winsorization</w:t>
      </w:r>
      <w:proofErr w:type="spellEnd"/>
      <w:r w:rsidRPr="00513181">
        <w:rPr>
          <w:rFonts w:ascii="Times New Roman" w:hAnsi="Times New Roman" w:cs="Times New Roman"/>
        </w:rPr>
        <w:t xml:space="preserve"> at the 1% and 99% thresholds. Consequently, the final sample comprises 12,500 firm-year observations</w:t>
      </w:r>
      <w:r w:rsidR="006D11E4" w:rsidRPr="00513181">
        <w:rPr>
          <w:rFonts w:ascii="Times New Roman" w:hAnsi="Times New Roman" w:cs="Times New Roman"/>
        </w:rPr>
        <w:t>. The JPX ESG Knowledge Hub was used to collect data on companies' corporate sustainable performance, and the information on eco-friendly investors and others used in this paper is sourced from the Nikkei SDGs Management Survey</w:t>
      </w:r>
      <w:r w:rsidR="00F55853" w:rsidRPr="00513181">
        <w:rPr>
          <w:rFonts w:ascii="Times New Roman" w:hAnsi="Times New Roman" w:cs="Times New Roman"/>
        </w:rPr>
        <w:t>.</w:t>
      </w:r>
    </w:p>
    <w:p w14:paraId="27BA8DFC" w14:textId="546D17DA" w:rsidR="00717E3D"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3.2. </w:t>
      </w:r>
      <w:r w:rsidR="0053411D" w:rsidRPr="00513181">
        <w:rPr>
          <w:rFonts w:ascii="Times New Roman" w:hAnsi="Times New Roman" w:cs="Times New Roman"/>
          <w:i/>
          <w:iCs/>
        </w:rPr>
        <w:t xml:space="preserve">Key </w:t>
      </w:r>
      <w:r w:rsidRPr="00513181">
        <w:rPr>
          <w:rFonts w:ascii="Times New Roman" w:hAnsi="Times New Roman" w:cs="Times New Roman"/>
          <w:i/>
          <w:iCs/>
        </w:rPr>
        <w:t xml:space="preserve">Variables </w:t>
      </w:r>
    </w:p>
    <w:p w14:paraId="44143BBE" w14:textId="7B70A9C5" w:rsidR="00EC02E5" w:rsidRPr="00513181" w:rsidRDefault="0053411D" w:rsidP="00DF7FDB">
      <w:pPr>
        <w:jc w:val="both"/>
        <w:rPr>
          <w:rFonts w:ascii="Times New Roman" w:hAnsi="Times New Roman" w:cs="Times New Roman"/>
        </w:rPr>
      </w:pPr>
      <w:r w:rsidRPr="00513181">
        <w:rPr>
          <w:rFonts w:ascii="Times New Roman" w:hAnsi="Times New Roman" w:cs="Times New Roman"/>
        </w:rPr>
        <w:t xml:space="preserve">This study evaluates corporate sustainable performance using ESG ratings from the JPX ESG Knowledge Hub, categorized into nine tiers based on various performance metrics. Following Lian et al. (2023), levels AAA, AA, A, B, and C are assigned to align with a numerical range from 9 to 1 for straightforward quantification. The independent variable, eco-friendly investors (EFI), is defined using a natural logarithm measurement by Barnea et al. (2005). Data on EFI is gathered through calculations and manual compilation from the Nikkei SDGs Management Survey, where funds invested in listed companies are matched with their investment scopes and objectives to identify sustainability-related terms. These terms indicate eco-friendly investors, while their absence suggests otherwise. Control variables, based on </w:t>
      </w:r>
      <w:proofErr w:type="spellStart"/>
      <w:r w:rsidRPr="00513181">
        <w:rPr>
          <w:rFonts w:ascii="Times New Roman" w:hAnsi="Times New Roman" w:cs="Times New Roman"/>
        </w:rPr>
        <w:t>Tsujimoto</w:t>
      </w:r>
      <w:proofErr w:type="spellEnd"/>
      <w:r w:rsidRPr="00513181">
        <w:rPr>
          <w:rFonts w:ascii="Times New Roman" w:hAnsi="Times New Roman" w:cs="Times New Roman"/>
        </w:rPr>
        <w:t xml:space="preserve"> (2019) and </w:t>
      </w:r>
      <w:proofErr w:type="spellStart"/>
      <w:r w:rsidRPr="00513181">
        <w:rPr>
          <w:rFonts w:ascii="Times New Roman" w:hAnsi="Times New Roman" w:cs="Times New Roman"/>
        </w:rPr>
        <w:t>Taghizadeh-Hesary</w:t>
      </w:r>
      <w:proofErr w:type="spellEnd"/>
      <w:r w:rsidRPr="00513181">
        <w:rPr>
          <w:rFonts w:ascii="Times New Roman" w:hAnsi="Times New Roman" w:cs="Times New Roman"/>
        </w:rPr>
        <w:t xml:space="preserve"> et al. (2022), include enterprise age, size, cash flow level, growth, debt level, board size, proportion of independent directors, </w:t>
      </w:r>
      <w:r w:rsidR="00902BFB" w:rsidRPr="00513181">
        <w:rPr>
          <w:rFonts w:ascii="Times New Roman" w:hAnsi="Times New Roman" w:cs="Times New Roman"/>
        </w:rPr>
        <w:t>ownership by the largest shareholders</w:t>
      </w:r>
      <w:r w:rsidRPr="00513181">
        <w:rPr>
          <w:rFonts w:ascii="Times New Roman" w:hAnsi="Times New Roman" w:cs="Times New Roman"/>
        </w:rPr>
        <w:t xml:space="preserve">, and </w:t>
      </w:r>
      <w:r w:rsidR="00902BFB" w:rsidRPr="00513181">
        <w:rPr>
          <w:rFonts w:ascii="Times New Roman" w:hAnsi="Times New Roman" w:cs="Times New Roman"/>
        </w:rPr>
        <w:t>net profit margin</w:t>
      </w:r>
      <w:r w:rsidRPr="00513181">
        <w:rPr>
          <w:rFonts w:ascii="Times New Roman" w:hAnsi="Times New Roman" w:cs="Times New Roman"/>
        </w:rPr>
        <w:t>. Definitions for these variables are provided in Table 1.</w:t>
      </w:r>
      <w:r w:rsidR="00654C0B" w:rsidRPr="00513181">
        <w:rPr>
          <w:rFonts w:ascii="Times New Roman" w:hAnsi="Times New Roman" w:cs="Times New Roman"/>
        </w:rPr>
        <w:t xml:space="preserve"> </w:t>
      </w:r>
    </w:p>
    <w:p w14:paraId="13E16747" w14:textId="00BC5638" w:rsidR="00EC02E5"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3.3. Descriptives </w:t>
      </w:r>
    </w:p>
    <w:p w14:paraId="202DBB65" w14:textId="5DA042E3" w:rsidR="00A56B82" w:rsidRPr="00513181" w:rsidRDefault="00A21375" w:rsidP="00DF7FDB">
      <w:pPr>
        <w:jc w:val="both"/>
        <w:rPr>
          <w:rFonts w:ascii="Times New Roman" w:hAnsi="Times New Roman" w:cs="Times New Roman"/>
        </w:rPr>
      </w:pPr>
      <w:r w:rsidRPr="00513181">
        <w:rPr>
          <w:rFonts w:ascii="Times New Roman" w:hAnsi="Times New Roman" w:cs="Times New Roman"/>
        </w:rPr>
        <w:t xml:space="preserve">Table 1 displays the descriptive data by variable. </w:t>
      </w:r>
      <w:r w:rsidR="00AB0458" w:rsidRPr="00513181">
        <w:rPr>
          <w:rFonts w:ascii="Times New Roman" w:hAnsi="Times New Roman" w:cs="Times New Roman"/>
        </w:rPr>
        <w:t>Corporate sustainable performance is evaluated</w:t>
      </w:r>
      <w:r w:rsidRPr="00513181">
        <w:rPr>
          <w:rFonts w:ascii="Times New Roman" w:hAnsi="Times New Roman" w:cs="Times New Roman"/>
        </w:rPr>
        <w:t xml:space="preserve"> on a low to high scale, specifically between one and six, yielding a median score of 3.8 and an SD value of 1.2.</w:t>
      </w:r>
      <w:r w:rsidR="00575791" w:rsidRPr="00513181">
        <w:rPr>
          <w:rFonts w:ascii="Times New Roman" w:hAnsi="Times New Roman" w:cs="Times New Roman"/>
        </w:rPr>
        <w:t xml:space="preserve"> Japan’s corporate sustainable performance is approximately at the B-BB level, indicating that it still requires development. However, sustainable performance is highly varied across firms. There is an average of 0.7 (maximum: 3.5, minimum: 0.0, median: 0.0, </w:t>
      </w:r>
      <w:r w:rsidR="00DF53AF" w:rsidRPr="00513181">
        <w:rPr>
          <w:rFonts w:ascii="Times New Roman" w:hAnsi="Times New Roman" w:cs="Times New Roman"/>
        </w:rPr>
        <w:t>an SD value</w:t>
      </w:r>
      <w:r w:rsidR="00575791" w:rsidRPr="00513181">
        <w:rPr>
          <w:rFonts w:ascii="Times New Roman" w:hAnsi="Times New Roman" w:cs="Times New Roman"/>
        </w:rPr>
        <w:t xml:space="preserve">: 0.9) eco-friendly investors per company, which can vary significantly. </w:t>
      </w:r>
    </w:p>
    <w:p w14:paraId="033788E6" w14:textId="4ECBE363" w:rsidR="00A56B82" w:rsidRPr="00513181" w:rsidRDefault="00654C0B" w:rsidP="00DF7FDB">
      <w:pPr>
        <w:jc w:val="both"/>
        <w:rPr>
          <w:rFonts w:ascii="Times New Roman" w:hAnsi="Times New Roman" w:cs="Times New Roman"/>
          <w:i/>
          <w:iCs/>
        </w:rPr>
      </w:pPr>
      <w:r w:rsidRPr="00513181">
        <w:rPr>
          <w:rFonts w:ascii="Times New Roman" w:hAnsi="Times New Roman" w:cs="Times New Roman"/>
          <w:i/>
          <w:iCs/>
        </w:rPr>
        <w:t xml:space="preserve">3.4. </w:t>
      </w:r>
      <w:r w:rsidR="00C14757" w:rsidRPr="00513181">
        <w:rPr>
          <w:rFonts w:ascii="Times New Roman" w:hAnsi="Times New Roman" w:cs="Times New Roman"/>
          <w:i/>
          <w:iCs/>
        </w:rPr>
        <w:t>Empirical Model</w:t>
      </w:r>
      <w:r w:rsidRPr="00513181">
        <w:rPr>
          <w:rFonts w:ascii="Times New Roman" w:hAnsi="Times New Roman" w:cs="Times New Roman"/>
          <w:i/>
          <w:iCs/>
        </w:rPr>
        <w:t xml:space="preserve"> </w:t>
      </w:r>
    </w:p>
    <w:p w14:paraId="7CD27FFD" w14:textId="151C95F2" w:rsidR="00C14757" w:rsidRPr="00513181" w:rsidRDefault="00C14757" w:rsidP="00C14757">
      <w:pPr>
        <w:jc w:val="both"/>
        <w:rPr>
          <w:rFonts w:ascii="Times New Roman" w:hAnsi="Times New Roman" w:cs="Times New Roman"/>
        </w:rPr>
      </w:pPr>
      <w:r w:rsidRPr="00513181">
        <w:rPr>
          <w:rFonts w:ascii="Times New Roman" w:hAnsi="Times New Roman" w:cs="Times New Roman"/>
        </w:rPr>
        <w:t xml:space="preserve">Researchers use the following benchmark regression to examine </w:t>
      </w:r>
      <w:r w:rsidR="0013711D" w:rsidRPr="00513181">
        <w:rPr>
          <w:rFonts w:ascii="Times New Roman" w:hAnsi="Times New Roman" w:cs="Times New Roman"/>
        </w:rPr>
        <w:t>the impact of eco-friendly investors on corporate sustainable performance</w:t>
      </w:r>
      <w:r w:rsidRPr="00513181">
        <w:rPr>
          <w:rFonts w:ascii="Times New Roman" w:hAnsi="Times New Roman" w:cs="Times New Roman"/>
        </w:rPr>
        <w:t>:</w:t>
      </w:r>
    </w:p>
    <w:p w14:paraId="673A7434" w14:textId="7EF7A06D" w:rsidR="00A56B82" w:rsidRPr="00513181" w:rsidRDefault="003D1FFD" w:rsidP="00C14757">
      <w:pPr>
        <w:jc w:val="both"/>
        <w:rPr>
          <w:rFonts w:ascii="Times New Roman" w:hAnsi="Times New Roman" w:cs="Times New Roman"/>
        </w:rPr>
      </w:pPr>
      <m:oMath>
        <m:sSub>
          <m:sSubPr>
            <m:ctrlPr>
              <w:rPr>
                <w:rFonts w:ascii="Cambria Math" w:hAnsi="Cambria Math" w:cs="Times New Roman"/>
                <w:i/>
                <w:iCs/>
              </w:rPr>
            </m:ctrlPr>
          </m:sSubPr>
          <m:e>
            <m:r>
              <w:rPr>
                <w:rFonts w:ascii="Cambria Math" w:hAnsi="Cambria Math" w:cs="Times New Roman"/>
              </w:rPr>
              <m:t>CSP</m:t>
            </m:r>
          </m:e>
          <m:sub>
            <m:r>
              <w:rPr>
                <w:rFonts w:ascii="Cambria Math" w:hAnsi="Cambria Math" w:cs="Times New Roman"/>
              </w:rPr>
              <m:t>i,t</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1</m:t>
            </m:r>
          </m:sub>
        </m:sSub>
        <m:sSub>
          <m:sSubPr>
            <m:ctrlPr>
              <w:rPr>
                <w:rFonts w:ascii="Cambria Math" w:hAnsi="Cambria Math" w:cs="Times New Roman"/>
                <w:i/>
                <w:iCs/>
              </w:rPr>
            </m:ctrlPr>
          </m:sSubPr>
          <m:e>
            <m:r>
              <w:rPr>
                <w:rFonts w:ascii="Cambria Math" w:hAnsi="Cambria Math" w:cs="Times New Roman"/>
              </w:rPr>
              <m:t>EFI</m:t>
            </m:r>
          </m:e>
          <m:sub>
            <m:r>
              <w:rPr>
                <w:rFonts w:ascii="Cambria Math" w:hAnsi="Cambria Math" w:cs="Times New Roman"/>
              </w:rPr>
              <m:t>i,t-1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2</m:t>
            </m:r>
          </m:sub>
        </m:sSub>
        <m:sSub>
          <m:sSubPr>
            <m:ctrlPr>
              <w:rPr>
                <w:rFonts w:ascii="Cambria Math" w:hAnsi="Cambria Math" w:cs="Times New Roman"/>
                <w:i/>
                <w:iCs/>
              </w:rPr>
            </m:ctrlPr>
          </m:sSubPr>
          <m:e>
            <m:r>
              <w:rPr>
                <w:rFonts w:ascii="Cambria Math" w:hAnsi="Cambria Math" w:cs="Times New Roman"/>
              </w:rPr>
              <m:t>Controls</m:t>
            </m:r>
          </m:e>
          <m:sub>
            <m:r>
              <w:rPr>
                <w:rFonts w:ascii="Cambria Math" w:hAnsi="Cambria Math" w:cs="Times New Roman"/>
              </w:rPr>
              <m:t>i,t-1</m:t>
            </m:r>
          </m:sub>
        </m:sSub>
        <m:r>
          <w:rPr>
            <w:rFonts w:ascii="Cambria Math" w:hAnsi="Cambria Math" w:cs="Times New Roman"/>
          </w:rPr>
          <m:t>+</m:t>
        </m:r>
        <m:nary>
          <m:naryPr>
            <m:chr m:val="∑"/>
            <m:limLoc m:val="undOvr"/>
            <m:subHide m:val="1"/>
            <m:supHide m:val="1"/>
            <m:ctrlPr>
              <w:rPr>
                <w:rFonts w:ascii="Cambria Math" w:hAnsi="Cambria Math" w:cs="Times New Roman"/>
                <w:i/>
              </w:rPr>
            </m:ctrlPr>
          </m:naryPr>
          <m:sub/>
          <m:sup/>
          <m:e>
            <m:r>
              <w:rPr>
                <w:rFonts w:ascii="Cambria Math" w:hAnsi="Cambria Math" w:cs="Times New Roman"/>
              </w:rPr>
              <m:t>Years</m:t>
            </m:r>
          </m:e>
        </m:nary>
        <m:r>
          <w:rPr>
            <w:rFonts w:ascii="Cambria Math" w:hAnsi="Cambria Math" w:cs="Times New Roman"/>
          </w:rPr>
          <m:t xml:space="preserve"> +</m:t>
        </m:r>
        <m:nary>
          <m:naryPr>
            <m:chr m:val="∑"/>
            <m:limLoc m:val="undOvr"/>
            <m:subHide m:val="1"/>
            <m:supHide m:val="1"/>
            <m:ctrlPr>
              <w:rPr>
                <w:rFonts w:ascii="Cambria Math" w:hAnsi="Cambria Math" w:cs="Times New Roman"/>
                <w:i/>
              </w:rPr>
            </m:ctrlPr>
          </m:naryPr>
          <m:sub/>
          <m:sup/>
          <m:e>
            <m:r>
              <w:rPr>
                <w:rFonts w:ascii="Cambria Math" w:hAnsi="Cambria Math" w:cs="Times New Roman"/>
              </w:rPr>
              <m:t>sector</m:t>
            </m:r>
          </m:e>
        </m:nary>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 xml:space="preserve"> </m:t>
        </m:r>
      </m:oMath>
      <w:r w:rsidR="00AB771B" w:rsidRPr="00513181">
        <w:rPr>
          <w:rFonts w:ascii="Times New Roman" w:hAnsi="Times New Roman" w:cs="Times New Roman"/>
        </w:rPr>
        <w:t>(1)</w:t>
      </w:r>
    </w:p>
    <w:p w14:paraId="4F01FB1B" w14:textId="2B4C8295" w:rsidR="00654C0B" w:rsidRPr="00513181" w:rsidRDefault="00C14757" w:rsidP="00DF7FDB">
      <w:pPr>
        <w:jc w:val="both"/>
        <w:rPr>
          <w:rFonts w:ascii="Times New Roman" w:hAnsi="Times New Roman" w:cs="Times New Roman"/>
        </w:rPr>
      </w:pPr>
      <w:r w:rsidRPr="00513181">
        <w:rPr>
          <w:rFonts w:ascii="Times New Roman" w:hAnsi="Times New Roman" w:cs="Times New Roman"/>
        </w:rPr>
        <w:t>In this regression equation, the dependent variable (\</w:t>
      </w:r>
      <w:proofErr w:type="gramStart"/>
      <w:r w:rsidRPr="00513181">
        <w:rPr>
          <w:rFonts w:ascii="Times New Roman" w:hAnsi="Times New Roman" w:cs="Times New Roman"/>
        </w:rPr>
        <w:t>text{</w:t>
      </w:r>
      <w:proofErr w:type="gramEnd"/>
      <w:r w:rsidRPr="00513181">
        <w:rPr>
          <w:rFonts w:ascii="Times New Roman" w:hAnsi="Times New Roman" w:cs="Times New Roman"/>
        </w:rPr>
        <w:t>CSP}{</w:t>
      </w:r>
      <w:proofErr w:type="spellStart"/>
      <w:r w:rsidRPr="00513181">
        <w:rPr>
          <w:rFonts w:ascii="Times New Roman" w:hAnsi="Times New Roman" w:cs="Times New Roman"/>
        </w:rPr>
        <w:t>i,t</w:t>
      </w:r>
      <w:proofErr w:type="spellEnd"/>
      <w:r w:rsidRPr="00513181">
        <w:rPr>
          <w:rFonts w:ascii="Times New Roman" w:hAnsi="Times New Roman" w:cs="Times New Roman"/>
        </w:rPr>
        <w:t xml:space="preserve">}) </w:t>
      </w:r>
      <w:r w:rsidR="00441D2B" w:rsidRPr="00513181">
        <w:rPr>
          <w:rFonts w:ascii="Times New Roman" w:hAnsi="Times New Roman" w:cs="Times New Roman"/>
        </w:rPr>
        <w:t>denotes</w:t>
      </w:r>
      <w:r w:rsidRPr="00513181">
        <w:rPr>
          <w:rFonts w:ascii="Times New Roman" w:hAnsi="Times New Roman" w:cs="Times New Roman"/>
        </w:rPr>
        <w:t xml:space="preserve"> the sustainable </w:t>
      </w:r>
      <w:r w:rsidR="00441D2B" w:rsidRPr="00513181">
        <w:rPr>
          <w:rFonts w:ascii="Times New Roman" w:hAnsi="Times New Roman" w:cs="Times New Roman"/>
        </w:rPr>
        <w:t xml:space="preserve">corporate </w:t>
      </w:r>
      <w:r w:rsidRPr="00513181">
        <w:rPr>
          <w:rFonts w:ascii="Times New Roman" w:hAnsi="Times New Roman" w:cs="Times New Roman"/>
        </w:rPr>
        <w:t>performance of the firm (</w:t>
      </w:r>
      <w:proofErr w:type="spellStart"/>
      <w:r w:rsidRPr="00513181">
        <w:rPr>
          <w:rFonts w:ascii="Times New Roman" w:hAnsi="Times New Roman" w:cs="Times New Roman"/>
        </w:rPr>
        <w:t>i</w:t>
      </w:r>
      <w:proofErr w:type="spellEnd"/>
      <w:r w:rsidRPr="00513181">
        <w:rPr>
          <w:rFonts w:ascii="Times New Roman" w:hAnsi="Times New Roman" w:cs="Times New Roman"/>
        </w:rPr>
        <w:t>) in the year (t). The explanatory variable (\</w:t>
      </w:r>
      <w:proofErr w:type="gramStart"/>
      <w:r w:rsidRPr="00513181">
        <w:rPr>
          <w:rFonts w:ascii="Times New Roman" w:hAnsi="Times New Roman" w:cs="Times New Roman"/>
        </w:rPr>
        <w:t>text{</w:t>
      </w:r>
      <w:proofErr w:type="gramEnd"/>
      <w:r w:rsidRPr="00513181">
        <w:rPr>
          <w:rFonts w:ascii="Times New Roman" w:hAnsi="Times New Roman" w:cs="Times New Roman"/>
        </w:rPr>
        <w:t>EFI}{i,t-1}) indicates the number of eco-friendly investors in firm (</w:t>
      </w:r>
      <w:proofErr w:type="spellStart"/>
      <w:r w:rsidRPr="00513181">
        <w:rPr>
          <w:rFonts w:ascii="Times New Roman" w:hAnsi="Times New Roman" w:cs="Times New Roman"/>
        </w:rPr>
        <w:t>i</w:t>
      </w:r>
      <w:proofErr w:type="spellEnd"/>
      <w:r w:rsidRPr="00513181">
        <w:rPr>
          <w:rFonts w:ascii="Times New Roman" w:hAnsi="Times New Roman" w:cs="Times New Roman"/>
        </w:rPr>
        <w:t>) during the previous year (t-1). Furthermore, (\</w:t>
      </w:r>
      <w:proofErr w:type="gramStart"/>
      <w:r w:rsidRPr="00513181">
        <w:rPr>
          <w:rFonts w:ascii="Times New Roman" w:hAnsi="Times New Roman" w:cs="Times New Roman"/>
        </w:rPr>
        <w:t>text{</w:t>
      </w:r>
      <w:proofErr w:type="gramEnd"/>
      <w:r w:rsidRPr="00513181">
        <w:rPr>
          <w:rFonts w:ascii="Times New Roman" w:hAnsi="Times New Roman" w:cs="Times New Roman"/>
        </w:rPr>
        <w:t xml:space="preserve">Controls}{i,t-1}) encompasses all control variables for the prior year, as </w:t>
      </w:r>
      <w:r w:rsidRPr="00513181">
        <w:rPr>
          <w:rFonts w:ascii="Times New Roman" w:hAnsi="Times New Roman" w:cs="Times New Roman"/>
        </w:rPr>
        <w:lastRenderedPageBreak/>
        <w:t>detailed in Table 1. The term (\epsilon{</w:t>
      </w:r>
      <w:proofErr w:type="spellStart"/>
      <w:proofErr w:type="gramStart"/>
      <w:r w:rsidRPr="00513181">
        <w:rPr>
          <w:rFonts w:ascii="Times New Roman" w:hAnsi="Times New Roman" w:cs="Times New Roman"/>
        </w:rPr>
        <w:t>i,t</w:t>
      </w:r>
      <w:proofErr w:type="spellEnd"/>
      <w:proofErr w:type="gramEnd"/>
      <w:r w:rsidRPr="00513181">
        <w:rPr>
          <w:rFonts w:ascii="Times New Roman" w:hAnsi="Times New Roman" w:cs="Times New Roman"/>
        </w:rPr>
        <w:t>}) captures the regression error, while (\alpha_0) is the constant term. This analysis includes both annual fixed effects (\Sigma \</w:t>
      </w:r>
      <w:proofErr w:type="gramStart"/>
      <w:r w:rsidRPr="00513181">
        <w:rPr>
          <w:rFonts w:ascii="Times New Roman" w:hAnsi="Times New Roman" w:cs="Times New Roman"/>
        </w:rPr>
        <w:t>text{</w:t>
      </w:r>
      <w:proofErr w:type="gramEnd"/>
      <w:r w:rsidRPr="00513181">
        <w:rPr>
          <w:rFonts w:ascii="Times New Roman" w:hAnsi="Times New Roman" w:cs="Times New Roman"/>
        </w:rPr>
        <w:t>Years}) and sectoral fixed effects (\Sigma \text{Sector}), with standard errors clustered by the enterprise</w:t>
      </w:r>
      <w:r w:rsidR="00575791" w:rsidRPr="00513181">
        <w:rPr>
          <w:rFonts w:ascii="Times New Roman" w:hAnsi="Times New Roman" w:cs="Times New Roman"/>
        </w:rPr>
        <w:t xml:space="preserve">.  </w:t>
      </w:r>
    </w:p>
    <w:p w14:paraId="7B04B9C8" w14:textId="0D8BF5E9" w:rsidR="004F6A68" w:rsidRPr="00513181" w:rsidRDefault="00E47084" w:rsidP="00DF7FDB">
      <w:pPr>
        <w:jc w:val="both"/>
        <w:rPr>
          <w:rFonts w:ascii="Times New Roman" w:hAnsi="Times New Roman" w:cs="Times New Roman"/>
          <w:b/>
          <w:bCs/>
        </w:rPr>
      </w:pPr>
      <w:r w:rsidRPr="00513181">
        <w:rPr>
          <w:rFonts w:ascii="Times New Roman" w:hAnsi="Times New Roman" w:cs="Times New Roman"/>
          <w:b/>
          <w:bCs/>
        </w:rPr>
        <w:t xml:space="preserve">4. </w:t>
      </w:r>
      <w:r w:rsidR="00137AF4" w:rsidRPr="00513181">
        <w:rPr>
          <w:rFonts w:ascii="Times New Roman" w:hAnsi="Times New Roman" w:cs="Times New Roman"/>
          <w:b/>
          <w:bCs/>
        </w:rPr>
        <w:t>Results</w:t>
      </w:r>
      <w:r w:rsidRPr="00513181">
        <w:rPr>
          <w:rFonts w:ascii="Times New Roman" w:hAnsi="Times New Roman" w:cs="Times New Roman"/>
          <w:b/>
          <w:bCs/>
        </w:rPr>
        <w:t xml:space="preserve"> </w:t>
      </w:r>
    </w:p>
    <w:p w14:paraId="71606B38" w14:textId="2CB8EDBC" w:rsidR="004F6A68" w:rsidRPr="00513181" w:rsidRDefault="00E47084" w:rsidP="00DF7FDB">
      <w:pPr>
        <w:jc w:val="both"/>
        <w:rPr>
          <w:rFonts w:ascii="Times New Roman" w:hAnsi="Times New Roman" w:cs="Times New Roman"/>
          <w:i/>
          <w:iCs/>
        </w:rPr>
      </w:pPr>
      <w:r w:rsidRPr="00513181">
        <w:rPr>
          <w:rFonts w:ascii="Times New Roman" w:hAnsi="Times New Roman" w:cs="Times New Roman"/>
          <w:i/>
          <w:iCs/>
        </w:rPr>
        <w:t xml:space="preserve">4.1. </w:t>
      </w:r>
      <w:r w:rsidR="00185160" w:rsidRPr="00513181">
        <w:rPr>
          <w:rFonts w:ascii="Times New Roman" w:hAnsi="Times New Roman" w:cs="Times New Roman"/>
          <w:i/>
          <w:iCs/>
        </w:rPr>
        <w:t>R</w:t>
      </w:r>
      <w:r w:rsidRPr="00513181">
        <w:rPr>
          <w:rFonts w:ascii="Times New Roman" w:hAnsi="Times New Roman" w:cs="Times New Roman"/>
          <w:i/>
          <w:iCs/>
        </w:rPr>
        <w:t xml:space="preserve">egression </w:t>
      </w:r>
      <w:r w:rsidR="00185160" w:rsidRPr="00513181">
        <w:rPr>
          <w:rFonts w:ascii="Times New Roman" w:hAnsi="Times New Roman" w:cs="Times New Roman"/>
          <w:i/>
          <w:iCs/>
        </w:rPr>
        <w:t>Analysis</w:t>
      </w:r>
    </w:p>
    <w:p w14:paraId="018D978C" w14:textId="656736A4" w:rsidR="00E47084" w:rsidRDefault="00AB0458" w:rsidP="00DF7FDB">
      <w:pPr>
        <w:jc w:val="both"/>
        <w:rPr>
          <w:rFonts w:ascii="Times New Roman" w:hAnsi="Times New Roman" w:cs="Times New Roman"/>
        </w:rPr>
      </w:pPr>
      <w:r w:rsidRPr="00513181">
        <w:rPr>
          <w:rFonts w:ascii="Times New Roman" w:hAnsi="Times New Roman" w:cs="Times New Roman"/>
        </w:rPr>
        <w:t xml:space="preserve">The study uses model (1) to conduct a benchmark analysis, </w:t>
      </w:r>
      <w:r w:rsidR="00E15031" w:rsidRPr="00513181">
        <w:rPr>
          <w:rFonts w:ascii="Times New Roman" w:hAnsi="Times New Roman" w:cs="Times New Roman"/>
        </w:rPr>
        <w:t xml:space="preserve">using a </w:t>
      </w:r>
      <w:r w:rsidR="00703E40" w:rsidRPr="00513181">
        <w:rPr>
          <w:rFonts w:ascii="Times New Roman" w:hAnsi="Times New Roman" w:cs="Times New Roman"/>
        </w:rPr>
        <w:t>one-time lag</w:t>
      </w:r>
      <w:r w:rsidR="00E15031" w:rsidRPr="00513181">
        <w:rPr>
          <w:rFonts w:ascii="Times New Roman" w:hAnsi="Times New Roman" w:cs="Times New Roman"/>
        </w:rPr>
        <w:t xml:space="preserve"> for EFI and additional control variables to investigate how </w:t>
      </w:r>
      <w:r w:rsidR="00FB7469" w:rsidRPr="00513181">
        <w:rPr>
          <w:rFonts w:ascii="Times New Roman" w:hAnsi="Times New Roman" w:cs="Times New Roman"/>
        </w:rPr>
        <w:t>eco-friendly</w:t>
      </w:r>
      <w:r w:rsidR="00E15031" w:rsidRPr="00513181">
        <w:rPr>
          <w:rFonts w:ascii="Times New Roman" w:hAnsi="Times New Roman" w:cs="Times New Roman"/>
        </w:rPr>
        <w:t xml:space="preserve"> investors affect sustainable </w:t>
      </w:r>
      <w:r w:rsidR="00FB7469" w:rsidRPr="00513181">
        <w:rPr>
          <w:rFonts w:ascii="Times New Roman" w:hAnsi="Times New Roman" w:cs="Times New Roman"/>
        </w:rPr>
        <w:t xml:space="preserve">corporate </w:t>
      </w:r>
      <w:r w:rsidR="00E15031" w:rsidRPr="00513181">
        <w:rPr>
          <w:rFonts w:ascii="Times New Roman" w:hAnsi="Times New Roman" w:cs="Times New Roman"/>
        </w:rPr>
        <w:t>performance.</w:t>
      </w:r>
      <w:r w:rsidRPr="00513181">
        <w:rPr>
          <w:rFonts w:ascii="Times New Roman" w:hAnsi="Times New Roman" w:cs="Times New Roman"/>
        </w:rPr>
        <w:t xml:space="preserve"> </w:t>
      </w:r>
      <w:r w:rsidR="005E4C17" w:rsidRPr="00513181">
        <w:rPr>
          <w:rFonts w:ascii="Times New Roman" w:hAnsi="Times New Roman" w:cs="Times New Roman"/>
        </w:rPr>
        <w:t>The findings are displayed in Table 2, where the first and second columns assess the impact of eco-friendly investors on sustainable corporate performance with and without control variables.</w:t>
      </w:r>
      <w:r w:rsidRPr="00513181">
        <w:rPr>
          <w:rFonts w:ascii="Times New Roman" w:hAnsi="Times New Roman" w:cs="Times New Roman"/>
        </w:rPr>
        <w:t xml:space="preserve"> </w:t>
      </w:r>
      <w:r w:rsidR="00EB633B" w:rsidRPr="00513181">
        <w:rPr>
          <w:rFonts w:ascii="Times New Roman" w:hAnsi="Times New Roman" w:cs="Times New Roman"/>
        </w:rPr>
        <w:t>The coefficient for eco-friendly investors in the first column is 0.275, which is significant at the one percent level and shows that eco-friendly investors improve sustainable performance.</w:t>
      </w:r>
      <w:r w:rsidRPr="00513181">
        <w:rPr>
          <w:rFonts w:ascii="Times New Roman" w:hAnsi="Times New Roman" w:cs="Times New Roman"/>
        </w:rPr>
        <w:t xml:space="preserve"> In the second column, including control variables, the coefficient remains positive and significant (0.085, p&lt;0.01), confirming that eco-friendly investors significantly improve corporate sustainability outcomes, even when accounting for additional variables (</w:t>
      </w:r>
      <w:r w:rsidR="00F220A3" w:rsidRPr="00513181">
        <w:rPr>
          <w:rFonts w:ascii="Times New Roman" w:hAnsi="Times New Roman" w:cs="Times New Roman"/>
        </w:rPr>
        <w:t xml:space="preserve">Pérez </w:t>
      </w:r>
      <w:proofErr w:type="spellStart"/>
      <w:r w:rsidR="00F220A3" w:rsidRPr="00513181">
        <w:rPr>
          <w:rFonts w:ascii="Times New Roman" w:hAnsi="Times New Roman" w:cs="Times New Roman"/>
        </w:rPr>
        <w:t>Estébanez</w:t>
      </w:r>
      <w:proofErr w:type="spellEnd"/>
      <w:r w:rsidR="00F220A3" w:rsidRPr="00513181">
        <w:rPr>
          <w:rFonts w:ascii="Times New Roman" w:hAnsi="Times New Roman" w:cs="Times New Roman"/>
        </w:rPr>
        <w:t xml:space="preserve"> &amp; </w:t>
      </w:r>
      <w:proofErr w:type="spellStart"/>
      <w:r w:rsidR="00F220A3" w:rsidRPr="00513181">
        <w:rPr>
          <w:rFonts w:ascii="Times New Roman" w:hAnsi="Times New Roman" w:cs="Times New Roman"/>
        </w:rPr>
        <w:t>Sevillano</w:t>
      </w:r>
      <w:proofErr w:type="spellEnd"/>
      <w:r w:rsidR="00F220A3" w:rsidRPr="00513181">
        <w:rPr>
          <w:rFonts w:ascii="Times New Roman" w:hAnsi="Times New Roman" w:cs="Times New Roman"/>
        </w:rPr>
        <w:t xml:space="preserve"> Martín, 2025</w:t>
      </w:r>
      <w:r w:rsidRPr="00513181">
        <w:rPr>
          <w:rFonts w:ascii="Times New Roman" w:hAnsi="Times New Roman" w:cs="Times New Roman"/>
        </w:rPr>
        <w:t>)</w:t>
      </w:r>
      <w:r w:rsidR="00E74D60" w:rsidRPr="00513181">
        <w:rPr>
          <w:rFonts w:ascii="Times New Roman" w:hAnsi="Times New Roman" w:cs="Times New Roman"/>
        </w:rPr>
        <w:t>.</w:t>
      </w:r>
    </w:p>
    <w:p w14:paraId="59C6CC64" w14:textId="77777777" w:rsidR="004117AA" w:rsidRDefault="004117AA" w:rsidP="00DF7FDB">
      <w:pPr>
        <w:jc w:val="both"/>
        <w:rPr>
          <w:rFonts w:ascii="Times New Roman" w:hAnsi="Times New Roman" w:cs="Times New Roman"/>
        </w:rPr>
      </w:pPr>
    </w:p>
    <w:p w14:paraId="0DA8CD26" w14:textId="3E8B1BCE" w:rsidR="004117AA" w:rsidRPr="00E7228D" w:rsidRDefault="004117AA" w:rsidP="00DF7FDB">
      <w:pPr>
        <w:jc w:val="both"/>
        <w:rPr>
          <w:rFonts w:ascii="Times New Roman" w:hAnsi="Times New Roman" w:cs="Times New Roman"/>
          <w:b/>
        </w:rPr>
      </w:pPr>
      <w:r w:rsidRPr="004117AA">
        <w:rPr>
          <w:rFonts w:ascii="Times New Roman" w:hAnsi="Times New Roman" w:cs="Times New Roman"/>
        </w:rPr>
        <w:t xml:space="preserve">Table </w:t>
      </w:r>
      <w:r>
        <w:rPr>
          <w:rFonts w:ascii="Times New Roman" w:hAnsi="Times New Roman" w:cs="Times New Roman"/>
        </w:rPr>
        <w:t>1</w:t>
      </w:r>
      <w:r w:rsidRPr="004117AA">
        <w:rPr>
          <w:rFonts w:ascii="Times New Roman" w:hAnsi="Times New Roman" w:cs="Times New Roman"/>
        </w:rPr>
        <w:t>.</w:t>
      </w:r>
      <w:r w:rsidR="00E7228D">
        <w:rPr>
          <w:rFonts w:ascii="Times New Roman" w:hAnsi="Times New Roman" w:cs="Times New Roman"/>
        </w:rPr>
        <w:t xml:space="preserve"> D</w:t>
      </w:r>
      <w:r w:rsidR="00E7228D" w:rsidRPr="00E7228D">
        <w:rPr>
          <w:rFonts w:ascii="Times New Roman" w:hAnsi="Times New Roman" w:cs="Times New Roman"/>
        </w:rPr>
        <w:t>escriptive data by variable</w:t>
      </w:r>
    </w:p>
    <w:tbl>
      <w:tblPr>
        <w:tblW w:w="9554" w:type="dxa"/>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205"/>
        <w:gridCol w:w="1397"/>
        <w:gridCol w:w="688"/>
        <w:gridCol w:w="535"/>
        <w:gridCol w:w="872"/>
        <w:gridCol w:w="675"/>
        <w:gridCol w:w="578"/>
        <w:gridCol w:w="3604"/>
      </w:tblGrid>
      <w:tr w:rsidR="00E47084" w:rsidRPr="00513181" w14:paraId="18A8C9E9" w14:textId="77777777" w:rsidTr="00C5578B">
        <w:trPr>
          <w:trHeight w:val="393"/>
          <w:tblHeader/>
        </w:trPr>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0533551" w14:textId="6FD5C52C" w:rsidR="00E47084" w:rsidRPr="00513181" w:rsidRDefault="00EB21FB"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331416A" w14:textId="0E2C7B26"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Obs</w:t>
            </w:r>
            <w:r w:rsidR="00EB21FB" w:rsidRPr="00513181">
              <w:rPr>
                <w:rFonts w:ascii="Times New Roman" w:hAnsi="Times New Roman" w:cs="Times New Roman"/>
                <w:b/>
                <w:bCs/>
                <w:sz w:val="22"/>
                <w:szCs w:val="22"/>
              </w:rPr>
              <w:t>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A742F2"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Mean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C003AD" w14:textId="6838030F"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S</w:t>
            </w:r>
            <w:r w:rsidR="00EB21FB" w:rsidRPr="00513181">
              <w:rPr>
                <w:rFonts w:ascii="Times New Roman" w:hAnsi="Times New Roman" w:cs="Times New Roman"/>
                <w:b/>
                <w:bCs/>
                <w:sz w:val="22"/>
                <w:szCs w:val="22"/>
              </w:rPr>
              <w:t>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59D272"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Median</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FEB4E01"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Min</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11C8077" w14:textId="77777777"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Max</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D7911B3" w14:textId="6BE5CD40" w:rsidR="00E47084" w:rsidRPr="00513181" w:rsidRDefault="00E47084" w:rsidP="00E47084">
            <w:pPr>
              <w:jc w:val="both"/>
              <w:rPr>
                <w:rFonts w:ascii="Times New Roman" w:hAnsi="Times New Roman" w:cs="Times New Roman"/>
                <w:b/>
                <w:bCs/>
                <w:sz w:val="22"/>
                <w:szCs w:val="22"/>
              </w:rPr>
            </w:pPr>
            <w:r w:rsidRPr="00513181">
              <w:rPr>
                <w:rFonts w:ascii="Times New Roman" w:hAnsi="Times New Roman" w:cs="Times New Roman"/>
                <w:b/>
                <w:bCs/>
                <w:sz w:val="22"/>
                <w:szCs w:val="22"/>
              </w:rPr>
              <w:t>Definition</w:t>
            </w:r>
            <w:r w:rsidR="00EB21FB" w:rsidRPr="00513181">
              <w:rPr>
                <w:rFonts w:ascii="Times New Roman" w:hAnsi="Times New Roman" w:cs="Times New Roman"/>
                <w:b/>
                <w:bCs/>
                <w:sz w:val="22"/>
                <w:szCs w:val="22"/>
              </w:rPr>
              <w:t>s</w:t>
            </w:r>
          </w:p>
        </w:tc>
      </w:tr>
      <w:tr w:rsidR="00E47084" w:rsidRPr="00513181" w14:paraId="241C7F17"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56A6D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D4C677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72A31B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3.8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C34D6C"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7DE46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4.0</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3B017C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58D681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6.0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CDF0DAD" w14:textId="48D36DA3"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Corporate sustainable performance ratings are assigned values between 1 and 9, indicating the level of performance assessed.</w:t>
            </w:r>
          </w:p>
        </w:tc>
      </w:tr>
      <w:tr w:rsidR="00E47084" w:rsidRPr="00513181" w14:paraId="5105CCDF"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4455A4"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966E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2AB87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F4826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0.9</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E3A9D73"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B7394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51DB70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3.5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0037E01" w14:textId="51BF6F8C"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Natural log of the number of eco-friendly investors</w:t>
            </w:r>
          </w:p>
        </w:tc>
      </w:tr>
      <w:tr w:rsidR="00E47084" w:rsidRPr="00513181" w14:paraId="2AAB5549"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6915F0D" w14:textId="65CF2DAB" w:rsidR="00E47084" w:rsidRPr="00513181" w:rsidRDefault="00EB21FB" w:rsidP="00E47084">
            <w:pPr>
              <w:jc w:val="both"/>
              <w:rPr>
                <w:rFonts w:ascii="Times New Roman" w:hAnsi="Times New Roman" w:cs="Times New Roman"/>
                <w:sz w:val="22"/>
                <w:szCs w:val="22"/>
              </w:rPr>
            </w:pPr>
            <w:r w:rsidRPr="00513181">
              <w:rPr>
                <w:rFonts w:ascii="Times New Roman" w:hAnsi="Times New Roman" w:cs="Times New Roman"/>
                <w:sz w:val="22"/>
                <w:szCs w:val="22"/>
              </w:rPr>
              <w:t xml:space="preserve">Firm </w:t>
            </w:r>
            <w:r w:rsidR="00E47084" w:rsidRPr="00513181">
              <w:rPr>
                <w:rFonts w:ascii="Times New Roman" w:hAnsi="Times New Roman" w:cs="Times New Roman"/>
                <w:sz w:val="22"/>
                <w:szCs w:val="22"/>
              </w:rPr>
              <w:t>Size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F85FF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869CA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22.3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734EB1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2AC5B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22.1</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EEDAF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19.9</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52EA0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26.2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E90680" w14:textId="38272E85"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The log of the total assets</w:t>
            </w:r>
          </w:p>
        </w:tc>
      </w:tr>
      <w:tr w:rsidR="00E47084" w:rsidRPr="00513181" w14:paraId="581E3948"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F3A3DF" w14:textId="286CB067" w:rsidR="00E47084" w:rsidRPr="00513181" w:rsidRDefault="00EB21FB" w:rsidP="00E47084">
            <w:pPr>
              <w:jc w:val="both"/>
              <w:rPr>
                <w:rFonts w:ascii="Times New Roman" w:hAnsi="Times New Roman" w:cs="Times New Roman"/>
                <w:sz w:val="22"/>
                <w:szCs w:val="22"/>
              </w:rPr>
            </w:pPr>
            <w:r w:rsidRPr="00513181">
              <w:rPr>
                <w:rFonts w:ascii="Times New Roman" w:hAnsi="Times New Roman" w:cs="Times New Roman"/>
                <w:sz w:val="22"/>
                <w:szCs w:val="22"/>
              </w:rPr>
              <w:t xml:space="preserve">Firm </w:t>
            </w:r>
            <w:r w:rsidR="00E47084" w:rsidRPr="00513181">
              <w:rPr>
                <w:rFonts w:ascii="Times New Roman" w:hAnsi="Times New Roman" w:cs="Times New Roman"/>
                <w:sz w:val="22"/>
                <w:szCs w:val="22"/>
              </w:rPr>
              <w:t>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2E2470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CBA70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D4201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CE117E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2.8</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5F068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28A74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3.5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B4D361" w14:textId="788DDC8A"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Natural log of a business's establishment duration</w:t>
            </w:r>
          </w:p>
        </w:tc>
      </w:tr>
      <w:tr w:rsidR="00E47084" w:rsidRPr="00513181" w14:paraId="1C4D7CA8"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88618A" w14:textId="6C029F1B"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Lev</w:t>
            </w:r>
            <w:r w:rsidR="00EB21FB" w:rsidRPr="00513181">
              <w:rPr>
                <w:rFonts w:ascii="Times New Roman" w:hAnsi="Times New Roman" w:cs="Times New Roman"/>
                <w:sz w:val="22"/>
                <w:szCs w:val="22"/>
              </w:rPr>
              <w:t>erage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D12B19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32D7A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86E7C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0.20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07657D2"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0.41</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713D24D"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77CAF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0.84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B203ED" w14:textId="3EE29D42"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The proportion of overall liabilities to overall assets</w:t>
            </w:r>
          </w:p>
        </w:tc>
      </w:tr>
      <w:tr w:rsidR="00E47084" w:rsidRPr="00513181" w14:paraId="151E32D5"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3B3FF89" w14:textId="15EB170A"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Cash</w:t>
            </w:r>
            <w:r w:rsidR="00EB21FB" w:rsidRPr="00513181">
              <w:rPr>
                <w:rFonts w:ascii="Times New Roman" w:hAnsi="Times New Roman" w:cs="Times New Roman"/>
                <w:sz w:val="22"/>
                <w:szCs w:val="22"/>
              </w:rPr>
              <w:t>flow</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5F280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90492C"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53FDA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F36628D"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6FC39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AF682D"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0.25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3C448A" w14:textId="389F0149"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Net cash flow generated from operational activities relative to total assets</w:t>
            </w:r>
          </w:p>
        </w:tc>
      </w:tr>
      <w:tr w:rsidR="00E47084" w:rsidRPr="00513181" w14:paraId="5A310342"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90E0E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lastRenderedPageBreak/>
              <w:t>Growth</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B1101B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67BB6B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31DD0F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E673F1"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0.13</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8FAA0B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-0.47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1F4873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1.77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F410B0" w14:textId="62229B2C"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Growth rate of operating income this year compared to the previous year</w:t>
            </w:r>
          </w:p>
        </w:tc>
      </w:tr>
      <w:tr w:rsidR="00E47084" w:rsidRPr="00513181" w14:paraId="775340BA"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556EB39"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ROA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8AA0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4C9F4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587584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53AFB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0.04</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9897B7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A52589A"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0.21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1DD3CD" w14:textId="30BCCC8B"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The proportion of net profit relative to the average total assets</w:t>
            </w:r>
          </w:p>
        </w:tc>
      </w:tr>
      <w:tr w:rsidR="00E47084" w:rsidRPr="00513181" w14:paraId="4DE96818"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E716EE" w14:textId="7E3F8E16"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Top</w:t>
            </w:r>
            <w:r w:rsidR="00C5578B" w:rsidRPr="00513181">
              <w:rPr>
                <w:rFonts w:ascii="Times New Roman" w:hAnsi="Times New Roman" w:cs="Times New Roman"/>
                <w:sz w:val="22"/>
                <w:szCs w:val="22"/>
              </w:rPr>
              <w:t>-</w:t>
            </w:r>
            <w:r w:rsidRPr="00513181">
              <w:rPr>
                <w:rFonts w:ascii="Times New Roman" w:hAnsi="Times New Roman" w:cs="Times New Roman"/>
                <w:sz w:val="22"/>
                <w:szCs w:val="22"/>
              </w:rPr>
              <w:t>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F678FEF"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309BE1B"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CEFC6E"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0.15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B6F41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7BEA797"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0.09</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301D28"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0.75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8DB3E14" w14:textId="377537F0"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 xml:space="preserve">The percentage of shares owned by the </w:t>
            </w:r>
            <w:r w:rsidR="003B1B65" w:rsidRPr="00513181">
              <w:rPr>
                <w:rFonts w:ascii="Times New Roman" w:hAnsi="Times New Roman" w:cs="Times New Roman"/>
                <w:sz w:val="22"/>
                <w:szCs w:val="22"/>
              </w:rPr>
              <w:t>most significant</w:t>
            </w:r>
            <w:r w:rsidRPr="00513181">
              <w:rPr>
                <w:rFonts w:ascii="Times New Roman" w:hAnsi="Times New Roman" w:cs="Times New Roman"/>
                <w:sz w:val="22"/>
                <w:szCs w:val="22"/>
              </w:rPr>
              <w:t xml:space="preserve"> stakeholder</w:t>
            </w:r>
          </w:p>
        </w:tc>
      </w:tr>
      <w:tr w:rsidR="00E47084" w:rsidRPr="00513181" w14:paraId="05FAA5EA"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4B50F7" w14:textId="38189958"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Board</w:t>
            </w:r>
            <w:r w:rsidR="00EB21FB" w:rsidRPr="00513181">
              <w:rPr>
                <w:rFonts w:ascii="Times New Roman" w:hAnsi="Times New Roman" w:cs="Times New Roman"/>
                <w:sz w:val="22"/>
                <w:szCs w:val="22"/>
              </w:rPr>
              <w:t xml:space="preserve"> size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A6DCAF3"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0FC77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8.6</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63C505"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8A31C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9.0</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3A4546C"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475E64"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6FD1426" w14:textId="6652D11B" w:rsidR="00E47084" w:rsidRPr="00513181" w:rsidRDefault="00B6720C" w:rsidP="00E47084">
            <w:pPr>
              <w:jc w:val="both"/>
              <w:rPr>
                <w:rFonts w:ascii="Times New Roman" w:hAnsi="Times New Roman" w:cs="Times New Roman"/>
                <w:sz w:val="22"/>
                <w:szCs w:val="22"/>
              </w:rPr>
            </w:pPr>
            <w:r w:rsidRPr="00513181">
              <w:rPr>
                <w:rFonts w:ascii="Times New Roman" w:hAnsi="Times New Roman" w:cs="Times New Roman"/>
                <w:sz w:val="22"/>
                <w:szCs w:val="22"/>
              </w:rPr>
              <w:t>Count of directors</w:t>
            </w:r>
          </w:p>
        </w:tc>
      </w:tr>
      <w:tr w:rsidR="00E47084" w:rsidRPr="00513181" w14:paraId="647ACB70" w14:textId="77777777" w:rsidTr="00C5578B">
        <w:tc>
          <w:tcPr>
            <w:tcW w:w="120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BBA6A5" w14:textId="5D33282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Ind</w:t>
            </w:r>
            <w:r w:rsidR="00EB21FB" w:rsidRPr="00513181">
              <w:rPr>
                <w:rFonts w:ascii="Times New Roman" w:hAnsi="Times New Roman" w:cs="Times New Roman"/>
                <w:sz w:val="22"/>
                <w:szCs w:val="22"/>
              </w:rPr>
              <w:t>. Dir</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F50153"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40B0E2"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0.38</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CE9EE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0.55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7B1C9E0"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67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9A4954"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0.33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BFBE2C6" w14:textId="77777777" w:rsidR="00E47084" w:rsidRPr="00513181" w:rsidRDefault="00E47084" w:rsidP="00E47084">
            <w:pPr>
              <w:jc w:val="both"/>
              <w:rPr>
                <w:rFonts w:ascii="Times New Roman" w:hAnsi="Times New Roman" w:cs="Times New Roman"/>
                <w:sz w:val="22"/>
                <w:szCs w:val="22"/>
              </w:rPr>
            </w:pPr>
            <w:r w:rsidRPr="00513181">
              <w:rPr>
                <w:rFonts w:ascii="Times New Roman" w:hAnsi="Times New Roman" w:cs="Times New Roman"/>
                <w:sz w:val="22"/>
                <w:szCs w:val="22"/>
              </w:rPr>
              <w:t>0.57</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B7EC445" w14:textId="77777777" w:rsidR="00B6720C" w:rsidRPr="00513181" w:rsidRDefault="00B6720C" w:rsidP="00B6720C">
            <w:pPr>
              <w:jc w:val="both"/>
              <w:rPr>
                <w:rFonts w:ascii="Times New Roman" w:hAnsi="Times New Roman" w:cs="Times New Roman"/>
                <w:sz w:val="22"/>
                <w:szCs w:val="22"/>
              </w:rPr>
            </w:pPr>
            <w:r w:rsidRPr="00513181">
              <w:rPr>
                <w:rFonts w:ascii="Times New Roman" w:hAnsi="Times New Roman" w:cs="Times New Roman"/>
                <w:sz w:val="22"/>
                <w:szCs w:val="22"/>
              </w:rPr>
              <w:t>The proportion of independent directors relative to the overall count of directors</w:t>
            </w:r>
          </w:p>
          <w:p w14:paraId="793795CD" w14:textId="345FD518" w:rsidR="00E47084" w:rsidRPr="00513181" w:rsidRDefault="00E47084" w:rsidP="00E47084">
            <w:pPr>
              <w:jc w:val="both"/>
              <w:rPr>
                <w:rFonts w:ascii="Times New Roman" w:hAnsi="Times New Roman" w:cs="Times New Roman"/>
                <w:sz w:val="22"/>
                <w:szCs w:val="22"/>
              </w:rPr>
            </w:pPr>
          </w:p>
        </w:tc>
      </w:tr>
    </w:tbl>
    <w:p w14:paraId="7AA89F2A" w14:textId="77777777" w:rsidR="004117AA" w:rsidRDefault="004117AA" w:rsidP="00DF7FDB">
      <w:pPr>
        <w:jc w:val="both"/>
        <w:rPr>
          <w:rFonts w:ascii="Times New Roman" w:hAnsi="Times New Roman" w:cs="Times New Roman"/>
        </w:rPr>
      </w:pPr>
    </w:p>
    <w:p w14:paraId="3C2FC96C" w14:textId="77777777" w:rsidR="004117AA" w:rsidRDefault="004117AA" w:rsidP="00DF7FDB">
      <w:pPr>
        <w:jc w:val="both"/>
        <w:rPr>
          <w:rFonts w:ascii="Times New Roman" w:hAnsi="Times New Roman" w:cs="Times New Roman"/>
        </w:rPr>
      </w:pPr>
    </w:p>
    <w:p w14:paraId="38A6FA7A" w14:textId="31EF161B" w:rsidR="00E47084" w:rsidRPr="00513181" w:rsidRDefault="00BF7977" w:rsidP="00DF7FDB">
      <w:pPr>
        <w:jc w:val="both"/>
        <w:rPr>
          <w:rFonts w:ascii="Times New Roman" w:hAnsi="Times New Roman" w:cs="Times New Roman"/>
        </w:rPr>
      </w:pPr>
      <w:r w:rsidRPr="00513181">
        <w:rPr>
          <w:rFonts w:ascii="Times New Roman" w:hAnsi="Times New Roman" w:cs="Times New Roman"/>
        </w:rPr>
        <w:t xml:space="preserve">The findings illustrated in Table 2 strongly support </w:t>
      </w:r>
      <w:r w:rsidR="00865CB3" w:rsidRPr="00513181">
        <w:rPr>
          <w:rFonts w:ascii="Times New Roman" w:hAnsi="Times New Roman" w:cs="Times New Roman"/>
        </w:rPr>
        <w:t>H</w:t>
      </w:r>
      <w:r w:rsidRPr="00513181">
        <w:rPr>
          <w:rFonts w:ascii="Times New Roman" w:hAnsi="Times New Roman" w:cs="Times New Roman"/>
        </w:rPr>
        <w:t xml:space="preserve">1, indicating that the involvement of eco-friendly investors can </w:t>
      </w:r>
      <w:r w:rsidR="00865CB3" w:rsidRPr="00513181">
        <w:rPr>
          <w:rFonts w:ascii="Times New Roman" w:hAnsi="Times New Roman" w:cs="Times New Roman"/>
        </w:rPr>
        <w:t>improve sustainable</w:t>
      </w:r>
      <w:r w:rsidRPr="00513181">
        <w:rPr>
          <w:rFonts w:ascii="Times New Roman" w:hAnsi="Times New Roman" w:cs="Times New Roman"/>
        </w:rPr>
        <w:t xml:space="preserve"> </w:t>
      </w:r>
      <w:r w:rsidR="00865CB3" w:rsidRPr="00513181">
        <w:rPr>
          <w:rFonts w:ascii="Times New Roman" w:hAnsi="Times New Roman" w:cs="Times New Roman"/>
        </w:rPr>
        <w:t xml:space="preserve">corporate </w:t>
      </w:r>
      <w:r w:rsidRPr="00513181">
        <w:rPr>
          <w:rFonts w:ascii="Times New Roman" w:hAnsi="Times New Roman" w:cs="Times New Roman"/>
        </w:rPr>
        <w:t>performance. This evidence underscores the positive role that environmentally conscious investors play in enhancing companies' sustainability practices</w:t>
      </w:r>
      <w:r w:rsidR="00E47084" w:rsidRPr="00513181">
        <w:rPr>
          <w:rFonts w:ascii="Times New Roman" w:hAnsi="Times New Roman" w:cs="Times New Roman"/>
        </w:rPr>
        <w:t xml:space="preserve">. </w:t>
      </w:r>
    </w:p>
    <w:p w14:paraId="0F692657" w14:textId="77777777" w:rsidR="00837111" w:rsidRPr="00513181" w:rsidRDefault="00837111" w:rsidP="00DF7FDB">
      <w:pPr>
        <w:jc w:val="both"/>
        <w:rPr>
          <w:rFonts w:ascii="Times New Roman" w:hAnsi="Times New Roman" w:cs="Times New Roman"/>
          <w:i/>
          <w:iCs/>
        </w:rPr>
      </w:pPr>
      <w:r w:rsidRPr="00513181">
        <w:rPr>
          <w:rFonts w:ascii="Times New Roman" w:hAnsi="Times New Roman" w:cs="Times New Roman"/>
          <w:i/>
          <w:iCs/>
        </w:rPr>
        <w:t>4.2. Tests for Endogeneity</w:t>
      </w:r>
    </w:p>
    <w:p w14:paraId="3DEB842E" w14:textId="1559E6BC" w:rsidR="00E47084" w:rsidRPr="00513181" w:rsidRDefault="00865CB3" w:rsidP="00DF7FDB">
      <w:pPr>
        <w:jc w:val="both"/>
        <w:rPr>
          <w:rFonts w:ascii="Times New Roman" w:hAnsi="Times New Roman" w:cs="Times New Roman"/>
        </w:rPr>
      </w:pPr>
      <w:r w:rsidRPr="00513181">
        <w:rPr>
          <w:rFonts w:ascii="Times New Roman" w:hAnsi="Times New Roman" w:cs="Times New Roman"/>
        </w:rPr>
        <w:t>This study performed the endogeneity tests listed in Table 2 to address potential endogeneity problems such reverse causality and omitted factors</w:t>
      </w:r>
      <w:r w:rsidR="004B39D0" w:rsidRPr="00513181">
        <w:rPr>
          <w:rFonts w:ascii="Times New Roman" w:hAnsi="Times New Roman" w:cs="Times New Roman"/>
        </w:rPr>
        <w:t xml:space="preserve">. We developed two instrumental variables: IV-1 (lagged EFI from two periods prior) and IV-2 (mean EFI within the same sector and provinces for the same year). The results, shown in columns (3) and (4) of Table 2, indicate that both IV-1 and IV-2 meet the weak instrumental variable test criteria, with first-stage F-statistics of 1,080.000 and 72.000, respectively, and Hansen J-statistic of 0.980 for IV-2. These results confirm the validity of IV-1 and IV-2, and the coefficient of EFI on sustainable performance remains significant at the one percent level after addressing endogeneity (Li &amp; Rasiah, 2024). Additionally, we used the Heckman two-stage approach to address sample selectivity bias. </w:t>
      </w:r>
      <w:r w:rsidR="00E77629" w:rsidRPr="00513181">
        <w:rPr>
          <w:rFonts w:ascii="Times New Roman" w:hAnsi="Times New Roman" w:cs="Times New Roman"/>
        </w:rPr>
        <w:t>After identifying control variables using a Probit regression model, the Inverse Mills Ratio (IMR) was computed and incorporated into the regression analysis. Even after controlling for sample selectivity bias, the fifth column of Table 2 demonstrates that the IMR score is 0.095, substantially significant at the one percent level, suggesting that eco-friendly investors have a positive influence on sustainable performance</w:t>
      </w:r>
      <w:r w:rsidR="004B39D0" w:rsidRPr="00513181">
        <w:rPr>
          <w:rFonts w:ascii="Times New Roman" w:hAnsi="Times New Roman" w:cs="Times New Roman"/>
        </w:rPr>
        <w:t xml:space="preserve">. </w:t>
      </w:r>
      <w:r w:rsidR="005B036C" w:rsidRPr="00513181">
        <w:rPr>
          <w:rFonts w:ascii="Times New Roman" w:hAnsi="Times New Roman" w:cs="Times New Roman"/>
        </w:rPr>
        <w:t>This is in line with the hypothesis that eco investment helps improve corporate sustainable performance (Qiao et al., 2018).</w:t>
      </w:r>
    </w:p>
    <w:p w14:paraId="73B928AF" w14:textId="0221621A" w:rsidR="00E77629" w:rsidRPr="00513181" w:rsidRDefault="00EA4A3A" w:rsidP="00E77629">
      <w:pPr>
        <w:jc w:val="both"/>
        <w:rPr>
          <w:rFonts w:ascii="Times New Roman" w:hAnsi="Times New Roman" w:cs="Times New Roman"/>
          <w:b/>
          <w:bCs/>
        </w:rPr>
      </w:pPr>
      <w:r w:rsidRPr="00513181">
        <w:rPr>
          <w:rFonts w:ascii="Times New Roman" w:hAnsi="Times New Roman" w:cs="Times New Roman"/>
          <w:b/>
          <w:bCs/>
        </w:rPr>
        <w:t xml:space="preserve">Table 2. </w:t>
      </w:r>
      <w:r w:rsidR="00E77629" w:rsidRPr="00513181">
        <w:rPr>
          <w:rFonts w:ascii="Times New Roman" w:hAnsi="Times New Roman" w:cs="Times New Roman"/>
          <w:b/>
          <w:bCs/>
        </w:rPr>
        <w:t>Endogeneity and Benchmark Regression Tests</w:t>
      </w:r>
    </w:p>
    <w:tbl>
      <w:tblPr>
        <w:tblW w:w="0" w:type="auto"/>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695"/>
        <w:gridCol w:w="1477"/>
        <w:gridCol w:w="1653"/>
        <w:gridCol w:w="1449"/>
        <w:gridCol w:w="1449"/>
        <w:gridCol w:w="1546"/>
      </w:tblGrid>
      <w:tr w:rsidR="00F26905" w:rsidRPr="00513181" w14:paraId="70F734B7" w14:textId="77777777" w:rsidTr="00657097">
        <w:trPr>
          <w:tblHeader/>
        </w:trPr>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0A95E9"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lastRenderedPageBreak/>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25E34F"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Regression (01)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8E3B78"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Regression (02)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8C487A"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IV-1 (03)</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DC56104"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IV-2 (04)</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279120"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CSP Heckman (05)</w:t>
            </w:r>
          </w:p>
        </w:tc>
      </w:tr>
      <w:tr w:rsidR="00F26905" w:rsidRPr="00513181" w14:paraId="1C43C29B"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6AE443E"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7CF0C9"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0.275*** (21.000)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2E4F4C"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0.085*** (6.800)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A4EF4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0.220*** (5.500)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7B3F8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0.250*** (2.100)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A409FE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0.095*** (7.500)</w:t>
            </w:r>
          </w:p>
        </w:tc>
      </w:tr>
      <w:tr w:rsidR="00F26905" w:rsidRPr="00513181" w14:paraId="00DB31A6"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8D6BAE" w14:textId="55AAF3B5"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Firm Size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68D4F7"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ABEF12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0.220*** (16.500)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3654D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0.210*** (10.500)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1607BC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0.315*** (8.300)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D78DDA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0.050 (1.200)</w:t>
            </w:r>
          </w:p>
        </w:tc>
      </w:tr>
      <w:tr w:rsidR="00F26905" w:rsidRPr="00513181" w14:paraId="04A29BA4"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0C5DB5" w14:textId="2BFA0782"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Firm 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73CFA2"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F14801"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0.060 (1.600)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64132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0.110** (2.300)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B3F68E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-0.010 (-0.300)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AA8466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0.200*** (4.100)</w:t>
            </w:r>
          </w:p>
        </w:tc>
      </w:tr>
      <w:tr w:rsidR="00F26905" w:rsidRPr="00513181" w14:paraId="0F0548D0"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D39A676" w14:textId="14E1D7A9"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Leverage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B3EC6F"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C8249F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-0.660*** (-8.300)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5D962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-0.700*** (-7.500)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A5619D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-0.710*** (-8.500)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429B4A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-0.420*** (-4.500)</w:t>
            </w:r>
          </w:p>
        </w:tc>
      </w:tr>
      <w:tr w:rsidR="00F26905" w:rsidRPr="00513181" w14:paraId="14268902"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8C6FF9F" w14:textId="26F7D94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Cashflow</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49491B"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86828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-0.100 (-0.750)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4B2AB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-0.030 (-0.180)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4B2CA5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0.075 (0.460)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08F18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-0.215 (-1.600)</w:t>
            </w:r>
          </w:p>
        </w:tc>
      </w:tr>
      <w:tr w:rsidR="00F26905" w:rsidRPr="00513181" w14:paraId="37BBF07A"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562D7B6" w14:textId="04DD0D91"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Growth</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BFA2D9E"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7B4F1B3"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0.050** (2.100)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3A917B2"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0.025 (0.950)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FF064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0.100*** (3.300)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A1440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-0.080** (-2.250)</w:t>
            </w:r>
          </w:p>
        </w:tc>
      </w:tr>
      <w:tr w:rsidR="00F26905" w:rsidRPr="00513181" w14:paraId="1953363E"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0053EAE" w14:textId="4C1EDD2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ROA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4426231"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1BDC87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3.970*** (18.500)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C169A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3.350*** (12.300)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F00253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5.280*** (9.600)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3A12D4A"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1.105 (1.640)</w:t>
            </w:r>
          </w:p>
        </w:tc>
      </w:tr>
      <w:tr w:rsidR="00F26905" w:rsidRPr="00513181" w14:paraId="516028D6"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54B181" w14:textId="5717C77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Top-1</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42A788E"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5FBF7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0.205** (2.300)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04231CC"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0.320*** (3.050)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7D1DA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0.070 (0.670)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E8430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0.545*** (4.650)</w:t>
            </w:r>
          </w:p>
        </w:tc>
      </w:tr>
      <w:tr w:rsidR="00F26905" w:rsidRPr="00513181" w14:paraId="0C712469"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0B83BA"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Board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C960F7"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599E13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0.027*** (3.150)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629E26"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0.030*** (3.050)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5A127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0.026*** (2.920)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83200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0.033*** (3.870)</w:t>
            </w:r>
          </w:p>
        </w:tc>
      </w:tr>
      <w:tr w:rsidR="00F26905" w:rsidRPr="00513181" w14:paraId="6908B701"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8E7E86" w14:textId="77777777" w:rsidR="00530938" w:rsidRPr="00513181" w:rsidRDefault="00530938" w:rsidP="00530938">
            <w:pPr>
              <w:jc w:val="both"/>
              <w:rPr>
                <w:rFonts w:ascii="Times New Roman" w:hAnsi="Times New Roman" w:cs="Times New Roman"/>
                <w:b/>
                <w:bCs/>
                <w:sz w:val="20"/>
                <w:szCs w:val="20"/>
              </w:rPr>
            </w:pPr>
            <w:proofErr w:type="spellStart"/>
            <w:r w:rsidRPr="00513181">
              <w:rPr>
                <w:rFonts w:ascii="Times New Roman" w:hAnsi="Times New Roman" w:cs="Times New Roman"/>
                <w:b/>
                <w:bCs/>
                <w:sz w:val="20"/>
                <w:szCs w:val="20"/>
              </w:rPr>
              <w:t>Indep</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498C53A" w14:textId="77777777" w:rsidR="00530938" w:rsidRPr="00513181" w:rsidRDefault="00530938" w:rsidP="00530938">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3D3274D"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1.650*** (7.000)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69777A8"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1.560*** (5.900)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D65B33"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1.690*** (7.000)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756DF9"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1.680*** (7.220)</w:t>
            </w:r>
          </w:p>
        </w:tc>
      </w:tr>
      <w:tr w:rsidR="0032036D" w:rsidRPr="00513181" w14:paraId="67E1DF40"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61A17E" w14:textId="2089AC46"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7D297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AD0AD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7855B3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09B5B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8CC15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32036D" w:rsidRPr="00513181" w14:paraId="260FE1EB"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F3E8060" w14:textId="6A59B4B9"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BCFD2D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ED78400"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EFD960"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8732EEF"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5DC78B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F26905" w:rsidRPr="00513181" w14:paraId="37E0C478"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A5ABB54" w14:textId="48C8CD9C"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F</w:t>
            </w:r>
            <w:r w:rsidR="00F26905" w:rsidRPr="00513181">
              <w:rPr>
                <w:rFonts w:ascii="Times New Roman" w:hAnsi="Times New Roman" w:cs="Times New Roman"/>
                <w:b/>
                <w:bCs/>
                <w:sz w:val="20"/>
                <w:szCs w:val="20"/>
              </w:rPr>
              <w:t>-Statistics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5D15FE2"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5816D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A707F8E"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1080.000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8DA61CC"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72.000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E6A8A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r>
      <w:tr w:rsidR="00F26905" w:rsidRPr="00513181" w14:paraId="57D8F65D"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4DDF341" w14:textId="77777777"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Hansen J</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C9DF48"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87786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02266C0"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CCA618"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0.980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00CD87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Negative</w:t>
            </w:r>
          </w:p>
        </w:tc>
      </w:tr>
      <w:tr w:rsidR="00F26905" w:rsidRPr="00513181" w14:paraId="6701DFF0"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704346" w14:textId="69A33DFA" w:rsidR="00530938" w:rsidRPr="00513181" w:rsidRDefault="00530938" w:rsidP="00530938">
            <w:pPr>
              <w:jc w:val="both"/>
              <w:rPr>
                <w:rFonts w:ascii="Times New Roman" w:hAnsi="Times New Roman" w:cs="Times New Roman"/>
                <w:b/>
                <w:bCs/>
                <w:sz w:val="20"/>
                <w:szCs w:val="20"/>
              </w:rPr>
            </w:pPr>
            <w:r w:rsidRPr="00513181">
              <w:rPr>
                <w:rFonts w:ascii="Times New Roman" w:hAnsi="Times New Roman" w:cs="Times New Roman"/>
                <w:b/>
                <w:bCs/>
                <w:sz w:val="20"/>
                <w:szCs w:val="20"/>
              </w:rPr>
              <w:t>Obs</w:t>
            </w:r>
            <w:r w:rsidR="00F26905" w:rsidRPr="00513181">
              <w:rPr>
                <w:rFonts w:ascii="Times New Roman" w:hAnsi="Times New Roman" w:cs="Times New Roman"/>
                <w:b/>
                <w:bCs/>
                <w:sz w:val="20"/>
                <w:szCs w:val="20"/>
              </w:rPr>
              <w:t>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2D1A714"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036B27"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E329C8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9,800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AC777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70949B"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12,500</w:t>
            </w:r>
          </w:p>
        </w:tc>
      </w:tr>
      <w:tr w:rsidR="00F26905" w:rsidRPr="00513181" w14:paraId="0628E288" w14:textId="77777777" w:rsidTr="00657097">
        <w:tc>
          <w:tcPr>
            <w:tcW w:w="1695"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DF8EE07" w14:textId="42E33544" w:rsidR="00530938" w:rsidRPr="00513181" w:rsidRDefault="00530938" w:rsidP="00530938">
            <w:pPr>
              <w:jc w:val="both"/>
              <w:rPr>
                <w:rFonts w:ascii="Times New Roman" w:hAnsi="Times New Roman" w:cs="Times New Roman"/>
                <w:b/>
                <w:bCs/>
                <w:sz w:val="20"/>
                <w:szCs w:val="20"/>
              </w:rPr>
            </w:pPr>
            <w:proofErr w:type="spellStart"/>
            <w:r w:rsidRPr="00513181">
              <w:rPr>
                <w:rFonts w:ascii="Times New Roman" w:hAnsi="Times New Roman" w:cs="Times New Roman"/>
                <w:b/>
                <w:bCs/>
                <w:sz w:val="20"/>
                <w:szCs w:val="20"/>
              </w:rPr>
              <w:t>Adj.R</w:t>
            </w:r>
            <w:proofErr w:type="spellEnd"/>
            <w:r w:rsidR="00F26905" w:rsidRPr="00513181">
              <w:rPr>
                <w:rFonts w:ascii="Times New Roman" w:hAnsi="Times New Roman" w:cs="Times New Roman"/>
                <w:b/>
                <w:bCs/>
                <w:sz w:val="20"/>
                <w:szCs w:val="20"/>
              </w:rPr>
              <w:t>-squared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D05556"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0.102</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066B96F"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0.190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E48E19"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0.145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2C267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0.086</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CC1405" w14:textId="77777777" w:rsidR="00530938" w:rsidRPr="00513181" w:rsidRDefault="00530938" w:rsidP="00530938">
            <w:pPr>
              <w:jc w:val="both"/>
              <w:rPr>
                <w:rFonts w:ascii="Times New Roman" w:hAnsi="Times New Roman" w:cs="Times New Roman"/>
                <w:sz w:val="20"/>
                <w:szCs w:val="20"/>
              </w:rPr>
            </w:pPr>
            <w:r w:rsidRPr="00513181">
              <w:rPr>
                <w:rFonts w:ascii="Times New Roman" w:hAnsi="Times New Roman" w:cs="Times New Roman"/>
                <w:sz w:val="20"/>
                <w:szCs w:val="20"/>
              </w:rPr>
              <w:t>0.191</w:t>
            </w:r>
          </w:p>
        </w:tc>
      </w:tr>
    </w:tbl>
    <w:p w14:paraId="2C483EC0" w14:textId="13F6E904" w:rsidR="00D11EFF" w:rsidRPr="00513181" w:rsidRDefault="006167BB" w:rsidP="00D11EFF">
      <w:pPr>
        <w:jc w:val="both"/>
        <w:rPr>
          <w:rFonts w:ascii="Times New Roman" w:hAnsi="Times New Roman" w:cs="Times New Roman"/>
        </w:rPr>
      </w:pPr>
      <w:r w:rsidRPr="00513181">
        <w:rPr>
          <w:rFonts w:ascii="Times New Roman" w:hAnsi="Times New Roman" w:cs="Times New Roman"/>
        </w:rPr>
        <w:t xml:space="preserve">Notes: </w:t>
      </w:r>
      <w:r w:rsidR="00305DBB" w:rsidRPr="00513181">
        <w:rPr>
          <w:rFonts w:ascii="Times New Roman" w:hAnsi="Times New Roman" w:cs="Times New Roman"/>
        </w:rPr>
        <w:t>*, **, and *** indicate that all statistics are significant at the 10%, 5%, and 1 % level, t-statistics in brackets.</w:t>
      </w:r>
    </w:p>
    <w:p w14:paraId="689C3D60" w14:textId="77777777" w:rsidR="004F6A68" w:rsidRPr="00513181" w:rsidRDefault="004F6A68" w:rsidP="00DF7FDB">
      <w:pPr>
        <w:jc w:val="both"/>
        <w:rPr>
          <w:rFonts w:ascii="Times New Roman" w:hAnsi="Times New Roman" w:cs="Times New Roman"/>
          <w:i/>
          <w:iCs/>
        </w:rPr>
      </w:pPr>
      <w:r w:rsidRPr="00513181">
        <w:rPr>
          <w:rFonts w:ascii="Times New Roman" w:hAnsi="Times New Roman" w:cs="Times New Roman"/>
          <w:i/>
          <w:iCs/>
        </w:rPr>
        <w:t xml:space="preserve">4.3. Robustness tests </w:t>
      </w:r>
    </w:p>
    <w:p w14:paraId="234F0717" w14:textId="1FF30BB5" w:rsidR="004F6A68" w:rsidRPr="00513181" w:rsidRDefault="00305DBB" w:rsidP="00DF7FDB">
      <w:pPr>
        <w:jc w:val="both"/>
        <w:rPr>
          <w:rFonts w:ascii="Times New Roman" w:hAnsi="Times New Roman" w:cs="Times New Roman"/>
        </w:rPr>
      </w:pPr>
      <w:r w:rsidRPr="00513181">
        <w:rPr>
          <w:rFonts w:ascii="Times New Roman" w:hAnsi="Times New Roman" w:cs="Times New Roman"/>
        </w:rPr>
        <w:t xml:space="preserve">To validate the robustness of our results outlined in Table 3, we described several tests that we carried out. Further changes were made with respect to the alternative variables, the Tobit model, </w:t>
      </w:r>
      <w:r w:rsidRPr="00513181">
        <w:rPr>
          <w:rFonts w:ascii="Times New Roman" w:hAnsi="Times New Roman" w:cs="Times New Roman"/>
        </w:rPr>
        <w:lastRenderedPageBreak/>
        <w:t xml:space="preserve">specific sample exclusion, long term impacts, White standard errors, as well as 5% level </w:t>
      </w:r>
      <w:proofErr w:type="spellStart"/>
      <w:r w:rsidRPr="00513181">
        <w:rPr>
          <w:rFonts w:ascii="Times New Roman" w:hAnsi="Times New Roman" w:cs="Times New Roman"/>
        </w:rPr>
        <w:t>winsorization</w:t>
      </w:r>
      <w:proofErr w:type="spellEnd"/>
      <w:r w:rsidRPr="00513181">
        <w:rPr>
          <w:rFonts w:ascii="Times New Roman" w:hAnsi="Times New Roman" w:cs="Times New Roman"/>
        </w:rPr>
        <w:t xml:space="preserve">. Consistent with Ren &amp; Lin (2024) and Pérez </w:t>
      </w:r>
      <w:proofErr w:type="spellStart"/>
      <w:r w:rsidRPr="00513181">
        <w:rPr>
          <w:rFonts w:ascii="Times New Roman" w:hAnsi="Times New Roman" w:cs="Times New Roman"/>
        </w:rPr>
        <w:t>Estébanez</w:t>
      </w:r>
      <w:proofErr w:type="spellEnd"/>
      <w:r w:rsidRPr="00513181">
        <w:rPr>
          <w:rFonts w:ascii="Times New Roman" w:hAnsi="Times New Roman" w:cs="Times New Roman"/>
        </w:rPr>
        <w:t xml:space="preserve"> &amp; </w:t>
      </w:r>
      <w:proofErr w:type="spellStart"/>
      <w:r w:rsidRPr="00513181">
        <w:rPr>
          <w:rFonts w:ascii="Times New Roman" w:hAnsi="Times New Roman" w:cs="Times New Roman"/>
        </w:rPr>
        <w:t>Sevillano</w:t>
      </w:r>
      <w:proofErr w:type="spellEnd"/>
      <w:r w:rsidRPr="00513181">
        <w:rPr>
          <w:rFonts w:ascii="Times New Roman" w:hAnsi="Times New Roman" w:cs="Times New Roman"/>
        </w:rPr>
        <w:t xml:space="preserve"> Martín (2025), the results show that the presence of eco-friendly investors consistently improves corporate’s sustainable performance under different models and sample corrections.</w:t>
      </w:r>
      <w:r w:rsidR="004F6A68" w:rsidRPr="00513181">
        <w:rPr>
          <w:rFonts w:ascii="Times New Roman" w:hAnsi="Times New Roman" w:cs="Times New Roman"/>
        </w:rPr>
        <w:t xml:space="preserve"> </w:t>
      </w:r>
      <w:r w:rsidRPr="00513181">
        <w:rPr>
          <w:rFonts w:ascii="Times New Roman" w:hAnsi="Times New Roman" w:cs="Times New Roman"/>
        </w:rPr>
        <w:tab/>
      </w:r>
    </w:p>
    <w:p w14:paraId="5A625B76" w14:textId="77777777" w:rsidR="00A4746E" w:rsidRPr="00513181" w:rsidRDefault="00A4746E" w:rsidP="00A4746E">
      <w:pPr>
        <w:jc w:val="both"/>
        <w:rPr>
          <w:rFonts w:ascii="Times New Roman" w:hAnsi="Times New Roman" w:cs="Times New Roman"/>
        </w:rPr>
      </w:pPr>
      <w:r w:rsidRPr="00513181">
        <w:rPr>
          <w:rFonts w:ascii="Times New Roman" w:hAnsi="Times New Roman" w:cs="Times New Roman"/>
          <w:b/>
          <w:bCs/>
        </w:rPr>
        <w:t>Table 3. Robustness Tests</w:t>
      </w:r>
    </w:p>
    <w:tbl>
      <w:tblPr>
        <w:tblW w:w="0" w:type="auto"/>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357"/>
        <w:gridCol w:w="1527"/>
        <w:gridCol w:w="1191"/>
        <w:gridCol w:w="1201"/>
        <w:gridCol w:w="1248"/>
        <w:gridCol w:w="1381"/>
        <w:gridCol w:w="1364"/>
      </w:tblGrid>
      <w:tr w:rsidR="00657097" w:rsidRPr="00513181" w14:paraId="41D6213E" w14:textId="77777777" w:rsidTr="00425449">
        <w:trPr>
          <w:tblHeader/>
        </w:trPr>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5850DC2" w14:textId="5A6FED1A"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6D8804" w14:textId="655B236E"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 xml:space="preserve">Alternative Variables (1) </w:t>
            </w:r>
            <w:proofErr w:type="spellStart"/>
            <w:r w:rsidRPr="00513181">
              <w:rPr>
                <w:rFonts w:ascii="Times New Roman" w:hAnsi="Times New Roman" w:cs="Times New Roman"/>
                <w:b/>
                <w:bCs/>
                <w:color w:val="242424"/>
                <w:sz w:val="20"/>
                <w:szCs w:val="20"/>
              </w:rPr>
              <w:t>CSP_ss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07F8A9" w14:textId="4A4FA0B6"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 xml:space="preserve">Tobit Model (2) </w:t>
            </w:r>
            <w:proofErr w:type="spellStart"/>
            <w:r w:rsidRPr="00513181">
              <w:rPr>
                <w:rFonts w:ascii="Times New Roman" w:hAnsi="Times New Roman" w:cs="Times New Roman"/>
                <w:b/>
                <w:bCs/>
                <w:color w:val="242424"/>
                <w:sz w:val="20"/>
                <w:szCs w:val="20"/>
              </w:rPr>
              <w:t>CSP_bs</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DB6B39" w14:textId="71C0CC1E"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Exclude Sample (3)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AD3F0D" w14:textId="630014AD"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Long-term Impact (4)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E58AB4A" w14:textId="709CE649" w:rsidR="0032036D" w:rsidRPr="00513181" w:rsidRDefault="0032036D" w:rsidP="0032036D">
            <w:pPr>
              <w:jc w:val="both"/>
              <w:rPr>
                <w:rFonts w:ascii="Times New Roman" w:hAnsi="Times New Roman" w:cs="Times New Roman"/>
                <w:b/>
                <w:bCs/>
                <w:sz w:val="20"/>
                <w:szCs w:val="20"/>
              </w:rPr>
            </w:pPr>
            <w:r w:rsidRPr="00513181">
              <w:rPr>
                <w:rFonts w:ascii="Times New Roman" w:hAnsi="Times New Roman" w:cs="Times New Roman"/>
                <w:b/>
                <w:bCs/>
                <w:color w:val="242424"/>
                <w:sz w:val="20"/>
                <w:szCs w:val="20"/>
              </w:rPr>
              <w:t>White Standard Errors (5)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AB0205C" w14:textId="5B0935EC" w:rsidR="0032036D" w:rsidRPr="00513181" w:rsidRDefault="0032036D" w:rsidP="0032036D">
            <w:pPr>
              <w:jc w:val="both"/>
              <w:rPr>
                <w:rFonts w:ascii="Times New Roman" w:hAnsi="Times New Roman" w:cs="Times New Roman"/>
                <w:b/>
                <w:bCs/>
                <w:sz w:val="20"/>
                <w:szCs w:val="20"/>
              </w:rPr>
            </w:pPr>
            <w:proofErr w:type="spellStart"/>
            <w:r w:rsidRPr="00513181">
              <w:rPr>
                <w:rFonts w:ascii="Times New Roman" w:hAnsi="Times New Roman" w:cs="Times New Roman"/>
                <w:b/>
                <w:bCs/>
                <w:color w:val="242424"/>
                <w:sz w:val="20"/>
                <w:szCs w:val="20"/>
              </w:rPr>
              <w:t>Winsorized</w:t>
            </w:r>
            <w:proofErr w:type="spellEnd"/>
            <w:r w:rsidRPr="00513181">
              <w:rPr>
                <w:rFonts w:ascii="Times New Roman" w:hAnsi="Times New Roman" w:cs="Times New Roman"/>
                <w:b/>
                <w:bCs/>
                <w:color w:val="242424"/>
                <w:sz w:val="20"/>
                <w:szCs w:val="20"/>
              </w:rPr>
              <w:t xml:space="preserve"> 5% (6) CSP</w:t>
            </w:r>
          </w:p>
        </w:tc>
      </w:tr>
      <w:tr w:rsidR="00657097" w:rsidRPr="00513181" w14:paraId="2C9E8456"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347BE72" w14:textId="77777777" w:rsidR="0032036D" w:rsidRPr="00513181" w:rsidRDefault="0032036D" w:rsidP="0032036D">
            <w:pPr>
              <w:jc w:val="both"/>
              <w:rPr>
                <w:rFonts w:ascii="Times New Roman" w:hAnsi="Times New Roman" w:cs="Times New Roman"/>
                <w:sz w:val="20"/>
                <w:szCs w:val="20"/>
              </w:rPr>
            </w:pPr>
            <w:proofErr w:type="spellStart"/>
            <w:r w:rsidRPr="00513181">
              <w:rPr>
                <w:rFonts w:ascii="Times New Roman" w:hAnsi="Times New Roman" w:cs="Times New Roman"/>
                <w:b/>
                <w:bCs/>
                <w:sz w:val="20"/>
                <w:szCs w:val="20"/>
              </w:rPr>
              <w:t>EFI_dum</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61F1BC"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0.095*** (5.200)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83765D"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860A90D"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421457"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13256C"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8F7594" w14:textId="77777777" w:rsidR="0032036D" w:rsidRPr="00513181" w:rsidRDefault="0032036D" w:rsidP="0032036D">
            <w:pPr>
              <w:jc w:val="both"/>
              <w:rPr>
                <w:rFonts w:ascii="Times New Roman" w:hAnsi="Times New Roman" w:cs="Times New Roman"/>
                <w:sz w:val="20"/>
                <w:szCs w:val="20"/>
              </w:rPr>
            </w:pPr>
          </w:p>
        </w:tc>
      </w:tr>
      <w:tr w:rsidR="00657097" w:rsidRPr="00513181" w14:paraId="17354B82"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8479B5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1FA9CE" w14:textId="77777777" w:rsidR="0032036D" w:rsidRPr="00513181" w:rsidRDefault="0032036D" w:rsidP="0032036D">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C22312"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0.007*** (6.800)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C83E3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0.017*** (3.300)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075AD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0.085*** (6.700)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348693"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0.070*** (4.400)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1BB68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0.095*** (7.100)</w:t>
            </w:r>
          </w:p>
        </w:tc>
      </w:tr>
      <w:tr w:rsidR="00657097" w:rsidRPr="00513181" w14:paraId="26BA31A9"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29E692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Controls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340BF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BB57F2"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B29C39E"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C42630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DE13A1"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7A3ECA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2F2ED67B"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00FF151" w14:textId="4BB84EB6"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EA990DD"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A2718FF"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F6B6A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BC9A0C5"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2994AF"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39E5B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154F0264"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E6F238" w14:textId="47F3D5B6"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E71766"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C7981B8"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72254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0C8F1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DA936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A56217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A80D71" w:rsidRPr="00513181" w14:paraId="580042D8"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31B6B3B" w14:textId="46196ABD"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b/>
                <w:bCs/>
                <w:sz w:val="20"/>
                <w:szCs w:val="20"/>
              </w:rPr>
              <w:t>Observations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ED730E"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63918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BD3307A"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8,000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F78DE4"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0B27F0"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10,000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208004D"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12,500</w:t>
            </w:r>
          </w:p>
        </w:tc>
      </w:tr>
      <w:tr w:rsidR="00A80D71" w:rsidRPr="00513181" w14:paraId="1E261332" w14:textId="77777777" w:rsidTr="00425449">
        <w:tc>
          <w:tcPr>
            <w:tcW w:w="1357"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D112D24" w14:textId="7AE2AE7A" w:rsidR="0032036D" w:rsidRPr="00513181" w:rsidRDefault="0032036D" w:rsidP="0032036D">
            <w:pPr>
              <w:jc w:val="both"/>
              <w:rPr>
                <w:rFonts w:ascii="Times New Roman" w:hAnsi="Times New Roman" w:cs="Times New Roman"/>
                <w:sz w:val="20"/>
                <w:szCs w:val="20"/>
              </w:rPr>
            </w:pPr>
            <w:proofErr w:type="spellStart"/>
            <w:r w:rsidRPr="00513181">
              <w:rPr>
                <w:rFonts w:ascii="Times New Roman" w:hAnsi="Times New Roman" w:cs="Times New Roman"/>
                <w:b/>
                <w:bCs/>
                <w:sz w:val="20"/>
                <w:szCs w:val="20"/>
              </w:rPr>
              <w:t>Adj.R</w:t>
            </w:r>
            <w:proofErr w:type="spellEnd"/>
            <w:r w:rsidRPr="00513181">
              <w:rPr>
                <w:rFonts w:ascii="Times New Roman" w:hAnsi="Times New Roman" w:cs="Times New Roman"/>
                <w:b/>
                <w:bCs/>
                <w:sz w:val="20"/>
                <w:szCs w:val="20"/>
              </w:rPr>
              <w:t>-squared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6FD7B4C"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0.190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56FD572"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0.210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5C5128"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0.610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6A21DBB"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0.075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45B8399"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0.185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D4574D" w14:textId="77777777" w:rsidR="0032036D" w:rsidRPr="00513181" w:rsidRDefault="0032036D" w:rsidP="0032036D">
            <w:pPr>
              <w:jc w:val="both"/>
              <w:rPr>
                <w:rFonts w:ascii="Times New Roman" w:hAnsi="Times New Roman" w:cs="Times New Roman"/>
                <w:sz w:val="20"/>
                <w:szCs w:val="20"/>
              </w:rPr>
            </w:pPr>
            <w:r w:rsidRPr="00513181">
              <w:rPr>
                <w:rFonts w:ascii="Times New Roman" w:hAnsi="Times New Roman" w:cs="Times New Roman"/>
                <w:sz w:val="20"/>
                <w:szCs w:val="20"/>
              </w:rPr>
              <w:t>0.200</w:t>
            </w:r>
          </w:p>
        </w:tc>
      </w:tr>
    </w:tbl>
    <w:p w14:paraId="58D7B2DA" w14:textId="5736507E" w:rsidR="00A4746E" w:rsidRPr="00513181" w:rsidRDefault="00240E50" w:rsidP="00A4746E">
      <w:pPr>
        <w:jc w:val="both"/>
        <w:rPr>
          <w:rFonts w:ascii="Times New Roman" w:hAnsi="Times New Roman" w:cs="Times New Roman"/>
        </w:rPr>
      </w:pPr>
      <w:r w:rsidRPr="00513181">
        <w:rPr>
          <w:rFonts w:ascii="Times New Roman" w:hAnsi="Times New Roman" w:cs="Times New Roman"/>
        </w:rPr>
        <w:t>Notes: *, **, and *** denote that every statistic is significant at the 10%, 5%, and 1 % levels, respectively; t-values are shown in brackets</w:t>
      </w:r>
      <w:r w:rsidR="006167BB" w:rsidRPr="00513181">
        <w:rPr>
          <w:rFonts w:ascii="Times New Roman" w:hAnsi="Times New Roman" w:cs="Times New Roman"/>
        </w:rPr>
        <w:t>.</w:t>
      </w:r>
    </w:p>
    <w:p w14:paraId="31B0C859" w14:textId="77777777" w:rsidR="00657097" w:rsidRPr="00513181" w:rsidRDefault="00657097" w:rsidP="00DF7FDB">
      <w:pPr>
        <w:jc w:val="both"/>
        <w:rPr>
          <w:rFonts w:ascii="Times New Roman" w:hAnsi="Times New Roman" w:cs="Times New Roman"/>
          <w:i/>
          <w:iCs/>
        </w:rPr>
      </w:pPr>
      <w:r w:rsidRPr="00513181">
        <w:rPr>
          <w:rFonts w:ascii="Times New Roman" w:hAnsi="Times New Roman" w:cs="Times New Roman"/>
          <w:i/>
          <w:iCs/>
        </w:rPr>
        <w:t xml:space="preserve">4.4. Tests for Heterogeneity </w:t>
      </w:r>
    </w:p>
    <w:p w14:paraId="7F02D160" w14:textId="31FD2FE4" w:rsidR="00657097" w:rsidRPr="00513181" w:rsidRDefault="00657097" w:rsidP="00DF7FDB">
      <w:pPr>
        <w:jc w:val="both"/>
        <w:rPr>
          <w:rFonts w:ascii="Times New Roman" w:hAnsi="Times New Roman" w:cs="Times New Roman"/>
        </w:rPr>
      </w:pPr>
      <w:r w:rsidRPr="00513181">
        <w:rPr>
          <w:rFonts w:ascii="Times New Roman" w:hAnsi="Times New Roman" w:cs="Times New Roman"/>
        </w:rPr>
        <w:t xml:space="preserve">The influence of environmentally conscious investors on the sustainable performance of corporations can be shaped by a range of factors, such as the types of companies and regional differences. To investigate regional and firm-level differences, we performed </w:t>
      </w:r>
      <w:r w:rsidR="00425449" w:rsidRPr="00513181">
        <w:rPr>
          <w:rFonts w:ascii="Times New Roman" w:hAnsi="Times New Roman" w:cs="Times New Roman"/>
        </w:rPr>
        <w:t>many</w:t>
      </w:r>
      <w:r w:rsidRPr="00513181">
        <w:rPr>
          <w:rFonts w:ascii="Times New Roman" w:hAnsi="Times New Roman" w:cs="Times New Roman"/>
        </w:rPr>
        <w:t xml:space="preserve"> heterogeneity analyses. </w:t>
      </w:r>
    </w:p>
    <w:p w14:paraId="727D2FCB" w14:textId="06D6AA25" w:rsidR="00657097" w:rsidRPr="00513181" w:rsidRDefault="00657097" w:rsidP="00DF7FDB">
      <w:pPr>
        <w:jc w:val="both"/>
        <w:rPr>
          <w:rFonts w:ascii="Times New Roman" w:hAnsi="Times New Roman" w:cs="Times New Roman"/>
          <w:i/>
          <w:iCs/>
        </w:rPr>
      </w:pPr>
      <w:r w:rsidRPr="00513181">
        <w:rPr>
          <w:rFonts w:ascii="Times New Roman" w:hAnsi="Times New Roman" w:cs="Times New Roman"/>
          <w:i/>
          <w:iCs/>
        </w:rPr>
        <w:t xml:space="preserve">4.4.1. </w:t>
      </w:r>
      <w:r w:rsidR="00240E50" w:rsidRPr="00513181">
        <w:rPr>
          <w:rFonts w:ascii="Times New Roman" w:hAnsi="Times New Roman" w:cs="Times New Roman"/>
          <w:i/>
          <w:iCs/>
        </w:rPr>
        <w:t xml:space="preserve">Heterogeneity at </w:t>
      </w:r>
      <w:r w:rsidR="0001218D" w:rsidRPr="00513181">
        <w:rPr>
          <w:rFonts w:ascii="Times New Roman" w:hAnsi="Times New Roman" w:cs="Times New Roman"/>
          <w:i/>
          <w:iCs/>
        </w:rPr>
        <w:t>firm level</w:t>
      </w:r>
      <w:r w:rsidRPr="00513181">
        <w:rPr>
          <w:rFonts w:ascii="Times New Roman" w:hAnsi="Times New Roman" w:cs="Times New Roman"/>
          <w:i/>
          <w:iCs/>
        </w:rPr>
        <w:t xml:space="preserve">: Corporate ownership rights </w:t>
      </w:r>
    </w:p>
    <w:p w14:paraId="4344523B" w14:textId="2CA20847" w:rsidR="004F6A68" w:rsidRPr="00513181" w:rsidRDefault="00EF0DED" w:rsidP="00DF7FDB">
      <w:pPr>
        <w:jc w:val="both"/>
        <w:rPr>
          <w:rFonts w:ascii="Times New Roman" w:hAnsi="Times New Roman" w:cs="Times New Roman"/>
        </w:rPr>
      </w:pPr>
      <w:r w:rsidRPr="00513181">
        <w:rPr>
          <w:rFonts w:ascii="Times New Roman" w:hAnsi="Times New Roman" w:cs="Times New Roman"/>
        </w:rPr>
        <w:t xml:space="preserve">Investigating corporate ownership rights is essential in corporate finance research in Japan. </w:t>
      </w:r>
      <w:r w:rsidR="0001218D" w:rsidRPr="00513181">
        <w:rPr>
          <w:rFonts w:ascii="Times New Roman" w:hAnsi="Times New Roman" w:cs="Times New Roman"/>
        </w:rPr>
        <w:t>Due to their superior resource access, government assistance, policy dividends, and reduced financing costs, state-owned enterprises (SOEs) have a larger market share than non-state-owned listed corporations. As a result, we classified the listed companies into state-owned enterprises and non-state-owned enterprises</w:t>
      </w:r>
      <w:r w:rsidRPr="00513181">
        <w:rPr>
          <w:rFonts w:ascii="Times New Roman" w:hAnsi="Times New Roman" w:cs="Times New Roman"/>
        </w:rPr>
        <w:t xml:space="preserve">. The regression results in Table 4 indicate that eco-friendly investors positively impact the sustainable performance of both SOEs and non-SOEs. </w:t>
      </w:r>
      <w:r w:rsidR="0001218D" w:rsidRPr="00513181">
        <w:rPr>
          <w:rFonts w:ascii="Times New Roman" w:hAnsi="Times New Roman" w:cs="Times New Roman"/>
        </w:rPr>
        <w:t xml:space="preserve">Nonetheless, the </w:t>
      </w:r>
      <w:r w:rsidR="0001218D" w:rsidRPr="00513181">
        <w:rPr>
          <w:rFonts w:ascii="Times New Roman" w:hAnsi="Times New Roman" w:cs="Times New Roman"/>
        </w:rPr>
        <w:lastRenderedPageBreak/>
        <w:t>impact is more significant for non-SOEs. Particularly, a 1% rise in eco-friendly investors results in a 0.052% enhancement in the sustainable performance of SOEs, whereas non-SOEs show a more notable rise of 0.102%</w:t>
      </w:r>
      <w:r w:rsidRPr="00513181">
        <w:rPr>
          <w:rFonts w:ascii="Times New Roman" w:hAnsi="Times New Roman" w:cs="Times New Roman"/>
        </w:rPr>
        <w:t xml:space="preserve">. </w:t>
      </w:r>
      <w:r w:rsidR="0001218D" w:rsidRPr="00513181">
        <w:rPr>
          <w:rFonts w:ascii="Times New Roman" w:hAnsi="Times New Roman" w:cs="Times New Roman"/>
        </w:rPr>
        <w:t xml:space="preserve">This indicates that eco-friendly investors have a greater impact on non-state-owned companies' long-term success than do state-owned businesses </w:t>
      </w:r>
      <w:r w:rsidRPr="00513181">
        <w:rPr>
          <w:rFonts w:ascii="Times New Roman" w:hAnsi="Times New Roman" w:cs="Times New Roman"/>
        </w:rPr>
        <w:t>(Zhang, Xie, &amp; Xu, 2024; Sun, 2024).</w:t>
      </w:r>
      <w:r w:rsidR="004F6A68" w:rsidRPr="00513181">
        <w:rPr>
          <w:rFonts w:ascii="Times New Roman" w:hAnsi="Times New Roman" w:cs="Times New Roman"/>
        </w:rPr>
        <w:t xml:space="preserve"> </w:t>
      </w:r>
    </w:p>
    <w:p w14:paraId="298FDD97" w14:textId="77777777" w:rsidR="00A64BE8" w:rsidRPr="00513181" w:rsidRDefault="00A64BE8" w:rsidP="00A64BE8">
      <w:pPr>
        <w:jc w:val="both"/>
        <w:rPr>
          <w:rFonts w:ascii="Times New Roman" w:hAnsi="Times New Roman" w:cs="Times New Roman"/>
        </w:rPr>
      </w:pPr>
      <w:r w:rsidRPr="00513181">
        <w:rPr>
          <w:rFonts w:ascii="Times New Roman" w:hAnsi="Times New Roman" w:cs="Times New Roman"/>
          <w:b/>
          <w:bCs/>
        </w:rPr>
        <w:t>Table 4. Heterogeneity Tests</w:t>
      </w:r>
    </w:p>
    <w:tbl>
      <w:tblPr>
        <w:tblW w:w="0" w:type="auto"/>
        <w:tblInd w:w="60"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451"/>
        <w:gridCol w:w="1109"/>
        <w:gridCol w:w="1097"/>
        <w:gridCol w:w="1532"/>
        <w:gridCol w:w="1521"/>
        <w:gridCol w:w="1282"/>
        <w:gridCol w:w="1292"/>
      </w:tblGrid>
      <w:tr w:rsidR="00657097" w:rsidRPr="00513181" w14:paraId="6FB63577"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2CB6DCD"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4024B9"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SOE (1)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CD791D"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Non-SOE (2)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9AC384F"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Highly Competitive (3)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EF90252"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Lowly Competitive (4)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1DAD28A"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Southern Region (5) 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2CBCE4D" w14:textId="77777777" w:rsidR="00657097" w:rsidRPr="00513181" w:rsidRDefault="00657097" w:rsidP="00657097">
            <w:pPr>
              <w:jc w:val="both"/>
              <w:rPr>
                <w:rFonts w:ascii="Times New Roman" w:hAnsi="Times New Roman" w:cs="Times New Roman"/>
                <w:b/>
                <w:bCs/>
                <w:sz w:val="20"/>
                <w:szCs w:val="20"/>
              </w:rPr>
            </w:pPr>
            <w:r w:rsidRPr="00513181">
              <w:rPr>
                <w:rFonts w:ascii="Times New Roman" w:hAnsi="Times New Roman" w:cs="Times New Roman"/>
                <w:b/>
                <w:bCs/>
                <w:sz w:val="20"/>
                <w:szCs w:val="20"/>
              </w:rPr>
              <w:t>Northern Region (6) CSP</w:t>
            </w:r>
          </w:p>
        </w:tc>
      </w:tr>
      <w:tr w:rsidR="00657097" w:rsidRPr="00513181" w14:paraId="34B08FF7"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C2DF9BC"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AD28387" w14:textId="3066BCE8"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0.055**</w:t>
            </w:r>
            <w:r w:rsidR="0080142D" w:rsidRPr="00513181">
              <w:rPr>
                <w:rFonts w:ascii="Times New Roman" w:hAnsi="Times New Roman" w:cs="Times New Roman"/>
                <w:sz w:val="20"/>
                <w:szCs w:val="20"/>
              </w:rPr>
              <w:t xml:space="preserve"> (2.400)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0CB0E8" w14:textId="79BBB048"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0.105***</w:t>
            </w:r>
            <w:r w:rsidR="0080142D" w:rsidRPr="00513181">
              <w:rPr>
                <w:rFonts w:ascii="Times New Roman" w:hAnsi="Times New Roman" w:cs="Times New Roman"/>
                <w:sz w:val="20"/>
                <w:szCs w:val="20"/>
              </w:rPr>
              <w:t xml:space="preserve"> (7.300)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6EB661C" w14:textId="1DE6DAFD"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0.095***</w:t>
            </w:r>
            <w:r w:rsidR="0080142D" w:rsidRPr="00513181">
              <w:rPr>
                <w:rFonts w:ascii="Times New Roman" w:hAnsi="Times New Roman" w:cs="Times New Roman"/>
                <w:sz w:val="20"/>
                <w:szCs w:val="20"/>
              </w:rPr>
              <w:t xml:space="preserve"> (6.400)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FB911FE" w14:textId="7069E8C5"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0.075***</w:t>
            </w:r>
            <w:r w:rsidR="0080142D" w:rsidRPr="00513181">
              <w:rPr>
                <w:rFonts w:ascii="Times New Roman" w:hAnsi="Times New Roman" w:cs="Times New Roman"/>
                <w:sz w:val="20"/>
                <w:szCs w:val="20"/>
              </w:rPr>
              <w:t xml:space="preserve"> (3.800)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9F4249A" w14:textId="2A13BB43"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0.070***</w:t>
            </w:r>
            <w:r w:rsidR="0080142D" w:rsidRPr="00513181">
              <w:rPr>
                <w:rFonts w:ascii="Times New Roman" w:hAnsi="Times New Roman" w:cs="Times New Roman"/>
                <w:sz w:val="20"/>
                <w:szCs w:val="20"/>
              </w:rPr>
              <w:t xml:space="preserve"> (5.200)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62CEDED" w14:textId="5203D02E"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0.130***</w:t>
            </w:r>
            <w:r w:rsidR="0080142D" w:rsidRPr="00513181">
              <w:rPr>
                <w:rFonts w:ascii="Times New Roman" w:hAnsi="Times New Roman" w:cs="Times New Roman"/>
                <w:sz w:val="20"/>
                <w:szCs w:val="20"/>
              </w:rPr>
              <w:t xml:space="preserve"> (4.600)</w:t>
            </w:r>
          </w:p>
        </w:tc>
      </w:tr>
      <w:tr w:rsidR="00657097" w:rsidRPr="00513181" w14:paraId="76311D2D"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0589499"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Controls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1498F9D"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1778AA"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57CEAB2"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449FCF"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B38651"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D349B2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72031B1F"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5394AC5"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1F6587D"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2AD5C9F"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FC715DB"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39E4115"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933AA40"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17617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504A163F"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C346EF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292F47F"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ABA671B"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C124EC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564FC3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E2C8E3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E59A634"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Positive</w:t>
            </w:r>
          </w:p>
        </w:tc>
      </w:tr>
      <w:tr w:rsidR="00657097" w:rsidRPr="00513181" w14:paraId="2EB4C704"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444461"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Observations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0020B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3,500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F4FB42"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9,000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357CB7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A25B92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6,500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3CB8B3"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8,000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8869953"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4,500</w:t>
            </w:r>
          </w:p>
        </w:tc>
      </w:tr>
      <w:tr w:rsidR="00657097" w:rsidRPr="00513181" w14:paraId="1AAFC684"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843B154"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Adj. R-squared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7F6CB4C"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0.255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1E1C5A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0.180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D6957FC"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0.170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D614C1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0.195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8B0FDC7"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0.185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0472AA"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0.245</w:t>
            </w:r>
          </w:p>
        </w:tc>
      </w:tr>
      <w:tr w:rsidR="00657097" w:rsidRPr="00513181" w14:paraId="42E9EB97" w14:textId="77777777" w:rsidTr="00657097">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45F78DD"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b/>
                <w:bCs/>
                <w:sz w:val="20"/>
                <w:szCs w:val="20"/>
              </w:rPr>
              <w:t>Chow test</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DAC97FE"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80.000***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14FBFB8"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6.000***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B7AC486" w14:textId="77777777" w:rsidR="00657097" w:rsidRPr="00513181" w:rsidRDefault="00657097" w:rsidP="00657097">
            <w:pPr>
              <w:jc w:val="both"/>
              <w:rPr>
                <w:rFonts w:ascii="Times New Roman" w:hAnsi="Times New Roman" w:cs="Times New Roman"/>
                <w:sz w:val="20"/>
                <w:szCs w:val="20"/>
              </w:rPr>
            </w:pPr>
            <w:r w:rsidRPr="00513181">
              <w:rPr>
                <w:rFonts w:ascii="Times New Roman" w:hAnsi="Times New Roman" w:cs="Times New Roman"/>
                <w:sz w:val="20"/>
                <w:szCs w:val="20"/>
              </w:rPr>
              <w:t>16.000***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7FD1F183" w14:textId="77777777" w:rsidR="00657097" w:rsidRPr="00513181" w:rsidRDefault="00657097" w:rsidP="00657097">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42B2E92" w14:textId="77777777" w:rsidR="00657097" w:rsidRPr="00513181" w:rsidRDefault="00657097" w:rsidP="00657097">
            <w:pPr>
              <w:jc w:val="both"/>
              <w:rPr>
                <w:rFonts w:ascii="Times New Roman" w:hAnsi="Times New Roman" w:cs="Times New Roman"/>
                <w:sz w:val="20"/>
                <w:szCs w:val="20"/>
              </w:rPr>
            </w:pPr>
          </w:p>
        </w:tc>
        <w:tc>
          <w:tcPr>
            <w:tcW w:w="0" w:type="auto"/>
            <w:shd w:val="clear" w:color="auto" w:fill="FAFAFA"/>
            <w:vAlign w:val="center"/>
            <w:hideMark/>
          </w:tcPr>
          <w:p w14:paraId="77A653CE" w14:textId="77777777" w:rsidR="00657097" w:rsidRPr="00513181" w:rsidRDefault="00657097" w:rsidP="00657097">
            <w:pPr>
              <w:jc w:val="both"/>
              <w:rPr>
                <w:rFonts w:ascii="Times New Roman" w:hAnsi="Times New Roman" w:cs="Times New Roman"/>
                <w:sz w:val="20"/>
                <w:szCs w:val="20"/>
              </w:rPr>
            </w:pPr>
          </w:p>
        </w:tc>
      </w:tr>
    </w:tbl>
    <w:p w14:paraId="64608AB5" w14:textId="6EAC117F" w:rsidR="006167BB" w:rsidRPr="00513181" w:rsidRDefault="00240E50" w:rsidP="006167BB">
      <w:pPr>
        <w:jc w:val="both"/>
        <w:rPr>
          <w:rFonts w:ascii="Times New Roman" w:hAnsi="Times New Roman" w:cs="Times New Roman"/>
        </w:rPr>
      </w:pPr>
      <w:r w:rsidRPr="00513181">
        <w:rPr>
          <w:rFonts w:ascii="Times New Roman" w:hAnsi="Times New Roman" w:cs="Times New Roman"/>
        </w:rPr>
        <w:t>Notes: *, **, and *** denote that every statistic is significant at the 10%, 5%, and 1 % levels, respectively; t-values are shown in brackets</w:t>
      </w:r>
      <w:r w:rsidR="006167BB" w:rsidRPr="00513181">
        <w:rPr>
          <w:rFonts w:ascii="Times New Roman" w:hAnsi="Times New Roman" w:cs="Times New Roman"/>
        </w:rPr>
        <w:t>.</w:t>
      </w:r>
    </w:p>
    <w:p w14:paraId="35E241DA" w14:textId="705DFA9E" w:rsidR="0084618C" w:rsidRPr="00513181" w:rsidRDefault="004F6A68" w:rsidP="00DF7FDB">
      <w:pPr>
        <w:jc w:val="both"/>
        <w:rPr>
          <w:rFonts w:ascii="Times New Roman" w:hAnsi="Times New Roman" w:cs="Times New Roman"/>
          <w:i/>
          <w:iCs/>
        </w:rPr>
      </w:pPr>
      <w:r w:rsidRPr="00513181">
        <w:rPr>
          <w:rFonts w:ascii="Times New Roman" w:hAnsi="Times New Roman" w:cs="Times New Roman"/>
          <w:i/>
          <w:iCs/>
        </w:rPr>
        <w:t xml:space="preserve">4.4.2. </w:t>
      </w:r>
      <w:r w:rsidR="007F7071" w:rsidRPr="00513181">
        <w:rPr>
          <w:rFonts w:ascii="Times New Roman" w:hAnsi="Times New Roman" w:cs="Times New Roman"/>
          <w:i/>
          <w:iCs/>
        </w:rPr>
        <w:t>Corporate level heterogeneity</w:t>
      </w:r>
      <w:r w:rsidRPr="00513181">
        <w:rPr>
          <w:rFonts w:ascii="Times New Roman" w:hAnsi="Times New Roman" w:cs="Times New Roman"/>
          <w:i/>
          <w:iCs/>
        </w:rPr>
        <w:t xml:space="preserve">: </w:t>
      </w:r>
    </w:p>
    <w:p w14:paraId="5460FC81" w14:textId="38493B57" w:rsidR="006A5A76" w:rsidRPr="00513181" w:rsidRDefault="001E391B" w:rsidP="00DF7FDB">
      <w:pPr>
        <w:jc w:val="both"/>
        <w:rPr>
          <w:rFonts w:ascii="Times New Roman" w:hAnsi="Times New Roman" w:cs="Times New Roman"/>
        </w:rPr>
      </w:pPr>
      <w:r w:rsidRPr="00513181">
        <w:rPr>
          <w:rFonts w:ascii="Times New Roman" w:hAnsi="Times New Roman" w:cs="Times New Roman"/>
        </w:rPr>
        <w:t xml:space="preserve">Market dominance and competitive positions significantly influence firms' decision-making processes. Companies with strong competitive positions are less affected by the actions of their peers. </w:t>
      </w:r>
      <w:r w:rsidR="00240E50" w:rsidRPr="00513181">
        <w:rPr>
          <w:rFonts w:ascii="Times New Roman" w:hAnsi="Times New Roman" w:cs="Times New Roman"/>
        </w:rPr>
        <w:t>We use Zhang et al. (2024)'s methodology to generate the Lerner index in order to evaluate market competition</w:t>
      </w:r>
      <w:r w:rsidRPr="00513181">
        <w:rPr>
          <w:rFonts w:ascii="Times New Roman" w:hAnsi="Times New Roman" w:cs="Times New Roman"/>
        </w:rPr>
        <w:t xml:space="preserve">. Firms with a Lerner index above the industry median are classified as highly competitive, while those below are considered less competitive. Eco-friendly investors positively impact the sustainable performance of both highly and less competitive enterprises, as shown in Table 4. However, the effect is more pronounced in highly competitive environments. </w:t>
      </w:r>
      <w:r w:rsidR="00240E50" w:rsidRPr="00513181">
        <w:rPr>
          <w:rFonts w:ascii="Times New Roman" w:hAnsi="Times New Roman" w:cs="Times New Roman"/>
        </w:rPr>
        <w:t>An increase of 1% in eco-conscious investors results in a 0.091% enhancement in sustainable performance for firms with high competitiveness, in contrast to a 0.072% improvement for firms with lower competitiveness</w:t>
      </w:r>
      <w:r w:rsidRPr="00513181">
        <w:rPr>
          <w:rFonts w:ascii="Times New Roman" w:hAnsi="Times New Roman" w:cs="Times New Roman"/>
        </w:rPr>
        <w:t xml:space="preserve">. This suggests that eco-conscious investors </w:t>
      </w:r>
      <w:r w:rsidR="003F4844" w:rsidRPr="00513181">
        <w:rPr>
          <w:rFonts w:ascii="Times New Roman" w:hAnsi="Times New Roman" w:cs="Times New Roman"/>
        </w:rPr>
        <w:t>significantly influence</w:t>
      </w:r>
      <w:r w:rsidRPr="00513181">
        <w:rPr>
          <w:rFonts w:ascii="Times New Roman" w:hAnsi="Times New Roman" w:cs="Times New Roman"/>
        </w:rPr>
        <w:t xml:space="preserve"> sustainability performance in highly competitive firms (Edmans, Gosling, &amp; </w:t>
      </w:r>
      <w:proofErr w:type="spellStart"/>
      <w:r w:rsidRPr="00513181">
        <w:rPr>
          <w:rFonts w:ascii="Times New Roman" w:hAnsi="Times New Roman" w:cs="Times New Roman"/>
        </w:rPr>
        <w:t>Jenter</w:t>
      </w:r>
      <w:proofErr w:type="spellEnd"/>
      <w:r w:rsidRPr="00513181">
        <w:rPr>
          <w:rFonts w:ascii="Times New Roman" w:hAnsi="Times New Roman" w:cs="Times New Roman"/>
        </w:rPr>
        <w:t xml:space="preserve">, 2024; </w:t>
      </w:r>
      <w:proofErr w:type="spellStart"/>
      <w:r w:rsidRPr="00513181">
        <w:rPr>
          <w:rFonts w:ascii="Times New Roman" w:hAnsi="Times New Roman" w:cs="Times New Roman"/>
        </w:rPr>
        <w:t>Maslansky</w:t>
      </w:r>
      <w:proofErr w:type="spellEnd"/>
      <w:r w:rsidRPr="00513181">
        <w:rPr>
          <w:rFonts w:ascii="Times New Roman" w:hAnsi="Times New Roman" w:cs="Times New Roman"/>
        </w:rPr>
        <w:t xml:space="preserve"> &amp; Howard, 2024)</w:t>
      </w:r>
      <w:r w:rsidR="006A5A76" w:rsidRPr="00513181">
        <w:rPr>
          <w:rFonts w:ascii="Times New Roman" w:hAnsi="Times New Roman" w:cs="Times New Roman"/>
        </w:rPr>
        <w:t xml:space="preserve">. </w:t>
      </w:r>
    </w:p>
    <w:p w14:paraId="1A6A1EF3" w14:textId="27C3C2B9" w:rsidR="006A5A76" w:rsidRPr="00513181" w:rsidRDefault="006A5A76" w:rsidP="00DF7FDB">
      <w:pPr>
        <w:jc w:val="both"/>
        <w:rPr>
          <w:rFonts w:ascii="Times New Roman" w:hAnsi="Times New Roman" w:cs="Times New Roman"/>
        </w:rPr>
      </w:pPr>
      <w:r w:rsidRPr="00513181">
        <w:rPr>
          <w:rFonts w:ascii="Times New Roman" w:hAnsi="Times New Roman" w:cs="Times New Roman"/>
        </w:rPr>
        <w:lastRenderedPageBreak/>
        <w:t xml:space="preserve">4.4.3. Variability across regions </w:t>
      </w:r>
    </w:p>
    <w:p w14:paraId="469BF57A" w14:textId="1DE99045" w:rsidR="00C7291F" w:rsidRPr="00513181" w:rsidRDefault="00102463" w:rsidP="00DF7FDB">
      <w:pPr>
        <w:jc w:val="both"/>
        <w:rPr>
          <w:rFonts w:ascii="Times New Roman" w:hAnsi="Times New Roman" w:cs="Times New Roman"/>
        </w:rPr>
      </w:pPr>
      <w:r w:rsidRPr="00513181">
        <w:rPr>
          <w:rFonts w:ascii="Times New Roman" w:hAnsi="Times New Roman" w:cs="Times New Roman"/>
        </w:rPr>
        <w:t xml:space="preserve">Japan's economic development shows an apparent regional disparity, with rapid growth in the south and slower progress in the north. </w:t>
      </w:r>
      <w:r w:rsidR="00F578AF" w:rsidRPr="00513181">
        <w:rPr>
          <w:rFonts w:ascii="Times New Roman" w:hAnsi="Times New Roman" w:cs="Times New Roman"/>
        </w:rPr>
        <w:t>We divide the 31 mainland provinces into North and South regions to address these differences</w:t>
      </w:r>
      <w:r w:rsidRPr="00513181">
        <w:rPr>
          <w:rFonts w:ascii="Times New Roman" w:hAnsi="Times New Roman" w:cs="Times New Roman"/>
        </w:rPr>
        <w:t xml:space="preserve">. Our study examines </w:t>
      </w:r>
      <w:r w:rsidR="00F578AF" w:rsidRPr="00513181">
        <w:rPr>
          <w:rFonts w:ascii="Times New Roman" w:hAnsi="Times New Roman" w:cs="Times New Roman"/>
        </w:rPr>
        <w:t>eco-friendly investors' impact on corporate sustainable performance</w:t>
      </w:r>
      <w:r w:rsidRPr="00513181">
        <w:rPr>
          <w:rFonts w:ascii="Times New Roman" w:hAnsi="Times New Roman" w:cs="Times New Roman"/>
        </w:rPr>
        <w:t xml:space="preserve"> in these areas. As detailed in Table 4, the coefficient for Northern firms is significantly higher than Southern firms. A 1% increase in eco-conscious investors enhances the sustainable performance of Southern firms by 0.069%, while Northern firms see a more substantial improvement of 0.128%. </w:t>
      </w:r>
      <w:r w:rsidR="008E606C" w:rsidRPr="00513181">
        <w:rPr>
          <w:rFonts w:ascii="Times New Roman" w:hAnsi="Times New Roman" w:cs="Times New Roman"/>
        </w:rPr>
        <w:t xml:space="preserve">This implies that </w:t>
      </w:r>
      <w:r w:rsidR="00E9659F" w:rsidRPr="00513181">
        <w:rPr>
          <w:rFonts w:ascii="Times New Roman" w:hAnsi="Times New Roman" w:cs="Times New Roman"/>
        </w:rPr>
        <w:t>eco-friendly</w:t>
      </w:r>
      <w:r w:rsidR="008E606C" w:rsidRPr="00513181">
        <w:rPr>
          <w:rFonts w:ascii="Times New Roman" w:hAnsi="Times New Roman" w:cs="Times New Roman"/>
        </w:rPr>
        <w:t xml:space="preserve"> investors have a greater influence on the long-term viability of companies in the North than in the South (Yanagi, 2025; OECD, 2024)</w:t>
      </w:r>
      <w:r w:rsidRPr="00513181">
        <w:rPr>
          <w:rFonts w:ascii="Times New Roman" w:hAnsi="Times New Roman" w:cs="Times New Roman"/>
        </w:rPr>
        <w:t>.</w:t>
      </w:r>
      <w:r w:rsidR="004F6A68" w:rsidRPr="00513181">
        <w:rPr>
          <w:rFonts w:ascii="Times New Roman" w:hAnsi="Times New Roman" w:cs="Times New Roman"/>
        </w:rPr>
        <w:t xml:space="preserve"> </w:t>
      </w:r>
    </w:p>
    <w:p w14:paraId="43E26445" w14:textId="77777777" w:rsidR="006A5A76" w:rsidRPr="00513181" w:rsidRDefault="006A5A76" w:rsidP="00DF7FDB">
      <w:pPr>
        <w:jc w:val="both"/>
        <w:rPr>
          <w:rFonts w:ascii="Times New Roman" w:hAnsi="Times New Roman" w:cs="Times New Roman"/>
          <w:i/>
          <w:iCs/>
        </w:rPr>
      </w:pPr>
      <w:r w:rsidRPr="00513181">
        <w:rPr>
          <w:rFonts w:ascii="Times New Roman" w:hAnsi="Times New Roman" w:cs="Times New Roman"/>
          <w:i/>
          <w:iCs/>
        </w:rPr>
        <w:t xml:space="preserve">4.5. Testing Mechanisms </w:t>
      </w:r>
    </w:p>
    <w:p w14:paraId="46E47979" w14:textId="47526105" w:rsidR="006A5A76" w:rsidRPr="00513181" w:rsidRDefault="006A5A76" w:rsidP="00DF7FDB">
      <w:pPr>
        <w:jc w:val="both"/>
        <w:rPr>
          <w:rFonts w:ascii="Times New Roman" w:hAnsi="Times New Roman" w:cs="Times New Roman"/>
          <w:i/>
          <w:iCs/>
        </w:rPr>
      </w:pPr>
      <w:r w:rsidRPr="00513181">
        <w:rPr>
          <w:rFonts w:ascii="Times New Roman" w:hAnsi="Times New Roman" w:cs="Times New Roman"/>
          <w:i/>
          <w:iCs/>
        </w:rPr>
        <w:t>4.5.1</w:t>
      </w:r>
      <w:r w:rsidR="003C0206" w:rsidRPr="00513181">
        <w:rPr>
          <w:rFonts w:ascii="Times New Roman" w:hAnsi="Times New Roman" w:cs="Times New Roman"/>
          <w:i/>
          <w:iCs/>
        </w:rPr>
        <w:t xml:space="preserve">. View on Restrictions of Internal </w:t>
      </w:r>
      <w:r w:rsidR="00E80BC0" w:rsidRPr="00513181">
        <w:rPr>
          <w:rFonts w:ascii="Times New Roman" w:hAnsi="Times New Roman" w:cs="Times New Roman"/>
          <w:i/>
          <w:iCs/>
        </w:rPr>
        <w:t>Funding</w:t>
      </w:r>
      <w:r w:rsidR="003C0206" w:rsidRPr="00513181">
        <w:rPr>
          <w:rFonts w:ascii="Times New Roman" w:hAnsi="Times New Roman" w:cs="Times New Roman"/>
          <w:i/>
          <w:iCs/>
        </w:rPr>
        <w:t xml:space="preserve"> </w:t>
      </w:r>
      <w:r w:rsidRPr="00513181">
        <w:rPr>
          <w:rFonts w:ascii="Times New Roman" w:hAnsi="Times New Roman" w:cs="Times New Roman"/>
          <w:i/>
          <w:iCs/>
        </w:rPr>
        <w:t xml:space="preserve"> </w:t>
      </w:r>
    </w:p>
    <w:p w14:paraId="0CD7D373" w14:textId="004B7EFC" w:rsidR="006A5A76" w:rsidRPr="00513181" w:rsidRDefault="00BB45D8" w:rsidP="00E07BF7">
      <w:pPr>
        <w:jc w:val="both"/>
        <w:rPr>
          <w:rFonts w:ascii="Times New Roman" w:hAnsi="Times New Roman" w:cs="Times New Roman"/>
        </w:rPr>
      </w:pPr>
      <w:r w:rsidRPr="00513181">
        <w:rPr>
          <w:rFonts w:ascii="Times New Roman" w:hAnsi="Times New Roman" w:cs="Times New Roman"/>
        </w:rPr>
        <w:t xml:space="preserve">Funding is a crucial element of business operations, significantly influencing decision-making processes. </w:t>
      </w:r>
      <w:r w:rsidR="00E07BF7" w:rsidRPr="00513181">
        <w:rPr>
          <w:rFonts w:ascii="Times New Roman" w:hAnsi="Times New Roman" w:cs="Times New Roman"/>
        </w:rPr>
        <w:t>On the basis of the methodology of Kim and Park (2015), using SA index, this study measures funding constraints of publicly traded companies. We seek to investigate the effect of ecofriendly investors on corporate sustainability performance, especially in the case of funding restrictions. The first and second columns of Table 5 show the test results of financing limitation mechanism. First, the first column from the regression analysis exhibits a significantly negative coefficient on SA which comes in at the one percent level and it means that environmentally conscious investors abate the corporation's financial difficulties (Gao et al., 2024). Also, the regression results of the second column show that the coefficient of SA on CSP at the 1% significance level, suggesting that lowering the internal funding restrictions may significantly enhance the corporate sustainable performance (KPMG 2024). The results also imply that eco-friendly investors are correlated with good corporate sustainability performance of mitigating financial constraints, thereby confirming hypothesis H2 of this study.</w:t>
      </w:r>
    </w:p>
    <w:p w14:paraId="209BDE8F" w14:textId="5BCC901B" w:rsidR="006A5A76" w:rsidRPr="00513181" w:rsidRDefault="006A5A76" w:rsidP="00DF7FDB">
      <w:pPr>
        <w:jc w:val="both"/>
        <w:rPr>
          <w:rFonts w:ascii="Times New Roman" w:hAnsi="Times New Roman" w:cs="Times New Roman"/>
          <w:i/>
          <w:iCs/>
        </w:rPr>
      </w:pPr>
      <w:r w:rsidRPr="00513181">
        <w:rPr>
          <w:rFonts w:ascii="Times New Roman" w:hAnsi="Times New Roman" w:cs="Times New Roman"/>
          <w:i/>
          <w:iCs/>
        </w:rPr>
        <w:t xml:space="preserve">4.5.2. Perspective on </w:t>
      </w:r>
      <w:r w:rsidR="003C0206" w:rsidRPr="00513181">
        <w:rPr>
          <w:rFonts w:ascii="Times New Roman" w:hAnsi="Times New Roman" w:cs="Times New Roman"/>
          <w:i/>
          <w:iCs/>
        </w:rPr>
        <w:t>External Public Ecology Fears</w:t>
      </w:r>
      <w:r w:rsidRPr="00513181">
        <w:rPr>
          <w:rFonts w:ascii="Times New Roman" w:hAnsi="Times New Roman" w:cs="Times New Roman"/>
          <w:i/>
          <w:iCs/>
        </w:rPr>
        <w:t xml:space="preserve"> </w:t>
      </w:r>
    </w:p>
    <w:p w14:paraId="5091EFA6" w14:textId="77777777" w:rsidR="00A35322" w:rsidRPr="00513181" w:rsidRDefault="00A35322" w:rsidP="00A35322">
      <w:pPr>
        <w:jc w:val="both"/>
        <w:rPr>
          <w:rFonts w:ascii="Times New Roman" w:hAnsi="Times New Roman" w:cs="Times New Roman"/>
        </w:rPr>
      </w:pPr>
      <w:r w:rsidRPr="00513181">
        <w:rPr>
          <w:rFonts w:ascii="Times New Roman" w:hAnsi="Times New Roman" w:cs="Times New Roman"/>
        </w:rPr>
        <w:t>In the present day, public concerns have to hold strong consideration in the process of modern governance, nonetheless, significantly affecting business production and operations (Gu et al., 2022). Moreover, we use Google Trends index to track public search volumes of specific environment related terms to gauge public ecological concerns. Every Japanese city uses prefecture-level Python scripts to scrape daily average search volumes of keywords like ‘ecological contamination’ and ‘air quality.’ These volumes are added up and converted (Google Trends, n.d.) in order to use the natural logarithm of them as a stand-in for the amount of public ecological fear (PEF).</w:t>
      </w:r>
    </w:p>
    <w:p w14:paraId="6B60C790" w14:textId="37776E27" w:rsidR="0096116B" w:rsidRPr="00513181" w:rsidRDefault="00A35322" w:rsidP="00A35322">
      <w:pPr>
        <w:jc w:val="both"/>
        <w:rPr>
          <w:rFonts w:ascii="Times New Roman" w:hAnsi="Times New Roman" w:cs="Times New Roman"/>
        </w:rPr>
      </w:pPr>
      <w:r w:rsidRPr="00513181">
        <w:rPr>
          <w:rFonts w:ascii="Times New Roman" w:hAnsi="Times New Roman" w:cs="Times New Roman"/>
        </w:rPr>
        <w:t xml:space="preserve">The results from the mechanism test of public ecological anxieties are reported in the third and fourth columns of Table 5. However, as shown in column three, since the correlation coefficient between EFI and PEF is also significant at the one percent level, the regression results can establish </w:t>
      </w:r>
      <w:r w:rsidRPr="00513181">
        <w:rPr>
          <w:rFonts w:ascii="Times New Roman" w:hAnsi="Times New Roman" w:cs="Times New Roman"/>
        </w:rPr>
        <w:lastRenderedPageBreak/>
        <w:t xml:space="preserve">a statistically significant link. This implies that environmentally aware investors play a substantial positive role in public environmental issues about enterprises, as </w:t>
      </w:r>
      <w:r w:rsidR="000C6790" w:rsidRPr="00513181">
        <w:rPr>
          <w:rFonts w:ascii="Times New Roman" w:hAnsi="Times New Roman" w:cs="Times New Roman"/>
        </w:rPr>
        <w:t>Tang</w:t>
      </w:r>
      <w:r w:rsidRPr="00513181">
        <w:rPr>
          <w:rFonts w:ascii="Times New Roman" w:hAnsi="Times New Roman" w:cs="Times New Roman"/>
        </w:rPr>
        <w:t xml:space="preserve"> et al. (202</w:t>
      </w:r>
      <w:r w:rsidR="000C6790" w:rsidRPr="00513181">
        <w:rPr>
          <w:rFonts w:ascii="Times New Roman" w:hAnsi="Times New Roman" w:cs="Times New Roman"/>
        </w:rPr>
        <w:t>4</w:t>
      </w:r>
      <w:r w:rsidRPr="00513181">
        <w:rPr>
          <w:rFonts w:ascii="Times New Roman" w:hAnsi="Times New Roman" w:cs="Times New Roman"/>
        </w:rPr>
        <w:t>) explain. Moreover, the result in the fourth column also supports that the correlation coefficient between PEF and CSP is significantly positively correlated at the 1 percent level, which contends that the higher the level of public ecology fears is, the more positively it will promote the sustainability performance of businesses. (</w:t>
      </w:r>
      <w:r w:rsidR="005D032E" w:rsidRPr="00513181">
        <w:rPr>
          <w:rFonts w:ascii="Times New Roman" w:hAnsi="Times New Roman" w:cs="Times New Roman"/>
        </w:rPr>
        <w:t>Tao</w:t>
      </w:r>
      <w:r w:rsidRPr="00513181">
        <w:rPr>
          <w:rFonts w:ascii="Times New Roman" w:hAnsi="Times New Roman" w:cs="Times New Roman"/>
        </w:rPr>
        <w:t xml:space="preserve"> et al., 2023). In addition, the regression analysis in column four reveals that PEF on CSP is considerably a positive correlation at the scaled one percent level, indicating that a higher level of public ecology fearfulness towards businesses has a positive influence on the business sustainability performance (</w:t>
      </w:r>
      <w:r w:rsidR="005D032E" w:rsidRPr="00513181">
        <w:rPr>
          <w:rFonts w:ascii="Times New Roman" w:hAnsi="Times New Roman" w:cs="Times New Roman"/>
        </w:rPr>
        <w:t>Tao</w:t>
      </w:r>
      <w:r w:rsidRPr="00513181">
        <w:rPr>
          <w:rFonts w:ascii="Times New Roman" w:hAnsi="Times New Roman" w:cs="Times New Roman"/>
        </w:rPr>
        <w:t xml:space="preserve"> et al., 2023). The existence of such link between eco-friendly investors and sustainable performance of the companies based on the public ecological fears ensures the validation of hypothesis H3 in this research (Eccles &amp; Klimenko, 2019).</w:t>
      </w:r>
    </w:p>
    <w:p w14:paraId="32857605" w14:textId="37725051" w:rsidR="00461FF9" w:rsidRPr="00513181" w:rsidRDefault="00461FF9" w:rsidP="00461FF9">
      <w:pPr>
        <w:jc w:val="both"/>
        <w:rPr>
          <w:rFonts w:ascii="Times New Roman" w:hAnsi="Times New Roman" w:cs="Times New Roman"/>
          <w:b/>
          <w:bCs/>
        </w:rPr>
      </w:pPr>
      <w:r w:rsidRPr="00513181">
        <w:rPr>
          <w:rFonts w:ascii="Times New Roman" w:hAnsi="Times New Roman" w:cs="Times New Roman"/>
          <w:b/>
          <w:bCs/>
        </w:rPr>
        <w:t xml:space="preserve">Table 5. </w:t>
      </w:r>
      <w:r w:rsidR="00EB639C" w:rsidRPr="00513181">
        <w:rPr>
          <w:rFonts w:ascii="Times New Roman" w:hAnsi="Times New Roman" w:cs="Times New Roman"/>
          <w:b/>
          <w:bCs/>
        </w:rPr>
        <w:t xml:space="preserve">Tests for </w:t>
      </w:r>
      <w:r w:rsidRPr="00513181">
        <w:rPr>
          <w:rFonts w:ascii="Times New Roman" w:hAnsi="Times New Roman" w:cs="Times New Roman"/>
          <w:b/>
          <w:bCs/>
        </w:rPr>
        <w:t xml:space="preserve">Mechanism </w:t>
      </w:r>
    </w:p>
    <w:tbl>
      <w:tblPr>
        <w:tblW w:w="0" w:type="auto"/>
        <w:tblInd w:w="75" w:type="dxa"/>
        <w:tblBorders>
          <w:top w:val="single" w:sz="6" w:space="0" w:color="auto"/>
          <w:left w:val="single" w:sz="6" w:space="0" w:color="auto"/>
          <w:bottom w:val="single" w:sz="6" w:space="0" w:color="auto"/>
          <w:right w:val="single" w:sz="6" w:space="0" w:color="auto"/>
        </w:tblBorders>
        <w:shd w:val="clear" w:color="auto" w:fill="FAFAFA"/>
        <w:tblCellMar>
          <w:top w:w="15" w:type="dxa"/>
          <w:left w:w="15" w:type="dxa"/>
          <w:bottom w:w="15" w:type="dxa"/>
          <w:right w:w="15" w:type="dxa"/>
        </w:tblCellMar>
        <w:tblLook w:val="04A0" w:firstRow="1" w:lastRow="0" w:firstColumn="1" w:lastColumn="0" w:noHBand="0" w:noVBand="1"/>
      </w:tblPr>
      <w:tblGrid>
        <w:gridCol w:w="1284"/>
        <w:gridCol w:w="1940"/>
        <w:gridCol w:w="2000"/>
        <w:gridCol w:w="2019"/>
        <w:gridCol w:w="2026"/>
      </w:tblGrid>
      <w:tr w:rsidR="00461FF9" w:rsidRPr="00513181" w14:paraId="195AB324" w14:textId="77777777" w:rsidTr="00A35322">
        <w:trPr>
          <w:tblHeader/>
        </w:trPr>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0D6E5D" w14:textId="3673947A" w:rsidR="00461FF9" w:rsidRPr="00513181" w:rsidRDefault="00D56840"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Constructs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F4FC9BE" w14:textId="64E6E5A4"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Internal</w:t>
            </w:r>
            <w:r w:rsidR="0014208C" w:rsidRPr="00513181">
              <w:rPr>
                <w:rFonts w:ascii="Times New Roman" w:hAnsi="Times New Roman" w:cs="Times New Roman"/>
                <w:b/>
                <w:bCs/>
                <w:sz w:val="20"/>
                <w:szCs w:val="20"/>
              </w:rPr>
              <w:t xml:space="preserve"> </w:t>
            </w:r>
            <w:r w:rsidRPr="00513181">
              <w:rPr>
                <w:rFonts w:ascii="Times New Roman" w:hAnsi="Times New Roman" w:cs="Times New Roman"/>
                <w:b/>
                <w:bCs/>
                <w:sz w:val="20"/>
                <w:szCs w:val="20"/>
              </w:rPr>
              <w:t>Mechanism (1)</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SA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2FB3D57" w14:textId="0B307CE8"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Internal Mechanism (2)</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CSP</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B6CF8BE" w14:textId="4B33226D"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External Mechanism (3)</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PE</w:t>
            </w:r>
            <w:r w:rsidR="002A00F1" w:rsidRPr="00513181">
              <w:rPr>
                <w:rFonts w:ascii="Times New Roman" w:hAnsi="Times New Roman" w:cs="Times New Roman"/>
                <w:sz w:val="20"/>
                <w:szCs w:val="20"/>
              </w:rPr>
              <w:t>F</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E8F4519" w14:textId="0D9C3058"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External Mechanism (4)</w:t>
            </w:r>
            <w:r w:rsidR="00376D8B" w:rsidRPr="00513181">
              <w:rPr>
                <w:rFonts w:ascii="Times New Roman" w:hAnsi="Times New Roman" w:cs="Times New Roman"/>
                <w:b/>
                <w:bCs/>
                <w:sz w:val="20"/>
                <w:szCs w:val="20"/>
              </w:rPr>
              <w:t xml:space="preserve"> </w:t>
            </w:r>
            <w:r w:rsidR="00376D8B" w:rsidRPr="00513181">
              <w:rPr>
                <w:rFonts w:ascii="Times New Roman" w:hAnsi="Times New Roman" w:cs="Times New Roman"/>
                <w:sz w:val="20"/>
                <w:szCs w:val="20"/>
              </w:rPr>
              <w:t>CSP</w:t>
            </w:r>
          </w:p>
        </w:tc>
      </w:tr>
      <w:tr w:rsidR="00461FF9" w:rsidRPr="00513181" w14:paraId="138C83D1"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B58074F" w14:textId="77777777"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EFI</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B1D2AFB" w14:textId="11B6CE4A"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-0.018***</w:t>
            </w:r>
            <w:r w:rsidR="00376D8B" w:rsidRPr="00513181">
              <w:rPr>
                <w:rFonts w:ascii="Times New Roman" w:hAnsi="Times New Roman" w:cs="Times New Roman"/>
                <w:sz w:val="20"/>
                <w:szCs w:val="20"/>
              </w:rPr>
              <w:t xml:space="preserve"> (-6.800)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906AB62" w14:textId="77777777" w:rsidR="00461FF9" w:rsidRPr="00513181" w:rsidRDefault="00461FF9" w:rsidP="00D1677A">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FE9C464" w14:textId="236FC3C9"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0.065***</w:t>
            </w:r>
            <w:r w:rsidR="00376D8B" w:rsidRPr="00513181">
              <w:rPr>
                <w:rFonts w:ascii="Times New Roman" w:hAnsi="Times New Roman" w:cs="Times New Roman"/>
                <w:sz w:val="20"/>
                <w:szCs w:val="20"/>
              </w:rPr>
              <w:t xml:space="preserve"> (3.200)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1FF87D" w14:textId="77777777" w:rsidR="00461FF9" w:rsidRPr="00513181" w:rsidRDefault="00461FF9" w:rsidP="00D1677A">
            <w:pPr>
              <w:jc w:val="both"/>
              <w:rPr>
                <w:rFonts w:ascii="Times New Roman" w:hAnsi="Times New Roman" w:cs="Times New Roman"/>
                <w:sz w:val="20"/>
                <w:szCs w:val="20"/>
              </w:rPr>
            </w:pPr>
          </w:p>
        </w:tc>
      </w:tr>
      <w:tr w:rsidR="00461FF9" w:rsidRPr="00513181" w14:paraId="4D0A6871"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14992F" w14:textId="77777777" w:rsidR="00461FF9" w:rsidRPr="00513181" w:rsidRDefault="00461FF9" w:rsidP="00D1677A">
            <w:pPr>
              <w:jc w:val="both"/>
              <w:rPr>
                <w:rFonts w:ascii="Times New Roman" w:hAnsi="Times New Roman" w:cs="Times New Roman"/>
                <w:b/>
                <w:bCs/>
                <w:sz w:val="20"/>
                <w:szCs w:val="20"/>
              </w:rPr>
            </w:pPr>
            <w:r w:rsidRPr="00513181">
              <w:rPr>
                <w:rFonts w:ascii="Times New Roman" w:hAnsi="Times New Roman" w:cs="Times New Roman"/>
                <w:b/>
                <w:bCs/>
                <w:sz w:val="20"/>
                <w:szCs w:val="20"/>
              </w:rPr>
              <w:t>SA</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645537A" w14:textId="77777777" w:rsidR="00461FF9" w:rsidRPr="00513181" w:rsidRDefault="00461FF9" w:rsidP="00D1677A">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CA03A05" w14:textId="7C52EC5F"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-0.540***</w:t>
            </w:r>
            <w:r w:rsidR="00376D8B" w:rsidRPr="00513181">
              <w:rPr>
                <w:rFonts w:ascii="Times New Roman" w:hAnsi="Times New Roman" w:cs="Times New Roman"/>
                <w:sz w:val="20"/>
                <w:szCs w:val="20"/>
              </w:rPr>
              <w:t xml:space="preserve"> (-5.800)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9DED5B0" w14:textId="77777777" w:rsidR="00461FF9" w:rsidRPr="00513181" w:rsidRDefault="00461FF9" w:rsidP="00D1677A">
            <w:pPr>
              <w:jc w:val="both"/>
              <w:rPr>
                <w:rFonts w:ascii="Times New Roman" w:hAnsi="Times New Roman" w:cs="Times New Roman"/>
                <w:sz w:val="20"/>
                <w:szCs w:val="20"/>
              </w:rPr>
            </w:pP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4B8B526" w14:textId="39830054" w:rsidR="00461FF9" w:rsidRPr="00513181" w:rsidRDefault="00461FF9" w:rsidP="00D1677A">
            <w:pPr>
              <w:jc w:val="both"/>
              <w:rPr>
                <w:rFonts w:ascii="Times New Roman" w:hAnsi="Times New Roman" w:cs="Times New Roman"/>
                <w:sz w:val="20"/>
                <w:szCs w:val="20"/>
              </w:rPr>
            </w:pPr>
            <w:r w:rsidRPr="00513181">
              <w:rPr>
                <w:rFonts w:ascii="Times New Roman" w:hAnsi="Times New Roman" w:cs="Times New Roman"/>
                <w:sz w:val="20"/>
                <w:szCs w:val="20"/>
              </w:rPr>
              <w:t>0.011***</w:t>
            </w:r>
            <w:r w:rsidR="00376D8B" w:rsidRPr="00513181">
              <w:rPr>
                <w:rFonts w:ascii="Times New Roman" w:hAnsi="Times New Roman" w:cs="Times New Roman"/>
                <w:sz w:val="20"/>
                <w:szCs w:val="20"/>
              </w:rPr>
              <w:t xml:space="preserve"> (3.300)</w:t>
            </w:r>
          </w:p>
        </w:tc>
      </w:tr>
      <w:tr w:rsidR="00376D8B" w:rsidRPr="00513181" w14:paraId="59B05312"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0A6FC69" w14:textId="77777777" w:rsidR="00376D8B" w:rsidRPr="00513181" w:rsidRDefault="00376D8B" w:rsidP="00376D8B">
            <w:pPr>
              <w:jc w:val="both"/>
              <w:rPr>
                <w:rFonts w:ascii="Times New Roman" w:hAnsi="Times New Roman" w:cs="Times New Roman"/>
                <w:b/>
                <w:bCs/>
                <w:sz w:val="20"/>
                <w:szCs w:val="20"/>
              </w:rPr>
            </w:pPr>
            <w:r w:rsidRPr="00513181">
              <w:rPr>
                <w:rFonts w:ascii="Times New Roman" w:hAnsi="Times New Roman" w:cs="Times New Roman"/>
                <w:b/>
                <w:bCs/>
                <w:sz w:val="20"/>
                <w:szCs w:val="20"/>
              </w:rPr>
              <w:t>Controls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12E3731" w14:textId="76CB59C4"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5080D9E" w14:textId="0F9A1B4F"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0FF56CC" w14:textId="440012A8"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EB17A5E" w14:textId="7AB39E45"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r>
      <w:tr w:rsidR="00376D8B" w:rsidRPr="00513181" w14:paraId="6BB129DA"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6FC68F" w14:textId="3EF0ED95"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Year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72140CD" w14:textId="3BD8AC74"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1BFE50B" w14:textId="3BC2B612"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19C2B868" w14:textId="3235F188"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E29265A" w14:textId="6F77957E"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r>
      <w:tr w:rsidR="00376D8B" w:rsidRPr="00513181" w14:paraId="6E5E0BF5"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9F8443" w14:textId="4DEF9C93"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Sector (Fixed effects)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0A1BFC1" w14:textId="2812599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846188B" w14:textId="20304049"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42866A3" w14:textId="1A03A07A"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5CF64265" w14:textId="0867F5A1"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color w:val="242424"/>
                <w:sz w:val="20"/>
                <w:szCs w:val="20"/>
              </w:rPr>
              <w:t>Positive</w:t>
            </w:r>
          </w:p>
        </w:tc>
      </w:tr>
      <w:tr w:rsidR="00376D8B" w:rsidRPr="00513181" w14:paraId="412547B4"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8FDAC18" w14:textId="1FA35321"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Observations</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6BFD263"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27F6E640"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5EBE743"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613D028"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12,500</w:t>
            </w:r>
          </w:p>
        </w:tc>
      </w:tr>
      <w:tr w:rsidR="00376D8B" w:rsidRPr="00513181" w14:paraId="3B4B262E" w14:textId="77777777" w:rsidTr="00A35322">
        <w:tc>
          <w:tcPr>
            <w:tcW w:w="1248" w:type="dxa"/>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4E3C8E92" w14:textId="691B30CB"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b/>
                <w:bCs/>
                <w:sz w:val="20"/>
                <w:szCs w:val="20"/>
              </w:rPr>
              <w:t>Adj. R-squared</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04364A23"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0.815</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1C6E50D"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0.190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364DF060"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0.210</w:t>
            </w:r>
          </w:p>
        </w:tc>
        <w:tc>
          <w:tcPr>
            <w:tcW w:w="0" w:type="auto"/>
            <w:tcBorders>
              <w:top w:val="single" w:sz="6" w:space="0" w:color="auto"/>
              <w:left w:val="single" w:sz="6" w:space="0" w:color="auto"/>
              <w:bottom w:val="single" w:sz="6" w:space="0" w:color="auto"/>
              <w:right w:val="single" w:sz="6" w:space="0" w:color="auto"/>
            </w:tcBorders>
            <w:shd w:val="clear" w:color="auto" w:fill="FAFAFA"/>
            <w:tcMar>
              <w:top w:w="15" w:type="dxa"/>
              <w:left w:w="75" w:type="dxa"/>
              <w:bottom w:w="15" w:type="dxa"/>
              <w:right w:w="75" w:type="dxa"/>
            </w:tcMar>
            <w:vAlign w:val="center"/>
            <w:hideMark/>
          </w:tcPr>
          <w:p w14:paraId="670B65BE" w14:textId="77777777" w:rsidR="00376D8B" w:rsidRPr="00513181" w:rsidRDefault="00376D8B" w:rsidP="00376D8B">
            <w:pPr>
              <w:jc w:val="both"/>
              <w:rPr>
                <w:rFonts w:ascii="Times New Roman" w:hAnsi="Times New Roman" w:cs="Times New Roman"/>
                <w:sz w:val="20"/>
                <w:szCs w:val="20"/>
              </w:rPr>
            </w:pPr>
            <w:r w:rsidRPr="00513181">
              <w:rPr>
                <w:rFonts w:ascii="Times New Roman" w:hAnsi="Times New Roman" w:cs="Times New Roman"/>
                <w:sz w:val="20"/>
                <w:szCs w:val="20"/>
              </w:rPr>
              <w:t>0.188</w:t>
            </w:r>
          </w:p>
        </w:tc>
      </w:tr>
    </w:tbl>
    <w:p w14:paraId="4D048BBA" w14:textId="311340FB" w:rsidR="00461FF9" w:rsidRPr="00513181" w:rsidRDefault="00A35322" w:rsidP="00461FF9">
      <w:pPr>
        <w:jc w:val="both"/>
        <w:rPr>
          <w:rFonts w:ascii="Times New Roman" w:hAnsi="Times New Roman" w:cs="Times New Roman"/>
        </w:rPr>
      </w:pPr>
      <w:r w:rsidRPr="00513181">
        <w:rPr>
          <w:rFonts w:ascii="Times New Roman" w:hAnsi="Times New Roman" w:cs="Times New Roman"/>
        </w:rPr>
        <w:t>Notes: *, **, and *** denote that every statistic is significant at the 10%, 5%, and 1 % levels, respectively; t-values are shown in brackets</w:t>
      </w:r>
      <w:r w:rsidR="006167BB" w:rsidRPr="00513181">
        <w:rPr>
          <w:rFonts w:ascii="Times New Roman" w:hAnsi="Times New Roman" w:cs="Times New Roman"/>
        </w:rPr>
        <w:t>.</w:t>
      </w:r>
    </w:p>
    <w:p w14:paraId="00604B91" w14:textId="0F9FE8B5" w:rsidR="004F6A68" w:rsidRPr="00513181" w:rsidRDefault="004F6A68" w:rsidP="00DF7FDB">
      <w:pPr>
        <w:jc w:val="both"/>
        <w:rPr>
          <w:rFonts w:ascii="Times New Roman" w:hAnsi="Times New Roman" w:cs="Times New Roman"/>
          <w:b/>
          <w:bCs/>
        </w:rPr>
      </w:pPr>
      <w:r w:rsidRPr="00513181">
        <w:rPr>
          <w:rFonts w:ascii="Times New Roman" w:hAnsi="Times New Roman" w:cs="Times New Roman"/>
          <w:b/>
          <w:bCs/>
        </w:rPr>
        <w:t>5. Conclusion</w:t>
      </w:r>
    </w:p>
    <w:p w14:paraId="34272CDE" w14:textId="2D10C7F3" w:rsidR="00654C0B" w:rsidRPr="00513181" w:rsidRDefault="00844B1B" w:rsidP="00DF7FDB">
      <w:pPr>
        <w:jc w:val="both"/>
        <w:rPr>
          <w:rFonts w:ascii="Times New Roman" w:hAnsi="Times New Roman" w:cs="Times New Roman"/>
        </w:rPr>
      </w:pPr>
      <w:r w:rsidRPr="00513181">
        <w:rPr>
          <w:rFonts w:ascii="Times New Roman" w:hAnsi="Times New Roman" w:cs="Times New Roman"/>
        </w:rPr>
        <w:t xml:space="preserve">Results present that the participation of eco-friendly investor leads to improvement of sustainable corporate performance from the perspective of internal and external viewpoints. For instance, such investors can promote companies to improve their sustainable practices by offering further internal funding reliefs and facilitating more environmental </w:t>
      </w:r>
      <w:proofErr w:type="spellStart"/>
      <w:r w:rsidRPr="00513181">
        <w:rPr>
          <w:rFonts w:ascii="Times New Roman" w:hAnsi="Times New Roman" w:cs="Times New Roman"/>
        </w:rPr>
        <w:t>sensitisation</w:t>
      </w:r>
      <w:proofErr w:type="spellEnd"/>
      <w:r w:rsidRPr="00513181">
        <w:rPr>
          <w:rFonts w:ascii="Times New Roman" w:hAnsi="Times New Roman" w:cs="Times New Roman"/>
        </w:rPr>
        <w:t>. The reliability and endogeneity analysis confirms these results. Importantly, the findings corroborate that eco-motivated investors have a great influence on the sustainable performance of non-</w:t>
      </w:r>
      <w:proofErr w:type="gramStart"/>
      <w:r w:rsidRPr="00513181">
        <w:rPr>
          <w:rFonts w:ascii="Times New Roman" w:hAnsi="Times New Roman" w:cs="Times New Roman"/>
        </w:rPr>
        <w:t>state owned</w:t>
      </w:r>
      <w:proofErr w:type="gramEnd"/>
      <w:r w:rsidRPr="00513181">
        <w:rPr>
          <w:rFonts w:ascii="Times New Roman" w:hAnsi="Times New Roman" w:cs="Times New Roman"/>
        </w:rPr>
        <w:t xml:space="preserve"> enterprises, competitive firms, and companies based in Japan's Northern region compared with those located in the </w:t>
      </w:r>
      <w:r w:rsidRPr="00513181">
        <w:rPr>
          <w:rFonts w:ascii="Times New Roman" w:hAnsi="Times New Roman" w:cs="Times New Roman"/>
        </w:rPr>
        <w:lastRenderedPageBreak/>
        <w:t>Southern region, namely, state owned and less competitive counterparts. It provides important insights from an in-depth analysis of eco-friendly investors’ impact on corporate sustainability. Firstly, a rise in the number of qualified eco-friendly investors will enhance the sustainable market expansion.  Therefore, institutional investors must create an investment philosophy dedicated to green development in accordance with their supervisory and governance roles, for which market regulators must provide direction that is constructive. Also, micro enterprises should also look round for eco-friendly investors who can further lend a hand in developing supervisory as well as governance capabilities hence resulting in creating strong and enterprise that can grow sustainably.</w:t>
      </w:r>
      <w:r w:rsidR="0012777A" w:rsidRPr="00513181">
        <w:rPr>
          <w:rFonts w:ascii="Times New Roman" w:hAnsi="Times New Roman" w:cs="Times New Roman"/>
        </w:rPr>
        <w:t xml:space="preserve"> Moreover, the future studies may divide the sample period (see Shahid and Sattar, 2017; Shahid et al., 2021) to uncover the time varying change in relationship investigated in the current study. </w:t>
      </w:r>
    </w:p>
    <w:p w14:paraId="33CBF20F" w14:textId="285C22F2" w:rsidR="00654C0B" w:rsidRPr="00513181" w:rsidRDefault="00654C0B" w:rsidP="00DF7FDB">
      <w:pPr>
        <w:jc w:val="both"/>
        <w:rPr>
          <w:rFonts w:ascii="Times New Roman" w:hAnsi="Times New Roman" w:cs="Times New Roman"/>
        </w:rPr>
        <w:sectPr w:rsidR="00654C0B" w:rsidRPr="0051318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3211FC19" w14:textId="77777777" w:rsidR="006662B5" w:rsidRPr="00513181" w:rsidRDefault="006662B5" w:rsidP="006662B5">
      <w:pPr>
        <w:jc w:val="both"/>
        <w:rPr>
          <w:rFonts w:ascii="Times New Roman" w:hAnsi="Times New Roman" w:cs="Times New Roman"/>
          <w:b/>
          <w:bCs/>
        </w:rPr>
      </w:pPr>
      <w:r w:rsidRPr="00513181">
        <w:rPr>
          <w:rFonts w:ascii="Times New Roman" w:hAnsi="Times New Roman" w:cs="Times New Roman"/>
          <w:b/>
          <w:bCs/>
        </w:rPr>
        <w:lastRenderedPageBreak/>
        <w:t>Reference</w:t>
      </w:r>
    </w:p>
    <w:p w14:paraId="5404665C"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Ali, A. R. (2024). Sustainable Finance and Eco-friendly investor Investment Studying the Impact of Sustainable </w:t>
      </w:r>
      <w:proofErr w:type="spellStart"/>
      <w:r w:rsidRPr="00C30EFC">
        <w:rPr>
          <w:rFonts w:ascii="Times New Roman" w:hAnsi="Times New Roman" w:cs="Times New Roman"/>
        </w:rPr>
        <w:t>Investements</w:t>
      </w:r>
      <w:proofErr w:type="spellEnd"/>
      <w:r w:rsidRPr="00C30EFC">
        <w:rPr>
          <w:rFonts w:ascii="Times New Roman" w:hAnsi="Times New Roman" w:cs="Times New Roman"/>
        </w:rPr>
        <w:t xml:space="preserve"> on Corporate and Market Performance. </w:t>
      </w:r>
      <w:r w:rsidRPr="00C30EFC">
        <w:rPr>
          <w:rFonts w:ascii="Times New Roman" w:hAnsi="Times New Roman" w:cs="Times New Roman"/>
          <w:i/>
          <w:iCs/>
        </w:rPr>
        <w:t>Available at SSRN 5094436</w:t>
      </w:r>
      <w:r w:rsidRPr="00C30EFC">
        <w:rPr>
          <w:rFonts w:ascii="Times New Roman" w:hAnsi="Times New Roman" w:cs="Times New Roman"/>
        </w:rPr>
        <w:t>.</w:t>
      </w:r>
    </w:p>
    <w:p w14:paraId="47D7B96E"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Amel-Zadeh, A., &amp; Serafeim, G. (2018). </w:t>
      </w:r>
      <w:r w:rsidRPr="00C30EFC">
        <w:rPr>
          <w:rFonts w:ascii="Times New Roman" w:hAnsi="Times New Roman" w:cs="Times New Roman"/>
        </w:rPr>
        <w:t>Why and how investors use ESG information: Evidence from a global survey. </w:t>
      </w:r>
      <w:r w:rsidRPr="00C30EFC">
        <w:rPr>
          <w:rFonts w:ascii="Times New Roman" w:hAnsi="Times New Roman" w:cs="Times New Roman"/>
          <w:i/>
          <w:iCs/>
        </w:rPr>
        <w:t>Financial analysts journal</w:t>
      </w:r>
      <w:r w:rsidRPr="00C30EFC">
        <w:rPr>
          <w:rFonts w:ascii="Times New Roman" w:hAnsi="Times New Roman" w:cs="Times New Roman"/>
        </w:rPr>
        <w:t>, </w:t>
      </w:r>
      <w:r w:rsidRPr="00C30EFC">
        <w:rPr>
          <w:rFonts w:ascii="Times New Roman" w:hAnsi="Times New Roman" w:cs="Times New Roman"/>
          <w:i/>
          <w:iCs/>
        </w:rPr>
        <w:t>74</w:t>
      </w:r>
      <w:r w:rsidRPr="00C30EFC">
        <w:rPr>
          <w:rFonts w:ascii="Times New Roman" w:hAnsi="Times New Roman" w:cs="Times New Roman"/>
        </w:rPr>
        <w:t>(3), 87-103.</w:t>
      </w:r>
    </w:p>
    <w:p w14:paraId="39F17AEA"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Aslam, S., Elmagrhi, M. H., Rehman, R. U., &amp; Ntim, C. G. (2021). </w:t>
      </w:r>
      <w:r w:rsidRPr="00C30EFC">
        <w:rPr>
          <w:rFonts w:ascii="Times New Roman" w:hAnsi="Times New Roman" w:cs="Times New Roman"/>
        </w:rPr>
        <w:t>Environmental management practices and financial performance using data envelopment analysis in Japan: The mediating role of environmental performance. </w:t>
      </w:r>
      <w:r w:rsidRPr="00C30EFC">
        <w:rPr>
          <w:rFonts w:ascii="Times New Roman" w:hAnsi="Times New Roman" w:cs="Times New Roman"/>
          <w:i/>
          <w:iCs/>
        </w:rPr>
        <w:t>Business Strategy and the Environment</w:t>
      </w:r>
      <w:r w:rsidRPr="00C30EFC">
        <w:rPr>
          <w:rFonts w:ascii="Times New Roman" w:hAnsi="Times New Roman" w:cs="Times New Roman"/>
        </w:rPr>
        <w:t>, </w:t>
      </w:r>
      <w:r w:rsidRPr="00C30EFC">
        <w:rPr>
          <w:rFonts w:ascii="Times New Roman" w:hAnsi="Times New Roman" w:cs="Times New Roman"/>
          <w:i/>
          <w:iCs/>
        </w:rPr>
        <w:t>30</w:t>
      </w:r>
      <w:r w:rsidRPr="00C30EFC">
        <w:rPr>
          <w:rFonts w:ascii="Times New Roman" w:hAnsi="Times New Roman" w:cs="Times New Roman"/>
        </w:rPr>
        <w:t>(4), 1655-1673.</w:t>
      </w:r>
    </w:p>
    <w:p w14:paraId="00054791"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fi-FI"/>
        </w:rPr>
        <w:t xml:space="preserve">Cunha, F. A. F. D. S., de Oliveira, E. M., Orsato, R. J., Klotzle, M. C., Cyrino Oliveira, F. L., &amp; Caiado, R. G. G. (2020). </w:t>
      </w:r>
      <w:r w:rsidRPr="00C30EFC">
        <w:rPr>
          <w:rFonts w:ascii="Times New Roman" w:hAnsi="Times New Roman" w:cs="Times New Roman"/>
        </w:rPr>
        <w:t>Can sustainable investments outperform traditional benchmarks? Evidence from global stock markets. </w:t>
      </w:r>
      <w:r w:rsidRPr="00C30EFC">
        <w:rPr>
          <w:rFonts w:ascii="Times New Roman" w:hAnsi="Times New Roman" w:cs="Times New Roman"/>
          <w:i/>
          <w:iCs/>
        </w:rPr>
        <w:t>Business Strategy and the Environment</w:t>
      </w:r>
      <w:r w:rsidRPr="00C30EFC">
        <w:rPr>
          <w:rFonts w:ascii="Times New Roman" w:hAnsi="Times New Roman" w:cs="Times New Roman"/>
        </w:rPr>
        <w:t>, </w:t>
      </w:r>
      <w:r w:rsidRPr="00C30EFC">
        <w:rPr>
          <w:rFonts w:ascii="Times New Roman" w:hAnsi="Times New Roman" w:cs="Times New Roman"/>
          <w:i/>
          <w:iCs/>
        </w:rPr>
        <w:t>29</w:t>
      </w:r>
      <w:r w:rsidRPr="00C30EFC">
        <w:rPr>
          <w:rFonts w:ascii="Times New Roman" w:hAnsi="Times New Roman" w:cs="Times New Roman"/>
        </w:rPr>
        <w:t>(2), 682-697.</w:t>
      </w:r>
    </w:p>
    <w:p w14:paraId="65973002"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Eccles, R. G., &amp; Klimenko, S. (2019). The investor revolution. </w:t>
      </w:r>
      <w:r w:rsidRPr="00C30EFC">
        <w:rPr>
          <w:rFonts w:ascii="Times New Roman" w:hAnsi="Times New Roman" w:cs="Times New Roman"/>
          <w:i/>
          <w:iCs/>
        </w:rPr>
        <w:t>Harvard Business Review</w:t>
      </w:r>
      <w:r w:rsidRPr="00C30EFC">
        <w:rPr>
          <w:rFonts w:ascii="Times New Roman" w:hAnsi="Times New Roman" w:cs="Times New Roman"/>
        </w:rPr>
        <w:t>, </w:t>
      </w:r>
      <w:r w:rsidRPr="00C30EFC">
        <w:rPr>
          <w:rFonts w:ascii="Times New Roman" w:hAnsi="Times New Roman" w:cs="Times New Roman"/>
          <w:i/>
          <w:iCs/>
        </w:rPr>
        <w:t>97</w:t>
      </w:r>
      <w:r w:rsidRPr="00C30EFC">
        <w:rPr>
          <w:rFonts w:ascii="Times New Roman" w:hAnsi="Times New Roman" w:cs="Times New Roman"/>
        </w:rPr>
        <w:t>(3), 106-116.</w:t>
      </w:r>
    </w:p>
    <w:p w14:paraId="7419AE9E"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lang w:val="da-DK"/>
        </w:rPr>
        <w:t xml:space="preserve">Edmans, A., Gosling, T., &amp; Jenter, D. (2024). </w:t>
      </w:r>
      <w:r w:rsidRPr="00C30EFC">
        <w:rPr>
          <w:rFonts w:ascii="Times New Roman" w:hAnsi="Times New Roman" w:cs="Times New Roman"/>
        </w:rPr>
        <w:t>Sustainable investing: Evidence from the field. </w:t>
      </w:r>
      <w:r w:rsidRPr="00C30EFC">
        <w:rPr>
          <w:rFonts w:ascii="Times New Roman" w:hAnsi="Times New Roman" w:cs="Times New Roman"/>
          <w:i/>
          <w:iCs/>
        </w:rPr>
        <w:t>FEB-RN Research Paper</w:t>
      </w:r>
      <w:r w:rsidRPr="00C30EFC">
        <w:rPr>
          <w:rFonts w:ascii="Times New Roman" w:hAnsi="Times New Roman" w:cs="Times New Roman"/>
        </w:rPr>
        <w:t>, (18).</w:t>
      </w:r>
    </w:p>
    <w:p w14:paraId="184CCEB3"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Gao, J., Hua, G., &amp; Huo, B. (2024). Green finance policies, financing constraints and corporate ESG performance. </w:t>
      </w:r>
      <w:r w:rsidRPr="00C30EFC">
        <w:rPr>
          <w:rFonts w:ascii="Times New Roman" w:hAnsi="Times New Roman" w:cs="Times New Roman"/>
          <w:i/>
          <w:iCs/>
        </w:rPr>
        <w:t>Operations Management Research</w:t>
      </w:r>
      <w:r w:rsidRPr="00C30EFC">
        <w:rPr>
          <w:rFonts w:ascii="Times New Roman" w:hAnsi="Times New Roman" w:cs="Times New Roman"/>
        </w:rPr>
        <w:t>, 17, 1345-1359. </w:t>
      </w:r>
    </w:p>
    <w:p w14:paraId="55A260B3"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Google Trends. (n.d.). Retrieved January 31, 2025, from </w:t>
      </w:r>
      <w:hyperlink r:id="rId14" w:tgtFrame="_blank" w:history="1">
        <w:r w:rsidRPr="00C30EFC">
          <w:rPr>
            <w:rStyle w:val="Hyperlink"/>
            <w:rFonts w:ascii="Times New Roman" w:hAnsi="Times New Roman" w:cs="Times New Roman"/>
          </w:rPr>
          <w:t>https://trends.google.com</w:t>
        </w:r>
      </w:hyperlink>
      <w:r w:rsidRPr="00C30EFC">
        <w:rPr>
          <w:rFonts w:ascii="Times New Roman" w:hAnsi="Times New Roman" w:cs="Times New Roman"/>
        </w:rPr>
        <w:t xml:space="preserve"> (Accessed: 28 January 2025).</w:t>
      </w:r>
    </w:p>
    <w:p w14:paraId="51648B4B"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Gu, Y., Ho, K.C., Xia, S. and Yan, C., 2022. Do public environmental concerns promote new energy enterprises' development? Evidence from a quasi-natural experiment. </w:t>
      </w:r>
      <w:r w:rsidRPr="00C30EFC">
        <w:rPr>
          <w:rFonts w:ascii="Times New Roman" w:hAnsi="Times New Roman" w:cs="Times New Roman"/>
          <w:i/>
          <w:iCs/>
        </w:rPr>
        <w:t>Energy Economics</w:t>
      </w:r>
      <w:r w:rsidRPr="00C30EFC">
        <w:rPr>
          <w:rFonts w:ascii="Times New Roman" w:hAnsi="Times New Roman" w:cs="Times New Roman"/>
        </w:rPr>
        <w:t>, </w:t>
      </w:r>
      <w:r w:rsidRPr="00C30EFC">
        <w:rPr>
          <w:rFonts w:ascii="Times New Roman" w:hAnsi="Times New Roman" w:cs="Times New Roman"/>
          <w:i/>
          <w:iCs/>
        </w:rPr>
        <w:t>109</w:t>
      </w:r>
      <w:r w:rsidRPr="00C30EFC">
        <w:rPr>
          <w:rFonts w:ascii="Times New Roman" w:hAnsi="Times New Roman" w:cs="Times New Roman"/>
        </w:rPr>
        <w:t>, p.105967.</w:t>
      </w:r>
    </w:p>
    <w:p w14:paraId="27FA38F8" w14:textId="77777777" w:rsidR="0012777A" w:rsidRPr="00C30EFC" w:rsidRDefault="0012777A" w:rsidP="00C30EFC">
      <w:pPr>
        <w:ind w:left="360"/>
        <w:jc w:val="both"/>
        <w:rPr>
          <w:rFonts w:ascii="Times New Roman" w:hAnsi="Times New Roman" w:cs="Times New Roman"/>
          <w:sz w:val="20"/>
          <w:szCs w:val="20"/>
        </w:rPr>
      </w:pPr>
      <w:r w:rsidRPr="00C30EFC">
        <w:rPr>
          <w:rFonts w:ascii="Times New Roman" w:hAnsi="Times New Roman" w:cs="Times New Roman"/>
          <w:sz w:val="20"/>
          <w:szCs w:val="20"/>
        </w:rPr>
        <w:t>Islam, M. U., Abdul Hamid, B., &amp; Shahid, M. N. (2025). ESG activities and bank performance with the moderating influence of competition and regulatory quality: a study in the organization of Islamic countries. </w:t>
      </w:r>
      <w:r w:rsidRPr="00C30EFC">
        <w:rPr>
          <w:rFonts w:ascii="Times New Roman" w:hAnsi="Times New Roman" w:cs="Times New Roman"/>
          <w:i/>
          <w:iCs/>
          <w:sz w:val="20"/>
          <w:szCs w:val="20"/>
        </w:rPr>
        <w:t>International Journal of Islamic and Middle Eastern Finance and Management</w:t>
      </w:r>
      <w:r w:rsidRPr="00C30EFC">
        <w:rPr>
          <w:rFonts w:ascii="Times New Roman" w:hAnsi="Times New Roman" w:cs="Times New Roman"/>
          <w:sz w:val="20"/>
          <w:szCs w:val="20"/>
        </w:rPr>
        <w:t>.</w:t>
      </w:r>
    </w:p>
    <w:p w14:paraId="1940950A"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Japan Exchange Group Corporate Site (JPX), (2024). JPX ESG Knowledge Hub. Retrieved from: </w:t>
      </w:r>
      <w:hyperlink r:id="rId15" w:history="1">
        <w:r w:rsidRPr="00C30EFC">
          <w:rPr>
            <w:rStyle w:val="Hyperlink"/>
            <w:rFonts w:ascii="Times New Roman" w:hAnsi="Times New Roman" w:cs="Times New Roman"/>
          </w:rPr>
          <w:t>https://www.jpx.co.jp/english/corporate/sustainability/esgknowledgehub/index.html</w:t>
        </w:r>
      </w:hyperlink>
      <w:r w:rsidRPr="00C30EFC">
        <w:rPr>
          <w:rFonts w:ascii="Times New Roman" w:hAnsi="Times New Roman" w:cs="Times New Roman"/>
        </w:rPr>
        <w:t xml:space="preserve"> (Accessed: 28 January 2025).</w:t>
      </w:r>
    </w:p>
    <w:p w14:paraId="5DA25D79"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Kim, J., &amp; Park, J. L. (2015). How do financial constraint and distress measures </w:t>
      </w:r>
      <w:proofErr w:type="gramStart"/>
      <w:r w:rsidRPr="00C30EFC">
        <w:rPr>
          <w:rFonts w:ascii="Times New Roman" w:hAnsi="Times New Roman" w:cs="Times New Roman"/>
        </w:rPr>
        <w:t>compare?.</w:t>
      </w:r>
      <w:proofErr w:type="gramEnd"/>
      <w:r w:rsidRPr="00C30EFC">
        <w:rPr>
          <w:rFonts w:ascii="Times New Roman" w:hAnsi="Times New Roman" w:cs="Times New Roman"/>
        </w:rPr>
        <w:t> </w:t>
      </w:r>
      <w:r w:rsidRPr="00C30EFC">
        <w:rPr>
          <w:rFonts w:ascii="Times New Roman" w:hAnsi="Times New Roman" w:cs="Times New Roman"/>
          <w:i/>
          <w:iCs/>
        </w:rPr>
        <w:t>Investment management and financial innovations</w:t>
      </w:r>
      <w:r w:rsidRPr="00C30EFC">
        <w:rPr>
          <w:rFonts w:ascii="Times New Roman" w:hAnsi="Times New Roman" w:cs="Times New Roman"/>
        </w:rPr>
        <w:t>, (</w:t>
      </w:r>
      <w:proofErr w:type="gramStart"/>
      <w:r w:rsidRPr="00C30EFC">
        <w:rPr>
          <w:rFonts w:ascii="Times New Roman" w:hAnsi="Times New Roman" w:cs="Times New Roman"/>
        </w:rPr>
        <w:t>12,№</w:t>
      </w:r>
      <w:proofErr w:type="gramEnd"/>
      <w:r w:rsidRPr="00C30EFC">
        <w:rPr>
          <w:rFonts w:ascii="Times New Roman" w:hAnsi="Times New Roman" w:cs="Times New Roman"/>
        </w:rPr>
        <w:t xml:space="preserve"> 2), 41-50.</w:t>
      </w:r>
    </w:p>
    <w:p w14:paraId="38E8D7AE"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lastRenderedPageBreak/>
        <w:t xml:space="preserve">Kordsachia, O., Focke, M., &amp; Velte, P. (2022). </w:t>
      </w:r>
      <w:r w:rsidRPr="00C30EFC">
        <w:rPr>
          <w:rFonts w:ascii="Times New Roman" w:hAnsi="Times New Roman" w:cs="Times New Roman"/>
        </w:rPr>
        <w:t>Do sustainable institutional investors contribute to firms’ environmental performance? Empirical evidence from Europe. </w:t>
      </w:r>
      <w:r w:rsidRPr="00C30EFC">
        <w:rPr>
          <w:rFonts w:ascii="Times New Roman" w:hAnsi="Times New Roman" w:cs="Times New Roman"/>
          <w:i/>
          <w:iCs/>
        </w:rPr>
        <w:t>Review of Managerial Science</w:t>
      </w:r>
      <w:r w:rsidRPr="00C30EFC">
        <w:rPr>
          <w:rFonts w:ascii="Times New Roman" w:hAnsi="Times New Roman" w:cs="Times New Roman"/>
        </w:rPr>
        <w:t>, </w:t>
      </w:r>
      <w:r w:rsidRPr="00C30EFC">
        <w:rPr>
          <w:rFonts w:ascii="Times New Roman" w:hAnsi="Times New Roman" w:cs="Times New Roman"/>
          <w:i/>
          <w:iCs/>
        </w:rPr>
        <w:t>16</w:t>
      </w:r>
      <w:r w:rsidRPr="00C30EFC">
        <w:rPr>
          <w:rFonts w:ascii="Times New Roman" w:hAnsi="Times New Roman" w:cs="Times New Roman"/>
        </w:rPr>
        <w:t>(5), 1409-1436.</w:t>
      </w:r>
    </w:p>
    <w:p w14:paraId="57A6F731"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KPMG. (2024). Is sustainability good for financial performance? </w:t>
      </w:r>
      <w:r w:rsidRPr="00C30EFC">
        <w:rPr>
          <w:rFonts w:ascii="Times New Roman" w:hAnsi="Times New Roman" w:cs="Times New Roman"/>
          <w:i/>
          <w:iCs/>
        </w:rPr>
        <w:t>KPMG US CEO Outlook Pulse Survey</w:t>
      </w:r>
      <w:r w:rsidRPr="00C30EFC">
        <w:rPr>
          <w:rFonts w:ascii="Times New Roman" w:hAnsi="Times New Roman" w:cs="Times New Roman"/>
        </w:rPr>
        <w:t>. Retrieved from </w:t>
      </w:r>
      <w:hyperlink r:id="rId16" w:history="1">
        <w:r w:rsidRPr="00C30EFC">
          <w:rPr>
            <w:rStyle w:val="Hyperlink"/>
            <w:rFonts w:ascii="Times New Roman" w:hAnsi="Times New Roman" w:cs="Times New Roman"/>
          </w:rPr>
          <w:t>https://kpmg.com/us/en/articles/2024/kpmg-2024-ceo-outlook-pulse-survey.html</w:t>
        </w:r>
      </w:hyperlink>
      <w:r w:rsidRPr="00C30EFC">
        <w:rPr>
          <w:rFonts w:ascii="Times New Roman" w:hAnsi="Times New Roman" w:cs="Times New Roman"/>
        </w:rPr>
        <w:t xml:space="preserve"> (Accessed: 28 January 2025).</w:t>
      </w:r>
    </w:p>
    <w:p w14:paraId="3B65E97E"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Kuang, W., 2022. Reexamining Ownership Structure, ESG Engagements, and Corporate Financial Performance: The Nonlinear Relationship in Japan. </w:t>
      </w:r>
      <w:proofErr w:type="spellStart"/>
      <w:r w:rsidRPr="00C30EFC">
        <w:rPr>
          <w:rFonts w:ascii="Times New Roman" w:eastAsia="MS Gothic" w:hAnsi="Times New Roman" w:cs="Times New Roman"/>
          <w:i/>
          <w:iCs/>
        </w:rPr>
        <w:t>大阪大学経済学</w:t>
      </w:r>
      <w:proofErr w:type="spellEnd"/>
      <w:r w:rsidRPr="00C30EFC">
        <w:rPr>
          <w:rFonts w:ascii="Times New Roman" w:hAnsi="Times New Roman" w:cs="Times New Roman"/>
        </w:rPr>
        <w:t>, </w:t>
      </w:r>
      <w:r w:rsidRPr="00C30EFC">
        <w:rPr>
          <w:rFonts w:ascii="Times New Roman" w:hAnsi="Times New Roman" w:cs="Times New Roman"/>
          <w:i/>
          <w:iCs/>
        </w:rPr>
        <w:t>72</w:t>
      </w:r>
      <w:r w:rsidRPr="00C30EFC">
        <w:rPr>
          <w:rFonts w:ascii="Times New Roman" w:hAnsi="Times New Roman" w:cs="Times New Roman"/>
        </w:rPr>
        <w:t xml:space="preserve">(2), pp.1-26. </w:t>
      </w:r>
    </w:p>
    <w:p w14:paraId="44B65875" w14:textId="77777777" w:rsidR="0012777A" w:rsidRPr="00C30EFC" w:rsidRDefault="0012777A" w:rsidP="00C30EFC">
      <w:pPr>
        <w:ind w:left="360"/>
        <w:jc w:val="both"/>
        <w:rPr>
          <w:rFonts w:ascii="Times New Roman" w:hAnsi="Times New Roman" w:cs="Times New Roman"/>
          <w:sz w:val="20"/>
          <w:szCs w:val="20"/>
        </w:rPr>
      </w:pPr>
      <w:r w:rsidRPr="00C30EFC">
        <w:rPr>
          <w:rFonts w:ascii="Times New Roman" w:hAnsi="Times New Roman" w:cs="Times New Roman"/>
          <w:sz w:val="20"/>
          <w:szCs w:val="20"/>
        </w:rPr>
        <w:t xml:space="preserve">Li, Y., Shahid, M. N., Ali, A., &amp; Umer, U. (2025). Determinants of Stock Pledge Risk, ESG and Firm-specific Financial Factors. A novel model to measure Risk associated with Stock </w:t>
      </w:r>
      <w:proofErr w:type="gramStart"/>
      <w:r w:rsidRPr="00C30EFC">
        <w:rPr>
          <w:rFonts w:ascii="Times New Roman" w:hAnsi="Times New Roman" w:cs="Times New Roman"/>
          <w:sz w:val="20"/>
          <w:szCs w:val="20"/>
        </w:rPr>
        <w:t>Pledges .</w:t>
      </w:r>
      <w:proofErr w:type="gramEnd"/>
      <w:r w:rsidRPr="00C30EFC">
        <w:rPr>
          <w:rFonts w:ascii="Times New Roman" w:hAnsi="Times New Roman" w:cs="Times New Roman"/>
          <w:sz w:val="20"/>
          <w:szCs w:val="20"/>
        </w:rPr>
        <w:t> </w:t>
      </w:r>
      <w:r w:rsidRPr="00C30EFC">
        <w:rPr>
          <w:rFonts w:ascii="Times New Roman" w:hAnsi="Times New Roman" w:cs="Times New Roman"/>
          <w:i/>
          <w:iCs/>
          <w:sz w:val="20"/>
          <w:szCs w:val="20"/>
        </w:rPr>
        <w:t xml:space="preserve">Journal of Economics, Finance and Accounting </w:t>
      </w:r>
      <w:proofErr w:type="gramStart"/>
      <w:r w:rsidRPr="00C30EFC">
        <w:rPr>
          <w:rFonts w:ascii="Times New Roman" w:hAnsi="Times New Roman" w:cs="Times New Roman"/>
          <w:i/>
          <w:iCs/>
          <w:sz w:val="20"/>
          <w:szCs w:val="20"/>
        </w:rPr>
        <w:t>Studies </w:t>
      </w:r>
      <w:r w:rsidRPr="00C30EFC">
        <w:rPr>
          <w:rFonts w:ascii="Times New Roman" w:hAnsi="Times New Roman" w:cs="Times New Roman"/>
          <w:sz w:val="20"/>
          <w:szCs w:val="20"/>
        </w:rPr>
        <w:t>,</w:t>
      </w:r>
      <w:proofErr w:type="gramEnd"/>
      <w:r w:rsidRPr="00C30EFC">
        <w:rPr>
          <w:rFonts w:ascii="Times New Roman" w:hAnsi="Times New Roman" w:cs="Times New Roman"/>
          <w:sz w:val="20"/>
          <w:szCs w:val="20"/>
        </w:rPr>
        <w:t> </w:t>
      </w:r>
      <w:r w:rsidRPr="00C30EFC">
        <w:rPr>
          <w:rFonts w:ascii="Times New Roman" w:hAnsi="Times New Roman" w:cs="Times New Roman"/>
          <w:i/>
          <w:iCs/>
          <w:sz w:val="20"/>
          <w:szCs w:val="20"/>
        </w:rPr>
        <w:t>7</w:t>
      </w:r>
      <w:r w:rsidRPr="00C30EFC">
        <w:rPr>
          <w:rFonts w:ascii="Times New Roman" w:hAnsi="Times New Roman" w:cs="Times New Roman"/>
          <w:sz w:val="20"/>
          <w:szCs w:val="20"/>
        </w:rPr>
        <w:t>(1), 16-25.</w:t>
      </w:r>
    </w:p>
    <w:p w14:paraId="740189E6" w14:textId="77777777" w:rsidR="0012777A" w:rsidRPr="00C30EFC" w:rsidRDefault="0012777A" w:rsidP="00C30EFC">
      <w:pPr>
        <w:suppressAutoHyphens/>
        <w:spacing w:after="0" w:line="240" w:lineRule="auto"/>
        <w:ind w:left="360" w:right="864"/>
        <w:jc w:val="both"/>
        <w:rPr>
          <w:rFonts w:ascii="Times New Roman" w:hAnsi="Times New Roman" w:cs="Times New Roman"/>
          <w:sz w:val="20"/>
          <w:szCs w:val="20"/>
        </w:rPr>
      </w:pPr>
      <w:r w:rsidRPr="00C30EFC">
        <w:rPr>
          <w:rFonts w:ascii="Times New Roman" w:hAnsi="Times New Roman" w:cs="Times New Roman"/>
          <w:sz w:val="20"/>
          <w:szCs w:val="20"/>
        </w:rPr>
        <w:t>Li, Y., Shahid, M. N., Islam, M. U., &amp; Deme, F. (2024). The Role of Green Technological Innovation, Fintech, and Financial Development in Environmental Sustainability: A Study on Selected Asian Countries. </w:t>
      </w:r>
      <w:r w:rsidRPr="00C30EFC">
        <w:rPr>
          <w:rFonts w:ascii="Times New Roman" w:hAnsi="Times New Roman" w:cs="Times New Roman"/>
          <w:i/>
          <w:iCs/>
          <w:sz w:val="20"/>
          <w:szCs w:val="20"/>
        </w:rPr>
        <w:t>Journal of Economics, Finance and Accounting Studies, 6(</w:t>
      </w:r>
      <w:r w:rsidRPr="00C30EFC">
        <w:rPr>
          <w:rFonts w:ascii="Times New Roman" w:hAnsi="Times New Roman" w:cs="Times New Roman"/>
          <w:sz w:val="20"/>
          <w:szCs w:val="20"/>
        </w:rPr>
        <w:t xml:space="preserve">3), 32–39. </w:t>
      </w:r>
      <w:hyperlink r:id="rId17" w:history="1">
        <w:r w:rsidRPr="00C30EFC">
          <w:rPr>
            <w:rStyle w:val="Hyperlink"/>
            <w:rFonts w:ascii="Times New Roman" w:hAnsi="Times New Roman" w:cs="Times New Roman"/>
            <w:color w:val="auto"/>
            <w:sz w:val="20"/>
            <w:szCs w:val="20"/>
          </w:rPr>
          <w:t>https://doi.org/10.32996/jefas.2024.6.3.4</w:t>
        </w:r>
      </w:hyperlink>
      <w:r w:rsidRPr="00C30EFC">
        <w:rPr>
          <w:rFonts w:ascii="Times New Roman" w:hAnsi="Times New Roman" w:cs="Times New Roman"/>
          <w:sz w:val="20"/>
          <w:szCs w:val="20"/>
        </w:rPr>
        <w:t xml:space="preserve"> </w:t>
      </w:r>
    </w:p>
    <w:p w14:paraId="71BCDAA4" w14:textId="77777777" w:rsidR="0012777A" w:rsidRPr="00513181" w:rsidRDefault="0012777A" w:rsidP="00C30EFC">
      <w:pPr>
        <w:jc w:val="both"/>
        <w:rPr>
          <w:rFonts w:ascii="Times New Roman" w:hAnsi="Times New Roman" w:cs="Times New Roman"/>
        </w:rPr>
      </w:pPr>
    </w:p>
    <w:p w14:paraId="4FBB66AE" w14:textId="7A14242D"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Lim, S., Song, J., Uji, A., &amp; Yamada, T. (2024). I feel and I invest: Social emotions and sustainable investing in Germany and Japan. </w:t>
      </w:r>
      <w:r w:rsidRPr="00C30EFC">
        <w:rPr>
          <w:rFonts w:ascii="Times New Roman" w:hAnsi="Times New Roman" w:cs="Times New Roman"/>
          <w:i/>
          <w:iCs/>
        </w:rPr>
        <w:t>Sustainable Development</w:t>
      </w:r>
      <w:r w:rsidRPr="00C30EFC">
        <w:rPr>
          <w:rFonts w:ascii="Times New Roman" w:hAnsi="Times New Roman" w:cs="Times New Roman"/>
        </w:rPr>
        <w:t>.</w:t>
      </w:r>
    </w:p>
    <w:p w14:paraId="635F0E3B"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Liu, J. and Nah, K., 2021. A Study on ESG-based Management Strategies of Representative Enterprises in Asia. </w:t>
      </w:r>
      <w:proofErr w:type="spellStart"/>
      <w:r w:rsidRPr="00C30EFC">
        <w:rPr>
          <w:rFonts w:ascii="Times New Roman" w:eastAsia="Malgun Gothic" w:hAnsi="Times New Roman" w:cs="Times New Roman"/>
          <w:i/>
          <w:iCs/>
        </w:rPr>
        <w:t>한국디자인문화학회지</w:t>
      </w:r>
      <w:proofErr w:type="spellEnd"/>
      <w:r w:rsidRPr="00C30EFC">
        <w:rPr>
          <w:rFonts w:ascii="Times New Roman" w:hAnsi="Times New Roman" w:cs="Times New Roman"/>
        </w:rPr>
        <w:t>, </w:t>
      </w:r>
      <w:r w:rsidRPr="00C30EFC">
        <w:rPr>
          <w:rFonts w:ascii="Times New Roman" w:hAnsi="Times New Roman" w:cs="Times New Roman"/>
          <w:i/>
          <w:iCs/>
        </w:rPr>
        <w:t>27</w:t>
      </w:r>
      <w:r w:rsidRPr="00C30EFC">
        <w:rPr>
          <w:rFonts w:ascii="Times New Roman" w:hAnsi="Times New Roman" w:cs="Times New Roman"/>
        </w:rPr>
        <w:t>(3), pp.135-150.</w:t>
      </w:r>
    </w:p>
    <w:p w14:paraId="50B1D249" w14:textId="77777777" w:rsidR="00F220A3" w:rsidRPr="00C30EFC" w:rsidRDefault="00F220A3" w:rsidP="00C30EFC">
      <w:pPr>
        <w:ind w:left="360"/>
        <w:rPr>
          <w:rFonts w:ascii="Times New Roman" w:hAnsi="Times New Roman" w:cs="Times New Roman"/>
        </w:rPr>
      </w:pPr>
      <w:proofErr w:type="spellStart"/>
      <w:r w:rsidRPr="00C30EFC">
        <w:rPr>
          <w:rFonts w:ascii="Times New Roman" w:hAnsi="Times New Roman" w:cs="Times New Roman"/>
        </w:rPr>
        <w:t>Maslansky</w:t>
      </w:r>
      <w:proofErr w:type="spellEnd"/>
      <w:r w:rsidRPr="00C30EFC">
        <w:rPr>
          <w:rFonts w:ascii="Times New Roman" w:hAnsi="Times New Roman" w:cs="Times New Roman"/>
        </w:rPr>
        <w:t>, M., &amp; Howard, W. (2024). Despite anti-ESG attacks, new study shows investors see climate as critical to business performance. </w:t>
      </w:r>
      <w:r w:rsidRPr="00C30EFC">
        <w:rPr>
          <w:rFonts w:ascii="Times New Roman" w:hAnsi="Times New Roman" w:cs="Times New Roman"/>
          <w:i/>
          <w:iCs/>
        </w:rPr>
        <w:t>Harvard Business Review</w:t>
      </w:r>
      <w:r w:rsidRPr="00C30EFC">
        <w:rPr>
          <w:rFonts w:ascii="Times New Roman" w:hAnsi="Times New Roman" w:cs="Times New Roman"/>
        </w:rPr>
        <w:t>. Retrieved from </w:t>
      </w:r>
      <w:hyperlink r:id="rId18" w:history="1">
        <w:r w:rsidRPr="00C30EFC">
          <w:rPr>
            <w:rStyle w:val="Hyperlink"/>
            <w:rFonts w:ascii="Times New Roman" w:hAnsi="Times New Roman" w:cs="Times New Roman"/>
          </w:rPr>
          <w:t>https://hbr.org/sponsored/2024/08/despite-anti-esg-attacks-new-study-shows-investors-see-climate-as-critical-to-business-performance</w:t>
        </w:r>
      </w:hyperlink>
      <w:r w:rsidRPr="00C30EFC">
        <w:rPr>
          <w:rFonts w:ascii="Times New Roman" w:hAnsi="Times New Roman" w:cs="Times New Roman"/>
        </w:rPr>
        <w:t xml:space="preserve"> (Accessed: 28 January 2025).</w:t>
      </w:r>
    </w:p>
    <w:p w14:paraId="50DD2717"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Matos, P. (2020). ESG and responsible institutional investing around the world: A critical review. CFA Institute Research Foundation.</w:t>
      </w:r>
    </w:p>
    <w:p w14:paraId="4F317EC3"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Mhlanga, D., &amp; Dzingirai, M. (Eds.). (2024). </w:t>
      </w:r>
      <w:r w:rsidRPr="00C30EFC">
        <w:rPr>
          <w:rFonts w:ascii="Times New Roman" w:hAnsi="Times New Roman" w:cs="Times New Roman"/>
          <w:i/>
          <w:iCs/>
        </w:rPr>
        <w:t>Responsible Business and Sustainable Development: The Use of Data and Metrics in the Global South</w:t>
      </w:r>
      <w:r w:rsidRPr="00C30EFC">
        <w:rPr>
          <w:rFonts w:ascii="Times New Roman" w:hAnsi="Times New Roman" w:cs="Times New Roman"/>
        </w:rPr>
        <w:t> (1st ed.). Routledge Taylor &amp; Francis Group. </w:t>
      </w:r>
    </w:p>
    <w:p w14:paraId="38D8DDC6"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Miyamoto, M., &amp; Nohara, H. (2023). How Japanese firms address the issues of environment, society, and governance: a corporate governance perspective. </w:t>
      </w:r>
      <w:r w:rsidRPr="00C30EFC">
        <w:rPr>
          <w:rFonts w:ascii="Times New Roman" w:hAnsi="Times New Roman" w:cs="Times New Roman"/>
          <w:i/>
          <w:iCs/>
        </w:rPr>
        <w:t>Evolutionary and Institutional Economics Review</w:t>
      </w:r>
      <w:r w:rsidRPr="00C30EFC">
        <w:rPr>
          <w:rFonts w:ascii="Times New Roman" w:hAnsi="Times New Roman" w:cs="Times New Roman"/>
        </w:rPr>
        <w:t>, </w:t>
      </w:r>
      <w:r w:rsidRPr="00C30EFC">
        <w:rPr>
          <w:rFonts w:ascii="Times New Roman" w:hAnsi="Times New Roman" w:cs="Times New Roman"/>
          <w:i/>
          <w:iCs/>
        </w:rPr>
        <w:t>20</w:t>
      </w:r>
      <w:r w:rsidRPr="00C30EFC">
        <w:rPr>
          <w:rFonts w:ascii="Times New Roman" w:hAnsi="Times New Roman" w:cs="Times New Roman"/>
        </w:rPr>
        <w:t>(1), 25–46.</w:t>
      </w:r>
    </w:p>
    <w:p w14:paraId="72C0D416"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Nikkei, (2023). The 4th Nikkei SDGs Management Survey: Japanese Companies' Progress Toward Sustainability. Retrieved from: </w:t>
      </w:r>
      <w:hyperlink r:id="rId19" w:history="1">
        <w:r w:rsidRPr="00C30EFC">
          <w:rPr>
            <w:rStyle w:val="Hyperlink"/>
            <w:rFonts w:ascii="Times New Roman" w:hAnsi="Times New Roman" w:cs="Times New Roman"/>
          </w:rPr>
          <w:t>https://www.nikkei.co.jp/nikkeiinfo/en/global_services/nikkei-research/the-4th-nikkei-sdgs-</w:t>
        </w:r>
        <w:r w:rsidRPr="00C30EFC">
          <w:rPr>
            <w:rStyle w:val="Hyperlink"/>
            <w:rFonts w:ascii="Times New Roman" w:hAnsi="Times New Roman" w:cs="Times New Roman"/>
          </w:rPr>
          <w:lastRenderedPageBreak/>
          <w:t>management-survey-japanese-companies-progress-toward-sustainability.html</w:t>
        </w:r>
      </w:hyperlink>
      <w:r w:rsidRPr="00C30EFC">
        <w:rPr>
          <w:rFonts w:ascii="Times New Roman" w:hAnsi="Times New Roman" w:cs="Times New Roman"/>
        </w:rPr>
        <w:t xml:space="preserve"> (Accessed: 28 January 2025).</w:t>
      </w:r>
    </w:p>
    <w:p w14:paraId="6A95440E"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OECD. (2024). OECD Economic Surveys: Japan 2024. </w:t>
      </w:r>
      <w:r w:rsidRPr="00C30EFC">
        <w:rPr>
          <w:rFonts w:ascii="Times New Roman" w:hAnsi="Times New Roman" w:cs="Times New Roman"/>
          <w:i/>
          <w:iCs/>
        </w:rPr>
        <w:t>OECD Publishing</w:t>
      </w:r>
      <w:r w:rsidRPr="00C30EFC">
        <w:rPr>
          <w:rFonts w:ascii="Times New Roman" w:hAnsi="Times New Roman" w:cs="Times New Roman"/>
        </w:rPr>
        <w:t>. </w:t>
      </w:r>
      <w:hyperlink r:id="rId20" w:history="1">
        <w:r w:rsidRPr="00C30EFC">
          <w:rPr>
            <w:rStyle w:val="Hyperlink"/>
            <w:rFonts w:ascii="Times New Roman" w:hAnsi="Times New Roman" w:cs="Times New Roman"/>
          </w:rPr>
          <w:t>https://www.oecd.org/en/publications/oecd-economic-surveys-japan-2024_41e807f9-en.html</w:t>
        </w:r>
      </w:hyperlink>
      <w:r w:rsidRPr="00C30EFC">
        <w:rPr>
          <w:rFonts w:ascii="Times New Roman" w:hAnsi="Times New Roman" w:cs="Times New Roman"/>
        </w:rPr>
        <w:t xml:space="preserve"> (Accessed: 28 January 2025).</w:t>
      </w:r>
    </w:p>
    <w:p w14:paraId="7B60B4DC"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Okimoto, T., &amp; Takaoka, S. (2024). Sustainability and credit spreads in Japan. </w:t>
      </w:r>
      <w:r w:rsidRPr="00C30EFC">
        <w:rPr>
          <w:rFonts w:ascii="Times New Roman" w:hAnsi="Times New Roman" w:cs="Times New Roman"/>
          <w:i/>
          <w:iCs/>
        </w:rPr>
        <w:t>International Review of Financial Analysis</w:t>
      </w:r>
      <w:r w:rsidRPr="00C30EFC">
        <w:rPr>
          <w:rFonts w:ascii="Times New Roman" w:hAnsi="Times New Roman" w:cs="Times New Roman"/>
        </w:rPr>
        <w:t>, </w:t>
      </w:r>
      <w:r w:rsidRPr="00C30EFC">
        <w:rPr>
          <w:rFonts w:ascii="Times New Roman" w:hAnsi="Times New Roman" w:cs="Times New Roman"/>
          <w:i/>
          <w:iCs/>
        </w:rPr>
        <w:t>91</w:t>
      </w:r>
      <w:r w:rsidRPr="00C30EFC">
        <w:rPr>
          <w:rFonts w:ascii="Times New Roman" w:hAnsi="Times New Roman" w:cs="Times New Roman"/>
        </w:rPr>
        <w:t>, 103052.</w:t>
      </w:r>
    </w:p>
    <w:p w14:paraId="48074BB7"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 xml:space="preserve">Pérez </w:t>
      </w:r>
      <w:proofErr w:type="spellStart"/>
      <w:r w:rsidRPr="00C30EFC">
        <w:rPr>
          <w:rFonts w:ascii="Times New Roman" w:hAnsi="Times New Roman" w:cs="Times New Roman"/>
        </w:rPr>
        <w:t>Estébanez</w:t>
      </w:r>
      <w:proofErr w:type="spellEnd"/>
      <w:r w:rsidRPr="00C30EFC">
        <w:rPr>
          <w:rFonts w:ascii="Times New Roman" w:hAnsi="Times New Roman" w:cs="Times New Roman"/>
        </w:rPr>
        <w:t>, R., &amp; Sevillano Martín, F. J. (2025). Business Sustainability and Its Effect on Performance Measures: A Comprehensive Analysis. </w:t>
      </w:r>
      <w:r w:rsidRPr="00C30EFC">
        <w:rPr>
          <w:rFonts w:ascii="Times New Roman" w:hAnsi="Times New Roman" w:cs="Times New Roman"/>
          <w:i/>
          <w:iCs/>
        </w:rPr>
        <w:t>Sustainability</w:t>
      </w:r>
      <w:r w:rsidRPr="00C30EFC">
        <w:rPr>
          <w:rFonts w:ascii="Times New Roman" w:hAnsi="Times New Roman" w:cs="Times New Roman"/>
        </w:rPr>
        <w:t>, </w:t>
      </w:r>
      <w:r w:rsidRPr="00C30EFC">
        <w:rPr>
          <w:rFonts w:ascii="Times New Roman" w:hAnsi="Times New Roman" w:cs="Times New Roman"/>
          <w:i/>
          <w:iCs/>
        </w:rPr>
        <w:t>17</w:t>
      </w:r>
      <w:r w:rsidRPr="00C30EFC">
        <w:rPr>
          <w:rFonts w:ascii="Times New Roman" w:hAnsi="Times New Roman" w:cs="Times New Roman"/>
        </w:rPr>
        <w:t>(1), 297.</w:t>
      </w:r>
    </w:p>
    <w:p w14:paraId="5AF0859E"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Ren, C., &amp; Lin, X. (2024). The impact of performance feedback on corporate ESG performance: Mediating role of environmental strategy. </w:t>
      </w:r>
      <w:proofErr w:type="spellStart"/>
      <w:r w:rsidRPr="00C30EFC">
        <w:rPr>
          <w:rFonts w:ascii="Times New Roman" w:hAnsi="Times New Roman" w:cs="Times New Roman"/>
          <w:i/>
          <w:iCs/>
        </w:rPr>
        <w:t>Plos</w:t>
      </w:r>
      <w:proofErr w:type="spellEnd"/>
      <w:r w:rsidRPr="00C30EFC">
        <w:rPr>
          <w:rFonts w:ascii="Times New Roman" w:hAnsi="Times New Roman" w:cs="Times New Roman"/>
          <w:i/>
          <w:iCs/>
        </w:rPr>
        <w:t xml:space="preserve"> one</w:t>
      </w:r>
      <w:r w:rsidRPr="00C30EFC">
        <w:rPr>
          <w:rFonts w:ascii="Times New Roman" w:hAnsi="Times New Roman" w:cs="Times New Roman"/>
        </w:rPr>
        <w:t>, </w:t>
      </w:r>
      <w:r w:rsidRPr="00C30EFC">
        <w:rPr>
          <w:rFonts w:ascii="Times New Roman" w:hAnsi="Times New Roman" w:cs="Times New Roman"/>
          <w:i/>
          <w:iCs/>
        </w:rPr>
        <w:t>19</w:t>
      </w:r>
      <w:r w:rsidRPr="00C30EFC">
        <w:rPr>
          <w:rFonts w:ascii="Times New Roman" w:hAnsi="Times New Roman" w:cs="Times New Roman"/>
        </w:rPr>
        <w:t>(3), e0298471. </w:t>
      </w:r>
    </w:p>
    <w:p w14:paraId="5842EBF1"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Sahar, E., Wan-Hussin, W. N., &amp; Ariffin, M. S. M. (2022). Sustainability performance and board compensation in Japan and ASEAN-5 countries. </w:t>
      </w:r>
      <w:r w:rsidRPr="00C30EFC">
        <w:rPr>
          <w:rFonts w:ascii="Times New Roman" w:hAnsi="Times New Roman" w:cs="Times New Roman"/>
          <w:i/>
          <w:iCs/>
        </w:rPr>
        <w:t>Borsa Istanbul Review</w:t>
      </w:r>
      <w:r w:rsidRPr="00C30EFC">
        <w:rPr>
          <w:rFonts w:ascii="Times New Roman" w:hAnsi="Times New Roman" w:cs="Times New Roman"/>
        </w:rPr>
        <w:t>, </w:t>
      </w:r>
      <w:r w:rsidRPr="00C30EFC">
        <w:rPr>
          <w:rFonts w:ascii="Times New Roman" w:hAnsi="Times New Roman" w:cs="Times New Roman"/>
          <w:i/>
          <w:iCs/>
        </w:rPr>
        <w:t>22</w:t>
      </w:r>
      <w:r w:rsidRPr="00C30EFC">
        <w:rPr>
          <w:rFonts w:ascii="Times New Roman" w:hAnsi="Times New Roman" w:cs="Times New Roman"/>
        </w:rPr>
        <w:t>, S189-S199.</w:t>
      </w:r>
    </w:p>
    <w:p w14:paraId="1A626BD2"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Saito, A., &amp; Tanizaki, H. (2024). Volatility and returns of ESG indices: evidence from Japan. </w:t>
      </w:r>
      <w:r w:rsidRPr="00C30EFC">
        <w:rPr>
          <w:rFonts w:ascii="Times New Roman" w:hAnsi="Times New Roman" w:cs="Times New Roman"/>
          <w:i/>
          <w:iCs/>
        </w:rPr>
        <w:t>SN Business &amp; Economics</w:t>
      </w:r>
      <w:r w:rsidRPr="00C30EFC">
        <w:rPr>
          <w:rFonts w:ascii="Times New Roman" w:hAnsi="Times New Roman" w:cs="Times New Roman"/>
        </w:rPr>
        <w:t>, </w:t>
      </w:r>
      <w:r w:rsidRPr="00C30EFC">
        <w:rPr>
          <w:rFonts w:ascii="Times New Roman" w:hAnsi="Times New Roman" w:cs="Times New Roman"/>
          <w:i/>
          <w:iCs/>
        </w:rPr>
        <w:t>4</w:t>
      </w:r>
      <w:r w:rsidRPr="00C30EFC">
        <w:rPr>
          <w:rFonts w:ascii="Times New Roman" w:hAnsi="Times New Roman" w:cs="Times New Roman"/>
        </w:rPr>
        <w:t>(3), 34.</w:t>
      </w:r>
    </w:p>
    <w:p w14:paraId="4CCF2703"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Sakagami, R. (2022). </w:t>
      </w:r>
      <w:r w:rsidRPr="00C30EFC">
        <w:rPr>
          <w:rFonts w:ascii="Times New Roman" w:hAnsi="Times New Roman" w:cs="Times New Roman"/>
          <w:i/>
          <w:iCs/>
        </w:rPr>
        <w:t>Sustainability: The state of debate on ESG in Japan</w:t>
      </w:r>
      <w:r w:rsidRPr="00C30EFC">
        <w:rPr>
          <w:rFonts w:ascii="Times New Roman" w:hAnsi="Times New Roman" w:cs="Times New Roman"/>
        </w:rPr>
        <w:t>. Citi Research. Retrieved from: </w:t>
      </w:r>
      <w:hyperlink r:id="rId21" w:history="1">
        <w:r w:rsidRPr="00C30EFC">
          <w:rPr>
            <w:rStyle w:val="Hyperlink"/>
            <w:rFonts w:ascii="Times New Roman" w:hAnsi="Times New Roman" w:cs="Times New Roman"/>
          </w:rPr>
          <w:t>https://www.citigroup.com/global/insights/the-state-of-debate-on-esg-in-japan</w:t>
        </w:r>
      </w:hyperlink>
      <w:r w:rsidRPr="00C30EFC">
        <w:rPr>
          <w:rFonts w:ascii="Times New Roman" w:hAnsi="Times New Roman" w:cs="Times New Roman"/>
        </w:rPr>
        <w:t xml:space="preserve"> (Accessed: 28 January 2025).</w:t>
      </w:r>
    </w:p>
    <w:p w14:paraId="4EF5C190" w14:textId="77777777" w:rsidR="008377A3" w:rsidRPr="00C30EFC" w:rsidRDefault="008377A3" w:rsidP="00C30EFC">
      <w:pPr>
        <w:ind w:left="360"/>
        <w:rPr>
          <w:rFonts w:ascii="Times New Roman" w:hAnsi="Times New Roman" w:cs="Times New Roman"/>
          <w:color w:val="222222"/>
          <w:sz w:val="20"/>
          <w:szCs w:val="20"/>
          <w:shd w:val="clear" w:color="auto" w:fill="FFFFFF"/>
        </w:rPr>
      </w:pPr>
      <w:r w:rsidRPr="00C30EFC">
        <w:rPr>
          <w:rFonts w:ascii="Times New Roman" w:hAnsi="Times New Roman" w:cs="Times New Roman"/>
          <w:color w:val="222222"/>
          <w:sz w:val="20"/>
          <w:szCs w:val="20"/>
          <w:shd w:val="clear" w:color="auto" w:fill="FFFFFF"/>
        </w:rPr>
        <w:t>Shahid, M. N., Ateeq, A., Sattar. A., Lodhi, R. N., &amp; Islam, M. U. (2021). Monday anomaly manifests adaptive behavior. A firm level evidence from emerging market. </w:t>
      </w:r>
      <w:r w:rsidRPr="00C30EFC">
        <w:rPr>
          <w:rFonts w:ascii="Times New Roman" w:hAnsi="Times New Roman" w:cs="Times New Roman"/>
          <w:i/>
          <w:iCs/>
          <w:color w:val="222222"/>
          <w:sz w:val="20"/>
          <w:szCs w:val="20"/>
          <w:shd w:val="clear" w:color="auto" w:fill="FFFFFF"/>
        </w:rPr>
        <w:t>The journal of contemporary issues in business and government</w:t>
      </w:r>
      <w:r w:rsidRPr="00C30EFC">
        <w:rPr>
          <w:rFonts w:ascii="Times New Roman" w:hAnsi="Times New Roman" w:cs="Times New Roman"/>
          <w:color w:val="222222"/>
          <w:sz w:val="20"/>
          <w:szCs w:val="20"/>
          <w:shd w:val="clear" w:color="auto" w:fill="FFFFFF"/>
        </w:rPr>
        <w:t>, </w:t>
      </w:r>
      <w:r w:rsidRPr="00C30EFC">
        <w:rPr>
          <w:rFonts w:ascii="Times New Roman" w:hAnsi="Times New Roman" w:cs="Times New Roman"/>
          <w:i/>
          <w:iCs/>
          <w:color w:val="222222"/>
          <w:sz w:val="20"/>
          <w:szCs w:val="20"/>
          <w:shd w:val="clear" w:color="auto" w:fill="FFFFFF"/>
        </w:rPr>
        <w:t>27</w:t>
      </w:r>
      <w:r w:rsidRPr="00C30EFC">
        <w:rPr>
          <w:rFonts w:ascii="Times New Roman" w:hAnsi="Times New Roman" w:cs="Times New Roman"/>
          <w:color w:val="222222"/>
          <w:sz w:val="20"/>
          <w:szCs w:val="20"/>
          <w:shd w:val="clear" w:color="auto" w:fill="FFFFFF"/>
        </w:rPr>
        <w:t>(3), 2421-2444.</w:t>
      </w:r>
    </w:p>
    <w:p w14:paraId="450F8BC0" w14:textId="77777777" w:rsidR="008377A3" w:rsidRPr="00C30EFC" w:rsidRDefault="008377A3" w:rsidP="00C30EFC">
      <w:pPr>
        <w:suppressAutoHyphens/>
        <w:spacing w:after="0" w:line="240" w:lineRule="auto"/>
        <w:ind w:left="360"/>
        <w:jc w:val="both"/>
        <w:rPr>
          <w:rFonts w:ascii="Times New Roman" w:hAnsi="Times New Roman" w:cs="Times New Roman"/>
          <w:color w:val="222222"/>
          <w:sz w:val="20"/>
          <w:szCs w:val="20"/>
          <w:shd w:val="clear" w:color="auto" w:fill="FFFFFF"/>
        </w:rPr>
      </w:pPr>
      <w:r w:rsidRPr="00C30EFC">
        <w:rPr>
          <w:rFonts w:ascii="Times New Roman" w:hAnsi="Times New Roman" w:cs="Times New Roman"/>
          <w:noProof/>
          <w:sz w:val="20"/>
          <w:szCs w:val="20"/>
        </w:rPr>
        <w:t xml:space="preserve">Shahid, M. N., &amp; Sattar, A. (2017). Behavior of Calendar Anomalies, Market Conditions and Adaptive Market Hypothesis: Evidence from Pakistan Stock Exchange. </w:t>
      </w:r>
      <w:r w:rsidRPr="00C30EFC">
        <w:rPr>
          <w:rFonts w:ascii="Times New Roman" w:hAnsi="Times New Roman" w:cs="Times New Roman"/>
          <w:i/>
          <w:iCs/>
          <w:noProof/>
          <w:sz w:val="20"/>
          <w:szCs w:val="20"/>
        </w:rPr>
        <w:t>Pakistan Journal of Commerce and Social Sciences, 11</w:t>
      </w:r>
      <w:r w:rsidRPr="00C30EFC">
        <w:rPr>
          <w:rFonts w:ascii="Times New Roman" w:hAnsi="Times New Roman" w:cs="Times New Roman"/>
          <w:noProof/>
          <w:sz w:val="20"/>
          <w:szCs w:val="20"/>
        </w:rPr>
        <w:t>(2), 471-504.</w:t>
      </w:r>
    </w:p>
    <w:p w14:paraId="1010E8A0" w14:textId="77777777" w:rsidR="008377A3" w:rsidRPr="00513181" w:rsidRDefault="008377A3" w:rsidP="00C30EFC">
      <w:pPr>
        <w:jc w:val="both"/>
        <w:rPr>
          <w:rFonts w:ascii="Times New Roman" w:hAnsi="Times New Roman" w:cs="Times New Roman"/>
        </w:rPr>
      </w:pPr>
    </w:p>
    <w:p w14:paraId="4218821F" w14:textId="007127CF" w:rsidR="00F220A3" w:rsidRPr="00C30EFC" w:rsidRDefault="00F220A3" w:rsidP="00C30EFC">
      <w:pPr>
        <w:ind w:left="360"/>
        <w:jc w:val="both"/>
        <w:rPr>
          <w:rFonts w:ascii="Times New Roman" w:hAnsi="Times New Roman" w:cs="Times New Roman"/>
        </w:rPr>
      </w:pPr>
      <w:proofErr w:type="spellStart"/>
      <w:r w:rsidRPr="00C30EFC">
        <w:rPr>
          <w:rFonts w:ascii="Times New Roman" w:hAnsi="Times New Roman" w:cs="Times New Roman"/>
        </w:rPr>
        <w:t>Shirasu</w:t>
      </w:r>
      <w:proofErr w:type="spellEnd"/>
      <w:r w:rsidRPr="00C30EFC">
        <w:rPr>
          <w:rFonts w:ascii="Times New Roman" w:hAnsi="Times New Roman" w:cs="Times New Roman"/>
        </w:rPr>
        <w:t>, Y., &amp; Kawakita, H. (2021). Long-term financial performance of corporate social responsibility. </w:t>
      </w:r>
      <w:r w:rsidRPr="00C30EFC">
        <w:rPr>
          <w:rFonts w:ascii="Times New Roman" w:hAnsi="Times New Roman" w:cs="Times New Roman"/>
          <w:i/>
          <w:iCs/>
        </w:rPr>
        <w:t>Global Finance Journal</w:t>
      </w:r>
      <w:r w:rsidRPr="00C30EFC">
        <w:rPr>
          <w:rFonts w:ascii="Times New Roman" w:hAnsi="Times New Roman" w:cs="Times New Roman"/>
        </w:rPr>
        <w:t>, </w:t>
      </w:r>
      <w:r w:rsidRPr="00C30EFC">
        <w:rPr>
          <w:rFonts w:ascii="Times New Roman" w:hAnsi="Times New Roman" w:cs="Times New Roman"/>
          <w:i/>
          <w:iCs/>
        </w:rPr>
        <w:t>50</w:t>
      </w:r>
      <w:r w:rsidRPr="00C30EFC">
        <w:rPr>
          <w:rFonts w:ascii="Times New Roman" w:hAnsi="Times New Roman" w:cs="Times New Roman"/>
        </w:rPr>
        <w:t>, 100532.</w:t>
      </w:r>
    </w:p>
    <w:p w14:paraId="4144A58B"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Sun, Y. (2024). The impact of integrated reporting approach on sustainability performance of state-owned enterprises. </w:t>
      </w:r>
      <w:r w:rsidRPr="00C30EFC">
        <w:rPr>
          <w:rFonts w:ascii="Times New Roman" w:hAnsi="Times New Roman" w:cs="Times New Roman"/>
          <w:i/>
          <w:iCs/>
        </w:rPr>
        <w:t>Environment, Development and Sustainability</w:t>
      </w:r>
      <w:r w:rsidRPr="00C30EFC">
        <w:rPr>
          <w:rFonts w:ascii="Times New Roman" w:hAnsi="Times New Roman" w:cs="Times New Roman"/>
        </w:rPr>
        <w:t>, 1-36.</w:t>
      </w:r>
    </w:p>
    <w:p w14:paraId="018FADE0" w14:textId="77777777" w:rsidR="00F220A3" w:rsidRPr="00C30EFC" w:rsidRDefault="00F220A3" w:rsidP="00C30EFC">
      <w:pPr>
        <w:ind w:left="360"/>
        <w:jc w:val="both"/>
        <w:rPr>
          <w:rFonts w:ascii="Times New Roman" w:hAnsi="Times New Roman" w:cs="Times New Roman"/>
        </w:rPr>
      </w:pPr>
      <w:proofErr w:type="spellStart"/>
      <w:r w:rsidRPr="00C30EFC">
        <w:rPr>
          <w:rFonts w:ascii="Times New Roman" w:hAnsi="Times New Roman" w:cs="Times New Roman"/>
        </w:rPr>
        <w:t>Taghizadeh-Hesary</w:t>
      </w:r>
      <w:proofErr w:type="spellEnd"/>
      <w:r w:rsidRPr="00C30EFC">
        <w:rPr>
          <w:rFonts w:ascii="Times New Roman" w:hAnsi="Times New Roman" w:cs="Times New Roman"/>
        </w:rPr>
        <w:t>, F., Yoshino, N. and Otsuka, M., 2022. Sustainable development goals need and financial sector imperatives. In </w:t>
      </w:r>
      <w:r w:rsidRPr="00C30EFC">
        <w:rPr>
          <w:rFonts w:ascii="Times New Roman" w:hAnsi="Times New Roman" w:cs="Times New Roman"/>
          <w:i/>
          <w:iCs/>
        </w:rPr>
        <w:t>Sustainable development goals and pandemic planning: role of efficiency based regional approaches</w:t>
      </w:r>
      <w:r w:rsidRPr="00C30EFC">
        <w:rPr>
          <w:rFonts w:ascii="Times New Roman" w:hAnsi="Times New Roman" w:cs="Times New Roman"/>
        </w:rPr>
        <w:t> (pp. 721-746). Singapore: Springer Nature Singapore.</w:t>
      </w:r>
    </w:p>
    <w:p w14:paraId="000E1ED4" w14:textId="77777777" w:rsidR="00F220A3" w:rsidRPr="00C30EFC" w:rsidRDefault="00F220A3" w:rsidP="00C30EFC">
      <w:pPr>
        <w:ind w:left="360"/>
        <w:jc w:val="both"/>
        <w:rPr>
          <w:rFonts w:ascii="Times New Roman" w:hAnsi="Times New Roman" w:cs="Times New Roman"/>
        </w:rPr>
      </w:pPr>
      <w:proofErr w:type="spellStart"/>
      <w:r w:rsidRPr="00C30EFC">
        <w:rPr>
          <w:rFonts w:ascii="Times New Roman" w:hAnsi="Times New Roman" w:cs="Times New Roman"/>
        </w:rPr>
        <w:lastRenderedPageBreak/>
        <w:t>Tamaruya</w:t>
      </w:r>
      <w:proofErr w:type="spellEnd"/>
      <w:r w:rsidRPr="00C30EFC">
        <w:rPr>
          <w:rFonts w:ascii="Times New Roman" w:hAnsi="Times New Roman" w:cs="Times New Roman"/>
        </w:rPr>
        <w:t xml:space="preserve">, M., &amp; </w:t>
      </w:r>
      <w:proofErr w:type="spellStart"/>
      <w:r w:rsidRPr="00C30EFC">
        <w:rPr>
          <w:rFonts w:ascii="Times New Roman" w:hAnsi="Times New Roman" w:cs="Times New Roman"/>
        </w:rPr>
        <w:t>Yukioka</w:t>
      </w:r>
      <w:proofErr w:type="spellEnd"/>
      <w:r w:rsidRPr="00C30EFC">
        <w:rPr>
          <w:rFonts w:ascii="Times New Roman" w:hAnsi="Times New Roman" w:cs="Times New Roman"/>
        </w:rPr>
        <w:t>, M. (2024). ESG in Japan: The case of a mixed legal system. In </w:t>
      </w:r>
      <w:r w:rsidRPr="00C30EFC">
        <w:rPr>
          <w:rFonts w:ascii="Times New Roman" w:hAnsi="Times New Roman" w:cs="Times New Roman"/>
          <w:i/>
          <w:iCs/>
        </w:rPr>
        <w:t>Research Handbook on Environmental, Social and Corporate Governance</w:t>
      </w:r>
      <w:r w:rsidRPr="00C30EFC">
        <w:rPr>
          <w:rFonts w:ascii="Times New Roman" w:hAnsi="Times New Roman" w:cs="Times New Roman"/>
        </w:rPr>
        <w:t> (pp. 439-461). Edward Elgar Publishing.</w:t>
      </w:r>
    </w:p>
    <w:p w14:paraId="38C16430"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Tang, H., Tong, M. and Chen, Y., 2024. Green investor behavior and corporate green innovation: Evidence from Chinese listed companies. </w:t>
      </w:r>
      <w:r w:rsidRPr="00C30EFC">
        <w:rPr>
          <w:rFonts w:ascii="Times New Roman" w:hAnsi="Times New Roman" w:cs="Times New Roman"/>
          <w:i/>
          <w:iCs/>
        </w:rPr>
        <w:t>Journal of Environmental Management</w:t>
      </w:r>
      <w:r w:rsidRPr="00C30EFC">
        <w:rPr>
          <w:rFonts w:ascii="Times New Roman" w:hAnsi="Times New Roman" w:cs="Times New Roman"/>
        </w:rPr>
        <w:t>, </w:t>
      </w:r>
      <w:r w:rsidRPr="00C30EFC">
        <w:rPr>
          <w:rFonts w:ascii="Times New Roman" w:hAnsi="Times New Roman" w:cs="Times New Roman"/>
          <w:i/>
          <w:iCs/>
        </w:rPr>
        <w:t>366</w:t>
      </w:r>
      <w:r w:rsidRPr="00C30EFC">
        <w:rPr>
          <w:rFonts w:ascii="Times New Roman" w:hAnsi="Times New Roman" w:cs="Times New Roman"/>
        </w:rPr>
        <w:t>, p.121691.</w:t>
      </w:r>
    </w:p>
    <w:p w14:paraId="6E2D5B1D"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Tao, Y., Wang, D., Ye, Y., Wu, H. and Zhang, Y., 2023. The role of public environmental concern on corporate social responsibility: Evidence from search index of web users. </w:t>
      </w:r>
      <w:r w:rsidRPr="00C30EFC">
        <w:rPr>
          <w:rFonts w:ascii="Times New Roman" w:hAnsi="Times New Roman" w:cs="Times New Roman"/>
          <w:i/>
          <w:iCs/>
        </w:rPr>
        <w:t>Energy Economics</w:t>
      </w:r>
      <w:r w:rsidRPr="00C30EFC">
        <w:rPr>
          <w:rFonts w:ascii="Times New Roman" w:hAnsi="Times New Roman" w:cs="Times New Roman"/>
        </w:rPr>
        <w:t>, </w:t>
      </w:r>
      <w:r w:rsidRPr="00C30EFC">
        <w:rPr>
          <w:rFonts w:ascii="Times New Roman" w:hAnsi="Times New Roman" w:cs="Times New Roman"/>
          <w:i/>
          <w:iCs/>
        </w:rPr>
        <w:t>126</w:t>
      </w:r>
      <w:r w:rsidRPr="00C30EFC">
        <w:rPr>
          <w:rFonts w:ascii="Times New Roman" w:hAnsi="Times New Roman" w:cs="Times New Roman"/>
        </w:rPr>
        <w:t>, p.107041.</w:t>
      </w:r>
    </w:p>
    <w:p w14:paraId="5D0D5AC6"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Tsujimoto, S. (2019). Current status and issues of the ESG investment in Japan. </w:t>
      </w:r>
      <w:r w:rsidRPr="00C30EFC">
        <w:rPr>
          <w:rFonts w:ascii="Times New Roman" w:hAnsi="Times New Roman" w:cs="Times New Roman"/>
          <w:i/>
          <w:iCs/>
        </w:rPr>
        <w:t>Journal of Investor Relations</w:t>
      </w:r>
      <w:r w:rsidRPr="00C30EFC">
        <w:rPr>
          <w:rFonts w:ascii="Times New Roman" w:hAnsi="Times New Roman" w:cs="Times New Roman"/>
        </w:rPr>
        <w:t>, 13(1), 32-40. </w:t>
      </w:r>
    </w:p>
    <w:p w14:paraId="646045DA"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Vuong, N. B. (2022). Investor sentiment, corporate social responsibility, and financial performance: Evidence from Japanese companies. </w:t>
      </w:r>
      <w:r w:rsidRPr="00C30EFC">
        <w:rPr>
          <w:rFonts w:ascii="Times New Roman" w:hAnsi="Times New Roman" w:cs="Times New Roman"/>
          <w:i/>
          <w:iCs/>
        </w:rPr>
        <w:t>Borsa Istanbul Review</w:t>
      </w:r>
      <w:r w:rsidRPr="00C30EFC">
        <w:rPr>
          <w:rFonts w:ascii="Times New Roman" w:hAnsi="Times New Roman" w:cs="Times New Roman"/>
        </w:rPr>
        <w:t>, </w:t>
      </w:r>
      <w:r w:rsidRPr="00C30EFC">
        <w:rPr>
          <w:rFonts w:ascii="Times New Roman" w:hAnsi="Times New Roman" w:cs="Times New Roman"/>
          <w:i/>
          <w:iCs/>
        </w:rPr>
        <w:t>22</w:t>
      </w:r>
      <w:r w:rsidRPr="00C30EFC">
        <w:rPr>
          <w:rFonts w:ascii="Times New Roman" w:hAnsi="Times New Roman" w:cs="Times New Roman"/>
        </w:rPr>
        <w:t>(5), 911-924.</w:t>
      </w:r>
    </w:p>
    <w:p w14:paraId="5C64B9EC"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Yanagi, M. (2025). Exploration of Japan’s eco-economic development based on resource characteristics: Case analysis and insights. </w:t>
      </w:r>
      <w:r w:rsidRPr="00C30EFC">
        <w:rPr>
          <w:rFonts w:ascii="Times New Roman" w:hAnsi="Times New Roman" w:cs="Times New Roman"/>
          <w:i/>
          <w:iCs/>
        </w:rPr>
        <w:t>Resources Data Journal</w:t>
      </w:r>
      <w:r w:rsidRPr="00C30EFC">
        <w:rPr>
          <w:rFonts w:ascii="Times New Roman" w:hAnsi="Times New Roman" w:cs="Times New Roman"/>
        </w:rPr>
        <w:t>, </w:t>
      </w:r>
      <w:r w:rsidRPr="00C30EFC">
        <w:rPr>
          <w:rFonts w:ascii="Times New Roman" w:hAnsi="Times New Roman" w:cs="Times New Roman"/>
          <w:i/>
          <w:iCs/>
        </w:rPr>
        <w:t>4</w:t>
      </w:r>
      <w:r w:rsidRPr="00C30EFC">
        <w:rPr>
          <w:rFonts w:ascii="Times New Roman" w:hAnsi="Times New Roman" w:cs="Times New Roman"/>
        </w:rPr>
        <w:t>, 3-16.</w:t>
      </w:r>
    </w:p>
    <w:p w14:paraId="1F3D8AFF"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lang w:val="da-DK"/>
        </w:rPr>
        <w:t xml:space="preserve">Yang, Q., Du, Q., Razzaq, A., &amp; Shang, Y. (2022). </w:t>
      </w:r>
      <w:r w:rsidRPr="00C30EFC">
        <w:rPr>
          <w:rFonts w:ascii="Times New Roman" w:hAnsi="Times New Roman" w:cs="Times New Roman"/>
        </w:rPr>
        <w:t>How volatility in eco-friendly investor financing, clean energy, and eco-friendly investor economic practices derive sustainable performance through ESG indicators? A sectoral study of G7 countries. </w:t>
      </w:r>
      <w:r w:rsidRPr="00C30EFC">
        <w:rPr>
          <w:rFonts w:ascii="Times New Roman" w:hAnsi="Times New Roman" w:cs="Times New Roman"/>
          <w:i/>
          <w:iCs/>
        </w:rPr>
        <w:t>Resources Policy</w:t>
      </w:r>
      <w:r w:rsidRPr="00C30EFC">
        <w:rPr>
          <w:rFonts w:ascii="Times New Roman" w:hAnsi="Times New Roman" w:cs="Times New Roman"/>
        </w:rPr>
        <w:t>, </w:t>
      </w:r>
      <w:r w:rsidRPr="00C30EFC">
        <w:rPr>
          <w:rFonts w:ascii="Times New Roman" w:hAnsi="Times New Roman" w:cs="Times New Roman"/>
          <w:i/>
          <w:iCs/>
        </w:rPr>
        <w:t>75</w:t>
      </w:r>
      <w:r w:rsidRPr="00C30EFC">
        <w:rPr>
          <w:rFonts w:ascii="Times New Roman" w:hAnsi="Times New Roman" w:cs="Times New Roman"/>
        </w:rPr>
        <w:t>, 102526.</w:t>
      </w:r>
    </w:p>
    <w:p w14:paraId="170A2092" w14:textId="77777777" w:rsidR="00F220A3" w:rsidRPr="00C30EFC" w:rsidRDefault="00F220A3" w:rsidP="00C30EFC">
      <w:pPr>
        <w:ind w:left="360"/>
        <w:jc w:val="both"/>
        <w:rPr>
          <w:rFonts w:ascii="Times New Roman" w:hAnsi="Times New Roman" w:cs="Times New Roman"/>
        </w:rPr>
      </w:pPr>
      <w:r w:rsidRPr="00C30EFC">
        <w:rPr>
          <w:rFonts w:ascii="Times New Roman" w:hAnsi="Times New Roman" w:cs="Times New Roman"/>
        </w:rPr>
        <w:t xml:space="preserve">Yoshino, N., &amp; </w:t>
      </w:r>
      <w:proofErr w:type="spellStart"/>
      <w:r w:rsidRPr="00C30EFC">
        <w:rPr>
          <w:rFonts w:ascii="Times New Roman" w:hAnsi="Times New Roman" w:cs="Times New Roman"/>
        </w:rPr>
        <w:t>Yuyama</w:t>
      </w:r>
      <w:proofErr w:type="spellEnd"/>
      <w:r w:rsidRPr="00C30EFC">
        <w:rPr>
          <w:rFonts w:ascii="Times New Roman" w:hAnsi="Times New Roman" w:cs="Times New Roman"/>
        </w:rPr>
        <w:t>, T. (2021). ESG/Eco-friendly investor investment and allocation of portfolio assets. </w:t>
      </w:r>
      <w:r w:rsidRPr="00C30EFC">
        <w:rPr>
          <w:rFonts w:ascii="Times New Roman" w:hAnsi="Times New Roman" w:cs="Times New Roman"/>
          <w:i/>
          <w:iCs/>
        </w:rPr>
        <w:t>Studies of Applied Economics</w:t>
      </w:r>
      <w:r w:rsidRPr="00C30EFC">
        <w:rPr>
          <w:rFonts w:ascii="Times New Roman" w:hAnsi="Times New Roman" w:cs="Times New Roman"/>
        </w:rPr>
        <w:t>, </w:t>
      </w:r>
      <w:r w:rsidRPr="00C30EFC">
        <w:rPr>
          <w:rFonts w:ascii="Times New Roman" w:hAnsi="Times New Roman" w:cs="Times New Roman"/>
          <w:i/>
          <w:iCs/>
        </w:rPr>
        <w:t>39</w:t>
      </w:r>
      <w:r w:rsidRPr="00C30EFC">
        <w:rPr>
          <w:rFonts w:ascii="Times New Roman" w:hAnsi="Times New Roman" w:cs="Times New Roman"/>
        </w:rPr>
        <w:t>(3).</w:t>
      </w:r>
    </w:p>
    <w:p w14:paraId="7A9042E6" w14:textId="77777777" w:rsidR="00F220A3" w:rsidRPr="00C30EFC" w:rsidRDefault="00F220A3" w:rsidP="00C30EFC">
      <w:pPr>
        <w:ind w:left="360"/>
        <w:rPr>
          <w:rFonts w:ascii="Times New Roman" w:hAnsi="Times New Roman" w:cs="Times New Roman"/>
        </w:rPr>
      </w:pPr>
      <w:r w:rsidRPr="00C30EFC">
        <w:rPr>
          <w:rFonts w:ascii="Times New Roman" w:hAnsi="Times New Roman" w:cs="Times New Roman"/>
        </w:rPr>
        <w:t>Zhang, L., Xie, Y., &amp; Xu, D. (2024). Green Investor Holdings and Corporate Green Technological Innovation. </w:t>
      </w:r>
      <w:r w:rsidRPr="00C30EFC">
        <w:rPr>
          <w:rFonts w:ascii="Times New Roman" w:hAnsi="Times New Roman" w:cs="Times New Roman"/>
          <w:i/>
          <w:iCs/>
        </w:rPr>
        <w:t>Sustainability</w:t>
      </w:r>
      <w:r w:rsidRPr="00C30EFC">
        <w:rPr>
          <w:rFonts w:ascii="Times New Roman" w:hAnsi="Times New Roman" w:cs="Times New Roman"/>
        </w:rPr>
        <w:t>, </w:t>
      </w:r>
      <w:r w:rsidRPr="00C30EFC">
        <w:rPr>
          <w:rFonts w:ascii="Times New Roman" w:hAnsi="Times New Roman" w:cs="Times New Roman"/>
          <w:i/>
          <w:iCs/>
        </w:rPr>
        <w:t>16</w:t>
      </w:r>
      <w:r w:rsidRPr="00C30EFC">
        <w:rPr>
          <w:rFonts w:ascii="Times New Roman" w:hAnsi="Times New Roman" w:cs="Times New Roman"/>
        </w:rPr>
        <w:t>(10), 4292.</w:t>
      </w:r>
    </w:p>
    <w:p w14:paraId="642DB454" w14:textId="77777777" w:rsidR="0012777A" w:rsidRPr="00513181" w:rsidRDefault="0012777A" w:rsidP="00C30EFC">
      <w:pPr>
        <w:rPr>
          <w:rFonts w:ascii="Times New Roman" w:hAnsi="Times New Roman" w:cs="Times New Roman"/>
        </w:rPr>
      </w:pPr>
    </w:p>
    <w:p w14:paraId="6E9B77C0" w14:textId="77777777" w:rsidR="0012777A" w:rsidRPr="00513181" w:rsidRDefault="0012777A" w:rsidP="00C30EFC">
      <w:pPr>
        <w:rPr>
          <w:rFonts w:ascii="Times New Roman" w:hAnsi="Times New Roman" w:cs="Times New Roman"/>
        </w:rPr>
      </w:pPr>
    </w:p>
    <w:p w14:paraId="12345D16" w14:textId="77777777" w:rsidR="0012777A" w:rsidRPr="00513181" w:rsidRDefault="0012777A" w:rsidP="00C30EFC">
      <w:pPr>
        <w:rPr>
          <w:rFonts w:ascii="Times New Roman" w:hAnsi="Times New Roman" w:cs="Times New Roman"/>
        </w:rPr>
      </w:pPr>
    </w:p>
    <w:p w14:paraId="27D90665" w14:textId="77777777" w:rsidR="0012777A" w:rsidRPr="00513181" w:rsidRDefault="0012777A" w:rsidP="00C30EFC">
      <w:pPr>
        <w:rPr>
          <w:rFonts w:ascii="Times New Roman" w:hAnsi="Times New Roman" w:cs="Times New Roman"/>
        </w:rPr>
      </w:pPr>
    </w:p>
    <w:p w14:paraId="18683123" w14:textId="77777777" w:rsidR="0012777A" w:rsidRPr="00513181" w:rsidRDefault="0012777A" w:rsidP="00C30EFC">
      <w:pPr>
        <w:rPr>
          <w:rFonts w:ascii="Times New Roman" w:hAnsi="Times New Roman" w:cs="Times New Roman"/>
        </w:rPr>
      </w:pPr>
    </w:p>
    <w:sectPr w:rsidR="0012777A" w:rsidRPr="005131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725DD" w14:textId="77777777" w:rsidR="003D1FFD" w:rsidRDefault="003D1FFD" w:rsidP="00462F9F">
      <w:pPr>
        <w:spacing w:after="0" w:line="240" w:lineRule="auto"/>
      </w:pPr>
      <w:r>
        <w:separator/>
      </w:r>
    </w:p>
  </w:endnote>
  <w:endnote w:type="continuationSeparator" w:id="0">
    <w:p w14:paraId="4E111001" w14:textId="77777777" w:rsidR="003D1FFD" w:rsidRDefault="003D1FFD" w:rsidP="0046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C1110" w14:textId="77777777" w:rsidR="00462F9F" w:rsidRDefault="00462F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27395" w14:textId="77777777" w:rsidR="00462F9F" w:rsidRDefault="00462F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2625C" w14:textId="77777777" w:rsidR="00462F9F" w:rsidRDefault="00462F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357C11" w14:textId="77777777" w:rsidR="003D1FFD" w:rsidRDefault="003D1FFD" w:rsidP="00462F9F">
      <w:pPr>
        <w:spacing w:after="0" w:line="240" w:lineRule="auto"/>
      </w:pPr>
      <w:r>
        <w:separator/>
      </w:r>
    </w:p>
  </w:footnote>
  <w:footnote w:type="continuationSeparator" w:id="0">
    <w:p w14:paraId="55739F36" w14:textId="77777777" w:rsidR="003D1FFD" w:rsidRDefault="003D1FFD" w:rsidP="00462F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A87B5" w14:textId="0D364A5B" w:rsidR="00462F9F" w:rsidRDefault="00462F9F">
    <w:pPr>
      <w:pStyle w:val="Header"/>
    </w:pPr>
    <w:r>
      <w:rPr>
        <w:noProof/>
      </w:rPr>
      <w:pict w14:anchorId="504F4C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71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D397D" w14:textId="377E73F3" w:rsidR="00462F9F" w:rsidRDefault="00462F9F">
    <w:pPr>
      <w:pStyle w:val="Header"/>
    </w:pPr>
    <w:r>
      <w:rPr>
        <w:noProof/>
      </w:rPr>
      <w:pict w14:anchorId="42184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71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49FB5" w14:textId="33ED7A7F" w:rsidR="00462F9F" w:rsidRDefault="00462F9F">
    <w:pPr>
      <w:pStyle w:val="Header"/>
    </w:pPr>
    <w:r>
      <w:rPr>
        <w:noProof/>
      </w:rPr>
      <w:pict w14:anchorId="33E003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11071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C0C80"/>
    <w:multiLevelType w:val="multilevel"/>
    <w:tmpl w:val="9DD43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764FA8"/>
    <w:multiLevelType w:val="multilevel"/>
    <w:tmpl w:val="69C67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F74282"/>
    <w:multiLevelType w:val="multilevel"/>
    <w:tmpl w:val="726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DE19D0"/>
    <w:multiLevelType w:val="multilevel"/>
    <w:tmpl w:val="CAB4E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1D7463"/>
    <w:multiLevelType w:val="hybridMultilevel"/>
    <w:tmpl w:val="B5B68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507663"/>
    <w:multiLevelType w:val="multilevel"/>
    <w:tmpl w:val="0D36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A7C"/>
    <w:rsid w:val="0001218D"/>
    <w:rsid w:val="000240E1"/>
    <w:rsid w:val="0002648E"/>
    <w:rsid w:val="000319E1"/>
    <w:rsid w:val="0004104D"/>
    <w:rsid w:val="00056B7E"/>
    <w:rsid w:val="00060B93"/>
    <w:rsid w:val="000671C8"/>
    <w:rsid w:val="0007458F"/>
    <w:rsid w:val="000868A2"/>
    <w:rsid w:val="000904ED"/>
    <w:rsid w:val="00091821"/>
    <w:rsid w:val="000B1312"/>
    <w:rsid w:val="000C2555"/>
    <w:rsid w:val="000C6790"/>
    <w:rsid w:val="000E5DAB"/>
    <w:rsid w:val="000F4425"/>
    <w:rsid w:val="00102463"/>
    <w:rsid w:val="001200F2"/>
    <w:rsid w:val="0012777A"/>
    <w:rsid w:val="001347D7"/>
    <w:rsid w:val="0013711D"/>
    <w:rsid w:val="00137AF4"/>
    <w:rsid w:val="0014208C"/>
    <w:rsid w:val="00146DBB"/>
    <w:rsid w:val="00147FDD"/>
    <w:rsid w:val="0015504D"/>
    <w:rsid w:val="0017094F"/>
    <w:rsid w:val="00185160"/>
    <w:rsid w:val="00192963"/>
    <w:rsid w:val="001B3D3F"/>
    <w:rsid w:val="001B5429"/>
    <w:rsid w:val="001C4B64"/>
    <w:rsid w:val="001E391B"/>
    <w:rsid w:val="00205BAC"/>
    <w:rsid w:val="00206326"/>
    <w:rsid w:val="00213DC7"/>
    <w:rsid w:val="002201A2"/>
    <w:rsid w:val="0022421A"/>
    <w:rsid w:val="00224A35"/>
    <w:rsid w:val="00232842"/>
    <w:rsid w:val="002355C4"/>
    <w:rsid w:val="00240E50"/>
    <w:rsid w:val="002476DE"/>
    <w:rsid w:val="00276E12"/>
    <w:rsid w:val="002810ED"/>
    <w:rsid w:val="00286D9D"/>
    <w:rsid w:val="0029120E"/>
    <w:rsid w:val="002A00F1"/>
    <w:rsid w:val="002A0376"/>
    <w:rsid w:val="002A3DC5"/>
    <w:rsid w:val="002A5F24"/>
    <w:rsid w:val="002B161E"/>
    <w:rsid w:val="002F069A"/>
    <w:rsid w:val="002F324E"/>
    <w:rsid w:val="00305DBB"/>
    <w:rsid w:val="0032036D"/>
    <w:rsid w:val="00326173"/>
    <w:rsid w:val="0033152C"/>
    <w:rsid w:val="00343F83"/>
    <w:rsid w:val="00375A8E"/>
    <w:rsid w:val="00376D8B"/>
    <w:rsid w:val="0039002F"/>
    <w:rsid w:val="003B1B65"/>
    <w:rsid w:val="003B6553"/>
    <w:rsid w:val="003C0206"/>
    <w:rsid w:val="003D1FFD"/>
    <w:rsid w:val="003D7FD3"/>
    <w:rsid w:val="003E520A"/>
    <w:rsid w:val="003F04F4"/>
    <w:rsid w:val="003F12A3"/>
    <w:rsid w:val="003F4844"/>
    <w:rsid w:val="004027F4"/>
    <w:rsid w:val="004117AA"/>
    <w:rsid w:val="0041257A"/>
    <w:rsid w:val="00425449"/>
    <w:rsid w:val="0043168A"/>
    <w:rsid w:val="00434B91"/>
    <w:rsid w:val="00441D2B"/>
    <w:rsid w:val="00444C0D"/>
    <w:rsid w:val="00446278"/>
    <w:rsid w:val="00461FF9"/>
    <w:rsid w:val="00462B5A"/>
    <w:rsid w:val="00462F9F"/>
    <w:rsid w:val="00472BB7"/>
    <w:rsid w:val="00483A2B"/>
    <w:rsid w:val="00493127"/>
    <w:rsid w:val="004A47BF"/>
    <w:rsid w:val="004A4BA0"/>
    <w:rsid w:val="004B39D0"/>
    <w:rsid w:val="004C20ED"/>
    <w:rsid w:val="004D300D"/>
    <w:rsid w:val="004E2D71"/>
    <w:rsid w:val="004F573C"/>
    <w:rsid w:val="004F6A68"/>
    <w:rsid w:val="00513181"/>
    <w:rsid w:val="00530938"/>
    <w:rsid w:val="0053411D"/>
    <w:rsid w:val="00544783"/>
    <w:rsid w:val="005571F4"/>
    <w:rsid w:val="0055734C"/>
    <w:rsid w:val="00575791"/>
    <w:rsid w:val="00576885"/>
    <w:rsid w:val="00577F41"/>
    <w:rsid w:val="00580E91"/>
    <w:rsid w:val="00583755"/>
    <w:rsid w:val="005A4FC7"/>
    <w:rsid w:val="005B036C"/>
    <w:rsid w:val="005C1FC0"/>
    <w:rsid w:val="005D032E"/>
    <w:rsid w:val="005D3DB1"/>
    <w:rsid w:val="005E4C17"/>
    <w:rsid w:val="005E4F58"/>
    <w:rsid w:val="005F248C"/>
    <w:rsid w:val="00605E59"/>
    <w:rsid w:val="00611A81"/>
    <w:rsid w:val="006122AE"/>
    <w:rsid w:val="006167BB"/>
    <w:rsid w:val="00622621"/>
    <w:rsid w:val="006265C0"/>
    <w:rsid w:val="006522A6"/>
    <w:rsid w:val="00654C0B"/>
    <w:rsid w:val="00657097"/>
    <w:rsid w:val="006579A2"/>
    <w:rsid w:val="006662B5"/>
    <w:rsid w:val="00681BDF"/>
    <w:rsid w:val="0069417B"/>
    <w:rsid w:val="006A29E5"/>
    <w:rsid w:val="006A5A76"/>
    <w:rsid w:val="006B1758"/>
    <w:rsid w:val="006C7092"/>
    <w:rsid w:val="006D11E4"/>
    <w:rsid w:val="006E31DC"/>
    <w:rsid w:val="00703E40"/>
    <w:rsid w:val="00703E47"/>
    <w:rsid w:val="00717E3D"/>
    <w:rsid w:val="007215E1"/>
    <w:rsid w:val="00734D2D"/>
    <w:rsid w:val="00742FC4"/>
    <w:rsid w:val="00752E19"/>
    <w:rsid w:val="00777FBE"/>
    <w:rsid w:val="007971EF"/>
    <w:rsid w:val="00797A4E"/>
    <w:rsid w:val="007B2BE5"/>
    <w:rsid w:val="007C0395"/>
    <w:rsid w:val="007F7071"/>
    <w:rsid w:val="007F7AE5"/>
    <w:rsid w:val="0080142D"/>
    <w:rsid w:val="00831A0D"/>
    <w:rsid w:val="00837111"/>
    <w:rsid w:val="008377A3"/>
    <w:rsid w:val="00844966"/>
    <w:rsid w:val="00844B1B"/>
    <w:rsid w:val="00845AC1"/>
    <w:rsid w:val="0084618C"/>
    <w:rsid w:val="0085497D"/>
    <w:rsid w:val="00865CB3"/>
    <w:rsid w:val="008A253A"/>
    <w:rsid w:val="008A5308"/>
    <w:rsid w:val="008D5D7D"/>
    <w:rsid w:val="008E53EC"/>
    <w:rsid w:val="008E606C"/>
    <w:rsid w:val="00902BFB"/>
    <w:rsid w:val="009217D9"/>
    <w:rsid w:val="00922052"/>
    <w:rsid w:val="00960049"/>
    <w:rsid w:val="00960A14"/>
    <w:rsid w:val="0096116B"/>
    <w:rsid w:val="0096134D"/>
    <w:rsid w:val="0097009B"/>
    <w:rsid w:val="00974CCE"/>
    <w:rsid w:val="009A56D4"/>
    <w:rsid w:val="009C0260"/>
    <w:rsid w:val="009D1E65"/>
    <w:rsid w:val="009E6E4F"/>
    <w:rsid w:val="009F0D3F"/>
    <w:rsid w:val="009F1478"/>
    <w:rsid w:val="00A03AA7"/>
    <w:rsid w:val="00A041A6"/>
    <w:rsid w:val="00A11302"/>
    <w:rsid w:val="00A1567F"/>
    <w:rsid w:val="00A20854"/>
    <w:rsid w:val="00A21375"/>
    <w:rsid w:val="00A35322"/>
    <w:rsid w:val="00A402D2"/>
    <w:rsid w:val="00A43001"/>
    <w:rsid w:val="00A44A7C"/>
    <w:rsid w:val="00A4746E"/>
    <w:rsid w:val="00A56B82"/>
    <w:rsid w:val="00A621C2"/>
    <w:rsid w:val="00A64BE8"/>
    <w:rsid w:val="00A80D71"/>
    <w:rsid w:val="00A8311C"/>
    <w:rsid w:val="00A8788A"/>
    <w:rsid w:val="00AB0458"/>
    <w:rsid w:val="00AB771B"/>
    <w:rsid w:val="00AB7762"/>
    <w:rsid w:val="00AE0B8D"/>
    <w:rsid w:val="00B009F4"/>
    <w:rsid w:val="00B03CFC"/>
    <w:rsid w:val="00B05318"/>
    <w:rsid w:val="00B13747"/>
    <w:rsid w:val="00B13EAA"/>
    <w:rsid w:val="00B209FD"/>
    <w:rsid w:val="00B60C8B"/>
    <w:rsid w:val="00B651A8"/>
    <w:rsid w:val="00B6720C"/>
    <w:rsid w:val="00B86E9C"/>
    <w:rsid w:val="00BA06A7"/>
    <w:rsid w:val="00BB0399"/>
    <w:rsid w:val="00BB45D8"/>
    <w:rsid w:val="00BC55F7"/>
    <w:rsid w:val="00BD45AB"/>
    <w:rsid w:val="00BE3360"/>
    <w:rsid w:val="00BF7977"/>
    <w:rsid w:val="00C101EC"/>
    <w:rsid w:val="00C12D1B"/>
    <w:rsid w:val="00C14757"/>
    <w:rsid w:val="00C30EFC"/>
    <w:rsid w:val="00C3582A"/>
    <w:rsid w:val="00C41868"/>
    <w:rsid w:val="00C5578B"/>
    <w:rsid w:val="00C60F8D"/>
    <w:rsid w:val="00C66730"/>
    <w:rsid w:val="00C72227"/>
    <w:rsid w:val="00C7291F"/>
    <w:rsid w:val="00C72C7B"/>
    <w:rsid w:val="00C74A7C"/>
    <w:rsid w:val="00C86983"/>
    <w:rsid w:val="00C87F5D"/>
    <w:rsid w:val="00CA1858"/>
    <w:rsid w:val="00CC43CC"/>
    <w:rsid w:val="00CF0E11"/>
    <w:rsid w:val="00CF52E6"/>
    <w:rsid w:val="00D037AA"/>
    <w:rsid w:val="00D11033"/>
    <w:rsid w:val="00D11EFF"/>
    <w:rsid w:val="00D23032"/>
    <w:rsid w:val="00D44A11"/>
    <w:rsid w:val="00D51795"/>
    <w:rsid w:val="00D56840"/>
    <w:rsid w:val="00D72420"/>
    <w:rsid w:val="00D83792"/>
    <w:rsid w:val="00DA02AF"/>
    <w:rsid w:val="00DA1EAF"/>
    <w:rsid w:val="00DB7CE5"/>
    <w:rsid w:val="00DD5F14"/>
    <w:rsid w:val="00DD677E"/>
    <w:rsid w:val="00DF44B1"/>
    <w:rsid w:val="00DF53AF"/>
    <w:rsid w:val="00DF5F24"/>
    <w:rsid w:val="00DF7FDB"/>
    <w:rsid w:val="00E0509B"/>
    <w:rsid w:val="00E05243"/>
    <w:rsid w:val="00E07BF7"/>
    <w:rsid w:val="00E144C0"/>
    <w:rsid w:val="00E15031"/>
    <w:rsid w:val="00E22529"/>
    <w:rsid w:val="00E34D55"/>
    <w:rsid w:val="00E421E5"/>
    <w:rsid w:val="00E47084"/>
    <w:rsid w:val="00E5187C"/>
    <w:rsid w:val="00E63D5C"/>
    <w:rsid w:val="00E64BC6"/>
    <w:rsid w:val="00E71C61"/>
    <w:rsid w:val="00E7228D"/>
    <w:rsid w:val="00E74D60"/>
    <w:rsid w:val="00E77629"/>
    <w:rsid w:val="00E80BC0"/>
    <w:rsid w:val="00E833C4"/>
    <w:rsid w:val="00E9659F"/>
    <w:rsid w:val="00EA4A3A"/>
    <w:rsid w:val="00EB21FB"/>
    <w:rsid w:val="00EB633B"/>
    <w:rsid w:val="00EB639C"/>
    <w:rsid w:val="00EC02E5"/>
    <w:rsid w:val="00EC75E6"/>
    <w:rsid w:val="00EF0DED"/>
    <w:rsid w:val="00EF1F01"/>
    <w:rsid w:val="00EF5D2F"/>
    <w:rsid w:val="00EF6040"/>
    <w:rsid w:val="00F03D01"/>
    <w:rsid w:val="00F17A87"/>
    <w:rsid w:val="00F220A3"/>
    <w:rsid w:val="00F26905"/>
    <w:rsid w:val="00F43B27"/>
    <w:rsid w:val="00F50F7E"/>
    <w:rsid w:val="00F5139F"/>
    <w:rsid w:val="00F55853"/>
    <w:rsid w:val="00F578AF"/>
    <w:rsid w:val="00F70853"/>
    <w:rsid w:val="00F71358"/>
    <w:rsid w:val="00F77796"/>
    <w:rsid w:val="00FB03B4"/>
    <w:rsid w:val="00FB557E"/>
    <w:rsid w:val="00FB7469"/>
    <w:rsid w:val="00FE6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E02440"/>
  <w15:chartTrackingRefBased/>
  <w15:docId w15:val="{5E9A882E-F043-43B3-87DD-6E64FA40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A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44A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44A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44A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44A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44A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A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A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A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A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44A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44A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44A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44A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44A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A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A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A7C"/>
    <w:rPr>
      <w:rFonts w:eastAsiaTheme="majorEastAsia" w:cstheme="majorBidi"/>
      <w:color w:val="272727" w:themeColor="text1" w:themeTint="D8"/>
    </w:rPr>
  </w:style>
  <w:style w:type="paragraph" w:styleId="Title">
    <w:name w:val="Title"/>
    <w:basedOn w:val="Normal"/>
    <w:next w:val="Normal"/>
    <w:link w:val="TitleChar"/>
    <w:uiPriority w:val="10"/>
    <w:qFormat/>
    <w:rsid w:val="00A44A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A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A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A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A7C"/>
    <w:pPr>
      <w:spacing w:before="160"/>
      <w:jc w:val="center"/>
    </w:pPr>
    <w:rPr>
      <w:i/>
      <w:iCs/>
      <w:color w:val="404040" w:themeColor="text1" w:themeTint="BF"/>
    </w:rPr>
  </w:style>
  <w:style w:type="character" w:customStyle="1" w:styleId="QuoteChar">
    <w:name w:val="Quote Char"/>
    <w:basedOn w:val="DefaultParagraphFont"/>
    <w:link w:val="Quote"/>
    <w:uiPriority w:val="29"/>
    <w:rsid w:val="00A44A7C"/>
    <w:rPr>
      <w:i/>
      <w:iCs/>
      <w:color w:val="404040" w:themeColor="text1" w:themeTint="BF"/>
    </w:rPr>
  </w:style>
  <w:style w:type="paragraph" w:styleId="ListParagraph">
    <w:name w:val="List Paragraph"/>
    <w:basedOn w:val="Normal"/>
    <w:uiPriority w:val="34"/>
    <w:qFormat/>
    <w:rsid w:val="00A44A7C"/>
    <w:pPr>
      <w:ind w:left="720"/>
      <w:contextualSpacing/>
    </w:pPr>
  </w:style>
  <w:style w:type="character" w:styleId="IntenseEmphasis">
    <w:name w:val="Intense Emphasis"/>
    <w:basedOn w:val="DefaultParagraphFont"/>
    <w:uiPriority w:val="21"/>
    <w:qFormat/>
    <w:rsid w:val="00A44A7C"/>
    <w:rPr>
      <w:i/>
      <w:iCs/>
      <w:color w:val="2F5496" w:themeColor="accent1" w:themeShade="BF"/>
    </w:rPr>
  </w:style>
  <w:style w:type="paragraph" w:styleId="IntenseQuote">
    <w:name w:val="Intense Quote"/>
    <w:basedOn w:val="Normal"/>
    <w:next w:val="Normal"/>
    <w:link w:val="IntenseQuoteChar"/>
    <w:uiPriority w:val="30"/>
    <w:qFormat/>
    <w:rsid w:val="00A44A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44A7C"/>
    <w:rPr>
      <w:i/>
      <w:iCs/>
      <w:color w:val="2F5496" w:themeColor="accent1" w:themeShade="BF"/>
    </w:rPr>
  </w:style>
  <w:style w:type="character" w:styleId="IntenseReference">
    <w:name w:val="Intense Reference"/>
    <w:basedOn w:val="DefaultParagraphFont"/>
    <w:uiPriority w:val="32"/>
    <w:qFormat/>
    <w:rsid w:val="00A44A7C"/>
    <w:rPr>
      <w:b/>
      <w:bCs/>
      <w:smallCaps/>
      <w:color w:val="2F5496" w:themeColor="accent1" w:themeShade="BF"/>
      <w:spacing w:val="5"/>
    </w:rPr>
  </w:style>
  <w:style w:type="character" w:styleId="Hyperlink">
    <w:name w:val="Hyperlink"/>
    <w:basedOn w:val="DefaultParagraphFont"/>
    <w:uiPriority w:val="99"/>
    <w:unhideWhenUsed/>
    <w:rsid w:val="006662B5"/>
    <w:rPr>
      <w:color w:val="0563C1" w:themeColor="hyperlink"/>
      <w:u w:val="single"/>
    </w:rPr>
  </w:style>
  <w:style w:type="character" w:styleId="UnresolvedMention">
    <w:name w:val="Unresolved Mention"/>
    <w:basedOn w:val="DefaultParagraphFont"/>
    <w:uiPriority w:val="99"/>
    <w:semiHidden/>
    <w:unhideWhenUsed/>
    <w:rsid w:val="00286D9D"/>
    <w:rPr>
      <w:color w:val="605E5C"/>
      <w:shd w:val="clear" w:color="auto" w:fill="E1DFDD"/>
    </w:rPr>
  </w:style>
  <w:style w:type="character" w:styleId="PlaceholderText">
    <w:name w:val="Placeholder Text"/>
    <w:basedOn w:val="DefaultParagraphFont"/>
    <w:uiPriority w:val="99"/>
    <w:semiHidden/>
    <w:rsid w:val="00A56B82"/>
    <w:rPr>
      <w:color w:val="666666"/>
    </w:rPr>
  </w:style>
  <w:style w:type="character" w:styleId="FollowedHyperlink">
    <w:name w:val="FollowedHyperlink"/>
    <w:basedOn w:val="DefaultParagraphFont"/>
    <w:uiPriority w:val="99"/>
    <w:semiHidden/>
    <w:unhideWhenUsed/>
    <w:rsid w:val="000C6790"/>
    <w:rPr>
      <w:color w:val="954F72" w:themeColor="followedHyperlink"/>
      <w:u w:val="single"/>
    </w:rPr>
  </w:style>
  <w:style w:type="paragraph" w:styleId="Header">
    <w:name w:val="header"/>
    <w:basedOn w:val="Normal"/>
    <w:link w:val="HeaderChar"/>
    <w:uiPriority w:val="99"/>
    <w:unhideWhenUsed/>
    <w:rsid w:val="00462F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F9F"/>
  </w:style>
  <w:style w:type="paragraph" w:styleId="Footer">
    <w:name w:val="footer"/>
    <w:basedOn w:val="Normal"/>
    <w:link w:val="FooterChar"/>
    <w:uiPriority w:val="99"/>
    <w:unhideWhenUsed/>
    <w:rsid w:val="00462F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14878">
      <w:bodyDiv w:val="1"/>
      <w:marLeft w:val="0"/>
      <w:marRight w:val="0"/>
      <w:marTop w:val="0"/>
      <w:marBottom w:val="0"/>
      <w:divBdr>
        <w:top w:val="none" w:sz="0" w:space="0" w:color="auto"/>
        <w:left w:val="none" w:sz="0" w:space="0" w:color="auto"/>
        <w:bottom w:val="none" w:sz="0" w:space="0" w:color="auto"/>
        <w:right w:val="none" w:sz="0" w:space="0" w:color="auto"/>
      </w:divBdr>
    </w:div>
    <w:div w:id="20133849">
      <w:bodyDiv w:val="1"/>
      <w:marLeft w:val="0"/>
      <w:marRight w:val="0"/>
      <w:marTop w:val="0"/>
      <w:marBottom w:val="0"/>
      <w:divBdr>
        <w:top w:val="none" w:sz="0" w:space="0" w:color="auto"/>
        <w:left w:val="none" w:sz="0" w:space="0" w:color="auto"/>
        <w:bottom w:val="none" w:sz="0" w:space="0" w:color="auto"/>
        <w:right w:val="none" w:sz="0" w:space="0" w:color="auto"/>
      </w:divBdr>
    </w:div>
    <w:div w:id="35785965">
      <w:bodyDiv w:val="1"/>
      <w:marLeft w:val="0"/>
      <w:marRight w:val="0"/>
      <w:marTop w:val="0"/>
      <w:marBottom w:val="0"/>
      <w:divBdr>
        <w:top w:val="none" w:sz="0" w:space="0" w:color="auto"/>
        <w:left w:val="none" w:sz="0" w:space="0" w:color="auto"/>
        <w:bottom w:val="none" w:sz="0" w:space="0" w:color="auto"/>
        <w:right w:val="none" w:sz="0" w:space="0" w:color="auto"/>
      </w:divBdr>
    </w:div>
    <w:div w:id="37170964">
      <w:bodyDiv w:val="1"/>
      <w:marLeft w:val="0"/>
      <w:marRight w:val="0"/>
      <w:marTop w:val="0"/>
      <w:marBottom w:val="0"/>
      <w:divBdr>
        <w:top w:val="none" w:sz="0" w:space="0" w:color="auto"/>
        <w:left w:val="none" w:sz="0" w:space="0" w:color="auto"/>
        <w:bottom w:val="none" w:sz="0" w:space="0" w:color="auto"/>
        <w:right w:val="none" w:sz="0" w:space="0" w:color="auto"/>
      </w:divBdr>
    </w:div>
    <w:div w:id="37975530">
      <w:bodyDiv w:val="1"/>
      <w:marLeft w:val="0"/>
      <w:marRight w:val="0"/>
      <w:marTop w:val="0"/>
      <w:marBottom w:val="0"/>
      <w:divBdr>
        <w:top w:val="none" w:sz="0" w:space="0" w:color="auto"/>
        <w:left w:val="none" w:sz="0" w:space="0" w:color="auto"/>
        <w:bottom w:val="none" w:sz="0" w:space="0" w:color="auto"/>
        <w:right w:val="none" w:sz="0" w:space="0" w:color="auto"/>
      </w:divBdr>
      <w:divsChild>
        <w:div w:id="542137494">
          <w:marLeft w:val="0"/>
          <w:marRight w:val="0"/>
          <w:marTop w:val="0"/>
          <w:marBottom w:val="0"/>
          <w:divBdr>
            <w:top w:val="none" w:sz="0" w:space="0" w:color="auto"/>
            <w:left w:val="none" w:sz="0" w:space="0" w:color="auto"/>
            <w:bottom w:val="none" w:sz="0" w:space="0" w:color="auto"/>
            <w:right w:val="none" w:sz="0" w:space="0" w:color="auto"/>
          </w:divBdr>
        </w:div>
      </w:divsChild>
    </w:div>
    <w:div w:id="40594895">
      <w:bodyDiv w:val="1"/>
      <w:marLeft w:val="0"/>
      <w:marRight w:val="0"/>
      <w:marTop w:val="0"/>
      <w:marBottom w:val="0"/>
      <w:divBdr>
        <w:top w:val="none" w:sz="0" w:space="0" w:color="auto"/>
        <w:left w:val="none" w:sz="0" w:space="0" w:color="auto"/>
        <w:bottom w:val="none" w:sz="0" w:space="0" w:color="auto"/>
        <w:right w:val="none" w:sz="0" w:space="0" w:color="auto"/>
      </w:divBdr>
    </w:div>
    <w:div w:id="49233202">
      <w:bodyDiv w:val="1"/>
      <w:marLeft w:val="0"/>
      <w:marRight w:val="0"/>
      <w:marTop w:val="0"/>
      <w:marBottom w:val="0"/>
      <w:divBdr>
        <w:top w:val="none" w:sz="0" w:space="0" w:color="auto"/>
        <w:left w:val="none" w:sz="0" w:space="0" w:color="auto"/>
        <w:bottom w:val="none" w:sz="0" w:space="0" w:color="auto"/>
        <w:right w:val="none" w:sz="0" w:space="0" w:color="auto"/>
      </w:divBdr>
    </w:div>
    <w:div w:id="81491619">
      <w:bodyDiv w:val="1"/>
      <w:marLeft w:val="0"/>
      <w:marRight w:val="0"/>
      <w:marTop w:val="0"/>
      <w:marBottom w:val="0"/>
      <w:divBdr>
        <w:top w:val="none" w:sz="0" w:space="0" w:color="auto"/>
        <w:left w:val="none" w:sz="0" w:space="0" w:color="auto"/>
        <w:bottom w:val="none" w:sz="0" w:space="0" w:color="auto"/>
        <w:right w:val="none" w:sz="0" w:space="0" w:color="auto"/>
      </w:divBdr>
    </w:div>
    <w:div w:id="83842848">
      <w:bodyDiv w:val="1"/>
      <w:marLeft w:val="0"/>
      <w:marRight w:val="0"/>
      <w:marTop w:val="0"/>
      <w:marBottom w:val="0"/>
      <w:divBdr>
        <w:top w:val="none" w:sz="0" w:space="0" w:color="auto"/>
        <w:left w:val="none" w:sz="0" w:space="0" w:color="auto"/>
        <w:bottom w:val="none" w:sz="0" w:space="0" w:color="auto"/>
        <w:right w:val="none" w:sz="0" w:space="0" w:color="auto"/>
      </w:divBdr>
    </w:div>
    <w:div w:id="91050702">
      <w:bodyDiv w:val="1"/>
      <w:marLeft w:val="0"/>
      <w:marRight w:val="0"/>
      <w:marTop w:val="0"/>
      <w:marBottom w:val="0"/>
      <w:divBdr>
        <w:top w:val="none" w:sz="0" w:space="0" w:color="auto"/>
        <w:left w:val="none" w:sz="0" w:space="0" w:color="auto"/>
        <w:bottom w:val="none" w:sz="0" w:space="0" w:color="auto"/>
        <w:right w:val="none" w:sz="0" w:space="0" w:color="auto"/>
      </w:divBdr>
    </w:div>
    <w:div w:id="98331987">
      <w:bodyDiv w:val="1"/>
      <w:marLeft w:val="0"/>
      <w:marRight w:val="0"/>
      <w:marTop w:val="0"/>
      <w:marBottom w:val="0"/>
      <w:divBdr>
        <w:top w:val="none" w:sz="0" w:space="0" w:color="auto"/>
        <w:left w:val="none" w:sz="0" w:space="0" w:color="auto"/>
        <w:bottom w:val="none" w:sz="0" w:space="0" w:color="auto"/>
        <w:right w:val="none" w:sz="0" w:space="0" w:color="auto"/>
      </w:divBdr>
    </w:div>
    <w:div w:id="134571484">
      <w:bodyDiv w:val="1"/>
      <w:marLeft w:val="0"/>
      <w:marRight w:val="0"/>
      <w:marTop w:val="0"/>
      <w:marBottom w:val="0"/>
      <w:divBdr>
        <w:top w:val="none" w:sz="0" w:space="0" w:color="auto"/>
        <w:left w:val="none" w:sz="0" w:space="0" w:color="auto"/>
        <w:bottom w:val="none" w:sz="0" w:space="0" w:color="auto"/>
        <w:right w:val="none" w:sz="0" w:space="0" w:color="auto"/>
      </w:divBdr>
    </w:div>
    <w:div w:id="150409370">
      <w:bodyDiv w:val="1"/>
      <w:marLeft w:val="0"/>
      <w:marRight w:val="0"/>
      <w:marTop w:val="0"/>
      <w:marBottom w:val="0"/>
      <w:divBdr>
        <w:top w:val="none" w:sz="0" w:space="0" w:color="auto"/>
        <w:left w:val="none" w:sz="0" w:space="0" w:color="auto"/>
        <w:bottom w:val="none" w:sz="0" w:space="0" w:color="auto"/>
        <w:right w:val="none" w:sz="0" w:space="0" w:color="auto"/>
      </w:divBdr>
    </w:div>
    <w:div w:id="150416298">
      <w:bodyDiv w:val="1"/>
      <w:marLeft w:val="0"/>
      <w:marRight w:val="0"/>
      <w:marTop w:val="0"/>
      <w:marBottom w:val="0"/>
      <w:divBdr>
        <w:top w:val="none" w:sz="0" w:space="0" w:color="auto"/>
        <w:left w:val="none" w:sz="0" w:space="0" w:color="auto"/>
        <w:bottom w:val="none" w:sz="0" w:space="0" w:color="auto"/>
        <w:right w:val="none" w:sz="0" w:space="0" w:color="auto"/>
      </w:divBdr>
    </w:div>
    <w:div w:id="157423442">
      <w:bodyDiv w:val="1"/>
      <w:marLeft w:val="0"/>
      <w:marRight w:val="0"/>
      <w:marTop w:val="0"/>
      <w:marBottom w:val="0"/>
      <w:divBdr>
        <w:top w:val="none" w:sz="0" w:space="0" w:color="auto"/>
        <w:left w:val="none" w:sz="0" w:space="0" w:color="auto"/>
        <w:bottom w:val="none" w:sz="0" w:space="0" w:color="auto"/>
        <w:right w:val="none" w:sz="0" w:space="0" w:color="auto"/>
      </w:divBdr>
    </w:div>
    <w:div w:id="166360365">
      <w:bodyDiv w:val="1"/>
      <w:marLeft w:val="0"/>
      <w:marRight w:val="0"/>
      <w:marTop w:val="0"/>
      <w:marBottom w:val="0"/>
      <w:divBdr>
        <w:top w:val="none" w:sz="0" w:space="0" w:color="auto"/>
        <w:left w:val="none" w:sz="0" w:space="0" w:color="auto"/>
        <w:bottom w:val="none" w:sz="0" w:space="0" w:color="auto"/>
        <w:right w:val="none" w:sz="0" w:space="0" w:color="auto"/>
      </w:divBdr>
    </w:div>
    <w:div w:id="187065166">
      <w:bodyDiv w:val="1"/>
      <w:marLeft w:val="0"/>
      <w:marRight w:val="0"/>
      <w:marTop w:val="0"/>
      <w:marBottom w:val="0"/>
      <w:divBdr>
        <w:top w:val="none" w:sz="0" w:space="0" w:color="auto"/>
        <w:left w:val="none" w:sz="0" w:space="0" w:color="auto"/>
        <w:bottom w:val="none" w:sz="0" w:space="0" w:color="auto"/>
        <w:right w:val="none" w:sz="0" w:space="0" w:color="auto"/>
      </w:divBdr>
    </w:div>
    <w:div w:id="194927834">
      <w:bodyDiv w:val="1"/>
      <w:marLeft w:val="0"/>
      <w:marRight w:val="0"/>
      <w:marTop w:val="0"/>
      <w:marBottom w:val="0"/>
      <w:divBdr>
        <w:top w:val="none" w:sz="0" w:space="0" w:color="auto"/>
        <w:left w:val="none" w:sz="0" w:space="0" w:color="auto"/>
        <w:bottom w:val="none" w:sz="0" w:space="0" w:color="auto"/>
        <w:right w:val="none" w:sz="0" w:space="0" w:color="auto"/>
      </w:divBdr>
    </w:div>
    <w:div w:id="228465288">
      <w:bodyDiv w:val="1"/>
      <w:marLeft w:val="0"/>
      <w:marRight w:val="0"/>
      <w:marTop w:val="0"/>
      <w:marBottom w:val="0"/>
      <w:divBdr>
        <w:top w:val="none" w:sz="0" w:space="0" w:color="auto"/>
        <w:left w:val="none" w:sz="0" w:space="0" w:color="auto"/>
        <w:bottom w:val="none" w:sz="0" w:space="0" w:color="auto"/>
        <w:right w:val="none" w:sz="0" w:space="0" w:color="auto"/>
      </w:divBdr>
    </w:div>
    <w:div w:id="252512405">
      <w:bodyDiv w:val="1"/>
      <w:marLeft w:val="0"/>
      <w:marRight w:val="0"/>
      <w:marTop w:val="0"/>
      <w:marBottom w:val="0"/>
      <w:divBdr>
        <w:top w:val="none" w:sz="0" w:space="0" w:color="auto"/>
        <w:left w:val="none" w:sz="0" w:space="0" w:color="auto"/>
        <w:bottom w:val="none" w:sz="0" w:space="0" w:color="auto"/>
        <w:right w:val="none" w:sz="0" w:space="0" w:color="auto"/>
      </w:divBdr>
    </w:div>
    <w:div w:id="255331324">
      <w:bodyDiv w:val="1"/>
      <w:marLeft w:val="0"/>
      <w:marRight w:val="0"/>
      <w:marTop w:val="0"/>
      <w:marBottom w:val="0"/>
      <w:divBdr>
        <w:top w:val="none" w:sz="0" w:space="0" w:color="auto"/>
        <w:left w:val="none" w:sz="0" w:space="0" w:color="auto"/>
        <w:bottom w:val="none" w:sz="0" w:space="0" w:color="auto"/>
        <w:right w:val="none" w:sz="0" w:space="0" w:color="auto"/>
      </w:divBdr>
    </w:div>
    <w:div w:id="255334256">
      <w:bodyDiv w:val="1"/>
      <w:marLeft w:val="0"/>
      <w:marRight w:val="0"/>
      <w:marTop w:val="0"/>
      <w:marBottom w:val="0"/>
      <w:divBdr>
        <w:top w:val="none" w:sz="0" w:space="0" w:color="auto"/>
        <w:left w:val="none" w:sz="0" w:space="0" w:color="auto"/>
        <w:bottom w:val="none" w:sz="0" w:space="0" w:color="auto"/>
        <w:right w:val="none" w:sz="0" w:space="0" w:color="auto"/>
      </w:divBdr>
    </w:div>
    <w:div w:id="289555540">
      <w:bodyDiv w:val="1"/>
      <w:marLeft w:val="0"/>
      <w:marRight w:val="0"/>
      <w:marTop w:val="0"/>
      <w:marBottom w:val="0"/>
      <w:divBdr>
        <w:top w:val="none" w:sz="0" w:space="0" w:color="auto"/>
        <w:left w:val="none" w:sz="0" w:space="0" w:color="auto"/>
        <w:bottom w:val="none" w:sz="0" w:space="0" w:color="auto"/>
        <w:right w:val="none" w:sz="0" w:space="0" w:color="auto"/>
      </w:divBdr>
    </w:div>
    <w:div w:id="297296475">
      <w:bodyDiv w:val="1"/>
      <w:marLeft w:val="0"/>
      <w:marRight w:val="0"/>
      <w:marTop w:val="0"/>
      <w:marBottom w:val="0"/>
      <w:divBdr>
        <w:top w:val="none" w:sz="0" w:space="0" w:color="auto"/>
        <w:left w:val="none" w:sz="0" w:space="0" w:color="auto"/>
        <w:bottom w:val="none" w:sz="0" w:space="0" w:color="auto"/>
        <w:right w:val="none" w:sz="0" w:space="0" w:color="auto"/>
      </w:divBdr>
      <w:divsChild>
        <w:div w:id="1760708236">
          <w:marLeft w:val="0"/>
          <w:marRight w:val="0"/>
          <w:marTop w:val="0"/>
          <w:marBottom w:val="0"/>
          <w:divBdr>
            <w:top w:val="none" w:sz="0" w:space="0" w:color="auto"/>
            <w:left w:val="none" w:sz="0" w:space="0" w:color="auto"/>
            <w:bottom w:val="none" w:sz="0" w:space="0" w:color="auto"/>
            <w:right w:val="none" w:sz="0" w:space="0" w:color="auto"/>
          </w:divBdr>
        </w:div>
      </w:divsChild>
    </w:div>
    <w:div w:id="322591954">
      <w:bodyDiv w:val="1"/>
      <w:marLeft w:val="0"/>
      <w:marRight w:val="0"/>
      <w:marTop w:val="0"/>
      <w:marBottom w:val="0"/>
      <w:divBdr>
        <w:top w:val="none" w:sz="0" w:space="0" w:color="auto"/>
        <w:left w:val="none" w:sz="0" w:space="0" w:color="auto"/>
        <w:bottom w:val="none" w:sz="0" w:space="0" w:color="auto"/>
        <w:right w:val="none" w:sz="0" w:space="0" w:color="auto"/>
      </w:divBdr>
    </w:div>
    <w:div w:id="323632392">
      <w:bodyDiv w:val="1"/>
      <w:marLeft w:val="0"/>
      <w:marRight w:val="0"/>
      <w:marTop w:val="0"/>
      <w:marBottom w:val="0"/>
      <w:divBdr>
        <w:top w:val="none" w:sz="0" w:space="0" w:color="auto"/>
        <w:left w:val="none" w:sz="0" w:space="0" w:color="auto"/>
        <w:bottom w:val="none" w:sz="0" w:space="0" w:color="auto"/>
        <w:right w:val="none" w:sz="0" w:space="0" w:color="auto"/>
      </w:divBdr>
    </w:div>
    <w:div w:id="334069148">
      <w:bodyDiv w:val="1"/>
      <w:marLeft w:val="0"/>
      <w:marRight w:val="0"/>
      <w:marTop w:val="0"/>
      <w:marBottom w:val="0"/>
      <w:divBdr>
        <w:top w:val="none" w:sz="0" w:space="0" w:color="auto"/>
        <w:left w:val="none" w:sz="0" w:space="0" w:color="auto"/>
        <w:bottom w:val="none" w:sz="0" w:space="0" w:color="auto"/>
        <w:right w:val="none" w:sz="0" w:space="0" w:color="auto"/>
      </w:divBdr>
    </w:div>
    <w:div w:id="340161765">
      <w:bodyDiv w:val="1"/>
      <w:marLeft w:val="0"/>
      <w:marRight w:val="0"/>
      <w:marTop w:val="0"/>
      <w:marBottom w:val="0"/>
      <w:divBdr>
        <w:top w:val="none" w:sz="0" w:space="0" w:color="auto"/>
        <w:left w:val="none" w:sz="0" w:space="0" w:color="auto"/>
        <w:bottom w:val="none" w:sz="0" w:space="0" w:color="auto"/>
        <w:right w:val="none" w:sz="0" w:space="0" w:color="auto"/>
      </w:divBdr>
    </w:div>
    <w:div w:id="343441072">
      <w:bodyDiv w:val="1"/>
      <w:marLeft w:val="0"/>
      <w:marRight w:val="0"/>
      <w:marTop w:val="0"/>
      <w:marBottom w:val="0"/>
      <w:divBdr>
        <w:top w:val="none" w:sz="0" w:space="0" w:color="auto"/>
        <w:left w:val="none" w:sz="0" w:space="0" w:color="auto"/>
        <w:bottom w:val="none" w:sz="0" w:space="0" w:color="auto"/>
        <w:right w:val="none" w:sz="0" w:space="0" w:color="auto"/>
      </w:divBdr>
    </w:div>
    <w:div w:id="343676465">
      <w:bodyDiv w:val="1"/>
      <w:marLeft w:val="0"/>
      <w:marRight w:val="0"/>
      <w:marTop w:val="0"/>
      <w:marBottom w:val="0"/>
      <w:divBdr>
        <w:top w:val="none" w:sz="0" w:space="0" w:color="auto"/>
        <w:left w:val="none" w:sz="0" w:space="0" w:color="auto"/>
        <w:bottom w:val="none" w:sz="0" w:space="0" w:color="auto"/>
        <w:right w:val="none" w:sz="0" w:space="0" w:color="auto"/>
      </w:divBdr>
    </w:div>
    <w:div w:id="351493781">
      <w:bodyDiv w:val="1"/>
      <w:marLeft w:val="0"/>
      <w:marRight w:val="0"/>
      <w:marTop w:val="0"/>
      <w:marBottom w:val="0"/>
      <w:divBdr>
        <w:top w:val="none" w:sz="0" w:space="0" w:color="auto"/>
        <w:left w:val="none" w:sz="0" w:space="0" w:color="auto"/>
        <w:bottom w:val="none" w:sz="0" w:space="0" w:color="auto"/>
        <w:right w:val="none" w:sz="0" w:space="0" w:color="auto"/>
      </w:divBdr>
    </w:div>
    <w:div w:id="364871135">
      <w:bodyDiv w:val="1"/>
      <w:marLeft w:val="0"/>
      <w:marRight w:val="0"/>
      <w:marTop w:val="0"/>
      <w:marBottom w:val="0"/>
      <w:divBdr>
        <w:top w:val="none" w:sz="0" w:space="0" w:color="auto"/>
        <w:left w:val="none" w:sz="0" w:space="0" w:color="auto"/>
        <w:bottom w:val="none" w:sz="0" w:space="0" w:color="auto"/>
        <w:right w:val="none" w:sz="0" w:space="0" w:color="auto"/>
      </w:divBdr>
    </w:div>
    <w:div w:id="420030428">
      <w:bodyDiv w:val="1"/>
      <w:marLeft w:val="0"/>
      <w:marRight w:val="0"/>
      <w:marTop w:val="0"/>
      <w:marBottom w:val="0"/>
      <w:divBdr>
        <w:top w:val="none" w:sz="0" w:space="0" w:color="auto"/>
        <w:left w:val="none" w:sz="0" w:space="0" w:color="auto"/>
        <w:bottom w:val="none" w:sz="0" w:space="0" w:color="auto"/>
        <w:right w:val="none" w:sz="0" w:space="0" w:color="auto"/>
      </w:divBdr>
    </w:div>
    <w:div w:id="427242036">
      <w:bodyDiv w:val="1"/>
      <w:marLeft w:val="0"/>
      <w:marRight w:val="0"/>
      <w:marTop w:val="0"/>
      <w:marBottom w:val="0"/>
      <w:divBdr>
        <w:top w:val="none" w:sz="0" w:space="0" w:color="auto"/>
        <w:left w:val="none" w:sz="0" w:space="0" w:color="auto"/>
        <w:bottom w:val="none" w:sz="0" w:space="0" w:color="auto"/>
        <w:right w:val="none" w:sz="0" w:space="0" w:color="auto"/>
      </w:divBdr>
    </w:div>
    <w:div w:id="428046781">
      <w:bodyDiv w:val="1"/>
      <w:marLeft w:val="0"/>
      <w:marRight w:val="0"/>
      <w:marTop w:val="0"/>
      <w:marBottom w:val="0"/>
      <w:divBdr>
        <w:top w:val="none" w:sz="0" w:space="0" w:color="auto"/>
        <w:left w:val="none" w:sz="0" w:space="0" w:color="auto"/>
        <w:bottom w:val="none" w:sz="0" w:space="0" w:color="auto"/>
        <w:right w:val="none" w:sz="0" w:space="0" w:color="auto"/>
      </w:divBdr>
    </w:div>
    <w:div w:id="432550882">
      <w:bodyDiv w:val="1"/>
      <w:marLeft w:val="0"/>
      <w:marRight w:val="0"/>
      <w:marTop w:val="0"/>
      <w:marBottom w:val="0"/>
      <w:divBdr>
        <w:top w:val="none" w:sz="0" w:space="0" w:color="auto"/>
        <w:left w:val="none" w:sz="0" w:space="0" w:color="auto"/>
        <w:bottom w:val="none" w:sz="0" w:space="0" w:color="auto"/>
        <w:right w:val="none" w:sz="0" w:space="0" w:color="auto"/>
      </w:divBdr>
    </w:div>
    <w:div w:id="451284347">
      <w:bodyDiv w:val="1"/>
      <w:marLeft w:val="0"/>
      <w:marRight w:val="0"/>
      <w:marTop w:val="0"/>
      <w:marBottom w:val="0"/>
      <w:divBdr>
        <w:top w:val="none" w:sz="0" w:space="0" w:color="auto"/>
        <w:left w:val="none" w:sz="0" w:space="0" w:color="auto"/>
        <w:bottom w:val="none" w:sz="0" w:space="0" w:color="auto"/>
        <w:right w:val="none" w:sz="0" w:space="0" w:color="auto"/>
      </w:divBdr>
    </w:div>
    <w:div w:id="464664489">
      <w:bodyDiv w:val="1"/>
      <w:marLeft w:val="0"/>
      <w:marRight w:val="0"/>
      <w:marTop w:val="0"/>
      <w:marBottom w:val="0"/>
      <w:divBdr>
        <w:top w:val="none" w:sz="0" w:space="0" w:color="auto"/>
        <w:left w:val="none" w:sz="0" w:space="0" w:color="auto"/>
        <w:bottom w:val="none" w:sz="0" w:space="0" w:color="auto"/>
        <w:right w:val="none" w:sz="0" w:space="0" w:color="auto"/>
      </w:divBdr>
    </w:div>
    <w:div w:id="468942690">
      <w:bodyDiv w:val="1"/>
      <w:marLeft w:val="0"/>
      <w:marRight w:val="0"/>
      <w:marTop w:val="0"/>
      <w:marBottom w:val="0"/>
      <w:divBdr>
        <w:top w:val="none" w:sz="0" w:space="0" w:color="auto"/>
        <w:left w:val="none" w:sz="0" w:space="0" w:color="auto"/>
        <w:bottom w:val="none" w:sz="0" w:space="0" w:color="auto"/>
        <w:right w:val="none" w:sz="0" w:space="0" w:color="auto"/>
      </w:divBdr>
    </w:div>
    <w:div w:id="471949633">
      <w:bodyDiv w:val="1"/>
      <w:marLeft w:val="0"/>
      <w:marRight w:val="0"/>
      <w:marTop w:val="0"/>
      <w:marBottom w:val="0"/>
      <w:divBdr>
        <w:top w:val="none" w:sz="0" w:space="0" w:color="auto"/>
        <w:left w:val="none" w:sz="0" w:space="0" w:color="auto"/>
        <w:bottom w:val="none" w:sz="0" w:space="0" w:color="auto"/>
        <w:right w:val="none" w:sz="0" w:space="0" w:color="auto"/>
      </w:divBdr>
    </w:div>
    <w:div w:id="474563535">
      <w:bodyDiv w:val="1"/>
      <w:marLeft w:val="0"/>
      <w:marRight w:val="0"/>
      <w:marTop w:val="0"/>
      <w:marBottom w:val="0"/>
      <w:divBdr>
        <w:top w:val="none" w:sz="0" w:space="0" w:color="auto"/>
        <w:left w:val="none" w:sz="0" w:space="0" w:color="auto"/>
        <w:bottom w:val="none" w:sz="0" w:space="0" w:color="auto"/>
        <w:right w:val="none" w:sz="0" w:space="0" w:color="auto"/>
      </w:divBdr>
    </w:div>
    <w:div w:id="476144354">
      <w:bodyDiv w:val="1"/>
      <w:marLeft w:val="0"/>
      <w:marRight w:val="0"/>
      <w:marTop w:val="0"/>
      <w:marBottom w:val="0"/>
      <w:divBdr>
        <w:top w:val="none" w:sz="0" w:space="0" w:color="auto"/>
        <w:left w:val="none" w:sz="0" w:space="0" w:color="auto"/>
        <w:bottom w:val="none" w:sz="0" w:space="0" w:color="auto"/>
        <w:right w:val="none" w:sz="0" w:space="0" w:color="auto"/>
      </w:divBdr>
    </w:div>
    <w:div w:id="477570583">
      <w:bodyDiv w:val="1"/>
      <w:marLeft w:val="0"/>
      <w:marRight w:val="0"/>
      <w:marTop w:val="0"/>
      <w:marBottom w:val="0"/>
      <w:divBdr>
        <w:top w:val="none" w:sz="0" w:space="0" w:color="auto"/>
        <w:left w:val="none" w:sz="0" w:space="0" w:color="auto"/>
        <w:bottom w:val="none" w:sz="0" w:space="0" w:color="auto"/>
        <w:right w:val="none" w:sz="0" w:space="0" w:color="auto"/>
      </w:divBdr>
    </w:div>
    <w:div w:id="482619933">
      <w:bodyDiv w:val="1"/>
      <w:marLeft w:val="0"/>
      <w:marRight w:val="0"/>
      <w:marTop w:val="0"/>
      <w:marBottom w:val="0"/>
      <w:divBdr>
        <w:top w:val="none" w:sz="0" w:space="0" w:color="auto"/>
        <w:left w:val="none" w:sz="0" w:space="0" w:color="auto"/>
        <w:bottom w:val="none" w:sz="0" w:space="0" w:color="auto"/>
        <w:right w:val="none" w:sz="0" w:space="0" w:color="auto"/>
      </w:divBdr>
    </w:div>
    <w:div w:id="535046621">
      <w:bodyDiv w:val="1"/>
      <w:marLeft w:val="0"/>
      <w:marRight w:val="0"/>
      <w:marTop w:val="0"/>
      <w:marBottom w:val="0"/>
      <w:divBdr>
        <w:top w:val="none" w:sz="0" w:space="0" w:color="auto"/>
        <w:left w:val="none" w:sz="0" w:space="0" w:color="auto"/>
        <w:bottom w:val="none" w:sz="0" w:space="0" w:color="auto"/>
        <w:right w:val="none" w:sz="0" w:space="0" w:color="auto"/>
      </w:divBdr>
    </w:div>
    <w:div w:id="554661318">
      <w:bodyDiv w:val="1"/>
      <w:marLeft w:val="0"/>
      <w:marRight w:val="0"/>
      <w:marTop w:val="0"/>
      <w:marBottom w:val="0"/>
      <w:divBdr>
        <w:top w:val="none" w:sz="0" w:space="0" w:color="auto"/>
        <w:left w:val="none" w:sz="0" w:space="0" w:color="auto"/>
        <w:bottom w:val="none" w:sz="0" w:space="0" w:color="auto"/>
        <w:right w:val="none" w:sz="0" w:space="0" w:color="auto"/>
      </w:divBdr>
    </w:div>
    <w:div w:id="570846318">
      <w:bodyDiv w:val="1"/>
      <w:marLeft w:val="0"/>
      <w:marRight w:val="0"/>
      <w:marTop w:val="0"/>
      <w:marBottom w:val="0"/>
      <w:divBdr>
        <w:top w:val="none" w:sz="0" w:space="0" w:color="auto"/>
        <w:left w:val="none" w:sz="0" w:space="0" w:color="auto"/>
        <w:bottom w:val="none" w:sz="0" w:space="0" w:color="auto"/>
        <w:right w:val="none" w:sz="0" w:space="0" w:color="auto"/>
      </w:divBdr>
      <w:divsChild>
        <w:div w:id="18241066">
          <w:marLeft w:val="0"/>
          <w:marRight w:val="0"/>
          <w:marTop w:val="0"/>
          <w:marBottom w:val="0"/>
          <w:divBdr>
            <w:top w:val="none" w:sz="0" w:space="0" w:color="auto"/>
            <w:left w:val="none" w:sz="0" w:space="0" w:color="auto"/>
            <w:bottom w:val="none" w:sz="0" w:space="0" w:color="auto"/>
            <w:right w:val="none" w:sz="0" w:space="0" w:color="auto"/>
          </w:divBdr>
        </w:div>
      </w:divsChild>
    </w:div>
    <w:div w:id="580911298">
      <w:bodyDiv w:val="1"/>
      <w:marLeft w:val="0"/>
      <w:marRight w:val="0"/>
      <w:marTop w:val="0"/>
      <w:marBottom w:val="0"/>
      <w:divBdr>
        <w:top w:val="none" w:sz="0" w:space="0" w:color="auto"/>
        <w:left w:val="none" w:sz="0" w:space="0" w:color="auto"/>
        <w:bottom w:val="none" w:sz="0" w:space="0" w:color="auto"/>
        <w:right w:val="none" w:sz="0" w:space="0" w:color="auto"/>
      </w:divBdr>
    </w:div>
    <w:div w:id="610162630">
      <w:bodyDiv w:val="1"/>
      <w:marLeft w:val="0"/>
      <w:marRight w:val="0"/>
      <w:marTop w:val="0"/>
      <w:marBottom w:val="0"/>
      <w:divBdr>
        <w:top w:val="none" w:sz="0" w:space="0" w:color="auto"/>
        <w:left w:val="none" w:sz="0" w:space="0" w:color="auto"/>
        <w:bottom w:val="none" w:sz="0" w:space="0" w:color="auto"/>
        <w:right w:val="none" w:sz="0" w:space="0" w:color="auto"/>
      </w:divBdr>
    </w:div>
    <w:div w:id="612713339">
      <w:bodyDiv w:val="1"/>
      <w:marLeft w:val="0"/>
      <w:marRight w:val="0"/>
      <w:marTop w:val="0"/>
      <w:marBottom w:val="0"/>
      <w:divBdr>
        <w:top w:val="none" w:sz="0" w:space="0" w:color="auto"/>
        <w:left w:val="none" w:sz="0" w:space="0" w:color="auto"/>
        <w:bottom w:val="none" w:sz="0" w:space="0" w:color="auto"/>
        <w:right w:val="none" w:sz="0" w:space="0" w:color="auto"/>
      </w:divBdr>
    </w:div>
    <w:div w:id="613250712">
      <w:bodyDiv w:val="1"/>
      <w:marLeft w:val="0"/>
      <w:marRight w:val="0"/>
      <w:marTop w:val="0"/>
      <w:marBottom w:val="0"/>
      <w:divBdr>
        <w:top w:val="none" w:sz="0" w:space="0" w:color="auto"/>
        <w:left w:val="none" w:sz="0" w:space="0" w:color="auto"/>
        <w:bottom w:val="none" w:sz="0" w:space="0" w:color="auto"/>
        <w:right w:val="none" w:sz="0" w:space="0" w:color="auto"/>
      </w:divBdr>
    </w:div>
    <w:div w:id="613639073">
      <w:bodyDiv w:val="1"/>
      <w:marLeft w:val="0"/>
      <w:marRight w:val="0"/>
      <w:marTop w:val="0"/>
      <w:marBottom w:val="0"/>
      <w:divBdr>
        <w:top w:val="none" w:sz="0" w:space="0" w:color="auto"/>
        <w:left w:val="none" w:sz="0" w:space="0" w:color="auto"/>
        <w:bottom w:val="none" w:sz="0" w:space="0" w:color="auto"/>
        <w:right w:val="none" w:sz="0" w:space="0" w:color="auto"/>
      </w:divBdr>
      <w:divsChild>
        <w:div w:id="760569223">
          <w:marLeft w:val="0"/>
          <w:marRight w:val="0"/>
          <w:marTop w:val="0"/>
          <w:marBottom w:val="0"/>
          <w:divBdr>
            <w:top w:val="none" w:sz="0" w:space="0" w:color="auto"/>
            <w:left w:val="none" w:sz="0" w:space="0" w:color="auto"/>
            <w:bottom w:val="none" w:sz="0" w:space="0" w:color="auto"/>
            <w:right w:val="none" w:sz="0" w:space="0" w:color="auto"/>
          </w:divBdr>
        </w:div>
      </w:divsChild>
    </w:div>
    <w:div w:id="642655722">
      <w:bodyDiv w:val="1"/>
      <w:marLeft w:val="0"/>
      <w:marRight w:val="0"/>
      <w:marTop w:val="0"/>
      <w:marBottom w:val="0"/>
      <w:divBdr>
        <w:top w:val="none" w:sz="0" w:space="0" w:color="auto"/>
        <w:left w:val="none" w:sz="0" w:space="0" w:color="auto"/>
        <w:bottom w:val="none" w:sz="0" w:space="0" w:color="auto"/>
        <w:right w:val="none" w:sz="0" w:space="0" w:color="auto"/>
      </w:divBdr>
    </w:div>
    <w:div w:id="646933363">
      <w:bodyDiv w:val="1"/>
      <w:marLeft w:val="0"/>
      <w:marRight w:val="0"/>
      <w:marTop w:val="0"/>
      <w:marBottom w:val="0"/>
      <w:divBdr>
        <w:top w:val="none" w:sz="0" w:space="0" w:color="auto"/>
        <w:left w:val="none" w:sz="0" w:space="0" w:color="auto"/>
        <w:bottom w:val="none" w:sz="0" w:space="0" w:color="auto"/>
        <w:right w:val="none" w:sz="0" w:space="0" w:color="auto"/>
      </w:divBdr>
    </w:div>
    <w:div w:id="680856813">
      <w:bodyDiv w:val="1"/>
      <w:marLeft w:val="0"/>
      <w:marRight w:val="0"/>
      <w:marTop w:val="0"/>
      <w:marBottom w:val="0"/>
      <w:divBdr>
        <w:top w:val="none" w:sz="0" w:space="0" w:color="auto"/>
        <w:left w:val="none" w:sz="0" w:space="0" w:color="auto"/>
        <w:bottom w:val="none" w:sz="0" w:space="0" w:color="auto"/>
        <w:right w:val="none" w:sz="0" w:space="0" w:color="auto"/>
      </w:divBdr>
    </w:div>
    <w:div w:id="687675909">
      <w:bodyDiv w:val="1"/>
      <w:marLeft w:val="0"/>
      <w:marRight w:val="0"/>
      <w:marTop w:val="0"/>
      <w:marBottom w:val="0"/>
      <w:divBdr>
        <w:top w:val="none" w:sz="0" w:space="0" w:color="auto"/>
        <w:left w:val="none" w:sz="0" w:space="0" w:color="auto"/>
        <w:bottom w:val="none" w:sz="0" w:space="0" w:color="auto"/>
        <w:right w:val="none" w:sz="0" w:space="0" w:color="auto"/>
      </w:divBdr>
    </w:div>
    <w:div w:id="695735757">
      <w:bodyDiv w:val="1"/>
      <w:marLeft w:val="0"/>
      <w:marRight w:val="0"/>
      <w:marTop w:val="0"/>
      <w:marBottom w:val="0"/>
      <w:divBdr>
        <w:top w:val="none" w:sz="0" w:space="0" w:color="auto"/>
        <w:left w:val="none" w:sz="0" w:space="0" w:color="auto"/>
        <w:bottom w:val="none" w:sz="0" w:space="0" w:color="auto"/>
        <w:right w:val="none" w:sz="0" w:space="0" w:color="auto"/>
      </w:divBdr>
    </w:div>
    <w:div w:id="700208975">
      <w:bodyDiv w:val="1"/>
      <w:marLeft w:val="0"/>
      <w:marRight w:val="0"/>
      <w:marTop w:val="0"/>
      <w:marBottom w:val="0"/>
      <w:divBdr>
        <w:top w:val="none" w:sz="0" w:space="0" w:color="auto"/>
        <w:left w:val="none" w:sz="0" w:space="0" w:color="auto"/>
        <w:bottom w:val="none" w:sz="0" w:space="0" w:color="auto"/>
        <w:right w:val="none" w:sz="0" w:space="0" w:color="auto"/>
      </w:divBdr>
    </w:div>
    <w:div w:id="701128857">
      <w:bodyDiv w:val="1"/>
      <w:marLeft w:val="0"/>
      <w:marRight w:val="0"/>
      <w:marTop w:val="0"/>
      <w:marBottom w:val="0"/>
      <w:divBdr>
        <w:top w:val="none" w:sz="0" w:space="0" w:color="auto"/>
        <w:left w:val="none" w:sz="0" w:space="0" w:color="auto"/>
        <w:bottom w:val="none" w:sz="0" w:space="0" w:color="auto"/>
        <w:right w:val="none" w:sz="0" w:space="0" w:color="auto"/>
      </w:divBdr>
    </w:div>
    <w:div w:id="704527442">
      <w:bodyDiv w:val="1"/>
      <w:marLeft w:val="0"/>
      <w:marRight w:val="0"/>
      <w:marTop w:val="0"/>
      <w:marBottom w:val="0"/>
      <w:divBdr>
        <w:top w:val="none" w:sz="0" w:space="0" w:color="auto"/>
        <w:left w:val="none" w:sz="0" w:space="0" w:color="auto"/>
        <w:bottom w:val="none" w:sz="0" w:space="0" w:color="auto"/>
        <w:right w:val="none" w:sz="0" w:space="0" w:color="auto"/>
      </w:divBdr>
    </w:div>
    <w:div w:id="708527474">
      <w:bodyDiv w:val="1"/>
      <w:marLeft w:val="0"/>
      <w:marRight w:val="0"/>
      <w:marTop w:val="0"/>
      <w:marBottom w:val="0"/>
      <w:divBdr>
        <w:top w:val="none" w:sz="0" w:space="0" w:color="auto"/>
        <w:left w:val="none" w:sz="0" w:space="0" w:color="auto"/>
        <w:bottom w:val="none" w:sz="0" w:space="0" w:color="auto"/>
        <w:right w:val="none" w:sz="0" w:space="0" w:color="auto"/>
      </w:divBdr>
    </w:div>
    <w:div w:id="709887706">
      <w:bodyDiv w:val="1"/>
      <w:marLeft w:val="0"/>
      <w:marRight w:val="0"/>
      <w:marTop w:val="0"/>
      <w:marBottom w:val="0"/>
      <w:divBdr>
        <w:top w:val="none" w:sz="0" w:space="0" w:color="auto"/>
        <w:left w:val="none" w:sz="0" w:space="0" w:color="auto"/>
        <w:bottom w:val="none" w:sz="0" w:space="0" w:color="auto"/>
        <w:right w:val="none" w:sz="0" w:space="0" w:color="auto"/>
      </w:divBdr>
    </w:div>
    <w:div w:id="715006015">
      <w:bodyDiv w:val="1"/>
      <w:marLeft w:val="0"/>
      <w:marRight w:val="0"/>
      <w:marTop w:val="0"/>
      <w:marBottom w:val="0"/>
      <w:divBdr>
        <w:top w:val="none" w:sz="0" w:space="0" w:color="auto"/>
        <w:left w:val="none" w:sz="0" w:space="0" w:color="auto"/>
        <w:bottom w:val="none" w:sz="0" w:space="0" w:color="auto"/>
        <w:right w:val="none" w:sz="0" w:space="0" w:color="auto"/>
      </w:divBdr>
    </w:div>
    <w:div w:id="728921304">
      <w:bodyDiv w:val="1"/>
      <w:marLeft w:val="0"/>
      <w:marRight w:val="0"/>
      <w:marTop w:val="0"/>
      <w:marBottom w:val="0"/>
      <w:divBdr>
        <w:top w:val="none" w:sz="0" w:space="0" w:color="auto"/>
        <w:left w:val="none" w:sz="0" w:space="0" w:color="auto"/>
        <w:bottom w:val="none" w:sz="0" w:space="0" w:color="auto"/>
        <w:right w:val="none" w:sz="0" w:space="0" w:color="auto"/>
      </w:divBdr>
    </w:div>
    <w:div w:id="745686276">
      <w:bodyDiv w:val="1"/>
      <w:marLeft w:val="0"/>
      <w:marRight w:val="0"/>
      <w:marTop w:val="0"/>
      <w:marBottom w:val="0"/>
      <w:divBdr>
        <w:top w:val="none" w:sz="0" w:space="0" w:color="auto"/>
        <w:left w:val="none" w:sz="0" w:space="0" w:color="auto"/>
        <w:bottom w:val="none" w:sz="0" w:space="0" w:color="auto"/>
        <w:right w:val="none" w:sz="0" w:space="0" w:color="auto"/>
      </w:divBdr>
    </w:div>
    <w:div w:id="755591986">
      <w:bodyDiv w:val="1"/>
      <w:marLeft w:val="0"/>
      <w:marRight w:val="0"/>
      <w:marTop w:val="0"/>
      <w:marBottom w:val="0"/>
      <w:divBdr>
        <w:top w:val="none" w:sz="0" w:space="0" w:color="auto"/>
        <w:left w:val="none" w:sz="0" w:space="0" w:color="auto"/>
        <w:bottom w:val="none" w:sz="0" w:space="0" w:color="auto"/>
        <w:right w:val="none" w:sz="0" w:space="0" w:color="auto"/>
      </w:divBdr>
    </w:div>
    <w:div w:id="778569063">
      <w:bodyDiv w:val="1"/>
      <w:marLeft w:val="0"/>
      <w:marRight w:val="0"/>
      <w:marTop w:val="0"/>
      <w:marBottom w:val="0"/>
      <w:divBdr>
        <w:top w:val="none" w:sz="0" w:space="0" w:color="auto"/>
        <w:left w:val="none" w:sz="0" w:space="0" w:color="auto"/>
        <w:bottom w:val="none" w:sz="0" w:space="0" w:color="auto"/>
        <w:right w:val="none" w:sz="0" w:space="0" w:color="auto"/>
      </w:divBdr>
    </w:div>
    <w:div w:id="781337605">
      <w:bodyDiv w:val="1"/>
      <w:marLeft w:val="0"/>
      <w:marRight w:val="0"/>
      <w:marTop w:val="0"/>
      <w:marBottom w:val="0"/>
      <w:divBdr>
        <w:top w:val="none" w:sz="0" w:space="0" w:color="auto"/>
        <w:left w:val="none" w:sz="0" w:space="0" w:color="auto"/>
        <w:bottom w:val="none" w:sz="0" w:space="0" w:color="auto"/>
        <w:right w:val="none" w:sz="0" w:space="0" w:color="auto"/>
      </w:divBdr>
    </w:div>
    <w:div w:id="795756383">
      <w:bodyDiv w:val="1"/>
      <w:marLeft w:val="0"/>
      <w:marRight w:val="0"/>
      <w:marTop w:val="0"/>
      <w:marBottom w:val="0"/>
      <w:divBdr>
        <w:top w:val="none" w:sz="0" w:space="0" w:color="auto"/>
        <w:left w:val="none" w:sz="0" w:space="0" w:color="auto"/>
        <w:bottom w:val="none" w:sz="0" w:space="0" w:color="auto"/>
        <w:right w:val="none" w:sz="0" w:space="0" w:color="auto"/>
      </w:divBdr>
      <w:divsChild>
        <w:div w:id="53437525">
          <w:marLeft w:val="0"/>
          <w:marRight w:val="0"/>
          <w:marTop w:val="0"/>
          <w:marBottom w:val="0"/>
          <w:divBdr>
            <w:top w:val="none" w:sz="0" w:space="0" w:color="auto"/>
            <w:left w:val="none" w:sz="0" w:space="0" w:color="auto"/>
            <w:bottom w:val="none" w:sz="0" w:space="0" w:color="auto"/>
            <w:right w:val="none" w:sz="0" w:space="0" w:color="auto"/>
          </w:divBdr>
        </w:div>
      </w:divsChild>
    </w:div>
    <w:div w:id="812797715">
      <w:bodyDiv w:val="1"/>
      <w:marLeft w:val="0"/>
      <w:marRight w:val="0"/>
      <w:marTop w:val="0"/>
      <w:marBottom w:val="0"/>
      <w:divBdr>
        <w:top w:val="none" w:sz="0" w:space="0" w:color="auto"/>
        <w:left w:val="none" w:sz="0" w:space="0" w:color="auto"/>
        <w:bottom w:val="none" w:sz="0" w:space="0" w:color="auto"/>
        <w:right w:val="none" w:sz="0" w:space="0" w:color="auto"/>
      </w:divBdr>
    </w:div>
    <w:div w:id="815990779">
      <w:bodyDiv w:val="1"/>
      <w:marLeft w:val="0"/>
      <w:marRight w:val="0"/>
      <w:marTop w:val="0"/>
      <w:marBottom w:val="0"/>
      <w:divBdr>
        <w:top w:val="none" w:sz="0" w:space="0" w:color="auto"/>
        <w:left w:val="none" w:sz="0" w:space="0" w:color="auto"/>
        <w:bottom w:val="none" w:sz="0" w:space="0" w:color="auto"/>
        <w:right w:val="none" w:sz="0" w:space="0" w:color="auto"/>
      </w:divBdr>
    </w:div>
    <w:div w:id="829055319">
      <w:bodyDiv w:val="1"/>
      <w:marLeft w:val="0"/>
      <w:marRight w:val="0"/>
      <w:marTop w:val="0"/>
      <w:marBottom w:val="0"/>
      <w:divBdr>
        <w:top w:val="none" w:sz="0" w:space="0" w:color="auto"/>
        <w:left w:val="none" w:sz="0" w:space="0" w:color="auto"/>
        <w:bottom w:val="none" w:sz="0" w:space="0" w:color="auto"/>
        <w:right w:val="none" w:sz="0" w:space="0" w:color="auto"/>
      </w:divBdr>
    </w:div>
    <w:div w:id="833296371">
      <w:bodyDiv w:val="1"/>
      <w:marLeft w:val="0"/>
      <w:marRight w:val="0"/>
      <w:marTop w:val="0"/>
      <w:marBottom w:val="0"/>
      <w:divBdr>
        <w:top w:val="none" w:sz="0" w:space="0" w:color="auto"/>
        <w:left w:val="none" w:sz="0" w:space="0" w:color="auto"/>
        <w:bottom w:val="none" w:sz="0" w:space="0" w:color="auto"/>
        <w:right w:val="none" w:sz="0" w:space="0" w:color="auto"/>
      </w:divBdr>
    </w:div>
    <w:div w:id="839583254">
      <w:bodyDiv w:val="1"/>
      <w:marLeft w:val="0"/>
      <w:marRight w:val="0"/>
      <w:marTop w:val="0"/>
      <w:marBottom w:val="0"/>
      <w:divBdr>
        <w:top w:val="none" w:sz="0" w:space="0" w:color="auto"/>
        <w:left w:val="none" w:sz="0" w:space="0" w:color="auto"/>
        <w:bottom w:val="none" w:sz="0" w:space="0" w:color="auto"/>
        <w:right w:val="none" w:sz="0" w:space="0" w:color="auto"/>
      </w:divBdr>
    </w:div>
    <w:div w:id="840896975">
      <w:bodyDiv w:val="1"/>
      <w:marLeft w:val="0"/>
      <w:marRight w:val="0"/>
      <w:marTop w:val="0"/>
      <w:marBottom w:val="0"/>
      <w:divBdr>
        <w:top w:val="none" w:sz="0" w:space="0" w:color="auto"/>
        <w:left w:val="none" w:sz="0" w:space="0" w:color="auto"/>
        <w:bottom w:val="none" w:sz="0" w:space="0" w:color="auto"/>
        <w:right w:val="none" w:sz="0" w:space="0" w:color="auto"/>
      </w:divBdr>
    </w:div>
    <w:div w:id="855927390">
      <w:bodyDiv w:val="1"/>
      <w:marLeft w:val="0"/>
      <w:marRight w:val="0"/>
      <w:marTop w:val="0"/>
      <w:marBottom w:val="0"/>
      <w:divBdr>
        <w:top w:val="none" w:sz="0" w:space="0" w:color="auto"/>
        <w:left w:val="none" w:sz="0" w:space="0" w:color="auto"/>
        <w:bottom w:val="none" w:sz="0" w:space="0" w:color="auto"/>
        <w:right w:val="none" w:sz="0" w:space="0" w:color="auto"/>
      </w:divBdr>
    </w:div>
    <w:div w:id="856967890">
      <w:bodyDiv w:val="1"/>
      <w:marLeft w:val="0"/>
      <w:marRight w:val="0"/>
      <w:marTop w:val="0"/>
      <w:marBottom w:val="0"/>
      <w:divBdr>
        <w:top w:val="none" w:sz="0" w:space="0" w:color="auto"/>
        <w:left w:val="none" w:sz="0" w:space="0" w:color="auto"/>
        <w:bottom w:val="none" w:sz="0" w:space="0" w:color="auto"/>
        <w:right w:val="none" w:sz="0" w:space="0" w:color="auto"/>
      </w:divBdr>
    </w:div>
    <w:div w:id="859590694">
      <w:bodyDiv w:val="1"/>
      <w:marLeft w:val="0"/>
      <w:marRight w:val="0"/>
      <w:marTop w:val="0"/>
      <w:marBottom w:val="0"/>
      <w:divBdr>
        <w:top w:val="none" w:sz="0" w:space="0" w:color="auto"/>
        <w:left w:val="none" w:sz="0" w:space="0" w:color="auto"/>
        <w:bottom w:val="none" w:sz="0" w:space="0" w:color="auto"/>
        <w:right w:val="none" w:sz="0" w:space="0" w:color="auto"/>
      </w:divBdr>
    </w:div>
    <w:div w:id="869880350">
      <w:bodyDiv w:val="1"/>
      <w:marLeft w:val="0"/>
      <w:marRight w:val="0"/>
      <w:marTop w:val="0"/>
      <w:marBottom w:val="0"/>
      <w:divBdr>
        <w:top w:val="none" w:sz="0" w:space="0" w:color="auto"/>
        <w:left w:val="none" w:sz="0" w:space="0" w:color="auto"/>
        <w:bottom w:val="none" w:sz="0" w:space="0" w:color="auto"/>
        <w:right w:val="none" w:sz="0" w:space="0" w:color="auto"/>
      </w:divBdr>
    </w:div>
    <w:div w:id="870531326">
      <w:bodyDiv w:val="1"/>
      <w:marLeft w:val="0"/>
      <w:marRight w:val="0"/>
      <w:marTop w:val="0"/>
      <w:marBottom w:val="0"/>
      <w:divBdr>
        <w:top w:val="none" w:sz="0" w:space="0" w:color="auto"/>
        <w:left w:val="none" w:sz="0" w:space="0" w:color="auto"/>
        <w:bottom w:val="none" w:sz="0" w:space="0" w:color="auto"/>
        <w:right w:val="none" w:sz="0" w:space="0" w:color="auto"/>
      </w:divBdr>
    </w:div>
    <w:div w:id="871914541">
      <w:bodyDiv w:val="1"/>
      <w:marLeft w:val="0"/>
      <w:marRight w:val="0"/>
      <w:marTop w:val="0"/>
      <w:marBottom w:val="0"/>
      <w:divBdr>
        <w:top w:val="none" w:sz="0" w:space="0" w:color="auto"/>
        <w:left w:val="none" w:sz="0" w:space="0" w:color="auto"/>
        <w:bottom w:val="none" w:sz="0" w:space="0" w:color="auto"/>
        <w:right w:val="none" w:sz="0" w:space="0" w:color="auto"/>
      </w:divBdr>
    </w:div>
    <w:div w:id="878709967">
      <w:bodyDiv w:val="1"/>
      <w:marLeft w:val="0"/>
      <w:marRight w:val="0"/>
      <w:marTop w:val="0"/>
      <w:marBottom w:val="0"/>
      <w:divBdr>
        <w:top w:val="none" w:sz="0" w:space="0" w:color="auto"/>
        <w:left w:val="none" w:sz="0" w:space="0" w:color="auto"/>
        <w:bottom w:val="none" w:sz="0" w:space="0" w:color="auto"/>
        <w:right w:val="none" w:sz="0" w:space="0" w:color="auto"/>
      </w:divBdr>
    </w:div>
    <w:div w:id="885918097">
      <w:bodyDiv w:val="1"/>
      <w:marLeft w:val="0"/>
      <w:marRight w:val="0"/>
      <w:marTop w:val="0"/>
      <w:marBottom w:val="0"/>
      <w:divBdr>
        <w:top w:val="none" w:sz="0" w:space="0" w:color="auto"/>
        <w:left w:val="none" w:sz="0" w:space="0" w:color="auto"/>
        <w:bottom w:val="none" w:sz="0" w:space="0" w:color="auto"/>
        <w:right w:val="none" w:sz="0" w:space="0" w:color="auto"/>
      </w:divBdr>
    </w:div>
    <w:div w:id="896892768">
      <w:bodyDiv w:val="1"/>
      <w:marLeft w:val="0"/>
      <w:marRight w:val="0"/>
      <w:marTop w:val="0"/>
      <w:marBottom w:val="0"/>
      <w:divBdr>
        <w:top w:val="none" w:sz="0" w:space="0" w:color="auto"/>
        <w:left w:val="none" w:sz="0" w:space="0" w:color="auto"/>
        <w:bottom w:val="none" w:sz="0" w:space="0" w:color="auto"/>
        <w:right w:val="none" w:sz="0" w:space="0" w:color="auto"/>
      </w:divBdr>
    </w:div>
    <w:div w:id="901526552">
      <w:bodyDiv w:val="1"/>
      <w:marLeft w:val="0"/>
      <w:marRight w:val="0"/>
      <w:marTop w:val="0"/>
      <w:marBottom w:val="0"/>
      <w:divBdr>
        <w:top w:val="none" w:sz="0" w:space="0" w:color="auto"/>
        <w:left w:val="none" w:sz="0" w:space="0" w:color="auto"/>
        <w:bottom w:val="none" w:sz="0" w:space="0" w:color="auto"/>
        <w:right w:val="none" w:sz="0" w:space="0" w:color="auto"/>
      </w:divBdr>
    </w:div>
    <w:div w:id="911280726">
      <w:bodyDiv w:val="1"/>
      <w:marLeft w:val="0"/>
      <w:marRight w:val="0"/>
      <w:marTop w:val="0"/>
      <w:marBottom w:val="0"/>
      <w:divBdr>
        <w:top w:val="none" w:sz="0" w:space="0" w:color="auto"/>
        <w:left w:val="none" w:sz="0" w:space="0" w:color="auto"/>
        <w:bottom w:val="none" w:sz="0" w:space="0" w:color="auto"/>
        <w:right w:val="none" w:sz="0" w:space="0" w:color="auto"/>
      </w:divBdr>
    </w:div>
    <w:div w:id="926883556">
      <w:bodyDiv w:val="1"/>
      <w:marLeft w:val="0"/>
      <w:marRight w:val="0"/>
      <w:marTop w:val="0"/>
      <w:marBottom w:val="0"/>
      <w:divBdr>
        <w:top w:val="none" w:sz="0" w:space="0" w:color="auto"/>
        <w:left w:val="none" w:sz="0" w:space="0" w:color="auto"/>
        <w:bottom w:val="none" w:sz="0" w:space="0" w:color="auto"/>
        <w:right w:val="none" w:sz="0" w:space="0" w:color="auto"/>
      </w:divBdr>
    </w:div>
    <w:div w:id="934946362">
      <w:bodyDiv w:val="1"/>
      <w:marLeft w:val="0"/>
      <w:marRight w:val="0"/>
      <w:marTop w:val="0"/>
      <w:marBottom w:val="0"/>
      <w:divBdr>
        <w:top w:val="none" w:sz="0" w:space="0" w:color="auto"/>
        <w:left w:val="none" w:sz="0" w:space="0" w:color="auto"/>
        <w:bottom w:val="none" w:sz="0" w:space="0" w:color="auto"/>
        <w:right w:val="none" w:sz="0" w:space="0" w:color="auto"/>
      </w:divBdr>
    </w:div>
    <w:div w:id="954025333">
      <w:bodyDiv w:val="1"/>
      <w:marLeft w:val="0"/>
      <w:marRight w:val="0"/>
      <w:marTop w:val="0"/>
      <w:marBottom w:val="0"/>
      <w:divBdr>
        <w:top w:val="none" w:sz="0" w:space="0" w:color="auto"/>
        <w:left w:val="none" w:sz="0" w:space="0" w:color="auto"/>
        <w:bottom w:val="none" w:sz="0" w:space="0" w:color="auto"/>
        <w:right w:val="none" w:sz="0" w:space="0" w:color="auto"/>
      </w:divBdr>
    </w:div>
    <w:div w:id="973409505">
      <w:bodyDiv w:val="1"/>
      <w:marLeft w:val="0"/>
      <w:marRight w:val="0"/>
      <w:marTop w:val="0"/>
      <w:marBottom w:val="0"/>
      <w:divBdr>
        <w:top w:val="none" w:sz="0" w:space="0" w:color="auto"/>
        <w:left w:val="none" w:sz="0" w:space="0" w:color="auto"/>
        <w:bottom w:val="none" w:sz="0" w:space="0" w:color="auto"/>
        <w:right w:val="none" w:sz="0" w:space="0" w:color="auto"/>
      </w:divBdr>
    </w:div>
    <w:div w:id="996035941">
      <w:bodyDiv w:val="1"/>
      <w:marLeft w:val="0"/>
      <w:marRight w:val="0"/>
      <w:marTop w:val="0"/>
      <w:marBottom w:val="0"/>
      <w:divBdr>
        <w:top w:val="none" w:sz="0" w:space="0" w:color="auto"/>
        <w:left w:val="none" w:sz="0" w:space="0" w:color="auto"/>
        <w:bottom w:val="none" w:sz="0" w:space="0" w:color="auto"/>
        <w:right w:val="none" w:sz="0" w:space="0" w:color="auto"/>
      </w:divBdr>
    </w:div>
    <w:div w:id="996805788">
      <w:bodyDiv w:val="1"/>
      <w:marLeft w:val="0"/>
      <w:marRight w:val="0"/>
      <w:marTop w:val="0"/>
      <w:marBottom w:val="0"/>
      <w:divBdr>
        <w:top w:val="none" w:sz="0" w:space="0" w:color="auto"/>
        <w:left w:val="none" w:sz="0" w:space="0" w:color="auto"/>
        <w:bottom w:val="none" w:sz="0" w:space="0" w:color="auto"/>
        <w:right w:val="none" w:sz="0" w:space="0" w:color="auto"/>
      </w:divBdr>
    </w:div>
    <w:div w:id="999232117">
      <w:bodyDiv w:val="1"/>
      <w:marLeft w:val="0"/>
      <w:marRight w:val="0"/>
      <w:marTop w:val="0"/>
      <w:marBottom w:val="0"/>
      <w:divBdr>
        <w:top w:val="none" w:sz="0" w:space="0" w:color="auto"/>
        <w:left w:val="none" w:sz="0" w:space="0" w:color="auto"/>
        <w:bottom w:val="none" w:sz="0" w:space="0" w:color="auto"/>
        <w:right w:val="none" w:sz="0" w:space="0" w:color="auto"/>
      </w:divBdr>
      <w:divsChild>
        <w:div w:id="2122991109">
          <w:marLeft w:val="0"/>
          <w:marRight w:val="0"/>
          <w:marTop w:val="0"/>
          <w:marBottom w:val="0"/>
          <w:divBdr>
            <w:top w:val="none" w:sz="0" w:space="0" w:color="auto"/>
            <w:left w:val="none" w:sz="0" w:space="0" w:color="auto"/>
            <w:bottom w:val="none" w:sz="0" w:space="0" w:color="auto"/>
            <w:right w:val="none" w:sz="0" w:space="0" w:color="auto"/>
          </w:divBdr>
        </w:div>
      </w:divsChild>
    </w:div>
    <w:div w:id="1018385203">
      <w:bodyDiv w:val="1"/>
      <w:marLeft w:val="0"/>
      <w:marRight w:val="0"/>
      <w:marTop w:val="0"/>
      <w:marBottom w:val="0"/>
      <w:divBdr>
        <w:top w:val="none" w:sz="0" w:space="0" w:color="auto"/>
        <w:left w:val="none" w:sz="0" w:space="0" w:color="auto"/>
        <w:bottom w:val="none" w:sz="0" w:space="0" w:color="auto"/>
        <w:right w:val="none" w:sz="0" w:space="0" w:color="auto"/>
      </w:divBdr>
    </w:div>
    <w:div w:id="1019428950">
      <w:bodyDiv w:val="1"/>
      <w:marLeft w:val="0"/>
      <w:marRight w:val="0"/>
      <w:marTop w:val="0"/>
      <w:marBottom w:val="0"/>
      <w:divBdr>
        <w:top w:val="none" w:sz="0" w:space="0" w:color="auto"/>
        <w:left w:val="none" w:sz="0" w:space="0" w:color="auto"/>
        <w:bottom w:val="none" w:sz="0" w:space="0" w:color="auto"/>
        <w:right w:val="none" w:sz="0" w:space="0" w:color="auto"/>
      </w:divBdr>
      <w:divsChild>
        <w:div w:id="1189371555">
          <w:marLeft w:val="0"/>
          <w:marRight w:val="0"/>
          <w:marTop w:val="0"/>
          <w:marBottom w:val="0"/>
          <w:divBdr>
            <w:top w:val="none" w:sz="0" w:space="0" w:color="auto"/>
            <w:left w:val="none" w:sz="0" w:space="0" w:color="auto"/>
            <w:bottom w:val="none" w:sz="0" w:space="0" w:color="auto"/>
            <w:right w:val="none" w:sz="0" w:space="0" w:color="auto"/>
          </w:divBdr>
        </w:div>
        <w:div w:id="809782072">
          <w:marLeft w:val="0"/>
          <w:marRight w:val="0"/>
          <w:marTop w:val="0"/>
          <w:marBottom w:val="0"/>
          <w:divBdr>
            <w:top w:val="none" w:sz="0" w:space="0" w:color="auto"/>
            <w:left w:val="none" w:sz="0" w:space="0" w:color="auto"/>
            <w:bottom w:val="none" w:sz="0" w:space="0" w:color="auto"/>
            <w:right w:val="none" w:sz="0" w:space="0" w:color="auto"/>
          </w:divBdr>
        </w:div>
      </w:divsChild>
    </w:div>
    <w:div w:id="1031372694">
      <w:bodyDiv w:val="1"/>
      <w:marLeft w:val="0"/>
      <w:marRight w:val="0"/>
      <w:marTop w:val="0"/>
      <w:marBottom w:val="0"/>
      <w:divBdr>
        <w:top w:val="none" w:sz="0" w:space="0" w:color="auto"/>
        <w:left w:val="none" w:sz="0" w:space="0" w:color="auto"/>
        <w:bottom w:val="none" w:sz="0" w:space="0" w:color="auto"/>
        <w:right w:val="none" w:sz="0" w:space="0" w:color="auto"/>
      </w:divBdr>
    </w:div>
    <w:div w:id="1064527061">
      <w:bodyDiv w:val="1"/>
      <w:marLeft w:val="0"/>
      <w:marRight w:val="0"/>
      <w:marTop w:val="0"/>
      <w:marBottom w:val="0"/>
      <w:divBdr>
        <w:top w:val="none" w:sz="0" w:space="0" w:color="auto"/>
        <w:left w:val="none" w:sz="0" w:space="0" w:color="auto"/>
        <w:bottom w:val="none" w:sz="0" w:space="0" w:color="auto"/>
        <w:right w:val="none" w:sz="0" w:space="0" w:color="auto"/>
      </w:divBdr>
    </w:div>
    <w:div w:id="1070270691">
      <w:bodyDiv w:val="1"/>
      <w:marLeft w:val="0"/>
      <w:marRight w:val="0"/>
      <w:marTop w:val="0"/>
      <w:marBottom w:val="0"/>
      <w:divBdr>
        <w:top w:val="none" w:sz="0" w:space="0" w:color="auto"/>
        <w:left w:val="none" w:sz="0" w:space="0" w:color="auto"/>
        <w:bottom w:val="none" w:sz="0" w:space="0" w:color="auto"/>
        <w:right w:val="none" w:sz="0" w:space="0" w:color="auto"/>
      </w:divBdr>
    </w:div>
    <w:div w:id="1070427798">
      <w:bodyDiv w:val="1"/>
      <w:marLeft w:val="0"/>
      <w:marRight w:val="0"/>
      <w:marTop w:val="0"/>
      <w:marBottom w:val="0"/>
      <w:divBdr>
        <w:top w:val="none" w:sz="0" w:space="0" w:color="auto"/>
        <w:left w:val="none" w:sz="0" w:space="0" w:color="auto"/>
        <w:bottom w:val="none" w:sz="0" w:space="0" w:color="auto"/>
        <w:right w:val="none" w:sz="0" w:space="0" w:color="auto"/>
      </w:divBdr>
    </w:div>
    <w:div w:id="1084954704">
      <w:bodyDiv w:val="1"/>
      <w:marLeft w:val="0"/>
      <w:marRight w:val="0"/>
      <w:marTop w:val="0"/>
      <w:marBottom w:val="0"/>
      <w:divBdr>
        <w:top w:val="none" w:sz="0" w:space="0" w:color="auto"/>
        <w:left w:val="none" w:sz="0" w:space="0" w:color="auto"/>
        <w:bottom w:val="none" w:sz="0" w:space="0" w:color="auto"/>
        <w:right w:val="none" w:sz="0" w:space="0" w:color="auto"/>
      </w:divBdr>
    </w:div>
    <w:div w:id="1093085649">
      <w:bodyDiv w:val="1"/>
      <w:marLeft w:val="0"/>
      <w:marRight w:val="0"/>
      <w:marTop w:val="0"/>
      <w:marBottom w:val="0"/>
      <w:divBdr>
        <w:top w:val="none" w:sz="0" w:space="0" w:color="auto"/>
        <w:left w:val="none" w:sz="0" w:space="0" w:color="auto"/>
        <w:bottom w:val="none" w:sz="0" w:space="0" w:color="auto"/>
        <w:right w:val="none" w:sz="0" w:space="0" w:color="auto"/>
      </w:divBdr>
    </w:div>
    <w:div w:id="1102148824">
      <w:bodyDiv w:val="1"/>
      <w:marLeft w:val="0"/>
      <w:marRight w:val="0"/>
      <w:marTop w:val="0"/>
      <w:marBottom w:val="0"/>
      <w:divBdr>
        <w:top w:val="none" w:sz="0" w:space="0" w:color="auto"/>
        <w:left w:val="none" w:sz="0" w:space="0" w:color="auto"/>
        <w:bottom w:val="none" w:sz="0" w:space="0" w:color="auto"/>
        <w:right w:val="none" w:sz="0" w:space="0" w:color="auto"/>
      </w:divBdr>
      <w:divsChild>
        <w:div w:id="1684631203">
          <w:marLeft w:val="0"/>
          <w:marRight w:val="0"/>
          <w:marTop w:val="0"/>
          <w:marBottom w:val="0"/>
          <w:divBdr>
            <w:top w:val="none" w:sz="0" w:space="0" w:color="auto"/>
            <w:left w:val="none" w:sz="0" w:space="0" w:color="auto"/>
            <w:bottom w:val="none" w:sz="0" w:space="0" w:color="auto"/>
            <w:right w:val="none" w:sz="0" w:space="0" w:color="auto"/>
          </w:divBdr>
        </w:div>
        <w:div w:id="444934085">
          <w:marLeft w:val="0"/>
          <w:marRight w:val="0"/>
          <w:marTop w:val="0"/>
          <w:marBottom w:val="0"/>
          <w:divBdr>
            <w:top w:val="none" w:sz="0" w:space="0" w:color="auto"/>
            <w:left w:val="none" w:sz="0" w:space="0" w:color="auto"/>
            <w:bottom w:val="none" w:sz="0" w:space="0" w:color="auto"/>
            <w:right w:val="none" w:sz="0" w:space="0" w:color="auto"/>
          </w:divBdr>
        </w:div>
      </w:divsChild>
    </w:div>
    <w:div w:id="1119297153">
      <w:bodyDiv w:val="1"/>
      <w:marLeft w:val="0"/>
      <w:marRight w:val="0"/>
      <w:marTop w:val="0"/>
      <w:marBottom w:val="0"/>
      <w:divBdr>
        <w:top w:val="none" w:sz="0" w:space="0" w:color="auto"/>
        <w:left w:val="none" w:sz="0" w:space="0" w:color="auto"/>
        <w:bottom w:val="none" w:sz="0" w:space="0" w:color="auto"/>
        <w:right w:val="none" w:sz="0" w:space="0" w:color="auto"/>
      </w:divBdr>
    </w:div>
    <w:div w:id="1136146921">
      <w:bodyDiv w:val="1"/>
      <w:marLeft w:val="0"/>
      <w:marRight w:val="0"/>
      <w:marTop w:val="0"/>
      <w:marBottom w:val="0"/>
      <w:divBdr>
        <w:top w:val="none" w:sz="0" w:space="0" w:color="auto"/>
        <w:left w:val="none" w:sz="0" w:space="0" w:color="auto"/>
        <w:bottom w:val="none" w:sz="0" w:space="0" w:color="auto"/>
        <w:right w:val="none" w:sz="0" w:space="0" w:color="auto"/>
      </w:divBdr>
    </w:div>
    <w:div w:id="1136218456">
      <w:bodyDiv w:val="1"/>
      <w:marLeft w:val="0"/>
      <w:marRight w:val="0"/>
      <w:marTop w:val="0"/>
      <w:marBottom w:val="0"/>
      <w:divBdr>
        <w:top w:val="none" w:sz="0" w:space="0" w:color="auto"/>
        <w:left w:val="none" w:sz="0" w:space="0" w:color="auto"/>
        <w:bottom w:val="none" w:sz="0" w:space="0" w:color="auto"/>
        <w:right w:val="none" w:sz="0" w:space="0" w:color="auto"/>
      </w:divBdr>
    </w:div>
    <w:div w:id="1144006887">
      <w:bodyDiv w:val="1"/>
      <w:marLeft w:val="0"/>
      <w:marRight w:val="0"/>
      <w:marTop w:val="0"/>
      <w:marBottom w:val="0"/>
      <w:divBdr>
        <w:top w:val="none" w:sz="0" w:space="0" w:color="auto"/>
        <w:left w:val="none" w:sz="0" w:space="0" w:color="auto"/>
        <w:bottom w:val="none" w:sz="0" w:space="0" w:color="auto"/>
        <w:right w:val="none" w:sz="0" w:space="0" w:color="auto"/>
      </w:divBdr>
    </w:div>
    <w:div w:id="1146123149">
      <w:bodyDiv w:val="1"/>
      <w:marLeft w:val="0"/>
      <w:marRight w:val="0"/>
      <w:marTop w:val="0"/>
      <w:marBottom w:val="0"/>
      <w:divBdr>
        <w:top w:val="none" w:sz="0" w:space="0" w:color="auto"/>
        <w:left w:val="none" w:sz="0" w:space="0" w:color="auto"/>
        <w:bottom w:val="none" w:sz="0" w:space="0" w:color="auto"/>
        <w:right w:val="none" w:sz="0" w:space="0" w:color="auto"/>
      </w:divBdr>
    </w:div>
    <w:div w:id="1161962786">
      <w:bodyDiv w:val="1"/>
      <w:marLeft w:val="0"/>
      <w:marRight w:val="0"/>
      <w:marTop w:val="0"/>
      <w:marBottom w:val="0"/>
      <w:divBdr>
        <w:top w:val="none" w:sz="0" w:space="0" w:color="auto"/>
        <w:left w:val="none" w:sz="0" w:space="0" w:color="auto"/>
        <w:bottom w:val="none" w:sz="0" w:space="0" w:color="auto"/>
        <w:right w:val="none" w:sz="0" w:space="0" w:color="auto"/>
      </w:divBdr>
    </w:div>
    <w:div w:id="1162156853">
      <w:bodyDiv w:val="1"/>
      <w:marLeft w:val="0"/>
      <w:marRight w:val="0"/>
      <w:marTop w:val="0"/>
      <w:marBottom w:val="0"/>
      <w:divBdr>
        <w:top w:val="none" w:sz="0" w:space="0" w:color="auto"/>
        <w:left w:val="none" w:sz="0" w:space="0" w:color="auto"/>
        <w:bottom w:val="none" w:sz="0" w:space="0" w:color="auto"/>
        <w:right w:val="none" w:sz="0" w:space="0" w:color="auto"/>
      </w:divBdr>
      <w:divsChild>
        <w:div w:id="677269758">
          <w:marLeft w:val="0"/>
          <w:marRight w:val="0"/>
          <w:marTop w:val="0"/>
          <w:marBottom w:val="0"/>
          <w:divBdr>
            <w:top w:val="none" w:sz="0" w:space="0" w:color="auto"/>
            <w:left w:val="none" w:sz="0" w:space="0" w:color="auto"/>
            <w:bottom w:val="none" w:sz="0" w:space="0" w:color="auto"/>
            <w:right w:val="none" w:sz="0" w:space="0" w:color="auto"/>
          </w:divBdr>
        </w:div>
      </w:divsChild>
    </w:div>
    <w:div w:id="1175419115">
      <w:bodyDiv w:val="1"/>
      <w:marLeft w:val="0"/>
      <w:marRight w:val="0"/>
      <w:marTop w:val="0"/>
      <w:marBottom w:val="0"/>
      <w:divBdr>
        <w:top w:val="none" w:sz="0" w:space="0" w:color="auto"/>
        <w:left w:val="none" w:sz="0" w:space="0" w:color="auto"/>
        <w:bottom w:val="none" w:sz="0" w:space="0" w:color="auto"/>
        <w:right w:val="none" w:sz="0" w:space="0" w:color="auto"/>
      </w:divBdr>
    </w:div>
    <w:div w:id="1195851532">
      <w:bodyDiv w:val="1"/>
      <w:marLeft w:val="0"/>
      <w:marRight w:val="0"/>
      <w:marTop w:val="0"/>
      <w:marBottom w:val="0"/>
      <w:divBdr>
        <w:top w:val="none" w:sz="0" w:space="0" w:color="auto"/>
        <w:left w:val="none" w:sz="0" w:space="0" w:color="auto"/>
        <w:bottom w:val="none" w:sz="0" w:space="0" w:color="auto"/>
        <w:right w:val="none" w:sz="0" w:space="0" w:color="auto"/>
      </w:divBdr>
    </w:div>
    <w:div w:id="1205095707">
      <w:bodyDiv w:val="1"/>
      <w:marLeft w:val="0"/>
      <w:marRight w:val="0"/>
      <w:marTop w:val="0"/>
      <w:marBottom w:val="0"/>
      <w:divBdr>
        <w:top w:val="none" w:sz="0" w:space="0" w:color="auto"/>
        <w:left w:val="none" w:sz="0" w:space="0" w:color="auto"/>
        <w:bottom w:val="none" w:sz="0" w:space="0" w:color="auto"/>
        <w:right w:val="none" w:sz="0" w:space="0" w:color="auto"/>
      </w:divBdr>
    </w:div>
    <w:div w:id="1217743979">
      <w:bodyDiv w:val="1"/>
      <w:marLeft w:val="0"/>
      <w:marRight w:val="0"/>
      <w:marTop w:val="0"/>
      <w:marBottom w:val="0"/>
      <w:divBdr>
        <w:top w:val="none" w:sz="0" w:space="0" w:color="auto"/>
        <w:left w:val="none" w:sz="0" w:space="0" w:color="auto"/>
        <w:bottom w:val="none" w:sz="0" w:space="0" w:color="auto"/>
        <w:right w:val="none" w:sz="0" w:space="0" w:color="auto"/>
      </w:divBdr>
    </w:div>
    <w:div w:id="1224953174">
      <w:bodyDiv w:val="1"/>
      <w:marLeft w:val="0"/>
      <w:marRight w:val="0"/>
      <w:marTop w:val="0"/>
      <w:marBottom w:val="0"/>
      <w:divBdr>
        <w:top w:val="none" w:sz="0" w:space="0" w:color="auto"/>
        <w:left w:val="none" w:sz="0" w:space="0" w:color="auto"/>
        <w:bottom w:val="none" w:sz="0" w:space="0" w:color="auto"/>
        <w:right w:val="none" w:sz="0" w:space="0" w:color="auto"/>
      </w:divBdr>
    </w:div>
    <w:div w:id="1225415571">
      <w:bodyDiv w:val="1"/>
      <w:marLeft w:val="0"/>
      <w:marRight w:val="0"/>
      <w:marTop w:val="0"/>
      <w:marBottom w:val="0"/>
      <w:divBdr>
        <w:top w:val="none" w:sz="0" w:space="0" w:color="auto"/>
        <w:left w:val="none" w:sz="0" w:space="0" w:color="auto"/>
        <w:bottom w:val="none" w:sz="0" w:space="0" w:color="auto"/>
        <w:right w:val="none" w:sz="0" w:space="0" w:color="auto"/>
      </w:divBdr>
    </w:div>
    <w:div w:id="1241141875">
      <w:bodyDiv w:val="1"/>
      <w:marLeft w:val="0"/>
      <w:marRight w:val="0"/>
      <w:marTop w:val="0"/>
      <w:marBottom w:val="0"/>
      <w:divBdr>
        <w:top w:val="none" w:sz="0" w:space="0" w:color="auto"/>
        <w:left w:val="none" w:sz="0" w:space="0" w:color="auto"/>
        <w:bottom w:val="none" w:sz="0" w:space="0" w:color="auto"/>
        <w:right w:val="none" w:sz="0" w:space="0" w:color="auto"/>
      </w:divBdr>
    </w:div>
    <w:div w:id="1243488479">
      <w:bodyDiv w:val="1"/>
      <w:marLeft w:val="0"/>
      <w:marRight w:val="0"/>
      <w:marTop w:val="0"/>
      <w:marBottom w:val="0"/>
      <w:divBdr>
        <w:top w:val="none" w:sz="0" w:space="0" w:color="auto"/>
        <w:left w:val="none" w:sz="0" w:space="0" w:color="auto"/>
        <w:bottom w:val="none" w:sz="0" w:space="0" w:color="auto"/>
        <w:right w:val="none" w:sz="0" w:space="0" w:color="auto"/>
      </w:divBdr>
    </w:div>
    <w:div w:id="1258252803">
      <w:bodyDiv w:val="1"/>
      <w:marLeft w:val="0"/>
      <w:marRight w:val="0"/>
      <w:marTop w:val="0"/>
      <w:marBottom w:val="0"/>
      <w:divBdr>
        <w:top w:val="none" w:sz="0" w:space="0" w:color="auto"/>
        <w:left w:val="none" w:sz="0" w:space="0" w:color="auto"/>
        <w:bottom w:val="none" w:sz="0" w:space="0" w:color="auto"/>
        <w:right w:val="none" w:sz="0" w:space="0" w:color="auto"/>
      </w:divBdr>
    </w:div>
    <w:div w:id="1265458456">
      <w:bodyDiv w:val="1"/>
      <w:marLeft w:val="0"/>
      <w:marRight w:val="0"/>
      <w:marTop w:val="0"/>
      <w:marBottom w:val="0"/>
      <w:divBdr>
        <w:top w:val="none" w:sz="0" w:space="0" w:color="auto"/>
        <w:left w:val="none" w:sz="0" w:space="0" w:color="auto"/>
        <w:bottom w:val="none" w:sz="0" w:space="0" w:color="auto"/>
        <w:right w:val="none" w:sz="0" w:space="0" w:color="auto"/>
      </w:divBdr>
    </w:div>
    <w:div w:id="1282810471">
      <w:bodyDiv w:val="1"/>
      <w:marLeft w:val="0"/>
      <w:marRight w:val="0"/>
      <w:marTop w:val="0"/>
      <w:marBottom w:val="0"/>
      <w:divBdr>
        <w:top w:val="none" w:sz="0" w:space="0" w:color="auto"/>
        <w:left w:val="none" w:sz="0" w:space="0" w:color="auto"/>
        <w:bottom w:val="none" w:sz="0" w:space="0" w:color="auto"/>
        <w:right w:val="none" w:sz="0" w:space="0" w:color="auto"/>
      </w:divBdr>
    </w:div>
    <w:div w:id="1288243425">
      <w:bodyDiv w:val="1"/>
      <w:marLeft w:val="0"/>
      <w:marRight w:val="0"/>
      <w:marTop w:val="0"/>
      <w:marBottom w:val="0"/>
      <w:divBdr>
        <w:top w:val="none" w:sz="0" w:space="0" w:color="auto"/>
        <w:left w:val="none" w:sz="0" w:space="0" w:color="auto"/>
        <w:bottom w:val="none" w:sz="0" w:space="0" w:color="auto"/>
        <w:right w:val="none" w:sz="0" w:space="0" w:color="auto"/>
      </w:divBdr>
    </w:div>
    <w:div w:id="1290360924">
      <w:bodyDiv w:val="1"/>
      <w:marLeft w:val="0"/>
      <w:marRight w:val="0"/>
      <w:marTop w:val="0"/>
      <w:marBottom w:val="0"/>
      <w:divBdr>
        <w:top w:val="none" w:sz="0" w:space="0" w:color="auto"/>
        <w:left w:val="none" w:sz="0" w:space="0" w:color="auto"/>
        <w:bottom w:val="none" w:sz="0" w:space="0" w:color="auto"/>
        <w:right w:val="none" w:sz="0" w:space="0" w:color="auto"/>
      </w:divBdr>
    </w:div>
    <w:div w:id="1297566899">
      <w:bodyDiv w:val="1"/>
      <w:marLeft w:val="0"/>
      <w:marRight w:val="0"/>
      <w:marTop w:val="0"/>
      <w:marBottom w:val="0"/>
      <w:divBdr>
        <w:top w:val="none" w:sz="0" w:space="0" w:color="auto"/>
        <w:left w:val="none" w:sz="0" w:space="0" w:color="auto"/>
        <w:bottom w:val="none" w:sz="0" w:space="0" w:color="auto"/>
        <w:right w:val="none" w:sz="0" w:space="0" w:color="auto"/>
      </w:divBdr>
    </w:div>
    <w:div w:id="1298295531">
      <w:bodyDiv w:val="1"/>
      <w:marLeft w:val="0"/>
      <w:marRight w:val="0"/>
      <w:marTop w:val="0"/>
      <w:marBottom w:val="0"/>
      <w:divBdr>
        <w:top w:val="none" w:sz="0" w:space="0" w:color="auto"/>
        <w:left w:val="none" w:sz="0" w:space="0" w:color="auto"/>
        <w:bottom w:val="none" w:sz="0" w:space="0" w:color="auto"/>
        <w:right w:val="none" w:sz="0" w:space="0" w:color="auto"/>
      </w:divBdr>
    </w:div>
    <w:div w:id="1305042498">
      <w:bodyDiv w:val="1"/>
      <w:marLeft w:val="0"/>
      <w:marRight w:val="0"/>
      <w:marTop w:val="0"/>
      <w:marBottom w:val="0"/>
      <w:divBdr>
        <w:top w:val="none" w:sz="0" w:space="0" w:color="auto"/>
        <w:left w:val="none" w:sz="0" w:space="0" w:color="auto"/>
        <w:bottom w:val="none" w:sz="0" w:space="0" w:color="auto"/>
        <w:right w:val="none" w:sz="0" w:space="0" w:color="auto"/>
      </w:divBdr>
    </w:div>
    <w:div w:id="1352141510">
      <w:bodyDiv w:val="1"/>
      <w:marLeft w:val="0"/>
      <w:marRight w:val="0"/>
      <w:marTop w:val="0"/>
      <w:marBottom w:val="0"/>
      <w:divBdr>
        <w:top w:val="none" w:sz="0" w:space="0" w:color="auto"/>
        <w:left w:val="none" w:sz="0" w:space="0" w:color="auto"/>
        <w:bottom w:val="none" w:sz="0" w:space="0" w:color="auto"/>
        <w:right w:val="none" w:sz="0" w:space="0" w:color="auto"/>
      </w:divBdr>
    </w:div>
    <w:div w:id="1357853562">
      <w:bodyDiv w:val="1"/>
      <w:marLeft w:val="0"/>
      <w:marRight w:val="0"/>
      <w:marTop w:val="0"/>
      <w:marBottom w:val="0"/>
      <w:divBdr>
        <w:top w:val="none" w:sz="0" w:space="0" w:color="auto"/>
        <w:left w:val="none" w:sz="0" w:space="0" w:color="auto"/>
        <w:bottom w:val="none" w:sz="0" w:space="0" w:color="auto"/>
        <w:right w:val="none" w:sz="0" w:space="0" w:color="auto"/>
      </w:divBdr>
    </w:div>
    <w:div w:id="1389719407">
      <w:bodyDiv w:val="1"/>
      <w:marLeft w:val="0"/>
      <w:marRight w:val="0"/>
      <w:marTop w:val="0"/>
      <w:marBottom w:val="0"/>
      <w:divBdr>
        <w:top w:val="none" w:sz="0" w:space="0" w:color="auto"/>
        <w:left w:val="none" w:sz="0" w:space="0" w:color="auto"/>
        <w:bottom w:val="none" w:sz="0" w:space="0" w:color="auto"/>
        <w:right w:val="none" w:sz="0" w:space="0" w:color="auto"/>
      </w:divBdr>
    </w:div>
    <w:div w:id="1391074765">
      <w:bodyDiv w:val="1"/>
      <w:marLeft w:val="0"/>
      <w:marRight w:val="0"/>
      <w:marTop w:val="0"/>
      <w:marBottom w:val="0"/>
      <w:divBdr>
        <w:top w:val="none" w:sz="0" w:space="0" w:color="auto"/>
        <w:left w:val="none" w:sz="0" w:space="0" w:color="auto"/>
        <w:bottom w:val="none" w:sz="0" w:space="0" w:color="auto"/>
        <w:right w:val="none" w:sz="0" w:space="0" w:color="auto"/>
      </w:divBdr>
    </w:div>
    <w:div w:id="1393188794">
      <w:bodyDiv w:val="1"/>
      <w:marLeft w:val="0"/>
      <w:marRight w:val="0"/>
      <w:marTop w:val="0"/>
      <w:marBottom w:val="0"/>
      <w:divBdr>
        <w:top w:val="none" w:sz="0" w:space="0" w:color="auto"/>
        <w:left w:val="none" w:sz="0" w:space="0" w:color="auto"/>
        <w:bottom w:val="none" w:sz="0" w:space="0" w:color="auto"/>
        <w:right w:val="none" w:sz="0" w:space="0" w:color="auto"/>
      </w:divBdr>
    </w:div>
    <w:div w:id="1413815308">
      <w:bodyDiv w:val="1"/>
      <w:marLeft w:val="0"/>
      <w:marRight w:val="0"/>
      <w:marTop w:val="0"/>
      <w:marBottom w:val="0"/>
      <w:divBdr>
        <w:top w:val="none" w:sz="0" w:space="0" w:color="auto"/>
        <w:left w:val="none" w:sz="0" w:space="0" w:color="auto"/>
        <w:bottom w:val="none" w:sz="0" w:space="0" w:color="auto"/>
        <w:right w:val="none" w:sz="0" w:space="0" w:color="auto"/>
      </w:divBdr>
    </w:div>
    <w:div w:id="1435980088">
      <w:bodyDiv w:val="1"/>
      <w:marLeft w:val="0"/>
      <w:marRight w:val="0"/>
      <w:marTop w:val="0"/>
      <w:marBottom w:val="0"/>
      <w:divBdr>
        <w:top w:val="none" w:sz="0" w:space="0" w:color="auto"/>
        <w:left w:val="none" w:sz="0" w:space="0" w:color="auto"/>
        <w:bottom w:val="none" w:sz="0" w:space="0" w:color="auto"/>
        <w:right w:val="none" w:sz="0" w:space="0" w:color="auto"/>
      </w:divBdr>
    </w:div>
    <w:div w:id="1468353027">
      <w:bodyDiv w:val="1"/>
      <w:marLeft w:val="0"/>
      <w:marRight w:val="0"/>
      <w:marTop w:val="0"/>
      <w:marBottom w:val="0"/>
      <w:divBdr>
        <w:top w:val="none" w:sz="0" w:space="0" w:color="auto"/>
        <w:left w:val="none" w:sz="0" w:space="0" w:color="auto"/>
        <w:bottom w:val="none" w:sz="0" w:space="0" w:color="auto"/>
        <w:right w:val="none" w:sz="0" w:space="0" w:color="auto"/>
      </w:divBdr>
    </w:div>
    <w:div w:id="1492940799">
      <w:bodyDiv w:val="1"/>
      <w:marLeft w:val="0"/>
      <w:marRight w:val="0"/>
      <w:marTop w:val="0"/>
      <w:marBottom w:val="0"/>
      <w:divBdr>
        <w:top w:val="none" w:sz="0" w:space="0" w:color="auto"/>
        <w:left w:val="none" w:sz="0" w:space="0" w:color="auto"/>
        <w:bottom w:val="none" w:sz="0" w:space="0" w:color="auto"/>
        <w:right w:val="none" w:sz="0" w:space="0" w:color="auto"/>
      </w:divBdr>
    </w:div>
    <w:div w:id="1502115181">
      <w:bodyDiv w:val="1"/>
      <w:marLeft w:val="0"/>
      <w:marRight w:val="0"/>
      <w:marTop w:val="0"/>
      <w:marBottom w:val="0"/>
      <w:divBdr>
        <w:top w:val="none" w:sz="0" w:space="0" w:color="auto"/>
        <w:left w:val="none" w:sz="0" w:space="0" w:color="auto"/>
        <w:bottom w:val="none" w:sz="0" w:space="0" w:color="auto"/>
        <w:right w:val="none" w:sz="0" w:space="0" w:color="auto"/>
      </w:divBdr>
    </w:div>
    <w:div w:id="1521356623">
      <w:bodyDiv w:val="1"/>
      <w:marLeft w:val="0"/>
      <w:marRight w:val="0"/>
      <w:marTop w:val="0"/>
      <w:marBottom w:val="0"/>
      <w:divBdr>
        <w:top w:val="none" w:sz="0" w:space="0" w:color="auto"/>
        <w:left w:val="none" w:sz="0" w:space="0" w:color="auto"/>
        <w:bottom w:val="none" w:sz="0" w:space="0" w:color="auto"/>
        <w:right w:val="none" w:sz="0" w:space="0" w:color="auto"/>
      </w:divBdr>
    </w:div>
    <w:div w:id="1521818480">
      <w:bodyDiv w:val="1"/>
      <w:marLeft w:val="0"/>
      <w:marRight w:val="0"/>
      <w:marTop w:val="0"/>
      <w:marBottom w:val="0"/>
      <w:divBdr>
        <w:top w:val="none" w:sz="0" w:space="0" w:color="auto"/>
        <w:left w:val="none" w:sz="0" w:space="0" w:color="auto"/>
        <w:bottom w:val="none" w:sz="0" w:space="0" w:color="auto"/>
        <w:right w:val="none" w:sz="0" w:space="0" w:color="auto"/>
      </w:divBdr>
    </w:div>
    <w:div w:id="1532719823">
      <w:bodyDiv w:val="1"/>
      <w:marLeft w:val="0"/>
      <w:marRight w:val="0"/>
      <w:marTop w:val="0"/>
      <w:marBottom w:val="0"/>
      <w:divBdr>
        <w:top w:val="none" w:sz="0" w:space="0" w:color="auto"/>
        <w:left w:val="none" w:sz="0" w:space="0" w:color="auto"/>
        <w:bottom w:val="none" w:sz="0" w:space="0" w:color="auto"/>
        <w:right w:val="none" w:sz="0" w:space="0" w:color="auto"/>
      </w:divBdr>
    </w:div>
    <w:div w:id="1539975618">
      <w:bodyDiv w:val="1"/>
      <w:marLeft w:val="0"/>
      <w:marRight w:val="0"/>
      <w:marTop w:val="0"/>
      <w:marBottom w:val="0"/>
      <w:divBdr>
        <w:top w:val="none" w:sz="0" w:space="0" w:color="auto"/>
        <w:left w:val="none" w:sz="0" w:space="0" w:color="auto"/>
        <w:bottom w:val="none" w:sz="0" w:space="0" w:color="auto"/>
        <w:right w:val="none" w:sz="0" w:space="0" w:color="auto"/>
      </w:divBdr>
    </w:div>
    <w:div w:id="1542286947">
      <w:bodyDiv w:val="1"/>
      <w:marLeft w:val="0"/>
      <w:marRight w:val="0"/>
      <w:marTop w:val="0"/>
      <w:marBottom w:val="0"/>
      <w:divBdr>
        <w:top w:val="none" w:sz="0" w:space="0" w:color="auto"/>
        <w:left w:val="none" w:sz="0" w:space="0" w:color="auto"/>
        <w:bottom w:val="none" w:sz="0" w:space="0" w:color="auto"/>
        <w:right w:val="none" w:sz="0" w:space="0" w:color="auto"/>
      </w:divBdr>
    </w:div>
    <w:div w:id="1547184584">
      <w:bodyDiv w:val="1"/>
      <w:marLeft w:val="0"/>
      <w:marRight w:val="0"/>
      <w:marTop w:val="0"/>
      <w:marBottom w:val="0"/>
      <w:divBdr>
        <w:top w:val="none" w:sz="0" w:space="0" w:color="auto"/>
        <w:left w:val="none" w:sz="0" w:space="0" w:color="auto"/>
        <w:bottom w:val="none" w:sz="0" w:space="0" w:color="auto"/>
        <w:right w:val="none" w:sz="0" w:space="0" w:color="auto"/>
      </w:divBdr>
    </w:div>
    <w:div w:id="1551305502">
      <w:bodyDiv w:val="1"/>
      <w:marLeft w:val="0"/>
      <w:marRight w:val="0"/>
      <w:marTop w:val="0"/>
      <w:marBottom w:val="0"/>
      <w:divBdr>
        <w:top w:val="none" w:sz="0" w:space="0" w:color="auto"/>
        <w:left w:val="none" w:sz="0" w:space="0" w:color="auto"/>
        <w:bottom w:val="none" w:sz="0" w:space="0" w:color="auto"/>
        <w:right w:val="none" w:sz="0" w:space="0" w:color="auto"/>
      </w:divBdr>
      <w:divsChild>
        <w:div w:id="646201054">
          <w:marLeft w:val="0"/>
          <w:marRight w:val="0"/>
          <w:marTop w:val="0"/>
          <w:marBottom w:val="0"/>
          <w:divBdr>
            <w:top w:val="none" w:sz="0" w:space="0" w:color="auto"/>
            <w:left w:val="none" w:sz="0" w:space="0" w:color="auto"/>
            <w:bottom w:val="none" w:sz="0" w:space="0" w:color="auto"/>
            <w:right w:val="none" w:sz="0" w:space="0" w:color="auto"/>
          </w:divBdr>
        </w:div>
      </w:divsChild>
    </w:div>
    <w:div w:id="1575778737">
      <w:bodyDiv w:val="1"/>
      <w:marLeft w:val="0"/>
      <w:marRight w:val="0"/>
      <w:marTop w:val="0"/>
      <w:marBottom w:val="0"/>
      <w:divBdr>
        <w:top w:val="none" w:sz="0" w:space="0" w:color="auto"/>
        <w:left w:val="none" w:sz="0" w:space="0" w:color="auto"/>
        <w:bottom w:val="none" w:sz="0" w:space="0" w:color="auto"/>
        <w:right w:val="none" w:sz="0" w:space="0" w:color="auto"/>
      </w:divBdr>
    </w:div>
    <w:div w:id="1579899290">
      <w:bodyDiv w:val="1"/>
      <w:marLeft w:val="0"/>
      <w:marRight w:val="0"/>
      <w:marTop w:val="0"/>
      <w:marBottom w:val="0"/>
      <w:divBdr>
        <w:top w:val="none" w:sz="0" w:space="0" w:color="auto"/>
        <w:left w:val="none" w:sz="0" w:space="0" w:color="auto"/>
        <w:bottom w:val="none" w:sz="0" w:space="0" w:color="auto"/>
        <w:right w:val="none" w:sz="0" w:space="0" w:color="auto"/>
      </w:divBdr>
    </w:div>
    <w:div w:id="1592197939">
      <w:bodyDiv w:val="1"/>
      <w:marLeft w:val="0"/>
      <w:marRight w:val="0"/>
      <w:marTop w:val="0"/>
      <w:marBottom w:val="0"/>
      <w:divBdr>
        <w:top w:val="none" w:sz="0" w:space="0" w:color="auto"/>
        <w:left w:val="none" w:sz="0" w:space="0" w:color="auto"/>
        <w:bottom w:val="none" w:sz="0" w:space="0" w:color="auto"/>
        <w:right w:val="none" w:sz="0" w:space="0" w:color="auto"/>
      </w:divBdr>
    </w:div>
    <w:div w:id="1620601609">
      <w:bodyDiv w:val="1"/>
      <w:marLeft w:val="0"/>
      <w:marRight w:val="0"/>
      <w:marTop w:val="0"/>
      <w:marBottom w:val="0"/>
      <w:divBdr>
        <w:top w:val="none" w:sz="0" w:space="0" w:color="auto"/>
        <w:left w:val="none" w:sz="0" w:space="0" w:color="auto"/>
        <w:bottom w:val="none" w:sz="0" w:space="0" w:color="auto"/>
        <w:right w:val="none" w:sz="0" w:space="0" w:color="auto"/>
      </w:divBdr>
    </w:div>
    <w:div w:id="1648246794">
      <w:bodyDiv w:val="1"/>
      <w:marLeft w:val="0"/>
      <w:marRight w:val="0"/>
      <w:marTop w:val="0"/>
      <w:marBottom w:val="0"/>
      <w:divBdr>
        <w:top w:val="none" w:sz="0" w:space="0" w:color="auto"/>
        <w:left w:val="none" w:sz="0" w:space="0" w:color="auto"/>
        <w:bottom w:val="none" w:sz="0" w:space="0" w:color="auto"/>
        <w:right w:val="none" w:sz="0" w:space="0" w:color="auto"/>
      </w:divBdr>
    </w:div>
    <w:div w:id="1648391766">
      <w:bodyDiv w:val="1"/>
      <w:marLeft w:val="0"/>
      <w:marRight w:val="0"/>
      <w:marTop w:val="0"/>
      <w:marBottom w:val="0"/>
      <w:divBdr>
        <w:top w:val="none" w:sz="0" w:space="0" w:color="auto"/>
        <w:left w:val="none" w:sz="0" w:space="0" w:color="auto"/>
        <w:bottom w:val="none" w:sz="0" w:space="0" w:color="auto"/>
        <w:right w:val="none" w:sz="0" w:space="0" w:color="auto"/>
      </w:divBdr>
    </w:div>
    <w:div w:id="1655913903">
      <w:bodyDiv w:val="1"/>
      <w:marLeft w:val="0"/>
      <w:marRight w:val="0"/>
      <w:marTop w:val="0"/>
      <w:marBottom w:val="0"/>
      <w:divBdr>
        <w:top w:val="none" w:sz="0" w:space="0" w:color="auto"/>
        <w:left w:val="none" w:sz="0" w:space="0" w:color="auto"/>
        <w:bottom w:val="none" w:sz="0" w:space="0" w:color="auto"/>
        <w:right w:val="none" w:sz="0" w:space="0" w:color="auto"/>
      </w:divBdr>
    </w:div>
    <w:div w:id="1686243671">
      <w:bodyDiv w:val="1"/>
      <w:marLeft w:val="0"/>
      <w:marRight w:val="0"/>
      <w:marTop w:val="0"/>
      <w:marBottom w:val="0"/>
      <w:divBdr>
        <w:top w:val="none" w:sz="0" w:space="0" w:color="auto"/>
        <w:left w:val="none" w:sz="0" w:space="0" w:color="auto"/>
        <w:bottom w:val="none" w:sz="0" w:space="0" w:color="auto"/>
        <w:right w:val="none" w:sz="0" w:space="0" w:color="auto"/>
      </w:divBdr>
    </w:div>
    <w:div w:id="1692219995">
      <w:bodyDiv w:val="1"/>
      <w:marLeft w:val="0"/>
      <w:marRight w:val="0"/>
      <w:marTop w:val="0"/>
      <w:marBottom w:val="0"/>
      <w:divBdr>
        <w:top w:val="none" w:sz="0" w:space="0" w:color="auto"/>
        <w:left w:val="none" w:sz="0" w:space="0" w:color="auto"/>
        <w:bottom w:val="none" w:sz="0" w:space="0" w:color="auto"/>
        <w:right w:val="none" w:sz="0" w:space="0" w:color="auto"/>
      </w:divBdr>
    </w:div>
    <w:div w:id="1694309728">
      <w:bodyDiv w:val="1"/>
      <w:marLeft w:val="0"/>
      <w:marRight w:val="0"/>
      <w:marTop w:val="0"/>
      <w:marBottom w:val="0"/>
      <w:divBdr>
        <w:top w:val="none" w:sz="0" w:space="0" w:color="auto"/>
        <w:left w:val="none" w:sz="0" w:space="0" w:color="auto"/>
        <w:bottom w:val="none" w:sz="0" w:space="0" w:color="auto"/>
        <w:right w:val="none" w:sz="0" w:space="0" w:color="auto"/>
      </w:divBdr>
    </w:div>
    <w:div w:id="1696812500">
      <w:bodyDiv w:val="1"/>
      <w:marLeft w:val="0"/>
      <w:marRight w:val="0"/>
      <w:marTop w:val="0"/>
      <w:marBottom w:val="0"/>
      <w:divBdr>
        <w:top w:val="none" w:sz="0" w:space="0" w:color="auto"/>
        <w:left w:val="none" w:sz="0" w:space="0" w:color="auto"/>
        <w:bottom w:val="none" w:sz="0" w:space="0" w:color="auto"/>
        <w:right w:val="none" w:sz="0" w:space="0" w:color="auto"/>
      </w:divBdr>
    </w:div>
    <w:div w:id="1703289260">
      <w:bodyDiv w:val="1"/>
      <w:marLeft w:val="0"/>
      <w:marRight w:val="0"/>
      <w:marTop w:val="0"/>
      <w:marBottom w:val="0"/>
      <w:divBdr>
        <w:top w:val="none" w:sz="0" w:space="0" w:color="auto"/>
        <w:left w:val="none" w:sz="0" w:space="0" w:color="auto"/>
        <w:bottom w:val="none" w:sz="0" w:space="0" w:color="auto"/>
        <w:right w:val="none" w:sz="0" w:space="0" w:color="auto"/>
      </w:divBdr>
    </w:div>
    <w:div w:id="1704163723">
      <w:bodyDiv w:val="1"/>
      <w:marLeft w:val="0"/>
      <w:marRight w:val="0"/>
      <w:marTop w:val="0"/>
      <w:marBottom w:val="0"/>
      <w:divBdr>
        <w:top w:val="none" w:sz="0" w:space="0" w:color="auto"/>
        <w:left w:val="none" w:sz="0" w:space="0" w:color="auto"/>
        <w:bottom w:val="none" w:sz="0" w:space="0" w:color="auto"/>
        <w:right w:val="none" w:sz="0" w:space="0" w:color="auto"/>
      </w:divBdr>
    </w:div>
    <w:div w:id="1715541900">
      <w:bodyDiv w:val="1"/>
      <w:marLeft w:val="0"/>
      <w:marRight w:val="0"/>
      <w:marTop w:val="0"/>
      <w:marBottom w:val="0"/>
      <w:divBdr>
        <w:top w:val="none" w:sz="0" w:space="0" w:color="auto"/>
        <w:left w:val="none" w:sz="0" w:space="0" w:color="auto"/>
        <w:bottom w:val="none" w:sz="0" w:space="0" w:color="auto"/>
        <w:right w:val="none" w:sz="0" w:space="0" w:color="auto"/>
      </w:divBdr>
      <w:divsChild>
        <w:div w:id="1838567482">
          <w:marLeft w:val="0"/>
          <w:marRight w:val="0"/>
          <w:marTop w:val="0"/>
          <w:marBottom w:val="0"/>
          <w:divBdr>
            <w:top w:val="none" w:sz="0" w:space="0" w:color="auto"/>
            <w:left w:val="none" w:sz="0" w:space="0" w:color="auto"/>
            <w:bottom w:val="none" w:sz="0" w:space="0" w:color="auto"/>
            <w:right w:val="none" w:sz="0" w:space="0" w:color="auto"/>
          </w:divBdr>
        </w:div>
      </w:divsChild>
    </w:div>
    <w:div w:id="1716126622">
      <w:bodyDiv w:val="1"/>
      <w:marLeft w:val="0"/>
      <w:marRight w:val="0"/>
      <w:marTop w:val="0"/>
      <w:marBottom w:val="0"/>
      <w:divBdr>
        <w:top w:val="none" w:sz="0" w:space="0" w:color="auto"/>
        <w:left w:val="none" w:sz="0" w:space="0" w:color="auto"/>
        <w:bottom w:val="none" w:sz="0" w:space="0" w:color="auto"/>
        <w:right w:val="none" w:sz="0" w:space="0" w:color="auto"/>
      </w:divBdr>
    </w:div>
    <w:div w:id="1718429955">
      <w:bodyDiv w:val="1"/>
      <w:marLeft w:val="0"/>
      <w:marRight w:val="0"/>
      <w:marTop w:val="0"/>
      <w:marBottom w:val="0"/>
      <w:divBdr>
        <w:top w:val="none" w:sz="0" w:space="0" w:color="auto"/>
        <w:left w:val="none" w:sz="0" w:space="0" w:color="auto"/>
        <w:bottom w:val="none" w:sz="0" w:space="0" w:color="auto"/>
        <w:right w:val="none" w:sz="0" w:space="0" w:color="auto"/>
      </w:divBdr>
    </w:div>
    <w:div w:id="1722750846">
      <w:bodyDiv w:val="1"/>
      <w:marLeft w:val="0"/>
      <w:marRight w:val="0"/>
      <w:marTop w:val="0"/>
      <w:marBottom w:val="0"/>
      <w:divBdr>
        <w:top w:val="none" w:sz="0" w:space="0" w:color="auto"/>
        <w:left w:val="none" w:sz="0" w:space="0" w:color="auto"/>
        <w:bottom w:val="none" w:sz="0" w:space="0" w:color="auto"/>
        <w:right w:val="none" w:sz="0" w:space="0" w:color="auto"/>
      </w:divBdr>
    </w:div>
    <w:div w:id="1728721445">
      <w:bodyDiv w:val="1"/>
      <w:marLeft w:val="0"/>
      <w:marRight w:val="0"/>
      <w:marTop w:val="0"/>
      <w:marBottom w:val="0"/>
      <w:divBdr>
        <w:top w:val="none" w:sz="0" w:space="0" w:color="auto"/>
        <w:left w:val="none" w:sz="0" w:space="0" w:color="auto"/>
        <w:bottom w:val="none" w:sz="0" w:space="0" w:color="auto"/>
        <w:right w:val="none" w:sz="0" w:space="0" w:color="auto"/>
      </w:divBdr>
    </w:div>
    <w:div w:id="1730153524">
      <w:bodyDiv w:val="1"/>
      <w:marLeft w:val="0"/>
      <w:marRight w:val="0"/>
      <w:marTop w:val="0"/>
      <w:marBottom w:val="0"/>
      <w:divBdr>
        <w:top w:val="none" w:sz="0" w:space="0" w:color="auto"/>
        <w:left w:val="none" w:sz="0" w:space="0" w:color="auto"/>
        <w:bottom w:val="none" w:sz="0" w:space="0" w:color="auto"/>
        <w:right w:val="none" w:sz="0" w:space="0" w:color="auto"/>
      </w:divBdr>
    </w:div>
    <w:div w:id="1734163098">
      <w:bodyDiv w:val="1"/>
      <w:marLeft w:val="0"/>
      <w:marRight w:val="0"/>
      <w:marTop w:val="0"/>
      <w:marBottom w:val="0"/>
      <w:divBdr>
        <w:top w:val="none" w:sz="0" w:space="0" w:color="auto"/>
        <w:left w:val="none" w:sz="0" w:space="0" w:color="auto"/>
        <w:bottom w:val="none" w:sz="0" w:space="0" w:color="auto"/>
        <w:right w:val="none" w:sz="0" w:space="0" w:color="auto"/>
      </w:divBdr>
    </w:div>
    <w:div w:id="1736394992">
      <w:bodyDiv w:val="1"/>
      <w:marLeft w:val="0"/>
      <w:marRight w:val="0"/>
      <w:marTop w:val="0"/>
      <w:marBottom w:val="0"/>
      <w:divBdr>
        <w:top w:val="none" w:sz="0" w:space="0" w:color="auto"/>
        <w:left w:val="none" w:sz="0" w:space="0" w:color="auto"/>
        <w:bottom w:val="none" w:sz="0" w:space="0" w:color="auto"/>
        <w:right w:val="none" w:sz="0" w:space="0" w:color="auto"/>
      </w:divBdr>
    </w:div>
    <w:div w:id="1748502712">
      <w:bodyDiv w:val="1"/>
      <w:marLeft w:val="0"/>
      <w:marRight w:val="0"/>
      <w:marTop w:val="0"/>
      <w:marBottom w:val="0"/>
      <w:divBdr>
        <w:top w:val="none" w:sz="0" w:space="0" w:color="auto"/>
        <w:left w:val="none" w:sz="0" w:space="0" w:color="auto"/>
        <w:bottom w:val="none" w:sz="0" w:space="0" w:color="auto"/>
        <w:right w:val="none" w:sz="0" w:space="0" w:color="auto"/>
      </w:divBdr>
    </w:div>
    <w:div w:id="1774545994">
      <w:bodyDiv w:val="1"/>
      <w:marLeft w:val="0"/>
      <w:marRight w:val="0"/>
      <w:marTop w:val="0"/>
      <w:marBottom w:val="0"/>
      <w:divBdr>
        <w:top w:val="none" w:sz="0" w:space="0" w:color="auto"/>
        <w:left w:val="none" w:sz="0" w:space="0" w:color="auto"/>
        <w:bottom w:val="none" w:sz="0" w:space="0" w:color="auto"/>
        <w:right w:val="none" w:sz="0" w:space="0" w:color="auto"/>
      </w:divBdr>
    </w:div>
    <w:div w:id="1782190254">
      <w:bodyDiv w:val="1"/>
      <w:marLeft w:val="0"/>
      <w:marRight w:val="0"/>
      <w:marTop w:val="0"/>
      <w:marBottom w:val="0"/>
      <w:divBdr>
        <w:top w:val="none" w:sz="0" w:space="0" w:color="auto"/>
        <w:left w:val="none" w:sz="0" w:space="0" w:color="auto"/>
        <w:bottom w:val="none" w:sz="0" w:space="0" w:color="auto"/>
        <w:right w:val="none" w:sz="0" w:space="0" w:color="auto"/>
      </w:divBdr>
    </w:div>
    <w:div w:id="1818690385">
      <w:bodyDiv w:val="1"/>
      <w:marLeft w:val="0"/>
      <w:marRight w:val="0"/>
      <w:marTop w:val="0"/>
      <w:marBottom w:val="0"/>
      <w:divBdr>
        <w:top w:val="none" w:sz="0" w:space="0" w:color="auto"/>
        <w:left w:val="none" w:sz="0" w:space="0" w:color="auto"/>
        <w:bottom w:val="none" w:sz="0" w:space="0" w:color="auto"/>
        <w:right w:val="none" w:sz="0" w:space="0" w:color="auto"/>
      </w:divBdr>
    </w:div>
    <w:div w:id="1838769913">
      <w:bodyDiv w:val="1"/>
      <w:marLeft w:val="0"/>
      <w:marRight w:val="0"/>
      <w:marTop w:val="0"/>
      <w:marBottom w:val="0"/>
      <w:divBdr>
        <w:top w:val="none" w:sz="0" w:space="0" w:color="auto"/>
        <w:left w:val="none" w:sz="0" w:space="0" w:color="auto"/>
        <w:bottom w:val="none" w:sz="0" w:space="0" w:color="auto"/>
        <w:right w:val="none" w:sz="0" w:space="0" w:color="auto"/>
      </w:divBdr>
    </w:div>
    <w:div w:id="1844197343">
      <w:bodyDiv w:val="1"/>
      <w:marLeft w:val="0"/>
      <w:marRight w:val="0"/>
      <w:marTop w:val="0"/>
      <w:marBottom w:val="0"/>
      <w:divBdr>
        <w:top w:val="none" w:sz="0" w:space="0" w:color="auto"/>
        <w:left w:val="none" w:sz="0" w:space="0" w:color="auto"/>
        <w:bottom w:val="none" w:sz="0" w:space="0" w:color="auto"/>
        <w:right w:val="none" w:sz="0" w:space="0" w:color="auto"/>
      </w:divBdr>
    </w:div>
    <w:div w:id="1844197427">
      <w:bodyDiv w:val="1"/>
      <w:marLeft w:val="0"/>
      <w:marRight w:val="0"/>
      <w:marTop w:val="0"/>
      <w:marBottom w:val="0"/>
      <w:divBdr>
        <w:top w:val="none" w:sz="0" w:space="0" w:color="auto"/>
        <w:left w:val="none" w:sz="0" w:space="0" w:color="auto"/>
        <w:bottom w:val="none" w:sz="0" w:space="0" w:color="auto"/>
        <w:right w:val="none" w:sz="0" w:space="0" w:color="auto"/>
      </w:divBdr>
    </w:div>
    <w:div w:id="1849826413">
      <w:bodyDiv w:val="1"/>
      <w:marLeft w:val="0"/>
      <w:marRight w:val="0"/>
      <w:marTop w:val="0"/>
      <w:marBottom w:val="0"/>
      <w:divBdr>
        <w:top w:val="none" w:sz="0" w:space="0" w:color="auto"/>
        <w:left w:val="none" w:sz="0" w:space="0" w:color="auto"/>
        <w:bottom w:val="none" w:sz="0" w:space="0" w:color="auto"/>
        <w:right w:val="none" w:sz="0" w:space="0" w:color="auto"/>
      </w:divBdr>
    </w:div>
    <w:div w:id="1864243268">
      <w:bodyDiv w:val="1"/>
      <w:marLeft w:val="0"/>
      <w:marRight w:val="0"/>
      <w:marTop w:val="0"/>
      <w:marBottom w:val="0"/>
      <w:divBdr>
        <w:top w:val="none" w:sz="0" w:space="0" w:color="auto"/>
        <w:left w:val="none" w:sz="0" w:space="0" w:color="auto"/>
        <w:bottom w:val="none" w:sz="0" w:space="0" w:color="auto"/>
        <w:right w:val="none" w:sz="0" w:space="0" w:color="auto"/>
      </w:divBdr>
    </w:div>
    <w:div w:id="1868181858">
      <w:bodyDiv w:val="1"/>
      <w:marLeft w:val="0"/>
      <w:marRight w:val="0"/>
      <w:marTop w:val="0"/>
      <w:marBottom w:val="0"/>
      <w:divBdr>
        <w:top w:val="none" w:sz="0" w:space="0" w:color="auto"/>
        <w:left w:val="none" w:sz="0" w:space="0" w:color="auto"/>
        <w:bottom w:val="none" w:sz="0" w:space="0" w:color="auto"/>
        <w:right w:val="none" w:sz="0" w:space="0" w:color="auto"/>
      </w:divBdr>
    </w:div>
    <w:div w:id="1889023345">
      <w:bodyDiv w:val="1"/>
      <w:marLeft w:val="0"/>
      <w:marRight w:val="0"/>
      <w:marTop w:val="0"/>
      <w:marBottom w:val="0"/>
      <w:divBdr>
        <w:top w:val="none" w:sz="0" w:space="0" w:color="auto"/>
        <w:left w:val="none" w:sz="0" w:space="0" w:color="auto"/>
        <w:bottom w:val="none" w:sz="0" w:space="0" w:color="auto"/>
        <w:right w:val="none" w:sz="0" w:space="0" w:color="auto"/>
      </w:divBdr>
    </w:div>
    <w:div w:id="1892421645">
      <w:bodyDiv w:val="1"/>
      <w:marLeft w:val="0"/>
      <w:marRight w:val="0"/>
      <w:marTop w:val="0"/>
      <w:marBottom w:val="0"/>
      <w:divBdr>
        <w:top w:val="none" w:sz="0" w:space="0" w:color="auto"/>
        <w:left w:val="none" w:sz="0" w:space="0" w:color="auto"/>
        <w:bottom w:val="none" w:sz="0" w:space="0" w:color="auto"/>
        <w:right w:val="none" w:sz="0" w:space="0" w:color="auto"/>
      </w:divBdr>
    </w:div>
    <w:div w:id="1904681446">
      <w:bodyDiv w:val="1"/>
      <w:marLeft w:val="0"/>
      <w:marRight w:val="0"/>
      <w:marTop w:val="0"/>
      <w:marBottom w:val="0"/>
      <w:divBdr>
        <w:top w:val="none" w:sz="0" w:space="0" w:color="auto"/>
        <w:left w:val="none" w:sz="0" w:space="0" w:color="auto"/>
        <w:bottom w:val="none" w:sz="0" w:space="0" w:color="auto"/>
        <w:right w:val="none" w:sz="0" w:space="0" w:color="auto"/>
      </w:divBdr>
    </w:div>
    <w:div w:id="1932351335">
      <w:bodyDiv w:val="1"/>
      <w:marLeft w:val="0"/>
      <w:marRight w:val="0"/>
      <w:marTop w:val="0"/>
      <w:marBottom w:val="0"/>
      <w:divBdr>
        <w:top w:val="none" w:sz="0" w:space="0" w:color="auto"/>
        <w:left w:val="none" w:sz="0" w:space="0" w:color="auto"/>
        <w:bottom w:val="none" w:sz="0" w:space="0" w:color="auto"/>
        <w:right w:val="none" w:sz="0" w:space="0" w:color="auto"/>
      </w:divBdr>
    </w:div>
    <w:div w:id="1956133272">
      <w:bodyDiv w:val="1"/>
      <w:marLeft w:val="0"/>
      <w:marRight w:val="0"/>
      <w:marTop w:val="0"/>
      <w:marBottom w:val="0"/>
      <w:divBdr>
        <w:top w:val="none" w:sz="0" w:space="0" w:color="auto"/>
        <w:left w:val="none" w:sz="0" w:space="0" w:color="auto"/>
        <w:bottom w:val="none" w:sz="0" w:space="0" w:color="auto"/>
        <w:right w:val="none" w:sz="0" w:space="0" w:color="auto"/>
      </w:divBdr>
    </w:div>
    <w:div w:id="1957322285">
      <w:bodyDiv w:val="1"/>
      <w:marLeft w:val="0"/>
      <w:marRight w:val="0"/>
      <w:marTop w:val="0"/>
      <w:marBottom w:val="0"/>
      <w:divBdr>
        <w:top w:val="none" w:sz="0" w:space="0" w:color="auto"/>
        <w:left w:val="none" w:sz="0" w:space="0" w:color="auto"/>
        <w:bottom w:val="none" w:sz="0" w:space="0" w:color="auto"/>
        <w:right w:val="none" w:sz="0" w:space="0" w:color="auto"/>
      </w:divBdr>
    </w:div>
    <w:div w:id="1961103402">
      <w:bodyDiv w:val="1"/>
      <w:marLeft w:val="0"/>
      <w:marRight w:val="0"/>
      <w:marTop w:val="0"/>
      <w:marBottom w:val="0"/>
      <w:divBdr>
        <w:top w:val="none" w:sz="0" w:space="0" w:color="auto"/>
        <w:left w:val="none" w:sz="0" w:space="0" w:color="auto"/>
        <w:bottom w:val="none" w:sz="0" w:space="0" w:color="auto"/>
        <w:right w:val="none" w:sz="0" w:space="0" w:color="auto"/>
      </w:divBdr>
    </w:div>
    <w:div w:id="1962108438">
      <w:bodyDiv w:val="1"/>
      <w:marLeft w:val="0"/>
      <w:marRight w:val="0"/>
      <w:marTop w:val="0"/>
      <w:marBottom w:val="0"/>
      <w:divBdr>
        <w:top w:val="none" w:sz="0" w:space="0" w:color="auto"/>
        <w:left w:val="none" w:sz="0" w:space="0" w:color="auto"/>
        <w:bottom w:val="none" w:sz="0" w:space="0" w:color="auto"/>
        <w:right w:val="none" w:sz="0" w:space="0" w:color="auto"/>
      </w:divBdr>
    </w:div>
    <w:div w:id="1969166619">
      <w:bodyDiv w:val="1"/>
      <w:marLeft w:val="0"/>
      <w:marRight w:val="0"/>
      <w:marTop w:val="0"/>
      <w:marBottom w:val="0"/>
      <w:divBdr>
        <w:top w:val="none" w:sz="0" w:space="0" w:color="auto"/>
        <w:left w:val="none" w:sz="0" w:space="0" w:color="auto"/>
        <w:bottom w:val="none" w:sz="0" w:space="0" w:color="auto"/>
        <w:right w:val="none" w:sz="0" w:space="0" w:color="auto"/>
      </w:divBdr>
    </w:div>
    <w:div w:id="1990790887">
      <w:bodyDiv w:val="1"/>
      <w:marLeft w:val="0"/>
      <w:marRight w:val="0"/>
      <w:marTop w:val="0"/>
      <w:marBottom w:val="0"/>
      <w:divBdr>
        <w:top w:val="none" w:sz="0" w:space="0" w:color="auto"/>
        <w:left w:val="none" w:sz="0" w:space="0" w:color="auto"/>
        <w:bottom w:val="none" w:sz="0" w:space="0" w:color="auto"/>
        <w:right w:val="none" w:sz="0" w:space="0" w:color="auto"/>
      </w:divBdr>
    </w:div>
    <w:div w:id="2008512010">
      <w:bodyDiv w:val="1"/>
      <w:marLeft w:val="0"/>
      <w:marRight w:val="0"/>
      <w:marTop w:val="0"/>
      <w:marBottom w:val="0"/>
      <w:divBdr>
        <w:top w:val="none" w:sz="0" w:space="0" w:color="auto"/>
        <w:left w:val="none" w:sz="0" w:space="0" w:color="auto"/>
        <w:bottom w:val="none" w:sz="0" w:space="0" w:color="auto"/>
        <w:right w:val="none" w:sz="0" w:space="0" w:color="auto"/>
      </w:divBdr>
    </w:div>
    <w:div w:id="2009482847">
      <w:bodyDiv w:val="1"/>
      <w:marLeft w:val="0"/>
      <w:marRight w:val="0"/>
      <w:marTop w:val="0"/>
      <w:marBottom w:val="0"/>
      <w:divBdr>
        <w:top w:val="none" w:sz="0" w:space="0" w:color="auto"/>
        <w:left w:val="none" w:sz="0" w:space="0" w:color="auto"/>
        <w:bottom w:val="none" w:sz="0" w:space="0" w:color="auto"/>
        <w:right w:val="none" w:sz="0" w:space="0" w:color="auto"/>
      </w:divBdr>
    </w:div>
    <w:div w:id="2026247229">
      <w:bodyDiv w:val="1"/>
      <w:marLeft w:val="0"/>
      <w:marRight w:val="0"/>
      <w:marTop w:val="0"/>
      <w:marBottom w:val="0"/>
      <w:divBdr>
        <w:top w:val="none" w:sz="0" w:space="0" w:color="auto"/>
        <w:left w:val="none" w:sz="0" w:space="0" w:color="auto"/>
        <w:bottom w:val="none" w:sz="0" w:space="0" w:color="auto"/>
        <w:right w:val="none" w:sz="0" w:space="0" w:color="auto"/>
      </w:divBdr>
      <w:divsChild>
        <w:div w:id="20672506">
          <w:marLeft w:val="0"/>
          <w:marRight w:val="0"/>
          <w:marTop w:val="0"/>
          <w:marBottom w:val="0"/>
          <w:divBdr>
            <w:top w:val="none" w:sz="0" w:space="0" w:color="auto"/>
            <w:left w:val="none" w:sz="0" w:space="0" w:color="auto"/>
            <w:bottom w:val="none" w:sz="0" w:space="0" w:color="auto"/>
            <w:right w:val="none" w:sz="0" w:space="0" w:color="auto"/>
          </w:divBdr>
        </w:div>
      </w:divsChild>
    </w:div>
    <w:div w:id="2039499562">
      <w:bodyDiv w:val="1"/>
      <w:marLeft w:val="0"/>
      <w:marRight w:val="0"/>
      <w:marTop w:val="0"/>
      <w:marBottom w:val="0"/>
      <w:divBdr>
        <w:top w:val="none" w:sz="0" w:space="0" w:color="auto"/>
        <w:left w:val="none" w:sz="0" w:space="0" w:color="auto"/>
        <w:bottom w:val="none" w:sz="0" w:space="0" w:color="auto"/>
        <w:right w:val="none" w:sz="0" w:space="0" w:color="auto"/>
      </w:divBdr>
    </w:div>
    <w:div w:id="2045591937">
      <w:bodyDiv w:val="1"/>
      <w:marLeft w:val="0"/>
      <w:marRight w:val="0"/>
      <w:marTop w:val="0"/>
      <w:marBottom w:val="0"/>
      <w:divBdr>
        <w:top w:val="none" w:sz="0" w:space="0" w:color="auto"/>
        <w:left w:val="none" w:sz="0" w:space="0" w:color="auto"/>
        <w:bottom w:val="none" w:sz="0" w:space="0" w:color="auto"/>
        <w:right w:val="none" w:sz="0" w:space="0" w:color="auto"/>
      </w:divBdr>
    </w:div>
    <w:div w:id="2061899087">
      <w:bodyDiv w:val="1"/>
      <w:marLeft w:val="0"/>
      <w:marRight w:val="0"/>
      <w:marTop w:val="0"/>
      <w:marBottom w:val="0"/>
      <w:divBdr>
        <w:top w:val="none" w:sz="0" w:space="0" w:color="auto"/>
        <w:left w:val="none" w:sz="0" w:space="0" w:color="auto"/>
        <w:bottom w:val="none" w:sz="0" w:space="0" w:color="auto"/>
        <w:right w:val="none" w:sz="0" w:space="0" w:color="auto"/>
      </w:divBdr>
    </w:div>
    <w:div w:id="2070759021">
      <w:bodyDiv w:val="1"/>
      <w:marLeft w:val="0"/>
      <w:marRight w:val="0"/>
      <w:marTop w:val="0"/>
      <w:marBottom w:val="0"/>
      <w:divBdr>
        <w:top w:val="none" w:sz="0" w:space="0" w:color="auto"/>
        <w:left w:val="none" w:sz="0" w:space="0" w:color="auto"/>
        <w:bottom w:val="none" w:sz="0" w:space="0" w:color="auto"/>
        <w:right w:val="none" w:sz="0" w:space="0" w:color="auto"/>
      </w:divBdr>
    </w:div>
    <w:div w:id="2075352242">
      <w:bodyDiv w:val="1"/>
      <w:marLeft w:val="0"/>
      <w:marRight w:val="0"/>
      <w:marTop w:val="0"/>
      <w:marBottom w:val="0"/>
      <w:divBdr>
        <w:top w:val="none" w:sz="0" w:space="0" w:color="auto"/>
        <w:left w:val="none" w:sz="0" w:space="0" w:color="auto"/>
        <w:bottom w:val="none" w:sz="0" w:space="0" w:color="auto"/>
        <w:right w:val="none" w:sz="0" w:space="0" w:color="auto"/>
      </w:divBdr>
    </w:div>
    <w:div w:id="2118018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hbr.org/sponsored/2024/08/despite-anti-esg-attacks-new-study-shows-investors-see-climate-as-critical-to-business-performance" TargetMode="External"/><Relationship Id="rId3" Type="http://schemas.openxmlformats.org/officeDocument/2006/relationships/styles" Target="styles.xml"/><Relationship Id="rId21" Type="http://schemas.openxmlformats.org/officeDocument/2006/relationships/hyperlink" Target="https://www.citigroup.com/global/insights/the-state-of-debate-on-esg-in-japan"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32996/jefas.2024.6.3.4" TargetMode="External"/><Relationship Id="rId2" Type="http://schemas.openxmlformats.org/officeDocument/2006/relationships/numbering" Target="numbering.xml"/><Relationship Id="rId16" Type="http://schemas.openxmlformats.org/officeDocument/2006/relationships/hyperlink" Target="https://kpmg.com/us/en/articles/2024/kpmg-2024-ceo-outlook-pulse-survey.html" TargetMode="External"/><Relationship Id="rId20" Type="http://schemas.openxmlformats.org/officeDocument/2006/relationships/hyperlink" Target="https://www.oecd.org/en/publications/oecd-economic-surveys-japan-2024_41e807f9-e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jpx.co.jp/english/corporate/sustainability/esgknowledgehub/index.html"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nikkei.co.jp/nikkeiinfo/en/global_services/nikkei-research/the-4th-nikkei-sdgs-management-survey-japanese-companies-progress-toward-sustainability.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trends.google.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C0B6F-381B-4562-B876-B8BDCBECC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5726</Words>
  <Characters>32642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Sumaira Aslam</dc:creator>
  <cp:keywords/>
  <dc:description/>
  <cp:lastModifiedBy>SDI 1084</cp:lastModifiedBy>
  <cp:revision>30</cp:revision>
  <dcterms:created xsi:type="dcterms:W3CDTF">2025-02-01T12:36:00Z</dcterms:created>
  <dcterms:modified xsi:type="dcterms:W3CDTF">2025-03-03T08:32:00Z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6450f151a68621c762a3259fd5621a6867b0198d71c32f4b85c688871e10315f</vt:lpwstr>
  </property>
</Properties>
</file>